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4F6762">
        <w:rPr>
          <w:caps/>
          <w:color w:val="000000" w:themeColor="text1"/>
        </w:rPr>
        <w:t>XXXXXXXXXXXXXXXX</w:t>
      </w:r>
      <w:r w:rsidRPr="001F29F9">
        <w:rPr>
          <w:caps/>
          <w:color w:val="000000" w:themeColor="text1"/>
        </w:rPr>
        <w:t xml:space="preserve">               </w:t>
      </w:r>
      <w:r w:rsidR="00056FE4">
        <w:rPr>
          <w:caps/>
          <w:color w:val="000000" w:themeColor="text1"/>
        </w:rPr>
        <w:tab/>
        <w:t xml:space="preserve">                           </w:t>
      </w:r>
      <w:r w:rsidRPr="001F29F9">
        <w:rPr>
          <w:caps/>
          <w:color w:val="000000" w:themeColor="text1"/>
        </w:rPr>
        <w:t>BRANCH OF SERVICE</w:t>
      </w:r>
      <w:r w:rsidRPr="00BA4A38">
        <w:rPr>
          <w:caps/>
          <w:color w:val="000000" w:themeColor="text1"/>
        </w:rPr>
        <w:t xml:space="preserve">:  </w:t>
      </w:r>
      <w:r w:rsidRPr="00F61FC5">
        <w:rPr>
          <w:caps/>
          <w:color w:val="000000" w:themeColor="text1"/>
        </w:rPr>
        <w:t>Army</w:t>
      </w:r>
      <w:r w:rsidRPr="00BA4A38">
        <w:rPr>
          <w:caps/>
          <w:color w:val="000000" w:themeColor="text1"/>
        </w:rPr>
        <w:t xml:space="preserve"> </w:t>
      </w:r>
    </w:p>
    <w:p w:rsidR="0095270D" w:rsidRDefault="00C774E0" w:rsidP="0095270D">
      <w:pPr>
        <w:tabs>
          <w:tab w:val="left" w:pos="288"/>
          <w:tab w:val="left" w:pos="5130"/>
        </w:tabs>
        <w:jc w:val="both"/>
        <w:rPr>
          <w:color w:val="000000" w:themeColor="text1"/>
        </w:rPr>
      </w:pPr>
      <w:r>
        <w:rPr>
          <w:caps/>
          <w:color w:val="000000" w:themeColor="text1"/>
        </w:rPr>
        <w:t>CASE NUMBER:  PD12</w:t>
      </w:r>
      <w:r w:rsidR="0095270D">
        <w:rPr>
          <w:caps/>
          <w:color w:val="000000" w:themeColor="text1"/>
        </w:rPr>
        <w:t>00</w:t>
      </w:r>
      <w:r>
        <w:rPr>
          <w:caps/>
          <w:color w:val="000000" w:themeColor="text1"/>
        </w:rPr>
        <w:t>940</w:t>
      </w:r>
      <w:r w:rsidR="0095270D" w:rsidRPr="001F29F9">
        <w:rPr>
          <w:color w:val="000000" w:themeColor="text1"/>
        </w:rPr>
        <w:t xml:space="preserve">                            </w:t>
      </w:r>
      <w:r w:rsidR="0095270D">
        <w:rPr>
          <w:color w:val="000000" w:themeColor="text1"/>
        </w:rPr>
        <w:tab/>
      </w:r>
      <w:r w:rsidR="0095270D">
        <w:rPr>
          <w:color w:val="000000" w:themeColor="text1"/>
        </w:rPr>
        <w:tab/>
        <w:t xml:space="preserve">          </w:t>
      </w:r>
      <w:r w:rsidR="0095270D" w:rsidRPr="001F29F9">
        <w:rPr>
          <w:color w:val="000000" w:themeColor="text1"/>
        </w:rPr>
        <w:t>SEPARATION DATE:  200</w:t>
      </w:r>
      <w:r w:rsidR="00F61FC5">
        <w:rPr>
          <w:color w:val="000000" w:themeColor="text1"/>
        </w:rPr>
        <w:t>30119</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C96776">
        <w:rPr>
          <w:caps/>
          <w:color w:val="000000"/>
        </w:rPr>
        <w:t>1019</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913734">
      <w:pPr>
        <w:tabs>
          <w:tab w:val="left" w:pos="288"/>
          <w:tab w:val="left" w:pos="4752"/>
        </w:tabs>
        <w:jc w:val="both"/>
        <w:rPr>
          <w:color w:val="000000"/>
        </w:rPr>
      </w:pPr>
      <w:r w:rsidRPr="001F29F9">
        <w:rPr>
          <w:color w:val="000000"/>
          <w:u w:val="single"/>
        </w:rPr>
        <w:t>SUMMARY OF CASE</w:t>
      </w:r>
      <w:r w:rsidRPr="001F29F9">
        <w:rPr>
          <w:color w:val="000000"/>
        </w:rPr>
        <w:t>:</w:t>
      </w:r>
      <w:r w:rsidR="002257C9">
        <w:rPr>
          <w:color w:val="000000"/>
        </w:rPr>
        <w:t xml:space="preserve"> </w:t>
      </w:r>
      <w:r w:rsidRPr="001F29F9">
        <w:rPr>
          <w:color w:val="000000"/>
        </w:rPr>
        <w:t xml:space="preserve"> Data extracted from the </w:t>
      </w:r>
      <w:r w:rsidRPr="00C96776">
        <w:rPr>
          <w:color w:val="000000"/>
        </w:rPr>
        <w:t xml:space="preserve">available evidence of record reflects that this covered individual (CI) was </w:t>
      </w:r>
      <w:r w:rsidR="00A70270" w:rsidRPr="00C96776">
        <w:rPr>
          <w:color w:val="000000"/>
        </w:rPr>
        <w:t>an active duty</w:t>
      </w:r>
      <w:r w:rsidRPr="00C96776">
        <w:rPr>
          <w:color w:val="000000"/>
        </w:rPr>
        <w:t xml:space="preserve"> </w:t>
      </w:r>
      <w:r w:rsidR="00C774E0" w:rsidRPr="00C96776">
        <w:rPr>
          <w:color w:val="000000"/>
        </w:rPr>
        <w:t>1LT/O-2</w:t>
      </w:r>
      <w:r w:rsidRPr="00C96776">
        <w:rPr>
          <w:color w:val="000000"/>
        </w:rPr>
        <w:t xml:space="preserve"> (</w:t>
      </w:r>
      <w:r w:rsidR="00C774E0" w:rsidRPr="00C96776">
        <w:rPr>
          <w:color w:val="000000"/>
        </w:rPr>
        <w:t>88A</w:t>
      </w:r>
      <w:r w:rsidRPr="00C96776">
        <w:rPr>
          <w:color w:val="000000"/>
        </w:rPr>
        <w:t>,</w:t>
      </w:r>
      <w:r w:rsidR="00713589" w:rsidRPr="00C96776">
        <w:rPr>
          <w:color w:val="000000"/>
        </w:rPr>
        <w:t xml:space="preserve"> Transportation Platoon Lea</w:t>
      </w:r>
      <w:r w:rsidR="00C774E0" w:rsidRPr="00C96776">
        <w:rPr>
          <w:color w:val="000000"/>
        </w:rPr>
        <w:t>d</w:t>
      </w:r>
      <w:r w:rsidR="00713589" w:rsidRPr="00C96776">
        <w:rPr>
          <w:color w:val="000000"/>
        </w:rPr>
        <w:t>e</w:t>
      </w:r>
      <w:r w:rsidR="00C774E0" w:rsidRPr="00C96776">
        <w:rPr>
          <w:color w:val="000000"/>
        </w:rPr>
        <w:t>r)</w:t>
      </w:r>
      <w:r w:rsidR="00565636" w:rsidRPr="00C96776">
        <w:rPr>
          <w:color w:val="000000"/>
        </w:rPr>
        <w:t>,</w:t>
      </w:r>
      <w:r w:rsidR="00A70270" w:rsidRPr="00C96776">
        <w:rPr>
          <w:color w:val="000000"/>
        </w:rPr>
        <w:t xml:space="preserve"> </w:t>
      </w:r>
      <w:r w:rsidRPr="00C96776">
        <w:rPr>
          <w:color w:val="000000"/>
        </w:rPr>
        <w:t xml:space="preserve">medically separated for </w:t>
      </w:r>
      <w:r w:rsidR="00261B7E" w:rsidRPr="00C96776">
        <w:rPr>
          <w:color w:val="000000"/>
        </w:rPr>
        <w:t xml:space="preserve">a </w:t>
      </w:r>
      <w:r w:rsidR="00C774E0" w:rsidRPr="00C96776">
        <w:rPr>
          <w:color w:val="000000"/>
        </w:rPr>
        <w:t>right ankle</w:t>
      </w:r>
      <w:r w:rsidRPr="00C96776">
        <w:rPr>
          <w:color w:val="000000"/>
        </w:rPr>
        <w:t xml:space="preserve"> </w:t>
      </w:r>
      <w:r w:rsidR="00261B7E" w:rsidRPr="00C96776">
        <w:rPr>
          <w:color w:val="000000"/>
        </w:rPr>
        <w:t>condition</w:t>
      </w:r>
      <w:r w:rsidR="00B73B31" w:rsidRPr="00C96776">
        <w:rPr>
          <w:color w:val="000000"/>
        </w:rPr>
        <w:t>.</w:t>
      </w:r>
      <w:r w:rsidR="00443D12" w:rsidRPr="00C96776">
        <w:rPr>
          <w:color w:val="000000"/>
        </w:rPr>
        <w:t xml:space="preserve"> </w:t>
      </w:r>
      <w:r w:rsidR="00B73B31" w:rsidRPr="00C96776">
        <w:rPr>
          <w:color w:val="000000"/>
        </w:rPr>
        <w:t xml:space="preserve"> </w:t>
      </w:r>
      <w:r w:rsidR="006A4C22" w:rsidRPr="00C96776">
        <w:rPr>
          <w:color w:val="000000"/>
        </w:rPr>
        <w:t>He</w:t>
      </w:r>
      <w:r w:rsidR="004132B1" w:rsidRPr="00C96776">
        <w:rPr>
          <w:color w:val="000000"/>
        </w:rPr>
        <w:t xml:space="preserve"> was initially injured as a cadet at an ROTC event and the ankle condition was further aggravated </w:t>
      </w:r>
      <w:r w:rsidR="00A84638">
        <w:rPr>
          <w:color w:val="000000"/>
        </w:rPr>
        <w:t>a</w:t>
      </w:r>
      <w:r w:rsidR="004132B1" w:rsidRPr="00C96776">
        <w:rPr>
          <w:color w:val="000000"/>
        </w:rPr>
        <w:t xml:space="preserve"> year later </w:t>
      </w:r>
      <w:r w:rsidR="00B73B31" w:rsidRPr="00C96776">
        <w:rPr>
          <w:color w:val="000000"/>
        </w:rPr>
        <w:t>whil</w:t>
      </w:r>
      <w:r w:rsidR="004132B1" w:rsidRPr="00C96776">
        <w:rPr>
          <w:color w:val="000000"/>
        </w:rPr>
        <w:t>e c</w:t>
      </w:r>
      <w:r w:rsidR="006A4C22" w:rsidRPr="00C96776">
        <w:rPr>
          <w:color w:val="000000"/>
        </w:rPr>
        <w:t>hanging track on an M-1 tank.  Despite</w:t>
      </w:r>
      <w:r w:rsidR="002257C9" w:rsidRPr="00C96776">
        <w:rPr>
          <w:color w:val="000000"/>
        </w:rPr>
        <w:t xml:space="preserve"> physical therapy </w:t>
      </w:r>
      <w:r w:rsidR="006A4C22" w:rsidRPr="00C96776">
        <w:rPr>
          <w:color w:val="000000"/>
        </w:rPr>
        <w:t>the CI</w:t>
      </w:r>
      <w:r w:rsidR="00F566B7" w:rsidRPr="00C96776">
        <w:rPr>
          <w:color w:val="000000"/>
        </w:rPr>
        <w:t xml:space="preserve"> </w:t>
      </w:r>
      <w:r w:rsidR="00ED1A59" w:rsidRPr="00C96776">
        <w:rPr>
          <w:color w:val="000000"/>
        </w:rPr>
        <w:t xml:space="preserve">could not </w:t>
      </w:r>
      <w:r w:rsidR="00F566B7" w:rsidRPr="00C96776">
        <w:rPr>
          <w:color w:val="000000"/>
        </w:rPr>
        <w:t xml:space="preserve">be adequately rehabilitated to meet the physical requirements of his Military Occupational Specialty (MOS) or </w:t>
      </w:r>
      <w:r w:rsidR="009C12A1" w:rsidRPr="00C96776">
        <w:rPr>
          <w:color w:val="000000"/>
        </w:rPr>
        <w:t xml:space="preserve">physical fitness </w:t>
      </w:r>
      <w:proofErr w:type="gramStart"/>
      <w:r w:rsidR="009C12A1" w:rsidRPr="00C96776">
        <w:rPr>
          <w:color w:val="000000"/>
        </w:rPr>
        <w:t>standards</w:t>
      </w:r>
      <w:proofErr w:type="gramEnd"/>
      <w:r w:rsidR="009C12A1" w:rsidRPr="00C96776">
        <w:rPr>
          <w:color w:val="000000"/>
        </w:rPr>
        <w:t>.</w:t>
      </w:r>
      <w:r w:rsidR="00F566B7" w:rsidRPr="00C96776">
        <w:rPr>
          <w:color w:val="000000"/>
        </w:rPr>
        <w:t xml:space="preserve"> </w:t>
      </w:r>
      <w:r w:rsidR="009C12A1" w:rsidRPr="00C96776">
        <w:rPr>
          <w:color w:val="000000"/>
        </w:rPr>
        <w:t xml:space="preserve"> He </w:t>
      </w:r>
      <w:r w:rsidR="00F566B7" w:rsidRPr="00C96776">
        <w:rPr>
          <w:color w:val="000000"/>
        </w:rPr>
        <w:t xml:space="preserve">was </w:t>
      </w:r>
      <w:r w:rsidR="00B73B31" w:rsidRPr="00C96776">
        <w:rPr>
          <w:color w:val="000000"/>
        </w:rPr>
        <w:t>consequently</w:t>
      </w:r>
      <w:r w:rsidR="009C12A1" w:rsidRPr="00C96776">
        <w:rPr>
          <w:color w:val="000000"/>
        </w:rPr>
        <w:t xml:space="preserve"> </w:t>
      </w:r>
      <w:r w:rsidR="00F566B7" w:rsidRPr="00C96776">
        <w:rPr>
          <w:color w:val="000000"/>
        </w:rPr>
        <w:t>issued a permanent L3 profile and</w:t>
      </w:r>
      <w:r w:rsidR="009C12A1" w:rsidRPr="00C96776">
        <w:rPr>
          <w:color w:val="000000"/>
        </w:rPr>
        <w:t xml:space="preserve"> </w:t>
      </w:r>
      <w:r w:rsidR="00F566B7" w:rsidRPr="00C96776">
        <w:rPr>
          <w:color w:val="000000"/>
        </w:rPr>
        <w:t xml:space="preserve">referred for a Medical Evaluation Board (MEB).  The </w:t>
      </w:r>
      <w:r w:rsidR="00443D12" w:rsidRPr="00C96776">
        <w:rPr>
          <w:color w:val="000000"/>
        </w:rPr>
        <w:t>ankle</w:t>
      </w:r>
      <w:r w:rsidR="00F566B7" w:rsidRPr="00C96776">
        <w:rPr>
          <w:color w:val="000000"/>
        </w:rPr>
        <w:t xml:space="preserve"> condition</w:t>
      </w:r>
      <w:r w:rsidR="00B63EAE" w:rsidRPr="00C96776">
        <w:rPr>
          <w:color w:val="000000"/>
        </w:rPr>
        <w:t>,</w:t>
      </w:r>
      <w:r w:rsidR="00F566B7" w:rsidRPr="00C96776">
        <w:rPr>
          <w:color w:val="000000"/>
        </w:rPr>
        <w:t xml:space="preserve"> characterized as “</w:t>
      </w:r>
      <w:r w:rsidR="00443D12" w:rsidRPr="00C96776">
        <w:rPr>
          <w:color w:val="000000"/>
        </w:rPr>
        <w:t>Chronic right ankle pain…</w:t>
      </w:r>
      <w:r w:rsidR="007B3628" w:rsidRPr="00C96776">
        <w:rPr>
          <w:color w:val="000000"/>
        </w:rPr>
        <w:t>,</w:t>
      </w:r>
      <w:r w:rsidR="00056FE4">
        <w:rPr>
          <w:color w:val="000000"/>
        </w:rPr>
        <w:t>”</w:t>
      </w:r>
      <w:r w:rsidR="00B63EAE" w:rsidRPr="00C96776">
        <w:rPr>
          <w:color w:val="000000"/>
        </w:rPr>
        <w:t xml:space="preserve"> </w:t>
      </w:r>
      <w:r w:rsidR="00F566B7" w:rsidRPr="00C96776">
        <w:rPr>
          <w:color w:val="000000"/>
        </w:rPr>
        <w:t>was forwarded to the Physical Evaluation Board (PEB) as medically unacceptable IAW AR 40-501.  No other condi</w:t>
      </w:r>
      <w:r w:rsidR="00B63EAE" w:rsidRPr="00C96776">
        <w:rPr>
          <w:color w:val="000000"/>
        </w:rPr>
        <w:t>tions were submitted by the MEB</w:t>
      </w:r>
      <w:r w:rsidR="00F566B7" w:rsidRPr="00C96776">
        <w:rPr>
          <w:color w:val="000000"/>
        </w:rPr>
        <w:t xml:space="preserve">.  </w:t>
      </w:r>
      <w:r w:rsidR="00443D12" w:rsidRPr="00C96776">
        <w:rPr>
          <w:color w:val="000000"/>
        </w:rPr>
        <w:t>The</w:t>
      </w:r>
      <w:r w:rsidRPr="00C96776">
        <w:rPr>
          <w:color w:val="000000"/>
        </w:rPr>
        <w:t xml:space="preserve"> PEB </w:t>
      </w:r>
      <w:r w:rsidR="00443D12" w:rsidRPr="00C96776">
        <w:rPr>
          <w:color w:val="000000"/>
        </w:rPr>
        <w:t xml:space="preserve">adjudicated “Chronic right ankle pain…” </w:t>
      </w:r>
      <w:r w:rsidR="00D11B38" w:rsidRPr="00C96776">
        <w:rPr>
          <w:color w:val="000000"/>
        </w:rPr>
        <w:t>as unfitting and</w:t>
      </w:r>
      <w:r w:rsidR="008530E3" w:rsidRPr="00C96776">
        <w:rPr>
          <w:color w:val="000000"/>
        </w:rPr>
        <w:t xml:space="preserve"> rated </w:t>
      </w:r>
      <w:r w:rsidR="00443D12" w:rsidRPr="00C96776">
        <w:rPr>
          <w:color w:val="000000"/>
        </w:rPr>
        <w:t>1</w:t>
      </w:r>
      <w:r w:rsidR="00713589" w:rsidRPr="00C96776">
        <w:rPr>
          <w:color w:val="000000"/>
        </w:rPr>
        <w:t xml:space="preserve">0% citing </w:t>
      </w:r>
      <w:r w:rsidR="00056FE4">
        <w:rPr>
          <w:color w:val="000000"/>
        </w:rPr>
        <w:t xml:space="preserve">the </w:t>
      </w:r>
      <w:r w:rsidR="00713589" w:rsidRPr="00C96776">
        <w:rPr>
          <w:color w:val="000000"/>
        </w:rPr>
        <w:t xml:space="preserve">US Army </w:t>
      </w:r>
      <w:r w:rsidR="00A56D21" w:rsidRPr="00C96776">
        <w:rPr>
          <w:color w:val="auto"/>
          <w:szCs w:val="24"/>
        </w:rPr>
        <w:t>Physical Disability Agency (USAPDA)</w:t>
      </w:r>
      <w:r w:rsidR="00D11B38" w:rsidRPr="00C96776">
        <w:rPr>
          <w:color w:val="000000"/>
        </w:rPr>
        <w:t xml:space="preserve"> Pain Policy.</w:t>
      </w:r>
      <w:r w:rsidRPr="00C96776">
        <w:rPr>
          <w:color w:val="000000"/>
        </w:rPr>
        <w:t xml:space="preserve"> </w:t>
      </w:r>
      <w:r w:rsidR="0048396D" w:rsidRPr="00C96776">
        <w:rPr>
          <w:color w:val="000000"/>
        </w:rPr>
        <w:t xml:space="preserve"> </w:t>
      </w:r>
      <w:r w:rsidR="002257C9" w:rsidRPr="00C96776">
        <w:rPr>
          <w:color w:val="000000"/>
        </w:rPr>
        <w:t>The CI made no appe</w:t>
      </w:r>
      <w:r w:rsidR="002257C9">
        <w:rPr>
          <w:color w:val="000000"/>
        </w:rPr>
        <w:t>als</w:t>
      </w:r>
      <w:r w:rsidRPr="001F29F9">
        <w:rPr>
          <w:color w:val="000000"/>
        </w:rPr>
        <w:t xml:space="preserve"> and was medically </w:t>
      </w:r>
      <w:r w:rsidRPr="00726F84">
        <w:rPr>
          <w:color w:val="000000"/>
        </w:rPr>
        <w:t xml:space="preserve">separated with </w:t>
      </w:r>
      <w:r w:rsidR="00261B7E">
        <w:rPr>
          <w:color w:val="000000"/>
        </w:rPr>
        <w:t>that</w:t>
      </w:r>
      <w:r w:rsidRPr="001F29F9">
        <w:rPr>
          <w:color w:val="000000"/>
        </w:rPr>
        <w:t xml:space="preserve"> </w:t>
      </w:r>
      <w:r w:rsidR="00A2299D">
        <w:rPr>
          <w:color w:val="000000"/>
        </w:rPr>
        <w:t xml:space="preserve">10% </w:t>
      </w:r>
      <w:r w:rsidRPr="001F29F9">
        <w:rPr>
          <w:color w:val="000000"/>
        </w:rPr>
        <w:t>disability rating.</w:t>
      </w:r>
      <w:r w:rsidR="00E438A4">
        <w:rPr>
          <w:color w:val="000000"/>
        </w:rPr>
        <w:t xml:space="preserve"> </w:t>
      </w:r>
      <w:r w:rsidR="00A56D21">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8396D" w:rsidRDefault="00AD2379" w:rsidP="00BF0E94">
      <w:pPr>
        <w:tabs>
          <w:tab w:val="left" w:pos="288"/>
          <w:tab w:val="left" w:pos="4752"/>
        </w:tabs>
        <w:jc w:val="both"/>
        <w:rPr>
          <w:color w:val="000000" w:themeColor="text1"/>
          <w:highlight w:val="cyan"/>
        </w:rPr>
      </w:pPr>
      <w:r w:rsidRPr="001F29F9">
        <w:rPr>
          <w:color w:val="000000"/>
          <w:u w:val="single"/>
        </w:rPr>
        <w:t>CI CONTENTION</w:t>
      </w:r>
      <w:r w:rsidRPr="001F29F9">
        <w:rPr>
          <w:color w:val="000000"/>
        </w:rPr>
        <w:t>:</w:t>
      </w:r>
      <w:r w:rsidRPr="00726F84">
        <w:rPr>
          <w:color w:val="000000"/>
        </w:rPr>
        <w:t xml:space="preserve"> </w:t>
      </w:r>
      <w:r w:rsidR="002257C9">
        <w:rPr>
          <w:color w:val="000000"/>
        </w:rPr>
        <w:t xml:space="preserve"> </w:t>
      </w:r>
      <w:r w:rsidR="00AB0535" w:rsidRPr="002257C9">
        <w:rPr>
          <w:color w:val="000000"/>
        </w:rPr>
        <w:t xml:space="preserve">The </w:t>
      </w:r>
      <w:r w:rsidR="00AB0535" w:rsidRPr="00C96776">
        <w:rPr>
          <w:color w:val="000000"/>
        </w:rPr>
        <w:t xml:space="preserve">application states </w:t>
      </w:r>
      <w:r w:rsidR="00773C45" w:rsidRPr="00C96776">
        <w:rPr>
          <w:color w:val="000000"/>
        </w:rPr>
        <w:t>“</w:t>
      </w:r>
      <w:r w:rsidR="002257C9" w:rsidRPr="00C96776">
        <w:rPr>
          <w:color w:val="000000"/>
        </w:rPr>
        <w:t xml:space="preserve">1) PTSD was not rated 2) Constant dry eye not described or examined </w:t>
      </w:r>
      <w:proofErr w:type="gramStart"/>
      <w:r w:rsidR="002257C9" w:rsidRPr="00C96776">
        <w:rPr>
          <w:color w:val="000000"/>
        </w:rPr>
        <w:t>properly 3) right wrist</w:t>
      </w:r>
      <w:proofErr w:type="gramEnd"/>
      <w:r w:rsidR="0048396D" w:rsidRPr="00C96776">
        <w:rPr>
          <w:color w:val="000000"/>
        </w:rPr>
        <w:t xml:space="preserve"> rated @</w:t>
      </w:r>
      <w:r w:rsidR="002257C9" w:rsidRPr="00C96776">
        <w:rPr>
          <w:color w:val="000000"/>
        </w:rPr>
        <w:t>0% not examined or rated properly &amp; continues to worsen.</w:t>
      </w:r>
      <w:r w:rsidR="00773C45" w:rsidRPr="00C96776">
        <w:rPr>
          <w:color w:val="000000"/>
        </w:rPr>
        <w:t>”</w:t>
      </w:r>
      <w:r w:rsidR="002257C9" w:rsidRPr="00C96776">
        <w:rPr>
          <w:color w:val="000000"/>
        </w:rPr>
        <w:t xml:space="preserve"> </w:t>
      </w:r>
      <w:r w:rsidR="002257C9" w:rsidRPr="00C96776">
        <w:rPr>
          <w:i/>
          <w:color w:val="000000"/>
        </w:rPr>
        <w:t>[</w:t>
      </w:r>
      <w:proofErr w:type="gramStart"/>
      <w:r w:rsidR="002257C9" w:rsidRPr="00C96776">
        <w:rPr>
          <w:i/>
          <w:color w:val="000000"/>
        </w:rPr>
        <w:t>sic</w:t>
      </w:r>
      <w:proofErr w:type="gramEnd"/>
      <w:r w:rsidR="002257C9" w:rsidRPr="00C96776">
        <w:rPr>
          <w:i/>
          <w:color w:val="000000"/>
        </w:rPr>
        <w:t>]</w:t>
      </w:r>
      <w:r w:rsidR="00E108AB" w:rsidRPr="00C96776">
        <w:rPr>
          <w:i/>
          <w:color w:val="000000"/>
        </w:rPr>
        <w:t>.</w:t>
      </w:r>
      <w:r w:rsidR="004A2728" w:rsidRPr="00C96776">
        <w:rPr>
          <w:color w:val="000000"/>
        </w:rPr>
        <w:t xml:space="preserve"> </w:t>
      </w:r>
      <w:r w:rsidR="00E108AB" w:rsidRPr="00C96776">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9203A8" w:rsidRDefault="00F14638" w:rsidP="00F14638">
      <w:pPr>
        <w:jc w:val="both"/>
        <w:rPr>
          <w:rFonts w:eastAsia="Calibri" w:cs="Times New Roman"/>
          <w:color w:val="auto"/>
          <w:szCs w:val="24"/>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00DD44EA" w:rsidRPr="00C246EE">
        <w:rPr>
          <w:color w:val="000000"/>
        </w:rPr>
        <w:t>Department of Defense Instruction (</w:t>
      </w:r>
      <w:proofErr w:type="spellStart"/>
      <w:r w:rsidR="00DD44EA" w:rsidRPr="00C246EE">
        <w:rPr>
          <w:color w:val="000000"/>
        </w:rPr>
        <w:t>DoDI</w:t>
      </w:r>
      <w:proofErr w:type="spellEnd"/>
      <w:r w:rsidR="00DD44EA" w:rsidRPr="00C246EE">
        <w:rPr>
          <w:color w:val="000000"/>
        </w:rPr>
        <w:t>)</w:t>
      </w:r>
      <w:r w:rsidR="00DD44EA">
        <w:rPr>
          <w:color w:val="000000"/>
        </w:rPr>
        <w:t xml:space="preserve"> </w:t>
      </w:r>
      <w:r>
        <w:rPr>
          <w:color w:val="auto"/>
        </w:rPr>
        <w:t xml:space="preserve">6040.44 </w:t>
      </w:r>
      <w:r w:rsidR="003A6FCD">
        <w:rPr>
          <w:color w:val="auto"/>
        </w:rPr>
        <w:t>(Enclosure 3, paragraph 5.e.2)</w:t>
      </w:r>
      <w:r w:rsidR="003A6FCD" w:rsidRPr="00C566C9">
        <w:rPr>
          <w:color w:val="auto"/>
        </w:rPr>
        <w:t xml:space="preserve"> </w:t>
      </w:r>
      <w:r w:rsidRPr="00C566C9">
        <w:rPr>
          <w:color w:val="auto"/>
        </w:rPr>
        <w:t xml:space="preserve">is limited to those conditions which </w:t>
      </w:r>
      <w:r w:rsidRPr="00C96776">
        <w:rPr>
          <w:color w:val="auto"/>
        </w:rPr>
        <w:t>were determined by the PEB to be specifically unfitting for continued military servic</w:t>
      </w:r>
      <w:r w:rsidR="005C5196" w:rsidRPr="00C96776">
        <w:rPr>
          <w:color w:val="auto"/>
        </w:rPr>
        <w:t>e</w:t>
      </w:r>
      <w:r w:rsidRPr="00C96776">
        <w:rPr>
          <w:color w:val="auto"/>
        </w:rPr>
        <w:t xml:space="preserve"> or, when requested by the CI, those condition(s) “identified but not determined to be unfitting by the PEB.</w:t>
      </w:r>
      <w:r w:rsidR="00056FE4">
        <w:rPr>
          <w:color w:val="auto"/>
        </w:rPr>
        <w:t>”</w:t>
      </w:r>
      <w:r w:rsidR="00F017F1" w:rsidRPr="00C96776">
        <w:rPr>
          <w:rFonts w:eastAsia="Calibri" w:cs="Times New Roman"/>
          <w:color w:val="auto"/>
          <w:szCs w:val="24"/>
        </w:rPr>
        <w:t xml:space="preserve"> </w:t>
      </w:r>
      <w:r w:rsidR="009A43D4" w:rsidRPr="00C96776">
        <w:rPr>
          <w:rFonts w:eastAsia="Calibri" w:cs="Times New Roman"/>
          <w:color w:val="auto"/>
          <w:szCs w:val="24"/>
        </w:rPr>
        <w:t xml:space="preserve"> The requested conditions </w:t>
      </w:r>
      <w:r w:rsidR="004A7AC5" w:rsidRPr="00C96776">
        <w:rPr>
          <w:rFonts w:eastAsia="Calibri" w:cs="Times New Roman"/>
          <w:color w:val="auto"/>
          <w:szCs w:val="24"/>
        </w:rPr>
        <w:t>of PTSD, dry eye, and right wrist pain</w:t>
      </w:r>
      <w:r w:rsidR="005C5196" w:rsidRPr="00C96776">
        <w:rPr>
          <w:rFonts w:eastAsia="Calibri" w:cs="Times New Roman"/>
          <w:color w:val="auto"/>
          <w:szCs w:val="24"/>
        </w:rPr>
        <w:t xml:space="preserve"> were not identified by the PEB</w:t>
      </w:r>
      <w:r w:rsidR="007A2B9A" w:rsidRPr="00C96776">
        <w:rPr>
          <w:rFonts w:eastAsia="Calibri" w:cs="Times New Roman"/>
          <w:color w:val="auto"/>
          <w:szCs w:val="24"/>
        </w:rPr>
        <w:t xml:space="preserve"> and thus are not within the defined purview of the Board.</w:t>
      </w:r>
      <w:r w:rsidR="0093443E" w:rsidRPr="00C96776">
        <w:rPr>
          <w:color w:val="auto"/>
        </w:rPr>
        <w:t xml:space="preserve">  </w:t>
      </w:r>
      <w:r w:rsidR="007029FD" w:rsidRPr="00C96776">
        <w:rPr>
          <w:color w:val="auto"/>
        </w:rPr>
        <w:t>Any conditions</w:t>
      </w:r>
      <w:r w:rsidR="007029FD" w:rsidRPr="00C566C9">
        <w:rPr>
          <w:color w:val="auto"/>
        </w:rPr>
        <w:t xml:space="preserve"> or contention not requested in this application</w:t>
      </w:r>
      <w:r w:rsidR="007029FD">
        <w:rPr>
          <w:color w:val="auto"/>
        </w:rPr>
        <w:t>, or</w:t>
      </w:r>
      <w:r w:rsidR="007029FD" w:rsidRPr="00C566C9">
        <w:rPr>
          <w:color w:val="auto"/>
        </w:rPr>
        <w:t xml:space="preserve"> otherwise outside the Board’s defined scope of review</w:t>
      </w:r>
      <w:r w:rsidR="007029FD">
        <w:rPr>
          <w:color w:val="auto"/>
        </w:rPr>
        <w:t>, remain</w:t>
      </w:r>
      <w:r w:rsidR="007029FD" w:rsidRPr="00C566C9">
        <w:rPr>
          <w:color w:val="auto"/>
        </w:rPr>
        <w:t xml:space="preserve"> eligible for future consideration by </w:t>
      </w:r>
      <w:r w:rsidR="004A7AC5" w:rsidRPr="004A7AC5">
        <w:rPr>
          <w:color w:val="auto"/>
        </w:rPr>
        <w:t xml:space="preserve">the </w:t>
      </w:r>
      <w:r w:rsidR="00A84638">
        <w:rPr>
          <w:color w:val="auto"/>
        </w:rPr>
        <w:t xml:space="preserve">Army </w:t>
      </w:r>
      <w:r w:rsidR="007029FD" w:rsidRPr="004A7AC5">
        <w:rPr>
          <w:color w:val="auto"/>
        </w:rPr>
        <w:t xml:space="preserve">Board for </w:t>
      </w:r>
      <w:r w:rsidR="004A7AC5" w:rsidRPr="004A7AC5">
        <w:rPr>
          <w:color w:val="auto"/>
        </w:rPr>
        <w:t>Correction of Military Records</w:t>
      </w:r>
      <w:r w:rsidR="007029FD" w:rsidRPr="004A7AC5">
        <w:rPr>
          <w:color w:val="auto"/>
        </w:rPr>
        <w:t>.</w:t>
      </w:r>
      <w:r w:rsidR="007029FD" w:rsidRPr="007029FD">
        <w:rPr>
          <w:color w:val="auto"/>
        </w:rPr>
        <w:t xml:space="preserve"> </w:t>
      </w:r>
      <w:r w:rsidR="009E0FE1">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A75DD1" w:rsidRDefault="00AD2379" w:rsidP="00BF0E94">
      <w:pPr>
        <w:jc w:val="left"/>
        <w:rPr>
          <w:color w:val="auto"/>
        </w:rPr>
      </w:pPr>
      <w:r w:rsidRPr="001F29F9">
        <w:rPr>
          <w:color w:val="000000"/>
          <w:u w:val="single"/>
        </w:rPr>
        <w:t>RATING COMPARISON</w:t>
      </w:r>
      <w:r w:rsidRPr="001F29F9">
        <w:rPr>
          <w:color w:val="000000"/>
        </w:rPr>
        <w:t>:</w:t>
      </w:r>
      <w:r w:rsidRPr="00726F84">
        <w:rPr>
          <w:color w:val="000000"/>
        </w:rPr>
        <w:t xml:space="preserve"> </w:t>
      </w:r>
    </w:p>
    <w:p w:rsidR="00C81156" w:rsidRPr="00A75DD1" w:rsidRDefault="00C81156" w:rsidP="00FE7C22">
      <w:pPr>
        <w:jc w:val="both"/>
        <w:rPr>
          <w:color w:val="auto"/>
        </w:rPr>
      </w:pPr>
    </w:p>
    <w:tbl>
      <w:tblPr>
        <w:tblStyle w:val="TableGrid"/>
        <w:tblpPr w:leftFromText="187" w:rightFromText="187" w:vertAnchor="text" w:tblpXSpec="center" w:tblpY="1"/>
        <w:tblOverlap w:val="never"/>
        <w:tblW w:w="9348" w:type="dxa"/>
        <w:tblLayout w:type="fixed"/>
        <w:tblLook w:val="00A0"/>
      </w:tblPr>
      <w:tblGrid>
        <w:gridCol w:w="2086"/>
        <w:gridCol w:w="1169"/>
        <w:gridCol w:w="720"/>
        <w:gridCol w:w="2609"/>
        <w:gridCol w:w="1080"/>
        <w:gridCol w:w="720"/>
        <w:gridCol w:w="964"/>
      </w:tblGrid>
      <w:tr w:rsidR="00926C0A" w:rsidRPr="00A75DD1" w:rsidTr="000E432F">
        <w:trPr>
          <w:trHeight w:val="170"/>
        </w:trPr>
        <w:tc>
          <w:tcPr>
            <w:tcW w:w="3978" w:type="dxa"/>
            <w:gridSpan w:val="3"/>
            <w:tcBorders>
              <w:right w:val="thinThickThinSmallGap" w:sz="24" w:space="0" w:color="auto"/>
            </w:tcBorders>
            <w:shd w:val="clear" w:color="auto" w:fill="D9D9D9"/>
            <w:vAlign w:val="center"/>
          </w:tcPr>
          <w:p w:rsidR="00926C0A" w:rsidRPr="00A75DD1" w:rsidRDefault="00AB0659" w:rsidP="000E432F">
            <w:pPr>
              <w:contextualSpacing/>
              <w:rPr>
                <w:rFonts w:cs="Calibri"/>
                <w:b/>
                <w:color w:val="auto"/>
                <w:sz w:val="18"/>
              </w:rPr>
            </w:pPr>
            <w:r w:rsidRPr="00A75DD1">
              <w:rPr>
                <w:b/>
                <w:color w:val="auto"/>
                <w:sz w:val="18"/>
              </w:rPr>
              <w:t xml:space="preserve">Service </w:t>
            </w:r>
            <w:r w:rsidR="00926C0A" w:rsidRPr="00A75DD1">
              <w:rPr>
                <w:b/>
                <w:color w:val="auto"/>
                <w:sz w:val="18"/>
              </w:rPr>
              <w:t>PEB – Dated 200</w:t>
            </w:r>
            <w:r w:rsidR="00671BA9" w:rsidRPr="00A75DD1">
              <w:rPr>
                <w:b/>
                <w:color w:val="auto"/>
                <w:sz w:val="18"/>
              </w:rPr>
              <w:t>21023</w:t>
            </w:r>
          </w:p>
        </w:tc>
        <w:tc>
          <w:tcPr>
            <w:tcW w:w="5370" w:type="dxa"/>
            <w:gridSpan w:val="4"/>
            <w:tcBorders>
              <w:left w:val="thinThickThinSmallGap" w:sz="24" w:space="0" w:color="auto"/>
            </w:tcBorders>
            <w:shd w:val="clear" w:color="auto" w:fill="D9D9D9"/>
            <w:vAlign w:val="center"/>
          </w:tcPr>
          <w:p w:rsidR="00926C0A" w:rsidRPr="00A75DD1" w:rsidRDefault="00671BA9" w:rsidP="0048396D">
            <w:pPr>
              <w:contextualSpacing/>
              <w:rPr>
                <w:rFonts w:cs="Calibri"/>
                <w:b/>
                <w:color w:val="auto"/>
                <w:sz w:val="18"/>
              </w:rPr>
            </w:pPr>
            <w:r w:rsidRPr="00A75DD1">
              <w:rPr>
                <w:b/>
                <w:color w:val="auto"/>
                <w:sz w:val="18"/>
              </w:rPr>
              <w:t>VA (~3</w:t>
            </w:r>
            <w:r w:rsidR="00474C18" w:rsidRPr="00A75DD1">
              <w:rPr>
                <w:b/>
                <w:color w:val="auto"/>
                <w:sz w:val="18"/>
              </w:rPr>
              <w:t xml:space="preserve"> Mo. </w:t>
            </w:r>
            <w:r w:rsidR="0048396D" w:rsidRPr="00A75DD1">
              <w:rPr>
                <w:b/>
                <w:color w:val="auto"/>
                <w:sz w:val="18"/>
              </w:rPr>
              <w:t>P</w:t>
            </w:r>
            <w:r w:rsidR="00926C0A" w:rsidRPr="00A75DD1">
              <w:rPr>
                <w:b/>
                <w:color w:val="auto"/>
                <w:sz w:val="18"/>
              </w:rPr>
              <w:t>ost-Separation) –</w:t>
            </w:r>
            <w:r w:rsidR="00575F32" w:rsidRPr="00A75DD1">
              <w:rPr>
                <w:b/>
                <w:color w:val="auto"/>
                <w:sz w:val="18"/>
              </w:rPr>
              <w:t xml:space="preserve"> </w:t>
            </w:r>
            <w:r w:rsidR="00926C0A" w:rsidRPr="00A75DD1">
              <w:rPr>
                <w:b/>
                <w:color w:val="auto"/>
                <w:sz w:val="18"/>
              </w:rPr>
              <w:t>Effective 200</w:t>
            </w:r>
            <w:r w:rsidRPr="00A75DD1">
              <w:rPr>
                <w:b/>
                <w:color w:val="auto"/>
                <w:sz w:val="18"/>
              </w:rPr>
              <w:t>30120</w:t>
            </w:r>
          </w:p>
        </w:tc>
      </w:tr>
      <w:tr w:rsidR="00261B7E" w:rsidRPr="00A75DD1" w:rsidTr="000E432F">
        <w:trPr>
          <w:trHeight w:val="97"/>
        </w:trPr>
        <w:tc>
          <w:tcPr>
            <w:tcW w:w="2088" w:type="dxa"/>
            <w:tcBorders>
              <w:right w:val="single" w:sz="4" w:space="0" w:color="auto"/>
            </w:tcBorders>
            <w:shd w:val="clear" w:color="auto" w:fill="D9D9D9"/>
            <w:vAlign w:val="center"/>
          </w:tcPr>
          <w:p w:rsidR="00AD2379" w:rsidRPr="00A75DD1" w:rsidRDefault="00AD2379" w:rsidP="000E432F">
            <w:pPr>
              <w:contextualSpacing/>
              <w:rPr>
                <w:rFonts w:cs="Calibri"/>
                <w:b/>
                <w:color w:val="auto"/>
                <w:sz w:val="18"/>
              </w:rPr>
            </w:pPr>
            <w:r w:rsidRPr="00A75DD1">
              <w:rPr>
                <w:b/>
                <w:color w:val="auto"/>
                <w:sz w:val="18"/>
              </w:rPr>
              <w:t>Condition</w:t>
            </w:r>
          </w:p>
        </w:tc>
        <w:tc>
          <w:tcPr>
            <w:tcW w:w="1170" w:type="dxa"/>
            <w:tcBorders>
              <w:left w:val="single" w:sz="4" w:space="0" w:color="auto"/>
            </w:tcBorders>
            <w:shd w:val="clear" w:color="auto" w:fill="D9D9D9"/>
            <w:vAlign w:val="center"/>
          </w:tcPr>
          <w:p w:rsidR="00AD2379" w:rsidRPr="00A75DD1" w:rsidRDefault="00AD2379" w:rsidP="000E432F">
            <w:pPr>
              <w:contextualSpacing/>
              <w:rPr>
                <w:rFonts w:cs="Calibri"/>
                <w:b/>
                <w:color w:val="auto"/>
                <w:sz w:val="18"/>
              </w:rPr>
            </w:pPr>
            <w:r w:rsidRPr="00A75DD1">
              <w:rPr>
                <w:b/>
                <w:color w:val="auto"/>
                <w:sz w:val="18"/>
              </w:rPr>
              <w:t>Code</w:t>
            </w:r>
          </w:p>
        </w:tc>
        <w:tc>
          <w:tcPr>
            <w:tcW w:w="720" w:type="dxa"/>
            <w:tcBorders>
              <w:right w:val="thinThickThinSmallGap" w:sz="24" w:space="0" w:color="auto"/>
            </w:tcBorders>
            <w:shd w:val="clear" w:color="auto" w:fill="D9D9D9"/>
            <w:vAlign w:val="center"/>
          </w:tcPr>
          <w:p w:rsidR="00AD2379" w:rsidRPr="00A75DD1" w:rsidRDefault="00AD2379" w:rsidP="000E432F">
            <w:pPr>
              <w:contextualSpacing/>
              <w:rPr>
                <w:rFonts w:cs="Calibri"/>
                <w:b/>
                <w:color w:val="auto"/>
                <w:sz w:val="18"/>
              </w:rPr>
            </w:pPr>
            <w:r w:rsidRPr="00A75DD1">
              <w:rPr>
                <w:b/>
                <w:color w:val="auto"/>
                <w:sz w:val="18"/>
              </w:rPr>
              <w:t>Rating</w:t>
            </w:r>
          </w:p>
        </w:tc>
        <w:tc>
          <w:tcPr>
            <w:tcW w:w="2610" w:type="dxa"/>
            <w:tcBorders>
              <w:left w:val="thinThickThinSmallGap" w:sz="24" w:space="0" w:color="auto"/>
            </w:tcBorders>
            <w:shd w:val="clear" w:color="auto" w:fill="D9D9D9"/>
            <w:vAlign w:val="center"/>
          </w:tcPr>
          <w:p w:rsidR="00AD2379" w:rsidRPr="00A75DD1" w:rsidRDefault="00AD2379" w:rsidP="000E432F">
            <w:pPr>
              <w:contextualSpacing/>
              <w:rPr>
                <w:rFonts w:cs="Calibri"/>
                <w:b/>
                <w:color w:val="auto"/>
                <w:sz w:val="18"/>
              </w:rPr>
            </w:pPr>
            <w:r w:rsidRPr="00A75DD1">
              <w:rPr>
                <w:b/>
                <w:color w:val="auto"/>
                <w:sz w:val="18"/>
              </w:rPr>
              <w:t>Condition</w:t>
            </w:r>
          </w:p>
        </w:tc>
        <w:tc>
          <w:tcPr>
            <w:tcW w:w="1080" w:type="dxa"/>
            <w:shd w:val="clear" w:color="auto" w:fill="D9D9D9"/>
            <w:vAlign w:val="center"/>
          </w:tcPr>
          <w:p w:rsidR="00AD2379" w:rsidRPr="00A75DD1" w:rsidRDefault="00AD2379" w:rsidP="000E432F">
            <w:pPr>
              <w:contextualSpacing/>
              <w:rPr>
                <w:rFonts w:cs="Calibri"/>
                <w:b/>
                <w:color w:val="auto"/>
                <w:sz w:val="18"/>
              </w:rPr>
            </w:pPr>
            <w:r w:rsidRPr="00A75DD1">
              <w:rPr>
                <w:b/>
                <w:color w:val="auto"/>
                <w:sz w:val="18"/>
              </w:rPr>
              <w:t>Code</w:t>
            </w:r>
          </w:p>
        </w:tc>
        <w:tc>
          <w:tcPr>
            <w:tcW w:w="720" w:type="dxa"/>
            <w:shd w:val="clear" w:color="auto" w:fill="D9D9D9"/>
            <w:vAlign w:val="center"/>
          </w:tcPr>
          <w:p w:rsidR="00AD2379" w:rsidRPr="00A75DD1" w:rsidRDefault="00AD2379" w:rsidP="000E432F">
            <w:pPr>
              <w:contextualSpacing/>
              <w:rPr>
                <w:rFonts w:cs="Calibri"/>
                <w:b/>
                <w:color w:val="auto"/>
                <w:sz w:val="18"/>
              </w:rPr>
            </w:pPr>
            <w:r w:rsidRPr="00A75DD1">
              <w:rPr>
                <w:b/>
                <w:color w:val="auto"/>
                <w:sz w:val="18"/>
              </w:rPr>
              <w:t>Rating</w:t>
            </w:r>
          </w:p>
        </w:tc>
        <w:tc>
          <w:tcPr>
            <w:tcW w:w="960" w:type="dxa"/>
            <w:shd w:val="clear" w:color="auto" w:fill="D9D9D9"/>
            <w:vAlign w:val="center"/>
          </w:tcPr>
          <w:p w:rsidR="00AD2379" w:rsidRPr="00A75DD1" w:rsidRDefault="00AD2379" w:rsidP="000E432F">
            <w:pPr>
              <w:contextualSpacing/>
              <w:rPr>
                <w:rFonts w:cs="Calibri"/>
                <w:b/>
                <w:color w:val="auto"/>
                <w:sz w:val="18"/>
              </w:rPr>
            </w:pPr>
            <w:r w:rsidRPr="00A75DD1">
              <w:rPr>
                <w:b/>
                <w:color w:val="auto"/>
                <w:sz w:val="18"/>
              </w:rPr>
              <w:t>Exam</w:t>
            </w:r>
          </w:p>
        </w:tc>
      </w:tr>
      <w:tr w:rsidR="00261B7E" w:rsidRPr="00A75DD1" w:rsidTr="000E432F">
        <w:trPr>
          <w:trHeight w:val="118"/>
        </w:trPr>
        <w:tc>
          <w:tcPr>
            <w:tcW w:w="2088" w:type="dxa"/>
            <w:tcBorders>
              <w:bottom w:val="single" w:sz="4" w:space="0" w:color="000000"/>
              <w:right w:val="single" w:sz="4" w:space="0" w:color="auto"/>
            </w:tcBorders>
            <w:shd w:val="clear" w:color="auto" w:fill="FFFFFF"/>
            <w:vAlign w:val="center"/>
          </w:tcPr>
          <w:p w:rsidR="00AD2379" w:rsidRPr="00A75DD1" w:rsidRDefault="008B1CE4" w:rsidP="000E432F">
            <w:pPr>
              <w:spacing w:line="220" w:lineRule="exact"/>
              <w:contextualSpacing/>
              <w:jc w:val="left"/>
              <w:rPr>
                <w:rFonts w:cs="Calibri"/>
                <w:color w:val="auto"/>
                <w:sz w:val="18"/>
              </w:rPr>
            </w:pPr>
            <w:r w:rsidRPr="00A75DD1">
              <w:rPr>
                <w:rFonts w:cs="Calibri"/>
                <w:color w:val="auto"/>
                <w:sz w:val="18"/>
              </w:rPr>
              <w:t>Chronic right ankle pain</w:t>
            </w:r>
          </w:p>
        </w:tc>
        <w:tc>
          <w:tcPr>
            <w:tcW w:w="1170" w:type="dxa"/>
            <w:tcBorders>
              <w:left w:val="single" w:sz="4" w:space="0" w:color="auto"/>
              <w:bottom w:val="single" w:sz="4" w:space="0" w:color="000000"/>
            </w:tcBorders>
            <w:shd w:val="clear" w:color="auto" w:fill="FFFFFF"/>
            <w:vAlign w:val="center"/>
          </w:tcPr>
          <w:p w:rsidR="00AD2379" w:rsidRPr="00A75DD1" w:rsidRDefault="008B1CE4" w:rsidP="000E432F">
            <w:pPr>
              <w:spacing w:line="220" w:lineRule="exact"/>
              <w:contextualSpacing/>
              <w:rPr>
                <w:rFonts w:cs="Calibri"/>
                <w:color w:val="auto"/>
                <w:sz w:val="18"/>
              </w:rPr>
            </w:pPr>
            <w:r w:rsidRPr="00A75DD1">
              <w:rPr>
                <w:rFonts w:cs="Calibri"/>
                <w:color w:val="auto"/>
                <w:sz w:val="18"/>
              </w:rPr>
              <w:t>5099-5003</w:t>
            </w:r>
          </w:p>
        </w:tc>
        <w:tc>
          <w:tcPr>
            <w:tcW w:w="720" w:type="dxa"/>
            <w:tcBorders>
              <w:bottom w:val="single" w:sz="4" w:space="0" w:color="000000"/>
              <w:right w:val="thinThickThinSmallGap" w:sz="24" w:space="0" w:color="auto"/>
            </w:tcBorders>
            <w:shd w:val="clear" w:color="auto" w:fill="FFFFFF"/>
            <w:vAlign w:val="center"/>
          </w:tcPr>
          <w:p w:rsidR="00AD2379" w:rsidRPr="00A75DD1" w:rsidRDefault="008B1CE4" w:rsidP="000E432F">
            <w:pPr>
              <w:spacing w:line="220" w:lineRule="exact"/>
              <w:rPr>
                <w:rFonts w:cs="Calibri"/>
                <w:color w:val="auto"/>
                <w:sz w:val="18"/>
              </w:rPr>
            </w:pPr>
            <w:r w:rsidRPr="00A75DD1">
              <w:rPr>
                <w:rFonts w:cs="Calibri"/>
                <w:color w:val="auto"/>
                <w:sz w:val="18"/>
              </w:rPr>
              <w:t>10%</w:t>
            </w:r>
          </w:p>
        </w:tc>
        <w:tc>
          <w:tcPr>
            <w:tcW w:w="2610" w:type="dxa"/>
            <w:tcBorders>
              <w:left w:val="thinThickThinSmallGap" w:sz="24" w:space="0" w:color="auto"/>
              <w:bottom w:val="single" w:sz="4" w:space="0" w:color="000000"/>
            </w:tcBorders>
            <w:shd w:val="clear" w:color="auto" w:fill="FFFFFF"/>
            <w:vAlign w:val="center"/>
          </w:tcPr>
          <w:p w:rsidR="00AD2379" w:rsidRPr="00A75DD1" w:rsidRDefault="008B1CE4" w:rsidP="000E432F">
            <w:pPr>
              <w:spacing w:line="220" w:lineRule="exact"/>
              <w:contextualSpacing/>
              <w:jc w:val="left"/>
              <w:rPr>
                <w:rFonts w:cs="Calibri"/>
                <w:color w:val="auto"/>
                <w:sz w:val="18"/>
              </w:rPr>
            </w:pPr>
            <w:r w:rsidRPr="00A75DD1">
              <w:rPr>
                <w:rFonts w:cs="Calibri"/>
                <w:color w:val="auto"/>
                <w:sz w:val="18"/>
              </w:rPr>
              <w:t>Right ankle pain</w:t>
            </w:r>
          </w:p>
        </w:tc>
        <w:tc>
          <w:tcPr>
            <w:tcW w:w="1080" w:type="dxa"/>
            <w:tcBorders>
              <w:bottom w:val="single" w:sz="4" w:space="0" w:color="000000"/>
            </w:tcBorders>
            <w:shd w:val="clear" w:color="auto" w:fill="FFFFFF"/>
            <w:vAlign w:val="center"/>
          </w:tcPr>
          <w:p w:rsidR="00AD2379" w:rsidRPr="00A75DD1" w:rsidRDefault="004A7AC5" w:rsidP="000E432F">
            <w:pPr>
              <w:spacing w:line="220" w:lineRule="exact"/>
              <w:contextualSpacing/>
              <w:rPr>
                <w:rFonts w:cs="Calibri"/>
                <w:color w:val="auto"/>
                <w:sz w:val="18"/>
              </w:rPr>
            </w:pPr>
            <w:r w:rsidRPr="00A75DD1">
              <w:rPr>
                <w:rFonts w:cs="Calibri"/>
                <w:color w:val="auto"/>
                <w:sz w:val="18"/>
              </w:rPr>
              <w:t>5271</w:t>
            </w:r>
          </w:p>
        </w:tc>
        <w:tc>
          <w:tcPr>
            <w:tcW w:w="720" w:type="dxa"/>
            <w:tcBorders>
              <w:bottom w:val="single" w:sz="4" w:space="0" w:color="000000"/>
            </w:tcBorders>
            <w:shd w:val="clear" w:color="auto" w:fill="FFFFFF"/>
            <w:vAlign w:val="center"/>
          </w:tcPr>
          <w:p w:rsidR="00AD2379" w:rsidRPr="00A75DD1" w:rsidRDefault="00720BEA" w:rsidP="000E432F">
            <w:pPr>
              <w:spacing w:line="220" w:lineRule="exact"/>
              <w:contextualSpacing/>
              <w:rPr>
                <w:rFonts w:cs="Calibri"/>
                <w:color w:val="auto"/>
                <w:sz w:val="18"/>
              </w:rPr>
            </w:pPr>
            <w:r w:rsidRPr="00A75DD1">
              <w:rPr>
                <w:rFonts w:cs="Calibri"/>
                <w:color w:val="auto"/>
                <w:sz w:val="18"/>
              </w:rPr>
              <w:t>10%</w:t>
            </w:r>
          </w:p>
        </w:tc>
        <w:tc>
          <w:tcPr>
            <w:tcW w:w="960" w:type="dxa"/>
            <w:tcBorders>
              <w:bottom w:val="single" w:sz="4" w:space="0" w:color="000000"/>
            </w:tcBorders>
            <w:shd w:val="clear" w:color="auto" w:fill="FFFFFF"/>
            <w:vAlign w:val="center"/>
          </w:tcPr>
          <w:p w:rsidR="00AD2379" w:rsidRPr="00A75DD1" w:rsidRDefault="00671BA9" w:rsidP="000E432F">
            <w:pPr>
              <w:spacing w:line="220" w:lineRule="exact"/>
              <w:contextualSpacing/>
              <w:rPr>
                <w:rFonts w:cs="Calibri"/>
                <w:color w:val="auto"/>
                <w:sz w:val="18"/>
              </w:rPr>
            </w:pPr>
            <w:r w:rsidRPr="00A75DD1">
              <w:rPr>
                <w:rFonts w:cs="Calibri"/>
                <w:color w:val="auto"/>
                <w:sz w:val="18"/>
              </w:rPr>
              <w:t>20030417</w:t>
            </w:r>
          </w:p>
        </w:tc>
      </w:tr>
      <w:tr w:rsidR="00C76219" w:rsidRPr="00A75DD1" w:rsidTr="000E432F">
        <w:trPr>
          <w:trHeight w:val="190"/>
        </w:trPr>
        <w:tc>
          <w:tcPr>
            <w:tcW w:w="3978" w:type="dxa"/>
            <w:gridSpan w:val="3"/>
            <w:vMerge w:val="restart"/>
            <w:tcBorders>
              <w:right w:val="thinThickThinSmallGap" w:sz="24" w:space="0" w:color="auto"/>
            </w:tcBorders>
            <w:shd w:val="clear" w:color="auto" w:fill="FFFFFF"/>
            <w:vAlign w:val="center"/>
          </w:tcPr>
          <w:p w:rsidR="00C76219" w:rsidRPr="00A75DD1" w:rsidRDefault="00C76219" w:rsidP="000E432F">
            <w:pPr>
              <w:spacing w:line="220" w:lineRule="exact"/>
              <w:contextualSpacing/>
              <w:rPr>
                <w:rFonts w:cs="Calibri"/>
                <w:color w:val="auto"/>
                <w:sz w:val="18"/>
              </w:rPr>
            </w:pPr>
            <w:r w:rsidRPr="00A75DD1">
              <w:rPr>
                <w:color w:val="auto"/>
                <w:sz w:val="18"/>
              </w:rPr>
              <w:t>No Additional MEB/PEB Entries</w:t>
            </w:r>
          </w:p>
        </w:tc>
        <w:tc>
          <w:tcPr>
            <w:tcW w:w="2610" w:type="dxa"/>
            <w:tcBorders>
              <w:left w:val="thinThickThinSmallGap" w:sz="24" w:space="0" w:color="auto"/>
              <w:right w:val="single" w:sz="4" w:space="0" w:color="000000"/>
            </w:tcBorders>
            <w:shd w:val="clear" w:color="auto" w:fill="FFFFFF"/>
            <w:vAlign w:val="center"/>
          </w:tcPr>
          <w:p w:rsidR="00C76219" w:rsidRPr="00A75DD1" w:rsidRDefault="00C76219" w:rsidP="000E432F">
            <w:pPr>
              <w:spacing w:line="220" w:lineRule="exact"/>
              <w:contextualSpacing/>
              <w:jc w:val="left"/>
              <w:rPr>
                <w:rFonts w:cs="Calibri"/>
                <w:color w:val="auto"/>
                <w:sz w:val="18"/>
              </w:rPr>
            </w:pPr>
            <w:proofErr w:type="spellStart"/>
            <w:r w:rsidRPr="00A75DD1">
              <w:rPr>
                <w:rFonts w:cs="Calibri"/>
                <w:color w:val="auto"/>
                <w:sz w:val="18"/>
              </w:rPr>
              <w:t>Gastroesophageal</w:t>
            </w:r>
            <w:proofErr w:type="spellEnd"/>
            <w:r w:rsidRPr="00A75DD1">
              <w:rPr>
                <w:rFonts w:cs="Calibri"/>
                <w:color w:val="auto"/>
                <w:sz w:val="18"/>
              </w:rPr>
              <w:t xml:space="preserve"> reflux disease</w:t>
            </w:r>
          </w:p>
        </w:tc>
        <w:tc>
          <w:tcPr>
            <w:tcW w:w="1080" w:type="dxa"/>
            <w:tcBorders>
              <w:left w:val="single" w:sz="4" w:space="0" w:color="000000"/>
              <w:right w:val="single" w:sz="4" w:space="0" w:color="000000"/>
            </w:tcBorders>
            <w:shd w:val="clear" w:color="auto" w:fill="FFFFFF"/>
            <w:vAlign w:val="center"/>
          </w:tcPr>
          <w:p w:rsidR="00C76219" w:rsidRPr="00A75DD1" w:rsidRDefault="00C76219" w:rsidP="000E432F">
            <w:pPr>
              <w:spacing w:line="220" w:lineRule="exact"/>
              <w:contextualSpacing/>
              <w:rPr>
                <w:rFonts w:cs="Calibri"/>
                <w:color w:val="auto"/>
                <w:sz w:val="18"/>
              </w:rPr>
            </w:pPr>
            <w:r w:rsidRPr="00A75DD1">
              <w:rPr>
                <w:rFonts w:cs="Calibri"/>
                <w:color w:val="auto"/>
                <w:sz w:val="18"/>
              </w:rPr>
              <w:t>7399-7346</w:t>
            </w:r>
          </w:p>
        </w:tc>
        <w:tc>
          <w:tcPr>
            <w:tcW w:w="720" w:type="dxa"/>
            <w:tcBorders>
              <w:left w:val="single" w:sz="4" w:space="0" w:color="000000"/>
              <w:right w:val="single" w:sz="4" w:space="0" w:color="auto"/>
            </w:tcBorders>
            <w:shd w:val="clear" w:color="auto" w:fill="FFFFFF"/>
            <w:vAlign w:val="center"/>
          </w:tcPr>
          <w:p w:rsidR="00C76219" w:rsidRPr="00A75DD1" w:rsidRDefault="00ED1A59" w:rsidP="000E432F">
            <w:pPr>
              <w:spacing w:line="220" w:lineRule="exact"/>
              <w:contextualSpacing/>
              <w:rPr>
                <w:rFonts w:cs="Calibri"/>
                <w:color w:val="auto"/>
                <w:sz w:val="18"/>
              </w:rPr>
            </w:pPr>
            <w:r w:rsidRPr="00A75DD1">
              <w:rPr>
                <w:rFonts w:cs="Calibri"/>
                <w:color w:val="auto"/>
                <w:sz w:val="18"/>
              </w:rPr>
              <w:t>10%</w:t>
            </w:r>
          </w:p>
        </w:tc>
        <w:tc>
          <w:tcPr>
            <w:tcW w:w="960" w:type="dxa"/>
            <w:tcBorders>
              <w:left w:val="single" w:sz="4" w:space="0" w:color="auto"/>
            </w:tcBorders>
            <w:shd w:val="clear" w:color="auto" w:fill="FFFFFF"/>
            <w:vAlign w:val="center"/>
          </w:tcPr>
          <w:p w:rsidR="00C76219" w:rsidRPr="00A75DD1" w:rsidRDefault="00ED1A59" w:rsidP="000E432F">
            <w:pPr>
              <w:spacing w:line="220" w:lineRule="exact"/>
              <w:contextualSpacing/>
              <w:rPr>
                <w:rFonts w:cs="Calibri"/>
                <w:color w:val="auto"/>
                <w:sz w:val="18"/>
              </w:rPr>
            </w:pPr>
            <w:r w:rsidRPr="00A75DD1">
              <w:rPr>
                <w:rFonts w:cs="Calibri"/>
                <w:color w:val="auto"/>
                <w:sz w:val="18"/>
              </w:rPr>
              <w:t>20030417</w:t>
            </w:r>
          </w:p>
        </w:tc>
      </w:tr>
      <w:tr w:rsidR="000E432F" w:rsidRPr="00A75DD1" w:rsidTr="000E432F">
        <w:trPr>
          <w:trHeight w:val="172"/>
        </w:trPr>
        <w:tc>
          <w:tcPr>
            <w:tcW w:w="3978" w:type="dxa"/>
            <w:gridSpan w:val="3"/>
            <w:vMerge/>
            <w:tcBorders>
              <w:right w:val="thinThickThinSmallGap" w:sz="24" w:space="0" w:color="auto"/>
            </w:tcBorders>
            <w:shd w:val="clear" w:color="auto" w:fill="FFFFFF"/>
            <w:vAlign w:val="center"/>
          </w:tcPr>
          <w:p w:rsidR="000E432F" w:rsidRPr="00A75DD1" w:rsidRDefault="000E432F" w:rsidP="000E432F">
            <w:pPr>
              <w:spacing w:line="220" w:lineRule="exact"/>
              <w:contextualSpacing/>
              <w:rPr>
                <w:rFonts w:cs="Calibri"/>
                <w:color w:val="auto"/>
                <w:sz w:val="18"/>
              </w:rPr>
            </w:pPr>
          </w:p>
        </w:tc>
        <w:tc>
          <w:tcPr>
            <w:tcW w:w="4406" w:type="dxa"/>
            <w:gridSpan w:val="3"/>
            <w:tcBorders>
              <w:left w:val="thinThickThinSmallGap" w:sz="24" w:space="0" w:color="auto"/>
              <w:right w:val="single" w:sz="4" w:space="0" w:color="auto"/>
            </w:tcBorders>
            <w:shd w:val="clear" w:color="auto" w:fill="FFFFFF"/>
            <w:vAlign w:val="center"/>
          </w:tcPr>
          <w:p w:rsidR="000E432F" w:rsidRPr="00A75DD1" w:rsidRDefault="000E432F" w:rsidP="000E432F">
            <w:pPr>
              <w:spacing w:line="220" w:lineRule="exact"/>
              <w:contextualSpacing/>
              <w:rPr>
                <w:rFonts w:cs="Calibri"/>
                <w:color w:val="auto"/>
                <w:sz w:val="18"/>
              </w:rPr>
            </w:pPr>
            <w:r w:rsidRPr="00A75DD1">
              <w:rPr>
                <w:color w:val="auto"/>
                <w:sz w:val="18"/>
              </w:rPr>
              <w:t>0% X 1 / Not Service Connected x 3</w:t>
            </w:r>
          </w:p>
        </w:tc>
        <w:tc>
          <w:tcPr>
            <w:tcW w:w="964" w:type="dxa"/>
            <w:tcBorders>
              <w:left w:val="single" w:sz="4" w:space="0" w:color="auto"/>
            </w:tcBorders>
            <w:shd w:val="clear" w:color="auto" w:fill="FFFFFF"/>
            <w:vAlign w:val="center"/>
          </w:tcPr>
          <w:p w:rsidR="000E432F" w:rsidRPr="00A75DD1" w:rsidRDefault="000E432F" w:rsidP="000E432F">
            <w:pPr>
              <w:spacing w:line="220" w:lineRule="exact"/>
              <w:contextualSpacing/>
              <w:rPr>
                <w:color w:val="auto"/>
                <w:sz w:val="18"/>
              </w:rPr>
            </w:pPr>
            <w:r w:rsidRPr="00A75DD1">
              <w:rPr>
                <w:color w:val="auto"/>
                <w:sz w:val="18"/>
              </w:rPr>
              <w:t>20030417</w:t>
            </w:r>
          </w:p>
        </w:tc>
      </w:tr>
      <w:tr w:rsidR="00AD2379" w:rsidRPr="00A75DD1" w:rsidTr="000E432F">
        <w:trPr>
          <w:trHeight w:val="124"/>
        </w:trPr>
        <w:tc>
          <w:tcPr>
            <w:tcW w:w="3978" w:type="dxa"/>
            <w:gridSpan w:val="3"/>
            <w:tcBorders>
              <w:right w:val="thinThickThinSmallGap" w:sz="24" w:space="0" w:color="auto"/>
            </w:tcBorders>
            <w:shd w:val="clear" w:color="auto" w:fill="D9D9D9"/>
          </w:tcPr>
          <w:p w:rsidR="00AD2379" w:rsidRPr="00A75DD1" w:rsidRDefault="00C76219" w:rsidP="000E432F">
            <w:pPr>
              <w:contextualSpacing/>
              <w:rPr>
                <w:rFonts w:cs="Calibri"/>
                <w:b/>
                <w:color w:val="auto"/>
                <w:sz w:val="18"/>
              </w:rPr>
            </w:pPr>
            <w:r w:rsidRPr="00A75DD1">
              <w:rPr>
                <w:b/>
                <w:color w:val="auto"/>
                <w:sz w:val="18"/>
              </w:rPr>
              <w:t>Combined:  1</w:t>
            </w:r>
            <w:r w:rsidR="00AD2379" w:rsidRPr="00A75DD1">
              <w:rPr>
                <w:b/>
                <w:color w:val="auto"/>
                <w:sz w:val="18"/>
              </w:rPr>
              <w:t>0%</w:t>
            </w:r>
          </w:p>
        </w:tc>
        <w:tc>
          <w:tcPr>
            <w:tcW w:w="5370" w:type="dxa"/>
            <w:gridSpan w:val="4"/>
            <w:tcBorders>
              <w:left w:val="thinThickThinSmallGap" w:sz="24" w:space="0" w:color="auto"/>
            </w:tcBorders>
            <w:shd w:val="clear" w:color="auto" w:fill="D9D9D9"/>
          </w:tcPr>
          <w:p w:rsidR="00AD2379" w:rsidRPr="00A75DD1" w:rsidRDefault="00ED1A59" w:rsidP="000E432F">
            <w:pPr>
              <w:contextualSpacing/>
              <w:rPr>
                <w:rFonts w:cs="Calibri"/>
                <w:b/>
                <w:color w:val="auto"/>
                <w:sz w:val="18"/>
              </w:rPr>
            </w:pPr>
            <w:r w:rsidRPr="00A75DD1">
              <w:rPr>
                <w:b/>
                <w:color w:val="auto"/>
                <w:sz w:val="18"/>
              </w:rPr>
              <w:t>Combined:  2</w:t>
            </w:r>
            <w:r w:rsidR="00AD2379" w:rsidRPr="00A75DD1">
              <w:rPr>
                <w:b/>
                <w:color w:val="auto"/>
                <w:sz w:val="18"/>
              </w:rPr>
              <w:t>0%</w:t>
            </w:r>
          </w:p>
        </w:tc>
      </w:tr>
    </w:tbl>
    <w:p w:rsidR="00AD2379" w:rsidRPr="00A75DD1" w:rsidRDefault="00AD2379" w:rsidP="0048396D">
      <w:pPr>
        <w:jc w:val="both"/>
        <w:rPr>
          <w:color w:val="auto"/>
        </w:rPr>
      </w:pPr>
    </w:p>
    <w:p w:rsidR="009E0FE1" w:rsidRDefault="009E0FE1">
      <w:pPr>
        <w:spacing w:line="240" w:lineRule="auto"/>
        <w:jc w:val="left"/>
        <w:rPr>
          <w:color w:val="000000"/>
          <w:u w:val="single"/>
        </w:rPr>
      </w:pPr>
      <w:r>
        <w:rPr>
          <w:color w:val="000000"/>
          <w:u w:val="single"/>
        </w:rPr>
        <w:br w:type="page"/>
      </w:r>
    </w:p>
    <w:p w:rsidR="00AD2379" w:rsidRPr="00726F84" w:rsidRDefault="00AD2379" w:rsidP="00726F84">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007D4158">
        <w:rPr>
          <w:color w:val="000000"/>
        </w:rPr>
        <w:t xml:space="preserve"> </w:t>
      </w:r>
    </w:p>
    <w:p w:rsidR="00AD2379" w:rsidRPr="001F29F9" w:rsidRDefault="00AD2379" w:rsidP="00B22D42">
      <w:pPr>
        <w:jc w:val="both"/>
        <w:rPr>
          <w:color w:val="000000"/>
          <w:highlight w:val="yellow"/>
        </w:rPr>
      </w:pPr>
    </w:p>
    <w:p w:rsidR="003F491E" w:rsidRPr="00A75DD1" w:rsidRDefault="004A7AC5" w:rsidP="003F491E">
      <w:pPr>
        <w:jc w:val="both"/>
        <w:rPr>
          <w:color w:val="auto"/>
          <w:szCs w:val="24"/>
        </w:rPr>
      </w:pPr>
      <w:proofErr w:type="gramStart"/>
      <w:r>
        <w:rPr>
          <w:color w:val="000000"/>
          <w:u w:val="single"/>
        </w:rPr>
        <w:t>Chronic right ankle pain c</w:t>
      </w:r>
      <w:r w:rsidR="00AD2379" w:rsidRPr="009A7578">
        <w:rPr>
          <w:color w:val="000000"/>
          <w:u w:val="single"/>
        </w:rPr>
        <w:t>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3F491E">
        <w:rPr>
          <w:color w:val="000000"/>
          <w:szCs w:val="24"/>
        </w:rPr>
        <w:t>The</w:t>
      </w:r>
      <w:r w:rsidR="003F491E" w:rsidRPr="00B652C3">
        <w:rPr>
          <w:color w:val="000000"/>
          <w:szCs w:val="24"/>
        </w:rPr>
        <w:t xml:space="preserve"> goniometric range</w:t>
      </w:r>
      <w:r w:rsidR="00654DA2">
        <w:rPr>
          <w:color w:val="000000"/>
          <w:szCs w:val="24"/>
        </w:rPr>
        <w:t>-</w:t>
      </w:r>
      <w:r w:rsidR="003F491E" w:rsidRPr="00B652C3">
        <w:rPr>
          <w:color w:val="000000"/>
          <w:szCs w:val="24"/>
        </w:rPr>
        <w:t>of</w:t>
      </w:r>
      <w:r w:rsidR="00654DA2">
        <w:rPr>
          <w:color w:val="000000"/>
          <w:szCs w:val="24"/>
        </w:rPr>
        <w:t>-</w:t>
      </w:r>
      <w:r w:rsidR="003F491E" w:rsidRPr="00B652C3">
        <w:rPr>
          <w:color w:val="000000"/>
          <w:szCs w:val="24"/>
        </w:rPr>
        <w:t>motion (ROM) evaluations in evidence</w:t>
      </w:r>
      <w:r w:rsidR="003F491E" w:rsidRPr="00E8268E">
        <w:rPr>
          <w:color w:val="000000"/>
          <w:szCs w:val="24"/>
        </w:rPr>
        <w:t xml:space="preserve"> </w:t>
      </w:r>
      <w:r w:rsidR="003F491E" w:rsidRPr="00B652C3">
        <w:rPr>
          <w:color w:val="000000"/>
          <w:szCs w:val="24"/>
        </w:rPr>
        <w:t xml:space="preserve">which the Board weighed in arriving </w:t>
      </w:r>
      <w:r w:rsidR="003F491E">
        <w:rPr>
          <w:color w:val="000000"/>
          <w:szCs w:val="24"/>
        </w:rPr>
        <w:t>at its rating recommendation</w:t>
      </w:r>
      <w:r w:rsidR="003F491E" w:rsidRPr="00B652C3">
        <w:rPr>
          <w:color w:val="000000"/>
          <w:szCs w:val="24"/>
        </w:rPr>
        <w:t xml:space="preserve">, with documentation of additional ratable criteria, </w:t>
      </w:r>
      <w:r w:rsidR="003F491E">
        <w:rPr>
          <w:color w:val="000000"/>
          <w:szCs w:val="24"/>
        </w:rPr>
        <w:t>are</w:t>
      </w:r>
      <w:r w:rsidR="003F491E" w:rsidRPr="00B652C3">
        <w:rPr>
          <w:color w:val="000000"/>
          <w:szCs w:val="24"/>
        </w:rPr>
        <w:t xml:space="preserve"> summarized in the chart below.</w:t>
      </w:r>
    </w:p>
    <w:p w:rsidR="00C81156" w:rsidRPr="00A75DD1" w:rsidRDefault="00C81156" w:rsidP="003F491E">
      <w:pPr>
        <w:jc w:val="both"/>
        <w:rPr>
          <w:color w:val="auto"/>
          <w:szCs w:val="24"/>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8"/>
        <w:gridCol w:w="2238"/>
        <w:gridCol w:w="2172"/>
        <w:gridCol w:w="2610"/>
      </w:tblGrid>
      <w:tr w:rsidR="002516D1" w:rsidRPr="00A75DD1" w:rsidTr="007D4158">
        <w:trPr>
          <w:trHeight w:val="467"/>
          <w:jc w:val="center"/>
        </w:trPr>
        <w:tc>
          <w:tcPr>
            <w:tcW w:w="2238" w:type="dxa"/>
            <w:shd w:val="clear" w:color="auto" w:fill="D9D9D9" w:themeFill="background1" w:themeFillShade="D9"/>
            <w:vAlign w:val="center"/>
          </w:tcPr>
          <w:p w:rsidR="002516D1" w:rsidRPr="00A75DD1" w:rsidRDefault="002516D1" w:rsidP="00272436">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Right Ankle ROM (measurements in degrees)</w:t>
            </w:r>
          </w:p>
        </w:tc>
        <w:tc>
          <w:tcPr>
            <w:tcW w:w="2238" w:type="dxa"/>
            <w:shd w:val="clear" w:color="auto" w:fill="D9D9D9" w:themeFill="background1" w:themeFillShade="D9"/>
            <w:vAlign w:val="center"/>
          </w:tcPr>
          <w:p w:rsidR="002516D1" w:rsidRPr="00A75DD1" w:rsidRDefault="002516D1" w:rsidP="00C96776">
            <w:pPr>
              <w:spacing w:line="220" w:lineRule="exact"/>
              <w:contextualSpacing/>
              <w:rPr>
                <w:rFonts w:asciiTheme="majorHAnsi" w:hAnsiTheme="majorHAnsi" w:cstheme="majorHAnsi"/>
                <w:color w:val="auto"/>
                <w:sz w:val="18"/>
                <w:szCs w:val="18"/>
              </w:rPr>
            </w:pPr>
            <w:r w:rsidRPr="00A75DD1">
              <w:rPr>
                <w:rFonts w:asciiTheme="majorHAnsi" w:hAnsiTheme="majorHAnsi" w:cstheme="majorHAnsi"/>
                <w:color w:val="auto"/>
                <w:sz w:val="18"/>
                <w:szCs w:val="18"/>
              </w:rPr>
              <w:t>PT ~18 Mo Pre-Sep</w:t>
            </w:r>
          </w:p>
        </w:tc>
        <w:tc>
          <w:tcPr>
            <w:tcW w:w="2172" w:type="dxa"/>
            <w:shd w:val="clear" w:color="auto" w:fill="D9D9D9" w:themeFill="background1" w:themeFillShade="D9"/>
            <w:vAlign w:val="center"/>
          </w:tcPr>
          <w:p w:rsidR="00434670" w:rsidRPr="00A75DD1" w:rsidRDefault="002516D1" w:rsidP="00C96776">
            <w:pPr>
              <w:spacing w:line="220" w:lineRule="exact"/>
              <w:contextualSpacing/>
              <w:rPr>
                <w:rFonts w:asciiTheme="majorHAnsi" w:hAnsiTheme="majorHAnsi" w:cstheme="majorHAnsi"/>
                <w:color w:val="auto"/>
                <w:sz w:val="18"/>
                <w:szCs w:val="18"/>
              </w:rPr>
            </w:pPr>
            <w:r w:rsidRPr="00A75DD1">
              <w:rPr>
                <w:rFonts w:asciiTheme="majorHAnsi" w:hAnsiTheme="majorHAnsi" w:cstheme="majorHAnsi"/>
                <w:color w:val="auto"/>
                <w:sz w:val="18"/>
                <w:szCs w:val="18"/>
              </w:rPr>
              <w:t>MEB ~5 Mo. Pre-Sep</w:t>
            </w:r>
          </w:p>
        </w:tc>
        <w:tc>
          <w:tcPr>
            <w:tcW w:w="2610" w:type="dxa"/>
            <w:shd w:val="clear" w:color="auto" w:fill="D9D9D9" w:themeFill="background1" w:themeFillShade="D9"/>
            <w:vAlign w:val="center"/>
          </w:tcPr>
          <w:p w:rsidR="002516D1" w:rsidRPr="00A75DD1" w:rsidRDefault="002516D1" w:rsidP="00C96776">
            <w:pPr>
              <w:spacing w:line="220" w:lineRule="exact"/>
              <w:contextualSpacing/>
              <w:rPr>
                <w:rFonts w:asciiTheme="majorHAnsi" w:hAnsiTheme="majorHAnsi" w:cstheme="majorHAnsi"/>
                <w:color w:val="auto"/>
                <w:sz w:val="18"/>
                <w:szCs w:val="18"/>
              </w:rPr>
            </w:pPr>
            <w:r w:rsidRPr="00A75DD1">
              <w:rPr>
                <w:rFonts w:asciiTheme="majorHAnsi" w:hAnsiTheme="majorHAnsi" w:cstheme="majorHAnsi"/>
                <w:color w:val="auto"/>
                <w:sz w:val="18"/>
                <w:szCs w:val="18"/>
              </w:rPr>
              <w:t>VA C&amp;P ~</w:t>
            </w:r>
            <w:r w:rsidR="007D4158" w:rsidRPr="00A75DD1">
              <w:rPr>
                <w:rFonts w:asciiTheme="majorHAnsi" w:hAnsiTheme="majorHAnsi" w:cstheme="majorHAnsi"/>
                <w:color w:val="auto"/>
                <w:sz w:val="18"/>
                <w:szCs w:val="18"/>
              </w:rPr>
              <w:t>3</w:t>
            </w:r>
            <w:r w:rsidRPr="00A75DD1">
              <w:rPr>
                <w:rFonts w:asciiTheme="majorHAnsi" w:hAnsiTheme="majorHAnsi" w:cstheme="majorHAnsi"/>
                <w:color w:val="auto"/>
                <w:sz w:val="18"/>
                <w:szCs w:val="18"/>
              </w:rPr>
              <w:t xml:space="preserve"> Mo. Post-Sep</w:t>
            </w:r>
          </w:p>
        </w:tc>
      </w:tr>
      <w:tr w:rsidR="002516D1" w:rsidRPr="00A75DD1" w:rsidTr="007D4158">
        <w:trPr>
          <w:jc w:val="center"/>
        </w:trPr>
        <w:tc>
          <w:tcPr>
            <w:tcW w:w="2238" w:type="dxa"/>
            <w:vAlign w:val="center"/>
          </w:tcPr>
          <w:p w:rsidR="002516D1" w:rsidRPr="00A75DD1" w:rsidRDefault="002516D1" w:rsidP="00272436">
            <w:pPr>
              <w:spacing w:line="220" w:lineRule="exact"/>
              <w:contextualSpacing/>
              <w:rPr>
                <w:rFonts w:asciiTheme="majorHAnsi" w:eastAsia="Calibri" w:hAnsiTheme="majorHAnsi" w:cstheme="majorHAnsi"/>
                <w:color w:val="auto"/>
                <w:sz w:val="18"/>
                <w:szCs w:val="18"/>
              </w:rPr>
            </w:pPr>
            <w:proofErr w:type="spellStart"/>
            <w:r w:rsidRPr="00A75DD1">
              <w:rPr>
                <w:rFonts w:asciiTheme="majorHAnsi" w:eastAsia="Calibri" w:hAnsiTheme="majorHAnsi" w:cstheme="majorHAnsi"/>
                <w:color w:val="auto"/>
                <w:sz w:val="18"/>
                <w:szCs w:val="18"/>
              </w:rPr>
              <w:t>Dorsiflexion</w:t>
            </w:r>
            <w:proofErr w:type="spellEnd"/>
            <w:r w:rsidRPr="00A75DD1">
              <w:rPr>
                <w:rFonts w:asciiTheme="majorHAnsi" w:eastAsia="Calibri" w:hAnsiTheme="majorHAnsi" w:cstheme="majorHAnsi"/>
                <w:color w:val="auto"/>
                <w:sz w:val="18"/>
                <w:szCs w:val="18"/>
              </w:rPr>
              <w:t xml:space="preserve"> (0-20)</w:t>
            </w:r>
          </w:p>
        </w:tc>
        <w:tc>
          <w:tcPr>
            <w:tcW w:w="2238" w:type="dxa"/>
            <w:vAlign w:val="center"/>
          </w:tcPr>
          <w:p w:rsidR="002516D1" w:rsidRPr="00A75DD1" w:rsidRDefault="002516D1" w:rsidP="00ED1D7B">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0</w:t>
            </w:r>
          </w:p>
        </w:tc>
        <w:tc>
          <w:tcPr>
            <w:tcW w:w="2172" w:type="dxa"/>
            <w:vAlign w:val="center"/>
          </w:tcPr>
          <w:p w:rsidR="002516D1" w:rsidRPr="00A75DD1" w:rsidRDefault="002516D1" w:rsidP="001B35F2">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Lacks 5</w:t>
            </w:r>
          </w:p>
        </w:tc>
        <w:tc>
          <w:tcPr>
            <w:tcW w:w="2610" w:type="dxa"/>
            <w:vAlign w:val="center"/>
          </w:tcPr>
          <w:p w:rsidR="002516D1" w:rsidRPr="00A75DD1" w:rsidRDefault="002516D1" w:rsidP="00272436">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15</w:t>
            </w:r>
          </w:p>
        </w:tc>
      </w:tr>
      <w:tr w:rsidR="002516D1" w:rsidRPr="00A75DD1" w:rsidTr="007D4158">
        <w:trPr>
          <w:jc w:val="center"/>
        </w:trPr>
        <w:tc>
          <w:tcPr>
            <w:tcW w:w="2238" w:type="dxa"/>
            <w:vAlign w:val="center"/>
          </w:tcPr>
          <w:p w:rsidR="002516D1" w:rsidRPr="00A75DD1" w:rsidRDefault="002516D1" w:rsidP="00272436">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Plantar Flexion (0-45)</w:t>
            </w:r>
          </w:p>
        </w:tc>
        <w:tc>
          <w:tcPr>
            <w:tcW w:w="2238" w:type="dxa"/>
            <w:vAlign w:val="center"/>
          </w:tcPr>
          <w:p w:rsidR="002516D1" w:rsidRPr="00A75DD1" w:rsidRDefault="002516D1" w:rsidP="00ED1D7B">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45</w:t>
            </w:r>
          </w:p>
        </w:tc>
        <w:tc>
          <w:tcPr>
            <w:tcW w:w="2172" w:type="dxa"/>
            <w:vAlign w:val="center"/>
          </w:tcPr>
          <w:p w:rsidR="002516D1" w:rsidRPr="00A75DD1" w:rsidRDefault="002516D1" w:rsidP="001B35F2">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50</w:t>
            </w:r>
          </w:p>
        </w:tc>
        <w:tc>
          <w:tcPr>
            <w:tcW w:w="2610" w:type="dxa"/>
            <w:vAlign w:val="center"/>
          </w:tcPr>
          <w:p w:rsidR="002516D1" w:rsidRPr="00A75DD1" w:rsidRDefault="002516D1" w:rsidP="00272436">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35</w:t>
            </w:r>
          </w:p>
        </w:tc>
      </w:tr>
      <w:tr w:rsidR="002516D1" w:rsidRPr="00A75DD1" w:rsidTr="007D4158">
        <w:trPr>
          <w:jc w:val="center"/>
        </w:trPr>
        <w:tc>
          <w:tcPr>
            <w:tcW w:w="2238" w:type="dxa"/>
            <w:vAlign w:val="center"/>
          </w:tcPr>
          <w:p w:rsidR="002516D1" w:rsidRPr="00A75DD1" w:rsidRDefault="002516D1" w:rsidP="00F904E1">
            <w:pPr>
              <w:spacing w:line="220" w:lineRule="exact"/>
              <w:contextualSpacing/>
              <w:rPr>
                <w:rFonts w:asciiTheme="majorHAnsi" w:eastAsia="Calibri" w:hAnsiTheme="majorHAnsi" w:cstheme="majorHAnsi"/>
                <w:color w:val="auto"/>
                <w:sz w:val="18"/>
                <w:szCs w:val="18"/>
              </w:rPr>
            </w:pPr>
            <w:r w:rsidRPr="00A75DD1">
              <w:rPr>
                <w:rFonts w:asciiTheme="majorHAnsi" w:eastAsia="Calibri" w:hAnsiTheme="majorHAnsi" w:cstheme="majorHAnsi"/>
                <w:color w:val="auto"/>
                <w:sz w:val="18"/>
                <w:szCs w:val="18"/>
              </w:rPr>
              <w:t>Inversion</w:t>
            </w:r>
          </w:p>
        </w:tc>
        <w:tc>
          <w:tcPr>
            <w:tcW w:w="2238" w:type="dxa"/>
            <w:vAlign w:val="center"/>
          </w:tcPr>
          <w:p w:rsidR="002516D1" w:rsidRPr="00A75DD1" w:rsidRDefault="002516D1" w:rsidP="00F904E1">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30</w:t>
            </w:r>
          </w:p>
        </w:tc>
        <w:tc>
          <w:tcPr>
            <w:tcW w:w="2172" w:type="dxa"/>
            <w:vAlign w:val="center"/>
          </w:tcPr>
          <w:p w:rsidR="002516D1" w:rsidRPr="00A75DD1" w:rsidRDefault="002516D1" w:rsidP="00F904E1">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15</w:t>
            </w:r>
          </w:p>
        </w:tc>
        <w:tc>
          <w:tcPr>
            <w:tcW w:w="2610" w:type="dxa"/>
            <w:vAlign w:val="center"/>
          </w:tcPr>
          <w:p w:rsidR="002516D1" w:rsidRPr="00A75DD1" w:rsidRDefault="002516D1" w:rsidP="00F904E1">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20</w:t>
            </w:r>
          </w:p>
        </w:tc>
      </w:tr>
      <w:tr w:rsidR="002516D1" w:rsidRPr="00A75DD1" w:rsidTr="007D4158">
        <w:trPr>
          <w:jc w:val="center"/>
        </w:trPr>
        <w:tc>
          <w:tcPr>
            <w:tcW w:w="2238" w:type="dxa"/>
            <w:vAlign w:val="center"/>
          </w:tcPr>
          <w:p w:rsidR="002516D1" w:rsidRPr="00A75DD1" w:rsidRDefault="002516D1" w:rsidP="00F904E1">
            <w:pPr>
              <w:spacing w:line="220" w:lineRule="exact"/>
              <w:contextualSpacing/>
              <w:rPr>
                <w:rFonts w:asciiTheme="majorHAnsi" w:eastAsia="Calibri" w:hAnsiTheme="majorHAnsi" w:cstheme="majorHAnsi"/>
                <w:color w:val="auto"/>
                <w:sz w:val="18"/>
                <w:szCs w:val="18"/>
              </w:rPr>
            </w:pPr>
            <w:proofErr w:type="spellStart"/>
            <w:r w:rsidRPr="00A75DD1">
              <w:rPr>
                <w:rFonts w:asciiTheme="majorHAnsi" w:eastAsia="Calibri" w:hAnsiTheme="majorHAnsi" w:cstheme="majorHAnsi"/>
                <w:color w:val="auto"/>
                <w:sz w:val="18"/>
                <w:szCs w:val="18"/>
              </w:rPr>
              <w:t>Eversion</w:t>
            </w:r>
            <w:proofErr w:type="spellEnd"/>
          </w:p>
        </w:tc>
        <w:tc>
          <w:tcPr>
            <w:tcW w:w="2238" w:type="dxa"/>
            <w:vAlign w:val="center"/>
          </w:tcPr>
          <w:p w:rsidR="002516D1" w:rsidRPr="00A75DD1" w:rsidRDefault="002516D1" w:rsidP="00F904E1">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15</w:t>
            </w:r>
          </w:p>
        </w:tc>
        <w:tc>
          <w:tcPr>
            <w:tcW w:w="2172" w:type="dxa"/>
            <w:vAlign w:val="center"/>
          </w:tcPr>
          <w:p w:rsidR="002516D1" w:rsidRPr="00A75DD1" w:rsidRDefault="002516D1" w:rsidP="00F904E1">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10</w:t>
            </w:r>
          </w:p>
        </w:tc>
        <w:tc>
          <w:tcPr>
            <w:tcW w:w="2610" w:type="dxa"/>
            <w:vAlign w:val="center"/>
          </w:tcPr>
          <w:p w:rsidR="002516D1" w:rsidRPr="00A75DD1" w:rsidRDefault="002516D1" w:rsidP="00F904E1">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10</w:t>
            </w:r>
          </w:p>
        </w:tc>
      </w:tr>
      <w:tr w:rsidR="002516D1" w:rsidRPr="00A75DD1" w:rsidTr="007D4158">
        <w:trPr>
          <w:jc w:val="center"/>
        </w:trPr>
        <w:tc>
          <w:tcPr>
            <w:tcW w:w="2238" w:type="dxa"/>
            <w:vAlign w:val="center"/>
          </w:tcPr>
          <w:p w:rsidR="002516D1" w:rsidRPr="00A75DD1" w:rsidRDefault="002516D1" w:rsidP="003C38B5">
            <w:pPr>
              <w:tabs>
                <w:tab w:val="left" w:pos="288"/>
                <w:tab w:val="left" w:pos="4752"/>
              </w:tabs>
              <w:spacing w:line="220" w:lineRule="exact"/>
              <w:rPr>
                <w:rFonts w:asciiTheme="majorHAnsi" w:eastAsiaTheme="minorHAnsi" w:hAnsiTheme="majorHAnsi" w:cstheme="majorHAnsi"/>
                <w:color w:val="auto"/>
                <w:sz w:val="18"/>
                <w:szCs w:val="18"/>
              </w:rPr>
            </w:pPr>
            <w:r w:rsidRPr="00A75DD1">
              <w:rPr>
                <w:rFonts w:asciiTheme="majorHAnsi" w:eastAsiaTheme="minorHAnsi" w:hAnsiTheme="majorHAnsi" w:cstheme="majorHAnsi"/>
                <w:color w:val="auto"/>
                <w:sz w:val="18"/>
                <w:szCs w:val="18"/>
              </w:rPr>
              <w:t>Comment</w:t>
            </w:r>
            <w:r w:rsidR="00F904E1" w:rsidRPr="00A75DD1">
              <w:rPr>
                <w:rFonts w:asciiTheme="majorHAnsi" w:eastAsiaTheme="minorHAnsi" w:hAnsiTheme="majorHAnsi" w:cstheme="majorHAnsi"/>
                <w:color w:val="auto"/>
                <w:sz w:val="18"/>
                <w:szCs w:val="18"/>
              </w:rPr>
              <w:t xml:space="preserve">: </w:t>
            </w:r>
          </w:p>
        </w:tc>
        <w:tc>
          <w:tcPr>
            <w:tcW w:w="2238" w:type="dxa"/>
            <w:vAlign w:val="center"/>
          </w:tcPr>
          <w:p w:rsidR="002516D1" w:rsidRPr="00A75DD1" w:rsidRDefault="00F904E1" w:rsidP="00ED1D7B">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 xml:space="preserve">Gait normal; diffuse tender; </w:t>
            </w:r>
          </w:p>
        </w:tc>
        <w:tc>
          <w:tcPr>
            <w:tcW w:w="2172" w:type="dxa"/>
            <w:vAlign w:val="center"/>
          </w:tcPr>
          <w:p w:rsidR="002516D1" w:rsidRPr="00A75DD1" w:rsidRDefault="00F904E1" w:rsidP="00434670">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P</w:t>
            </w:r>
            <w:r w:rsidR="00441334" w:rsidRPr="00A75DD1">
              <w:rPr>
                <w:rFonts w:asciiTheme="majorHAnsi" w:eastAsia="Calibri" w:hAnsiTheme="majorHAnsi" w:cstheme="majorHAnsi"/>
                <w:sz w:val="18"/>
                <w:szCs w:val="18"/>
              </w:rPr>
              <w:t xml:space="preserve">ain with </w:t>
            </w:r>
            <w:proofErr w:type="spellStart"/>
            <w:r w:rsidR="00441334" w:rsidRPr="00A75DD1">
              <w:rPr>
                <w:rFonts w:asciiTheme="majorHAnsi" w:eastAsia="Calibri" w:hAnsiTheme="majorHAnsi" w:cstheme="majorHAnsi"/>
                <w:sz w:val="18"/>
                <w:szCs w:val="18"/>
              </w:rPr>
              <w:t>dorsiflexion</w:t>
            </w:r>
            <w:proofErr w:type="spellEnd"/>
          </w:p>
        </w:tc>
        <w:tc>
          <w:tcPr>
            <w:tcW w:w="2610" w:type="dxa"/>
            <w:vAlign w:val="center"/>
          </w:tcPr>
          <w:p w:rsidR="002516D1" w:rsidRPr="00A75DD1" w:rsidRDefault="00441334" w:rsidP="00441334">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Gait normal; tender anterior ankle; tender well healed scar</w:t>
            </w:r>
            <w:r w:rsidR="00F904E1" w:rsidRPr="00A75DD1">
              <w:rPr>
                <w:rFonts w:asciiTheme="majorHAnsi" w:eastAsia="Calibri" w:hAnsiTheme="majorHAnsi" w:cstheme="majorHAnsi"/>
                <w:sz w:val="18"/>
                <w:szCs w:val="18"/>
              </w:rPr>
              <w:t>; can stand on toes and heels</w:t>
            </w:r>
          </w:p>
        </w:tc>
      </w:tr>
      <w:tr w:rsidR="002516D1" w:rsidRPr="00A75DD1" w:rsidTr="007D4158">
        <w:trPr>
          <w:jc w:val="center"/>
        </w:trPr>
        <w:tc>
          <w:tcPr>
            <w:tcW w:w="2238" w:type="dxa"/>
            <w:vAlign w:val="center"/>
          </w:tcPr>
          <w:p w:rsidR="002516D1" w:rsidRPr="00A75DD1" w:rsidRDefault="002516D1" w:rsidP="003C38B5">
            <w:pPr>
              <w:tabs>
                <w:tab w:val="left" w:pos="288"/>
                <w:tab w:val="left" w:pos="4752"/>
              </w:tabs>
              <w:spacing w:line="220" w:lineRule="exact"/>
              <w:rPr>
                <w:rFonts w:asciiTheme="majorHAnsi" w:eastAsiaTheme="minorHAnsi" w:hAnsiTheme="majorHAnsi" w:cstheme="majorHAnsi"/>
                <w:color w:val="auto"/>
                <w:sz w:val="18"/>
                <w:szCs w:val="18"/>
              </w:rPr>
            </w:pPr>
            <w:r w:rsidRPr="00A75DD1">
              <w:rPr>
                <w:rFonts w:asciiTheme="majorHAnsi" w:eastAsiaTheme="minorHAnsi" w:hAnsiTheme="majorHAnsi" w:cstheme="majorHAnsi"/>
                <w:color w:val="auto"/>
                <w:sz w:val="18"/>
                <w:szCs w:val="18"/>
              </w:rPr>
              <w:t>§4.71a Rating</w:t>
            </w:r>
          </w:p>
        </w:tc>
        <w:tc>
          <w:tcPr>
            <w:tcW w:w="2238" w:type="dxa"/>
            <w:vAlign w:val="center"/>
          </w:tcPr>
          <w:p w:rsidR="002516D1" w:rsidRPr="00A75DD1" w:rsidRDefault="00F904E1" w:rsidP="00ED1D7B">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20</w:t>
            </w:r>
            <w:r w:rsidR="002516D1" w:rsidRPr="00A75DD1">
              <w:rPr>
                <w:rFonts w:asciiTheme="majorHAnsi" w:eastAsia="Calibri" w:hAnsiTheme="majorHAnsi" w:cstheme="majorHAnsi"/>
                <w:sz w:val="18"/>
                <w:szCs w:val="18"/>
              </w:rPr>
              <w:t>%</w:t>
            </w:r>
          </w:p>
        </w:tc>
        <w:tc>
          <w:tcPr>
            <w:tcW w:w="2172" w:type="dxa"/>
            <w:vAlign w:val="center"/>
          </w:tcPr>
          <w:p w:rsidR="002516D1" w:rsidRPr="00A75DD1" w:rsidRDefault="00F904E1" w:rsidP="001B35F2">
            <w:pPr>
              <w:pStyle w:val="ListParagraph"/>
              <w:spacing w:after="0" w:line="220" w:lineRule="exact"/>
              <w:ind w:left="0"/>
              <w:rPr>
                <w:rFonts w:asciiTheme="majorHAnsi" w:eastAsia="Calibri" w:hAnsiTheme="majorHAnsi" w:cstheme="majorHAnsi"/>
                <w:sz w:val="18"/>
                <w:szCs w:val="18"/>
              </w:rPr>
            </w:pPr>
            <w:r w:rsidRPr="00A75DD1">
              <w:rPr>
                <w:rFonts w:asciiTheme="majorHAnsi" w:eastAsia="Calibri" w:hAnsiTheme="majorHAnsi" w:cstheme="majorHAnsi"/>
                <w:sz w:val="18"/>
                <w:szCs w:val="18"/>
              </w:rPr>
              <w:t>10</w:t>
            </w:r>
            <w:r w:rsidR="002516D1" w:rsidRPr="00A75DD1">
              <w:rPr>
                <w:rFonts w:asciiTheme="majorHAnsi" w:eastAsia="Calibri" w:hAnsiTheme="majorHAnsi" w:cstheme="majorHAnsi"/>
                <w:sz w:val="18"/>
                <w:szCs w:val="18"/>
              </w:rPr>
              <w:t>%</w:t>
            </w:r>
          </w:p>
        </w:tc>
        <w:tc>
          <w:tcPr>
            <w:tcW w:w="2610" w:type="dxa"/>
            <w:vAlign w:val="center"/>
          </w:tcPr>
          <w:p w:rsidR="002516D1" w:rsidRPr="00A75DD1" w:rsidRDefault="00441334" w:rsidP="003C38B5">
            <w:pPr>
              <w:pStyle w:val="ListParagraph"/>
              <w:spacing w:after="0" w:line="220" w:lineRule="exact"/>
              <w:ind w:left="0"/>
              <w:rPr>
                <w:rFonts w:asciiTheme="majorHAnsi" w:eastAsia="Calibri" w:hAnsiTheme="majorHAnsi" w:cstheme="majorHAnsi"/>
                <w:sz w:val="18"/>
                <w:szCs w:val="18"/>
                <w:highlight w:val="lightGray"/>
              </w:rPr>
            </w:pPr>
            <w:r w:rsidRPr="00A75DD1">
              <w:rPr>
                <w:rFonts w:asciiTheme="majorHAnsi" w:eastAsia="Calibri" w:hAnsiTheme="majorHAnsi" w:cstheme="majorHAnsi"/>
                <w:sz w:val="18"/>
                <w:szCs w:val="18"/>
              </w:rPr>
              <w:t>10</w:t>
            </w:r>
            <w:r w:rsidR="002516D1" w:rsidRPr="00A75DD1">
              <w:rPr>
                <w:rFonts w:asciiTheme="majorHAnsi" w:eastAsia="Calibri" w:hAnsiTheme="majorHAnsi" w:cstheme="majorHAnsi"/>
                <w:sz w:val="18"/>
                <w:szCs w:val="18"/>
              </w:rPr>
              <w:t>%</w:t>
            </w:r>
          </w:p>
        </w:tc>
      </w:tr>
    </w:tbl>
    <w:p w:rsidR="00CF0280" w:rsidRPr="00A75DD1" w:rsidRDefault="00CF0280" w:rsidP="0069687C">
      <w:pPr>
        <w:jc w:val="both"/>
        <w:rPr>
          <w:color w:val="auto"/>
          <w:szCs w:val="24"/>
        </w:rPr>
      </w:pPr>
    </w:p>
    <w:p w:rsidR="00F904E1" w:rsidRDefault="00F904E1" w:rsidP="00F904E1">
      <w:pPr>
        <w:jc w:val="both"/>
        <w:rPr>
          <w:color w:val="000000"/>
        </w:rPr>
      </w:pPr>
      <w:r>
        <w:rPr>
          <w:color w:val="000000"/>
        </w:rPr>
        <w:t xml:space="preserve">The narrative summary (NARSUM) indicated the initial right ankle fracture in May 2000 required surgery of open reduction and internal fixation (ORIF).  Subsequent re-injury the following year did not require additional surgery.  Radiographs showed retained endplate and multiple screws in the distal fibula and medial </w:t>
      </w:r>
      <w:proofErr w:type="spellStart"/>
      <w:r>
        <w:rPr>
          <w:color w:val="000000"/>
        </w:rPr>
        <w:t>malleolus</w:t>
      </w:r>
      <w:proofErr w:type="spellEnd"/>
      <w:r>
        <w:rPr>
          <w:color w:val="000000"/>
        </w:rPr>
        <w:t xml:space="preserve">.  </w:t>
      </w:r>
      <w:r w:rsidRPr="00F904E1">
        <w:rPr>
          <w:color w:val="000000"/>
        </w:rPr>
        <w:t>Post</w:t>
      </w:r>
      <w:r w:rsidR="00A84638">
        <w:rPr>
          <w:color w:val="000000"/>
        </w:rPr>
        <w:t>-</w:t>
      </w:r>
      <w:r w:rsidRPr="00F904E1">
        <w:rPr>
          <w:color w:val="000000"/>
        </w:rPr>
        <w:t xml:space="preserve">surgical </w:t>
      </w:r>
      <w:proofErr w:type="spellStart"/>
      <w:r w:rsidRPr="00F904E1">
        <w:rPr>
          <w:color w:val="000000"/>
        </w:rPr>
        <w:t>arthrogram</w:t>
      </w:r>
      <w:proofErr w:type="spellEnd"/>
      <w:r w:rsidRPr="00F904E1">
        <w:rPr>
          <w:color w:val="000000"/>
        </w:rPr>
        <w:t xml:space="preserve"> was </w:t>
      </w:r>
      <w:r w:rsidRPr="009E0FE1">
        <w:rPr>
          <w:color w:val="000000"/>
        </w:rPr>
        <w:t>negative.  Exam</w:t>
      </w:r>
      <w:r>
        <w:rPr>
          <w:color w:val="000000"/>
        </w:rPr>
        <w:t xml:space="preserve"> demonstrated painful and limited ankle ROM as charted above.  </w:t>
      </w:r>
    </w:p>
    <w:p w:rsidR="00F904E1" w:rsidRDefault="00F904E1" w:rsidP="00F904E1">
      <w:pPr>
        <w:jc w:val="both"/>
        <w:rPr>
          <w:color w:val="000000"/>
        </w:rPr>
      </w:pPr>
    </w:p>
    <w:p w:rsidR="00F904E1" w:rsidRDefault="00F904E1" w:rsidP="00F904E1">
      <w:pPr>
        <w:jc w:val="both"/>
        <w:rPr>
          <w:color w:val="000000"/>
          <w:szCs w:val="24"/>
        </w:rPr>
      </w:pPr>
      <w:r>
        <w:rPr>
          <w:color w:val="000000"/>
          <w:szCs w:val="24"/>
        </w:rPr>
        <w:t xml:space="preserve">VA </w:t>
      </w:r>
      <w:r w:rsidRPr="00CF0280">
        <w:rPr>
          <w:color w:val="000000"/>
          <w:szCs w:val="24"/>
        </w:rPr>
        <w:t>Compensation and Pension (C&amp;P)</w:t>
      </w:r>
      <w:r>
        <w:rPr>
          <w:color w:val="000000"/>
          <w:szCs w:val="24"/>
        </w:rPr>
        <w:t xml:space="preserve"> </w:t>
      </w:r>
      <w:r w:rsidRPr="00C96776">
        <w:rPr>
          <w:color w:val="000000"/>
          <w:szCs w:val="24"/>
        </w:rPr>
        <w:t>exam (3 months</w:t>
      </w:r>
      <w:r w:rsidRPr="00704463">
        <w:rPr>
          <w:color w:val="000000"/>
          <w:szCs w:val="24"/>
        </w:rPr>
        <w:t xml:space="preserve"> </w:t>
      </w:r>
      <w:r>
        <w:rPr>
          <w:color w:val="000000"/>
          <w:szCs w:val="24"/>
        </w:rPr>
        <w:t>post</w:t>
      </w:r>
      <w:r w:rsidRPr="00704463">
        <w:rPr>
          <w:color w:val="000000"/>
          <w:szCs w:val="24"/>
        </w:rPr>
        <w:t>-separation</w:t>
      </w:r>
      <w:r>
        <w:rPr>
          <w:color w:val="000000"/>
          <w:szCs w:val="24"/>
        </w:rPr>
        <w:t xml:space="preserve">) </w:t>
      </w:r>
      <w:r w:rsidR="004546BF">
        <w:rPr>
          <w:color w:val="000000"/>
          <w:szCs w:val="24"/>
        </w:rPr>
        <w:t xml:space="preserve">indicated tenderness and limited ROMs as summarized above.  Radiographs indicated retained hardware and no significant osseous abnormality.  </w:t>
      </w:r>
    </w:p>
    <w:p w:rsidR="00F904E1" w:rsidRDefault="00F904E1" w:rsidP="00F904E1">
      <w:pPr>
        <w:jc w:val="both"/>
        <w:rPr>
          <w:color w:val="000000"/>
          <w:szCs w:val="24"/>
        </w:rPr>
      </w:pPr>
    </w:p>
    <w:p w:rsidR="00417999" w:rsidRDefault="00AD2379" w:rsidP="00FB00AD">
      <w:pPr>
        <w:tabs>
          <w:tab w:val="left" w:pos="288"/>
          <w:tab w:val="left" w:pos="4752"/>
        </w:tabs>
        <w:jc w:val="both"/>
        <w:rPr>
          <w:rFonts w:cs="Times New Roman"/>
          <w:color w:val="auto"/>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4546BF">
        <w:rPr>
          <w:rFonts w:cs="Times New Roman"/>
          <w:color w:val="auto"/>
        </w:rPr>
        <w:t xml:space="preserve">The PEB coded the ankle analogously to 5003 </w:t>
      </w:r>
      <w:r w:rsidR="0051776D">
        <w:rPr>
          <w:rFonts w:cs="Times New Roman"/>
          <w:color w:val="auto"/>
        </w:rPr>
        <w:t>(</w:t>
      </w:r>
      <w:r w:rsidR="0051776D" w:rsidRPr="0051776D">
        <w:rPr>
          <w:rFonts w:cs="Times New Roman"/>
          <w:color w:val="auto"/>
        </w:rPr>
        <w:t>Arthritis, degenerative [hypertrophic or osteoarthritis]</w:t>
      </w:r>
      <w:r w:rsidR="0051776D">
        <w:rPr>
          <w:rFonts w:cs="Times New Roman"/>
          <w:color w:val="auto"/>
        </w:rPr>
        <w:t xml:space="preserve">) </w:t>
      </w:r>
      <w:r w:rsidR="004546BF">
        <w:rPr>
          <w:rFonts w:cs="Times New Roman"/>
          <w:color w:val="auto"/>
        </w:rPr>
        <w:t xml:space="preserve">with application of the USAPDA pain policy and the VA rated the ankle at 10% coded 5271 </w:t>
      </w:r>
      <w:r w:rsidR="0051776D">
        <w:rPr>
          <w:rFonts w:cs="Times New Roman"/>
          <w:color w:val="auto"/>
        </w:rPr>
        <w:t>(</w:t>
      </w:r>
      <w:r w:rsidR="0051776D" w:rsidRPr="0051776D">
        <w:rPr>
          <w:rFonts w:cs="Times New Roman"/>
          <w:color w:val="auto"/>
        </w:rPr>
        <w:t>Ankle, limited motion</w:t>
      </w:r>
      <w:r w:rsidR="0051776D">
        <w:rPr>
          <w:rFonts w:cs="Times New Roman"/>
          <w:color w:val="auto"/>
        </w:rPr>
        <w:t xml:space="preserve">) at 10% (moderate).  </w:t>
      </w:r>
      <w:r w:rsidR="004546BF">
        <w:rPr>
          <w:rFonts w:cs="Times New Roman"/>
          <w:color w:val="auto"/>
        </w:rPr>
        <w:t>The exam specified pain-limited motion which would warrant a 10% rating IAW VASRD §4.59 (painful motion)</w:t>
      </w:r>
      <w:r w:rsidR="0051776D">
        <w:rPr>
          <w:rFonts w:cs="Times New Roman"/>
          <w:color w:val="auto"/>
        </w:rPr>
        <w:t xml:space="preserve">.  All exams in evidence justified a 10% rating IAW VASRD criteria and neither coding choice </w:t>
      </w:r>
      <w:proofErr w:type="gramStart"/>
      <w:r w:rsidR="0051776D">
        <w:rPr>
          <w:rFonts w:cs="Times New Roman"/>
          <w:color w:val="auto"/>
        </w:rPr>
        <w:t>was</w:t>
      </w:r>
      <w:proofErr w:type="gramEnd"/>
      <w:r w:rsidR="0051776D">
        <w:rPr>
          <w:rFonts w:cs="Times New Roman"/>
          <w:color w:val="auto"/>
        </w:rPr>
        <w:t xml:space="preserve"> considered predominate.  </w:t>
      </w:r>
    </w:p>
    <w:p w:rsidR="00241B01" w:rsidRDefault="00241B01" w:rsidP="0069687C">
      <w:pPr>
        <w:tabs>
          <w:tab w:val="left" w:pos="288"/>
          <w:tab w:val="left" w:pos="4752"/>
        </w:tabs>
        <w:jc w:val="left"/>
        <w:rPr>
          <w:rFonts w:cs="Times New Roman"/>
          <w:color w:val="auto"/>
        </w:rPr>
      </w:pPr>
    </w:p>
    <w:p w:rsidR="00626902" w:rsidRDefault="00626902" w:rsidP="00241B01">
      <w:pPr>
        <w:jc w:val="both"/>
        <w:rPr>
          <w:rFonts w:eastAsia="Calibri" w:cs="Times New Roman"/>
          <w:color w:val="auto"/>
          <w:szCs w:val="24"/>
        </w:rPr>
      </w:pPr>
      <w:r w:rsidRPr="00626902">
        <w:rPr>
          <w:rFonts w:eastAsia="Calibri" w:cs="Times New Roman"/>
          <w:color w:val="auto"/>
          <w:szCs w:val="24"/>
        </w:rPr>
        <w:t xml:space="preserve">After due deliberation, considering all of the evidence and mindful of VASRD §4.3 (reasonable doubt), the Board </w:t>
      </w:r>
      <w:r w:rsidRPr="0051776D">
        <w:rPr>
          <w:rFonts w:eastAsia="Calibri" w:cs="Times New Roman"/>
          <w:color w:val="auto"/>
          <w:szCs w:val="24"/>
        </w:rPr>
        <w:t xml:space="preserve">concluded that there was insufficient cause to recommend a change in the PEB adjudication </w:t>
      </w:r>
      <w:r w:rsidR="00BB5F68" w:rsidRPr="0051776D">
        <w:rPr>
          <w:rFonts w:eastAsia="Calibri" w:cs="Times New Roman"/>
          <w:color w:val="auto"/>
          <w:szCs w:val="24"/>
        </w:rPr>
        <w:t xml:space="preserve">PEB’s </w:t>
      </w:r>
      <w:r w:rsidR="0051776D" w:rsidRPr="0051776D">
        <w:rPr>
          <w:rFonts w:eastAsia="Calibri" w:cs="Times New Roman"/>
          <w:color w:val="auto"/>
          <w:szCs w:val="24"/>
        </w:rPr>
        <w:t xml:space="preserve">10% </w:t>
      </w:r>
      <w:r w:rsidR="00BB5F68" w:rsidRPr="0051776D">
        <w:rPr>
          <w:rFonts w:eastAsia="Calibri" w:cs="Times New Roman"/>
          <w:color w:val="auto"/>
          <w:szCs w:val="24"/>
        </w:rPr>
        <w:t>permanent adjudication of</w:t>
      </w:r>
      <w:r w:rsidRPr="0051776D">
        <w:rPr>
          <w:rFonts w:eastAsia="Calibri" w:cs="Times New Roman"/>
          <w:color w:val="auto"/>
          <w:szCs w:val="24"/>
        </w:rPr>
        <w:t xml:space="preserve"> the </w:t>
      </w:r>
      <w:r w:rsidR="0051776D" w:rsidRPr="0051776D">
        <w:rPr>
          <w:rFonts w:eastAsia="Calibri" w:cs="Times New Roman"/>
          <w:color w:val="auto"/>
          <w:szCs w:val="24"/>
        </w:rPr>
        <w:t xml:space="preserve">right ankle </w:t>
      </w:r>
      <w:r w:rsidRPr="0051776D">
        <w:rPr>
          <w:rFonts w:eastAsia="Calibri" w:cs="Times New Roman"/>
          <w:color w:val="auto"/>
          <w:szCs w:val="24"/>
        </w:rPr>
        <w:t>condition</w:t>
      </w:r>
      <w:r w:rsidRPr="00626902">
        <w:rPr>
          <w:rFonts w:eastAsia="Calibri" w:cs="Times New Roman"/>
          <w:color w:val="auto"/>
          <w:szCs w:val="24"/>
        </w:rPr>
        <w:t>.</w:t>
      </w:r>
    </w:p>
    <w:p w:rsidR="00C15865" w:rsidRPr="009A7578" w:rsidRDefault="00C15865"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w:t>
      </w:r>
      <w:proofErr w:type="spellStart"/>
      <w:r w:rsidRPr="00D8352E">
        <w:rPr>
          <w:color w:val="000000"/>
        </w:rPr>
        <w:t>DoD</w:t>
      </w:r>
      <w:proofErr w:type="spellEnd"/>
      <w:r w:rsidRPr="00D8352E">
        <w:rPr>
          <w:color w:val="000000"/>
        </w:rPr>
        <w:t xml:space="preserve">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for rating </w:t>
      </w:r>
      <w:r w:rsidR="007D4158" w:rsidRPr="00C96776">
        <w:rPr>
          <w:rFonts w:eastAsia="Calibri" w:cs="Times New Roman"/>
          <w:color w:val="auto"/>
          <w:szCs w:val="24"/>
        </w:rPr>
        <w:t>the right ankle condition</w:t>
      </w:r>
      <w:r w:rsidR="00241B01" w:rsidRPr="00C96776">
        <w:rPr>
          <w:rFonts w:eastAsia="Calibri" w:cs="Times New Roman"/>
          <w:color w:val="auto"/>
          <w:szCs w:val="24"/>
        </w:rPr>
        <w:t xml:space="preserve"> was operant in this case and </w:t>
      </w:r>
      <w:r w:rsidR="001A3A20" w:rsidRPr="00C96776">
        <w:rPr>
          <w:rFonts w:eastAsia="Calibri" w:cs="Times New Roman"/>
          <w:color w:val="auto"/>
          <w:szCs w:val="24"/>
        </w:rPr>
        <w:t>it</w:t>
      </w:r>
      <w:r w:rsidR="00241B01" w:rsidRPr="00C96776">
        <w:rPr>
          <w:rFonts w:eastAsia="Calibri" w:cs="Times New Roman"/>
          <w:color w:val="auto"/>
          <w:szCs w:val="24"/>
        </w:rPr>
        <w:t xml:space="preserve"> was adjudicated independently of that policy by the Board. </w:t>
      </w:r>
      <w:r w:rsidR="007D4158" w:rsidRPr="00C96776">
        <w:rPr>
          <w:rFonts w:eastAsia="Calibri" w:cs="Times New Roman"/>
          <w:color w:val="auto"/>
          <w:szCs w:val="24"/>
        </w:rPr>
        <w:t xml:space="preserve"> </w:t>
      </w:r>
      <w:r w:rsidR="00560F12" w:rsidRPr="00C96776">
        <w:rPr>
          <w:rFonts w:eastAsia="Calibri" w:cs="Times New Roman"/>
          <w:color w:val="auto"/>
          <w:szCs w:val="24"/>
        </w:rPr>
        <w:t xml:space="preserve">In the matter of the </w:t>
      </w:r>
      <w:r w:rsidR="0051776D" w:rsidRPr="00C96776">
        <w:rPr>
          <w:rFonts w:eastAsia="Calibri" w:cs="Times New Roman"/>
          <w:color w:val="auto"/>
          <w:szCs w:val="24"/>
        </w:rPr>
        <w:t>right ankle</w:t>
      </w:r>
      <w:r w:rsidR="00560F12" w:rsidRPr="00C96776">
        <w:rPr>
          <w:rFonts w:eastAsia="Calibri" w:cs="Times New Roman"/>
          <w:color w:val="auto"/>
          <w:szCs w:val="24"/>
        </w:rPr>
        <w:t xml:space="preserve"> condition and IAW VASRD §4.71a, the Board unanimously recommends no change in the PEB adjudication.</w:t>
      </w:r>
      <w:r w:rsidR="00560F12" w:rsidRPr="00560F12">
        <w:rPr>
          <w:rFonts w:eastAsia="Calibri" w:cs="Times New Roman"/>
          <w:color w:val="auto"/>
          <w:szCs w:val="24"/>
        </w:rPr>
        <w:t xml:space="preserve">  </w:t>
      </w:r>
      <w:r w:rsidR="00B55FB5" w:rsidRPr="003471C5">
        <w:rPr>
          <w:rFonts w:eastAsia="Calibri" w:cs="Times New Roman"/>
          <w:color w:val="auto"/>
          <w:szCs w:val="24"/>
        </w:rPr>
        <w:t>There were no other conditions within the Board’s scope of review for consideration.</w:t>
      </w:r>
    </w:p>
    <w:p w:rsidR="00AD2379" w:rsidRPr="009A7578" w:rsidRDefault="00AD2379" w:rsidP="006364ED">
      <w:pPr>
        <w:jc w:val="left"/>
        <w:rPr>
          <w:color w:val="000000"/>
          <w:highlight w:val="magenta"/>
        </w:rPr>
      </w:pPr>
    </w:p>
    <w:p w:rsidR="00A75DD1" w:rsidRDefault="00A75DD1">
      <w:pPr>
        <w:spacing w:line="240" w:lineRule="auto"/>
        <w:jc w:val="left"/>
        <w:rPr>
          <w:color w:val="000000"/>
          <w:u w:val="single"/>
        </w:rPr>
      </w:pPr>
      <w:r>
        <w:rPr>
          <w:color w:val="000000"/>
          <w:u w:val="single"/>
        </w:rPr>
        <w:br w:type="page"/>
      </w:r>
    </w:p>
    <w:p w:rsidR="00AD2379" w:rsidRPr="00A75DD1" w:rsidRDefault="00AD2379" w:rsidP="00B22D42">
      <w:pPr>
        <w:jc w:val="left"/>
        <w:rPr>
          <w:color w:val="auto"/>
        </w:rPr>
      </w:pPr>
      <w:r w:rsidRPr="009A7578">
        <w:rPr>
          <w:color w:val="000000"/>
          <w:u w:val="single"/>
        </w:rPr>
        <w:lastRenderedPageBreak/>
        <w:t>RECOMMENDATION</w:t>
      </w:r>
      <w:r w:rsidRPr="009A7578">
        <w:rPr>
          <w:color w:val="000000"/>
        </w:rPr>
        <w:t>: The</w:t>
      </w:r>
      <w:r w:rsidRPr="001F29F9">
        <w:rPr>
          <w:color w:val="000000"/>
        </w:rPr>
        <w:t xml:space="preserve"> Board, therefore, recommends that there be no </w:t>
      </w:r>
      <w:proofErr w:type="spellStart"/>
      <w:r w:rsidRPr="001F29F9">
        <w:rPr>
          <w:color w:val="000000"/>
        </w:rPr>
        <w:t>recharacterization</w:t>
      </w:r>
      <w:proofErr w:type="spellEnd"/>
      <w:r w:rsidRPr="001F29F9">
        <w:rPr>
          <w:color w:val="000000"/>
        </w:rPr>
        <w:t xml:space="preserve"> </w:t>
      </w:r>
      <w:r w:rsidRPr="0051776D">
        <w:rPr>
          <w:color w:val="auto"/>
        </w:rPr>
        <w:t>of the CI’s disability and separation determination, as follows:</w:t>
      </w:r>
      <w:r w:rsidR="007D4158" w:rsidRPr="0051776D">
        <w:rPr>
          <w:color w:val="auto"/>
        </w:rPr>
        <w:t xml:space="preserve">  </w:t>
      </w:r>
    </w:p>
    <w:p w:rsidR="00AD2379" w:rsidRPr="00A75DD1" w:rsidRDefault="00AD2379" w:rsidP="00B22D42">
      <w:pPr>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A75DD1" w:rsidTr="00C42AED">
        <w:trPr>
          <w:trHeight w:val="233"/>
          <w:jc w:val="center"/>
        </w:trPr>
        <w:tc>
          <w:tcPr>
            <w:tcW w:w="6768" w:type="dxa"/>
            <w:shd w:val="clear" w:color="auto" w:fill="D9D9D9"/>
            <w:vAlign w:val="center"/>
          </w:tcPr>
          <w:p w:rsidR="00AD2379" w:rsidRPr="00A75DD1" w:rsidRDefault="00AD2379" w:rsidP="00BF0E94">
            <w:pPr>
              <w:tabs>
                <w:tab w:val="left" w:pos="288"/>
                <w:tab w:val="left" w:pos="4752"/>
              </w:tabs>
              <w:rPr>
                <w:b/>
                <w:color w:val="auto"/>
              </w:rPr>
            </w:pPr>
            <w:r w:rsidRPr="00A75DD1">
              <w:rPr>
                <w:b/>
                <w:color w:val="auto"/>
              </w:rPr>
              <w:t>UNFITTING CONDITION</w:t>
            </w:r>
          </w:p>
        </w:tc>
        <w:tc>
          <w:tcPr>
            <w:tcW w:w="1530" w:type="dxa"/>
            <w:shd w:val="clear" w:color="auto" w:fill="D9D9D9"/>
            <w:vAlign w:val="center"/>
          </w:tcPr>
          <w:p w:rsidR="00AD2379" w:rsidRPr="00A75DD1" w:rsidRDefault="00AD2379" w:rsidP="00BF0E94">
            <w:pPr>
              <w:tabs>
                <w:tab w:val="left" w:pos="288"/>
                <w:tab w:val="left" w:pos="4752"/>
              </w:tabs>
              <w:rPr>
                <w:b/>
                <w:color w:val="auto"/>
              </w:rPr>
            </w:pPr>
            <w:r w:rsidRPr="00A75DD1">
              <w:rPr>
                <w:b/>
                <w:color w:val="auto"/>
              </w:rPr>
              <w:t>VASRD CODE</w:t>
            </w:r>
          </w:p>
        </w:tc>
        <w:tc>
          <w:tcPr>
            <w:tcW w:w="1026" w:type="dxa"/>
            <w:shd w:val="clear" w:color="auto" w:fill="D9D9D9"/>
            <w:vAlign w:val="center"/>
          </w:tcPr>
          <w:p w:rsidR="00AD2379" w:rsidRPr="00A75DD1" w:rsidRDefault="00AD2379" w:rsidP="00BF0E94">
            <w:pPr>
              <w:tabs>
                <w:tab w:val="left" w:pos="288"/>
                <w:tab w:val="left" w:pos="4752"/>
              </w:tabs>
              <w:rPr>
                <w:b/>
                <w:color w:val="auto"/>
              </w:rPr>
            </w:pPr>
            <w:r w:rsidRPr="00A75DD1">
              <w:rPr>
                <w:b/>
                <w:color w:val="auto"/>
              </w:rPr>
              <w:t>RATING</w:t>
            </w:r>
          </w:p>
        </w:tc>
      </w:tr>
      <w:tr w:rsidR="00AD2379" w:rsidRPr="00A75DD1" w:rsidTr="00C42AED">
        <w:trPr>
          <w:jc w:val="center"/>
        </w:trPr>
        <w:tc>
          <w:tcPr>
            <w:tcW w:w="6768" w:type="dxa"/>
            <w:vAlign w:val="center"/>
          </w:tcPr>
          <w:p w:rsidR="00AD2379" w:rsidRPr="00A75DD1" w:rsidRDefault="007D4158" w:rsidP="00BF0E94">
            <w:pPr>
              <w:tabs>
                <w:tab w:val="left" w:pos="288"/>
                <w:tab w:val="left" w:pos="4752"/>
              </w:tabs>
              <w:jc w:val="left"/>
              <w:rPr>
                <w:color w:val="auto"/>
              </w:rPr>
            </w:pPr>
            <w:r w:rsidRPr="00A75DD1">
              <w:rPr>
                <w:color w:val="auto"/>
              </w:rPr>
              <w:t>Chronic right ankle pain</w:t>
            </w:r>
          </w:p>
        </w:tc>
        <w:tc>
          <w:tcPr>
            <w:tcW w:w="1530" w:type="dxa"/>
            <w:vAlign w:val="center"/>
          </w:tcPr>
          <w:p w:rsidR="00AD2379" w:rsidRPr="00A75DD1" w:rsidRDefault="007D4158" w:rsidP="00BF0E94">
            <w:pPr>
              <w:tabs>
                <w:tab w:val="left" w:pos="288"/>
                <w:tab w:val="left" w:pos="4752"/>
              </w:tabs>
              <w:rPr>
                <w:color w:val="auto"/>
              </w:rPr>
            </w:pPr>
            <w:r w:rsidRPr="00A75DD1">
              <w:rPr>
                <w:color w:val="auto"/>
              </w:rPr>
              <w:t>5099-5003</w:t>
            </w:r>
          </w:p>
        </w:tc>
        <w:tc>
          <w:tcPr>
            <w:tcW w:w="1026" w:type="dxa"/>
            <w:vAlign w:val="center"/>
          </w:tcPr>
          <w:p w:rsidR="00AD2379" w:rsidRPr="00A75DD1" w:rsidRDefault="007D4158" w:rsidP="00BF0E94">
            <w:pPr>
              <w:tabs>
                <w:tab w:val="left" w:pos="288"/>
                <w:tab w:val="left" w:pos="4752"/>
              </w:tabs>
              <w:rPr>
                <w:color w:val="auto"/>
              </w:rPr>
            </w:pPr>
            <w:r w:rsidRPr="00A75DD1">
              <w:rPr>
                <w:color w:val="auto"/>
              </w:rPr>
              <w:t>1</w:t>
            </w:r>
            <w:r w:rsidR="00AD2379" w:rsidRPr="00A75DD1">
              <w:rPr>
                <w:color w:val="auto"/>
              </w:rPr>
              <w:t>0%</w:t>
            </w:r>
          </w:p>
        </w:tc>
      </w:tr>
      <w:tr w:rsidR="00AD2379" w:rsidRPr="00A75DD1"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A75DD1" w:rsidRDefault="00AD2379" w:rsidP="00BF0E94">
            <w:pPr>
              <w:tabs>
                <w:tab w:val="left" w:pos="288"/>
                <w:tab w:val="left" w:pos="4752"/>
              </w:tabs>
              <w:rPr>
                <w:b/>
                <w:color w:val="auto"/>
              </w:rPr>
            </w:pPr>
            <w:r w:rsidRPr="00A75DD1">
              <w:rPr>
                <w:b/>
                <w:color w:val="auto"/>
              </w:rPr>
              <w:t>COMBINED</w:t>
            </w:r>
          </w:p>
        </w:tc>
        <w:tc>
          <w:tcPr>
            <w:tcW w:w="1026" w:type="dxa"/>
            <w:shd w:val="clear" w:color="auto" w:fill="D9D9D9"/>
            <w:vAlign w:val="center"/>
          </w:tcPr>
          <w:p w:rsidR="00AD2379" w:rsidRPr="00A75DD1" w:rsidRDefault="007D4158" w:rsidP="00BF0E94">
            <w:pPr>
              <w:tabs>
                <w:tab w:val="left" w:pos="288"/>
                <w:tab w:val="left" w:pos="4752"/>
              </w:tabs>
              <w:rPr>
                <w:b/>
                <w:color w:val="auto"/>
              </w:rPr>
            </w:pPr>
            <w:r w:rsidRPr="00A75DD1">
              <w:rPr>
                <w:b/>
                <w:color w:val="auto"/>
              </w:rPr>
              <w:t>1</w:t>
            </w:r>
            <w:r w:rsidR="00AD2379" w:rsidRPr="00A75DD1">
              <w:rPr>
                <w:b/>
                <w:color w:val="auto"/>
              </w:rPr>
              <w:t>0%</w:t>
            </w:r>
          </w:p>
        </w:tc>
      </w:tr>
    </w:tbl>
    <w:p w:rsidR="00AD2379" w:rsidRPr="00A75DD1" w:rsidRDefault="00AD2379" w:rsidP="00BF0E94">
      <w:pPr>
        <w:pBdr>
          <w:bottom w:val="single" w:sz="12" w:space="1" w:color="auto"/>
        </w:pBdr>
        <w:tabs>
          <w:tab w:val="left" w:pos="288"/>
          <w:tab w:val="left" w:pos="4752"/>
        </w:tabs>
        <w:jc w:val="both"/>
        <w:rPr>
          <w:color w:val="auto"/>
        </w:rPr>
      </w:pPr>
    </w:p>
    <w:p w:rsidR="00AD2379" w:rsidRPr="00A75DD1" w:rsidRDefault="00AD2379" w:rsidP="0051776D">
      <w:pPr>
        <w:jc w:val="both"/>
        <w:rPr>
          <w:color w:val="auto"/>
        </w:rPr>
      </w:pPr>
    </w:p>
    <w:p w:rsidR="00AD2379" w:rsidRPr="00A75DD1" w:rsidRDefault="00AD2379" w:rsidP="00BF0E94">
      <w:pPr>
        <w:tabs>
          <w:tab w:val="left" w:pos="288"/>
          <w:tab w:val="left" w:pos="4752"/>
        </w:tabs>
        <w:jc w:val="both"/>
        <w:rPr>
          <w:color w:val="auto"/>
        </w:rPr>
      </w:pPr>
      <w:r w:rsidRPr="00A75DD1">
        <w:rPr>
          <w:color w:val="auto"/>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Pr="00C73631">
        <w:rPr>
          <w:color w:val="000000"/>
        </w:rPr>
        <w:t>201</w:t>
      </w:r>
      <w:r w:rsidR="00C73631" w:rsidRPr="00C73631">
        <w:rPr>
          <w:color w:val="000000"/>
        </w:rPr>
        <w:t>20</w:t>
      </w:r>
      <w:r w:rsidR="00C73631">
        <w:rPr>
          <w:color w:val="000000"/>
        </w:rPr>
        <w:t>605</w:t>
      </w:r>
      <w:r w:rsidRPr="001F29F9">
        <w:rPr>
          <w:color w:val="000000"/>
        </w:rPr>
        <w:t>, w/</w:t>
      </w:r>
      <w:proofErr w:type="spellStart"/>
      <w:r w:rsidRPr="001F29F9">
        <w:rPr>
          <w:color w:val="000000"/>
        </w:rPr>
        <w:t>atchs</w:t>
      </w:r>
      <w:proofErr w:type="spellEnd"/>
      <w:r w:rsidRPr="001F29F9">
        <w:rPr>
          <w:color w:val="000000"/>
        </w:rPr>
        <w:t>.</w:t>
      </w:r>
    </w:p>
    <w:p w:rsidR="00AD2379" w:rsidRPr="001F29F9" w:rsidRDefault="00AD2379" w:rsidP="005144A7">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AD2379" w:rsidRPr="001F29F9" w:rsidRDefault="00AD2379" w:rsidP="005144A7">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 Affairs Treatment Record.</w:t>
      </w:r>
      <w:proofErr w:type="gramEnd"/>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4F6762">
        <w:rPr>
          <w:color w:val="000000"/>
        </w:rPr>
        <w:t>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4F6762" w:rsidRDefault="00AD2379" w:rsidP="00BF0E94">
      <w:pPr>
        <w:tabs>
          <w:tab w:val="left" w:pos="0"/>
          <w:tab w:val="left" w:pos="4320"/>
        </w:tabs>
        <w:jc w:val="both"/>
        <w:rPr>
          <w:color w:val="000000"/>
        </w:rPr>
      </w:pPr>
      <w:r w:rsidRPr="001F29F9">
        <w:rPr>
          <w:color w:val="000000"/>
        </w:rPr>
        <w:tab/>
        <w:t xml:space="preserve">           Physical Disability Board of Review</w:t>
      </w:r>
    </w:p>
    <w:p w:rsidR="004F6762" w:rsidRDefault="004F6762">
      <w:pPr>
        <w:spacing w:line="240" w:lineRule="auto"/>
        <w:jc w:val="left"/>
        <w:rPr>
          <w:color w:val="000000"/>
        </w:rPr>
      </w:pPr>
      <w:r>
        <w:rPr>
          <w:color w:val="000000"/>
        </w:rPr>
        <w:br w:type="page"/>
      </w:r>
    </w:p>
    <w:p w:rsidR="004F6762" w:rsidRDefault="004F6762" w:rsidP="004F6762">
      <w:pPr>
        <w:sectPr w:rsidR="004F6762">
          <w:pgSz w:w="12240" w:h="15840"/>
          <w:pgMar w:top="2160" w:right="1440" w:bottom="1440" w:left="1440" w:header="720" w:footer="720" w:gutter="0"/>
          <w:cols w:space="720"/>
        </w:sectPr>
      </w:pPr>
    </w:p>
    <w:p w:rsidR="004F6762" w:rsidRDefault="004F6762" w:rsidP="004F6762">
      <w:pPr>
        <w:pStyle w:val="Header"/>
        <w:tabs>
          <w:tab w:val="left" w:pos="720"/>
        </w:tabs>
        <w:jc w:val="left"/>
      </w:pPr>
      <w:r>
        <w:lastRenderedPageBreak/>
        <w:t>SFMR-RB</w:t>
      </w:r>
      <w:r>
        <w:tab/>
      </w:r>
      <w:r>
        <w:tab/>
      </w:r>
      <w:r>
        <w:tab/>
      </w:r>
      <w:r>
        <w:tab/>
      </w:r>
      <w:r>
        <w:tab/>
      </w:r>
      <w:r>
        <w:tab/>
      </w:r>
      <w:r>
        <w:tab/>
      </w:r>
      <w:r>
        <w:tab/>
      </w:r>
      <w:r>
        <w:tab/>
      </w:r>
    </w:p>
    <w:p w:rsidR="004F6762" w:rsidRDefault="004F6762" w:rsidP="004F6762">
      <w:pPr>
        <w:pStyle w:val="Header"/>
        <w:tabs>
          <w:tab w:val="left" w:pos="720"/>
        </w:tabs>
        <w:jc w:val="left"/>
      </w:pPr>
    </w:p>
    <w:p w:rsidR="004F6762" w:rsidRDefault="004F6762" w:rsidP="004F6762">
      <w:pPr>
        <w:jc w:val="left"/>
      </w:pPr>
    </w:p>
    <w:p w:rsidR="004F6762" w:rsidRDefault="004F6762" w:rsidP="004F6762">
      <w:pPr>
        <w:jc w:val="left"/>
      </w:pPr>
      <w:r>
        <w:t xml:space="preserve">MEMORANDUM FOR Commander, US Army Physical Disability Agency </w:t>
      </w:r>
    </w:p>
    <w:p w:rsidR="004F6762" w:rsidRDefault="004F6762" w:rsidP="004F6762">
      <w:pPr>
        <w:jc w:val="left"/>
      </w:pPr>
      <w:r>
        <w:t xml:space="preserve">(TAPD-ZB </w:t>
      </w:r>
      <w:proofErr w:type="gramStart"/>
      <w:r>
        <w:t>/  )</w:t>
      </w:r>
      <w:proofErr w:type="gramEnd"/>
      <w:r>
        <w:t>, 2900 Crystal Drive, Suite 300, Arlington, VA  22202-3557</w:t>
      </w:r>
    </w:p>
    <w:p w:rsidR="004F6762" w:rsidRDefault="004F6762" w:rsidP="004F6762">
      <w:pPr>
        <w:jc w:val="left"/>
      </w:pPr>
    </w:p>
    <w:p w:rsidR="004F6762" w:rsidRDefault="004F6762" w:rsidP="004F6762">
      <w:pPr>
        <w:ind w:right="-180"/>
        <w:jc w:val="left"/>
      </w:pPr>
      <w:r>
        <w:t>SUBJECT:  Department of Defense Physical Disability Board of Review Recommendation for XXXXXXXXXXXXXXXXXXXXXXX, AR20120019882 (PD201200940)</w:t>
      </w:r>
    </w:p>
    <w:p w:rsidR="004F6762" w:rsidRDefault="004F6762" w:rsidP="004F6762">
      <w:pPr>
        <w:pStyle w:val="Header"/>
        <w:tabs>
          <w:tab w:val="left" w:pos="720"/>
        </w:tabs>
        <w:jc w:val="left"/>
      </w:pPr>
    </w:p>
    <w:p w:rsidR="004F6762" w:rsidRDefault="004F6762" w:rsidP="004F6762">
      <w:pPr>
        <w:jc w:val="left"/>
      </w:pPr>
    </w:p>
    <w:p w:rsidR="004F6762" w:rsidRDefault="004F6762" w:rsidP="004F676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F6762" w:rsidRDefault="004F6762" w:rsidP="004F6762">
      <w:pPr>
        <w:jc w:val="left"/>
      </w:pPr>
      <w:r>
        <w:t>This decision is final.  The individual concerned, counsel (if any), and any Members of Congress who have shown interest in this application have been notified of this decision by mail.</w:t>
      </w:r>
    </w:p>
    <w:p w:rsidR="004F6762" w:rsidRDefault="004F6762" w:rsidP="004F6762">
      <w:pPr>
        <w:jc w:val="left"/>
      </w:pPr>
    </w:p>
    <w:p w:rsidR="004F6762" w:rsidRDefault="004F6762" w:rsidP="004F6762">
      <w:pPr>
        <w:jc w:val="left"/>
      </w:pPr>
      <w:r>
        <w:t xml:space="preserve"> BY ORDER OF THE SECRETARY OF THE ARMY:</w:t>
      </w:r>
    </w:p>
    <w:p w:rsidR="004F6762" w:rsidRDefault="004F6762" w:rsidP="004F6762">
      <w:pPr>
        <w:jc w:val="left"/>
      </w:pPr>
    </w:p>
    <w:p w:rsidR="004F6762" w:rsidRDefault="004F6762" w:rsidP="004F6762">
      <w:pPr>
        <w:jc w:val="left"/>
      </w:pPr>
    </w:p>
    <w:p w:rsidR="004F6762" w:rsidRDefault="004F6762" w:rsidP="004F6762">
      <w:pPr>
        <w:pStyle w:val="Header"/>
        <w:tabs>
          <w:tab w:val="left" w:pos="720"/>
        </w:tabs>
        <w:jc w:val="left"/>
      </w:pPr>
    </w:p>
    <w:p w:rsidR="004F6762" w:rsidRDefault="004F6762" w:rsidP="004F6762">
      <w:pPr>
        <w:jc w:val="left"/>
      </w:pPr>
    </w:p>
    <w:p w:rsidR="004F6762" w:rsidRDefault="004F6762" w:rsidP="004F6762">
      <w:pPr>
        <w:jc w:val="left"/>
      </w:pPr>
      <w:bookmarkStart w:id="0" w:name="OLE_LINK4"/>
      <w:bookmarkStart w:id="1" w:name="OLE_LINK3"/>
      <w:r>
        <w:t>Encl</w:t>
      </w:r>
      <w:r>
        <w:tab/>
      </w:r>
      <w:r>
        <w:tab/>
      </w:r>
      <w:r>
        <w:tab/>
      </w:r>
      <w:r>
        <w:tab/>
      </w:r>
      <w:r>
        <w:tab/>
      </w:r>
      <w:r>
        <w:tab/>
        <w:t xml:space="preserve">     XXXXXXXXXXXXXXXXXXXXX</w:t>
      </w:r>
    </w:p>
    <w:p w:rsidR="004F6762" w:rsidRDefault="004F6762" w:rsidP="004F6762">
      <w:pPr>
        <w:jc w:val="left"/>
      </w:pPr>
      <w:r>
        <w:tab/>
      </w:r>
      <w:r>
        <w:tab/>
      </w:r>
      <w:r>
        <w:tab/>
      </w:r>
      <w:r>
        <w:tab/>
      </w:r>
      <w:r>
        <w:tab/>
      </w:r>
      <w:r>
        <w:tab/>
        <w:t xml:space="preserve">     Deputy Assistant Secretary</w:t>
      </w:r>
    </w:p>
    <w:p w:rsidR="004F6762" w:rsidRDefault="004F6762" w:rsidP="004F6762">
      <w:pPr>
        <w:jc w:val="left"/>
      </w:pPr>
      <w:r>
        <w:tab/>
      </w:r>
      <w:r>
        <w:tab/>
      </w:r>
      <w:r>
        <w:tab/>
      </w:r>
      <w:r>
        <w:tab/>
      </w:r>
      <w:r>
        <w:tab/>
      </w:r>
      <w:r>
        <w:tab/>
        <w:t xml:space="preserve">         (Army Review Boards)</w:t>
      </w:r>
      <w:bookmarkEnd w:id="0"/>
      <w:bookmarkEnd w:id="1"/>
    </w:p>
    <w:p w:rsidR="004F6762" w:rsidRDefault="004F6762" w:rsidP="004F6762">
      <w:pPr>
        <w:jc w:val="left"/>
      </w:pPr>
    </w:p>
    <w:p w:rsidR="004F6762" w:rsidRDefault="004F6762" w:rsidP="004F6762">
      <w:pPr>
        <w:jc w:val="left"/>
      </w:pPr>
      <w:r>
        <w:t xml:space="preserve">CF: </w:t>
      </w:r>
    </w:p>
    <w:p w:rsidR="004F6762" w:rsidRDefault="004F6762" w:rsidP="004F6762">
      <w:pPr>
        <w:jc w:val="left"/>
      </w:pPr>
      <w:r>
        <w:t xml:space="preserve">(  ) </w:t>
      </w:r>
      <w:proofErr w:type="spellStart"/>
      <w:proofErr w:type="gramStart"/>
      <w:r>
        <w:t>DoD</w:t>
      </w:r>
      <w:proofErr w:type="spellEnd"/>
      <w:proofErr w:type="gramEnd"/>
      <w:r>
        <w:t xml:space="preserve"> PDBR</w:t>
      </w:r>
    </w:p>
    <w:p w:rsidR="004F6762" w:rsidRDefault="004F6762" w:rsidP="004F6762">
      <w:pPr>
        <w:jc w:val="left"/>
      </w:pPr>
      <w:r>
        <w:t>(  ) DVA</w:t>
      </w:r>
    </w:p>
    <w:p w:rsidR="004F6762" w:rsidRDefault="004F6762" w:rsidP="004F6762">
      <w:pPr>
        <w:jc w:val="left"/>
      </w:pPr>
    </w:p>
    <w:p w:rsidR="00AD2379" w:rsidRPr="001F29F9" w:rsidRDefault="00AD2379" w:rsidP="004F6762">
      <w:pPr>
        <w:tabs>
          <w:tab w:val="left" w:pos="0"/>
          <w:tab w:val="left" w:pos="4320"/>
        </w:tabs>
        <w:jc w:val="left"/>
        <w:rPr>
          <w:color w:val="000000"/>
        </w:rPr>
      </w:pPr>
    </w:p>
    <w:sectPr w:rsidR="00AD2379" w:rsidRPr="001F29F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96" w:rsidRDefault="00811396">
      <w:r>
        <w:separator/>
      </w:r>
    </w:p>
  </w:endnote>
  <w:endnote w:type="continuationSeparator" w:id="0">
    <w:p w:rsidR="00811396" w:rsidRDefault="00811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59" w:rsidRPr="00374247" w:rsidRDefault="00ED1A59" w:rsidP="00726F84">
    <w:pPr>
      <w:pStyle w:val="Footer"/>
      <w:ind w:firstLine="4320"/>
      <w:rPr>
        <w:color w:val="auto"/>
      </w:rPr>
    </w:pPr>
    <w:r w:rsidRPr="00374247">
      <w:rPr>
        <w:color w:val="auto"/>
      </w:rPr>
      <w:t xml:space="preserve">   </w:t>
    </w:r>
    <w:fldSimple w:instr=" PAGE   \* MERGEFORMAT ">
      <w:r w:rsidR="004F6762" w:rsidRPr="004F6762">
        <w:rPr>
          <w:noProof/>
          <w:color w:val="auto"/>
        </w:rPr>
        <w:t>4</w:t>
      </w:r>
    </w:fldSimple>
    <w:r w:rsidRPr="00374247">
      <w:rPr>
        <w:color w:val="auto"/>
      </w:rPr>
      <w:t xml:space="preserve">                                                           </w:t>
    </w:r>
    <w:r w:rsidRPr="001D64F3">
      <w:rPr>
        <w:color w:val="auto"/>
      </w:rPr>
      <w:t>PD1</w:t>
    </w:r>
    <w:r>
      <w:rPr>
        <w:color w:val="auto"/>
      </w:rPr>
      <w:t>2-</w:t>
    </w:r>
    <w:r w:rsidRPr="009369A6">
      <w:rPr>
        <w:color w:val="auto"/>
      </w:rPr>
      <w:t>0</w:t>
    </w:r>
    <w:r>
      <w:rPr>
        <w:color w:val="auto"/>
      </w:rPr>
      <w:t>0940</w:t>
    </w:r>
  </w:p>
  <w:p w:rsidR="00ED1A59" w:rsidRPr="00684CE6" w:rsidRDefault="00ED1A5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96" w:rsidRDefault="00811396">
      <w:r>
        <w:separator/>
      </w:r>
    </w:p>
  </w:footnote>
  <w:footnote w:type="continuationSeparator" w:id="0">
    <w:p w:rsidR="00811396" w:rsidRDefault="00811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4DD0"/>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6FE4"/>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6979"/>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32F"/>
    <w:rsid w:val="000E4C25"/>
    <w:rsid w:val="000E4CBF"/>
    <w:rsid w:val="000E5577"/>
    <w:rsid w:val="000E5DA6"/>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4C7D"/>
    <w:rsid w:val="001554E4"/>
    <w:rsid w:val="0015623F"/>
    <w:rsid w:val="00156585"/>
    <w:rsid w:val="00156BA9"/>
    <w:rsid w:val="00161642"/>
    <w:rsid w:val="00161761"/>
    <w:rsid w:val="00164413"/>
    <w:rsid w:val="00166182"/>
    <w:rsid w:val="0017038B"/>
    <w:rsid w:val="00170C94"/>
    <w:rsid w:val="0017139A"/>
    <w:rsid w:val="0017216B"/>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564"/>
    <w:rsid w:val="00194930"/>
    <w:rsid w:val="00195AAC"/>
    <w:rsid w:val="001968BB"/>
    <w:rsid w:val="001978A3"/>
    <w:rsid w:val="001A025E"/>
    <w:rsid w:val="001A08CD"/>
    <w:rsid w:val="001A0A1E"/>
    <w:rsid w:val="001A2182"/>
    <w:rsid w:val="001A323E"/>
    <w:rsid w:val="001A3A20"/>
    <w:rsid w:val="001A48E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E51"/>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7C9"/>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6D1"/>
    <w:rsid w:val="0025183C"/>
    <w:rsid w:val="00252351"/>
    <w:rsid w:val="002528EC"/>
    <w:rsid w:val="00253106"/>
    <w:rsid w:val="00253EAA"/>
    <w:rsid w:val="00255049"/>
    <w:rsid w:val="00257538"/>
    <w:rsid w:val="00257AFF"/>
    <w:rsid w:val="00257DE5"/>
    <w:rsid w:val="00260531"/>
    <w:rsid w:val="00260B9A"/>
    <w:rsid w:val="00261B7E"/>
    <w:rsid w:val="00262EA5"/>
    <w:rsid w:val="0026318D"/>
    <w:rsid w:val="00264148"/>
    <w:rsid w:val="002660AF"/>
    <w:rsid w:val="00267EC6"/>
    <w:rsid w:val="00270864"/>
    <w:rsid w:val="002712F7"/>
    <w:rsid w:val="0027159C"/>
    <w:rsid w:val="00271871"/>
    <w:rsid w:val="002722F2"/>
    <w:rsid w:val="00272436"/>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5B6"/>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3CCE"/>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32B1"/>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70"/>
    <w:rsid w:val="00434694"/>
    <w:rsid w:val="00434860"/>
    <w:rsid w:val="00434BBD"/>
    <w:rsid w:val="0043503A"/>
    <w:rsid w:val="00437B8A"/>
    <w:rsid w:val="00437D18"/>
    <w:rsid w:val="00437D77"/>
    <w:rsid w:val="00440698"/>
    <w:rsid w:val="00441334"/>
    <w:rsid w:val="00441D99"/>
    <w:rsid w:val="004429D9"/>
    <w:rsid w:val="004435BE"/>
    <w:rsid w:val="0044384F"/>
    <w:rsid w:val="00443D12"/>
    <w:rsid w:val="0044411E"/>
    <w:rsid w:val="00444472"/>
    <w:rsid w:val="00444B93"/>
    <w:rsid w:val="00444F80"/>
    <w:rsid w:val="00445599"/>
    <w:rsid w:val="00446018"/>
    <w:rsid w:val="0044769D"/>
    <w:rsid w:val="0045027B"/>
    <w:rsid w:val="004504E7"/>
    <w:rsid w:val="004509E2"/>
    <w:rsid w:val="00451F9D"/>
    <w:rsid w:val="00453167"/>
    <w:rsid w:val="00453537"/>
    <w:rsid w:val="0045361D"/>
    <w:rsid w:val="004543BC"/>
    <w:rsid w:val="004546BF"/>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4C18"/>
    <w:rsid w:val="004761CC"/>
    <w:rsid w:val="00476229"/>
    <w:rsid w:val="004766C9"/>
    <w:rsid w:val="00480D4A"/>
    <w:rsid w:val="00481DA1"/>
    <w:rsid w:val="00482B19"/>
    <w:rsid w:val="0048396D"/>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AC5"/>
    <w:rsid w:val="004A7C03"/>
    <w:rsid w:val="004B03F3"/>
    <w:rsid w:val="004B0CC9"/>
    <w:rsid w:val="004B1C61"/>
    <w:rsid w:val="004B2536"/>
    <w:rsid w:val="004B46D7"/>
    <w:rsid w:val="004B478D"/>
    <w:rsid w:val="004B52E0"/>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6762"/>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1776D"/>
    <w:rsid w:val="005214A3"/>
    <w:rsid w:val="005222E7"/>
    <w:rsid w:val="00523488"/>
    <w:rsid w:val="005234CC"/>
    <w:rsid w:val="00523A8B"/>
    <w:rsid w:val="00523E04"/>
    <w:rsid w:val="00524D3A"/>
    <w:rsid w:val="00525003"/>
    <w:rsid w:val="0052590B"/>
    <w:rsid w:val="0052592B"/>
    <w:rsid w:val="00525C7A"/>
    <w:rsid w:val="00526220"/>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4AF1"/>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64C"/>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A4"/>
    <w:rsid w:val="005B64CF"/>
    <w:rsid w:val="005B72DA"/>
    <w:rsid w:val="005C0E87"/>
    <w:rsid w:val="005C1398"/>
    <w:rsid w:val="005C16F3"/>
    <w:rsid w:val="005C3758"/>
    <w:rsid w:val="005C4D72"/>
    <w:rsid w:val="005C50C1"/>
    <w:rsid w:val="005C5196"/>
    <w:rsid w:val="005C5C0C"/>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A81"/>
    <w:rsid w:val="00651E6D"/>
    <w:rsid w:val="0065237D"/>
    <w:rsid w:val="00652943"/>
    <w:rsid w:val="00653AB2"/>
    <w:rsid w:val="00653D2D"/>
    <w:rsid w:val="0065435E"/>
    <w:rsid w:val="00654551"/>
    <w:rsid w:val="00654DA2"/>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BA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4C22"/>
    <w:rsid w:val="006A516B"/>
    <w:rsid w:val="006A5362"/>
    <w:rsid w:val="006A543A"/>
    <w:rsid w:val="006A5C07"/>
    <w:rsid w:val="006A6E2C"/>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42D"/>
    <w:rsid w:val="006E77C8"/>
    <w:rsid w:val="006E7AFC"/>
    <w:rsid w:val="006F0F9C"/>
    <w:rsid w:val="006F149D"/>
    <w:rsid w:val="006F1A46"/>
    <w:rsid w:val="006F45A0"/>
    <w:rsid w:val="006F4F06"/>
    <w:rsid w:val="006F5A4E"/>
    <w:rsid w:val="006F5D37"/>
    <w:rsid w:val="006F6005"/>
    <w:rsid w:val="007005EA"/>
    <w:rsid w:val="0070220D"/>
    <w:rsid w:val="007029F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589"/>
    <w:rsid w:val="007165CE"/>
    <w:rsid w:val="00716D85"/>
    <w:rsid w:val="00717CEB"/>
    <w:rsid w:val="0072035D"/>
    <w:rsid w:val="00720968"/>
    <w:rsid w:val="00720BEA"/>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28EC"/>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B4A"/>
    <w:rsid w:val="0076100C"/>
    <w:rsid w:val="00761127"/>
    <w:rsid w:val="007612A5"/>
    <w:rsid w:val="00763CAE"/>
    <w:rsid w:val="00763F95"/>
    <w:rsid w:val="007651ED"/>
    <w:rsid w:val="00766C87"/>
    <w:rsid w:val="00771043"/>
    <w:rsid w:val="00771F69"/>
    <w:rsid w:val="0077272B"/>
    <w:rsid w:val="00773AF7"/>
    <w:rsid w:val="00773C45"/>
    <w:rsid w:val="0077440B"/>
    <w:rsid w:val="00774FFD"/>
    <w:rsid w:val="00780378"/>
    <w:rsid w:val="0078085E"/>
    <w:rsid w:val="00781BD4"/>
    <w:rsid w:val="00782562"/>
    <w:rsid w:val="007828B4"/>
    <w:rsid w:val="00782CC1"/>
    <w:rsid w:val="00784832"/>
    <w:rsid w:val="00784EA0"/>
    <w:rsid w:val="00785C75"/>
    <w:rsid w:val="00785D77"/>
    <w:rsid w:val="00786111"/>
    <w:rsid w:val="0078694F"/>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296"/>
    <w:rsid w:val="007A0861"/>
    <w:rsid w:val="007A0B39"/>
    <w:rsid w:val="007A14A4"/>
    <w:rsid w:val="007A168F"/>
    <w:rsid w:val="007A2346"/>
    <w:rsid w:val="007A28E4"/>
    <w:rsid w:val="007A2B9A"/>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3628"/>
    <w:rsid w:val="007B4181"/>
    <w:rsid w:val="007B5746"/>
    <w:rsid w:val="007B58AB"/>
    <w:rsid w:val="007B5C5C"/>
    <w:rsid w:val="007B5DF5"/>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158"/>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396"/>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CE4"/>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D7CC1"/>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3734"/>
    <w:rsid w:val="00914ADB"/>
    <w:rsid w:val="00915196"/>
    <w:rsid w:val="00917182"/>
    <w:rsid w:val="00920251"/>
    <w:rsid w:val="00920259"/>
    <w:rsid w:val="009203A8"/>
    <w:rsid w:val="00921CFD"/>
    <w:rsid w:val="009228D1"/>
    <w:rsid w:val="00923B25"/>
    <w:rsid w:val="0092402E"/>
    <w:rsid w:val="00925127"/>
    <w:rsid w:val="009259BA"/>
    <w:rsid w:val="00926C0A"/>
    <w:rsid w:val="00926FCB"/>
    <w:rsid w:val="009303BB"/>
    <w:rsid w:val="0093108A"/>
    <w:rsid w:val="009319EF"/>
    <w:rsid w:val="00931B6D"/>
    <w:rsid w:val="0093311A"/>
    <w:rsid w:val="0093443E"/>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88C"/>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3D4"/>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0FE1"/>
    <w:rsid w:val="009E1181"/>
    <w:rsid w:val="009E1283"/>
    <w:rsid w:val="009E3A7F"/>
    <w:rsid w:val="009E4B2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99D"/>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1"/>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DD1"/>
    <w:rsid w:val="00A75ED7"/>
    <w:rsid w:val="00A76094"/>
    <w:rsid w:val="00A768E2"/>
    <w:rsid w:val="00A82C52"/>
    <w:rsid w:val="00A838E8"/>
    <w:rsid w:val="00A83C15"/>
    <w:rsid w:val="00A84638"/>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535"/>
    <w:rsid w:val="00AB062D"/>
    <w:rsid w:val="00AB0659"/>
    <w:rsid w:val="00AB0A8A"/>
    <w:rsid w:val="00AB1754"/>
    <w:rsid w:val="00AB1F8D"/>
    <w:rsid w:val="00AB27DD"/>
    <w:rsid w:val="00AB3E9E"/>
    <w:rsid w:val="00AB4BA4"/>
    <w:rsid w:val="00AB592E"/>
    <w:rsid w:val="00AB5B4F"/>
    <w:rsid w:val="00AC0C1C"/>
    <w:rsid w:val="00AC1305"/>
    <w:rsid w:val="00AC25DD"/>
    <w:rsid w:val="00AC37BE"/>
    <w:rsid w:val="00AC3870"/>
    <w:rsid w:val="00AC439D"/>
    <w:rsid w:val="00AC4BA1"/>
    <w:rsid w:val="00AC62CC"/>
    <w:rsid w:val="00AC64D6"/>
    <w:rsid w:val="00AC66BA"/>
    <w:rsid w:val="00AC712C"/>
    <w:rsid w:val="00AC713F"/>
    <w:rsid w:val="00AC7329"/>
    <w:rsid w:val="00AC7D96"/>
    <w:rsid w:val="00AD00E4"/>
    <w:rsid w:val="00AD067E"/>
    <w:rsid w:val="00AD168B"/>
    <w:rsid w:val="00AD1B4E"/>
    <w:rsid w:val="00AD1F75"/>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18C"/>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4FDB"/>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2D7B"/>
    <w:rsid w:val="00B63EAE"/>
    <w:rsid w:val="00B643A6"/>
    <w:rsid w:val="00B64DD6"/>
    <w:rsid w:val="00B66505"/>
    <w:rsid w:val="00B6710C"/>
    <w:rsid w:val="00B67D22"/>
    <w:rsid w:val="00B67E84"/>
    <w:rsid w:val="00B72076"/>
    <w:rsid w:val="00B72303"/>
    <w:rsid w:val="00B727A9"/>
    <w:rsid w:val="00B72C72"/>
    <w:rsid w:val="00B72ED9"/>
    <w:rsid w:val="00B731E4"/>
    <w:rsid w:val="00B73B31"/>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3A9"/>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B74D1"/>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940"/>
    <w:rsid w:val="00BD7C10"/>
    <w:rsid w:val="00BE046F"/>
    <w:rsid w:val="00BE0DEB"/>
    <w:rsid w:val="00BE229C"/>
    <w:rsid w:val="00BE2AB8"/>
    <w:rsid w:val="00BE2FC1"/>
    <w:rsid w:val="00BE3142"/>
    <w:rsid w:val="00BE37AA"/>
    <w:rsid w:val="00BE4039"/>
    <w:rsid w:val="00BE47D4"/>
    <w:rsid w:val="00BE61E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A"/>
    <w:rsid w:val="00C1474E"/>
    <w:rsid w:val="00C14C37"/>
    <w:rsid w:val="00C15735"/>
    <w:rsid w:val="00C157AA"/>
    <w:rsid w:val="00C15865"/>
    <w:rsid w:val="00C162E1"/>
    <w:rsid w:val="00C16BE4"/>
    <w:rsid w:val="00C16E9F"/>
    <w:rsid w:val="00C1713D"/>
    <w:rsid w:val="00C17523"/>
    <w:rsid w:val="00C177F1"/>
    <w:rsid w:val="00C17EE6"/>
    <w:rsid w:val="00C217F7"/>
    <w:rsid w:val="00C2272E"/>
    <w:rsid w:val="00C22F3A"/>
    <w:rsid w:val="00C23311"/>
    <w:rsid w:val="00C246EE"/>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2FB"/>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631"/>
    <w:rsid w:val="00C73942"/>
    <w:rsid w:val="00C73A83"/>
    <w:rsid w:val="00C74D3A"/>
    <w:rsid w:val="00C75F3D"/>
    <w:rsid w:val="00C76219"/>
    <w:rsid w:val="00C774E0"/>
    <w:rsid w:val="00C80511"/>
    <w:rsid w:val="00C80655"/>
    <w:rsid w:val="00C81156"/>
    <w:rsid w:val="00C81937"/>
    <w:rsid w:val="00C826F5"/>
    <w:rsid w:val="00C83740"/>
    <w:rsid w:val="00C84527"/>
    <w:rsid w:val="00C845FF"/>
    <w:rsid w:val="00C84AD1"/>
    <w:rsid w:val="00C85579"/>
    <w:rsid w:val="00C8590C"/>
    <w:rsid w:val="00C862F1"/>
    <w:rsid w:val="00C863E5"/>
    <w:rsid w:val="00C87BE6"/>
    <w:rsid w:val="00C87F76"/>
    <w:rsid w:val="00C90C2E"/>
    <w:rsid w:val="00C910DE"/>
    <w:rsid w:val="00C931FC"/>
    <w:rsid w:val="00C932C5"/>
    <w:rsid w:val="00C94CB6"/>
    <w:rsid w:val="00C95299"/>
    <w:rsid w:val="00C95A72"/>
    <w:rsid w:val="00C9650E"/>
    <w:rsid w:val="00C96776"/>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E5A9F"/>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1B38"/>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3A1"/>
    <w:rsid w:val="00D27C99"/>
    <w:rsid w:val="00D30912"/>
    <w:rsid w:val="00D31683"/>
    <w:rsid w:val="00D33452"/>
    <w:rsid w:val="00D336C8"/>
    <w:rsid w:val="00D339E8"/>
    <w:rsid w:val="00D33FDD"/>
    <w:rsid w:val="00D3654A"/>
    <w:rsid w:val="00D3662E"/>
    <w:rsid w:val="00D366FF"/>
    <w:rsid w:val="00D37245"/>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90A"/>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6FB0"/>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4193"/>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8A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4C7"/>
    <w:rsid w:val="00E350D1"/>
    <w:rsid w:val="00E36080"/>
    <w:rsid w:val="00E362D2"/>
    <w:rsid w:val="00E36D76"/>
    <w:rsid w:val="00E36F1A"/>
    <w:rsid w:val="00E40478"/>
    <w:rsid w:val="00E405EA"/>
    <w:rsid w:val="00E408B7"/>
    <w:rsid w:val="00E40E36"/>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257"/>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085"/>
    <w:rsid w:val="00EA681F"/>
    <w:rsid w:val="00EA684E"/>
    <w:rsid w:val="00EB04C6"/>
    <w:rsid w:val="00EB06A6"/>
    <w:rsid w:val="00EB29EA"/>
    <w:rsid w:val="00EB3307"/>
    <w:rsid w:val="00EB3823"/>
    <w:rsid w:val="00EB3CBB"/>
    <w:rsid w:val="00EB47D8"/>
    <w:rsid w:val="00EB493F"/>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1A59"/>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17F1"/>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5D11"/>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1FC5"/>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3E48"/>
    <w:rsid w:val="00F74399"/>
    <w:rsid w:val="00F75C12"/>
    <w:rsid w:val="00F764AF"/>
    <w:rsid w:val="00F76D01"/>
    <w:rsid w:val="00F80B43"/>
    <w:rsid w:val="00F80C97"/>
    <w:rsid w:val="00F81C35"/>
    <w:rsid w:val="00F82981"/>
    <w:rsid w:val="00F8311F"/>
    <w:rsid w:val="00F83248"/>
    <w:rsid w:val="00F83376"/>
    <w:rsid w:val="00F853AE"/>
    <w:rsid w:val="00F904E1"/>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949"/>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457528014">
      <w:bodyDiv w:val="1"/>
      <w:marLeft w:val="0"/>
      <w:marRight w:val="0"/>
      <w:marTop w:val="0"/>
      <w:marBottom w:val="0"/>
      <w:divBdr>
        <w:top w:val="none" w:sz="0" w:space="0" w:color="auto"/>
        <w:left w:val="none" w:sz="0" w:space="0" w:color="auto"/>
        <w:bottom w:val="none" w:sz="0" w:space="0" w:color="auto"/>
        <w:right w:val="none" w:sz="0" w:space="0" w:color="auto"/>
      </w:divBdr>
    </w:div>
    <w:div w:id="809790871">
      <w:bodyDiv w:val="1"/>
      <w:marLeft w:val="0"/>
      <w:marRight w:val="0"/>
      <w:marTop w:val="0"/>
      <w:marBottom w:val="0"/>
      <w:divBdr>
        <w:top w:val="none" w:sz="0" w:space="0" w:color="auto"/>
        <w:left w:val="none" w:sz="0" w:space="0" w:color="auto"/>
        <w:bottom w:val="none" w:sz="0" w:space="0" w:color="auto"/>
        <w:right w:val="none" w:sz="0" w:space="0" w:color="auto"/>
      </w:divBdr>
    </w:div>
    <w:div w:id="840701462">
      <w:bodyDiv w:val="1"/>
      <w:marLeft w:val="0"/>
      <w:marRight w:val="0"/>
      <w:marTop w:val="0"/>
      <w:marBottom w:val="0"/>
      <w:divBdr>
        <w:top w:val="none" w:sz="0" w:space="0" w:color="auto"/>
        <w:left w:val="none" w:sz="0" w:space="0" w:color="auto"/>
        <w:bottom w:val="none" w:sz="0" w:space="0" w:color="auto"/>
        <w:right w:val="none" w:sz="0" w:space="0" w:color="auto"/>
      </w:divBdr>
    </w:div>
    <w:div w:id="85203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B534-63A0-41A9-A57F-2DB9CC38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2012-10-23T12:32:00Z</cp:lastPrinted>
  <dcterms:created xsi:type="dcterms:W3CDTF">2012-11-27T14:48:00Z</dcterms:created>
  <dcterms:modified xsi:type="dcterms:W3CDTF">2012-11-27T14:48:00Z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