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B0CD9" w:rsidRDefault="0095270D" w:rsidP="00E3312C">
      <w:pPr>
        <w:tabs>
          <w:tab w:val="right" w:pos="9360"/>
        </w:tabs>
        <w:jc w:val="left"/>
        <w:rPr>
          <w:caps/>
          <w:color w:val="auto"/>
        </w:rPr>
      </w:pPr>
      <w:r w:rsidRPr="00F64312">
        <w:rPr>
          <w:caps/>
          <w:color w:val="auto"/>
        </w:rPr>
        <w:t xml:space="preserve">NAME:  </w:t>
      </w:r>
      <w:r w:rsidR="00FF48CE">
        <w:rPr>
          <w:caps/>
          <w:color w:val="auto"/>
        </w:rPr>
        <w:t>xxxxxxxxxxxxxxxxxxxx</w:t>
      </w:r>
      <w:r w:rsidR="00E3312C">
        <w:rPr>
          <w:caps/>
          <w:color w:val="auto"/>
        </w:rPr>
        <w:t xml:space="preserve">                                                           </w:t>
      </w:r>
      <w:r w:rsidR="00EE3CFB">
        <w:rPr>
          <w:caps/>
          <w:color w:val="auto"/>
        </w:rPr>
        <w:t>BRANCH OF SERVICE</w:t>
      </w:r>
      <w:r w:rsidR="00EE3CFB" w:rsidRPr="00AB0CD9">
        <w:rPr>
          <w:caps/>
          <w:color w:val="auto"/>
        </w:rPr>
        <w:t xml:space="preserve">: </w:t>
      </w:r>
      <w:r w:rsidR="0018208F" w:rsidRPr="00AB0CD9">
        <w:rPr>
          <w:caps/>
          <w:color w:val="auto"/>
        </w:rPr>
        <w:t xml:space="preserve"> </w:t>
      </w:r>
      <w:r w:rsidR="00DF70F4" w:rsidRPr="00AB0CD9">
        <w:rPr>
          <w:caps/>
          <w:color w:val="auto"/>
        </w:rPr>
        <w:t>Army</w:t>
      </w:r>
    </w:p>
    <w:p w:rsidR="0095270D" w:rsidRPr="00F64312" w:rsidRDefault="0095270D" w:rsidP="00E3312C">
      <w:pPr>
        <w:tabs>
          <w:tab w:val="right" w:pos="9360"/>
        </w:tabs>
        <w:jc w:val="left"/>
        <w:rPr>
          <w:color w:val="auto"/>
        </w:rPr>
      </w:pPr>
      <w:r w:rsidRPr="00AB0CD9">
        <w:rPr>
          <w:caps/>
          <w:color w:val="auto"/>
        </w:rPr>
        <w:t>CASE NUMBER:  PD</w:t>
      </w:r>
      <w:r w:rsidR="001657BE" w:rsidRPr="00AB0CD9">
        <w:rPr>
          <w:caps/>
          <w:color w:val="auto"/>
        </w:rPr>
        <w:t>12</w:t>
      </w:r>
      <w:r w:rsidRPr="00AB0CD9">
        <w:rPr>
          <w:caps/>
          <w:color w:val="auto"/>
        </w:rPr>
        <w:t>00</w:t>
      </w:r>
      <w:r w:rsidR="00AB0CD9" w:rsidRPr="00AB0CD9">
        <w:rPr>
          <w:caps/>
          <w:color w:val="auto"/>
        </w:rPr>
        <w:t>803</w:t>
      </w:r>
      <w:r w:rsidR="00DD5558">
        <w:rPr>
          <w:color w:val="auto"/>
        </w:rPr>
        <w:tab/>
      </w:r>
      <w:r w:rsidR="0018208F" w:rsidRPr="00F64312">
        <w:rPr>
          <w:color w:val="auto"/>
        </w:rPr>
        <w:t>SE</w:t>
      </w:r>
      <w:r w:rsidRPr="00F64312">
        <w:rPr>
          <w:color w:val="auto"/>
        </w:rPr>
        <w:t>PARATION DATE:  200</w:t>
      </w:r>
      <w:r w:rsidR="004E3D28">
        <w:rPr>
          <w:color w:val="auto"/>
        </w:rPr>
        <w:t>2</w:t>
      </w:r>
      <w:r w:rsidR="00AB0CD9" w:rsidRPr="00DD1623">
        <w:rPr>
          <w:color w:val="auto"/>
        </w:rPr>
        <w:t>0405</w:t>
      </w:r>
    </w:p>
    <w:p w:rsidR="00AD2379" w:rsidRPr="00F64312" w:rsidRDefault="0095270D" w:rsidP="00E3312C">
      <w:pPr>
        <w:pBdr>
          <w:bottom w:val="single" w:sz="12" w:space="1" w:color="auto"/>
        </w:pBdr>
        <w:tabs>
          <w:tab w:val="left" w:pos="288"/>
          <w:tab w:val="left" w:pos="4752"/>
        </w:tabs>
        <w:jc w:val="left"/>
        <w:rPr>
          <w:rFonts w:cs="Times New Roman"/>
          <w:caps/>
          <w:color w:val="auto"/>
        </w:rPr>
      </w:pPr>
      <w:r w:rsidRPr="00F64312">
        <w:rPr>
          <w:caps/>
          <w:color w:val="auto"/>
        </w:rPr>
        <w:t>BOARD DATE:  2012</w:t>
      </w:r>
      <w:r w:rsidR="00E3312C">
        <w:rPr>
          <w:caps/>
          <w:color w:val="auto"/>
        </w:rPr>
        <w:t>10</w:t>
      </w:r>
      <w:r w:rsidR="00984167">
        <w:rPr>
          <w:caps/>
          <w:color w:val="auto"/>
        </w:rPr>
        <w:t>18</w:t>
      </w:r>
    </w:p>
    <w:p w:rsidR="0095270D" w:rsidRPr="00F64312" w:rsidRDefault="0095270D" w:rsidP="0095270D">
      <w:pPr>
        <w:pBdr>
          <w:bottom w:val="single" w:sz="12" w:space="1" w:color="auto"/>
        </w:pBdr>
        <w:tabs>
          <w:tab w:val="left" w:pos="288"/>
          <w:tab w:val="left" w:pos="4752"/>
        </w:tabs>
        <w:jc w:val="both"/>
        <w:rPr>
          <w:color w:val="auto"/>
        </w:rPr>
      </w:pPr>
    </w:p>
    <w:p w:rsidR="00AD2379"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E3312C">
        <w:rPr>
          <w:color w:val="auto"/>
        </w:rPr>
        <w:t>a</w:t>
      </w:r>
      <w:r w:rsidR="00A70270" w:rsidRPr="00F64312">
        <w:rPr>
          <w:color w:val="auto"/>
        </w:rPr>
        <w:t xml:space="preserve"> </w:t>
      </w:r>
      <w:r w:rsidR="00AB0CD9" w:rsidRPr="00AB0CD9">
        <w:rPr>
          <w:color w:val="auto"/>
        </w:rPr>
        <w:t>SPC/E-4</w:t>
      </w:r>
      <w:r w:rsidRPr="00AB0CD9">
        <w:rPr>
          <w:color w:val="auto"/>
        </w:rPr>
        <w:t xml:space="preserve"> (</w:t>
      </w:r>
      <w:r w:rsidR="00AB0CD9" w:rsidRPr="00AB0CD9">
        <w:rPr>
          <w:color w:val="auto"/>
        </w:rPr>
        <w:t>95B, Military Police</w:t>
      </w:r>
      <w:r w:rsidR="00A70270" w:rsidRPr="00F64312">
        <w:rPr>
          <w:color w:val="auto"/>
        </w:rPr>
        <w:t xml:space="preserve">) </w:t>
      </w:r>
      <w:r w:rsidR="00545669">
        <w:rPr>
          <w:color w:val="auto"/>
        </w:rPr>
        <w:t xml:space="preserve">medically separated for </w:t>
      </w:r>
      <w:r w:rsidR="00984167">
        <w:rPr>
          <w:color w:val="auto"/>
        </w:rPr>
        <w:t xml:space="preserve">bilateral </w:t>
      </w:r>
      <w:r w:rsidR="003A538A">
        <w:rPr>
          <w:color w:val="auto"/>
        </w:rPr>
        <w:t xml:space="preserve">knee pain due to </w:t>
      </w:r>
      <w:proofErr w:type="spellStart"/>
      <w:r w:rsidR="00545669">
        <w:rPr>
          <w:color w:val="auto"/>
        </w:rPr>
        <w:t>retropatellar</w:t>
      </w:r>
      <w:proofErr w:type="spellEnd"/>
      <w:r w:rsidR="00545669">
        <w:rPr>
          <w:color w:val="auto"/>
        </w:rPr>
        <w:t xml:space="preserve"> pain </w:t>
      </w:r>
      <w:r w:rsidR="00545669" w:rsidRPr="008802C3">
        <w:rPr>
          <w:color w:val="auto"/>
        </w:rPr>
        <w:t>syndrome</w:t>
      </w:r>
      <w:r w:rsidR="00E3312C">
        <w:rPr>
          <w:color w:val="auto"/>
        </w:rPr>
        <w:t xml:space="preserve"> </w:t>
      </w:r>
      <w:r w:rsidR="00984167">
        <w:rPr>
          <w:color w:val="auto"/>
        </w:rPr>
        <w:t xml:space="preserve">(RPPS) </w:t>
      </w:r>
      <w:r w:rsidR="00E3312C">
        <w:rPr>
          <w:color w:val="auto"/>
        </w:rPr>
        <w:t xml:space="preserve">and </w:t>
      </w:r>
      <w:proofErr w:type="spellStart"/>
      <w:r w:rsidR="00545669">
        <w:rPr>
          <w:color w:val="auto"/>
        </w:rPr>
        <w:t>tibial</w:t>
      </w:r>
      <w:proofErr w:type="spellEnd"/>
      <w:r w:rsidR="00545669">
        <w:rPr>
          <w:color w:val="auto"/>
        </w:rPr>
        <w:t xml:space="preserve"> plateau stress reaction</w:t>
      </w:r>
      <w:r w:rsidR="00984167">
        <w:rPr>
          <w:color w:val="auto"/>
        </w:rPr>
        <w:t xml:space="preserve"> (TPSR)</w:t>
      </w:r>
      <w:r w:rsidR="0021565F" w:rsidRPr="00F64312">
        <w:rPr>
          <w:color w:val="auto"/>
          <w:szCs w:val="24"/>
        </w:rPr>
        <w:t>.</w:t>
      </w:r>
      <w:r w:rsidR="006D5E1E" w:rsidRPr="00F64312">
        <w:rPr>
          <w:color w:val="auto"/>
          <w:szCs w:val="24"/>
        </w:rPr>
        <w:t xml:space="preserve">  </w:t>
      </w:r>
      <w:r w:rsidR="006730B3" w:rsidRPr="00A669B5">
        <w:rPr>
          <w:color w:val="auto"/>
          <w:szCs w:val="24"/>
        </w:rPr>
        <w:t>The CI</w:t>
      </w:r>
      <w:r w:rsidR="003A538A">
        <w:rPr>
          <w:color w:val="auto"/>
          <w:szCs w:val="24"/>
        </w:rPr>
        <w:t xml:space="preserve"> was treated,</w:t>
      </w:r>
      <w:r w:rsidR="006730B3" w:rsidRPr="00A669B5">
        <w:rPr>
          <w:color w:val="auto"/>
          <w:szCs w:val="24"/>
        </w:rPr>
        <w:t xml:space="preserve"> </w:t>
      </w:r>
      <w:r w:rsidR="003A538A">
        <w:rPr>
          <w:color w:val="auto"/>
          <w:szCs w:val="24"/>
        </w:rPr>
        <w:t xml:space="preserve">but </w:t>
      </w:r>
      <w:r w:rsidR="00F15483" w:rsidRPr="008813CE">
        <w:rPr>
          <w:color w:val="auto"/>
        </w:rPr>
        <w:t xml:space="preserve">did not improve adequately </w:t>
      </w:r>
      <w:r w:rsidR="008813CE">
        <w:rPr>
          <w:color w:val="auto"/>
        </w:rPr>
        <w:t>to</w:t>
      </w:r>
      <w:r w:rsidR="00F566B7" w:rsidRPr="00F64312">
        <w:rPr>
          <w:color w:val="auto"/>
        </w:rPr>
        <w:t xml:space="preserve"> </w:t>
      </w:r>
      <w:r w:rsidR="003A538A">
        <w:rPr>
          <w:color w:val="auto"/>
        </w:rPr>
        <w:t xml:space="preserve">fully perform his </w:t>
      </w:r>
      <w:r w:rsidR="00C32865">
        <w:rPr>
          <w:color w:val="auto"/>
        </w:rPr>
        <w:t>military duties</w:t>
      </w:r>
      <w:r w:rsidR="003A538A">
        <w:rPr>
          <w:color w:val="auto"/>
        </w:rPr>
        <w:t xml:space="preserve"> </w:t>
      </w:r>
      <w:r w:rsidR="00F566B7" w:rsidRPr="008802C3">
        <w:rPr>
          <w:color w:val="auto"/>
        </w:rPr>
        <w:t>or</w:t>
      </w:r>
      <w:r w:rsidR="00F566B7" w:rsidRPr="00F64312">
        <w:rPr>
          <w:color w:val="auto"/>
        </w:rPr>
        <w:t xml:space="preserve"> </w:t>
      </w:r>
      <w:r w:rsidR="003A538A">
        <w:rPr>
          <w:color w:val="auto"/>
        </w:rPr>
        <w:t>meet</w:t>
      </w:r>
      <w:r w:rsidR="009C12A1" w:rsidRPr="00F64312">
        <w:rPr>
          <w:color w:val="auto"/>
        </w:rPr>
        <w:t xml:space="preserve"> physical fitness standards.</w:t>
      </w:r>
      <w:r w:rsidR="00F566B7" w:rsidRPr="00F64312">
        <w:rPr>
          <w:color w:val="auto"/>
        </w:rPr>
        <w:t xml:space="preserve"> </w:t>
      </w:r>
      <w:r w:rsidR="009C12A1" w:rsidRPr="00F64312">
        <w:rPr>
          <w:color w:val="auto"/>
        </w:rPr>
        <w:t xml:space="preserve"> </w:t>
      </w:r>
      <w:r w:rsidR="009C12A1" w:rsidRPr="00E0442F">
        <w:rPr>
          <w:color w:val="auto"/>
        </w:rPr>
        <w:t>H</w:t>
      </w:r>
      <w:r w:rsidR="009C12A1" w:rsidRPr="00F84BD9">
        <w:rPr>
          <w:color w:val="auto"/>
        </w:rPr>
        <w:t>e</w:t>
      </w:r>
      <w:r w:rsidR="00E0442F" w:rsidRPr="00F84BD9">
        <w:rPr>
          <w:color w:val="auto"/>
        </w:rPr>
        <w:t xml:space="preserve"> </w:t>
      </w:r>
      <w:r w:rsidR="00F566B7" w:rsidRPr="00F84BD9">
        <w:rPr>
          <w:color w:val="auto"/>
        </w:rPr>
        <w:t xml:space="preserve">was issued a permanent </w:t>
      </w:r>
      <w:r w:rsidR="00C352B5">
        <w:rPr>
          <w:color w:val="auto"/>
        </w:rPr>
        <w:t xml:space="preserve">L-4 </w:t>
      </w:r>
      <w:r w:rsidR="00F566B7" w:rsidRPr="00F84BD9">
        <w:rPr>
          <w:color w:val="auto"/>
        </w:rPr>
        <w:t>profile</w:t>
      </w:r>
      <w:r w:rsidR="00252A84" w:rsidRPr="00F84BD9">
        <w:rPr>
          <w:color w:val="auto"/>
        </w:rPr>
        <w:t xml:space="preserve"> </w:t>
      </w:r>
      <w:r w:rsidR="00F566B7" w:rsidRPr="00F84BD9">
        <w:rPr>
          <w:color w:val="auto"/>
        </w:rPr>
        <w:t>and</w:t>
      </w:r>
      <w:r w:rsidR="009C12A1" w:rsidRPr="00F84BD9">
        <w:rPr>
          <w:color w:val="auto"/>
        </w:rPr>
        <w:t xml:space="preserve"> </w:t>
      </w:r>
      <w:r w:rsidR="00C32865">
        <w:rPr>
          <w:color w:val="auto"/>
        </w:rPr>
        <w:t>underwent</w:t>
      </w:r>
      <w:r w:rsidR="00F566B7" w:rsidRPr="00F84BD9">
        <w:rPr>
          <w:color w:val="auto"/>
        </w:rPr>
        <w:t xml:space="preserve"> a Medical Evaluation Board (MEB).</w:t>
      </w:r>
      <w:r w:rsidR="006D5E1E" w:rsidRPr="00F84BD9">
        <w:rPr>
          <w:color w:val="auto"/>
        </w:rPr>
        <w:t xml:space="preserve">  </w:t>
      </w:r>
      <w:r w:rsidR="00C32865">
        <w:rPr>
          <w:color w:val="auto"/>
        </w:rPr>
        <w:t xml:space="preserve">The MEB referred him to a Physical Evaluation Board (PEB).  </w:t>
      </w:r>
      <w:r w:rsidR="003A538A">
        <w:rPr>
          <w:color w:val="auto"/>
        </w:rPr>
        <w:t xml:space="preserve">In addition to the knee conditions, a mental condition </w:t>
      </w:r>
      <w:r w:rsidR="00C32865">
        <w:rPr>
          <w:color w:val="auto"/>
        </w:rPr>
        <w:t>(a</w:t>
      </w:r>
      <w:r w:rsidR="003A538A">
        <w:rPr>
          <w:color w:val="auto"/>
        </w:rPr>
        <w:t>djustment disorder</w:t>
      </w:r>
      <w:r w:rsidR="00542360">
        <w:rPr>
          <w:color w:val="auto"/>
        </w:rPr>
        <w:t xml:space="preserve"> with depressed mood</w:t>
      </w:r>
      <w:r w:rsidR="003A538A">
        <w:rPr>
          <w:color w:val="auto"/>
        </w:rPr>
        <w:t xml:space="preserve">) </w:t>
      </w:r>
      <w:r w:rsidR="00C32865">
        <w:rPr>
          <w:color w:val="auto"/>
        </w:rPr>
        <w:t xml:space="preserve">was also listed </w:t>
      </w:r>
      <w:r w:rsidR="003A538A">
        <w:rPr>
          <w:color w:val="auto"/>
        </w:rPr>
        <w:t>on the DA Form 3947</w:t>
      </w:r>
      <w:r w:rsidR="00F84BD9" w:rsidRPr="00F84BD9">
        <w:rPr>
          <w:color w:val="auto"/>
        </w:rPr>
        <w:t xml:space="preserve">.  </w:t>
      </w:r>
      <w:r w:rsidRPr="00F84BD9">
        <w:rPr>
          <w:color w:val="auto"/>
        </w:rPr>
        <w:t xml:space="preserve">The PEB </w:t>
      </w:r>
      <w:r w:rsidR="003A538A">
        <w:rPr>
          <w:color w:val="auto"/>
        </w:rPr>
        <w:t>found the knee</w:t>
      </w:r>
      <w:r w:rsidR="00890E31">
        <w:rPr>
          <w:color w:val="auto"/>
        </w:rPr>
        <w:t>s</w:t>
      </w:r>
      <w:r w:rsidR="003A538A">
        <w:rPr>
          <w:color w:val="auto"/>
        </w:rPr>
        <w:t xml:space="preserve"> unfitting, </w:t>
      </w:r>
      <w:r w:rsidRPr="00F84BD9">
        <w:rPr>
          <w:color w:val="auto"/>
        </w:rPr>
        <w:t>a</w:t>
      </w:r>
      <w:r w:rsidR="00C32865">
        <w:rPr>
          <w:color w:val="auto"/>
        </w:rPr>
        <w:t xml:space="preserve">nd </w:t>
      </w:r>
      <w:r w:rsidR="00984167">
        <w:rPr>
          <w:color w:val="auto"/>
        </w:rPr>
        <w:t xml:space="preserve">assigned a </w:t>
      </w:r>
      <w:r w:rsidR="00C32865">
        <w:rPr>
          <w:color w:val="auto"/>
        </w:rPr>
        <w:t>rat</w:t>
      </w:r>
      <w:r w:rsidR="00984167">
        <w:rPr>
          <w:color w:val="auto"/>
        </w:rPr>
        <w:t xml:space="preserve">ing of </w:t>
      </w:r>
      <w:r w:rsidR="008802C3" w:rsidRPr="008802C3">
        <w:rPr>
          <w:color w:val="auto"/>
        </w:rPr>
        <w:t>0</w:t>
      </w:r>
      <w:r w:rsidRPr="008802C3">
        <w:rPr>
          <w:color w:val="auto"/>
        </w:rPr>
        <w:t>%</w:t>
      </w:r>
      <w:r w:rsidR="00C32865">
        <w:rPr>
          <w:color w:val="auto"/>
        </w:rPr>
        <w:t xml:space="preserve">.  </w:t>
      </w:r>
      <w:r w:rsidR="00380601" w:rsidRPr="008802C3">
        <w:rPr>
          <w:color w:val="auto"/>
        </w:rPr>
        <w:t xml:space="preserve">The </w:t>
      </w:r>
      <w:r w:rsidR="00C32865">
        <w:rPr>
          <w:color w:val="auto"/>
        </w:rPr>
        <w:t>mental</w:t>
      </w:r>
      <w:r w:rsidR="008802C3" w:rsidRPr="008802C3">
        <w:rPr>
          <w:color w:val="auto"/>
        </w:rPr>
        <w:t xml:space="preserve"> </w:t>
      </w:r>
      <w:r w:rsidR="00380601" w:rsidRPr="008802C3">
        <w:rPr>
          <w:color w:val="auto"/>
        </w:rPr>
        <w:t>condition</w:t>
      </w:r>
      <w:r w:rsidR="008802C3" w:rsidRPr="008802C3">
        <w:rPr>
          <w:color w:val="auto"/>
        </w:rPr>
        <w:t xml:space="preserve"> was</w:t>
      </w:r>
      <w:r w:rsidR="00380601" w:rsidRPr="008802C3">
        <w:rPr>
          <w:color w:val="auto"/>
        </w:rPr>
        <w:t xml:space="preserve"> determined to be </w:t>
      </w:r>
      <w:r w:rsidR="00890E31">
        <w:rPr>
          <w:color w:val="auto"/>
        </w:rPr>
        <w:t>“</w:t>
      </w:r>
      <w:r w:rsidR="00380601" w:rsidRPr="008802C3">
        <w:rPr>
          <w:color w:val="auto"/>
        </w:rPr>
        <w:t>not unfitting</w:t>
      </w:r>
      <w:r w:rsidR="00DF70F4" w:rsidRPr="008802C3">
        <w:rPr>
          <w:color w:val="auto"/>
        </w:rPr>
        <w:t>.</w:t>
      </w:r>
      <w:r w:rsidR="00890E31">
        <w:rPr>
          <w:color w:val="auto"/>
        </w:rPr>
        <w:t>”</w:t>
      </w:r>
      <w:r w:rsidR="001726BA" w:rsidRPr="008802C3">
        <w:rPr>
          <w:color w:val="auto"/>
        </w:rPr>
        <w:t xml:space="preserve">  </w:t>
      </w:r>
      <w:r w:rsidRPr="008802C3">
        <w:rPr>
          <w:color w:val="auto"/>
        </w:rPr>
        <w:t xml:space="preserve">The CI </w:t>
      </w:r>
      <w:r w:rsidR="002D3E5C">
        <w:rPr>
          <w:color w:val="auto"/>
        </w:rPr>
        <w:t>accepted the PEB findings</w:t>
      </w:r>
      <w:r w:rsidRPr="008802C3">
        <w:rPr>
          <w:color w:val="auto"/>
        </w:rPr>
        <w:t xml:space="preserve">, and was medically separated with </w:t>
      </w:r>
      <w:r w:rsidR="008802C3" w:rsidRPr="008802C3">
        <w:rPr>
          <w:color w:val="auto"/>
        </w:rPr>
        <w:t>a 0</w:t>
      </w:r>
      <w:r w:rsidR="0066684A" w:rsidRPr="008802C3">
        <w:rPr>
          <w:color w:val="auto"/>
        </w:rPr>
        <w:t xml:space="preserve">% </w:t>
      </w:r>
      <w:r w:rsidRPr="008802C3">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627433" w:rsidRPr="00B23A2C" w:rsidRDefault="00AD2379" w:rsidP="00160837">
      <w:pPr>
        <w:tabs>
          <w:tab w:val="left" w:pos="288"/>
          <w:tab w:val="left" w:pos="4752"/>
        </w:tabs>
        <w:jc w:val="both"/>
        <w:rPr>
          <w:color w:val="auto"/>
        </w:rPr>
      </w:pPr>
      <w:r w:rsidRPr="00F64312">
        <w:rPr>
          <w:color w:val="auto"/>
          <w:u w:val="single"/>
        </w:rPr>
        <w:t>CI</w:t>
      </w:r>
      <w:r w:rsidR="00B23A2C">
        <w:rPr>
          <w:color w:val="auto"/>
          <w:u w:val="single"/>
        </w:rPr>
        <w:t>’s</w:t>
      </w:r>
      <w:r w:rsidRPr="00F64312">
        <w:rPr>
          <w:color w:val="auto"/>
          <w:u w:val="single"/>
        </w:rPr>
        <w:t xml:space="preserve"> CONTENTION</w:t>
      </w:r>
      <w:r w:rsidRPr="00F64312">
        <w:rPr>
          <w:color w:val="auto"/>
        </w:rPr>
        <w:t>:</w:t>
      </w:r>
      <w:r w:rsidR="0066684A" w:rsidRPr="00F64312">
        <w:rPr>
          <w:color w:val="auto"/>
        </w:rPr>
        <w:t xml:space="preserve"> </w:t>
      </w:r>
      <w:r w:rsidR="006F674E" w:rsidRPr="00F64312">
        <w:rPr>
          <w:color w:val="auto"/>
        </w:rPr>
        <w:t xml:space="preserve"> </w:t>
      </w:r>
      <w:r w:rsidR="00B23A2C">
        <w:rPr>
          <w:color w:val="auto"/>
        </w:rPr>
        <w:t>“</w:t>
      </w:r>
      <w:r w:rsidR="00160837" w:rsidRPr="00160837">
        <w:rPr>
          <w:color w:val="auto"/>
        </w:rPr>
        <w:t xml:space="preserve">Have my case looked at according to VASRD instead of prior </w:t>
      </w:r>
      <w:proofErr w:type="gramStart"/>
      <w:r w:rsidR="00160837" w:rsidRPr="00160837">
        <w:rPr>
          <w:color w:val="auto"/>
        </w:rPr>
        <w:t>D</w:t>
      </w:r>
      <w:r w:rsidR="002D3E5C">
        <w:rPr>
          <w:color w:val="auto"/>
        </w:rPr>
        <w:t>o</w:t>
      </w:r>
      <w:r w:rsidR="00160837" w:rsidRPr="00160837">
        <w:rPr>
          <w:color w:val="auto"/>
        </w:rPr>
        <w:t>D</w:t>
      </w:r>
      <w:proofErr w:type="gramEnd"/>
      <w:r w:rsidR="00160837" w:rsidRPr="00160837">
        <w:rPr>
          <w:color w:val="auto"/>
        </w:rPr>
        <w:t xml:space="preserve"> ratings. </w:t>
      </w:r>
      <w:r w:rsidR="00160837">
        <w:rPr>
          <w:color w:val="auto"/>
        </w:rPr>
        <w:t xml:space="preserve"> </w:t>
      </w:r>
      <w:r w:rsidR="00160837" w:rsidRPr="00160837">
        <w:rPr>
          <w:color w:val="auto"/>
        </w:rPr>
        <w:t>The VA awarded me a 50%</w:t>
      </w:r>
      <w:r w:rsidR="00160837">
        <w:rPr>
          <w:color w:val="auto"/>
        </w:rPr>
        <w:t xml:space="preserve">, </w:t>
      </w:r>
      <w:r w:rsidR="00160837" w:rsidRPr="00160837">
        <w:rPr>
          <w:color w:val="auto"/>
        </w:rPr>
        <w:t>but the Army issued a 0% with severance</w:t>
      </w:r>
      <w:r w:rsidR="00160837">
        <w:rPr>
          <w:color w:val="auto"/>
        </w:rPr>
        <w:t xml:space="preserve">.  </w:t>
      </w:r>
      <w:r w:rsidR="00160837" w:rsidRPr="00160837">
        <w:rPr>
          <w:color w:val="auto"/>
        </w:rPr>
        <w:t xml:space="preserve">Therefore, I had a disability rating less than 20% and was found ineligible for retirement. </w:t>
      </w:r>
      <w:r w:rsidR="00160837">
        <w:rPr>
          <w:color w:val="auto"/>
        </w:rPr>
        <w:t xml:space="preserve"> </w:t>
      </w:r>
      <w:r w:rsidR="00160837" w:rsidRPr="00160837">
        <w:rPr>
          <w:color w:val="auto"/>
        </w:rPr>
        <w:t>Finally, I was permanently separated from military</w:t>
      </w:r>
      <w:r w:rsidR="00160837">
        <w:rPr>
          <w:color w:val="auto"/>
        </w:rPr>
        <w:t xml:space="preserve"> </w:t>
      </w:r>
      <w:r w:rsidR="00160837" w:rsidRPr="00160837">
        <w:rPr>
          <w:color w:val="auto"/>
        </w:rPr>
        <w:t>service after September 10, 2001</w:t>
      </w:r>
      <w:r w:rsidR="00160837">
        <w:rPr>
          <w:color w:val="auto"/>
        </w:rPr>
        <w:t>,</w:t>
      </w:r>
      <w:r w:rsidR="00160837" w:rsidRPr="00160837">
        <w:rPr>
          <w:color w:val="auto"/>
        </w:rPr>
        <w:t xml:space="preserve"> but before September 30,</w:t>
      </w:r>
      <w:r w:rsidR="00160837">
        <w:rPr>
          <w:color w:val="auto"/>
        </w:rPr>
        <w:t xml:space="preserve"> </w:t>
      </w:r>
      <w:r w:rsidR="00160837" w:rsidRPr="00160837">
        <w:rPr>
          <w:color w:val="auto"/>
        </w:rPr>
        <w:t>2009.</w:t>
      </w:r>
      <w:r w:rsidR="00B23A2C">
        <w:rPr>
          <w:color w:val="auto"/>
        </w:rPr>
        <w:t xml:space="preserve">  </w:t>
      </w:r>
      <w:r w:rsidR="00160837" w:rsidRPr="00160837">
        <w:rPr>
          <w:color w:val="auto"/>
        </w:rPr>
        <w:t>Refer to VA Fo</w:t>
      </w:r>
      <w:r w:rsidR="00160837">
        <w:rPr>
          <w:color w:val="auto"/>
        </w:rPr>
        <w:t>rm</w:t>
      </w:r>
      <w:r w:rsidR="00160837" w:rsidRPr="00160837">
        <w:rPr>
          <w:color w:val="auto"/>
        </w:rPr>
        <w:t xml:space="preserve"> 3288, Application for a Review by the PDBR of the Rating Awarded Accompanying a Medical Separation from the A</w:t>
      </w:r>
      <w:r w:rsidR="008F2846">
        <w:rPr>
          <w:color w:val="auto"/>
        </w:rPr>
        <w:t>rm</w:t>
      </w:r>
      <w:r w:rsidR="00160837" w:rsidRPr="00160837">
        <w:rPr>
          <w:color w:val="auto"/>
        </w:rPr>
        <w:t>ed</w:t>
      </w:r>
      <w:r w:rsidR="008F2846">
        <w:rPr>
          <w:color w:val="auto"/>
        </w:rPr>
        <w:t xml:space="preserve"> </w:t>
      </w:r>
      <w:r w:rsidR="00160837" w:rsidRPr="00160837">
        <w:rPr>
          <w:color w:val="auto"/>
        </w:rPr>
        <w:t>Forces of the United States - Statement #1, Application for a Review by the PDBR of the Rating Awarded Accompanying a Medical Separation</w:t>
      </w:r>
      <w:r w:rsidR="008F2846">
        <w:rPr>
          <w:color w:val="auto"/>
        </w:rPr>
        <w:t xml:space="preserve"> </w:t>
      </w:r>
      <w:r w:rsidR="00160837" w:rsidRPr="00160837">
        <w:rPr>
          <w:color w:val="auto"/>
        </w:rPr>
        <w:t>from the A</w:t>
      </w:r>
      <w:r w:rsidR="008F2846">
        <w:rPr>
          <w:color w:val="auto"/>
        </w:rPr>
        <w:t>rm</w:t>
      </w:r>
      <w:r w:rsidR="00160837" w:rsidRPr="00160837">
        <w:rPr>
          <w:color w:val="auto"/>
        </w:rPr>
        <w:t>ed Forces of the United States - Statement #2, VA dete</w:t>
      </w:r>
      <w:r w:rsidR="008F2846">
        <w:rPr>
          <w:color w:val="auto"/>
        </w:rPr>
        <w:t>rm</w:t>
      </w:r>
      <w:r w:rsidR="00160837" w:rsidRPr="00160837">
        <w:rPr>
          <w:color w:val="auto"/>
        </w:rPr>
        <w:t>ination letters, &amp; DD</w:t>
      </w:r>
      <w:r w:rsidR="00B23A2C">
        <w:rPr>
          <w:color w:val="auto"/>
        </w:rPr>
        <w:t xml:space="preserve"> </w:t>
      </w:r>
      <w:r w:rsidR="00160837" w:rsidRPr="00160837">
        <w:rPr>
          <w:color w:val="auto"/>
        </w:rPr>
        <w:t>214.</w:t>
      </w:r>
      <w:r w:rsidR="00627433">
        <w:rPr>
          <w:color w:val="auto"/>
        </w:rPr>
        <w:t>”</w:t>
      </w:r>
      <w:r w:rsidR="00890E31">
        <w:rPr>
          <w:color w:val="auto"/>
        </w:rPr>
        <w:t xml:space="preserve"> </w:t>
      </w:r>
      <w:r w:rsidR="00B23A2C">
        <w:rPr>
          <w:color w:val="auto"/>
        </w:rPr>
        <w:t xml:space="preserve"> In addition</w:t>
      </w:r>
      <w:r w:rsidR="002D3E5C">
        <w:rPr>
          <w:color w:val="auto"/>
        </w:rPr>
        <w:t xml:space="preserve"> to the above</w:t>
      </w:r>
      <w:r w:rsidR="00890E31">
        <w:rPr>
          <w:color w:val="auto"/>
        </w:rPr>
        <w:t xml:space="preserve"> contention</w:t>
      </w:r>
      <w:r w:rsidR="00B23A2C">
        <w:rPr>
          <w:color w:val="auto"/>
        </w:rPr>
        <w:t xml:space="preserve">, the CI has written a </w:t>
      </w:r>
      <w:r w:rsidR="00627433">
        <w:rPr>
          <w:rFonts w:eastAsia="Cambria"/>
          <w:color w:val="auto"/>
          <w:szCs w:val="24"/>
        </w:rPr>
        <w:t>three</w:t>
      </w:r>
      <w:r w:rsidR="00627433" w:rsidRPr="00F64312">
        <w:rPr>
          <w:rFonts w:eastAsia="Cambria"/>
          <w:color w:val="auto"/>
          <w:szCs w:val="24"/>
        </w:rPr>
        <w:t xml:space="preserve"> </w:t>
      </w:r>
      <w:r w:rsidR="00627433" w:rsidRPr="00627433">
        <w:rPr>
          <w:rFonts w:eastAsia="Cambria"/>
          <w:color w:val="auto"/>
          <w:szCs w:val="24"/>
        </w:rPr>
        <w:t xml:space="preserve">page </w:t>
      </w:r>
      <w:r w:rsidR="00984167">
        <w:rPr>
          <w:rFonts w:eastAsia="Cambria"/>
          <w:color w:val="auto"/>
          <w:szCs w:val="24"/>
        </w:rPr>
        <w:t>memo</w:t>
      </w:r>
      <w:r w:rsidR="00627433" w:rsidRPr="00F64312">
        <w:rPr>
          <w:rFonts w:eastAsia="Cambria"/>
          <w:color w:val="auto"/>
          <w:szCs w:val="24"/>
        </w:rPr>
        <w:t xml:space="preserve"> which was reviewed </w:t>
      </w:r>
      <w:r w:rsidR="00B23A2C">
        <w:rPr>
          <w:rFonts w:eastAsia="Cambria"/>
          <w:color w:val="auto"/>
          <w:szCs w:val="24"/>
        </w:rPr>
        <w:t xml:space="preserve">and considered </w:t>
      </w:r>
      <w:r w:rsidR="00627433" w:rsidRPr="00F64312">
        <w:rPr>
          <w:rFonts w:eastAsia="Cambria"/>
          <w:color w:val="auto"/>
          <w:szCs w:val="24"/>
        </w:rPr>
        <w:t>by the Board.</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w:t>
      </w:r>
      <w:r w:rsidR="002D3E5C">
        <w:rPr>
          <w:color w:val="auto"/>
        </w:rPr>
        <w:t>’s</w:t>
      </w:r>
      <w:r w:rsidRPr="00C566C9">
        <w:rPr>
          <w:color w:val="auto"/>
        </w:rPr>
        <w:t xml:space="preserve"> scope of re</w:t>
      </w:r>
      <w:r w:rsidR="00AE2B85">
        <w:rPr>
          <w:color w:val="auto"/>
        </w:rPr>
        <w:t xml:space="preserve">view as defined in </w:t>
      </w:r>
      <w:r w:rsidR="008E435B">
        <w:rPr>
          <w:color w:val="auto"/>
        </w:rPr>
        <w:t>the Department of Defense Instruction (</w:t>
      </w:r>
      <w:proofErr w:type="spellStart"/>
      <w:r w:rsidR="00AE2B85">
        <w:rPr>
          <w:color w:val="auto"/>
        </w:rPr>
        <w:t>DoDI</w:t>
      </w:r>
      <w:proofErr w:type="spellEnd"/>
      <w:r w:rsidR="008E435B">
        <w:rPr>
          <w:color w:val="auto"/>
        </w:rPr>
        <w:t>)</w:t>
      </w:r>
      <w:r w:rsidR="00AE2B85">
        <w:rPr>
          <w:color w:val="auto"/>
        </w:rPr>
        <w:t xml:space="preserve"> </w:t>
      </w:r>
      <w:proofErr w:type="gramStart"/>
      <w:r w:rsidR="002D3E5C">
        <w:rPr>
          <w:color w:val="auto"/>
        </w:rPr>
        <w:t>6040.44,</w:t>
      </w:r>
      <w:proofErr w:type="gramEnd"/>
      <w:r w:rsidR="002D3E5C">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D3E5C">
        <w:rPr>
          <w:color w:val="auto"/>
        </w:rPr>
        <w:t>.</w:t>
      </w:r>
      <w:r w:rsidRPr="00C566C9">
        <w:rPr>
          <w:color w:val="auto"/>
        </w:rPr>
        <w:t>”</w:t>
      </w:r>
      <w:r>
        <w:rPr>
          <w:color w:val="auto"/>
        </w:rPr>
        <w:t xml:space="preserve">  </w:t>
      </w:r>
      <w:r w:rsidRPr="009239C0">
        <w:rPr>
          <w:color w:val="auto"/>
        </w:rPr>
        <w:t xml:space="preserve">The unfitting </w:t>
      </w:r>
      <w:r w:rsidR="002D3E5C">
        <w:rPr>
          <w:color w:val="auto"/>
        </w:rPr>
        <w:t xml:space="preserve">knee </w:t>
      </w:r>
      <w:r w:rsidRPr="009239C0">
        <w:rPr>
          <w:color w:val="auto"/>
        </w:rPr>
        <w:t>condition</w:t>
      </w:r>
      <w:r w:rsidR="002D3E5C">
        <w:rPr>
          <w:color w:val="auto"/>
        </w:rPr>
        <w:t xml:space="preserve"> (</w:t>
      </w:r>
      <w:r w:rsidR="00CC4DE9" w:rsidRPr="00CC4DE9">
        <w:rPr>
          <w:color w:val="auto"/>
        </w:rPr>
        <w:t xml:space="preserve">bilateral </w:t>
      </w:r>
      <w:proofErr w:type="spellStart"/>
      <w:r w:rsidR="00CC4DE9" w:rsidRPr="00CC4DE9">
        <w:rPr>
          <w:color w:val="auto"/>
        </w:rPr>
        <w:t>retropatellar</w:t>
      </w:r>
      <w:proofErr w:type="spellEnd"/>
      <w:r w:rsidR="00CC4DE9" w:rsidRPr="00CC4DE9">
        <w:rPr>
          <w:color w:val="auto"/>
        </w:rPr>
        <w:t xml:space="preserve"> pain syndrome</w:t>
      </w:r>
      <w:r w:rsidR="002D3E5C">
        <w:rPr>
          <w:color w:val="auto"/>
        </w:rPr>
        <w:t xml:space="preserve"> </w:t>
      </w:r>
      <w:proofErr w:type="gramStart"/>
      <w:r w:rsidR="001F14D7">
        <w:rPr>
          <w:color w:val="auto"/>
        </w:rPr>
        <w:t>&amp;</w:t>
      </w:r>
      <w:r w:rsidR="002D3E5C">
        <w:rPr>
          <w:color w:val="auto"/>
        </w:rPr>
        <w:t xml:space="preserve"> </w:t>
      </w:r>
      <w:r w:rsidR="00CC4DE9" w:rsidRPr="00CC4DE9">
        <w:rPr>
          <w:color w:val="auto"/>
        </w:rPr>
        <w:t xml:space="preserve"> </w:t>
      </w:r>
      <w:r w:rsidR="007F2AE2">
        <w:rPr>
          <w:color w:val="auto"/>
        </w:rPr>
        <w:t>b</w:t>
      </w:r>
      <w:r w:rsidR="00454F14">
        <w:rPr>
          <w:color w:val="auto"/>
        </w:rPr>
        <w:t>ilateral</w:t>
      </w:r>
      <w:proofErr w:type="gramEnd"/>
      <w:r w:rsidR="00454F14">
        <w:rPr>
          <w:color w:val="auto"/>
        </w:rPr>
        <w:t xml:space="preserve"> </w:t>
      </w:r>
      <w:proofErr w:type="spellStart"/>
      <w:r w:rsidR="00CC4DE9" w:rsidRPr="00CC4DE9">
        <w:rPr>
          <w:color w:val="auto"/>
        </w:rPr>
        <w:t>tibial</w:t>
      </w:r>
      <w:proofErr w:type="spellEnd"/>
      <w:r w:rsidR="00CC4DE9" w:rsidRPr="00CC4DE9">
        <w:rPr>
          <w:color w:val="auto"/>
        </w:rPr>
        <w:t xml:space="preserve"> plateau stress reaction</w:t>
      </w:r>
      <w:r w:rsidR="002D3E5C">
        <w:rPr>
          <w:color w:val="auto"/>
        </w:rPr>
        <w:t>)</w:t>
      </w:r>
      <w:r w:rsidR="00CC4DE9" w:rsidRPr="00CC4DE9">
        <w:rPr>
          <w:color w:val="auto"/>
        </w:rPr>
        <w:t xml:space="preserve"> and the adjustment disorder </w:t>
      </w:r>
      <w:r w:rsidRPr="00CC4DE9">
        <w:rPr>
          <w:color w:val="auto"/>
        </w:rPr>
        <w:t xml:space="preserve">condition meet the criteria prescribed in </w:t>
      </w:r>
      <w:proofErr w:type="spellStart"/>
      <w:r w:rsidRPr="00CC4DE9">
        <w:rPr>
          <w:color w:val="auto"/>
        </w:rPr>
        <w:t>DoDI</w:t>
      </w:r>
      <w:proofErr w:type="spellEnd"/>
      <w:r w:rsidRPr="00CC4DE9">
        <w:rPr>
          <w:color w:val="auto"/>
        </w:rPr>
        <w:t xml:space="preserve"> 6040.44 for Board purview, and are accordingly </w:t>
      </w:r>
      <w:r w:rsidR="001F14D7">
        <w:rPr>
          <w:color w:val="auto"/>
        </w:rPr>
        <w:t xml:space="preserve">addressed below.  The </w:t>
      </w:r>
      <w:r w:rsidR="00284389">
        <w:rPr>
          <w:color w:val="auto"/>
        </w:rPr>
        <w:t xml:space="preserve">tinnitus </w:t>
      </w:r>
      <w:r w:rsidRPr="00CC4DE9">
        <w:rPr>
          <w:color w:val="auto"/>
        </w:rPr>
        <w:t xml:space="preserve">condition rated by the VA and </w:t>
      </w:r>
      <w:r w:rsidR="00984167">
        <w:rPr>
          <w:color w:val="auto"/>
        </w:rPr>
        <w:t xml:space="preserve">noted in the </w:t>
      </w:r>
      <w:r w:rsidR="00CC4DE9" w:rsidRPr="00CC4DE9">
        <w:rPr>
          <w:color w:val="auto"/>
        </w:rPr>
        <w:t xml:space="preserve">CI’s </w:t>
      </w:r>
      <w:r w:rsidR="00984167">
        <w:rPr>
          <w:color w:val="auto"/>
        </w:rPr>
        <w:t xml:space="preserve">written </w:t>
      </w:r>
      <w:r w:rsidR="00CC4DE9" w:rsidRPr="00CC4DE9">
        <w:rPr>
          <w:color w:val="auto"/>
        </w:rPr>
        <w:t>statement to the P</w:t>
      </w:r>
      <w:r w:rsidR="001F14D7">
        <w:rPr>
          <w:color w:val="auto"/>
        </w:rPr>
        <w:t>DB</w:t>
      </w:r>
      <w:r w:rsidR="00CC4DE9" w:rsidRPr="00CC4DE9">
        <w:rPr>
          <w:color w:val="auto"/>
        </w:rPr>
        <w:t xml:space="preserve">R </w:t>
      </w:r>
      <w:r w:rsidR="00284389">
        <w:rPr>
          <w:color w:val="auto"/>
        </w:rPr>
        <w:t xml:space="preserve">is </w:t>
      </w:r>
      <w:r w:rsidRPr="00CC4DE9">
        <w:rPr>
          <w:color w:val="auto"/>
        </w:rPr>
        <w:t>not within the Board’s purview.  Any condition outside the Board’s</w:t>
      </w:r>
      <w:r w:rsidR="002D3E5C">
        <w:rPr>
          <w:color w:val="auto"/>
        </w:rPr>
        <w:t xml:space="preserve"> defined scope of review </w:t>
      </w:r>
      <w:r w:rsidR="004970C8">
        <w:rPr>
          <w:color w:val="auto"/>
        </w:rPr>
        <w:t>may be</w:t>
      </w:r>
      <w:r w:rsidRPr="00CC4DE9">
        <w:rPr>
          <w:color w:val="auto"/>
        </w:rPr>
        <w:t xml:space="preserve"> eligible for future consideration by the Army Board for Correction of Military </w:t>
      </w:r>
      <w:r w:rsidR="00CC4DE9" w:rsidRPr="00CC4DE9">
        <w:rPr>
          <w:color w:val="auto"/>
        </w:rPr>
        <w:t>Records.</w:t>
      </w:r>
    </w:p>
    <w:p w:rsidR="000B63CF" w:rsidRPr="00F64312" w:rsidRDefault="000B63CF" w:rsidP="000B63CF">
      <w:pPr>
        <w:pBdr>
          <w:bottom w:val="single" w:sz="12" w:space="1" w:color="auto"/>
        </w:pBdr>
        <w:tabs>
          <w:tab w:val="left" w:pos="288"/>
          <w:tab w:val="left" w:pos="4752"/>
        </w:tabs>
        <w:jc w:val="both"/>
        <w:rPr>
          <w:color w:val="auto"/>
        </w:rPr>
      </w:pPr>
    </w:p>
    <w:p w:rsidR="002D3E5C" w:rsidRDefault="002D3E5C"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00132A09">
        <w:rPr>
          <w:color w:val="auto"/>
        </w:rPr>
        <w:t>:</w:t>
      </w:r>
    </w:p>
    <w:p w:rsidR="00F90376" w:rsidRPr="00F64312" w:rsidRDefault="00F90376" w:rsidP="00F90376">
      <w:pPr>
        <w:jc w:val="both"/>
        <w:rPr>
          <w:color w:val="auto"/>
        </w:rPr>
      </w:pPr>
    </w:p>
    <w:tbl>
      <w:tblPr>
        <w:tblStyle w:val="TableGrid"/>
        <w:tblW w:w="9228" w:type="dxa"/>
        <w:jc w:val="center"/>
        <w:tblInd w:w="1128" w:type="dxa"/>
        <w:tblLayout w:type="fixed"/>
        <w:tblLook w:val="00A0"/>
      </w:tblPr>
      <w:tblGrid>
        <w:gridCol w:w="1842"/>
        <w:gridCol w:w="1164"/>
        <w:gridCol w:w="990"/>
        <w:gridCol w:w="2214"/>
        <w:gridCol w:w="1170"/>
        <w:gridCol w:w="743"/>
        <w:gridCol w:w="1105"/>
      </w:tblGrid>
      <w:tr w:rsidR="00F90376" w:rsidRPr="00F64312" w:rsidTr="00485728">
        <w:trPr>
          <w:trHeight w:val="170"/>
          <w:jc w:val="center"/>
        </w:trPr>
        <w:tc>
          <w:tcPr>
            <w:tcW w:w="3996" w:type="dxa"/>
            <w:gridSpan w:val="3"/>
            <w:tcBorders>
              <w:right w:val="thinThickThinSmallGap" w:sz="24" w:space="0" w:color="auto"/>
            </w:tcBorders>
            <w:shd w:val="clear" w:color="auto" w:fill="D9D9D9"/>
            <w:vAlign w:val="center"/>
          </w:tcPr>
          <w:p w:rsidR="00F90376" w:rsidRPr="00F64312" w:rsidRDefault="001A6E6A" w:rsidP="001A6E6A">
            <w:pPr>
              <w:spacing w:line="180" w:lineRule="exact"/>
              <w:contextualSpacing/>
              <w:rPr>
                <w:rFonts w:cs="Calibri"/>
                <w:b/>
                <w:color w:val="auto"/>
                <w:sz w:val="18"/>
              </w:rPr>
            </w:pPr>
            <w:r>
              <w:rPr>
                <w:b/>
                <w:color w:val="auto"/>
                <w:sz w:val="18"/>
              </w:rPr>
              <w:t>Service I</w:t>
            </w:r>
            <w:r w:rsidR="00F90376" w:rsidRPr="00F64312">
              <w:rPr>
                <w:b/>
                <w:color w:val="auto"/>
                <w:sz w:val="18"/>
              </w:rPr>
              <w:t xml:space="preserve">PEB – </w:t>
            </w:r>
            <w:r w:rsidR="0087076E">
              <w:rPr>
                <w:b/>
                <w:color w:val="auto"/>
                <w:sz w:val="18"/>
              </w:rPr>
              <w:t>d</w:t>
            </w:r>
            <w:r w:rsidR="00F90376" w:rsidRPr="00F64312">
              <w:rPr>
                <w:b/>
                <w:color w:val="auto"/>
                <w:sz w:val="18"/>
              </w:rPr>
              <w:t xml:space="preserve">ated </w:t>
            </w:r>
            <w:r w:rsidR="00454F14">
              <w:rPr>
                <w:b/>
                <w:color w:val="auto"/>
                <w:sz w:val="18"/>
              </w:rPr>
              <w:t>20011213</w:t>
            </w:r>
          </w:p>
        </w:tc>
        <w:tc>
          <w:tcPr>
            <w:tcW w:w="5232" w:type="dxa"/>
            <w:gridSpan w:val="4"/>
            <w:tcBorders>
              <w:left w:val="thinThickThinSmallGap" w:sz="24" w:space="0" w:color="auto"/>
            </w:tcBorders>
            <w:shd w:val="clear" w:color="auto" w:fill="D9D9D9"/>
            <w:vAlign w:val="center"/>
          </w:tcPr>
          <w:p w:rsidR="00F90376" w:rsidRPr="00F64312" w:rsidRDefault="00F90376" w:rsidP="00485728">
            <w:pPr>
              <w:spacing w:line="180" w:lineRule="exact"/>
              <w:contextualSpacing/>
              <w:rPr>
                <w:rFonts w:cs="Calibri"/>
                <w:b/>
                <w:color w:val="auto"/>
                <w:sz w:val="18"/>
              </w:rPr>
            </w:pPr>
            <w:r w:rsidRPr="00F64312">
              <w:rPr>
                <w:b/>
                <w:color w:val="auto"/>
                <w:sz w:val="18"/>
              </w:rPr>
              <w:t>VA (</w:t>
            </w:r>
            <w:r w:rsidR="004877FA">
              <w:rPr>
                <w:b/>
                <w:color w:val="auto"/>
                <w:sz w:val="18"/>
              </w:rPr>
              <w:t xml:space="preserve">3 </w:t>
            </w:r>
            <w:r w:rsidR="00485728">
              <w:rPr>
                <w:b/>
                <w:color w:val="auto"/>
                <w:sz w:val="18"/>
              </w:rPr>
              <w:t>m</w:t>
            </w:r>
            <w:r w:rsidRPr="00F64312">
              <w:rPr>
                <w:b/>
                <w:color w:val="auto"/>
                <w:sz w:val="18"/>
              </w:rPr>
              <w:t xml:space="preserve">os. </w:t>
            </w:r>
            <w:r w:rsidRPr="00793DB1">
              <w:rPr>
                <w:b/>
                <w:color w:val="auto"/>
                <w:sz w:val="18"/>
              </w:rPr>
              <w:t>Pre-Separation</w:t>
            </w:r>
            <w:r w:rsidRPr="00F64312">
              <w:rPr>
                <w:b/>
                <w:color w:val="auto"/>
                <w:sz w:val="18"/>
              </w:rPr>
              <w:t xml:space="preserve">) – All Effective </w:t>
            </w:r>
            <w:r w:rsidR="00D907C2">
              <w:rPr>
                <w:b/>
                <w:color w:val="auto"/>
                <w:sz w:val="18"/>
              </w:rPr>
              <w:t>20020406</w:t>
            </w:r>
          </w:p>
        </w:tc>
      </w:tr>
      <w:tr w:rsidR="00485728" w:rsidRPr="00F64312" w:rsidTr="00485728">
        <w:trPr>
          <w:trHeight w:val="97"/>
          <w:jc w:val="center"/>
        </w:trPr>
        <w:tc>
          <w:tcPr>
            <w:tcW w:w="1842"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164"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99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214"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17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43"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1105"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485728" w:rsidRPr="00F64312" w:rsidTr="00485728">
        <w:trPr>
          <w:trHeight w:val="157"/>
          <w:jc w:val="center"/>
        </w:trPr>
        <w:tc>
          <w:tcPr>
            <w:tcW w:w="1842" w:type="dxa"/>
            <w:vMerge w:val="restart"/>
            <w:tcBorders>
              <w:right w:val="single" w:sz="4" w:space="0" w:color="auto"/>
            </w:tcBorders>
            <w:shd w:val="clear" w:color="auto" w:fill="FFFFFF"/>
            <w:vAlign w:val="center"/>
          </w:tcPr>
          <w:p w:rsidR="00D907C2" w:rsidRPr="00F64312" w:rsidRDefault="00D907C2" w:rsidP="00485728">
            <w:pPr>
              <w:spacing w:line="180" w:lineRule="exact"/>
              <w:contextualSpacing/>
              <w:jc w:val="left"/>
              <w:rPr>
                <w:rFonts w:cs="Calibri"/>
                <w:color w:val="auto"/>
                <w:sz w:val="18"/>
              </w:rPr>
            </w:pPr>
            <w:r>
              <w:rPr>
                <w:rFonts w:cs="Calibri"/>
                <w:color w:val="auto"/>
                <w:sz w:val="18"/>
              </w:rPr>
              <w:t xml:space="preserve">Bilateral </w:t>
            </w:r>
            <w:r w:rsidR="00485728">
              <w:rPr>
                <w:rFonts w:cs="Calibri"/>
                <w:color w:val="auto"/>
                <w:sz w:val="18"/>
              </w:rPr>
              <w:t>Knee Pain</w:t>
            </w:r>
          </w:p>
        </w:tc>
        <w:tc>
          <w:tcPr>
            <w:tcW w:w="1164" w:type="dxa"/>
            <w:vMerge w:val="restart"/>
            <w:tcBorders>
              <w:left w:val="single" w:sz="4" w:space="0" w:color="auto"/>
            </w:tcBorders>
            <w:shd w:val="clear" w:color="auto" w:fill="FFFFFF"/>
            <w:vAlign w:val="center"/>
          </w:tcPr>
          <w:p w:rsidR="00D907C2" w:rsidRPr="00F64312" w:rsidRDefault="00D907C2" w:rsidP="006B690F">
            <w:pPr>
              <w:spacing w:line="180" w:lineRule="exact"/>
              <w:contextualSpacing/>
              <w:rPr>
                <w:rFonts w:cs="Calibri"/>
                <w:color w:val="auto"/>
                <w:sz w:val="18"/>
              </w:rPr>
            </w:pPr>
            <w:r>
              <w:rPr>
                <w:rFonts w:cs="Calibri"/>
                <w:color w:val="auto"/>
                <w:sz w:val="18"/>
              </w:rPr>
              <w:t>5099-5003</w:t>
            </w:r>
          </w:p>
        </w:tc>
        <w:tc>
          <w:tcPr>
            <w:tcW w:w="990" w:type="dxa"/>
            <w:vMerge w:val="restart"/>
            <w:tcBorders>
              <w:right w:val="thinThickThinSmallGap" w:sz="24" w:space="0" w:color="auto"/>
            </w:tcBorders>
            <w:shd w:val="clear" w:color="auto" w:fill="FFFFFF"/>
            <w:vAlign w:val="center"/>
          </w:tcPr>
          <w:p w:rsidR="00D907C2" w:rsidRPr="00F64312" w:rsidRDefault="00D907C2" w:rsidP="006B690F">
            <w:pPr>
              <w:spacing w:line="180" w:lineRule="exact"/>
              <w:rPr>
                <w:rFonts w:cs="Calibri"/>
                <w:color w:val="auto"/>
                <w:sz w:val="18"/>
              </w:rPr>
            </w:pPr>
            <w:r>
              <w:rPr>
                <w:rFonts w:cs="Calibri"/>
                <w:color w:val="auto"/>
                <w:sz w:val="18"/>
              </w:rPr>
              <w:t>0%</w:t>
            </w:r>
          </w:p>
        </w:tc>
        <w:tc>
          <w:tcPr>
            <w:tcW w:w="2214" w:type="dxa"/>
            <w:tcBorders>
              <w:left w:val="thinThickThinSmallGap" w:sz="24" w:space="0" w:color="auto"/>
              <w:bottom w:val="single" w:sz="4" w:space="0" w:color="auto"/>
            </w:tcBorders>
            <w:shd w:val="clear" w:color="auto" w:fill="FFFFFF"/>
            <w:vAlign w:val="center"/>
          </w:tcPr>
          <w:p w:rsidR="00D907C2" w:rsidRPr="00F64312" w:rsidRDefault="00984167" w:rsidP="00485728">
            <w:pPr>
              <w:spacing w:line="180" w:lineRule="exact"/>
              <w:contextualSpacing/>
              <w:jc w:val="left"/>
              <w:rPr>
                <w:rFonts w:cs="Calibri"/>
                <w:color w:val="auto"/>
                <w:sz w:val="18"/>
              </w:rPr>
            </w:pPr>
            <w:r>
              <w:rPr>
                <w:rFonts w:cs="Calibri"/>
                <w:color w:val="auto"/>
                <w:sz w:val="18"/>
              </w:rPr>
              <w:t xml:space="preserve">Chronic </w:t>
            </w:r>
            <w:r w:rsidR="00D907C2">
              <w:rPr>
                <w:rFonts w:cs="Calibri"/>
                <w:color w:val="auto"/>
                <w:sz w:val="18"/>
              </w:rPr>
              <w:t>Pain</w:t>
            </w:r>
            <w:r w:rsidR="002C4B32">
              <w:rPr>
                <w:rFonts w:cs="Calibri"/>
                <w:color w:val="auto"/>
                <w:sz w:val="18"/>
              </w:rPr>
              <w:t>, Right</w:t>
            </w:r>
            <w:r w:rsidR="00D907C2">
              <w:rPr>
                <w:rFonts w:cs="Calibri"/>
                <w:color w:val="auto"/>
                <w:sz w:val="18"/>
              </w:rPr>
              <w:t xml:space="preserve"> Knee</w:t>
            </w:r>
          </w:p>
        </w:tc>
        <w:tc>
          <w:tcPr>
            <w:tcW w:w="1170" w:type="dxa"/>
            <w:tcBorders>
              <w:bottom w:val="single" w:sz="4" w:space="0" w:color="auto"/>
            </w:tcBorders>
            <w:shd w:val="clear" w:color="auto" w:fill="FFFFFF"/>
            <w:vAlign w:val="center"/>
          </w:tcPr>
          <w:p w:rsidR="00D907C2" w:rsidRPr="00F64312" w:rsidRDefault="00AB5672" w:rsidP="0017172C">
            <w:pPr>
              <w:spacing w:line="180" w:lineRule="exact"/>
              <w:contextualSpacing/>
              <w:rPr>
                <w:rFonts w:cs="Calibri"/>
                <w:color w:val="auto"/>
                <w:sz w:val="18"/>
              </w:rPr>
            </w:pPr>
            <w:r>
              <w:rPr>
                <w:rFonts w:cs="Calibri"/>
                <w:color w:val="auto"/>
                <w:sz w:val="18"/>
              </w:rPr>
              <w:t>5299-5014</w:t>
            </w:r>
          </w:p>
        </w:tc>
        <w:tc>
          <w:tcPr>
            <w:tcW w:w="743" w:type="dxa"/>
            <w:tcBorders>
              <w:bottom w:val="single" w:sz="4" w:space="0" w:color="auto"/>
            </w:tcBorders>
            <w:shd w:val="clear" w:color="auto" w:fill="FFFFFF"/>
            <w:vAlign w:val="center"/>
          </w:tcPr>
          <w:p w:rsidR="00D907C2" w:rsidRPr="00F64312" w:rsidRDefault="00AB5672" w:rsidP="0017172C">
            <w:pPr>
              <w:spacing w:line="180" w:lineRule="exact"/>
              <w:contextualSpacing/>
              <w:rPr>
                <w:rFonts w:cs="Calibri"/>
                <w:color w:val="auto"/>
                <w:sz w:val="18"/>
              </w:rPr>
            </w:pPr>
            <w:r>
              <w:rPr>
                <w:rFonts w:cs="Calibri"/>
                <w:color w:val="auto"/>
                <w:sz w:val="18"/>
              </w:rPr>
              <w:t>10%</w:t>
            </w:r>
          </w:p>
        </w:tc>
        <w:tc>
          <w:tcPr>
            <w:tcW w:w="1105" w:type="dxa"/>
            <w:tcBorders>
              <w:bottom w:val="single" w:sz="4" w:space="0" w:color="auto"/>
            </w:tcBorders>
            <w:shd w:val="clear" w:color="auto" w:fill="FFFFFF"/>
            <w:vAlign w:val="center"/>
          </w:tcPr>
          <w:p w:rsidR="00D907C2" w:rsidRPr="00F64312" w:rsidRDefault="00D907C2" w:rsidP="0017172C">
            <w:pPr>
              <w:spacing w:line="180" w:lineRule="exact"/>
              <w:contextualSpacing/>
              <w:rPr>
                <w:rFonts w:cs="Calibri"/>
                <w:color w:val="auto"/>
                <w:sz w:val="18"/>
              </w:rPr>
            </w:pPr>
            <w:r>
              <w:rPr>
                <w:color w:val="auto"/>
                <w:sz w:val="18"/>
              </w:rPr>
              <w:t>20020131</w:t>
            </w:r>
          </w:p>
        </w:tc>
      </w:tr>
      <w:tr w:rsidR="00485728" w:rsidRPr="00F64312" w:rsidTr="00485728">
        <w:trPr>
          <w:trHeight w:val="194"/>
          <w:jc w:val="center"/>
        </w:trPr>
        <w:tc>
          <w:tcPr>
            <w:tcW w:w="1842" w:type="dxa"/>
            <w:vMerge/>
            <w:tcBorders>
              <w:right w:val="single" w:sz="4" w:space="0" w:color="auto"/>
            </w:tcBorders>
            <w:shd w:val="clear" w:color="auto" w:fill="FFFFFF"/>
            <w:vAlign w:val="center"/>
          </w:tcPr>
          <w:p w:rsidR="00D907C2" w:rsidRDefault="00D907C2" w:rsidP="006B690F">
            <w:pPr>
              <w:spacing w:line="180" w:lineRule="exact"/>
              <w:contextualSpacing/>
              <w:jc w:val="left"/>
              <w:rPr>
                <w:color w:val="auto"/>
                <w:sz w:val="18"/>
              </w:rPr>
            </w:pPr>
          </w:p>
        </w:tc>
        <w:tc>
          <w:tcPr>
            <w:tcW w:w="1164" w:type="dxa"/>
            <w:vMerge/>
            <w:tcBorders>
              <w:left w:val="single" w:sz="4" w:space="0" w:color="auto"/>
            </w:tcBorders>
            <w:shd w:val="clear" w:color="auto" w:fill="FFFFFF"/>
            <w:vAlign w:val="center"/>
          </w:tcPr>
          <w:p w:rsidR="00D907C2" w:rsidRDefault="00D907C2" w:rsidP="006B690F">
            <w:pPr>
              <w:spacing w:line="180" w:lineRule="exact"/>
              <w:contextualSpacing/>
              <w:rPr>
                <w:color w:val="auto"/>
                <w:sz w:val="18"/>
              </w:rPr>
            </w:pPr>
          </w:p>
        </w:tc>
        <w:tc>
          <w:tcPr>
            <w:tcW w:w="990" w:type="dxa"/>
            <w:vMerge/>
            <w:tcBorders>
              <w:right w:val="thinThickThinSmallGap" w:sz="24" w:space="0" w:color="auto"/>
            </w:tcBorders>
            <w:shd w:val="clear" w:color="auto" w:fill="FFFFFF"/>
            <w:vAlign w:val="center"/>
          </w:tcPr>
          <w:p w:rsidR="00D907C2" w:rsidRDefault="00D907C2" w:rsidP="006B690F">
            <w:pPr>
              <w:spacing w:line="180" w:lineRule="exact"/>
              <w:rPr>
                <w:color w:val="auto"/>
                <w:sz w:val="18"/>
              </w:rPr>
            </w:pPr>
          </w:p>
        </w:tc>
        <w:tc>
          <w:tcPr>
            <w:tcW w:w="2214" w:type="dxa"/>
            <w:tcBorders>
              <w:top w:val="single" w:sz="4" w:space="0" w:color="auto"/>
              <w:left w:val="thinThickThinSmallGap" w:sz="24" w:space="0" w:color="auto"/>
            </w:tcBorders>
            <w:shd w:val="clear" w:color="auto" w:fill="FFFFFF"/>
            <w:vAlign w:val="center"/>
          </w:tcPr>
          <w:p w:rsidR="00D907C2" w:rsidRPr="00F64312" w:rsidRDefault="00984167" w:rsidP="00485728">
            <w:pPr>
              <w:spacing w:line="180" w:lineRule="exact"/>
              <w:contextualSpacing/>
              <w:jc w:val="left"/>
              <w:rPr>
                <w:color w:val="auto"/>
                <w:sz w:val="18"/>
              </w:rPr>
            </w:pPr>
            <w:r>
              <w:rPr>
                <w:rFonts w:cs="Calibri"/>
                <w:color w:val="auto"/>
                <w:sz w:val="18"/>
              </w:rPr>
              <w:t xml:space="preserve">Chronic </w:t>
            </w:r>
            <w:r w:rsidR="00AB5672">
              <w:rPr>
                <w:rFonts w:cs="Calibri"/>
                <w:color w:val="auto"/>
                <w:sz w:val="18"/>
              </w:rPr>
              <w:t>Pain, Left Knee</w:t>
            </w:r>
          </w:p>
        </w:tc>
        <w:tc>
          <w:tcPr>
            <w:tcW w:w="1170" w:type="dxa"/>
            <w:tcBorders>
              <w:top w:val="single" w:sz="4" w:space="0" w:color="auto"/>
            </w:tcBorders>
            <w:shd w:val="clear" w:color="auto" w:fill="FFFFFF"/>
            <w:vAlign w:val="center"/>
          </w:tcPr>
          <w:p w:rsidR="00D907C2" w:rsidRPr="00F64312" w:rsidRDefault="00AB5672" w:rsidP="0017172C">
            <w:pPr>
              <w:spacing w:line="180" w:lineRule="exact"/>
              <w:contextualSpacing/>
              <w:rPr>
                <w:color w:val="auto"/>
                <w:sz w:val="18"/>
              </w:rPr>
            </w:pPr>
            <w:r>
              <w:rPr>
                <w:rFonts w:cs="Calibri"/>
                <w:color w:val="auto"/>
                <w:sz w:val="18"/>
              </w:rPr>
              <w:t>5299-5014</w:t>
            </w:r>
          </w:p>
        </w:tc>
        <w:tc>
          <w:tcPr>
            <w:tcW w:w="743" w:type="dxa"/>
            <w:tcBorders>
              <w:top w:val="single" w:sz="4" w:space="0" w:color="auto"/>
            </w:tcBorders>
            <w:shd w:val="clear" w:color="auto" w:fill="FFFFFF"/>
            <w:vAlign w:val="center"/>
          </w:tcPr>
          <w:p w:rsidR="00D907C2" w:rsidRPr="00F64312" w:rsidRDefault="00AB5672" w:rsidP="0017172C">
            <w:pPr>
              <w:spacing w:line="180" w:lineRule="exact"/>
              <w:contextualSpacing/>
              <w:rPr>
                <w:color w:val="auto"/>
                <w:sz w:val="18"/>
              </w:rPr>
            </w:pPr>
            <w:r>
              <w:rPr>
                <w:color w:val="auto"/>
                <w:sz w:val="18"/>
              </w:rPr>
              <w:t>10%</w:t>
            </w:r>
          </w:p>
        </w:tc>
        <w:tc>
          <w:tcPr>
            <w:tcW w:w="1105" w:type="dxa"/>
            <w:tcBorders>
              <w:top w:val="single" w:sz="4" w:space="0" w:color="auto"/>
            </w:tcBorders>
            <w:shd w:val="clear" w:color="auto" w:fill="FFFFFF"/>
            <w:vAlign w:val="center"/>
          </w:tcPr>
          <w:p w:rsidR="00D907C2" w:rsidRDefault="00E76111" w:rsidP="0017172C">
            <w:pPr>
              <w:spacing w:line="180" w:lineRule="exact"/>
              <w:contextualSpacing/>
              <w:rPr>
                <w:color w:val="auto"/>
                <w:sz w:val="18"/>
              </w:rPr>
            </w:pPr>
            <w:r>
              <w:rPr>
                <w:color w:val="auto"/>
                <w:sz w:val="18"/>
              </w:rPr>
              <w:t>20020131</w:t>
            </w:r>
          </w:p>
        </w:tc>
      </w:tr>
      <w:tr w:rsidR="006D1536" w:rsidRPr="00F64312" w:rsidTr="00485728">
        <w:trPr>
          <w:trHeight w:val="118"/>
          <w:jc w:val="center"/>
        </w:trPr>
        <w:tc>
          <w:tcPr>
            <w:tcW w:w="1842" w:type="dxa"/>
            <w:tcBorders>
              <w:right w:val="single" w:sz="4" w:space="0" w:color="auto"/>
            </w:tcBorders>
            <w:shd w:val="clear" w:color="auto" w:fill="FFFFFF"/>
            <w:vAlign w:val="center"/>
          </w:tcPr>
          <w:p w:rsidR="005D3D55" w:rsidRPr="00F64312" w:rsidRDefault="005D3D55" w:rsidP="002D3E5C">
            <w:pPr>
              <w:spacing w:line="180" w:lineRule="exact"/>
              <w:contextualSpacing/>
              <w:jc w:val="left"/>
              <w:rPr>
                <w:color w:val="auto"/>
                <w:sz w:val="18"/>
              </w:rPr>
            </w:pPr>
            <w:r>
              <w:rPr>
                <w:color w:val="auto"/>
                <w:sz w:val="18"/>
              </w:rPr>
              <w:t xml:space="preserve">Adjustment </w:t>
            </w:r>
            <w:r w:rsidR="00AB5672">
              <w:rPr>
                <w:color w:val="auto"/>
                <w:sz w:val="18"/>
              </w:rPr>
              <w:t>D</w:t>
            </w:r>
            <w:r w:rsidR="002D3E5C">
              <w:rPr>
                <w:color w:val="auto"/>
                <w:sz w:val="18"/>
              </w:rPr>
              <w:t>isorder</w:t>
            </w:r>
          </w:p>
        </w:tc>
        <w:tc>
          <w:tcPr>
            <w:tcW w:w="2154" w:type="dxa"/>
            <w:gridSpan w:val="2"/>
            <w:tcBorders>
              <w:left w:val="single" w:sz="4" w:space="0" w:color="auto"/>
              <w:right w:val="thinThickThinSmallGap" w:sz="24" w:space="0" w:color="auto"/>
            </w:tcBorders>
            <w:shd w:val="clear" w:color="auto" w:fill="FFFFFF"/>
            <w:vAlign w:val="center"/>
          </w:tcPr>
          <w:p w:rsidR="005D3D55" w:rsidRPr="00F64312" w:rsidRDefault="005D3D55" w:rsidP="006B690F">
            <w:pPr>
              <w:spacing w:line="180" w:lineRule="exact"/>
              <w:rPr>
                <w:color w:val="auto"/>
                <w:sz w:val="18"/>
              </w:rPr>
            </w:pPr>
            <w:r w:rsidRPr="00F64312">
              <w:rPr>
                <w:color w:val="auto"/>
                <w:sz w:val="18"/>
              </w:rPr>
              <w:t>Not Unfitting</w:t>
            </w:r>
          </w:p>
        </w:tc>
        <w:tc>
          <w:tcPr>
            <w:tcW w:w="2214" w:type="dxa"/>
            <w:tcBorders>
              <w:left w:val="thinThickThinSmallGap" w:sz="24" w:space="0" w:color="auto"/>
            </w:tcBorders>
            <w:shd w:val="clear" w:color="auto" w:fill="FFFFFF"/>
            <w:vAlign w:val="center"/>
          </w:tcPr>
          <w:p w:rsidR="005D3D55" w:rsidRPr="00F64312" w:rsidRDefault="00D907C2" w:rsidP="00485728">
            <w:pPr>
              <w:spacing w:line="180" w:lineRule="exact"/>
              <w:contextualSpacing/>
              <w:jc w:val="left"/>
              <w:rPr>
                <w:color w:val="auto"/>
                <w:sz w:val="18"/>
              </w:rPr>
            </w:pPr>
            <w:r>
              <w:rPr>
                <w:color w:val="auto"/>
                <w:sz w:val="18"/>
              </w:rPr>
              <w:t>Adjustment D</w:t>
            </w:r>
            <w:r w:rsidR="00485728">
              <w:rPr>
                <w:color w:val="auto"/>
                <w:sz w:val="18"/>
              </w:rPr>
              <w:t>isorder</w:t>
            </w:r>
          </w:p>
        </w:tc>
        <w:tc>
          <w:tcPr>
            <w:tcW w:w="1170" w:type="dxa"/>
            <w:shd w:val="clear" w:color="auto" w:fill="FFFFFF"/>
            <w:vAlign w:val="center"/>
          </w:tcPr>
          <w:p w:rsidR="005D3D55" w:rsidRPr="00F64312" w:rsidRDefault="00D907C2" w:rsidP="0017172C">
            <w:pPr>
              <w:spacing w:line="180" w:lineRule="exact"/>
              <w:contextualSpacing/>
              <w:rPr>
                <w:color w:val="auto"/>
                <w:sz w:val="18"/>
              </w:rPr>
            </w:pPr>
            <w:r>
              <w:rPr>
                <w:color w:val="auto"/>
                <w:sz w:val="18"/>
              </w:rPr>
              <w:t>9440</w:t>
            </w:r>
          </w:p>
        </w:tc>
        <w:tc>
          <w:tcPr>
            <w:tcW w:w="743" w:type="dxa"/>
            <w:shd w:val="clear" w:color="auto" w:fill="FFFFFF"/>
            <w:vAlign w:val="center"/>
          </w:tcPr>
          <w:p w:rsidR="005D3D55" w:rsidRPr="00F64312" w:rsidRDefault="00D907C2" w:rsidP="0017172C">
            <w:pPr>
              <w:spacing w:line="180" w:lineRule="exact"/>
              <w:contextualSpacing/>
              <w:rPr>
                <w:color w:val="auto"/>
                <w:sz w:val="18"/>
              </w:rPr>
            </w:pPr>
            <w:r>
              <w:rPr>
                <w:color w:val="auto"/>
                <w:sz w:val="18"/>
              </w:rPr>
              <w:t>10%</w:t>
            </w:r>
            <w:r w:rsidR="00305032">
              <w:rPr>
                <w:color w:val="auto"/>
                <w:sz w:val="18"/>
              </w:rPr>
              <w:t>*</w:t>
            </w:r>
          </w:p>
        </w:tc>
        <w:tc>
          <w:tcPr>
            <w:tcW w:w="1105" w:type="dxa"/>
            <w:shd w:val="clear" w:color="auto" w:fill="FFFFFF"/>
            <w:vAlign w:val="center"/>
          </w:tcPr>
          <w:p w:rsidR="005D3D55" w:rsidRPr="00F64312" w:rsidRDefault="00AC53F4" w:rsidP="0017172C">
            <w:pPr>
              <w:spacing w:line="180" w:lineRule="exact"/>
              <w:contextualSpacing/>
              <w:rPr>
                <w:color w:val="auto"/>
                <w:sz w:val="18"/>
                <w:highlight w:val="yellow"/>
              </w:rPr>
            </w:pPr>
            <w:r>
              <w:rPr>
                <w:color w:val="auto"/>
                <w:sz w:val="18"/>
              </w:rPr>
              <w:t>20020206</w:t>
            </w:r>
          </w:p>
        </w:tc>
      </w:tr>
      <w:tr w:rsidR="00AB5672" w:rsidRPr="00F64312" w:rsidTr="00485728">
        <w:trPr>
          <w:trHeight w:val="118"/>
          <w:jc w:val="center"/>
        </w:trPr>
        <w:tc>
          <w:tcPr>
            <w:tcW w:w="3996" w:type="dxa"/>
            <w:gridSpan w:val="3"/>
            <w:vMerge w:val="restart"/>
            <w:tcBorders>
              <w:right w:val="thinThickThinSmallGap" w:sz="24" w:space="0" w:color="auto"/>
            </w:tcBorders>
            <w:shd w:val="clear" w:color="auto" w:fill="FFFFFF"/>
            <w:vAlign w:val="center"/>
          </w:tcPr>
          <w:p w:rsidR="00AB5672" w:rsidRPr="00F64312" w:rsidRDefault="00AB5672" w:rsidP="006B690F">
            <w:pPr>
              <w:spacing w:line="180" w:lineRule="exact"/>
              <w:contextualSpacing/>
              <w:rPr>
                <w:color w:val="auto"/>
                <w:sz w:val="18"/>
              </w:rPr>
            </w:pPr>
            <w:r w:rsidRPr="00F64312">
              <w:rPr>
                <w:rFonts w:cs="Calibri"/>
                <w:color w:val="auto"/>
                <w:sz w:val="18"/>
                <w:szCs w:val="18"/>
              </w:rPr>
              <w:lastRenderedPageBreak/>
              <w:t>No Additional MEB/PEB Entries</w:t>
            </w:r>
          </w:p>
        </w:tc>
        <w:tc>
          <w:tcPr>
            <w:tcW w:w="2214" w:type="dxa"/>
            <w:tcBorders>
              <w:left w:val="thinThickThinSmallGap" w:sz="24" w:space="0" w:color="auto"/>
            </w:tcBorders>
            <w:shd w:val="clear" w:color="auto" w:fill="FFFFFF"/>
            <w:vAlign w:val="center"/>
          </w:tcPr>
          <w:p w:rsidR="00AB5672" w:rsidRPr="00F64312" w:rsidRDefault="002C4B32" w:rsidP="0017172C">
            <w:pPr>
              <w:spacing w:line="180" w:lineRule="exact"/>
              <w:contextualSpacing/>
              <w:jc w:val="left"/>
              <w:rPr>
                <w:color w:val="auto"/>
                <w:sz w:val="18"/>
              </w:rPr>
            </w:pPr>
            <w:r>
              <w:rPr>
                <w:color w:val="auto"/>
                <w:sz w:val="18"/>
              </w:rPr>
              <w:t>Tinnitus</w:t>
            </w:r>
          </w:p>
        </w:tc>
        <w:tc>
          <w:tcPr>
            <w:tcW w:w="1170" w:type="dxa"/>
            <w:shd w:val="clear" w:color="auto" w:fill="FFFFFF"/>
            <w:vAlign w:val="center"/>
          </w:tcPr>
          <w:p w:rsidR="00AB5672" w:rsidRPr="00F64312" w:rsidRDefault="002C4B32" w:rsidP="0017172C">
            <w:pPr>
              <w:spacing w:line="180" w:lineRule="exact"/>
              <w:contextualSpacing/>
              <w:rPr>
                <w:color w:val="auto"/>
                <w:sz w:val="18"/>
              </w:rPr>
            </w:pPr>
            <w:r>
              <w:rPr>
                <w:color w:val="auto"/>
                <w:sz w:val="18"/>
              </w:rPr>
              <w:t>6260</w:t>
            </w:r>
          </w:p>
        </w:tc>
        <w:tc>
          <w:tcPr>
            <w:tcW w:w="743" w:type="dxa"/>
            <w:shd w:val="clear" w:color="auto" w:fill="FFFFFF"/>
            <w:vAlign w:val="center"/>
          </w:tcPr>
          <w:p w:rsidR="00AB5672" w:rsidRPr="00F64312" w:rsidRDefault="002C4B32" w:rsidP="0017172C">
            <w:pPr>
              <w:spacing w:line="180" w:lineRule="exact"/>
              <w:contextualSpacing/>
              <w:rPr>
                <w:color w:val="auto"/>
                <w:sz w:val="18"/>
              </w:rPr>
            </w:pPr>
            <w:r>
              <w:rPr>
                <w:color w:val="auto"/>
                <w:sz w:val="18"/>
              </w:rPr>
              <w:t>10%</w:t>
            </w:r>
          </w:p>
        </w:tc>
        <w:tc>
          <w:tcPr>
            <w:tcW w:w="1105" w:type="dxa"/>
            <w:shd w:val="clear" w:color="auto" w:fill="FFFFFF"/>
            <w:vAlign w:val="center"/>
          </w:tcPr>
          <w:p w:rsidR="00AB5672" w:rsidRPr="00F64312" w:rsidRDefault="00E76111" w:rsidP="0017172C">
            <w:pPr>
              <w:spacing w:line="180" w:lineRule="exact"/>
              <w:contextualSpacing/>
              <w:rPr>
                <w:color w:val="auto"/>
                <w:sz w:val="18"/>
                <w:highlight w:val="yellow"/>
              </w:rPr>
            </w:pPr>
            <w:r w:rsidRPr="00E76111">
              <w:rPr>
                <w:color w:val="auto"/>
                <w:sz w:val="18"/>
              </w:rPr>
              <w:t>20020126</w:t>
            </w:r>
          </w:p>
        </w:tc>
      </w:tr>
      <w:tr w:rsidR="00AB5672" w:rsidRPr="00F64312" w:rsidTr="00485728">
        <w:trPr>
          <w:trHeight w:val="172"/>
          <w:jc w:val="center"/>
        </w:trPr>
        <w:tc>
          <w:tcPr>
            <w:tcW w:w="3996" w:type="dxa"/>
            <w:gridSpan w:val="3"/>
            <w:vMerge/>
            <w:tcBorders>
              <w:right w:val="thinThickThinSmallGap" w:sz="24" w:space="0" w:color="auto"/>
            </w:tcBorders>
            <w:shd w:val="clear" w:color="auto" w:fill="FFFFFF"/>
            <w:vAlign w:val="center"/>
          </w:tcPr>
          <w:p w:rsidR="00AB5672" w:rsidRPr="00F64312" w:rsidRDefault="00AB5672" w:rsidP="006B690F">
            <w:pPr>
              <w:spacing w:line="180" w:lineRule="exact"/>
              <w:contextualSpacing/>
              <w:rPr>
                <w:rFonts w:cs="Calibri"/>
                <w:color w:val="auto"/>
                <w:sz w:val="18"/>
              </w:rPr>
            </w:pPr>
          </w:p>
        </w:tc>
        <w:tc>
          <w:tcPr>
            <w:tcW w:w="4127" w:type="dxa"/>
            <w:gridSpan w:val="3"/>
            <w:tcBorders>
              <w:left w:val="thinThickThinSmallGap" w:sz="24" w:space="0" w:color="auto"/>
            </w:tcBorders>
            <w:shd w:val="clear" w:color="auto" w:fill="FFFFFF"/>
            <w:vAlign w:val="center"/>
          </w:tcPr>
          <w:p w:rsidR="00AB5672" w:rsidRPr="00F64312" w:rsidRDefault="00AB5672" w:rsidP="00485728">
            <w:pPr>
              <w:spacing w:line="180" w:lineRule="exact"/>
              <w:contextualSpacing/>
              <w:rPr>
                <w:rFonts w:cs="Calibri"/>
                <w:color w:val="auto"/>
                <w:sz w:val="18"/>
              </w:rPr>
            </w:pPr>
            <w:r>
              <w:rPr>
                <w:color w:val="auto"/>
                <w:sz w:val="18"/>
              </w:rPr>
              <w:t>Not Service</w:t>
            </w:r>
            <w:r w:rsidR="00485728">
              <w:rPr>
                <w:color w:val="auto"/>
                <w:sz w:val="18"/>
              </w:rPr>
              <w:t xml:space="preserve"> </w:t>
            </w:r>
            <w:r w:rsidRPr="00F64312">
              <w:rPr>
                <w:color w:val="auto"/>
                <w:sz w:val="18"/>
              </w:rPr>
              <w:t>Connected</w:t>
            </w:r>
            <w:r w:rsidR="00485728">
              <w:rPr>
                <w:color w:val="auto"/>
                <w:sz w:val="18"/>
              </w:rPr>
              <w:t xml:space="preserve"> (NSC)</w:t>
            </w:r>
            <w:r w:rsidRPr="00F64312">
              <w:rPr>
                <w:color w:val="auto"/>
                <w:sz w:val="18"/>
              </w:rPr>
              <w:t xml:space="preserve"> x </w:t>
            </w:r>
            <w:r w:rsidR="002C4B32">
              <w:rPr>
                <w:color w:val="auto"/>
                <w:sz w:val="18"/>
              </w:rPr>
              <w:t>3</w:t>
            </w:r>
          </w:p>
        </w:tc>
        <w:tc>
          <w:tcPr>
            <w:tcW w:w="1105" w:type="dxa"/>
            <w:shd w:val="clear" w:color="auto" w:fill="FFFFFF"/>
            <w:vAlign w:val="center"/>
          </w:tcPr>
          <w:p w:rsidR="00AB5672" w:rsidRPr="00F64312" w:rsidRDefault="00E76111" w:rsidP="0017172C">
            <w:pPr>
              <w:spacing w:line="180" w:lineRule="exact"/>
              <w:contextualSpacing/>
              <w:rPr>
                <w:rFonts w:cs="Calibri"/>
                <w:color w:val="auto"/>
                <w:sz w:val="18"/>
              </w:rPr>
            </w:pPr>
            <w:r>
              <w:rPr>
                <w:rFonts w:cs="Calibri"/>
                <w:color w:val="auto"/>
                <w:sz w:val="18"/>
              </w:rPr>
              <w:t>20020131</w:t>
            </w:r>
          </w:p>
        </w:tc>
      </w:tr>
      <w:tr w:rsidR="00F90376" w:rsidRPr="00F64312" w:rsidTr="00485728">
        <w:trPr>
          <w:trHeight w:val="124"/>
          <w:jc w:val="center"/>
        </w:trPr>
        <w:tc>
          <w:tcPr>
            <w:tcW w:w="3996"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5D3D55">
              <w:rPr>
                <w:b/>
                <w:color w:val="auto"/>
                <w:sz w:val="18"/>
              </w:rPr>
              <w:t>0</w:t>
            </w:r>
            <w:r w:rsidRPr="00F64312">
              <w:rPr>
                <w:b/>
                <w:color w:val="auto"/>
                <w:sz w:val="18"/>
              </w:rPr>
              <w:t>%</w:t>
            </w:r>
          </w:p>
        </w:tc>
        <w:tc>
          <w:tcPr>
            <w:tcW w:w="5232" w:type="dxa"/>
            <w:gridSpan w:val="4"/>
            <w:tcBorders>
              <w:left w:val="thinThickThinSmallGap" w:sz="24" w:space="0" w:color="auto"/>
            </w:tcBorders>
            <w:shd w:val="clear" w:color="auto" w:fill="D9D9D9"/>
          </w:tcPr>
          <w:p w:rsidR="00F90376" w:rsidRPr="00F64312" w:rsidRDefault="00F90376" w:rsidP="00485728">
            <w:pPr>
              <w:spacing w:line="180" w:lineRule="exact"/>
              <w:contextualSpacing/>
              <w:rPr>
                <w:rFonts w:cs="Calibri"/>
                <w:b/>
                <w:color w:val="auto"/>
                <w:sz w:val="18"/>
              </w:rPr>
            </w:pPr>
            <w:r w:rsidRPr="00F64312">
              <w:rPr>
                <w:b/>
                <w:color w:val="auto"/>
                <w:sz w:val="18"/>
              </w:rPr>
              <w:t xml:space="preserve">Combined:  </w:t>
            </w:r>
            <w:r w:rsidR="002C4B32">
              <w:rPr>
                <w:b/>
                <w:color w:val="auto"/>
                <w:sz w:val="18"/>
              </w:rPr>
              <w:t>40</w:t>
            </w:r>
            <w:r w:rsidRPr="00F64312">
              <w:rPr>
                <w:b/>
                <w:color w:val="auto"/>
                <w:sz w:val="18"/>
              </w:rPr>
              <w:t>%</w:t>
            </w:r>
            <w:r w:rsidR="00305032">
              <w:rPr>
                <w:b/>
                <w:color w:val="auto"/>
                <w:sz w:val="18"/>
              </w:rPr>
              <w:t>*</w:t>
            </w:r>
          </w:p>
        </w:tc>
      </w:tr>
    </w:tbl>
    <w:p w:rsidR="00F90376" w:rsidRDefault="001A6E6A" w:rsidP="00165C7B">
      <w:pPr>
        <w:pBdr>
          <w:bottom w:val="single" w:sz="12" w:space="1" w:color="auto"/>
        </w:pBdr>
        <w:tabs>
          <w:tab w:val="left" w:pos="288"/>
          <w:tab w:val="left" w:pos="4752"/>
        </w:tabs>
        <w:spacing w:line="180" w:lineRule="exact"/>
        <w:jc w:val="both"/>
        <w:rPr>
          <w:color w:val="auto"/>
          <w:sz w:val="18"/>
          <w:szCs w:val="18"/>
        </w:rPr>
      </w:pPr>
      <w:r>
        <w:rPr>
          <w:color w:val="auto"/>
          <w:sz w:val="18"/>
          <w:szCs w:val="18"/>
        </w:rPr>
        <w:t xml:space="preserve"> </w:t>
      </w:r>
      <w:r w:rsidR="00F90376" w:rsidRPr="00F64312">
        <w:rPr>
          <w:color w:val="auto"/>
          <w:sz w:val="18"/>
          <w:szCs w:val="18"/>
        </w:rPr>
        <w:t>*</w:t>
      </w:r>
      <w:r w:rsidR="00485728">
        <w:rPr>
          <w:color w:val="auto"/>
          <w:sz w:val="18"/>
          <w:szCs w:val="18"/>
        </w:rPr>
        <w:t xml:space="preserve">The VA rating for </w:t>
      </w:r>
      <w:r w:rsidR="009C0887">
        <w:rPr>
          <w:color w:val="auto"/>
          <w:sz w:val="18"/>
          <w:szCs w:val="18"/>
        </w:rPr>
        <w:t>adjustment disorder</w:t>
      </w:r>
      <w:r w:rsidR="00485728">
        <w:rPr>
          <w:color w:val="auto"/>
          <w:sz w:val="18"/>
          <w:szCs w:val="18"/>
        </w:rPr>
        <w:t xml:space="preserve"> was later increased to </w:t>
      </w:r>
      <w:r w:rsidR="00305032">
        <w:rPr>
          <w:color w:val="auto"/>
          <w:sz w:val="18"/>
          <w:szCs w:val="18"/>
        </w:rPr>
        <w:t>30%</w:t>
      </w:r>
      <w:r w:rsidR="00485728">
        <w:rPr>
          <w:color w:val="auto"/>
          <w:sz w:val="18"/>
          <w:szCs w:val="18"/>
        </w:rPr>
        <w:t xml:space="preserve">, by a VA Rating Decision (VARD) dated </w:t>
      </w:r>
      <w:r w:rsidR="00305032">
        <w:rPr>
          <w:color w:val="auto"/>
          <w:sz w:val="18"/>
          <w:szCs w:val="18"/>
        </w:rPr>
        <w:t>20050112</w:t>
      </w:r>
    </w:p>
    <w:p w:rsidR="00DB7632" w:rsidRDefault="00DB7632" w:rsidP="00165C7B">
      <w:pPr>
        <w:pBdr>
          <w:bottom w:val="single" w:sz="12" w:space="1" w:color="auto"/>
        </w:pBdr>
        <w:tabs>
          <w:tab w:val="left" w:pos="288"/>
          <w:tab w:val="left" w:pos="4752"/>
        </w:tabs>
        <w:spacing w:line="180" w:lineRule="exact"/>
        <w:jc w:val="both"/>
        <w:rPr>
          <w:color w:val="auto"/>
          <w:sz w:val="18"/>
          <w:szCs w:val="18"/>
        </w:rPr>
      </w:pPr>
    </w:p>
    <w:p w:rsidR="00545669" w:rsidRDefault="00AD2379" w:rsidP="00545669">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D5E4A" w:rsidRPr="00AF5A6F">
        <w:rPr>
          <w:color w:val="auto"/>
        </w:rPr>
        <w:t xml:space="preserve">The Board </w:t>
      </w:r>
      <w:r w:rsidR="001F14D7">
        <w:rPr>
          <w:color w:val="auto"/>
        </w:rPr>
        <w:t>acknowledges the CI’s assertion</w:t>
      </w:r>
      <w:r w:rsidR="007D5E4A" w:rsidRPr="00AF5A6F">
        <w:rPr>
          <w:color w:val="auto"/>
        </w:rPr>
        <w:t xml:space="preserve"> that</w:t>
      </w:r>
      <w:r w:rsidR="007D5E4A">
        <w:rPr>
          <w:color w:val="auto"/>
        </w:rPr>
        <w:t xml:space="preserve"> </w:t>
      </w:r>
      <w:r w:rsidR="00545669">
        <w:rPr>
          <w:color w:val="auto"/>
        </w:rPr>
        <w:t>the PEB u</w:t>
      </w:r>
      <w:r w:rsidR="001F14D7">
        <w:rPr>
          <w:color w:val="auto"/>
        </w:rPr>
        <w:t>sed</w:t>
      </w:r>
      <w:r w:rsidR="00545669">
        <w:rPr>
          <w:color w:val="auto"/>
        </w:rPr>
        <w:t xml:space="preserve"> </w:t>
      </w:r>
      <w:proofErr w:type="gramStart"/>
      <w:r w:rsidR="007D5E4A">
        <w:rPr>
          <w:color w:val="auto"/>
        </w:rPr>
        <w:t>D</w:t>
      </w:r>
      <w:r w:rsidR="001F14D7">
        <w:rPr>
          <w:color w:val="auto"/>
        </w:rPr>
        <w:t>oD</w:t>
      </w:r>
      <w:proofErr w:type="gramEnd"/>
      <w:r w:rsidR="007D5E4A">
        <w:rPr>
          <w:color w:val="auto"/>
        </w:rPr>
        <w:t xml:space="preserve"> ratings instead of the V</w:t>
      </w:r>
      <w:r w:rsidR="001F14D7">
        <w:rPr>
          <w:color w:val="auto"/>
        </w:rPr>
        <w:t>eterans</w:t>
      </w:r>
      <w:r w:rsidR="001A6E6A">
        <w:rPr>
          <w:color w:val="auto"/>
        </w:rPr>
        <w:t>’</w:t>
      </w:r>
      <w:r w:rsidR="001F14D7">
        <w:rPr>
          <w:color w:val="auto"/>
        </w:rPr>
        <w:t xml:space="preserve"> Administration Schedule for Rating Disabilities (V</w:t>
      </w:r>
      <w:r w:rsidR="007D5E4A">
        <w:rPr>
          <w:color w:val="auto"/>
        </w:rPr>
        <w:t>ASRD</w:t>
      </w:r>
      <w:r w:rsidR="001F14D7">
        <w:rPr>
          <w:color w:val="auto"/>
        </w:rPr>
        <w:t xml:space="preserve">).  </w:t>
      </w:r>
      <w:r w:rsidR="007D5E4A" w:rsidRPr="00AF5A6F">
        <w:rPr>
          <w:color w:val="auto"/>
        </w:rPr>
        <w:t>It is noted for the record that the Board has neither the jurisdiction nor authority to scrutinize or render opinions in reference to asserted improprieties in the disposition of a case.</w:t>
      </w:r>
      <w:r w:rsidR="007D5E4A">
        <w:rPr>
          <w:color w:val="auto"/>
        </w:rPr>
        <w:t xml:space="preserve"> </w:t>
      </w:r>
      <w:r w:rsidR="007D5E4A" w:rsidRPr="00AF5A6F">
        <w:rPr>
          <w:color w:val="auto"/>
        </w:rPr>
        <w:t xml:space="preserve"> </w:t>
      </w:r>
      <w:r w:rsidR="00890E31">
        <w:rPr>
          <w:color w:val="auto"/>
        </w:rPr>
        <w:t>In a</w:t>
      </w:r>
      <w:r w:rsidR="00545669">
        <w:rPr>
          <w:color w:val="auto"/>
        </w:rPr>
        <w:t>ddition, t</w:t>
      </w:r>
      <w:r w:rsidR="00545669" w:rsidRPr="00590B92">
        <w:rPr>
          <w:color w:val="auto"/>
        </w:rPr>
        <w:t>he Board wishes to clarify that it is subject to the same laws for disability entitlements as those under which the Disability Evaluation System (DES) operates.  The DES has neither the role nor the authority to compensate members for future severity or potential complications of conditions.  That role and a</w:t>
      </w:r>
      <w:r w:rsidR="001F14D7">
        <w:rPr>
          <w:color w:val="auto"/>
        </w:rPr>
        <w:t xml:space="preserve">uthority is granted </w:t>
      </w:r>
      <w:r w:rsidR="00545669" w:rsidRPr="00590B92">
        <w:rPr>
          <w:color w:val="auto"/>
        </w:rPr>
        <w:t xml:space="preserve">to the </w:t>
      </w:r>
      <w:r w:rsidR="001A6E6A">
        <w:rPr>
          <w:color w:val="auto"/>
        </w:rPr>
        <w:t xml:space="preserve">Department of </w:t>
      </w:r>
      <w:r w:rsidR="00C36B75">
        <w:rPr>
          <w:color w:val="auto"/>
        </w:rPr>
        <w:t>Veteran</w:t>
      </w:r>
      <w:r w:rsidR="008E435B">
        <w:rPr>
          <w:color w:val="auto"/>
        </w:rPr>
        <w:t>s’</w:t>
      </w:r>
      <w:r w:rsidR="00C36B75">
        <w:rPr>
          <w:color w:val="auto"/>
        </w:rPr>
        <w:t xml:space="preserve"> A</w:t>
      </w:r>
      <w:r w:rsidR="001A6E6A">
        <w:rPr>
          <w:color w:val="auto"/>
        </w:rPr>
        <w:t>ffairs</w:t>
      </w:r>
      <w:r w:rsidR="00C36B75">
        <w:rPr>
          <w:color w:val="auto"/>
        </w:rPr>
        <w:t xml:space="preserve"> (</w:t>
      </w:r>
      <w:r w:rsidR="001A6E6A">
        <w:rPr>
          <w:color w:val="auto"/>
        </w:rPr>
        <w:t>D</w:t>
      </w:r>
      <w:r w:rsidR="00545669" w:rsidRPr="00590B92">
        <w:rPr>
          <w:color w:val="auto"/>
        </w:rPr>
        <w:t>VA</w:t>
      </w:r>
      <w:r w:rsidR="00C36B75">
        <w:rPr>
          <w:color w:val="auto"/>
        </w:rPr>
        <w:t>)</w:t>
      </w:r>
      <w:r w:rsidR="00545669" w:rsidRPr="00590B92">
        <w:rPr>
          <w:color w:val="auto"/>
        </w:rPr>
        <w:t xml:space="preserve">.  The Board evaluates </w:t>
      </w:r>
      <w:r w:rsidR="008E435B">
        <w:rPr>
          <w:color w:val="auto"/>
        </w:rPr>
        <w:t>D</w:t>
      </w:r>
      <w:r w:rsidR="00545669" w:rsidRPr="00590B92">
        <w:rPr>
          <w:color w:val="auto"/>
        </w:rPr>
        <w:t xml:space="preserve">VA evidence in arriving at its recommendations, but its authority resides in evaluating the fairness of DES fitness and rating determinations at the time of separation.  While the DES considers all of the </w:t>
      </w:r>
      <w:r w:rsidR="00890E31">
        <w:rPr>
          <w:color w:val="auto"/>
        </w:rPr>
        <w:t>CI</w:t>
      </w:r>
      <w:r w:rsidR="00545669" w:rsidRPr="00590B92">
        <w:rPr>
          <w:color w:val="auto"/>
        </w:rPr>
        <w:t>'s medical conditions, compensation can on</w:t>
      </w:r>
      <w:r w:rsidR="00890E31">
        <w:rPr>
          <w:color w:val="auto"/>
        </w:rPr>
        <w:t xml:space="preserve">ly be offered for those </w:t>
      </w:r>
      <w:r w:rsidR="00545669" w:rsidRPr="00590B92">
        <w:rPr>
          <w:color w:val="auto"/>
        </w:rPr>
        <w:t xml:space="preserve">conditions that cut short a member’s career, and then only to the degree of severity present at the time of </w:t>
      </w:r>
      <w:r w:rsidR="00C36B75">
        <w:rPr>
          <w:color w:val="auto"/>
        </w:rPr>
        <w:t>separation</w:t>
      </w:r>
      <w:r w:rsidR="00545669" w:rsidRPr="00590B92">
        <w:rPr>
          <w:color w:val="auto"/>
        </w:rPr>
        <w:t xml:space="preserve">.  The </w:t>
      </w:r>
      <w:r w:rsidR="008E435B">
        <w:rPr>
          <w:color w:val="auto"/>
        </w:rPr>
        <w:t>D</w:t>
      </w:r>
      <w:r w:rsidR="00545669" w:rsidRPr="00590B92">
        <w:rPr>
          <w:color w:val="auto"/>
        </w:rPr>
        <w:t xml:space="preserve">VA, however, is empowered to compensate </w:t>
      </w:r>
      <w:r w:rsidR="00C36B75">
        <w:rPr>
          <w:color w:val="auto"/>
        </w:rPr>
        <w:t xml:space="preserve">for </w:t>
      </w:r>
      <w:r w:rsidR="00545669" w:rsidRPr="00590B92">
        <w:rPr>
          <w:color w:val="auto"/>
        </w:rPr>
        <w:t>service</w:t>
      </w:r>
      <w:r w:rsidR="008E435B">
        <w:rPr>
          <w:color w:val="auto"/>
        </w:rPr>
        <w:t>-</w:t>
      </w:r>
      <w:r w:rsidR="00545669" w:rsidRPr="00590B92">
        <w:rPr>
          <w:color w:val="auto"/>
        </w:rPr>
        <w:t xml:space="preserve">connected conditions and to periodically re-evaluate said conditions for the purpose of adjusting the </w:t>
      </w:r>
      <w:r w:rsidR="008E435B">
        <w:rPr>
          <w:color w:val="auto"/>
        </w:rPr>
        <w:t>V</w:t>
      </w:r>
      <w:r w:rsidR="00545669" w:rsidRPr="00590B92">
        <w:rPr>
          <w:color w:val="auto"/>
        </w:rPr>
        <w:t xml:space="preserve">eteran’s disability rating should </w:t>
      </w:r>
      <w:r w:rsidR="00C36B75">
        <w:rPr>
          <w:color w:val="auto"/>
        </w:rPr>
        <w:t>the</w:t>
      </w:r>
      <w:r w:rsidR="00545669" w:rsidRPr="00590B92">
        <w:rPr>
          <w:color w:val="auto"/>
        </w:rPr>
        <w:t xml:space="preserve"> degree of impairment </w:t>
      </w:r>
      <w:r w:rsidR="00C36B75">
        <w:rPr>
          <w:color w:val="auto"/>
        </w:rPr>
        <w:t>change</w:t>
      </w:r>
      <w:r w:rsidR="00545669" w:rsidRPr="00590B92">
        <w:rPr>
          <w:color w:val="auto"/>
        </w:rPr>
        <w:t xml:space="preserve"> over time.</w:t>
      </w:r>
    </w:p>
    <w:p w:rsidR="00AD2379" w:rsidRPr="00F64312" w:rsidRDefault="00AD2379" w:rsidP="00B22D42">
      <w:pPr>
        <w:jc w:val="both"/>
        <w:rPr>
          <w:color w:val="auto"/>
          <w:highlight w:val="yellow"/>
        </w:rPr>
      </w:pPr>
    </w:p>
    <w:p w:rsidR="001E70E4" w:rsidRPr="004970C8" w:rsidRDefault="00E54597" w:rsidP="004970C8">
      <w:pPr>
        <w:jc w:val="both"/>
        <w:rPr>
          <w:color w:val="auto"/>
          <w:szCs w:val="24"/>
        </w:rPr>
      </w:pPr>
      <w:proofErr w:type="gramStart"/>
      <w:r w:rsidRPr="00917997">
        <w:rPr>
          <w:color w:val="auto"/>
          <w:u w:val="single"/>
        </w:rPr>
        <w:t xml:space="preserve">Bilateral </w:t>
      </w:r>
      <w:r w:rsidR="00C36B75" w:rsidRPr="00917997">
        <w:rPr>
          <w:color w:val="auto"/>
          <w:u w:val="single"/>
        </w:rPr>
        <w:t>Knee</w:t>
      </w:r>
      <w:r w:rsidRPr="00917997">
        <w:rPr>
          <w:color w:val="auto"/>
          <w:u w:val="single"/>
        </w:rPr>
        <w:t xml:space="preserve"> Pain</w:t>
      </w:r>
      <w:r w:rsidR="00600D56" w:rsidRPr="00917997">
        <w:rPr>
          <w:color w:val="auto"/>
        </w:rPr>
        <w:t>.</w:t>
      </w:r>
      <w:proofErr w:type="gramEnd"/>
      <w:r w:rsidR="00600D56" w:rsidRPr="00917997">
        <w:rPr>
          <w:color w:val="auto"/>
        </w:rPr>
        <w:t xml:space="preserve">  The CI began having knee pain in August 1998.  There was no history of any specific trauma or injury to the knees.  </w:t>
      </w:r>
      <w:r w:rsidR="00837D31">
        <w:rPr>
          <w:color w:val="auto"/>
        </w:rPr>
        <w:t xml:space="preserve">As noted above, the bilateral knee pain did not resolve with treatment and he was referred </w:t>
      </w:r>
      <w:r w:rsidR="001A6E6A">
        <w:rPr>
          <w:color w:val="auto"/>
        </w:rPr>
        <w:t>to a</w:t>
      </w:r>
      <w:r w:rsidR="00837D31">
        <w:rPr>
          <w:color w:val="auto"/>
        </w:rPr>
        <w:t xml:space="preserve"> MEB.  </w:t>
      </w:r>
      <w:r w:rsidR="00600D56" w:rsidRPr="00917997">
        <w:rPr>
          <w:color w:val="auto"/>
        </w:rPr>
        <w:t>His MEB orthopedic exam</w:t>
      </w:r>
      <w:r w:rsidR="001A6E6A">
        <w:rPr>
          <w:color w:val="auto"/>
        </w:rPr>
        <w:t xml:space="preserve"> </w:t>
      </w:r>
      <w:r w:rsidR="008E435B">
        <w:rPr>
          <w:color w:val="auto"/>
        </w:rPr>
        <w:t>performed</w:t>
      </w:r>
      <w:r w:rsidR="001A6E6A">
        <w:rPr>
          <w:color w:val="auto"/>
        </w:rPr>
        <w:t xml:space="preserve"> on </w:t>
      </w:r>
      <w:r w:rsidR="008E435B">
        <w:rPr>
          <w:color w:val="auto"/>
        </w:rPr>
        <w:br/>
      </w:r>
      <w:r w:rsidR="00600D56" w:rsidRPr="00917997">
        <w:rPr>
          <w:color w:val="auto"/>
        </w:rPr>
        <w:t>10 October 2001.  At that exam,</w:t>
      </w:r>
      <w:r w:rsidR="000D029A" w:rsidRPr="00917997">
        <w:rPr>
          <w:color w:val="auto"/>
        </w:rPr>
        <w:t xml:space="preserve"> </w:t>
      </w:r>
      <w:r w:rsidR="000D029A" w:rsidRPr="00917997">
        <w:rPr>
          <w:color w:val="auto"/>
          <w:szCs w:val="24"/>
        </w:rPr>
        <w:t xml:space="preserve">there was no </w:t>
      </w:r>
      <w:proofErr w:type="spellStart"/>
      <w:r w:rsidR="000D029A" w:rsidRPr="00917997">
        <w:rPr>
          <w:color w:val="auto"/>
          <w:szCs w:val="24"/>
        </w:rPr>
        <w:t>erythema</w:t>
      </w:r>
      <w:proofErr w:type="spellEnd"/>
      <w:r w:rsidR="000D029A" w:rsidRPr="00917997">
        <w:rPr>
          <w:color w:val="auto"/>
          <w:szCs w:val="24"/>
        </w:rPr>
        <w:t xml:space="preserve">, effusion, </w:t>
      </w:r>
      <w:proofErr w:type="spellStart"/>
      <w:r w:rsidR="000D029A" w:rsidRPr="00917997">
        <w:rPr>
          <w:color w:val="auto"/>
          <w:szCs w:val="24"/>
        </w:rPr>
        <w:t>ecchymosis</w:t>
      </w:r>
      <w:proofErr w:type="spellEnd"/>
      <w:r w:rsidR="000D029A" w:rsidRPr="00917997">
        <w:rPr>
          <w:color w:val="auto"/>
          <w:szCs w:val="24"/>
        </w:rPr>
        <w:t xml:space="preserve">, tenderness or </w:t>
      </w:r>
      <w:proofErr w:type="spellStart"/>
      <w:r w:rsidR="000D029A" w:rsidRPr="00917997">
        <w:rPr>
          <w:color w:val="auto"/>
          <w:szCs w:val="24"/>
        </w:rPr>
        <w:t>crepitus</w:t>
      </w:r>
      <w:proofErr w:type="spellEnd"/>
      <w:r w:rsidR="000D029A" w:rsidRPr="00917997">
        <w:rPr>
          <w:color w:val="auto"/>
          <w:szCs w:val="24"/>
        </w:rPr>
        <w:t>.  Both extensor mechanisms were intact.</w:t>
      </w:r>
      <w:r w:rsidR="000D029A" w:rsidRPr="00917997">
        <w:rPr>
          <w:rFonts w:ascii="Times New Roman" w:hAnsi="Times New Roman" w:cs="Times New Roman"/>
          <w:color w:val="auto"/>
        </w:rPr>
        <w:t xml:space="preserve">  </w:t>
      </w:r>
      <w:r w:rsidR="000D029A" w:rsidRPr="00917997">
        <w:rPr>
          <w:color w:val="auto"/>
          <w:szCs w:val="24"/>
        </w:rPr>
        <w:t xml:space="preserve">There was negative </w:t>
      </w:r>
      <w:proofErr w:type="spellStart"/>
      <w:r w:rsidR="000D029A" w:rsidRPr="00917997">
        <w:rPr>
          <w:color w:val="auto"/>
          <w:szCs w:val="24"/>
        </w:rPr>
        <w:t>va</w:t>
      </w:r>
      <w:r w:rsidR="0019235F">
        <w:rPr>
          <w:color w:val="auto"/>
          <w:szCs w:val="24"/>
        </w:rPr>
        <w:t>rus</w:t>
      </w:r>
      <w:proofErr w:type="spellEnd"/>
      <w:r w:rsidR="000D029A" w:rsidRPr="00917997">
        <w:rPr>
          <w:color w:val="auto"/>
          <w:szCs w:val="24"/>
        </w:rPr>
        <w:t>/</w:t>
      </w:r>
      <w:proofErr w:type="spellStart"/>
      <w:r w:rsidR="000D029A" w:rsidRPr="00917997">
        <w:rPr>
          <w:color w:val="auto"/>
          <w:szCs w:val="24"/>
        </w:rPr>
        <w:t>va</w:t>
      </w:r>
      <w:r w:rsidR="0019235F">
        <w:rPr>
          <w:color w:val="auto"/>
          <w:szCs w:val="24"/>
        </w:rPr>
        <w:t>lgus</w:t>
      </w:r>
      <w:proofErr w:type="spellEnd"/>
      <w:r w:rsidR="000D029A" w:rsidRPr="00917997">
        <w:rPr>
          <w:color w:val="auto"/>
          <w:szCs w:val="24"/>
        </w:rPr>
        <w:t xml:space="preserve"> stress test, negative anterior/posterior drawer test, negative </w:t>
      </w:r>
      <w:proofErr w:type="spellStart"/>
      <w:r w:rsidR="000D029A" w:rsidRPr="00917997">
        <w:rPr>
          <w:color w:val="auto"/>
          <w:szCs w:val="24"/>
        </w:rPr>
        <w:t>Lachman</w:t>
      </w:r>
      <w:proofErr w:type="spellEnd"/>
      <w:r w:rsidR="000D029A" w:rsidRPr="00917997">
        <w:rPr>
          <w:color w:val="auto"/>
          <w:szCs w:val="24"/>
        </w:rPr>
        <w:t xml:space="preserve"> test, negative McMurray test, negative patellar grind test and negative pivot-shift test.  The knees were symmetrical.</w:t>
      </w:r>
      <w:r w:rsidR="0019235F">
        <w:rPr>
          <w:color w:val="auto"/>
          <w:szCs w:val="24"/>
        </w:rPr>
        <w:t xml:space="preserve">  Both knees </w:t>
      </w:r>
      <w:r w:rsidR="00917997" w:rsidRPr="00917997">
        <w:rPr>
          <w:color w:val="auto"/>
          <w:szCs w:val="24"/>
        </w:rPr>
        <w:t>flex</w:t>
      </w:r>
      <w:r w:rsidR="0019235F">
        <w:rPr>
          <w:color w:val="auto"/>
          <w:szCs w:val="24"/>
        </w:rPr>
        <w:t>ed</w:t>
      </w:r>
      <w:r w:rsidR="00917997" w:rsidRPr="00917997">
        <w:rPr>
          <w:color w:val="auto"/>
          <w:szCs w:val="24"/>
        </w:rPr>
        <w:t xml:space="preserve"> to 130</w:t>
      </w:r>
      <w:r w:rsidR="008E435B">
        <w:rPr>
          <w:color w:val="auto"/>
          <w:szCs w:val="24"/>
        </w:rPr>
        <w:t xml:space="preserve"> degrees</w:t>
      </w:r>
      <w:r w:rsidR="00917997" w:rsidRPr="00917997">
        <w:rPr>
          <w:color w:val="auto"/>
          <w:szCs w:val="24"/>
        </w:rPr>
        <w:t xml:space="preserve"> and extend</w:t>
      </w:r>
      <w:r w:rsidR="0019235F">
        <w:rPr>
          <w:color w:val="auto"/>
          <w:szCs w:val="24"/>
        </w:rPr>
        <w:t>ed</w:t>
      </w:r>
      <w:r w:rsidR="00917997" w:rsidRPr="00917997">
        <w:rPr>
          <w:color w:val="auto"/>
          <w:szCs w:val="24"/>
        </w:rPr>
        <w:t xml:space="preserve"> to 0</w:t>
      </w:r>
      <w:r w:rsidR="008E435B">
        <w:rPr>
          <w:color w:val="auto"/>
          <w:szCs w:val="24"/>
        </w:rPr>
        <w:t xml:space="preserve"> degrees</w:t>
      </w:r>
      <w:r w:rsidR="00917997">
        <w:rPr>
          <w:color w:val="auto"/>
          <w:szCs w:val="24"/>
        </w:rPr>
        <w:t xml:space="preserve">.  For </w:t>
      </w:r>
      <w:r w:rsidR="00837D31">
        <w:rPr>
          <w:color w:val="auto"/>
          <w:szCs w:val="24"/>
        </w:rPr>
        <w:t xml:space="preserve">orthopedic </w:t>
      </w:r>
      <w:r w:rsidR="00917997">
        <w:rPr>
          <w:color w:val="auto"/>
          <w:szCs w:val="24"/>
        </w:rPr>
        <w:t>diagnoses,</w:t>
      </w:r>
      <w:r w:rsidR="00066E0B">
        <w:rPr>
          <w:color w:val="auto"/>
          <w:szCs w:val="24"/>
        </w:rPr>
        <w:t xml:space="preserve"> the examiner listed b</w:t>
      </w:r>
      <w:r w:rsidR="00917997">
        <w:rPr>
          <w:color w:val="auto"/>
          <w:szCs w:val="24"/>
        </w:rPr>
        <w:t xml:space="preserve">ilateral </w:t>
      </w:r>
      <w:proofErr w:type="spellStart"/>
      <w:r w:rsidR="00917997">
        <w:rPr>
          <w:color w:val="auto"/>
          <w:szCs w:val="24"/>
        </w:rPr>
        <w:t>r</w:t>
      </w:r>
      <w:r w:rsidR="00066E0B">
        <w:rPr>
          <w:color w:val="auto"/>
          <w:szCs w:val="24"/>
        </w:rPr>
        <w:t>etropatellar</w:t>
      </w:r>
      <w:proofErr w:type="spellEnd"/>
      <w:r w:rsidR="00066E0B">
        <w:rPr>
          <w:color w:val="auto"/>
          <w:szCs w:val="24"/>
        </w:rPr>
        <w:t xml:space="preserve"> pain syndrome</w:t>
      </w:r>
      <w:r w:rsidR="00BA2C96">
        <w:rPr>
          <w:color w:val="auto"/>
          <w:szCs w:val="24"/>
        </w:rPr>
        <w:t xml:space="preserve"> (RPPS)</w:t>
      </w:r>
      <w:r w:rsidR="00066E0B">
        <w:rPr>
          <w:color w:val="auto"/>
          <w:szCs w:val="24"/>
        </w:rPr>
        <w:t xml:space="preserve"> and b</w:t>
      </w:r>
      <w:r w:rsidR="00917997">
        <w:rPr>
          <w:color w:val="auto"/>
          <w:szCs w:val="24"/>
        </w:rPr>
        <w:t xml:space="preserve">ilateral </w:t>
      </w:r>
      <w:proofErr w:type="spellStart"/>
      <w:r w:rsidR="00917997">
        <w:rPr>
          <w:color w:val="auto"/>
          <w:szCs w:val="24"/>
        </w:rPr>
        <w:t>tibial</w:t>
      </w:r>
      <w:proofErr w:type="spellEnd"/>
      <w:r w:rsidR="00917997">
        <w:rPr>
          <w:color w:val="auto"/>
          <w:szCs w:val="24"/>
        </w:rPr>
        <w:t xml:space="preserve"> plateau stress reaction</w:t>
      </w:r>
      <w:r w:rsidR="00BA2C96">
        <w:rPr>
          <w:color w:val="auto"/>
          <w:szCs w:val="24"/>
        </w:rPr>
        <w:t xml:space="preserve"> (TPSR)</w:t>
      </w:r>
      <w:r w:rsidR="00917997">
        <w:rPr>
          <w:color w:val="auto"/>
          <w:szCs w:val="24"/>
        </w:rPr>
        <w:t>.</w:t>
      </w:r>
      <w:r w:rsidR="00066E0B">
        <w:rPr>
          <w:color w:val="auto"/>
          <w:szCs w:val="24"/>
        </w:rPr>
        <w:t xml:space="preserve">  </w:t>
      </w:r>
      <w:r w:rsidR="00917997">
        <w:rPr>
          <w:color w:val="auto"/>
          <w:szCs w:val="24"/>
        </w:rPr>
        <w:t>On 31 January 2002</w:t>
      </w:r>
      <w:r w:rsidR="00066E0B">
        <w:rPr>
          <w:color w:val="auto"/>
          <w:szCs w:val="24"/>
        </w:rPr>
        <w:t xml:space="preserve">, </w:t>
      </w:r>
      <w:r w:rsidR="004A7BA2">
        <w:rPr>
          <w:color w:val="auto"/>
          <w:szCs w:val="24"/>
        </w:rPr>
        <w:t xml:space="preserve">9 </w:t>
      </w:r>
      <w:r w:rsidR="00066E0B">
        <w:rPr>
          <w:color w:val="auto"/>
          <w:szCs w:val="24"/>
        </w:rPr>
        <w:t xml:space="preserve">weeks </w:t>
      </w:r>
      <w:r w:rsidR="002B72BC">
        <w:rPr>
          <w:color w:val="auto"/>
          <w:szCs w:val="24"/>
        </w:rPr>
        <w:t>prior to separation</w:t>
      </w:r>
      <w:r w:rsidR="00066E0B">
        <w:rPr>
          <w:color w:val="auto"/>
          <w:szCs w:val="24"/>
        </w:rPr>
        <w:t xml:space="preserve">, the CI had a VA </w:t>
      </w:r>
      <w:r w:rsidR="00837D31">
        <w:rPr>
          <w:color w:val="auto"/>
          <w:szCs w:val="24"/>
        </w:rPr>
        <w:t xml:space="preserve">general medical </w:t>
      </w:r>
      <w:r w:rsidR="008E435B">
        <w:rPr>
          <w:color w:val="auto"/>
          <w:szCs w:val="24"/>
        </w:rPr>
        <w:t>C</w:t>
      </w:r>
      <w:r w:rsidR="00066E0B">
        <w:rPr>
          <w:color w:val="auto"/>
          <w:szCs w:val="24"/>
        </w:rPr>
        <w:t xml:space="preserve">ompensation and </w:t>
      </w:r>
      <w:r w:rsidR="008E435B">
        <w:rPr>
          <w:color w:val="auto"/>
          <w:szCs w:val="24"/>
        </w:rPr>
        <w:t>P</w:t>
      </w:r>
      <w:r w:rsidR="00066E0B">
        <w:rPr>
          <w:color w:val="auto"/>
          <w:szCs w:val="24"/>
        </w:rPr>
        <w:t>ension (C&amp;P) exam.  At that time, he</w:t>
      </w:r>
      <w:r w:rsidR="006F0E87">
        <w:rPr>
          <w:color w:val="auto"/>
          <w:szCs w:val="24"/>
        </w:rPr>
        <w:t xml:space="preserve"> was in no acute distress.  Height </w:t>
      </w:r>
      <w:r w:rsidR="00837D31">
        <w:rPr>
          <w:color w:val="auto"/>
          <w:szCs w:val="24"/>
        </w:rPr>
        <w:t xml:space="preserve">was </w:t>
      </w:r>
      <w:r w:rsidR="006F0E87">
        <w:rPr>
          <w:color w:val="auto"/>
          <w:szCs w:val="24"/>
        </w:rPr>
        <w:t xml:space="preserve">69 inches, weight 218 pounds, BMI </w:t>
      </w:r>
      <w:r w:rsidR="00003E12">
        <w:rPr>
          <w:color w:val="auto"/>
          <w:szCs w:val="24"/>
        </w:rPr>
        <w:t>32</w:t>
      </w:r>
      <w:r w:rsidR="005E73E9">
        <w:rPr>
          <w:color w:val="auto"/>
          <w:szCs w:val="24"/>
        </w:rPr>
        <w:t>.  He</w:t>
      </w:r>
      <w:r w:rsidR="00066E0B">
        <w:rPr>
          <w:color w:val="auto"/>
          <w:szCs w:val="24"/>
        </w:rPr>
        <w:t xml:space="preserve"> </w:t>
      </w:r>
      <w:r w:rsidR="002B72BC">
        <w:rPr>
          <w:color w:val="auto"/>
          <w:szCs w:val="24"/>
        </w:rPr>
        <w:t xml:space="preserve">had a markedly </w:t>
      </w:r>
      <w:proofErr w:type="spellStart"/>
      <w:r w:rsidR="002B72BC">
        <w:rPr>
          <w:color w:val="auto"/>
          <w:szCs w:val="24"/>
        </w:rPr>
        <w:t>antalgic</w:t>
      </w:r>
      <w:proofErr w:type="spellEnd"/>
      <w:r w:rsidR="002B72BC">
        <w:rPr>
          <w:color w:val="auto"/>
          <w:szCs w:val="24"/>
        </w:rPr>
        <w:t xml:space="preserve"> gait and </w:t>
      </w:r>
      <w:r w:rsidR="00066E0B" w:rsidRPr="00F20B3A">
        <w:rPr>
          <w:color w:val="auto"/>
          <w:szCs w:val="24"/>
        </w:rPr>
        <w:t>complain</w:t>
      </w:r>
      <w:r w:rsidR="005E73E9">
        <w:rPr>
          <w:color w:val="auto"/>
          <w:szCs w:val="24"/>
        </w:rPr>
        <w:t>ed</w:t>
      </w:r>
      <w:r w:rsidR="00066E0B" w:rsidRPr="00F20B3A">
        <w:rPr>
          <w:color w:val="auto"/>
          <w:szCs w:val="24"/>
        </w:rPr>
        <w:t xml:space="preserve"> of right knee pain. </w:t>
      </w:r>
      <w:r w:rsidR="00066E0B">
        <w:rPr>
          <w:color w:val="auto"/>
          <w:szCs w:val="24"/>
        </w:rPr>
        <w:t xml:space="preserve"> </w:t>
      </w:r>
      <w:r w:rsidR="00066E0B" w:rsidRPr="00F20B3A">
        <w:rPr>
          <w:color w:val="auto"/>
          <w:szCs w:val="24"/>
        </w:rPr>
        <w:t xml:space="preserve">Examination </w:t>
      </w:r>
      <w:r w:rsidR="00066E0B">
        <w:rPr>
          <w:color w:val="auto"/>
          <w:szCs w:val="24"/>
        </w:rPr>
        <w:t>showed</w:t>
      </w:r>
      <w:r w:rsidR="00066E0B" w:rsidRPr="00F20B3A">
        <w:rPr>
          <w:color w:val="auto"/>
          <w:szCs w:val="24"/>
        </w:rPr>
        <w:t xml:space="preserve"> no evidence of</w:t>
      </w:r>
      <w:r w:rsidR="00066E0B">
        <w:rPr>
          <w:color w:val="auto"/>
          <w:szCs w:val="24"/>
        </w:rPr>
        <w:t xml:space="preserve"> </w:t>
      </w:r>
      <w:r w:rsidR="00066E0B" w:rsidRPr="00F20B3A">
        <w:rPr>
          <w:color w:val="auto"/>
          <w:szCs w:val="24"/>
        </w:rPr>
        <w:t xml:space="preserve">soft tissue swelling or joint effusion. </w:t>
      </w:r>
      <w:r w:rsidR="00066E0B">
        <w:rPr>
          <w:color w:val="auto"/>
          <w:szCs w:val="24"/>
        </w:rPr>
        <w:t xml:space="preserve"> </w:t>
      </w:r>
      <w:r w:rsidR="00890E31">
        <w:rPr>
          <w:color w:val="auto"/>
          <w:szCs w:val="24"/>
        </w:rPr>
        <w:t xml:space="preserve">He had </w:t>
      </w:r>
      <w:r w:rsidR="00066E0B" w:rsidRPr="00F20B3A">
        <w:rPr>
          <w:color w:val="auto"/>
          <w:szCs w:val="24"/>
        </w:rPr>
        <w:t>right medial joint line</w:t>
      </w:r>
      <w:r w:rsidR="00890E31">
        <w:rPr>
          <w:color w:val="auto"/>
          <w:szCs w:val="24"/>
        </w:rPr>
        <w:t xml:space="preserve"> tenderness</w:t>
      </w:r>
      <w:r w:rsidR="00066E0B" w:rsidRPr="00F20B3A">
        <w:rPr>
          <w:color w:val="auto"/>
          <w:szCs w:val="24"/>
        </w:rPr>
        <w:t>.</w:t>
      </w:r>
      <w:r w:rsidR="00066E0B">
        <w:rPr>
          <w:color w:val="auto"/>
          <w:szCs w:val="24"/>
        </w:rPr>
        <w:t xml:space="preserve">  Bo</w:t>
      </w:r>
      <w:r w:rsidR="00066E0B" w:rsidRPr="00F20B3A">
        <w:rPr>
          <w:color w:val="auto"/>
          <w:szCs w:val="24"/>
        </w:rPr>
        <w:t>th knees had no evidence of</w:t>
      </w:r>
      <w:r w:rsidR="00066E0B">
        <w:rPr>
          <w:color w:val="auto"/>
          <w:szCs w:val="24"/>
        </w:rPr>
        <w:t xml:space="preserve"> </w:t>
      </w:r>
      <w:proofErr w:type="spellStart"/>
      <w:r w:rsidR="00066E0B" w:rsidRPr="00F20B3A">
        <w:rPr>
          <w:color w:val="auto"/>
          <w:szCs w:val="24"/>
        </w:rPr>
        <w:t>ligamentous</w:t>
      </w:r>
      <w:proofErr w:type="spellEnd"/>
      <w:r w:rsidR="00066E0B" w:rsidRPr="00F20B3A">
        <w:rPr>
          <w:color w:val="auto"/>
          <w:szCs w:val="24"/>
        </w:rPr>
        <w:t xml:space="preserve"> instability</w:t>
      </w:r>
      <w:r w:rsidR="0019235F">
        <w:rPr>
          <w:color w:val="auto"/>
          <w:szCs w:val="24"/>
        </w:rPr>
        <w:t xml:space="preserve">.  </w:t>
      </w:r>
      <w:r w:rsidR="00066E0B" w:rsidRPr="00F20B3A">
        <w:rPr>
          <w:color w:val="auto"/>
          <w:szCs w:val="24"/>
        </w:rPr>
        <w:t>McMurray's test was negative bilaterally.</w:t>
      </w:r>
      <w:r w:rsidR="002B72BC">
        <w:rPr>
          <w:color w:val="auto"/>
          <w:szCs w:val="24"/>
        </w:rPr>
        <w:t xml:space="preserve">  </w:t>
      </w:r>
      <w:r w:rsidR="005E73E9">
        <w:rPr>
          <w:color w:val="auto"/>
          <w:szCs w:val="24"/>
        </w:rPr>
        <w:t xml:space="preserve">In the </w:t>
      </w:r>
      <w:r w:rsidR="00AA614C">
        <w:rPr>
          <w:color w:val="auto"/>
          <w:szCs w:val="24"/>
        </w:rPr>
        <w:t xml:space="preserve">CI’s </w:t>
      </w:r>
      <w:r w:rsidR="005E73E9">
        <w:rPr>
          <w:color w:val="auto"/>
          <w:szCs w:val="24"/>
        </w:rPr>
        <w:t>treatment record, t</w:t>
      </w:r>
      <w:r w:rsidR="00066E0B">
        <w:rPr>
          <w:color w:val="auto"/>
          <w:szCs w:val="24"/>
        </w:rPr>
        <w:t xml:space="preserve">wo relevant </w:t>
      </w:r>
      <w:r w:rsidR="00001EFC">
        <w:rPr>
          <w:color w:val="auto"/>
          <w:szCs w:val="24"/>
        </w:rPr>
        <w:t>range</w:t>
      </w:r>
      <w:r w:rsidR="008E435B">
        <w:rPr>
          <w:color w:val="auto"/>
          <w:szCs w:val="24"/>
        </w:rPr>
        <w:t>-</w:t>
      </w:r>
      <w:r w:rsidR="00001EFC">
        <w:rPr>
          <w:color w:val="auto"/>
          <w:szCs w:val="24"/>
        </w:rPr>
        <w:t>of</w:t>
      </w:r>
      <w:r w:rsidR="008E435B">
        <w:rPr>
          <w:color w:val="auto"/>
          <w:szCs w:val="24"/>
        </w:rPr>
        <w:t>-</w:t>
      </w:r>
      <w:r w:rsidR="0069687C" w:rsidRPr="00F64312">
        <w:rPr>
          <w:color w:val="auto"/>
          <w:szCs w:val="24"/>
        </w:rPr>
        <w:t xml:space="preserve">motion (ROM) evaluations </w:t>
      </w:r>
      <w:r w:rsidR="004E72B6">
        <w:rPr>
          <w:color w:val="auto"/>
          <w:szCs w:val="24"/>
        </w:rPr>
        <w:t xml:space="preserve">were </w:t>
      </w:r>
      <w:r w:rsidR="00003E12">
        <w:rPr>
          <w:color w:val="auto"/>
          <w:szCs w:val="24"/>
        </w:rPr>
        <w:t>noted</w:t>
      </w:r>
      <w:r w:rsidR="0069687C" w:rsidRPr="00F64312">
        <w:rPr>
          <w:color w:val="auto"/>
          <w:szCs w:val="24"/>
        </w:rPr>
        <w:t xml:space="preserve">, </w:t>
      </w:r>
      <w:r w:rsidR="004E72B6">
        <w:rPr>
          <w:color w:val="auto"/>
          <w:szCs w:val="24"/>
        </w:rPr>
        <w:t xml:space="preserve">and are summarized </w:t>
      </w:r>
      <w:r w:rsidR="0019235F">
        <w:rPr>
          <w:color w:val="auto"/>
          <w:szCs w:val="24"/>
        </w:rPr>
        <w:t>below</w:t>
      </w:r>
      <w:r w:rsidR="0069687C" w:rsidRPr="00F64312">
        <w:rPr>
          <w:color w:val="auto"/>
          <w:szCs w:val="24"/>
        </w:rPr>
        <w:t>.</w:t>
      </w:r>
      <w:r w:rsidR="00165C7B" w:rsidRPr="00F64312">
        <w:rPr>
          <w:color w:val="auto"/>
          <w:szCs w:val="24"/>
        </w:rPr>
        <w:t xml:space="preserve">  </w:t>
      </w:r>
    </w:p>
    <w:p w:rsidR="001E70E4" w:rsidRPr="001E70E4" w:rsidRDefault="001E70E4" w:rsidP="0019235F">
      <w:pPr>
        <w:jc w:val="left"/>
        <w:rPr>
          <w:rFonts w:eastAsiaTheme="minorHAnsi"/>
          <w:color w:val="auto"/>
          <w:szCs w:val="24"/>
        </w:rPr>
      </w:pPr>
    </w:p>
    <w:tbl>
      <w:tblPr>
        <w:tblW w:w="7174" w:type="dxa"/>
        <w:jc w:val="center"/>
        <w:tblInd w:w="1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361"/>
        <w:gridCol w:w="1080"/>
        <w:gridCol w:w="1260"/>
        <w:gridCol w:w="1313"/>
      </w:tblGrid>
      <w:tr w:rsidR="001E786D" w:rsidRPr="00F64312" w:rsidTr="001E786D">
        <w:trPr>
          <w:trHeight w:val="467"/>
          <w:jc w:val="center"/>
        </w:trPr>
        <w:tc>
          <w:tcPr>
            <w:tcW w:w="216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1E786D" w:rsidRPr="00F64312" w:rsidRDefault="001E786D" w:rsidP="009F11B0">
            <w:pPr>
              <w:spacing w:line="200" w:lineRule="exact"/>
              <w:rPr>
                <w:rFonts w:asciiTheme="majorHAnsi" w:eastAsia="Calibri" w:hAnsiTheme="majorHAnsi" w:cstheme="majorHAnsi"/>
                <w:color w:val="auto"/>
                <w:sz w:val="18"/>
                <w:szCs w:val="18"/>
              </w:rPr>
            </w:pPr>
            <w:r w:rsidRPr="00F64312">
              <w:rPr>
                <w:rFonts w:asciiTheme="majorHAnsi" w:hAnsiTheme="majorHAnsi" w:cstheme="majorHAnsi"/>
                <w:color w:val="auto"/>
                <w:sz w:val="18"/>
                <w:szCs w:val="18"/>
              </w:rPr>
              <w:t>Knee ROM</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786D" w:rsidRPr="00F64312" w:rsidRDefault="001E786D" w:rsidP="009F11B0">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w:t>
            </w:r>
            <w:r>
              <w:rPr>
                <w:rFonts w:asciiTheme="majorHAnsi" w:eastAsia="Calibri" w:hAnsiTheme="majorHAnsi" w:cstheme="majorHAnsi"/>
                <w:color w:val="auto"/>
                <w:sz w:val="18"/>
                <w:szCs w:val="18"/>
              </w:rPr>
              <w:t xml:space="preserve"> – 25 weeks</w:t>
            </w:r>
            <w:r w:rsidRPr="00F64312">
              <w:rPr>
                <w:rFonts w:asciiTheme="majorHAnsi" w:eastAsia="Calibri" w:hAnsiTheme="majorHAnsi" w:cstheme="majorHAnsi"/>
                <w:color w:val="auto"/>
                <w:sz w:val="18"/>
                <w:szCs w:val="18"/>
              </w:rPr>
              <w:t xml:space="preserve"> Pre-Sep</w:t>
            </w:r>
          </w:p>
          <w:p w:rsidR="001E786D" w:rsidRPr="00F64312" w:rsidRDefault="001E786D" w:rsidP="0019235F">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11010</w:t>
            </w:r>
            <w:r w:rsidRPr="00F64312">
              <w:rPr>
                <w:rFonts w:asciiTheme="majorHAnsi" w:eastAsia="Calibri" w:hAnsiTheme="majorHAnsi" w:cstheme="majorHAnsi"/>
                <w:color w:val="auto"/>
                <w:sz w:val="18"/>
                <w:szCs w:val="18"/>
              </w:rPr>
              <w:t>)</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786D" w:rsidRPr="00F64312" w:rsidRDefault="001E786D" w:rsidP="009F11B0">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w:t>
            </w:r>
            <w:r>
              <w:rPr>
                <w:rFonts w:asciiTheme="majorHAnsi" w:eastAsiaTheme="minorHAnsi" w:hAnsiTheme="majorHAnsi" w:cstheme="majorHAnsi"/>
                <w:color w:val="auto"/>
                <w:sz w:val="18"/>
                <w:szCs w:val="18"/>
              </w:rPr>
              <w:t xml:space="preserve"> – 9 weeks </w:t>
            </w:r>
            <w:r w:rsidRPr="00F64312">
              <w:rPr>
                <w:rFonts w:asciiTheme="majorHAnsi" w:eastAsia="Calibri" w:hAnsiTheme="majorHAnsi" w:cstheme="majorHAnsi"/>
                <w:color w:val="auto"/>
                <w:sz w:val="18"/>
                <w:szCs w:val="18"/>
              </w:rPr>
              <w:t>P</w:t>
            </w:r>
            <w:r>
              <w:rPr>
                <w:rFonts w:asciiTheme="majorHAnsi" w:eastAsia="Calibri" w:hAnsiTheme="majorHAnsi" w:cstheme="majorHAnsi"/>
                <w:color w:val="auto"/>
                <w:sz w:val="18"/>
                <w:szCs w:val="18"/>
              </w:rPr>
              <w:t>re</w:t>
            </w:r>
            <w:r w:rsidRPr="00F64312">
              <w:rPr>
                <w:rFonts w:asciiTheme="majorHAnsi" w:eastAsia="Calibri" w:hAnsiTheme="majorHAnsi" w:cstheme="majorHAnsi"/>
                <w:color w:val="auto"/>
                <w:sz w:val="18"/>
                <w:szCs w:val="18"/>
              </w:rPr>
              <w:t>-Sep</w:t>
            </w:r>
          </w:p>
          <w:p w:rsidR="001E786D" w:rsidRPr="00F64312" w:rsidRDefault="001E786D" w:rsidP="0019235F">
            <w:pPr>
              <w:spacing w:line="18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20131</w:t>
            </w:r>
            <w:r w:rsidRPr="00F64312">
              <w:rPr>
                <w:rFonts w:asciiTheme="majorHAnsi" w:eastAsia="Calibri" w:hAnsiTheme="majorHAnsi" w:cstheme="majorHAnsi"/>
                <w:color w:val="auto"/>
                <w:sz w:val="18"/>
                <w:szCs w:val="18"/>
              </w:rPr>
              <w:t>)</w:t>
            </w:r>
          </w:p>
        </w:tc>
      </w:tr>
      <w:tr w:rsidR="001E786D" w:rsidRPr="00F64312" w:rsidTr="00003E12">
        <w:trPr>
          <w:trHeight w:val="215"/>
          <w:jc w:val="center"/>
        </w:trPr>
        <w:tc>
          <w:tcPr>
            <w:tcW w:w="2160"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1E786D" w:rsidRPr="00F64312" w:rsidRDefault="001E786D" w:rsidP="009F11B0">
            <w:pPr>
              <w:spacing w:line="200" w:lineRule="exact"/>
              <w:rPr>
                <w:rFonts w:asciiTheme="majorHAnsi" w:eastAsia="Calibri" w:hAnsiTheme="majorHAnsi" w:cstheme="majorHAnsi"/>
                <w:color w:val="auto"/>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786D" w:rsidRPr="00F64312" w:rsidRDefault="001E786D" w:rsidP="009F11B0">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Left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E786D" w:rsidRPr="00F64312" w:rsidRDefault="001E786D" w:rsidP="009F11B0">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Right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786D" w:rsidRPr="00F64312" w:rsidRDefault="001E786D" w:rsidP="009F11B0">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Left</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E786D" w:rsidRPr="00F64312" w:rsidRDefault="001E786D" w:rsidP="009F11B0">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Right</w:t>
            </w:r>
          </w:p>
        </w:tc>
      </w:tr>
      <w:tr w:rsidR="001E786D" w:rsidRPr="00F64312" w:rsidTr="001E786D">
        <w:trPr>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1E786D" w:rsidRPr="00F64312" w:rsidRDefault="001E786D" w:rsidP="004970C8">
            <w:pPr>
              <w:spacing w:line="220" w:lineRule="exact"/>
              <w:contextualSpacing/>
              <w:rPr>
                <w:rFonts w:asciiTheme="majorHAnsi" w:hAnsiTheme="majorHAnsi" w:cstheme="majorHAnsi"/>
                <w:color w:val="auto"/>
                <w:sz w:val="18"/>
                <w:szCs w:val="18"/>
              </w:rPr>
            </w:pPr>
            <w:r w:rsidRPr="004970C8">
              <w:rPr>
                <w:rFonts w:asciiTheme="majorHAnsi" w:hAnsiTheme="majorHAnsi" w:cstheme="majorHAnsi"/>
                <w:color w:val="auto"/>
                <w:sz w:val="18"/>
                <w:szCs w:val="18"/>
              </w:rPr>
              <w:t>Flexion (14</w:t>
            </w:r>
            <w:r w:rsidRPr="004970C8">
              <w:rPr>
                <w:color w:val="auto"/>
                <w:sz w:val="18"/>
                <w:szCs w:val="18"/>
              </w:rPr>
              <w:t>0°</w:t>
            </w:r>
            <w:r w:rsidRPr="004970C8">
              <w:rPr>
                <w:rFonts w:asciiTheme="majorHAnsi" w:hAnsiTheme="majorHAnsi" w:cstheme="majorHAnsi"/>
                <w:color w:val="auto"/>
                <w:sz w:val="18"/>
                <w:szCs w:val="18"/>
              </w:rPr>
              <w:t xml:space="preserve"> is normal</w:t>
            </w:r>
            <w:r w:rsidRPr="00F64312">
              <w:rPr>
                <w:rFonts w:asciiTheme="majorHAnsi" w:hAnsiTheme="majorHAnsi" w:cstheme="majorHAnsi"/>
                <w:color w:val="auto"/>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1E786D" w:rsidRPr="009E515D" w:rsidRDefault="001E786D" w:rsidP="009F11B0">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13</w:t>
            </w:r>
            <w:r w:rsidRPr="004970C8">
              <w:rPr>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1E786D" w:rsidRPr="009E515D" w:rsidRDefault="001E786D" w:rsidP="009F11B0">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13</w:t>
            </w:r>
            <w:r w:rsidRPr="004970C8">
              <w:rPr>
                <w:color w:val="auto"/>
                <w:sz w:val="18"/>
                <w:szCs w:val="18"/>
              </w:rPr>
              <w:t>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E786D" w:rsidRPr="009E515D" w:rsidRDefault="001E786D" w:rsidP="001E786D">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135</w:t>
            </w:r>
            <w:r w:rsidRPr="004970C8">
              <w:rPr>
                <w:color w:val="auto"/>
                <w:sz w:val="18"/>
                <w:szCs w:val="18"/>
              </w:rPr>
              <w:t>°</w:t>
            </w:r>
          </w:p>
        </w:tc>
        <w:tc>
          <w:tcPr>
            <w:tcW w:w="1313" w:type="dxa"/>
            <w:tcBorders>
              <w:top w:val="single" w:sz="4" w:space="0" w:color="000000"/>
              <w:left w:val="single" w:sz="4" w:space="0" w:color="000000"/>
              <w:bottom w:val="single" w:sz="4" w:space="0" w:color="000000"/>
              <w:right w:val="single" w:sz="4" w:space="0" w:color="000000"/>
            </w:tcBorders>
            <w:vAlign w:val="center"/>
          </w:tcPr>
          <w:p w:rsidR="001E786D" w:rsidRPr="009E515D" w:rsidRDefault="001E786D" w:rsidP="001E786D">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130</w:t>
            </w:r>
            <w:r w:rsidRPr="004970C8">
              <w:rPr>
                <w:color w:val="auto"/>
                <w:sz w:val="18"/>
                <w:szCs w:val="18"/>
              </w:rPr>
              <w:t>°</w:t>
            </w:r>
          </w:p>
        </w:tc>
      </w:tr>
      <w:tr w:rsidR="001E786D" w:rsidRPr="00F64312" w:rsidTr="001E786D">
        <w:trPr>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1E786D" w:rsidRPr="00F64312" w:rsidRDefault="001E786D" w:rsidP="001E786D">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Extension (</w:t>
            </w:r>
            <w:r w:rsidRPr="004970C8">
              <w:rPr>
                <w:color w:val="auto"/>
                <w:sz w:val="18"/>
                <w:szCs w:val="18"/>
              </w:rPr>
              <w:t>0°</w:t>
            </w:r>
            <w:r>
              <w:rPr>
                <w:color w:val="auto"/>
                <w:sz w:val="18"/>
                <w:szCs w:val="18"/>
              </w:rPr>
              <w:t xml:space="preserve"> is n</w:t>
            </w:r>
            <w:r w:rsidRPr="00F64312">
              <w:rPr>
                <w:rFonts w:asciiTheme="majorHAnsi" w:hAnsiTheme="majorHAnsi" w:cstheme="majorHAnsi"/>
                <w:color w:val="auto"/>
                <w:sz w:val="18"/>
                <w:szCs w:val="18"/>
              </w:rPr>
              <w:t>ormal)</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1E786D" w:rsidRPr="009E515D" w:rsidRDefault="001E786D" w:rsidP="009F11B0">
            <w:pPr>
              <w:spacing w:line="220" w:lineRule="exact"/>
              <w:contextualSpacing/>
              <w:rPr>
                <w:rFonts w:asciiTheme="majorHAnsi" w:hAnsiTheme="majorHAnsi" w:cstheme="majorHAnsi"/>
                <w:color w:val="auto"/>
                <w:sz w:val="18"/>
                <w:szCs w:val="18"/>
              </w:rPr>
            </w:pPr>
            <w:r w:rsidRPr="004970C8">
              <w:rPr>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1E786D" w:rsidRPr="009E515D" w:rsidRDefault="001E786D" w:rsidP="009F11B0">
            <w:pPr>
              <w:spacing w:line="220" w:lineRule="exact"/>
              <w:contextualSpacing/>
              <w:rPr>
                <w:rFonts w:asciiTheme="majorHAnsi" w:hAnsiTheme="majorHAnsi" w:cstheme="majorHAnsi"/>
                <w:color w:val="auto"/>
                <w:sz w:val="18"/>
                <w:szCs w:val="18"/>
              </w:rPr>
            </w:pPr>
            <w:r w:rsidRPr="004970C8">
              <w:rPr>
                <w:color w:val="auto"/>
                <w:sz w:val="18"/>
                <w:szCs w:val="18"/>
              </w:rPr>
              <w:t>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E786D" w:rsidRPr="009E515D" w:rsidRDefault="001E786D" w:rsidP="009F11B0">
            <w:pPr>
              <w:spacing w:line="220" w:lineRule="exact"/>
              <w:contextualSpacing/>
              <w:rPr>
                <w:rFonts w:asciiTheme="majorHAnsi" w:hAnsiTheme="majorHAnsi" w:cstheme="majorHAnsi"/>
                <w:color w:val="auto"/>
                <w:sz w:val="18"/>
                <w:szCs w:val="18"/>
              </w:rPr>
            </w:pPr>
            <w:r w:rsidRPr="004970C8">
              <w:rPr>
                <w:color w:val="auto"/>
                <w:sz w:val="18"/>
                <w:szCs w:val="18"/>
              </w:rPr>
              <w:t>0°</w:t>
            </w:r>
          </w:p>
        </w:tc>
        <w:tc>
          <w:tcPr>
            <w:tcW w:w="1313" w:type="dxa"/>
            <w:tcBorders>
              <w:top w:val="single" w:sz="4" w:space="0" w:color="000000"/>
              <w:left w:val="single" w:sz="4" w:space="0" w:color="000000"/>
              <w:bottom w:val="single" w:sz="4" w:space="0" w:color="000000"/>
              <w:right w:val="single" w:sz="4" w:space="0" w:color="000000"/>
            </w:tcBorders>
            <w:vAlign w:val="center"/>
          </w:tcPr>
          <w:p w:rsidR="001E786D" w:rsidRPr="009E515D" w:rsidRDefault="001E786D" w:rsidP="001E786D">
            <w:pPr>
              <w:spacing w:line="220" w:lineRule="exact"/>
              <w:contextualSpacing/>
              <w:rPr>
                <w:rFonts w:asciiTheme="majorHAnsi" w:hAnsiTheme="majorHAnsi" w:cstheme="majorHAnsi"/>
                <w:color w:val="auto"/>
                <w:sz w:val="18"/>
                <w:szCs w:val="18"/>
              </w:rPr>
            </w:pPr>
            <w:r>
              <w:rPr>
                <w:color w:val="auto"/>
                <w:sz w:val="18"/>
                <w:szCs w:val="18"/>
              </w:rPr>
              <w:t>5</w:t>
            </w:r>
            <w:r w:rsidRPr="004970C8">
              <w:rPr>
                <w:color w:val="auto"/>
                <w:sz w:val="18"/>
                <w:szCs w:val="18"/>
              </w:rPr>
              <w:t>°</w:t>
            </w:r>
          </w:p>
        </w:tc>
      </w:tr>
      <w:tr w:rsidR="001E786D" w:rsidRPr="00F64312" w:rsidTr="001E786D">
        <w:trPr>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1E786D" w:rsidRPr="00F64312" w:rsidRDefault="001E786D" w:rsidP="009F11B0">
            <w:pPr>
              <w:tabs>
                <w:tab w:val="left" w:pos="288"/>
                <w:tab w:val="left" w:pos="4752"/>
              </w:tabs>
              <w:spacing w:line="20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rsidR="001E786D" w:rsidRPr="00F64312" w:rsidRDefault="00D051E6" w:rsidP="007C1E4B">
            <w:pPr>
              <w:spacing w:line="200" w:lineRule="exact"/>
              <w:contextualSpacing/>
              <w:jc w:val="left"/>
              <w:rPr>
                <w:rFonts w:asciiTheme="majorHAnsi" w:eastAsia="Calibri" w:hAnsiTheme="majorHAnsi" w:cstheme="majorHAnsi"/>
                <w:color w:val="auto"/>
                <w:sz w:val="18"/>
                <w:szCs w:val="18"/>
                <w:highlight w:val="lightGray"/>
              </w:rPr>
            </w:pPr>
            <w:r w:rsidRPr="00D051E6">
              <w:rPr>
                <w:rFonts w:asciiTheme="majorHAnsi" w:eastAsia="Calibri" w:hAnsiTheme="majorHAnsi" w:cstheme="majorHAnsi"/>
                <w:color w:val="auto"/>
                <w:sz w:val="18"/>
                <w:szCs w:val="18"/>
              </w:rPr>
              <w:t xml:space="preserve">Painful motion not </w:t>
            </w:r>
            <w:r>
              <w:rPr>
                <w:rFonts w:asciiTheme="majorHAnsi" w:eastAsia="Calibri" w:hAnsiTheme="majorHAnsi" w:cstheme="majorHAnsi"/>
                <w:color w:val="auto"/>
                <w:sz w:val="18"/>
                <w:szCs w:val="18"/>
              </w:rPr>
              <w:t>mentioned</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86D" w:rsidRPr="009E515D" w:rsidRDefault="001E786D" w:rsidP="00D051E6">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Painful motion</w:t>
            </w:r>
            <w:r w:rsidR="00D051E6">
              <w:rPr>
                <w:rFonts w:asciiTheme="majorHAnsi" w:eastAsia="Calibri" w:hAnsiTheme="majorHAnsi" w:cstheme="majorHAnsi"/>
                <w:color w:val="auto"/>
                <w:sz w:val="18"/>
                <w:szCs w:val="18"/>
              </w:rPr>
              <w:t xml:space="preserve"> – </w:t>
            </w:r>
            <w:r>
              <w:rPr>
                <w:rFonts w:asciiTheme="majorHAnsi" w:eastAsia="Calibri" w:hAnsiTheme="majorHAnsi" w:cstheme="majorHAnsi"/>
                <w:color w:val="auto"/>
                <w:sz w:val="18"/>
                <w:szCs w:val="18"/>
              </w:rPr>
              <w:t>bilaterally</w:t>
            </w:r>
          </w:p>
        </w:tc>
      </w:tr>
      <w:tr w:rsidR="001E786D" w:rsidRPr="00F64312" w:rsidTr="001E786D">
        <w:trPr>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1E786D" w:rsidRPr="00F64312" w:rsidRDefault="001E786D" w:rsidP="009F11B0">
            <w:pPr>
              <w:tabs>
                <w:tab w:val="left" w:pos="288"/>
                <w:tab w:val="left" w:pos="4752"/>
              </w:tabs>
              <w:spacing w:line="20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1E786D" w:rsidRPr="00F64312" w:rsidRDefault="00D051E6" w:rsidP="009F11B0">
            <w:pPr>
              <w:spacing w:line="200" w:lineRule="exact"/>
              <w:contextualSpacing/>
              <w:rPr>
                <w:rFonts w:asciiTheme="majorHAnsi" w:eastAsia="Calibri" w:hAnsiTheme="majorHAnsi" w:cstheme="majorHAnsi"/>
                <w:color w:val="auto"/>
                <w:sz w:val="18"/>
                <w:szCs w:val="18"/>
                <w:highlight w:val="lightGray"/>
              </w:rPr>
            </w:pPr>
            <w:r w:rsidRPr="004F26CC">
              <w:rPr>
                <w:rFonts w:asciiTheme="majorHAnsi" w:eastAsia="Calibri" w:hAnsiTheme="majorHAnsi" w:cstheme="majorHAns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1E786D" w:rsidRPr="00F64312" w:rsidRDefault="00D051E6" w:rsidP="009F11B0">
            <w:pPr>
              <w:spacing w:line="200" w:lineRule="exact"/>
              <w:contextualSpacing/>
              <w:rPr>
                <w:rFonts w:asciiTheme="majorHAnsi" w:eastAsia="Calibri" w:hAnsiTheme="majorHAnsi" w:cstheme="majorHAnsi"/>
                <w:color w:val="auto"/>
                <w:sz w:val="18"/>
                <w:szCs w:val="18"/>
                <w:highlight w:val="lightGray"/>
              </w:rPr>
            </w:pPr>
            <w:r w:rsidRPr="004F26CC">
              <w:rPr>
                <w:rFonts w:asciiTheme="majorHAnsi" w:eastAsia="Calibri" w:hAnsiTheme="majorHAnsi" w:cstheme="majorHAnsi"/>
                <w:color w:val="auto"/>
                <w:sz w:val="18"/>
                <w:szCs w:val="18"/>
              </w:rPr>
              <w:t>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E786D" w:rsidRPr="00F64312" w:rsidRDefault="00D051E6" w:rsidP="009F11B0">
            <w:pPr>
              <w:spacing w:line="200" w:lineRule="exact"/>
              <w:contextualSpacing/>
              <w:rPr>
                <w:rFonts w:asciiTheme="majorHAnsi" w:eastAsia="Calibri" w:hAnsiTheme="majorHAnsi" w:cstheme="majorHAnsi"/>
                <w:color w:val="auto"/>
                <w:sz w:val="18"/>
                <w:szCs w:val="18"/>
                <w:highlight w:val="lightGray"/>
              </w:rPr>
            </w:pPr>
            <w:r>
              <w:rPr>
                <w:rFonts w:asciiTheme="majorHAnsi" w:eastAsia="Calibri" w:hAnsiTheme="majorHAnsi" w:cstheme="majorHAnsi"/>
                <w:color w:val="auto"/>
                <w:sz w:val="18"/>
                <w:szCs w:val="18"/>
              </w:rPr>
              <w:t>1</w:t>
            </w:r>
            <w:r w:rsidRPr="004F26CC">
              <w:rPr>
                <w:rFonts w:asciiTheme="majorHAnsi" w:eastAsia="Calibri" w:hAnsiTheme="majorHAnsi" w:cstheme="majorHAnsi"/>
                <w:color w:val="auto"/>
                <w:sz w:val="18"/>
                <w:szCs w:val="18"/>
              </w:rPr>
              <w:t>0%</w:t>
            </w:r>
            <w:r w:rsidR="005E73E9">
              <w:rPr>
                <w:rFonts w:asciiTheme="majorHAnsi" w:eastAsia="Calibri" w:hAnsiTheme="majorHAnsi" w:cstheme="majorHAnsi"/>
                <w:color w:val="auto"/>
                <w:sz w:val="18"/>
                <w:szCs w:val="18"/>
              </w:rPr>
              <w:t>*</w:t>
            </w:r>
          </w:p>
        </w:tc>
        <w:tc>
          <w:tcPr>
            <w:tcW w:w="1313" w:type="dxa"/>
            <w:tcBorders>
              <w:top w:val="single" w:sz="4" w:space="0" w:color="000000"/>
              <w:left w:val="single" w:sz="4" w:space="0" w:color="000000"/>
              <w:bottom w:val="single" w:sz="4" w:space="0" w:color="000000"/>
              <w:right w:val="single" w:sz="4" w:space="0" w:color="000000"/>
            </w:tcBorders>
            <w:vAlign w:val="center"/>
          </w:tcPr>
          <w:p w:rsidR="001E786D" w:rsidRPr="00F64312" w:rsidRDefault="00D051E6" w:rsidP="009F11B0">
            <w:pPr>
              <w:spacing w:line="200" w:lineRule="exact"/>
              <w:contextualSpacing/>
              <w:rPr>
                <w:rFonts w:asciiTheme="majorHAnsi" w:eastAsia="Calibri" w:hAnsiTheme="majorHAnsi" w:cstheme="majorHAnsi"/>
                <w:color w:val="auto"/>
                <w:sz w:val="18"/>
                <w:szCs w:val="18"/>
                <w:highlight w:val="lightGray"/>
              </w:rPr>
            </w:pPr>
            <w:r>
              <w:rPr>
                <w:rFonts w:asciiTheme="majorHAnsi" w:eastAsia="Calibri" w:hAnsiTheme="majorHAnsi" w:cstheme="majorHAnsi"/>
                <w:color w:val="auto"/>
                <w:sz w:val="18"/>
                <w:szCs w:val="18"/>
              </w:rPr>
              <w:t>1</w:t>
            </w:r>
            <w:r w:rsidRPr="004F26CC">
              <w:rPr>
                <w:rFonts w:asciiTheme="majorHAnsi" w:eastAsia="Calibri" w:hAnsiTheme="majorHAnsi" w:cstheme="majorHAnsi"/>
                <w:color w:val="auto"/>
                <w:sz w:val="18"/>
                <w:szCs w:val="18"/>
              </w:rPr>
              <w:t>0%</w:t>
            </w:r>
            <w:r w:rsidR="005E73E9">
              <w:rPr>
                <w:rFonts w:asciiTheme="majorHAnsi" w:eastAsia="Calibri" w:hAnsiTheme="majorHAnsi" w:cstheme="majorHAnsi"/>
                <w:color w:val="auto"/>
                <w:sz w:val="18"/>
                <w:szCs w:val="18"/>
              </w:rPr>
              <w:t>*</w:t>
            </w:r>
          </w:p>
        </w:tc>
      </w:tr>
    </w:tbl>
    <w:p w:rsidR="008A4964" w:rsidRPr="008A4964" w:rsidRDefault="008A4964" w:rsidP="008A4964">
      <w:pPr>
        <w:ind w:left="720" w:firstLine="720"/>
        <w:jc w:val="both"/>
        <w:rPr>
          <w:color w:val="auto"/>
          <w:sz w:val="16"/>
          <w:szCs w:val="16"/>
        </w:rPr>
      </w:pPr>
      <w:r w:rsidRPr="008A4964">
        <w:rPr>
          <w:color w:val="auto"/>
          <w:sz w:val="16"/>
          <w:szCs w:val="16"/>
        </w:rPr>
        <w:t xml:space="preserve">*10% based on </w:t>
      </w:r>
      <w:r>
        <w:rPr>
          <w:color w:val="auto"/>
          <w:sz w:val="16"/>
          <w:szCs w:val="16"/>
        </w:rPr>
        <w:t xml:space="preserve">VASRD </w:t>
      </w:r>
      <w:r w:rsidRPr="008A4964">
        <w:rPr>
          <w:rFonts w:eastAsiaTheme="minorHAnsi"/>
          <w:color w:val="auto"/>
          <w:sz w:val="16"/>
          <w:szCs w:val="16"/>
        </w:rPr>
        <w:t>§4.40 (Functional loss), §4.45 (The joints), and §4.59 (Painful motion)</w:t>
      </w:r>
    </w:p>
    <w:p w:rsidR="008A4964" w:rsidRPr="005F09C4" w:rsidRDefault="008A4964" w:rsidP="008A4964">
      <w:pPr>
        <w:jc w:val="both"/>
        <w:rPr>
          <w:color w:val="000000" w:themeColor="text1"/>
          <w:szCs w:val="24"/>
        </w:rPr>
      </w:pPr>
    </w:p>
    <w:p w:rsidR="008A4964" w:rsidRPr="008A4964" w:rsidRDefault="008A4964" w:rsidP="008A4964">
      <w:pPr>
        <w:tabs>
          <w:tab w:val="left" w:pos="288"/>
          <w:tab w:val="left" w:pos="4752"/>
        </w:tabs>
        <w:jc w:val="both"/>
        <w:rPr>
          <w:color w:val="auto"/>
          <w:szCs w:val="24"/>
        </w:rPr>
      </w:pPr>
      <w:r w:rsidRPr="008A4964">
        <w:rPr>
          <w:color w:val="auto"/>
          <w:szCs w:val="24"/>
        </w:rPr>
        <w:t xml:space="preserve">The Board carefully reviewed all evidentiary information available.  The Army PEB combined the CI’s knee pain into </w:t>
      </w:r>
      <w:r w:rsidR="00003E12">
        <w:rPr>
          <w:color w:val="auto"/>
          <w:szCs w:val="24"/>
        </w:rPr>
        <w:t xml:space="preserve">a single </w:t>
      </w:r>
      <w:r w:rsidRPr="008A4964">
        <w:rPr>
          <w:color w:val="auto"/>
          <w:szCs w:val="24"/>
        </w:rPr>
        <w:t>unfitting condition</w:t>
      </w:r>
      <w:r w:rsidR="00003E12">
        <w:rPr>
          <w:color w:val="auto"/>
          <w:szCs w:val="24"/>
        </w:rPr>
        <w:t xml:space="preserve">: </w:t>
      </w:r>
      <w:r w:rsidR="0019235F">
        <w:rPr>
          <w:color w:val="auto"/>
          <w:szCs w:val="24"/>
        </w:rPr>
        <w:t>B</w:t>
      </w:r>
      <w:r w:rsidR="00003E12">
        <w:rPr>
          <w:color w:val="auto"/>
          <w:szCs w:val="24"/>
        </w:rPr>
        <w:t xml:space="preserve">ilateral RPPS, with normal plain </w:t>
      </w:r>
      <w:r w:rsidR="008E435B">
        <w:rPr>
          <w:color w:val="auto"/>
          <w:szCs w:val="24"/>
        </w:rPr>
        <w:t>X</w:t>
      </w:r>
      <w:r w:rsidR="00003E12">
        <w:rPr>
          <w:color w:val="auto"/>
          <w:szCs w:val="24"/>
        </w:rPr>
        <w:t xml:space="preserve">-rays, </w:t>
      </w:r>
      <w:r w:rsidR="00F32315">
        <w:rPr>
          <w:color w:val="auto"/>
          <w:szCs w:val="24"/>
        </w:rPr>
        <w:t xml:space="preserve">positive bone scan for </w:t>
      </w:r>
      <w:r w:rsidR="00003E12">
        <w:rPr>
          <w:color w:val="auto"/>
          <w:szCs w:val="24"/>
        </w:rPr>
        <w:t>TPSR</w:t>
      </w:r>
      <w:r w:rsidR="00F32315">
        <w:rPr>
          <w:color w:val="auto"/>
          <w:szCs w:val="24"/>
        </w:rPr>
        <w:t>, positive patellar compression, intact ligaments, and normal ROM</w:t>
      </w:r>
      <w:r w:rsidR="00003E12">
        <w:rPr>
          <w:color w:val="auto"/>
          <w:szCs w:val="24"/>
        </w:rPr>
        <w:t>.</w:t>
      </w:r>
      <w:r w:rsidR="00F32315">
        <w:rPr>
          <w:color w:val="auto"/>
          <w:szCs w:val="24"/>
        </w:rPr>
        <w:t xml:space="preserve">  The knee pain condition was</w:t>
      </w:r>
      <w:r w:rsidRPr="008A4964">
        <w:rPr>
          <w:color w:val="auto"/>
          <w:szCs w:val="24"/>
        </w:rPr>
        <w:t xml:space="preserve"> coded </w:t>
      </w:r>
      <w:r>
        <w:rPr>
          <w:color w:val="auto"/>
          <w:szCs w:val="24"/>
        </w:rPr>
        <w:t xml:space="preserve">5099-5003 and rated at </w:t>
      </w:r>
      <w:r w:rsidRPr="008A4964">
        <w:rPr>
          <w:color w:val="auto"/>
          <w:szCs w:val="24"/>
        </w:rPr>
        <w:t>0%.</w:t>
      </w:r>
      <w:r w:rsidR="00F32315">
        <w:rPr>
          <w:color w:val="auto"/>
          <w:szCs w:val="24"/>
        </w:rPr>
        <w:t xml:space="preserve">  </w:t>
      </w:r>
      <w:r w:rsidR="0019235F">
        <w:rPr>
          <w:color w:val="auto"/>
          <w:szCs w:val="24"/>
        </w:rPr>
        <w:t>In contrast, t</w:t>
      </w:r>
      <w:r w:rsidR="00F32315">
        <w:rPr>
          <w:color w:val="auto"/>
          <w:szCs w:val="24"/>
        </w:rPr>
        <w:t>he VA unbundled the</w:t>
      </w:r>
      <w:r w:rsidR="00890E31">
        <w:rPr>
          <w:color w:val="auto"/>
          <w:szCs w:val="24"/>
        </w:rPr>
        <w:t xml:space="preserve"> two</w:t>
      </w:r>
      <w:r w:rsidR="00F32315">
        <w:rPr>
          <w:color w:val="auto"/>
          <w:szCs w:val="24"/>
        </w:rPr>
        <w:t xml:space="preserve"> knees, and rated each knee at 10% for painful motion.  </w:t>
      </w:r>
      <w:r w:rsidRPr="008A4964">
        <w:rPr>
          <w:color w:val="auto"/>
          <w:szCs w:val="24"/>
        </w:rPr>
        <w:t xml:space="preserve">The Board evaluated whether or </w:t>
      </w:r>
      <w:r w:rsidRPr="008A4964">
        <w:rPr>
          <w:color w:val="auto"/>
          <w:szCs w:val="24"/>
        </w:rPr>
        <w:lastRenderedPageBreak/>
        <w:t>not it was appropriate for the two knees to be “bundled” together.  The Board must determine if the PEB’s approach of combining the conditions under a single rating was justified in lieu of separate ratings.  The Board must apply separate codes and ratings in its recommendations if compensable ratings for each</w:t>
      </w:r>
      <w:r w:rsidRPr="009F3644">
        <w:rPr>
          <w:rFonts w:asciiTheme="minorHAnsi" w:hAnsiTheme="minorHAnsi"/>
          <w:color w:val="auto"/>
          <w:szCs w:val="24"/>
        </w:rPr>
        <w:t xml:space="preserve"> </w:t>
      </w:r>
      <w:r w:rsidRPr="008A4964">
        <w:rPr>
          <w:color w:val="auto"/>
          <w:szCs w:val="24"/>
        </w:rPr>
        <w:t>condition are achieved IAW the V</w:t>
      </w:r>
      <w:r w:rsidR="0019235F">
        <w:rPr>
          <w:color w:val="auto"/>
          <w:szCs w:val="24"/>
        </w:rPr>
        <w:t>ASRD</w:t>
      </w:r>
      <w:r w:rsidRPr="008A4964">
        <w:rPr>
          <w:color w:val="auto"/>
          <w:szCs w:val="24"/>
        </w:rPr>
        <w:t xml:space="preserve"> §4.71a.  If the Board judges that two or more separate ratings are warranted, however, it must satisfy the requirement that each ‘unbundled’ condition was separately unfitting.  After due deliberation, the Board agreed that the evidence supports a conclusion that the chronic painful condition in each knee, separately, would have rendered the CI unable to perform his required military duties.  Accordingly, the Board recommends a separate disability rating for each knee.</w:t>
      </w:r>
    </w:p>
    <w:p w:rsidR="008A4964" w:rsidRPr="008A4964" w:rsidRDefault="008A4964" w:rsidP="008A4964">
      <w:pPr>
        <w:tabs>
          <w:tab w:val="left" w:pos="288"/>
          <w:tab w:val="left" w:pos="4752"/>
        </w:tabs>
        <w:jc w:val="both"/>
        <w:rPr>
          <w:color w:val="auto"/>
          <w:szCs w:val="24"/>
        </w:rPr>
      </w:pPr>
      <w:r w:rsidRPr="008A4964">
        <w:rPr>
          <w:color w:val="auto"/>
          <w:szCs w:val="24"/>
        </w:rPr>
        <w:t xml:space="preserve"> </w:t>
      </w:r>
    </w:p>
    <w:p w:rsidR="00626902" w:rsidRPr="0019235F" w:rsidRDefault="008A4964" w:rsidP="00CA389E">
      <w:pPr>
        <w:tabs>
          <w:tab w:val="left" w:pos="288"/>
          <w:tab w:val="left" w:pos="4752"/>
        </w:tabs>
        <w:jc w:val="both"/>
        <w:rPr>
          <w:color w:val="auto"/>
          <w:szCs w:val="24"/>
        </w:rPr>
      </w:pPr>
      <w:r w:rsidRPr="008A4964">
        <w:rPr>
          <w:color w:val="auto"/>
          <w:szCs w:val="24"/>
        </w:rPr>
        <w:t xml:space="preserve">The limitation of knee motion was essentially non-compensable based on the VASRD </w:t>
      </w:r>
      <w:r w:rsidRPr="008A4964">
        <w:rPr>
          <w:rFonts w:eastAsiaTheme="minorHAnsi"/>
          <w:color w:val="auto"/>
          <w:szCs w:val="24"/>
        </w:rPr>
        <w:t xml:space="preserve">§4.71a diagnostic codes for loss of knee motion (5260 and 5261).  </w:t>
      </w:r>
      <w:r w:rsidRPr="008A4964">
        <w:rPr>
          <w:rFonts w:eastAsia="Calibri"/>
          <w:color w:val="auto"/>
          <w:szCs w:val="24"/>
        </w:rPr>
        <w:t xml:space="preserve">However; IAW VASRD §4.40, </w:t>
      </w:r>
      <w:r w:rsidRPr="008A4964">
        <w:rPr>
          <w:rFonts w:eastAsiaTheme="minorHAnsi"/>
          <w:color w:val="auto"/>
          <w:szCs w:val="24"/>
        </w:rPr>
        <w:t xml:space="preserve">§4.45, and </w:t>
      </w:r>
      <w:r w:rsidRPr="008A4964">
        <w:rPr>
          <w:rFonts w:eastAsia="Calibri"/>
          <w:color w:val="auto"/>
          <w:szCs w:val="24"/>
        </w:rPr>
        <w:t>§4.59</w:t>
      </w:r>
      <w:r w:rsidRPr="008A4964">
        <w:rPr>
          <w:color w:val="auto"/>
          <w:szCs w:val="24"/>
        </w:rPr>
        <w:t xml:space="preserve">, a 10% rating is warranted when there is satisfactory evidence of functional limitation due to painful motion of a major joint.  There was no path to a rating higher than 10% for either knee since there was no evidence of </w:t>
      </w:r>
      <w:proofErr w:type="spellStart"/>
      <w:r w:rsidRPr="008A4964">
        <w:rPr>
          <w:color w:val="auto"/>
          <w:szCs w:val="24"/>
        </w:rPr>
        <w:t>ligamentous</w:t>
      </w:r>
      <w:proofErr w:type="spellEnd"/>
      <w:r w:rsidRPr="008A4964">
        <w:rPr>
          <w:color w:val="auto"/>
          <w:szCs w:val="24"/>
        </w:rPr>
        <w:t xml:space="preserve"> instability, </w:t>
      </w:r>
      <w:proofErr w:type="spellStart"/>
      <w:r w:rsidRPr="008A4964">
        <w:rPr>
          <w:color w:val="auto"/>
          <w:szCs w:val="24"/>
        </w:rPr>
        <w:t>subluxation</w:t>
      </w:r>
      <w:proofErr w:type="spellEnd"/>
      <w:r w:rsidRPr="008A4964">
        <w:rPr>
          <w:color w:val="auto"/>
          <w:szCs w:val="24"/>
        </w:rPr>
        <w:t>, locking, or other significant joint abnormality.</w:t>
      </w:r>
      <w:r w:rsidR="0019235F">
        <w:rPr>
          <w:color w:val="auto"/>
          <w:szCs w:val="24"/>
        </w:rPr>
        <w:t xml:space="preserve">  </w:t>
      </w:r>
      <w:r w:rsidR="00241B01" w:rsidRPr="008A4964">
        <w:rPr>
          <w:rFonts w:eastAsia="Calibri" w:cs="Times New Roman"/>
          <w:color w:val="auto"/>
          <w:szCs w:val="24"/>
        </w:rPr>
        <w:t xml:space="preserve">After due deliberation, considering all of the evidence and mindful of VASRD §4.3 (reasonable doubt), the Board recommends a disability rating of </w:t>
      </w:r>
      <w:r w:rsidR="005B3306" w:rsidRPr="008A4964">
        <w:rPr>
          <w:rFonts w:eastAsia="Calibri" w:cs="Times New Roman"/>
          <w:color w:val="auto"/>
          <w:szCs w:val="24"/>
        </w:rPr>
        <w:t>10</w:t>
      </w:r>
      <w:r w:rsidR="00241B01" w:rsidRPr="008A4964">
        <w:rPr>
          <w:rFonts w:eastAsia="Calibri" w:cs="Times New Roman"/>
          <w:color w:val="auto"/>
          <w:szCs w:val="24"/>
        </w:rPr>
        <w:t xml:space="preserve">% for </w:t>
      </w:r>
      <w:r w:rsidRPr="008A4964">
        <w:rPr>
          <w:rFonts w:eastAsia="Calibri" w:cs="Times New Roman"/>
          <w:color w:val="auto"/>
          <w:szCs w:val="24"/>
        </w:rPr>
        <w:t xml:space="preserve">chronic </w:t>
      </w:r>
      <w:r w:rsidR="00CA389E">
        <w:rPr>
          <w:rFonts w:eastAsia="Calibri" w:cs="Times New Roman"/>
          <w:color w:val="auto"/>
          <w:szCs w:val="24"/>
        </w:rPr>
        <w:t xml:space="preserve">right knee </w:t>
      </w:r>
      <w:r w:rsidRPr="008A4964">
        <w:rPr>
          <w:rFonts w:eastAsia="Calibri" w:cs="Times New Roman"/>
          <w:color w:val="auto"/>
          <w:szCs w:val="24"/>
        </w:rPr>
        <w:t xml:space="preserve">pain, due to </w:t>
      </w:r>
      <w:r w:rsidR="0019235F">
        <w:rPr>
          <w:rFonts w:eastAsia="Calibri" w:cs="Times New Roman"/>
          <w:color w:val="auto"/>
          <w:szCs w:val="24"/>
        </w:rPr>
        <w:t>R</w:t>
      </w:r>
      <w:r w:rsidRPr="008A4964">
        <w:rPr>
          <w:color w:val="auto"/>
        </w:rPr>
        <w:t>PPS</w:t>
      </w:r>
      <w:r>
        <w:rPr>
          <w:color w:val="auto"/>
        </w:rPr>
        <w:t xml:space="preserve"> and </w:t>
      </w:r>
      <w:r w:rsidR="00BA2C96">
        <w:rPr>
          <w:color w:val="auto"/>
        </w:rPr>
        <w:t>TPSR</w:t>
      </w:r>
      <w:r w:rsidR="00241B01" w:rsidRPr="008A4964">
        <w:rPr>
          <w:rFonts w:eastAsia="Calibri" w:cs="Times New Roman"/>
          <w:color w:val="auto"/>
          <w:szCs w:val="24"/>
        </w:rPr>
        <w:t>.</w:t>
      </w:r>
      <w:r w:rsidRPr="008A4964">
        <w:rPr>
          <w:rFonts w:eastAsia="Calibri" w:cs="Times New Roman"/>
          <w:color w:val="auto"/>
          <w:szCs w:val="24"/>
        </w:rPr>
        <w:t xml:space="preserve">  In like manner, </w:t>
      </w:r>
      <w:r w:rsidR="005B3306" w:rsidRPr="008A4964">
        <w:rPr>
          <w:rFonts w:eastAsia="Calibri" w:cs="Times New Roman"/>
          <w:color w:val="auto"/>
          <w:szCs w:val="24"/>
        </w:rPr>
        <w:t>th</w:t>
      </w:r>
      <w:r w:rsidRPr="008A4964">
        <w:rPr>
          <w:rFonts w:eastAsia="Calibri" w:cs="Times New Roman"/>
          <w:color w:val="auto"/>
          <w:szCs w:val="24"/>
        </w:rPr>
        <w:t xml:space="preserve">e Board recommends a </w:t>
      </w:r>
      <w:r w:rsidR="005B3306" w:rsidRPr="008A4964">
        <w:rPr>
          <w:rFonts w:eastAsia="Calibri" w:cs="Times New Roman"/>
          <w:color w:val="auto"/>
          <w:szCs w:val="24"/>
        </w:rPr>
        <w:t xml:space="preserve">rating of 10% for </w:t>
      </w:r>
      <w:r w:rsidRPr="008A4964">
        <w:rPr>
          <w:rFonts w:eastAsia="Calibri" w:cs="Times New Roman"/>
          <w:color w:val="auto"/>
          <w:szCs w:val="24"/>
        </w:rPr>
        <w:t xml:space="preserve">chronic </w:t>
      </w:r>
      <w:r w:rsidR="00CA389E">
        <w:rPr>
          <w:rFonts w:eastAsia="Calibri" w:cs="Times New Roman"/>
          <w:color w:val="auto"/>
          <w:szCs w:val="24"/>
        </w:rPr>
        <w:t xml:space="preserve">left knee </w:t>
      </w:r>
      <w:r w:rsidRPr="008A4964">
        <w:rPr>
          <w:rFonts w:eastAsia="Calibri" w:cs="Times New Roman"/>
          <w:color w:val="auto"/>
          <w:szCs w:val="24"/>
        </w:rPr>
        <w:t>pain, due to RPPS</w:t>
      </w:r>
      <w:r>
        <w:rPr>
          <w:rFonts w:eastAsia="Calibri" w:cs="Times New Roman"/>
          <w:color w:val="auto"/>
          <w:szCs w:val="24"/>
        </w:rPr>
        <w:t xml:space="preserve"> and </w:t>
      </w:r>
      <w:r w:rsidR="00BA2C96">
        <w:rPr>
          <w:rFonts w:eastAsia="Calibri" w:cs="Times New Roman"/>
          <w:color w:val="auto"/>
          <w:szCs w:val="24"/>
        </w:rPr>
        <w:t>TPSR</w:t>
      </w:r>
      <w:r w:rsidR="005B3306" w:rsidRPr="008A4964">
        <w:rPr>
          <w:rFonts w:eastAsia="Calibri" w:cs="Times New Roman"/>
          <w:color w:val="auto"/>
          <w:szCs w:val="24"/>
        </w:rPr>
        <w:t>.</w:t>
      </w:r>
      <w:r w:rsidR="00CA389E">
        <w:rPr>
          <w:rFonts w:eastAsia="Calibri" w:cs="Times New Roman"/>
          <w:color w:val="auto"/>
          <w:szCs w:val="24"/>
        </w:rPr>
        <w:t xml:space="preserve"> </w:t>
      </w:r>
      <w:r w:rsidR="005B3306" w:rsidRPr="00F64312">
        <w:rPr>
          <w:rFonts w:eastAsia="Calibri" w:cs="Times New Roman"/>
          <w:color w:val="auto"/>
          <w:szCs w:val="24"/>
        </w:rPr>
        <w:t xml:space="preserve">  </w:t>
      </w:r>
    </w:p>
    <w:p w:rsidR="00241B01" w:rsidRPr="00F64312" w:rsidRDefault="00241B01" w:rsidP="0069687C">
      <w:pPr>
        <w:tabs>
          <w:tab w:val="left" w:pos="288"/>
          <w:tab w:val="left" w:pos="4752"/>
        </w:tabs>
        <w:jc w:val="left"/>
        <w:rPr>
          <w:rFonts w:cs="Times New Roman"/>
          <w:color w:val="auto"/>
          <w:highlight w:val="magenta"/>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CA389E">
        <w:rPr>
          <w:rFonts w:eastAsia="HiddenHorzOCR"/>
          <w:color w:val="auto"/>
          <w:u w:val="single"/>
        </w:rPr>
        <w:t>MEB/</w:t>
      </w:r>
      <w:r w:rsidR="00AD2379" w:rsidRPr="00F64312">
        <w:rPr>
          <w:rFonts w:eastAsia="HiddenHorzOCR"/>
          <w:color w:val="auto"/>
          <w:u w:val="single"/>
        </w:rPr>
        <w:t>PEB Condition</w:t>
      </w:r>
      <w:r w:rsidR="00AD2379" w:rsidRPr="00F64312">
        <w:rPr>
          <w:rFonts w:eastAsia="HiddenHorzOCR"/>
          <w:color w:val="auto"/>
        </w:rPr>
        <w:t>.</w:t>
      </w:r>
      <w:proofErr w:type="gramEnd"/>
      <w:r w:rsidR="0001281C" w:rsidRPr="00F64312">
        <w:rPr>
          <w:rFonts w:eastAsia="HiddenHorzOCR"/>
          <w:color w:val="auto"/>
        </w:rPr>
        <w:t xml:space="preserve">  </w:t>
      </w:r>
      <w:r w:rsidR="00CA389E">
        <w:rPr>
          <w:rFonts w:eastAsia="HiddenHorzOCR"/>
          <w:color w:val="auto"/>
        </w:rPr>
        <w:t>A</w:t>
      </w:r>
      <w:r w:rsidR="00CA389E">
        <w:rPr>
          <w:rFonts w:eastAsia="Calibri" w:cs="Times New Roman"/>
          <w:color w:val="auto"/>
          <w:szCs w:val="24"/>
        </w:rPr>
        <w:t xml:space="preserve">djustment disorder with depressed mood was </w:t>
      </w:r>
      <w:r w:rsidR="003863E9" w:rsidRPr="00792790">
        <w:rPr>
          <w:rFonts w:eastAsia="Calibri" w:cs="Times New Roman"/>
          <w:color w:val="auto"/>
          <w:szCs w:val="24"/>
        </w:rPr>
        <w:t>adjudicated</w:t>
      </w:r>
      <w:r w:rsidR="00CA389E">
        <w:rPr>
          <w:rFonts w:eastAsia="Calibri" w:cs="Times New Roman"/>
          <w:color w:val="auto"/>
          <w:szCs w:val="24"/>
        </w:rPr>
        <w:t xml:space="preserve"> by the PEB </w:t>
      </w:r>
      <w:r w:rsidR="003863E9" w:rsidRPr="00792790">
        <w:rPr>
          <w:rFonts w:eastAsia="Calibri" w:cs="Times New Roman"/>
          <w:color w:val="auto"/>
          <w:szCs w:val="24"/>
        </w:rPr>
        <w:t xml:space="preserve">as </w:t>
      </w:r>
      <w:r w:rsidR="001C545A">
        <w:rPr>
          <w:rFonts w:eastAsia="Calibri" w:cs="Times New Roman"/>
          <w:color w:val="auto"/>
          <w:szCs w:val="24"/>
        </w:rPr>
        <w:t xml:space="preserve">not </w:t>
      </w:r>
      <w:r w:rsidR="003863E9" w:rsidRPr="00792790">
        <w:rPr>
          <w:rFonts w:eastAsia="Calibri" w:cs="Times New Roman"/>
          <w:color w:val="auto"/>
          <w:szCs w:val="24"/>
        </w:rPr>
        <w:t>unfitting.  The Board’s first charge with respect to th</w:t>
      </w:r>
      <w:r w:rsidR="00CA389E">
        <w:rPr>
          <w:rFonts w:eastAsia="Calibri" w:cs="Times New Roman"/>
          <w:color w:val="auto"/>
          <w:szCs w:val="24"/>
        </w:rPr>
        <w:t xml:space="preserve">is </w:t>
      </w:r>
      <w:r w:rsidR="003863E9" w:rsidRPr="00792790">
        <w:rPr>
          <w:rFonts w:eastAsia="Calibri" w:cs="Times New Roman"/>
          <w:color w:val="auto"/>
          <w:szCs w:val="24"/>
        </w:rPr>
        <w:t xml:space="preserve">condition is </w:t>
      </w:r>
      <w:r w:rsidR="00CA389E">
        <w:rPr>
          <w:rFonts w:eastAsia="Calibri" w:cs="Times New Roman"/>
          <w:color w:val="auto"/>
          <w:szCs w:val="24"/>
        </w:rPr>
        <w:t>to</w:t>
      </w:r>
      <w:r w:rsidR="003863E9" w:rsidRPr="00792790">
        <w:rPr>
          <w:rFonts w:eastAsia="Calibri" w:cs="Times New Roman"/>
          <w:color w:val="auto"/>
          <w:szCs w:val="24"/>
        </w:rPr>
        <w:t xml:space="preserve"> assess</w:t>
      </w:r>
      <w:r w:rsidR="009F57CD">
        <w:rPr>
          <w:rFonts w:eastAsia="Calibri" w:cs="Times New Roman"/>
          <w:color w:val="auto"/>
          <w:szCs w:val="24"/>
        </w:rPr>
        <w:t xml:space="preserve"> the </w:t>
      </w:r>
      <w:r w:rsidR="003863E9" w:rsidRPr="00792790">
        <w:rPr>
          <w:rFonts w:eastAsia="Calibri" w:cs="Times New Roman"/>
          <w:color w:val="auto"/>
          <w:szCs w:val="24"/>
        </w:rPr>
        <w:t xml:space="preserve">appropriateness of the PEB’s fitness adjudication.  The Board’s threshold for countering fitness determinations is higher than the VASRD §4.3 (reasonable doubt) standard used for its rating recommendations, but remains adherent to the </w:t>
      </w:r>
      <w:proofErr w:type="spellStart"/>
      <w:r w:rsidR="003863E9" w:rsidRPr="00792790">
        <w:rPr>
          <w:rFonts w:eastAsia="Calibri" w:cs="Times New Roman"/>
          <w:color w:val="auto"/>
          <w:szCs w:val="24"/>
        </w:rPr>
        <w:t>DoDI</w:t>
      </w:r>
      <w:proofErr w:type="spellEnd"/>
      <w:r w:rsidR="003863E9" w:rsidRPr="00792790">
        <w:rPr>
          <w:rFonts w:eastAsia="Calibri" w:cs="Times New Roman"/>
          <w:color w:val="auto"/>
          <w:szCs w:val="24"/>
        </w:rPr>
        <w:t xml:space="preserve"> 6040.44 “fair and equitable” standard.  </w:t>
      </w:r>
    </w:p>
    <w:p w:rsidR="00822776" w:rsidRDefault="00822776" w:rsidP="003863E9">
      <w:pPr>
        <w:jc w:val="both"/>
        <w:rPr>
          <w:rFonts w:eastAsia="Calibri" w:cs="Times New Roman"/>
          <w:color w:val="auto"/>
          <w:szCs w:val="24"/>
        </w:rPr>
      </w:pPr>
    </w:p>
    <w:p w:rsidR="003863E9" w:rsidRPr="00CA389E" w:rsidRDefault="00822776" w:rsidP="003863E9">
      <w:pPr>
        <w:jc w:val="both"/>
        <w:rPr>
          <w:color w:val="000000"/>
        </w:rPr>
      </w:pPr>
      <w:r>
        <w:rPr>
          <w:rFonts w:eastAsia="Calibri" w:cs="Times New Roman"/>
          <w:color w:val="auto"/>
          <w:szCs w:val="24"/>
        </w:rPr>
        <w:t>T</w:t>
      </w:r>
      <w:r w:rsidR="006671CC">
        <w:rPr>
          <w:color w:val="000000"/>
        </w:rPr>
        <w:t>h</w:t>
      </w:r>
      <w:r w:rsidR="008E435B">
        <w:rPr>
          <w:color w:val="000000"/>
        </w:rPr>
        <w:t>e CI was seen by a</w:t>
      </w:r>
      <w:r w:rsidR="005B685D">
        <w:rPr>
          <w:color w:val="000000"/>
        </w:rPr>
        <w:t xml:space="preserve"> mental health (MH) provider on 16 July </w:t>
      </w:r>
      <w:proofErr w:type="gramStart"/>
      <w:r w:rsidR="005B685D">
        <w:rPr>
          <w:color w:val="000000"/>
        </w:rPr>
        <w:t>2001,</w:t>
      </w:r>
      <w:proofErr w:type="gramEnd"/>
      <w:r w:rsidR="005B685D">
        <w:rPr>
          <w:color w:val="000000"/>
        </w:rPr>
        <w:t xml:space="preserve"> and by a VA psychiatrist on </w:t>
      </w:r>
      <w:r w:rsidR="008E435B">
        <w:rPr>
          <w:color w:val="000000"/>
        </w:rPr>
        <w:br/>
      </w:r>
      <w:r w:rsidR="005B685D">
        <w:rPr>
          <w:color w:val="000000"/>
        </w:rPr>
        <w:t xml:space="preserve">6 February 2002.  Neither of these two examiners documented any significant MH impairment.  The MH </w:t>
      </w:r>
      <w:r>
        <w:rPr>
          <w:color w:val="000000"/>
        </w:rPr>
        <w:t xml:space="preserve">condition was not </w:t>
      </w:r>
      <w:r w:rsidR="003863E9">
        <w:rPr>
          <w:color w:val="000000"/>
        </w:rPr>
        <w:t>profiled</w:t>
      </w:r>
      <w:r w:rsidR="005B685D">
        <w:rPr>
          <w:color w:val="000000"/>
        </w:rPr>
        <w:t xml:space="preserve">, and was </w:t>
      </w:r>
      <w:r w:rsidR="003863E9">
        <w:rPr>
          <w:color w:val="000000"/>
        </w:rPr>
        <w:t>no</w:t>
      </w:r>
      <w:r w:rsidR="006671CC">
        <w:rPr>
          <w:color w:val="000000"/>
        </w:rPr>
        <w:t>t</w:t>
      </w:r>
      <w:r>
        <w:rPr>
          <w:color w:val="000000"/>
        </w:rPr>
        <w:t xml:space="preserve"> </w:t>
      </w:r>
      <w:r w:rsidR="003863E9" w:rsidRPr="00244791">
        <w:rPr>
          <w:color w:val="000000"/>
        </w:rPr>
        <w:t>i</w:t>
      </w:r>
      <w:r w:rsidR="005B685D">
        <w:rPr>
          <w:color w:val="000000"/>
        </w:rPr>
        <w:t>ncluded</w:t>
      </w:r>
      <w:r w:rsidR="003863E9" w:rsidRPr="00244791">
        <w:rPr>
          <w:color w:val="000000"/>
        </w:rPr>
        <w:t xml:space="preserve"> in the commander’s statement.</w:t>
      </w:r>
      <w:r w:rsidR="003863E9" w:rsidRPr="001F29F9">
        <w:rPr>
          <w:color w:val="000000"/>
        </w:rPr>
        <w:t xml:space="preserve"> </w:t>
      </w:r>
      <w:r w:rsidR="003863E9">
        <w:rPr>
          <w:color w:val="000000"/>
        </w:rPr>
        <w:t xml:space="preserve"> </w:t>
      </w:r>
      <w:r w:rsidR="006671CC">
        <w:rPr>
          <w:color w:val="000000"/>
        </w:rPr>
        <w:t xml:space="preserve">It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6671CC">
        <w:rPr>
          <w:color w:val="000000"/>
        </w:rPr>
        <w:t xml:space="preserve">this </w:t>
      </w:r>
      <w:r w:rsidR="005B685D">
        <w:rPr>
          <w:color w:val="000000"/>
        </w:rPr>
        <w:t xml:space="preserve">mental </w:t>
      </w:r>
      <w:r w:rsidR="003863E9" w:rsidRPr="001F29F9">
        <w:rPr>
          <w:color w:val="000000"/>
        </w:rPr>
        <w:t>condition significantly interfered with satisfactory duty performance.</w:t>
      </w:r>
      <w:r w:rsidR="00CA389E">
        <w:rPr>
          <w:color w:val="000000"/>
        </w:rPr>
        <w:t xml:space="preserve">  </w:t>
      </w:r>
      <w:r w:rsidR="003863E9" w:rsidRPr="00792790">
        <w:rPr>
          <w:rFonts w:eastAsia="Calibri" w:cs="Times New Roman"/>
          <w:color w:val="auto"/>
          <w:szCs w:val="24"/>
        </w:rPr>
        <w:t>After due deliberation</w:t>
      </w:r>
      <w:r w:rsidR="005B685D">
        <w:rPr>
          <w:rFonts w:eastAsia="Calibri" w:cs="Times New Roman"/>
          <w:color w:val="auto"/>
          <w:szCs w:val="24"/>
        </w:rPr>
        <w:t>, and</w:t>
      </w:r>
      <w:r w:rsidR="003863E9" w:rsidRPr="00792790">
        <w:rPr>
          <w:rFonts w:eastAsia="Calibri" w:cs="Times New Roman"/>
          <w:color w:val="auto"/>
          <w:szCs w:val="24"/>
        </w:rPr>
        <w:t xml:space="preserve"> in consideration of the preponderance of the evidence, the Board concluded that there was insufficient cause to recommend a change in the PEB fitness determination for th</w:t>
      </w:r>
      <w:r w:rsidR="00CA389E">
        <w:rPr>
          <w:rFonts w:eastAsia="Calibri" w:cs="Times New Roman"/>
          <w:color w:val="auto"/>
          <w:szCs w:val="24"/>
        </w:rPr>
        <w:t>is condition.  T</w:t>
      </w:r>
      <w:r w:rsidR="003863E9" w:rsidRPr="00792790">
        <w:rPr>
          <w:rFonts w:eastAsia="Calibri" w:cs="Times New Roman"/>
          <w:color w:val="auto"/>
          <w:szCs w:val="24"/>
        </w:rPr>
        <w:t xml:space="preserve">herefore, no additional disability ratings </w:t>
      </w:r>
      <w:r w:rsidR="00CA389E">
        <w:rPr>
          <w:rFonts w:eastAsia="Calibri" w:cs="Times New Roman"/>
          <w:color w:val="auto"/>
          <w:szCs w:val="24"/>
        </w:rPr>
        <w:t>are</w:t>
      </w:r>
      <w:r w:rsidR="003863E9" w:rsidRPr="00792790">
        <w:rPr>
          <w:rFonts w:eastAsia="Calibri" w:cs="Times New Roman"/>
          <w:color w:val="auto"/>
          <w:szCs w:val="24"/>
        </w:rPr>
        <w:t xml:space="preserv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504E34" w:rsidRPr="00504E34" w:rsidRDefault="00504E34" w:rsidP="00504E34">
      <w:pPr>
        <w:jc w:val="both"/>
        <w:rPr>
          <w:rFonts w:eastAsiaTheme="minorHAnsi"/>
          <w:color w:val="auto"/>
          <w:szCs w:val="24"/>
        </w:rPr>
      </w:pPr>
      <w:r w:rsidRPr="00504E34">
        <w:rPr>
          <w:color w:val="000000" w:themeColor="text1"/>
          <w:szCs w:val="24"/>
          <w:u w:val="single"/>
        </w:rPr>
        <w:t>BOARD FINDINGS</w:t>
      </w:r>
      <w:r w:rsidRPr="00504E34">
        <w:rPr>
          <w:color w:val="000000" w:themeColor="text1"/>
          <w:szCs w:val="24"/>
        </w:rPr>
        <w:t>:</w:t>
      </w:r>
      <w:r w:rsidRPr="00504E34">
        <w:rPr>
          <w:rFonts w:eastAsiaTheme="minorHAnsi"/>
          <w:color w:val="000000" w:themeColor="text1"/>
          <w:szCs w:val="24"/>
        </w:rPr>
        <w:t xml:space="preserve">  IAW </w:t>
      </w:r>
      <w:proofErr w:type="spellStart"/>
      <w:r w:rsidRPr="00504E34">
        <w:rPr>
          <w:rFonts w:eastAsiaTheme="minorHAnsi"/>
          <w:color w:val="000000" w:themeColor="text1"/>
          <w:szCs w:val="24"/>
        </w:rPr>
        <w:t>DoDI</w:t>
      </w:r>
      <w:proofErr w:type="spellEnd"/>
      <w:r w:rsidRPr="00504E34">
        <w:rPr>
          <w:rFonts w:eastAsiaTheme="minorHAnsi"/>
          <w:color w:val="000000" w:themeColor="text1"/>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Pr="00504E34">
        <w:rPr>
          <w:rFonts w:eastAsiaTheme="minorHAnsi"/>
          <w:color w:val="auto"/>
          <w:szCs w:val="24"/>
        </w:rPr>
        <w:t xml:space="preserve">.  </w:t>
      </w:r>
      <w:r>
        <w:rPr>
          <w:rFonts w:eastAsiaTheme="minorHAnsi"/>
          <w:color w:val="auto"/>
          <w:szCs w:val="24"/>
        </w:rPr>
        <w:t xml:space="preserve">The PEB may have used the </w:t>
      </w:r>
      <w:r w:rsidRPr="00504E34">
        <w:rPr>
          <w:rFonts w:eastAsiaTheme="minorHAnsi"/>
          <w:color w:val="auto"/>
          <w:szCs w:val="24"/>
        </w:rPr>
        <w:t>USAPDA pain policy for rating the bilateral knee pain condition</w:t>
      </w:r>
      <w:r>
        <w:rPr>
          <w:rFonts w:eastAsiaTheme="minorHAnsi"/>
          <w:color w:val="auto"/>
          <w:szCs w:val="24"/>
        </w:rPr>
        <w:t xml:space="preserve">, </w:t>
      </w:r>
      <w:r w:rsidRPr="00504E34">
        <w:rPr>
          <w:rFonts w:eastAsiaTheme="minorHAnsi"/>
          <w:color w:val="auto"/>
          <w:szCs w:val="24"/>
        </w:rPr>
        <w:t xml:space="preserve">and the knee condition was adjudicated independently of that policy by the Board.  </w:t>
      </w:r>
    </w:p>
    <w:p w:rsidR="00504E34" w:rsidRPr="00504E34" w:rsidRDefault="00504E34" w:rsidP="00504E34">
      <w:pPr>
        <w:jc w:val="both"/>
        <w:rPr>
          <w:rFonts w:eastAsiaTheme="minorHAnsi"/>
          <w:color w:val="auto"/>
          <w:szCs w:val="24"/>
        </w:rPr>
      </w:pPr>
    </w:p>
    <w:p w:rsidR="00417BED" w:rsidRPr="00E60EA4" w:rsidRDefault="00504E34" w:rsidP="00417BED">
      <w:pPr>
        <w:jc w:val="both"/>
        <w:rPr>
          <w:rFonts w:eastAsiaTheme="minorHAnsi"/>
          <w:color w:val="auto"/>
          <w:szCs w:val="24"/>
        </w:rPr>
      </w:pPr>
      <w:r w:rsidRPr="00504E34">
        <w:rPr>
          <w:rFonts w:eastAsiaTheme="minorHAnsi"/>
          <w:color w:val="auto"/>
          <w:szCs w:val="24"/>
        </w:rPr>
        <w:t>In the matter of the bilateral knee pain, the Board unanimously recommends that each joint be separately adjudicated as follows: an unfitting right knee condition coded 52</w:t>
      </w:r>
      <w:r>
        <w:rPr>
          <w:rFonts w:eastAsiaTheme="minorHAnsi"/>
          <w:color w:val="auto"/>
          <w:szCs w:val="24"/>
        </w:rPr>
        <w:t>99-5260</w:t>
      </w:r>
      <w:r w:rsidRPr="00504E34">
        <w:rPr>
          <w:rFonts w:eastAsiaTheme="minorHAnsi"/>
          <w:color w:val="auto"/>
          <w:szCs w:val="24"/>
        </w:rPr>
        <w:t xml:space="preserve"> and rated 10%, and an unfitting left knee condition coded 52</w:t>
      </w:r>
      <w:r>
        <w:rPr>
          <w:rFonts w:eastAsiaTheme="minorHAnsi"/>
          <w:color w:val="auto"/>
          <w:szCs w:val="24"/>
        </w:rPr>
        <w:t>99-5260</w:t>
      </w:r>
      <w:r w:rsidRPr="00504E34">
        <w:rPr>
          <w:rFonts w:eastAsiaTheme="minorHAnsi"/>
          <w:color w:val="auto"/>
          <w:szCs w:val="24"/>
        </w:rPr>
        <w:t xml:space="preserve"> and rated 10%, IAW VASRD §4.40, §4.45, §4.59, and §4.71a.  In the matter of the </w:t>
      </w:r>
      <w:r>
        <w:rPr>
          <w:rFonts w:eastAsiaTheme="minorHAnsi"/>
          <w:color w:val="auto"/>
          <w:szCs w:val="24"/>
        </w:rPr>
        <w:t xml:space="preserve">adjustment disorder with depressed mood, </w:t>
      </w:r>
      <w:r w:rsidRPr="00504E34">
        <w:rPr>
          <w:color w:val="auto"/>
          <w:szCs w:val="24"/>
        </w:rPr>
        <w:t xml:space="preserve">the Board unanimously </w:t>
      </w:r>
      <w:r w:rsidR="00E60EA4">
        <w:rPr>
          <w:color w:val="auto"/>
          <w:szCs w:val="24"/>
        </w:rPr>
        <w:t>recommends no change in the PEB determination as not unfitting.</w:t>
      </w:r>
    </w:p>
    <w:p w:rsidR="00AB08F5" w:rsidRPr="00F64312" w:rsidRDefault="00AB08F5" w:rsidP="00560F12">
      <w:pPr>
        <w:jc w:val="both"/>
        <w:rPr>
          <w:rFonts w:eastAsia="Calibri" w:cs="Times New Roman"/>
          <w:color w:val="auto"/>
          <w:szCs w:val="24"/>
        </w:rPr>
      </w:pPr>
    </w:p>
    <w:p w:rsidR="00417BED" w:rsidRPr="00F64312" w:rsidRDefault="00417BED" w:rsidP="00417BED">
      <w:pPr>
        <w:jc w:val="both"/>
        <w:rPr>
          <w:rFonts w:eastAsia="Calibri" w:cs="Times New Roman"/>
          <w:color w:val="auto"/>
          <w:szCs w:val="24"/>
        </w:rPr>
      </w:pPr>
      <w:r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0F381B" w:rsidRDefault="000F381B" w:rsidP="00837D31">
      <w:pPr>
        <w:jc w:val="left"/>
        <w:rPr>
          <w:color w:val="auto"/>
          <w:u w:val="single"/>
        </w:rPr>
      </w:pPr>
    </w:p>
    <w:p w:rsidR="00565636" w:rsidRPr="00F64312" w:rsidRDefault="00AD2379" w:rsidP="00837D31">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2"/>
        <w:gridCol w:w="2556"/>
        <w:gridCol w:w="1026"/>
      </w:tblGrid>
      <w:tr w:rsidR="00AD2379" w:rsidRPr="00F64312" w:rsidTr="00A66FEE">
        <w:trPr>
          <w:trHeight w:val="233"/>
          <w:jc w:val="center"/>
        </w:trPr>
        <w:tc>
          <w:tcPr>
            <w:tcW w:w="574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255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A66FEE">
        <w:trPr>
          <w:jc w:val="center"/>
        </w:trPr>
        <w:tc>
          <w:tcPr>
            <w:tcW w:w="5742" w:type="dxa"/>
            <w:vAlign w:val="center"/>
          </w:tcPr>
          <w:p w:rsidR="00AD2379" w:rsidRPr="00F64312" w:rsidRDefault="005E5069" w:rsidP="005E5069">
            <w:pPr>
              <w:tabs>
                <w:tab w:val="left" w:pos="288"/>
                <w:tab w:val="left" w:pos="4752"/>
              </w:tabs>
              <w:jc w:val="left"/>
              <w:rPr>
                <w:color w:val="auto"/>
              </w:rPr>
            </w:pPr>
            <w:r>
              <w:rPr>
                <w:color w:val="auto"/>
              </w:rPr>
              <w:t>Right Knee Pain, due to RPPS and TPSR</w:t>
            </w:r>
          </w:p>
        </w:tc>
        <w:tc>
          <w:tcPr>
            <w:tcW w:w="2556" w:type="dxa"/>
            <w:vAlign w:val="center"/>
          </w:tcPr>
          <w:p w:rsidR="00AD2379" w:rsidRPr="00D94DF8" w:rsidRDefault="00822776" w:rsidP="005E5069">
            <w:pPr>
              <w:tabs>
                <w:tab w:val="left" w:pos="288"/>
                <w:tab w:val="left" w:pos="4752"/>
              </w:tabs>
              <w:rPr>
                <w:color w:val="auto"/>
              </w:rPr>
            </w:pPr>
            <w:r w:rsidRPr="00D94DF8">
              <w:rPr>
                <w:color w:val="auto"/>
              </w:rPr>
              <w:t>5</w:t>
            </w:r>
            <w:r w:rsidR="005E5069" w:rsidRPr="00D94DF8">
              <w:rPr>
                <w:color w:val="auto"/>
              </w:rPr>
              <w:t>2</w:t>
            </w:r>
            <w:r w:rsidRPr="00D94DF8">
              <w:rPr>
                <w:color w:val="auto"/>
              </w:rPr>
              <w:t>99-5</w:t>
            </w:r>
            <w:r w:rsidR="005E5069" w:rsidRPr="00D94DF8">
              <w:rPr>
                <w:color w:val="auto"/>
              </w:rPr>
              <w:t>260</w:t>
            </w:r>
          </w:p>
        </w:tc>
        <w:tc>
          <w:tcPr>
            <w:tcW w:w="1026" w:type="dxa"/>
            <w:vAlign w:val="center"/>
          </w:tcPr>
          <w:p w:rsidR="00AD2379" w:rsidRPr="00D94DF8" w:rsidRDefault="00822776" w:rsidP="006B690F">
            <w:pPr>
              <w:tabs>
                <w:tab w:val="left" w:pos="288"/>
                <w:tab w:val="left" w:pos="4752"/>
              </w:tabs>
              <w:rPr>
                <w:color w:val="auto"/>
              </w:rPr>
            </w:pPr>
            <w:r w:rsidRPr="00D94DF8">
              <w:rPr>
                <w:color w:val="auto"/>
              </w:rPr>
              <w:t>1</w:t>
            </w:r>
            <w:r w:rsidR="00AD2379" w:rsidRPr="00D94DF8">
              <w:rPr>
                <w:color w:val="auto"/>
              </w:rPr>
              <w:t>0%</w:t>
            </w:r>
          </w:p>
        </w:tc>
      </w:tr>
      <w:tr w:rsidR="00822776" w:rsidRPr="00F64312" w:rsidTr="00A66FEE">
        <w:trPr>
          <w:jc w:val="center"/>
        </w:trPr>
        <w:tc>
          <w:tcPr>
            <w:tcW w:w="5742" w:type="dxa"/>
            <w:vAlign w:val="center"/>
          </w:tcPr>
          <w:p w:rsidR="00822776" w:rsidRPr="00F64312" w:rsidRDefault="005E5069" w:rsidP="005E5069">
            <w:pPr>
              <w:tabs>
                <w:tab w:val="left" w:pos="288"/>
                <w:tab w:val="left" w:pos="4752"/>
              </w:tabs>
              <w:jc w:val="left"/>
              <w:rPr>
                <w:color w:val="auto"/>
              </w:rPr>
            </w:pPr>
            <w:r>
              <w:rPr>
                <w:color w:val="auto"/>
              </w:rPr>
              <w:t>Left Knee Pain, due to RPPS and TPSR</w:t>
            </w:r>
            <w:r w:rsidRPr="00822776">
              <w:rPr>
                <w:color w:val="auto"/>
              </w:rPr>
              <w:t xml:space="preserve"> </w:t>
            </w:r>
          </w:p>
        </w:tc>
        <w:tc>
          <w:tcPr>
            <w:tcW w:w="2556" w:type="dxa"/>
            <w:vAlign w:val="center"/>
          </w:tcPr>
          <w:p w:rsidR="00822776" w:rsidRPr="00D94DF8" w:rsidRDefault="00822776" w:rsidP="005E5069">
            <w:pPr>
              <w:tabs>
                <w:tab w:val="left" w:pos="288"/>
                <w:tab w:val="left" w:pos="4752"/>
              </w:tabs>
              <w:rPr>
                <w:color w:val="auto"/>
              </w:rPr>
            </w:pPr>
            <w:r w:rsidRPr="00D94DF8">
              <w:rPr>
                <w:color w:val="auto"/>
              </w:rPr>
              <w:t>5</w:t>
            </w:r>
            <w:r w:rsidR="005E5069" w:rsidRPr="00D94DF8">
              <w:rPr>
                <w:color w:val="auto"/>
              </w:rPr>
              <w:t>2</w:t>
            </w:r>
            <w:r w:rsidRPr="00D94DF8">
              <w:rPr>
                <w:color w:val="auto"/>
              </w:rPr>
              <w:t>99-5</w:t>
            </w:r>
            <w:r w:rsidR="005E5069" w:rsidRPr="00D94DF8">
              <w:rPr>
                <w:color w:val="auto"/>
              </w:rPr>
              <w:t>260</w:t>
            </w:r>
          </w:p>
        </w:tc>
        <w:tc>
          <w:tcPr>
            <w:tcW w:w="1026" w:type="dxa"/>
            <w:vAlign w:val="center"/>
          </w:tcPr>
          <w:p w:rsidR="00822776" w:rsidRPr="00D94DF8" w:rsidRDefault="00822776" w:rsidP="009F11B0">
            <w:pPr>
              <w:tabs>
                <w:tab w:val="left" w:pos="288"/>
                <w:tab w:val="left" w:pos="4752"/>
              </w:tabs>
              <w:rPr>
                <w:color w:val="auto"/>
              </w:rPr>
            </w:pPr>
            <w:r w:rsidRPr="00D94DF8">
              <w:rPr>
                <w:color w:val="auto"/>
              </w:rPr>
              <w:t>10%</w:t>
            </w:r>
          </w:p>
        </w:tc>
      </w:tr>
      <w:tr w:rsidR="00AD2379" w:rsidRPr="00F64312" w:rsidTr="00A66FEE">
        <w:tblPrEx>
          <w:tblLook w:val="0000"/>
        </w:tblPrEx>
        <w:trPr>
          <w:gridBefore w:val="1"/>
          <w:wBefore w:w="5742" w:type="dxa"/>
          <w:trHeight w:val="152"/>
          <w:jc w:val="center"/>
        </w:trPr>
        <w:tc>
          <w:tcPr>
            <w:tcW w:w="2556"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r w:rsidR="00A66FEE">
              <w:rPr>
                <w:b/>
                <w:color w:val="auto"/>
              </w:rPr>
              <w:t xml:space="preserve"> (with BLF)</w:t>
            </w:r>
          </w:p>
        </w:tc>
        <w:tc>
          <w:tcPr>
            <w:tcW w:w="1026" w:type="dxa"/>
            <w:shd w:val="clear" w:color="auto" w:fill="D9D9D9"/>
            <w:vAlign w:val="center"/>
          </w:tcPr>
          <w:p w:rsidR="00AD2379" w:rsidRPr="00F64312" w:rsidRDefault="00822776" w:rsidP="006B690F">
            <w:pPr>
              <w:tabs>
                <w:tab w:val="left" w:pos="288"/>
                <w:tab w:val="left" w:pos="4752"/>
              </w:tabs>
              <w:rPr>
                <w:b/>
                <w:color w:val="auto"/>
              </w:rPr>
            </w:pPr>
            <w:r w:rsidRPr="00D94DF8">
              <w:rPr>
                <w:b/>
                <w:color w:val="auto"/>
              </w:rPr>
              <w:t>2</w:t>
            </w:r>
            <w:r w:rsidR="00AD2379" w:rsidRPr="00D94DF8">
              <w:rPr>
                <w:b/>
                <w:color w:val="auto"/>
              </w:rPr>
              <w:t>0%</w:t>
            </w:r>
          </w:p>
        </w:tc>
      </w:tr>
    </w:tbl>
    <w:p w:rsidR="00071071" w:rsidRPr="00F64312" w:rsidRDefault="00071071" w:rsidP="00BF0E94">
      <w:pPr>
        <w:tabs>
          <w:tab w:val="left" w:pos="288"/>
          <w:tab w:val="left" w:pos="1710"/>
        </w:tabs>
        <w:jc w:val="both"/>
        <w:rPr>
          <w:color w:val="auto"/>
          <w:highlight w:val="lightGray"/>
        </w:rPr>
      </w:pPr>
    </w:p>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24441D" w:rsidP="006B690F">
      <w:pPr>
        <w:tabs>
          <w:tab w:val="left" w:pos="288"/>
          <w:tab w:val="left" w:pos="4752"/>
        </w:tabs>
        <w:jc w:val="both"/>
        <w:rPr>
          <w:color w:val="auto"/>
        </w:rPr>
      </w:pPr>
      <w:r>
        <w:rPr>
          <w:color w:val="auto"/>
        </w:rPr>
        <w:t>Exhibit A.  DD Form 294, dated 20120614</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F48CE">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FF48CE" w:rsidRDefault="00FF48CE" w:rsidP="00BF0E94">
      <w:pPr>
        <w:tabs>
          <w:tab w:val="left" w:pos="0"/>
          <w:tab w:val="left" w:pos="4320"/>
        </w:tabs>
        <w:jc w:val="both"/>
        <w:rPr>
          <w:color w:val="auto"/>
        </w:rPr>
      </w:pPr>
    </w:p>
    <w:p w:rsidR="00FF48CE" w:rsidRDefault="00FF48CE" w:rsidP="00FF48CE">
      <w:pPr>
        <w:spacing w:line="240" w:lineRule="auto"/>
        <w:jc w:val="left"/>
        <w:rPr>
          <w:color w:val="auto"/>
        </w:rPr>
      </w:pPr>
    </w:p>
    <w:p w:rsidR="00FF48CE" w:rsidRDefault="00FF48CE">
      <w:pPr>
        <w:spacing w:line="240" w:lineRule="auto"/>
        <w:jc w:val="left"/>
        <w:rPr>
          <w:color w:val="auto"/>
        </w:rPr>
      </w:pPr>
      <w:r>
        <w:rPr>
          <w:color w:val="auto"/>
        </w:rPr>
        <w:br w:type="page"/>
      </w:r>
    </w:p>
    <w:p w:rsidR="00FF48CE" w:rsidRDefault="00FF48CE" w:rsidP="00FF48CE">
      <w:pPr>
        <w:sectPr w:rsidR="00FF48CE">
          <w:pgSz w:w="12240" w:h="15840"/>
          <w:pgMar w:top="2160" w:right="1440" w:bottom="1440" w:left="1440" w:header="720" w:footer="720" w:gutter="0"/>
          <w:cols w:space="720"/>
        </w:sectPr>
      </w:pPr>
    </w:p>
    <w:p w:rsidR="00FF48CE" w:rsidRDefault="00FF48CE" w:rsidP="00FF48CE">
      <w:pPr>
        <w:pStyle w:val="Header"/>
        <w:tabs>
          <w:tab w:val="left" w:pos="720"/>
        </w:tabs>
        <w:jc w:val="left"/>
      </w:pPr>
      <w:r>
        <w:lastRenderedPageBreak/>
        <w:t>SFMR-RB</w:t>
      </w:r>
      <w:r>
        <w:tab/>
      </w:r>
      <w:r>
        <w:tab/>
      </w:r>
      <w:r>
        <w:tab/>
      </w:r>
      <w:r>
        <w:tab/>
      </w:r>
      <w:r>
        <w:tab/>
      </w:r>
      <w:r>
        <w:tab/>
      </w:r>
      <w:r>
        <w:tab/>
      </w:r>
      <w:r>
        <w:tab/>
      </w:r>
      <w:r>
        <w:tab/>
      </w:r>
    </w:p>
    <w:p w:rsidR="00FF48CE" w:rsidRDefault="00FF48CE" w:rsidP="00FF48CE">
      <w:pPr>
        <w:pStyle w:val="Header"/>
        <w:tabs>
          <w:tab w:val="left" w:pos="720"/>
        </w:tabs>
        <w:jc w:val="left"/>
      </w:pPr>
    </w:p>
    <w:p w:rsidR="00FF48CE" w:rsidRDefault="00FF48CE" w:rsidP="00FF48CE">
      <w:pPr>
        <w:jc w:val="left"/>
      </w:pPr>
    </w:p>
    <w:p w:rsidR="00FF48CE" w:rsidRDefault="00FF48CE" w:rsidP="00FF48CE">
      <w:pPr>
        <w:jc w:val="left"/>
      </w:pPr>
      <w:r>
        <w:t xml:space="preserve">MEMORANDUM FOR Commander, US Army Physical Disability Agency </w:t>
      </w:r>
    </w:p>
    <w:p w:rsidR="00FF48CE" w:rsidRDefault="00FF48CE" w:rsidP="00FF48CE">
      <w:pPr>
        <w:jc w:val="left"/>
      </w:pPr>
      <w:r>
        <w:t xml:space="preserve">(TAPD-ZB </w:t>
      </w:r>
      <w:proofErr w:type="gramStart"/>
      <w:r>
        <w:t>/  )</w:t>
      </w:r>
      <w:proofErr w:type="gramEnd"/>
      <w:r>
        <w:t>, 2900 Crystal Drive, Suite 300, Arlington, VA  22202-3557</w:t>
      </w:r>
    </w:p>
    <w:p w:rsidR="00FF48CE" w:rsidRDefault="00FF48CE" w:rsidP="00FF48CE">
      <w:pPr>
        <w:jc w:val="left"/>
      </w:pPr>
    </w:p>
    <w:p w:rsidR="00FF48CE" w:rsidRDefault="00FF48CE" w:rsidP="00FF48CE">
      <w:pPr>
        <w:jc w:val="left"/>
      </w:pPr>
    </w:p>
    <w:p w:rsidR="00FF48CE" w:rsidRDefault="00FF48CE" w:rsidP="00FF48CE">
      <w:pPr>
        <w:ind w:right="-180"/>
        <w:jc w:val="left"/>
      </w:pPr>
      <w:r>
        <w:t xml:space="preserve">SUBJECT:  Department of Defense Physical Disability Board of Review Recommendation </w:t>
      </w:r>
    </w:p>
    <w:p w:rsidR="00FF48CE" w:rsidRDefault="00FF48CE" w:rsidP="00FF48CE">
      <w:pPr>
        <w:pStyle w:val="Header"/>
        <w:tabs>
          <w:tab w:val="left" w:pos="720"/>
        </w:tabs>
        <w:jc w:val="left"/>
      </w:pPr>
      <w:proofErr w:type="gramStart"/>
      <w:r>
        <w:t>for</w:t>
      </w:r>
      <w:proofErr w:type="gramEnd"/>
      <w:r>
        <w:t xml:space="preserve"> XXXXXXXXXXXXXXXXXXXXX, AR20120019878 (PD201200803)</w:t>
      </w:r>
    </w:p>
    <w:p w:rsidR="00FF48CE" w:rsidRDefault="00FF48CE" w:rsidP="00FF48CE">
      <w:pPr>
        <w:pStyle w:val="Header"/>
        <w:tabs>
          <w:tab w:val="left" w:pos="720"/>
        </w:tabs>
        <w:jc w:val="left"/>
      </w:pPr>
    </w:p>
    <w:p w:rsidR="00FF48CE" w:rsidRDefault="00FF48CE" w:rsidP="00FF48CE">
      <w:pPr>
        <w:jc w:val="left"/>
      </w:pPr>
    </w:p>
    <w:p w:rsidR="00FF48CE" w:rsidRDefault="00FF48CE" w:rsidP="00FF48C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F48CE" w:rsidRDefault="00FF48CE" w:rsidP="00FF48CE">
      <w:pPr>
        <w:jc w:val="left"/>
      </w:pPr>
    </w:p>
    <w:p w:rsidR="00FF48CE" w:rsidRDefault="00FF48CE" w:rsidP="00FF48CE">
      <w:pPr>
        <w:jc w:val="left"/>
      </w:pPr>
      <w:r>
        <w:t xml:space="preserve">2.  I direct that all the Department of the Army records of the individual concerned be corrected accordingly no later than 120 days from the date of this memorandum.   </w:t>
      </w:r>
    </w:p>
    <w:p w:rsidR="00FF48CE" w:rsidRDefault="00FF48CE" w:rsidP="00FF48CE">
      <w:pPr>
        <w:jc w:val="left"/>
      </w:pPr>
    </w:p>
    <w:p w:rsidR="00FF48CE" w:rsidRDefault="00FF48CE" w:rsidP="00FF48C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F48CE" w:rsidRDefault="00FF48CE" w:rsidP="00FF48CE">
      <w:pPr>
        <w:jc w:val="left"/>
      </w:pPr>
    </w:p>
    <w:p w:rsidR="00FF48CE" w:rsidRDefault="00FF48CE" w:rsidP="00FF48CE">
      <w:pPr>
        <w:jc w:val="left"/>
      </w:pPr>
      <w:r>
        <w:t xml:space="preserve"> BY ORDER OF THE SECRETARY OF THE ARMY:</w:t>
      </w:r>
    </w:p>
    <w:p w:rsidR="00FF48CE" w:rsidRDefault="00FF48CE" w:rsidP="00FF48CE">
      <w:pPr>
        <w:jc w:val="left"/>
      </w:pPr>
    </w:p>
    <w:p w:rsidR="00FF48CE" w:rsidRDefault="00FF48CE" w:rsidP="00FF48CE">
      <w:pPr>
        <w:jc w:val="left"/>
      </w:pPr>
    </w:p>
    <w:p w:rsidR="00FF48CE" w:rsidRDefault="00FF48CE" w:rsidP="00FF48CE">
      <w:pPr>
        <w:pStyle w:val="Header"/>
        <w:tabs>
          <w:tab w:val="left" w:pos="720"/>
        </w:tabs>
        <w:jc w:val="left"/>
      </w:pPr>
    </w:p>
    <w:p w:rsidR="00FF48CE" w:rsidRDefault="00FF48CE" w:rsidP="00FF48CE">
      <w:pPr>
        <w:jc w:val="left"/>
      </w:pPr>
    </w:p>
    <w:p w:rsidR="00FF48CE" w:rsidRDefault="00FF48CE" w:rsidP="00FF48CE">
      <w:pPr>
        <w:jc w:val="left"/>
      </w:pPr>
      <w:bookmarkStart w:id="0" w:name="OLE_LINK4"/>
      <w:bookmarkStart w:id="1" w:name="OLE_LINK3"/>
      <w:r>
        <w:t>Encl</w:t>
      </w:r>
      <w:r>
        <w:tab/>
      </w:r>
      <w:r>
        <w:tab/>
      </w:r>
      <w:r>
        <w:tab/>
      </w:r>
      <w:r>
        <w:tab/>
      </w:r>
      <w:r>
        <w:tab/>
      </w:r>
      <w:r>
        <w:tab/>
        <w:t xml:space="preserve">     XXXXXXXXXXXXXXXXXXXXXX</w:t>
      </w:r>
    </w:p>
    <w:p w:rsidR="00FF48CE" w:rsidRDefault="00FF48CE" w:rsidP="00FF48CE">
      <w:pPr>
        <w:jc w:val="left"/>
      </w:pPr>
      <w:r>
        <w:tab/>
      </w:r>
      <w:r>
        <w:tab/>
      </w:r>
      <w:r>
        <w:tab/>
      </w:r>
      <w:r>
        <w:tab/>
      </w:r>
      <w:r>
        <w:tab/>
      </w:r>
      <w:r>
        <w:tab/>
        <w:t xml:space="preserve">     Deputy Assistant Secretary</w:t>
      </w:r>
    </w:p>
    <w:p w:rsidR="00FF48CE" w:rsidRDefault="00FF48CE" w:rsidP="00FF48CE">
      <w:pPr>
        <w:jc w:val="left"/>
      </w:pPr>
      <w:r>
        <w:tab/>
      </w:r>
      <w:r>
        <w:tab/>
      </w:r>
      <w:r>
        <w:tab/>
      </w:r>
      <w:r>
        <w:tab/>
      </w:r>
      <w:r>
        <w:tab/>
      </w:r>
      <w:r>
        <w:tab/>
        <w:t xml:space="preserve">         (Army Review Boards)</w:t>
      </w:r>
      <w:bookmarkEnd w:id="0"/>
      <w:bookmarkEnd w:id="1"/>
    </w:p>
    <w:p w:rsidR="00FF48CE" w:rsidRDefault="00FF48CE" w:rsidP="00FF48CE">
      <w:pPr>
        <w:jc w:val="left"/>
      </w:pPr>
    </w:p>
    <w:p w:rsidR="00FF48CE" w:rsidRDefault="00FF48CE" w:rsidP="00FF48CE">
      <w:pPr>
        <w:jc w:val="left"/>
      </w:pPr>
      <w:r>
        <w:t xml:space="preserve">CF: </w:t>
      </w:r>
    </w:p>
    <w:p w:rsidR="00FF48CE" w:rsidRDefault="00FF48CE" w:rsidP="00FF48CE">
      <w:pPr>
        <w:jc w:val="left"/>
      </w:pPr>
      <w:r>
        <w:t xml:space="preserve">(  ) </w:t>
      </w:r>
      <w:proofErr w:type="spellStart"/>
      <w:proofErr w:type="gramStart"/>
      <w:r>
        <w:t>DoD</w:t>
      </w:r>
      <w:proofErr w:type="spellEnd"/>
      <w:proofErr w:type="gramEnd"/>
      <w:r>
        <w:t xml:space="preserve"> PDBR</w:t>
      </w:r>
    </w:p>
    <w:p w:rsidR="00FF48CE" w:rsidRDefault="00FF48CE" w:rsidP="00FF48CE">
      <w:pPr>
        <w:jc w:val="left"/>
      </w:pPr>
      <w:r>
        <w:t>(  ) DVA</w:t>
      </w:r>
    </w:p>
    <w:p w:rsidR="00DF3B06" w:rsidRDefault="00DF3B06" w:rsidP="00FF48CE">
      <w:pPr>
        <w:spacing w:line="240" w:lineRule="auto"/>
        <w:jc w:val="left"/>
        <w:rPr>
          <w:color w:val="auto"/>
        </w:rPr>
      </w:pPr>
    </w:p>
    <w:sectPr w:rsidR="00DF3B06" w:rsidSect="004A7BA2">
      <w:footerReference w:type="default" r:id="rId7"/>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56" w:rsidRDefault="00DF6756">
      <w:r>
        <w:separator/>
      </w:r>
    </w:p>
  </w:endnote>
  <w:endnote w:type="continuationSeparator" w:id="0">
    <w:p w:rsidR="00DF6756" w:rsidRDefault="00DF6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AD" w:rsidRPr="00374247" w:rsidRDefault="001433AD" w:rsidP="00726F84">
    <w:pPr>
      <w:pStyle w:val="Footer"/>
      <w:ind w:firstLine="4320"/>
      <w:rPr>
        <w:color w:val="auto"/>
      </w:rPr>
    </w:pPr>
    <w:r w:rsidRPr="00374247">
      <w:rPr>
        <w:color w:val="auto"/>
      </w:rPr>
      <w:t xml:space="preserve">   </w:t>
    </w:r>
    <w:fldSimple w:instr=" PAGE   \* MERGEFORMAT ">
      <w:r w:rsidR="00FF48CE" w:rsidRPr="00FF48CE">
        <w:rPr>
          <w:noProof/>
          <w:color w:val="auto"/>
        </w:rPr>
        <w:t>5</w:t>
      </w:r>
    </w:fldSimple>
    <w:r w:rsidRPr="006D7525">
      <w:rPr>
        <w:color w:val="auto"/>
      </w:rPr>
      <w:t xml:space="preserve">                                                           </w:t>
    </w:r>
    <w:r w:rsidR="006D7525" w:rsidRPr="006D7525">
      <w:rPr>
        <w:color w:val="auto"/>
      </w:rPr>
      <w:t>PD</w:t>
    </w:r>
    <w:r w:rsidRPr="006D7525">
      <w:rPr>
        <w:color w:val="auto"/>
      </w:rPr>
      <w:t>1</w:t>
    </w:r>
    <w:r w:rsidR="006D7525" w:rsidRPr="006D7525">
      <w:rPr>
        <w:color w:val="auto"/>
      </w:rPr>
      <w:t>200803</w:t>
    </w:r>
  </w:p>
  <w:p w:rsidR="001433AD" w:rsidRPr="00684CE6" w:rsidRDefault="001433A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56" w:rsidRDefault="00DF6756">
      <w:r>
        <w:separator/>
      </w:r>
    </w:p>
  </w:footnote>
  <w:footnote w:type="continuationSeparator" w:id="0">
    <w:p w:rsidR="00DF6756" w:rsidRDefault="00DF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D69F6"/>
    <w:multiLevelType w:val="hybridMultilevel"/>
    <w:tmpl w:val="349CA848"/>
    <w:lvl w:ilvl="0" w:tplc="E604B7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2D66"/>
    <w:multiLevelType w:val="hybridMultilevel"/>
    <w:tmpl w:val="A75CF438"/>
    <w:lvl w:ilvl="0" w:tplc="94C244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3E12"/>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262"/>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4E05"/>
    <w:rsid w:val="000452D7"/>
    <w:rsid w:val="00046203"/>
    <w:rsid w:val="00051622"/>
    <w:rsid w:val="00051A11"/>
    <w:rsid w:val="00051F89"/>
    <w:rsid w:val="00052234"/>
    <w:rsid w:val="00052327"/>
    <w:rsid w:val="00053D7C"/>
    <w:rsid w:val="000575C5"/>
    <w:rsid w:val="000577C9"/>
    <w:rsid w:val="00060C18"/>
    <w:rsid w:val="00060FFD"/>
    <w:rsid w:val="00061D69"/>
    <w:rsid w:val="00063BE5"/>
    <w:rsid w:val="0006431E"/>
    <w:rsid w:val="000647B0"/>
    <w:rsid w:val="000652EA"/>
    <w:rsid w:val="00065E21"/>
    <w:rsid w:val="00066E0B"/>
    <w:rsid w:val="000673ED"/>
    <w:rsid w:val="00067854"/>
    <w:rsid w:val="00070DED"/>
    <w:rsid w:val="00071071"/>
    <w:rsid w:val="00071BDC"/>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3"/>
    <w:rsid w:val="000C7DE4"/>
    <w:rsid w:val="000D029A"/>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81B"/>
    <w:rsid w:val="000F427B"/>
    <w:rsid w:val="000F43D0"/>
    <w:rsid w:val="000F4F18"/>
    <w:rsid w:val="000F688E"/>
    <w:rsid w:val="000F7181"/>
    <w:rsid w:val="000F7581"/>
    <w:rsid w:val="001007CE"/>
    <w:rsid w:val="001008C1"/>
    <w:rsid w:val="00100BC8"/>
    <w:rsid w:val="001023DB"/>
    <w:rsid w:val="00102AF8"/>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259"/>
    <w:rsid w:val="001103CD"/>
    <w:rsid w:val="00111D3F"/>
    <w:rsid w:val="00112F44"/>
    <w:rsid w:val="00113D2A"/>
    <w:rsid w:val="00114457"/>
    <w:rsid w:val="00114AEF"/>
    <w:rsid w:val="00114F20"/>
    <w:rsid w:val="00115078"/>
    <w:rsid w:val="0011590B"/>
    <w:rsid w:val="001209BA"/>
    <w:rsid w:val="001211AF"/>
    <w:rsid w:val="001215DF"/>
    <w:rsid w:val="001219DF"/>
    <w:rsid w:val="00121E77"/>
    <w:rsid w:val="0012220B"/>
    <w:rsid w:val="00122ABE"/>
    <w:rsid w:val="00122FC5"/>
    <w:rsid w:val="001231DC"/>
    <w:rsid w:val="0012453A"/>
    <w:rsid w:val="0012489B"/>
    <w:rsid w:val="001272AE"/>
    <w:rsid w:val="00127327"/>
    <w:rsid w:val="00130756"/>
    <w:rsid w:val="001315DD"/>
    <w:rsid w:val="00132A09"/>
    <w:rsid w:val="00134E0B"/>
    <w:rsid w:val="0013525F"/>
    <w:rsid w:val="00135385"/>
    <w:rsid w:val="00136204"/>
    <w:rsid w:val="001364D1"/>
    <w:rsid w:val="001374C7"/>
    <w:rsid w:val="00140FA4"/>
    <w:rsid w:val="00141BC9"/>
    <w:rsid w:val="001421FD"/>
    <w:rsid w:val="001425C8"/>
    <w:rsid w:val="00142EBA"/>
    <w:rsid w:val="001433AD"/>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837"/>
    <w:rsid w:val="00161642"/>
    <w:rsid w:val="00161761"/>
    <w:rsid w:val="00164413"/>
    <w:rsid w:val="001657BE"/>
    <w:rsid w:val="00165C7B"/>
    <w:rsid w:val="00166182"/>
    <w:rsid w:val="0017038B"/>
    <w:rsid w:val="00170C94"/>
    <w:rsid w:val="0017139A"/>
    <w:rsid w:val="0017172C"/>
    <w:rsid w:val="001724C8"/>
    <w:rsid w:val="001725CB"/>
    <w:rsid w:val="001726BA"/>
    <w:rsid w:val="001732C4"/>
    <w:rsid w:val="001745DD"/>
    <w:rsid w:val="00174FDE"/>
    <w:rsid w:val="00174FE3"/>
    <w:rsid w:val="00176D63"/>
    <w:rsid w:val="00177659"/>
    <w:rsid w:val="00177902"/>
    <w:rsid w:val="001779E5"/>
    <w:rsid w:val="00180826"/>
    <w:rsid w:val="00181240"/>
    <w:rsid w:val="0018208F"/>
    <w:rsid w:val="00182A4C"/>
    <w:rsid w:val="00183CC3"/>
    <w:rsid w:val="00183F77"/>
    <w:rsid w:val="00183FB3"/>
    <w:rsid w:val="001844D8"/>
    <w:rsid w:val="00185DA8"/>
    <w:rsid w:val="00185ECB"/>
    <w:rsid w:val="001865E0"/>
    <w:rsid w:val="001870F0"/>
    <w:rsid w:val="00190E48"/>
    <w:rsid w:val="0019114B"/>
    <w:rsid w:val="0019235F"/>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6E6A"/>
    <w:rsid w:val="001A7538"/>
    <w:rsid w:val="001A7F2C"/>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61A"/>
    <w:rsid w:val="001D7A56"/>
    <w:rsid w:val="001E0291"/>
    <w:rsid w:val="001E15C0"/>
    <w:rsid w:val="001E18E0"/>
    <w:rsid w:val="001E18E2"/>
    <w:rsid w:val="001E19D0"/>
    <w:rsid w:val="001E2A30"/>
    <w:rsid w:val="001E2FF1"/>
    <w:rsid w:val="001E3FE1"/>
    <w:rsid w:val="001E41FE"/>
    <w:rsid w:val="001E4989"/>
    <w:rsid w:val="001E635C"/>
    <w:rsid w:val="001E6620"/>
    <w:rsid w:val="001E70E4"/>
    <w:rsid w:val="001E786D"/>
    <w:rsid w:val="001F0297"/>
    <w:rsid w:val="001F14D7"/>
    <w:rsid w:val="001F29F9"/>
    <w:rsid w:val="001F6E0B"/>
    <w:rsid w:val="00200AA0"/>
    <w:rsid w:val="00200F21"/>
    <w:rsid w:val="00202325"/>
    <w:rsid w:val="00202736"/>
    <w:rsid w:val="00203652"/>
    <w:rsid w:val="00204562"/>
    <w:rsid w:val="00205B4F"/>
    <w:rsid w:val="002060B6"/>
    <w:rsid w:val="00206561"/>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41D"/>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898"/>
    <w:rsid w:val="00274549"/>
    <w:rsid w:val="00274E46"/>
    <w:rsid w:val="002752AE"/>
    <w:rsid w:val="00275AFD"/>
    <w:rsid w:val="002769AF"/>
    <w:rsid w:val="00276C86"/>
    <w:rsid w:val="00276FD0"/>
    <w:rsid w:val="00277217"/>
    <w:rsid w:val="002810A4"/>
    <w:rsid w:val="0028261C"/>
    <w:rsid w:val="00282DB6"/>
    <w:rsid w:val="00283CE2"/>
    <w:rsid w:val="00284389"/>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2BC"/>
    <w:rsid w:val="002B7710"/>
    <w:rsid w:val="002C0910"/>
    <w:rsid w:val="002C0DEA"/>
    <w:rsid w:val="002C34F6"/>
    <w:rsid w:val="002C3B6D"/>
    <w:rsid w:val="002C3F59"/>
    <w:rsid w:val="002C4B32"/>
    <w:rsid w:val="002C5D9D"/>
    <w:rsid w:val="002C5F10"/>
    <w:rsid w:val="002C6E5B"/>
    <w:rsid w:val="002D009A"/>
    <w:rsid w:val="002D08F3"/>
    <w:rsid w:val="002D18B4"/>
    <w:rsid w:val="002D2058"/>
    <w:rsid w:val="002D231A"/>
    <w:rsid w:val="002D3E5C"/>
    <w:rsid w:val="002D5330"/>
    <w:rsid w:val="002D5F57"/>
    <w:rsid w:val="002D6DB2"/>
    <w:rsid w:val="002D73D4"/>
    <w:rsid w:val="002D7787"/>
    <w:rsid w:val="002E058C"/>
    <w:rsid w:val="002E1877"/>
    <w:rsid w:val="002E1C31"/>
    <w:rsid w:val="002E1EFD"/>
    <w:rsid w:val="002E2E0F"/>
    <w:rsid w:val="002E333A"/>
    <w:rsid w:val="002E3474"/>
    <w:rsid w:val="002E38D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844"/>
    <w:rsid w:val="002F478B"/>
    <w:rsid w:val="002F6AD8"/>
    <w:rsid w:val="002F7C06"/>
    <w:rsid w:val="002F7F81"/>
    <w:rsid w:val="00300A36"/>
    <w:rsid w:val="00301B45"/>
    <w:rsid w:val="003029D5"/>
    <w:rsid w:val="0030433B"/>
    <w:rsid w:val="00304511"/>
    <w:rsid w:val="00305032"/>
    <w:rsid w:val="00305856"/>
    <w:rsid w:val="00305867"/>
    <w:rsid w:val="0030678B"/>
    <w:rsid w:val="00306D16"/>
    <w:rsid w:val="0030700A"/>
    <w:rsid w:val="00307595"/>
    <w:rsid w:val="00307DA6"/>
    <w:rsid w:val="00310CD7"/>
    <w:rsid w:val="00313C3A"/>
    <w:rsid w:val="00313D7A"/>
    <w:rsid w:val="00314517"/>
    <w:rsid w:val="003155FB"/>
    <w:rsid w:val="003156F4"/>
    <w:rsid w:val="00316F9E"/>
    <w:rsid w:val="0032136A"/>
    <w:rsid w:val="003219E5"/>
    <w:rsid w:val="003224D8"/>
    <w:rsid w:val="00323A90"/>
    <w:rsid w:val="00323E70"/>
    <w:rsid w:val="003258A7"/>
    <w:rsid w:val="00325BA2"/>
    <w:rsid w:val="003262BD"/>
    <w:rsid w:val="00326798"/>
    <w:rsid w:val="00326B1C"/>
    <w:rsid w:val="00326C08"/>
    <w:rsid w:val="00326F7F"/>
    <w:rsid w:val="003273D4"/>
    <w:rsid w:val="00327616"/>
    <w:rsid w:val="00330311"/>
    <w:rsid w:val="00330D55"/>
    <w:rsid w:val="003320E8"/>
    <w:rsid w:val="0033238E"/>
    <w:rsid w:val="003324CA"/>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199E"/>
    <w:rsid w:val="003527A9"/>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B3E"/>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38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48F3"/>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14"/>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2E5"/>
    <w:rsid w:val="00466CED"/>
    <w:rsid w:val="00466EB5"/>
    <w:rsid w:val="00467592"/>
    <w:rsid w:val="00467690"/>
    <w:rsid w:val="00467A14"/>
    <w:rsid w:val="004718E7"/>
    <w:rsid w:val="00472289"/>
    <w:rsid w:val="00472535"/>
    <w:rsid w:val="00472C97"/>
    <w:rsid w:val="00475099"/>
    <w:rsid w:val="0047570F"/>
    <w:rsid w:val="00475B30"/>
    <w:rsid w:val="004761CC"/>
    <w:rsid w:val="00476229"/>
    <w:rsid w:val="004766C9"/>
    <w:rsid w:val="00480D4A"/>
    <w:rsid w:val="004815C2"/>
    <w:rsid w:val="00481D91"/>
    <w:rsid w:val="00481DA1"/>
    <w:rsid w:val="00483A2B"/>
    <w:rsid w:val="00484212"/>
    <w:rsid w:val="004848C3"/>
    <w:rsid w:val="00484BA9"/>
    <w:rsid w:val="00485728"/>
    <w:rsid w:val="0048599A"/>
    <w:rsid w:val="00486818"/>
    <w:rsid w:val="004877FA"/>
    <w:rsid w:val="004923CB"/>
    <w:rsid w:val="0049255F"/>
    <w:rsid w:val="00493983"/>
    <w:rsid w:val="00494159"/>
    <w:rsid w:val="0049445D"/>
    <w:rsid w:val="00494D39"/>
    <w:rsid w:val="00495350"/>
    <w:rsid w:val="00495E3C"/>
    <w:rsid w:val="00496041"/>
    <w:rsid w:val="004970C8"/>
    <w:rsid w:val="00497156"/>
    <w:rsid w:val="004A0C79"/>
    <w:rsid w:val="004A1FE0"/>
    <w:rsid w:val="004A24D2"/>
    <w:rsid w:val="004A2728"/>
    <w:rsid w:val="004A3214"/>
    <w:rsid w:val="004A4136"/>
    <w:rsid w:val="004A417B"/>
    <w:rsid w:val="004A4378"/>
    <w:rsid w:val="004A712D"/>
    <w:rsid w:val="004A7BA2"/>
    <w:rsid w:val="004A7C03"/>
    <w:rsid w:val="004B0068"/>
    <w:rsid w:val="004B03F3"/>
    <w:rsid w:val="004B0CC9"/>
    <w:rsid w:val="004B1C61"/>
    <w:rsid w:val="004B2536"/>
    <w:rsid w:val="004B3A22"/>
    <w:rsid w:val="004B46D7"/>
    <w:rsid w:val="004B478D"/>
    <w:rsid w:val="004B6AF3"/>
    <w:rsid w:val="004B6B34"/>
    <w:rsid w:val="004B6F1F"/>
    <w:rsid w:val="004B715E"/>
    <w:rsid w:val="004B7169"/>
    <w:rsid w:val="004B79C9"/>
    <w:rsid w:val="004C00DD"/>
    <w:rsid w:val="004C05CF"/>
    <w:rsid w:val="004C0776"/>
    <w:rsid w:val="004C1A67"/>
    <w:rsid w:val="004C1EF8"/>
    <w:rsid w:val="004C2063"/>
    <w:rsid w:val="004C24C5"/>
    <w:rsid w:val="004C2645"/>
    <w:rsid w:val="004C47D5"/>
    <w:rsid w:val="004C4CAF"/>
    <w:rsid w:val="004C5E33"/>
    <w:rsid w:val="004C60A3"/>
    <w:rsid w:val="004C6CDA"/>
    <w:rsid w:val="004C79F5"/>
    <w:rsid w:val="004D10D4"/>
    <w:rsid w:val="004D1118"/>
    <w:rsid w:val="004D16BD"/>
    <w:rsid w:val="004D2AAB"/>
    <w:rsid w:val="004D362B"/>
    <w:rsid w:val="004D3C7F"/>
    <w:rsid w:val="004D42CB"/>
    <w:rsid w:val="004D4A0C"/>
    <w:rsid w:val="004D6E90"/>
    <w:rsid w:val="004D6F2B"/>
    <w:rsid w:val="004E0248"/>
    <w:rsid w:val="004E21A3"/>
    <w:rsid w:val="004E32EA"/>
    <w:rsid w:val="004E3517"/>
    <w:rsid w:val="004E3D28"/>
    <w:rsid w:val="004E6866"/>
    <w:rsid w:val="004E72B6"/>
    <w:rsid w:val="004F0C58"/>
    <w:rsid w:val="004F10EB"/>
    <w:rsid w:val="004F26CC"/>
    <w:rsid w:val="004F3222"/>
    <w:rsid w:val="004F3639"/>
    <w:rsid w:val="004F3BFA"/>
    <w:rsid w:val="004F4E3C"/>
    <w:rsid w:val="004F5A1A"/>
    <w:rsid w:val="004F675A"/>
    <w:rsid w:val="004F77A3"/>
    <w:rsid w:val="005000AB"/>
    <w:rsid w:val="00500EAF"/>
    <w:rsid w:val="00500F3C"/>
    <w:rsid w:val="00501912"/>
    <w:rsid w:val="005025EE"/>
    <w:rsid w:val="00503401"/>
    <w:rsid w:val="00503D35"/>
    <w:rsid w:val="00503DDF"/>
    <w:rsid w:val="00504E34"/>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69F5"/>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360"/>
    <w:rsid w:val="00542B34"/>
    <w:rsid w:val="00542C9A"/>
    <w:rsid w:val="005436C2"/>
    <w:rsid w:val="005442D4"/>
    <w:rsid w:val="00545669"/>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B33"/>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198"/>
    <w:rsid w:val="005B1ADA"/>
    <w:rsid w:val="005B1D09"/>
    <w:rsid w:val="005B1D8F"/>
    <w:rsid w:val="005B1E94"/>
    <w:rsid w:val="005B3306"/>
    <w:rsid w:val="005B45F7"/>
    <w:rsid w:val="005B56E0"/>
    <w:rsid w:val="005B5B3D"/>
    <w:rsid w:val="005B5E8F"/>
    <w:rsid w:val="005B64CF"/>
    <w:rsid w:val="005B685D"/>
    <w:rsid w:val="005B72DA"/>
    <w:rsid w:val="005B750E"/>
    <w:rsid w:val="005C0E87"/>
    <w:rsid w:val="005C1398"/>
    <w:rsid w:val="005C16F3"/>
    <w:rsid w:val="005C3758"/>
    <w:rsid w:val="005C4D72"/>
    <w:rsid w:val="005C50C1"/>
    <w:rsid w:val="005C62C2"/>
    <w:rsid w:val="005D0ABC"/>
    <w:rsid w:val="005D2306"/>
    <w:rsid w:val="005D2562"/>
    <w:rsid w:val="005D2666"/>
    <w:rsid w:val="005D3D55"/>
    <w:rsid w:val="005D4548"/>
    <w:rsid w:val="005D4A74"/>
    <w:rsid w:val="005D519F"/>
    <w:rsid w:val="005D5E91"/>
    <w:rsid w:val="005D67EF"/>
    <w:rsid w:val="005E1416"/>
    <w:rsid w:val="005E3064"/>
    <w:rsid w:val="005E5069"/>
    <w:rsid w:val="005E54DC"/>
    <w:rsid w:val="005E65DC"/>
    <w:rsid w:val="005E6AEE"/>
    <w:rsid w:val="005E72B2"/>
    <w:rsid w:val="005E73E9"/>
    <w:rsid w:val="005E79A0"/>
    <w:rsid w:val="005E79C8"/>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0D56"/>
    <w:rsid w:val="006036C2"/>
    <w:rsid w:val="00604950"/>
    <w:rsid w:val="00605AAB"/>
    <w:rsid w:val="00606BEB"/>
    <w:rsid w:val="00607AC8"/>
    <w:rsid w:val="0061010C"/>
    <w:rsid w:val="0061014A"/>
    <w:rsid w:val="0061054B"/>
    <w:rsid w:val="006110FB"/>
    <w:rsid w:val="006114BB"/>
    <w:rsid w:val="00612625"/>
    <w:rsid w:val="00612FB0"/>
    <w:rsid w:val="0061356D"/>
    <w:rsid w:val="00613E26"/>
    <w:rsid w:val="00614DE6"/>
    <w:rsid w:val="00615641"/>
    <w:rsid w:val="00615A66"/>
    <w:rsid w:val="00616959"/>
    <w:rsid w:val="00617DE6"/>
    <w:rsid w:val="0062036E"/>
    <w:rsid w:val="006211D0"/>
    <w:rsid w:val="00621595"/>
    <w:rsid w:val="0062359D"/>
    <w:rsid w:val="006235F5"/>
    <w:rsid w:val="00623634"/>
    <w:rsid w:val="00624D0C"/>
    <w:rsid w:val="00626902"/>
    <w:rsid w:val="00626A0F"/>
    <w:rsid w:val="00627433"/>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EED"/>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671CC"/>
    <w:rsid w:val="006703AA"/>
    <w:rsid w:val="006708E3"/>
    <w:rsid w:val="00670DDC"/>
    <w:rsid w:val="00671389"/>
    <w:rsid w:val="00671EB4"/>
    <w:rsid w:val="006730B3"/>
    <w:rsid w:val="00673CDC"/>
    <w:rsid w:val="0067443B"/>
    <w:rsid w:val="00675CD9"/>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200"/>
    <w:rsid w:val="006C2EF6"/>
    <w:rsid w:val="006C3A68"/>
    <w:rsid w:val="006C3B08"/>
    <w:rsid w:val="006C6AB1"/>
    <w:rsid w:val="006C6E6B"/>
    <w:rsid w:val="006C714C"/>
    <w:rsid w:val="006C73D4"/>
    <w:rsid w:val="006C7B31"/>
    <w:rsid w:val="006D145F"/>
    <w:rsid w:val="006D1536"/>
    <w:rsid w:val="006D2000"/>
    <w:rsid w:val="006D2D39"/>
    <w:rsid w:val="006D2F31"/>
    <w:rsid w:val="006D4250"/>
    <w:rsid w:val="006D4E0E"/>
    <w:rsid w:val="006D5861"/>
    <w:rsid w:val="006D59C5"/>
    <w:rsid w:val="006D5CE2"/>
    <w:rsid w:val="006D5E1E"/>
    <w:rsid w:val="006D7525"/>
    <w:rsid w:val="006D7854"/>
    <w:rsid w:val="006E06D1"/>
    <w:rsid w:val="006E122E"/>
    <w:rsid w:val="006E1313"/>
    <w:rsid w:val="006E154E"/>
    <w:rsid w:val="006E25A9"/>
    <w:rsid w:val="006E2DC8"/>
    <w:rsid w:val="006E58CB"/>
    <w:rsid w:val="006E6B68"/>
    <w:rsid w:val="006E7089"/>
    <w:rsid w:val="006E7356"/>
    <w:rsid w:val="006E77C8"/>
    <w:rsid w:val="006F0E87"/>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30D"/>
    <w:rsid w:val="0073062D"/>
    <w:rsid w:val="0073093B"/>
    <w:rsid w:val="0073254D"/>
    <w:rsid w:val="007340F3"/>
    <w:rsid w:val="007347BB"/>
    <w:rsid w:val="00735704"/>
    <w:rsid w:val="00736A49"/>
    <w:rsid w:val="007419A1"/>
    <w:rsid w:val="00743B71"/>
    <w:rsid w:val="00743C2D"/>
    <w:rsid w:val="00743C3A"/>
    <w:rsid w:val="00743E36"/>
    <w:rsid w:val="00743F05"/>
    <w:rsid w:val="00743F1D"/>
    <w:rsid w:val="007441C1"/>
    <w:rsid w:val="007446F7"/>
    <w:rsid w:val="00744C68"/>
    <w:rsid w:val="00744EBB"/>
    <w:rsid w:val="00745B0A"/>
    <w:rsid w:val="00745DBE"/>
    <w:rsid w:val="007468AC"/>
    <w:rsid w:val="00746AE2"/>
    <w:rsid w:val="00750C82"/>
    <w:rsid w:val="00750E3A"/>
    <w:rsid w:val="00752035"/>
    <w:rsid w:val="007532B4"/>
    <w:rsid w:val="0076100C"/>
    <w:rsid w:val="00761127"/>
    <w:rsid w:val="007612A5"/>
    <w:rsid w:val="007635A8"/>
    <w:rsid w:val="00763CAE"/>
    <w:rsid w:val="00763F95"/>
    <w:rsid w:val="007651ED"/>
    <w:rsid w:val="00766C87"/>
    <w:rsid w:val="00771043"/>
    <w:rsid w:val="0077272B"/>
    <w:rsid w:val="007733FA"/>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168"/>
    <w:rsid w:val="00790963"/>
    <w:rsid w:val="0079150B"/>
    <w:rsid w:val="0079154B"/>
    <w:rsid w:val="00791EED"/>
    <w:rsid w:val="00791F1E"/>
    <w:rsid w:val="007927BE"/>
    <w:rsid w:val="007935B8"/>
    <w:rsid w:val="00793DB1"/>
    <w:rsid w:val="00794ADE"/>
    <w:rsid w:val="00794F3D"/>
    <w:rsid w:val="00795CE9"/>
    <w:rsid w:val="00796045"/>
    <w:rsid w:val="007968AC"/>
    <w:rsid w:val="007969AB"/>
    <w:rsid w:val="007973D8"/>
    <w:rsid w:val="00797801"/>
    <w:rsid w:val="007A0861"/>
    <w:rsid w:val="007A0B39"/>
    <w:rsid w:val="007A14A4"/>
    <w:rsid w:val="007A15CB"/>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1DA2"/>
    <w:rsid w:val="007C1E4B"/>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3F3"/>
    <w:rsid w:val="007D4CFC"/>
    <w:rsid w:val="007D568A"/>
    <w:rsid w:val="007D574E"/>
    <w:rsid w:val="007D57C0"/>
    <w:rsid w:val="007D5E4A"/>
    <w:rsid w:val="007D67CB"/>
    <w:rsid w:val="007D6BFE"/>
    <w:rsid w:val="007E176C"/>
    <w:rsid w:val="007E1C40"/>
    <w:rsid w:val="007E2046"/>
    <w:rsid w:val="007E3883"/>
    <w:rsid w:val="007E3FCA"/>
    <w:rsid w:val="007E4876"/>
    <w:rsid w:val="007E48CD"/>
    <w:rsid w:val="007E4ACB"/>
    <w:rsid w:val="007E4FBB"/>
    <w:rsid w:val="007E55BF"/>
    <w:rsid w:val="007E59E3"/>
    <w:rsid w:val="007E5E39"/>
    <w:rsid w:val="007E64FE"/>
    <w:rsid w:val="007E71B1"/>
    <w:rsid w:val="007E7B4E"/>
    <w:rsid w:val="007E7F02"/>
    <w:rsid w:val="007F0292"/>
    <w:rsid w:val="007F0722"/>
    <w:rsid w:val="007F0AB7"/>
    <w:rsid w:val="007F0CE2"/>
    <w:rsid w:val="007F0EFF"/>
    <w:rsid w:val="007F1375"/>
    <w:rsid w:val="007F1AFD"/>
    <w:rsid w:val="007F2AE2"/>
    <w:rsid w:val="007F30E4"/>
    <w:rsid w:val="007F39A1"/>
    <w:rsid w:val="0080064F"/>
    <w:rsid w:val="00801B85"/>
    <w:rsid w:val="00803850"/>
    <w:rsid w:val="008039E8"/>
    <w:rsid w:val="00804385"/>
    <w:rsid w:val="00804E0E"/>
    <w:rsid w:val="008051EB"/>
    <w:rsid w:val="0080588E"/>
    <w:rsid w:val="00805AFD"/>
    <w:rsid w:val="00806397"/>
    <w:rsid w:val="008078D8"/>
    <w:rsid w:val="0080798E"/>
    <w:rsid w:val="008116E0"/>
    <w:rsid w:val="00811BD9"/>
    <w:rsid w:val="00811D5B"/>
    <w:rsid w:val="00813C51"/>
    <w:rsid w:val="00816CCB"/>
    <w:rsid w:val="00817572"/>
    <w:rsid w:val="00817713"/>
    <w:rsid w:val="008208C3"/>
    <w:rsid w:val="008218FF"/>
    <w:rsid w:val="008220F1"/>
    <w:rsid w:val="00822776"/>
    <w:rsid w:val="0082340B"/>
    <w:rsid w:val="00823D6A"/>
    <w:rsid w:val="00825A81"/>
    <w:rsid w:val="00827B29"/>
    <w:rsid w:val="00827DB6"/>
    <w:rsid w:val="008304B2"/>
    <w:rsid w:val="00830999"/>
    <w:rsid w:val="00830D5E"/>
    <w:rsid w:val="00830F69"/>
    <w:rsid w:val="00831940"/>
    <w:rsid w:val="008324D9"/>
    <w:rsid w:val="00832FBA"/>
    <w:rsid w:val="00833418"/>
    <w:rsid w:val="0083387F"/>
    <w:rsid w:val="00834458"/>
    <w:rsid w:val="008344AD"/>
    <w:rsid w:val="00834AEA"/>
    <w:rsid w:val="00835841"/>
    <w:rsid w:val="00835BF8"/>
    <w:rsid w:val="00835FB7"/>
    <w:rsid w:val="00836B7B"/>
    <w:rsid w:val="00837465"/>
    <w:rsid w:val="00837D31"/>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C60"/>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76E"/>
    <w:rsid w:val="00871262"/>
    <w:rsid w:val="0087170E"/>
    <w:rsid w:val="00871D4E"/>
    <w:rsid w:val="00871E7B"/>
    <w:rsid w:val="008721BB"/>
    <w:rsid w:val="008734E7"/>
    <w:rsid w:val="0087566D"/>
    <w:rsid w:val="00875B50"/>
    <w:rsid w:val="00875B51"/>
    <w:rsid w:val="00875F2D"/>
    <w:rsid w:val="008762E7"/>
    <w:rsid w:val="008764DC"/>
    <w:rsid w:val="008802C3"/>
    <w:rsid w:val="008813CE"/>
    <w:rsid w:val="00881C17"/>
    <w:rsid w:val="00881D10"/>
    <w:rsid w:val="00882CC2"/>
    <w:rsid w:val="00883103"/>
    <w:rsid w:val="0088325A"/>
    <w:rsid w:val="00883930"/>
    <w:rsid w:val="00884535"/>
    <w:rsid w:val="008902BE"/>
    <w:rsid w:val="0089038F"/>
    <w:rsid w:val="00890CDA"/>
    <w:rsid w:val="00890E31"/>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964"/>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B1C"/>
    <w:rsid w:val="008C22F3"/>
    <w:rsid w:val="008C3223"/>
    <w:rsid w:val="008C3FD0"/>
    <w:rsid w:val="008C4006"/>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8A"/>
    <w:rsid w:val="008E38B0"/>
    <w:rsid w:val="008E3C90"/>
    <w:rsid w:val="008E435B"/>
    <w:rsid w:val="008E4A60"/>
    <w:rsid w:val="008E744D"/>
    <w:rsid w:val="008F1E08"/>
    <w:rsid w:val="008F2846"/>
    <w:rsid w:val="008F30F4"/>
    <w:rsid w:val="008F58E1"/>
    <w:rsid w:val="008F6E05"/>
    <w:rsid w:val="008F6FC8"/>
    <w:rsid w:val="009001FA"/>
    <w:rsid w:val="0090045D"/>
    <w:rsid w:val="00900906"/>
    <w:rsid w:val="00900D8F"/>
    <w:rsid w:val="00901229"/>
    <w:rsid w:val="009014E3"/>
    <w:rsid w:val="00901538"/>
    <w:rsid w:val="009020ED"/>
    <w:rsid w:val="009026BB"/>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17997"/>
    <w:rsid w:val="00920251"/>
    <w:rsid w:val="00920259"/>
    <w:rsid w:val="00920436"/>
    <w:rsid w:val="0092148A"/>
    <w:rsid w:val="00921CFD"/>
    <w:rsid w:val="00921F7F"/>
    <w:rsid w:val="009239C0"/>
    <w:rsid w:val="00923B25"/>
    <w:rsid w:val="0092402E"/>
    <w:rsid w:val="009259BA"/>
    <w:rsid w:val="00926451"/>
    <w:rsid w:val="00926C0A"/>
    <w:rsid w:val="00926FCB"/>
    <w:rsid w:val="00927BCD"/>
    <w:rsid w:val="009303BB"/>
    <w:rsid w:val="0093108A"/>
    <w:rsid w:val="009319EF"/>
    <w:rsid w:val="00931B6D"/>
    <w:rsid w:val="0093311A"/>
    <w:rsid w:val="009346D0"/>
    <w:rsid w:val="009369A6"/>
    <w:rsid w:val="00936E38"/>
    <w:rsid w:val="0093724C"/>
    <w:rsid w:val="00937433"/>
    <w:rsid w:val="00937F57"/>
    <w:rsid w:val="0094031E"/>
    <w:rsid w:val="009419B4"/>
    <w:rsid w:val="00941A4C"/>
    <w:rsid w:val="00942645"/>
    <w:rsid w:val="0094597F"/>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666C"/>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167"/>
    <w:rsid w:val="009842F3"/>
    <w:rsid w:val="00984B1A"/>
    <w:rsid w:val="00984EBF"/>
    <w:rsid w:val="00985099"/>
    <w:rsid w:val="00985D32"/>
    <w:rsid w:val="00986514"/>
    <w:rsid w:val="00986FCC"/>
    <w:rsid w:val="00987828"/>
    <w:rsid w:val="00990FD6"/>
    <w:rsid w:val="00992BF4"/>
    <w:rsid w:val="009935C3"/>
    <w:rsid w:val="0099421F"/>
    <w:rsid w:val="00994D33"/>
    <w:rsid w:val="00994FC8"/>
    <w:rsid w:val="009A0346"/>
    <w:rsid w:val="009A0DE3"/>
    <w:rsid w:val="009A1643"/>
    <w:rsid w:val="009A1EEE"/>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887"/>
    <w:rsid w:val="009C0938"/>
    <w:rsid w:val="009C0C22"/>
    <w:rsid w:val="009C12A1"/>
    <w:rsid w:val="009C15D9"/>
    <w:rsid w:val="009C190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15D"/>
    <w:rsid w:val="009E5789"/>
    <w:rsid w:val="009E57B1"/>
    <w:rsid w:val="009E6379"/>
    <w:rsid w:val="009F020F"/>
    <w:rsid w:val="009F077E"/>
    <w:rsid w:val="009F3B63"/>
    <w:rsid w:val="009F43E2"/>
    <w:rsid w:val="009F491F"/>
    <w:rsid w:val="009F57CD"/>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060"/>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3B0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9B5"/>
    <w:rsid w:val="00A66A45"/>
    <w:rsid w:val="00A66FEE"/>
    <w:rsid w:val="00A67591"/>
    <w:rsid w:val="00A67911"/>
    <w:rsid w:val="00A67CA6"/>
    <w:rsid w:val="00A70270"/>
    <w:rsid w:val="00A70E7B"/>
    <w:rsid w:val="00A717EA"/>
    <w:rsid w:val="00A730B0"/>
    <w:rsid w:val="00A7387A"/>
    <w:rsid w:val="00A73B84"/>
    <w:rsid w:val="00A7411D"/>
    <w:rsid w:val="00A74F84"/>
    <w:rsid w:val="00A756C4"/>
    <w:rsid w:val="00A7592B"/>
    <w:rsid w:val="00A75ED7"/>
    <w:rsid w:val="00A76094"/>
    <w:rsid w:val="00A768E2"/>
    <w:rsid w:val="00A82C52"/>
    <w:rsid w:val="00A838E8"/>
    <w:rsid w:val="00A83C15"/>
    <w:rsid w:val="00A83E0B"/>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14C"/>
    <w:rsid w:val="00AA73AF"/>
    <w:rsid w:val="00AA7B5A"/>
    <w:rsid w:val="00AB062D"/>
    <w:rsid w:val="00AB08F5"/>
    <w:rsid w:val="00AB0A8A"/>
    <w:rsid w:val="00AB0CD9"/>
    <w:rsid w:val="00AB1754"/>
    <w:rsid w:val="00AB1F8D"/>
    <w:rsid w:val="00AB27DD"/>
    <w:rsid w:val="00AB3383"/>
    <w:rsid w:val="00AB4BA4"/>
    <w:rsid w:val="00AB5672"/>
    <w:rsid w:val="00AB592E"/>
    <w:rsid w:val="00AC0C1C"/>
    <w:rsid w:val="00AC1305"/>
    <w:rsid w:val="00AC37BE"/>
    <w:rsid w:val="00AC439D"/>
    <w:rsid w:val="00AC4BA1"/>
    <w:rsid w:val="00AC53F4"/>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91"/>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A2C"/>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62"/>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BE1"/>
    <w:rsid w:val="00B77EE7"/>
    <w:rsid w:val="00B80EDD"/>
    <w:rsid w:val="00B812BD"/>
    <w:rsid w:val="00B81964"/>
    <w:rsid w:val="00B82277"/>
    <w:rsid w:val="00B82CBB"/>
    <w:rsid w:val="00B83F87"/>
    <w:rsid w:val="00B843DD"/>
    <w:rsid w:val="00B8478F"/>
    <w:rsid w:val="00B84F93"/>
    <w:rsid w:val="00B91676"/>
    <w:rsid w:val="00B93227"/>
    <w:rsid w:val="00B9322B"/>
    <w:rsid w:val="00B93640"/>
    <w:rsid w:val="00B93C38"/>
    <w:rsid w:val="00B94023"/>
    <w:rsid w:val="00B955D5"/>
    <w:rsid w:val="00B95833"/>
    <w:rsid w:val="00BA1824"/>
    <w:rsid w:val="00BA2C96"/>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862"/>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2865"/>
    <w:rsid w:val="00C34168"/>
    <w:rsid w:val="00C34247"/>
    <w:rsid w:val="00C34326"/>
    <w:rsid w:val="00C34CEB"/>
    <w:rsid w:val="00C352B5"/>
    <w:rsid w:val="00C36201"/>
    <w:rsid w:val="00C368E8"/>
    <w:rsid w:val="00C36B75"/>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89E"/>
    <w:rsid w:val="00CA3F73"/>
    <w:rsid w:val="00CA4670"/>
    <w:rsid w:val="00CA4691"/>
    <w:rsid w:val="00CA5161"/>
    <w:rsid w:val="00CA5F89"/>
    <w:rsid w:val="00CA6B1A"/>
    <w:rsid w:val="00CA720B"/>
    <w:rsid w:val="00CB1B18"/>
    <w:rsid w:val="00CB20DC"/>
    <w:rsid w:val="00CB23DC"/>
    <w:rsid w:val="00CB2487"/>
    <w:rsid w:val="00CB28E2"/>
    <w:rsid w:val="00CB2F20"/>
    <w:rsid w:val="00CB3395"/>
    <w:rsid w:val="00CB3F63"/>
    <w:rsid w:val="00CB40A0"/>
    <w:rsid w:val="00CB5801"/>
    <w:rsid w:val="00CB758D"/>
    <w:rsid w:val="00CB7A3E"/>
    <w:rsid w:val="00CB7FF7"/>
    <w:rsid w:val="00CC0D0E"/>
    <w:rsid w:val="00CC1253"/>
    <w:rsid w:val="00CC19B3"/>
    <w:rsid w:val="00CC2044"/>
    <w:rsid w:val="00CC39D2"/>
    <w:rsid w:val="00CC4DE9"/>
    <w:rsid w:val="00CC55D6"/>
    <w:rsid w:val="00CC59B4"/>
    <w:rsid w:val="00CC5C88"/>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E666D"/>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F23"/>
    <w:rsid w:val="00D02596"/>
    <w:rsid w:val="00D0280D"/>
    <w:rsid w:val="00D02AEF"/>
    <w:rsid w:val="00D03EC9"/>
    <w:rsid w:val="00D051E6"/>
    <w:rsid w:val="00D05669"/>
    <w:rsid w:val="00D061EB"/>
    <w:rsid w:val="00D06952"/>
    <w:rsid w:val="00D07A72"/>
    <w:rsid w:val="00D10577"/>
    <w:rsid w:val="00D12405"/>
    <w:rsid w:val="00D12A4E"/>
    <w:rsid w:val="00D1323B"/>
    <w:rsid w:val="00D14BAE"/>
    <w:rsid w:val="00D15107"/>
    <w:rsid w:val="00D1648B"/>
    <w:rsid w:val="00D16819"/>
    <w:rsid w:val="00D17DD9"/>
    <w:rsid w:val="00D20857"/>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DCB"/>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7C2"/>
    <w:rsid w:val="00D91040"/>
    <w:rsid w:val="00D910C2"/>
    <w:rsid w:val="00D9168C"/>
    <w:rsid w:val="00D9189B"/>
    <w:rsid w:val="00D91DA6"/>
    <w:rsid w:val="00D921A0"/>
    <w:rsid w:val="00D93A41"/>
    <w:rsid w:val="00D93B9A"/>
    <w:rsid w:val="00D94DF8"/>
    <w:rsid w:val="00D94F76"/>
    <w:rsid w:val="00D95984"/>
    <w:rsid w:val="00D95C64"/>
    <w:rsid w:val="00D9706F"/>
    <w:rsid w:val="00D972D4"/>
    <w:rsid w:val="00DA0614"/>
    <w:rsid w:val="00DA0FE3"/>
    <w:rsid w:val="00DA12F9"/>
    <w:rsid w:val="00DA195B"/>
    <w:rsid w:val="00DA2560"/>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3C12"/>
    <w:rsid w:val="00DB44E2"/>
    <w:rsid w:val="00DB4A6D"/>
    <w:rsid w:val="00DB5941"/>
    <w:rsid w:val="00DB626D"/>
    <w:rsid w:val="00DB6365"/>
    <w:rsid w:val="00DB756C"/>
    <w:rsid w:val="00DB7632"/>
    <w:rsid w:val="00DC07B7"/>
    <w:rsid w:val="00DC0BF1"/>
    <w:rsid w:val="00DC11B7"/>
    <w:rsid w:val="00DC1607"/>
    <w:rsid w:val="00DC17F2"/>
    <w:rsid w:val="00DC4001"/>
    <w:rsid w:val="00DC41C3"/>
    <w:rsid w:val="00DC4842"/>
    <w:rsid w:val="00DC4A3C"/>
    <w:rsid w:val="00DC4FA4"/>
    <w:rsid w:val="00DC5028"/>
    <w:rsid w:val="00DC5B37"/>
    <w:rsid w:val="00DD0AB5"/>
    <w:rsid w:val="00DD1623"/>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756"/>
    <w:rsid w:val="00DF6EF8"/>
    <w:rsid w:val="00DF6EFE"/>
    <w:rsid w:val="00DF70F4"/>
    <w:rsid w:val="00E00A69"/>
    <w:rsid w:val="00E017BC"/>
    <w:rsid w:val="00E017F0"/>
    <w:rsid w:val="00E01A0E"/>
    <w:rsid w:val="00E025FE"/>
    <w:rsid w:val="00E0346A"/>
    <w:rsid w:val="00E041E4"/>
    <w:rsid w:val="00E0442F"/>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74"/>
    <w:rsid w:val="00E21386"/>
    <w:rsid w:val="00E2421B"/>
    <w:rsid w:val="00E242AF"/>
    <w:rsid w:val="00E24849"/>
    <w:rsid w:val="00E2536E"/>
    <w:rsid w:val="00E25A99"/>
    <w:rsid w:val="00E25B8A"/>
    <w:rsid w:val="00E25EF8"/>
    <w:rsid w:val="00E2632B"/>
    <w:rsid w:val="00E26F75"/>
    <w:rsid w:val="00E27423"/>
    <w:rsid w:val="00E3077F"/>
    <w:rsid w:val="00E322F7"/>
    <w:rsid w:val="00E3312C"/>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1CD"/>
    <w:rsid w:val="00E54597"/>
    <w:rsid w:val="00E54846"/>
    <w:rsid w:val="00E548FA"/>
    <w:rsid w:val="00E55CD9"/>
    <w:rsid w:val="00E57703"/>
    <w:rsid w:val="00E57ED4"/>
    <w:rsid w:val="00E57FED"/>
    <w:rsid w:val="00E6092F"/>
    <w:rsid w:val="00E60EA4"/>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6111"/>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688"/>
    <w:rsid w:val="00EE23DE"/>
    <w:rsid w:val="00EE3CFB"/>
    <w:rsid w:val="00EE48BB"/>
    <w:rsid w:val="00EE4ACF"/>
    <w:rsid w:val="00EE6FE0"/>
    <w:rsid w:val="00EE704A"/>
    <w:rsid w:val="00EE7840"/>
    <w:rsid w:val="00EE7963"/>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B3A"/>
    <w:rsid w:val="00F20DA4"/>
    <w:rsid w:val="00F20E9F"/>
    <w:rsid w:val="00F22A26"/>
    <w:rsid w:val="00F2361E"/>
    <w:rsid w:val="00F24072"/>
    <w:rsid w:val="00F26432"/>
    <w:rsid w:val="00F3197A"/>
    <w:rsid w:val="00F32139"/>
    <w:rsid w:val="00F32315"/>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47448"/>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BD9"/>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10C"/>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416"/>
    <w:rsid w:val="00FE2A48"/>
    <w:rsid w:val="00FE2DEF"/>
    <w:rsid w:val="00FE2E82"/>
    <w:rsid w:val="00FE323C"/>
    <w:rsid w:val="00FE3A27"/>
    <w:rsid w:val="00FE48A6"/>
    <w:rsid w:val="00FE559A"/>
    <w:rsid w:val="00FE5D0A"/>
    <w:rsid w:val="00FE6365"/>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8CE"/>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877357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2012-10-22T14:01:00Z</cp:lastPrinted>
  <dcterms:created xsi:type="dcterms:W3CDTF">2012-11-27T15:24:00Z</dcterms:created>
  <dcterms:modified xsi:type="dcterms:W3CDTF">2012-11-27T15:24:00Z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