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343E1">
        <w:rPr>
          <w:caps/>
          <w:color w:val="000000" w:themeColor="text1"/>
        </w:rPr>
        <w:t>XXXXXXXXXXXXXXXXX</w:t>
      </w:r>
      <w:r w:rsidRPr="001F29F9">
        <w:rPr>
          <w:caps/>
          <w:color w:val="000000" w:themeColor="text1"/>
        </w:rPr>
        <w:t xml:space="preserve">                </w:t>
      </w:r>
      <w:r w:rsidR="00FB63A3">
        <w:rPr>
          <w:caps/>
          <w:color w:val="000000" w:themeColor="text1"/>
        </w:rPr>
        <w:tab/>
        <w:t xml:space="preserve">                          </w:t>
      </w:r>
      <w:r w:rsidR="00DE0ECE">
        <w:rPr>
          <w:caps/>
          <w:color w:val="000000" w:themeColor="text1"/>
        </w:rPr>
        <w:t xml:space="preserve"> </w:t>
      </w:r>
      <w:r w:rsidR="001E3BE9">
        <w:rPr>
          <w:caps/>
          <w:color w:val="000000" w:themeColor="text1"/>
        </w:rPr>
        <w:t xml:space="preserve"> </w:t>
      </w:r>
      <w:r w:rsidR="00DE0ECE">
        <w:rPr>
          <w:caps/>
          <w:color w:val="000000" w:themeColor="text1"/>
        </w:rPr>
        <w:t xml:space="preserve"> </w:t>
      </w:r>
      <w:r w:rsidR="00FB63A3">
        <w:rPr>
          <w:caps/>
          <w:color w:val="000000" w:themeColor="text1"/>
        </w:rPr>
        <w:t xml:space="preserve"> </w:t>
      </w:r>
      <w:r w:rsidRPr="001F29F9">
        <w:rPr>
          <w:caps/>
          <w:color w:val="000000" w:themeColor="text1"/>
        </w:rPr>
        <w:t>BRANCH OF SERVICE</w:t>
      </w:r>
      <w:r w:rsidRPr="00BA4A38">
        <w:rPr>
          <w:caps/>
          <w:color w:val="000000" w:themeColor="text1"/>
        </w:rPr>
        <w:t xml:space="preserve">:  </w:t>
      </w:r>
      <w:r w:rsidRPr="009220DC">
        <w:rPr>
          <w:caps/>
          <w:color w:val="000000" w:themeColor="text1"/>
        </w:rPr>
        <w:t>Army</w:t>
      </w:r>
      <w:r w:rsidRPr="00BA4A38">
        <w:rPr>
          <w:caps/>
          <w:color w:val="000000" w:themeColor="text1"/>
        </w:rPr>
        <w:t xml:space="preserve"> </w:t>
      </w:r>
    </w:p>
    <w:p w:rsidR="0095270D" w:rsidRDefault="00A81D29" w:rsidP="0095270D">
      <w:pPr>
        <w:tabs>
          <w:tab w:val="left" w:pos="288"/>
          <w:tab w:val="left" w:pos="5130"/>
        </w:tabs>
        <w:jc w:val="both"/>
        <w:rPr>
          <w:color w:val="000000" w:themeColor="text1"/>
        </w:rPr>
      </w:pPr>
      <w:r>
        <w:rPr>
          <w:caps/>
          <w:color w:val="000000" w:themeColor="text1"/>
        </w:rPr>
        <w:t>CASE NUMBER:  PD12</w:t>
      </w:r>
      <w:r w:rsidR="0095270D">
        <w:rPr>
          <w:caps/>
          <w:color w:val="000000" w:themeColor="text1"/>
        </w:rPr>
        <w:t>00</w:t>
      </w:r>
      <w:r w:rsidR="0059027D">
        <w:rPr>
          <w:caps/>
          <w:color w:val="000000" w:themeColor="text1"/>
        </w:rPr>
        <w:t>776</w:t>
      </w:r>
      <w:r w:rsidR="0095270D" w:rsidRPr="001F29F9">
        <w:rPr>
          <w:color w:val="000000" w:themeColor="text1"/>
        </w:rPr>
        <w:t xml:space="preserve">                            </w:t>
      </w:r>
      <w:r w:rsidR="0095270D">
        <w:rPr>
          <w:color w:val="000000" w:themeColor="text1"/>
        </w:rPr>
        <w:tab/>
      </w:r>
      <w:r w:rsidR="0095270D">
        <w:rPr>
          <w:color w:val="000000" w:themeColor="text1"/>
        </w:rPr>
        <w:tab/>
        <w:t xml:space="preserve">          </w:t>
      </w:r>
      <w:r w:rsidR="0095270D" w:rsidRPr="001F29F9">
        <w:rPr>
          <w:color w:val="000000" w:themeColor="text1"/>
        </w:rPr>
        <w:t xml:space="preserve"> SEPARATION DATE:  200</w:t>
      </w:r>
      <w:r w:rsidR="00FE44C3">
        <w:rPr>
          <w:color w:val="000000" w:themeColor="text1"/>
        </w:rPr>
        <w:t>20303</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 xml:space="preserve">BOARD </w:t>
      </w:r>
      <w:r w:rsidR="008B71F1">
        <w:rPr>
          <w:caps/>
          <w:color w:val="000000"/>
        </w:rPr>
        <w:t>DATE:  2012</w:t>
      </w:r>
      <w:r w:rsidR="00AE3932">
        <w:rPr>
          <w:caps/>
          <w:color w:val="000000"/>
        </w:rPr>
        <w:t>1016</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215DEF">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932549">
        <w:rPr>
          <w:color w:val="000000"/>
        </w:rPr>
        <w:t>an active duty</w:t>
      </w:r>
      <w:r w:rsidRPr="001F29F9">
        <w:rPr>
          <w:color w:val="000000"/>
        </w:rPr>
        <w:t xml:space="preserve"> </w:t>
      </w:r>
      <w:r w:rsidR="00932549">
        <w:rPr>
          <w:color w:val="000000"/>
        </w:rPr>
        <w:t>SPC</w:t>
      </w:r>
      <w:r w:rsidR="00D41EC4">
        <w:rPr>
          <w:color w:val="000000"/>
        </w:rPr>
        <w:t>/E-4</w:t>
      </w:r>
      <w:r w:rsidR="00932549">
        <w:rPr>
          <w:color w:val="000000"/>
        </w:rPr>
        <w:t xml:space="preserve"> (63B</w:t>
      </w:r>
      <w:r w:rsidRPr="001F29F9">
        <w:rPr>
          <w:color w:val="000000"/>
        </w:rPr>
        <w:t xml:space="preserve">, </w:t>
      </w:r>
      <w:r w:rsidR="00932549">
        <w:rPr>
          <w:color w:val="000000"/>
        </w:rPr>
        <w:t>Wheeled Vehicle Mechanic</w:t>
      </w:r>
      <w:r w:rsidR="00A70270">
        <w:rPr>
          <w:color w:val="000000"/>
        </w:rPr>
        <w:t>)</w:t>
      </w:r>
      <w:r w:rsidR="00565636">
        <w:rPr>
          <w:color w:val="000000"/>
        </w:rPr>
        <w:t>,</w:t>
      </w:r>
      <w:r w:rsidR="00A70270">
        <w:rPr>
          <w:color w:val="000000"/>
        </w:rPr>
        <w:t xml:space="preserve"> </w:t>
      </w:r>
      <w:r w:rsidRPr="001F29F9">
        <w:rPr>
          <w:color w:val="000000"/>
        </w:rPr>
        <w:t xml:space="preserve">medically separated for </w:t>
      </w:r>
      <w:r w:rsidR="001E572D">
        <w:rPr>
          <w:color w:val="000000"/>
        </w:rPr>
        <w:t xml:space="preserve">right knee </w:t>
      </w:r>
      <w:r w:rsidR="00665CDF">
        <w:rPr>
          <w:color w:val="000000"/>
        </w:rPr>
        <w:t>pain</w:t>
      </w:r>
      <w:r w:rsidRPr="001F29F9">
        <w:rPr>
          <w:color w:val="000000"/>
        </w:rPr>
        <w:t xml:space="preserve">. </w:t>
      </w:r>
      <w:r w:rsidR="0059027D">
        <w:rPr>
          <w:color w:val="000000"/>
        </w:rPr>
        <w:t xml:space="preserve"> </w:t>
      </w:r>
      <w:r w:rsidR="00665CDF">
        <w:rPr>
          <w:color w:val="000000"/>
        </w:rPr>
        <w:t xml:space="preserve">The condition began in 1999 as a consequence of </w:t>
      </w:r>
      <w:r w:rsidR="00665CDF" w:rsidRPr="00665CDF">
        <w:rPr>
          <w:color w:val="000000"/>
        </w:rPr>
        <w:t>injury</w:t>
      </w:r>
      <w:r w:rsidR="00C35211" w:rsidRPr="00665CDF">
        <w:rPr>
          <w:color w:val="000000"/>
        </w:rPr>
        <w:t xml:space="preserve">.  </w:t>
      </w:r>
      <w:r w:rsidR="00665CDF" w:rsidRPr="00665CDF">
        <w:rPr>
          <w:color w:val="auto"/>
          <w:szCs w:val="24"/>
        </w:rPr>
        <w:t>He did not respond adequately to operative and rehabilitative treatment and was unable t</w:t>
      </w:r>
      <w:r w:rsidR="00665CDF" w:rsidRPr="00665CDF">
        <w:rPr>
          <w:color w:val="auto"/>
        </w:rPr>
        <w:t xml:space="preserve">o meet the physical requirements of his Military Occupational Specialty (MOS) or satisfy physical fitness standards.  </w:t>
      </w:r>
      <w:r w:rsidR="009C12A1" w:rsidRPr="00665CDF">
        <w:rPr>
          <w:color w:val="000000"/>
        </w:rPr>
        <w:t>He</w:t>
      </w:r>
      <w:r w:rsidR="009C12A1">
        <w:rPr>
          <w:color w:val="000000"/>
        </w:rPr>
        <w:t xml:space="preserve"> </w:t>
      </w:r>
      <w:r w:rsidR="00F566B7" w:rsidRPr="00F566B7">
        <w:rPr>
          <w:color w:val="000000"/>
        </w:rPr>
        <w:t xml:space="preserve">was issued a permanent </w:t>
      </w:r>
      <w:r w:rsidR="00F566B7" w:rsidRPr="009220DC">
        <w:rPr>
          <w:color w:val="000000"/>
        </w:rPr>
        <w:t>L3</w:t>
      </w:r>
      <w:r w:rsidR="00F566B7" w:rsidRPr="00F566B7">
        <w:rPr>
          <w:color w:val="000000"/>
        </w:rPr>
        <w:t xml:space="preserve"> profile and</w:t>
      </w:r>
      <w:r w:rsidR="009C12A1">
        <w:rPr>
          <w:color w:val="000000"/>
        </w:rPr>
        <w:t xml:space="preserve"> </w:t>
      </w:r>
      <w:r w:rsidR="00F566B7" w:rsidRPr="00F566B7">
        <w:rPr>
          <w:color w:val="000000"/>
        </w:rPr>
        <w:t xml:space="preserve">referred for a Medical Evaluation Board (MEB).  The </w:t>
      </w:r>
      <w:r w:rsidR="009220DC">
        <w:rPr>
          <w:color w:val="000000"/>
        </w:rPr>
        <w:t>right knee</w:t>
      </w:r>
      <w:r w:rsidR="00F566B7" w:rsidRPr="00F566B7">
        <w:rPr>
          <w:color w:val="000000"/>
        </w:rPr>
        <w:t xml:space="preserve"> condition</w:t>
      </w:r>
      <w:r w:rsidR="00B63EAE">
        <w:rPr>
          <w:color w:val="000000"/>
        </w:rPr>
        <w:t>,</w:t>
      </w:r>
      <w:r w:rsidR="00F566B7" w:rsidRPr="00F566B7">
        <w:rPr>
          <w:color w:val="000000"/>
        </w:rPr>
        <w:t xml:space="preserve"> </w:t>
      </w:r>
      <w:r w:rsidR="00F566B7" w:rsidRPr="00215DEF">
        <w:rPr>
          <w:color w:val="000000"/>
        </w:rPr>
        <w:t>characterized as “</w:t>
      </w:r>
      <w:r w:rsidR="005E7374">
        <w:rPr>
          <w:color w:val="000000"/>
        </w:rPr>
        <w:t>p</w:t>
      </w:r>
      <w:r w:rsidR="00215DEF">
        <w:rPr>
          <w:color w:val="000000"/>
        </w:rPr>
        <w:t>atellofemoral c</w:t>
      </w:r>
      <w:r w:rsidR="00215DEF" w:rsidRPr="00215DEF">
        <w:rPr>
          <w:color w:val="000000"/>
        </w:rPr>
        <w:t>hondromalacia,</w:t>
      </w:r>
      <w:r w:rsidR="00215DEF">
        <w:rPr>
          <w:color w:val="000000"/>
        </w:rPr>
        <w:t xml:space="preserve"> right knee, s</w:t>
      </w:r>
      <w:r w:rsidR="00215DEF" w:rsidRPr="00215DEF">
        <w:rPr>
          <w:color w:val="000000"/>
        </w:rPr>
        <w:t>evere</w:t>
      </w:r>
      <w:r w:rsidR="00F566B7" w:rsidRPr="00215DEF">
        <w:rPr>
          <w:color w:val="000000"/>
        </w:rPr>
        <w:t>”</w:t>
      </w:r>
      <w:r w:rsidR="00B63EAE">
        <w:rPr>
          <w:color w:val="000000"/>
        </w:rPr>
        <w:t xml:space="preserve">, </w:t>
      </w:r>
      <w:r w:rsidR="00F566B7" w:rsidRPr="00F566B7">
        <w:rPr>
          <w:color w:val="000000"/>
        </w:rPr>
        <w:t xml:space="preserve">was forwarded to the Physical Evaluation Board (PEB) as medically unacceptable </w:t>
      </w:r>
      <w:r w:rsidR="00F566B7" w:rsidRPr="00385708">
        <w:rPr>
          <w:color w:val="000000"/>
        </w:rPr>
        <w:t xml:space="preserve">IAW </w:t>
      </w:r>
      <w:r w:rsidR="00F566B7" w:rsidRPr="00215DEF">
        <w:rPr>
          <w:color w:val="000000"/>
        </w:rPr>
        <w:t>AR 40-501.</w:t>
      </w:r>
      <w:r w:rsidR="00F566B7" w:rsidRPr="00F566B7">
        <w:rPr>
          <w:color w:val="000000"/>
        </w:rPr>
        <w:t xml:space="preserve">  No other condi</w:t>
      </w:r>
      <w:r w:rsidR="00B63EAE">
        <w:rPr>
          <w:color w:val="000000"/>
        </w:rPr>
        <w:t>tions were submitted by the MEB</w:t>
      </w:r>
      <w:r w:rsidR="00F566B7" w:rsidRPr="00F566B7">
        <w:rPr>
          <w:color w:val="000000"/>
        </w:rPr>
        <w:t>.</w:t>
      </w:r>
      <w:r w:rsidR="00F566B7">
        <w:rPr>
          <w:color w:val="000000"/>
        </w:rPr>
        <w:t xml:space="preserve">  </w:t>
      </w:r>
      <w:r w:rsidRPr="001F29F9">
        <w:rPr>
          <w:color w:val="000000"/>
        </w:rPr>
        <w:t xml:space="preserve">The </w:t>
      </w:r>
      <w:r w:rsidRPr="00726F84">
        <w:rPr>
          <w:color w:val="000000"/>
        </w:rPr>
        <w:t xml:space="preserve">PEB adjudicated </w:t>
      </w:r>
      <w:r w:rsidR="000C46B7">
        <w:rPr>
          <w:color w:val="000000"/>
        </w:rPr>
        <w:t>c</w:t>
      </w:r>
      <w:r w:rsidR="00215DEF">
        <w:rPr>
          <w:color w:val="000000"/>
        </w:rPr>
        <w:t xml:space="preserve">hronic right knee pain </w:t>
      </w:r>
      <w:r w:rsidR="008530E3">
        <w:rPr>
          <w:color w:val="000000"/>
        </w:rPr>
        <w:t xml:space="preserve">as unfitting, rated </w:t>
      </w:r>
      <w:r w:rsidRPr="00726F84">
        <w:rPr>
          <w:color w:val="000000"/>
        </w:rPr>
        <w:t>0%</w:t>
      </w:r>
      <w:r w:rsidR="00074E19">
        <w:rPr>
          <w:color w:val="000000"/>
        </w:rPr>
        <w:t xml:space="preserve"> </w:t>
      </w:r>
      <w:r w:rsidR="000C46B7">
        <w:rPr>
          <w:color w:val="000000"/>
        </w:rPr>
        <w:t>with likely</w:t>
      </w:r>
      <w:r w:rsidR="00AE5257">
        <w:rPr>
          <w:color w:val="000000"/>
        </w:rPr>
        <w:t xml:space="preserve"> application of </w:t>
      </w:r>
      <w:r w:rsidR="000C46B7">
        <w:rPr>
          <w:color w:val="000000"/>
        </w:rPr>
        <w:t xml:space="preserve">the </w:t>
      </w:r>
      <w:r w:rsidR="000C46B7" w:rsidRPr="000C46B7">
        <w:rPr>
          <w:color w:val="auto"/>
          <w:szCs w:val="24"/>
        </w:rPr>
        <w:t>US Army Physical Disability Agency (USAPDA) pain policy</w:t>
      </w:r>
      <w:r w:rsidR="00C35211">
        <w:rPr>
          <w:color w:val="000000"/>
        </w:rPr>
        <w:t xml:space="preserve">.  </w:t>
      </w:r>
      <w:r w:rsidR="000446D1">
        <w:rPr>
          <w:color w:val="000000"/>
        </w:rPr>
        <w:t>The CI made no appeals</w:t>
      </w:r>
      <w:r w:rsidRPr="001F29F9">
        <w:rPr>
          <w:color w:val="000000"/>
        </w:rPr>
        <w:t xml:space="preserve"> and was medically </w:t>
      </w:r>
      <w:r w:rsidRPr="00726F84">
        <w:rPr>
          <w:color w:val="000000"/>
        </w:rPr>
        <w:t xml:space="preserve">separated with </w:t>
      </w:r>
      <w:r w:rsidR="000C46B7">
        <w:rPr>
          <w:color w:val="000000"/>
        </w:rPr>
        <w:t>a 0%</w:t>
      </w:r>
      <w:r w:rsidR="006E154E">
        <w:rPr>
          <w:color w:val="000000"/>
        </w:rPr>
        <w:t xml:space="preserve"> </w:t>
      </w:r>
      <w:r w:rsidRPr="001F29F9">
        <w:rPr>
          <w:color w:val="000000"/>
        </w:rPr>
        <w:t>disability rating.</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C246EE" w:rsidRDefault="00AD2379" w:rsidP="00BF0E94">
      <w:pPr>
        <w:tabs>
          <w:tab w:val="left" w:pos="288"/>
          <w:tab w:val="left" w:pos="4752"/>
        </w:tabs>
        <w:jc w:val="both"/>
        <w:rPr>
          <w:i/>
          <w:color w:val="000000" w:themeColor="text1"/>
          <w:highlight w:val="cyan"/>
        </w:rPr>
      </w:pPr>
      <w:r w:rsidRPr="001F29F9">
        <w:rPr>
          <w:color w:val="000000"/>
          <w:u w:val="single"/>
        </w:rPr>
        <w:t>CI CONTENTION</w:t>
      </w:r>
      <w:r w:rsidRPr="001F29F9">
        <w:rPr>
          <w:color w:val="000000"/>
        </w:rPr>
        <w:t>:</w:t>
      </w:r>
      <w:r w:rsidR="002510F4">
        <w:rPr>
          <w:color w:val="000000"/>
        </w:rPr>
        <w:t xml:space="preserve"> </w:t>
      </w:r>
      <w:r w:rsidRPr="00726F84">
        <w:rPr>
          <w:color w:val="000000"/>
        </w:rPr>
        <w:t xml:space="preserve"> </w:t>
      </w:r>
      <w:r w:rsidR="00773C45">
        <w:rPr>
          <w:color w:val="000000"/>
        </w:rPr>
        <w:t>“</w:t>
      </w:r>
      <w:r w:rsidR="00AE5257">
        <w:rPr>
          <w:color w:val="000000"/>
        </w:rPr>
        <w:t xml:space="preserve">The pain I have every day is not reflected in my medical records or a doctors findings. </w:t>
      </w:r>
      <w:r w:rsidR="00C35211">
        <w:rPr>
          <w:color w:val="000000"/>
        </w:rPr>
        <w:t xml:space="preserve"> </w:t>
      </w:r>
      <w:r w:rsidR="00AE5257">
        <w:rPr>
          <w:color w:val="000000"/>
        </w:rPr>
        <w:t>Additional pain is being caused by the service connected disabilities from my body compensating.</w:t>
      </w:r>
      <w:r w:rsidR="00773C45">
        <w:rPr>
          <w:color w:val="000000"/>
        </w:rPr>
        <w:t>”</w:t>
      </w:r>
      <w:r w:rsidR="00AE5257">
        <w:rPr>
          <w:color w:val="000000"/>
        </w:rPr>
        <w:t xml:space="preserve"> </w:t>
      </w:r>
      <w:r w:rsidR="00AE5257" w:rsidRPr="00AE5257">
        <w:rPr>
          <w:i/>
          <w:color w:val="000000"/>
        </w:rPr>
        <w:t>[</w:t>
      </w:r>
      <w:proofErr w:type="gramStart"/>
      <w:r w:rsidR="00AE5257" w:rsidRPr="00AE5257">
        <w:rPr>
          <w:i/>
          <w:color w:val="000000"/>
        </w:rPr>
        <w:t>sic</w:t>
      </w:r>
      <w:proofErr w:type="gramEnd"/>
      <w:r w:rsidR="00AE5257" w:rsidRPr="00AE5257">
        <w:rPr>
          <w:i/>
          <w:color w:val="000000"/>
        </w:rPr>
        <w:t>]</w:t>
      </w:r>
      <w:r w:rsidR="00C35211">
        <w:rPr>
          <w:i/>
          <w:color w:val="000000"/>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9203A8" w:rsidRDefault="00F14638" w:rsidP="00F14638">
      <w:pPr>
        <w:jc w:val="both"/>
        <w:rPr>
          <w:rFonts w:eastAsia="Calibri" w:cs="Times New Roman"/>
          <w:color w:val="auto"/>
          <w:szCs w:val="24"/>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DD44EA" w:rsidRPr="00C246EE">
        <w:rPr>
          <w:color w:val="000000"/>
        </w:rPr>
        <w:t>Department of Defense Instruction (</w:t>
      </w:r>
      <w:proofErr w:type="spellStart"/>
      <w:r w:rsidR="00DD44EA" w:rsidRPr="00C246EE">
        <w:rPr>
          <w:color w:val="000000"/>
        </w:rPr>
        <w:t>DoDI</w:t>
      </w:r>
      <w:proofErr w:type="spellEnd"/>
      <w:r w:rsidR="00DD44EA" w:rsidRPr="00C246EE">
        <w:rPr>
          <w:color w:val="000000"/>
        </w:rPr>
        <w:t>)</w:t>
      </w:r>
      <w:r w:rsidR="00DD44EA">
        <w:rPr>
          <w:color w:val="000000"/>
        </w:rPr>
        <w:t xml:space="preserve"> </w:t>
      </w:r>
      <w:r>
        <w:rPr>
          <w:color w:val="auto"/>
        </w:rPr>
        <w:t xml:space="preserve">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60D56">
        <w:rPr>
          <w:color w:val="auto"/>
        </w:rPr>
        <w:t>”</w:t>
      </w:r>
      <w:r w:rsidR="000C46B7">
        <w:rPr>
          <w:color w:val="auto"/>
        </w:rPr>
        <w:t xml:space="preserve"> </w:t>
      </w:r>
      <w:r w:rsidR="00C35211">
        <w:rPr>
          <w:color w:val="auto"/>
        </w:rPr>
        <w:t xml:space="preserve"> </w:t>
      </w:r>
      <w:r w:rsidR="007029FD" w:rsidRPr="00C566C9">
        <w:rPr>
          <w:color w:val="auto"/>
        </w:rPr>
        <w:t>Any condition</w:t>
      </w:r>
      <w:r w:rsidR="007029FD">
        <w:rPr>
          <w:color w:val="auto"/>
        </w:rPr>
        <w:t>s</w:t>
      </w:r>
      <w:r w:rsidR="007029FD" w:rsidRPr="00C566C9">
        <w:rPr>
          <w:color w:val="auto"/>
        </w:rPr>
        <w:t xml:space="preserve"> or contention not requested in this application</w:t>
      </w:r>
      <w:r w:rsidR="007029FD">
        <w:rPr>
          <w:color w:val="auto"/>
        </w:rPr>
        <w:t>, or</w:t>
      </w:r>
      <w:r w:rsidR="007029FD" w:rsidRPr="00C566C9">
        <w:rPr>
          <w:color w:val="auto"/>
        </w:rPr>
        <w:t xml:space="preserve"> otherwise outside the Board’s defined scope of review</w:t>
      </w:r>
      <w:r w:rsidR="007029FD">
        <w:rPr>
          <w:color w:val="auto"/>
        </w:rPr>
        <w:t>, remain</w:t>
      </w:r>
      <w:r w:rsidR="007029FD" w:rsidRPr="00C566C9">
        <w:rPr>
          <w:color w:val="auto"/>
        </w:rPr>
        <w:t xml:space="preserve"> eligible for future consideration by </w:t>
      </w:r>
      <w:r w:rsidR="007029FD" w:rsidRPr="008B71F1">
        <w:rPr>
          <w:color w:val="auto"/>
        </w:rPr>
        <w:t xml:space="preserve">the </w:t>
      </w:r>
      <w:r w:rsidR="00960D56">
        <w:rPr>
          <w:color w:val="auto"/>
        </w:rPr>
        <w:t>Army</w:t>
      </w:r>
      <w:r w:rsidR="007029FD" w:rsidRPr="008B71F1">
        <w:rPr>
          <w:color w:val="auto"/>
        </w:rPr>
        <w:t xml:space="preserve"> Board for Corre</w:t>
      </w:r>
      <w:r w:rsidR="008B71F1" w:rsidRPr="008B71F1">
        <w:rPr>
          <w:color w:val="auto"/>
        </w:rPr>
        <w:t>ction of Military Records</w:t>
      </w:r>
      <w:r w:rsidR="007029FD" w:rsidRPr="008B71F1">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088"/>
        <w:gridCol w:w="1170"/>
        <w:gridCol w:w="720"/>
        <w:gridCol w:w="2610"/>
        <w:gridCol w:w="1080"/>
        <w:gridCol w:w="720"/>
        <w:gridCol w:w="960"/>
      </w:tblGrid>
      <w:tr w:rsidR="00926C0A" w:rsidRPr="000D5DBE" w:rsidTr="00A36444">
        <w:trPr>
          <w:trHeight w:val="170"/>
        </w:trPr>
        <w:tc>
          <w:tcPr>
            <w:tcW w:w="3978" w:type="dxa"/>
            <w:gridSpan w:val="3"/>
            <w:tcBorders>
              <w:right w:val="thinThickThinSmallGap" w:sz="24" w:space="0" w:color="auto"/>
            </w:tcBorders>
            <w:shd w:val="clear" w:color="auto" w:fill="D9D9D9"/>
            <w:vAlign w:val="center"/>
          </w:tcPr>
          <w:p w:rsidR="00926C0A" w:rsidRPr="00947728" w:rsidRDefault="00AB0659" w:rsidP="00926C0A">
            <w:pPr>
              <w:contextualSpacing/>
              <w:rPr>
                <w:rFonts w:cs="Calibri"/>
                <w:b/>
                <w:color w:val="auto"/>
                <w:sz w:val="18"/>
              </w:rPr>
            </w:pPr>
            <w:r>
              <w:rPr>
                <w:b/>
                <w:color w:val="auto"/>
                <w:sz w:val="18"/>
              </w:rPr>
              <w:t xml:space="preserve">Service </w:t>
            </w:r>
            <w:r w:rsidR="00926C0A" w:rsidRPr="00947728">
              <w:rPr>
                <w:b/>
                <w:color w:val="auto"/>
                <w:sz w:val="18"/>
              </w:rPr>
              <w:t>PEB – Dated 20</w:t>
            </w:r>
            <w:r w:rsidR="008B71F1">
              <w:rPr>
                <w:b/>
                <w:color w:val="auto"/>
                <w:sz w:val="18"/>
              </w:rPr>
              <w:t>20109</w:t>
            </w:r>
          </w:p>
        </w:tc>
        <w:tc>
          <w:tcPr>
            <w:tcW w:w="5370" w:type="dxa"/>
            <w:gridSpan w:val="4"/>
            <w:tcBorders>
              <w:left w:val="thinThickThinSmallGap" w:sz="24" w:space="0" w:color="auto"/>
            </w:tcBorders>
            <w:shd w:val="clear" w:color="auto" w:fill="D9D9D9"/>
            <w:vAlign w:val="center"/>
          </w:tcPr>
          <w:p w:rsidR="00926C0A" w:rsidRPr="00947728" w:rsidRDefault="008B71F1" w:rsidP="00C35211">
            <w:pPr>
              <w:contextualSpacing/>
              <w:rPr>
                <w:rFonts w:cs="Calibri"/>
                <w:b/>
                <w:color w:val="auto"/>
                <w:sz w:val="18"/>
              </w:rPr>
            </w:pPr>
            <w:r>
              <w:rPr>
                <w:b/>
                <w:color w:val="auto"/>
                <w:sz w:val="18"/>
              </w:rPr>
              <w:t>VA (</w:t>
            </w:r>
            <w:r w:rsidR="00926C0A" w:rsidRPr="00947728">
              <w:rPr>
                <w:b/>
                <w:color w:val="auto"/>
                <w:sz w:val="18"/>
              </w:rPr>
              <w:t xml:space="preserve"> </w:t>
            </w:r>
            <w:r>
              <w:rPr>
                <w:b/>
                <w:color w:val="auto"/>
                <w:sz w:val="18"/>
              </w:rPr>
              <w:t>~2</w:t>
            </w:r>
            <w:r w:rsidR="00C35211">
              <w:rPr>
                <w:b/>
                <w:color w:val="auto"/>
                <w:sz w:val="18"/>
              </w:rPr>
              <w:t xml:space="preserve"> ½ </w:t>
            </w:r>
            <w:r w:rsidR="00926C0A" w:rsidRPr="00947728">
              <w:rPr>
                <w:b/>
                <w:color w:val="auto"/>
                <w:sz w:val="18"/>
              </w:rPr>
              <w:t>Mo. Post-Separation) –</w:t>
            </w:r>
            <w:r w:rsidR="00575F32">
              <w:rPr>
                <w:b/>
                <w:color w:val="auto"/>
                <w:sz w:val="18"/>
              </w:rPr>
              <w:t xml:space="preserve"> </w:t>
            </w:r>
            <w:r w:rsidR="00926C0A" w:rsidRPr="00947728">
              <w:rPr>
                <w:b/>
                <w:color w:val="auto"/>
                <w:sz w:val="18"/>
              </w:rPr>
              <w:t>Effective 200</w:t>
            </w:r>
            <w:r>
              <w:rPr>
                <w:b/>
                <w:color w:val="auto"/>
                <w:sz w:val="18"/>
              </w:rPr>
              <w:t>20304</w:t>
            </w:r>
          </w:p>
        </w:tc>
      </w:tr>
      <w:tr w:rsidR="00261B7E" w:rsidRPr="000D5DBE" w:rsidTr="00A51D6B">
        <w:trPr>
          <w:trHeight w:val="97"/>
        </w:trPr>
        <w:tc>
          <w:tcPr>
            <w:tcW w:w="208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17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261B7E" w:rsidRPr="000D5DBE" w:rsidTr="00A51D6B">
        <w:trPr>
          <w:trHeight w:val="118"/>
        </w:trPr>
        <w:tc>
          <w:tcPr>
            <w:tcW w:w="2088" w:type="dxa"/>
            <w:tcBorders>
              <w:right w:val="single" w:sz="4" w:space="0" w:color="auto"/>
            </w:tcBorders>
            <w:shd w:val="clear" w:color="auto" w:fill="FFFFFF"/>
            <w:vAlign w:val="center"/>
          </w:tcPr>
          <w:p w:rsidR="00AD2379" w:rsidRPr="001F29F9" w:rsidRDefault="008B71F1" w:rsidP="001968BB">
            <w:pPr>
              <w:spacing w:line="220" w:lineRule="exact"/>
              <w:contextualSpacing/>
              <w:jc w:val="left"/>
              <w:rPr>
                <w:rFonts w:cs="Calibri"/>
                <w:color w:val="000000"/>
                <w:sz w:val="18"/>
              </w:rPr>
            </w:pPr>
            <w:r>
              <w:rPr>
                <w:rFonts w:cs="Calibri"/>
                <w:color w:val="000000"/>
                <w:sz w:val="18"/>
              </w:rPr>
              <w:t>Chronic Right Knee Pain</w:t>
            </w:r>
          </w:p>
        </w:tc>
        <w:tc>
          <w:tcPr>
            <w:tcW w:w="1170" w:type="dxa"/>
            <w:tcBorders>
              <w:left w:val="single" w:sz="4" w:space="0" w:color="auto"/>
            </w:tcBorders>
            <w:shd w:val="clear" w:color="auto" w:fill="FFFFFF"/>
            <w:vAlign w:val="center"/>
          </w:tcPr>
          <w:p w:rsidR="00AD2379" w:rsidRPr="001F29F9" w:rsidRDefault="00C35211" w:rsidP="001968BB">
            <w:pPr>
              <w:spacing w:line="220" w:lineRule="exact"/>
              <w:contextualSpacing/>
              <w:rPr>
                <w:rFonts w:cs="Calibri"/>
                <w:color w:val="000000"/>
                <w:sz w:val="18"/>
              </w:rPr>
            </w:pPr>
            <w:r>
              <w:rPr>
                <w:rFonts w:cs="Calibri"/>
                <w:color w:val="000000"/>
                <w:sz w:val="18"/>
              </w:rPr>
              <w:t>5299-</w:t>
            </w:r>
            <w:r w:rsidR="008B71F1">
              <w:rPr>
                <w:rFonts w:cs="Calibri"/>
                <w:color w:val="000000"/>
                <w:sz w:val="18"/>
              </w:rPr>
              <w:t>5003</w:t>
            </w:r>
          </w:p>
        </w:tc>
        <w:tc>
          <w:tcPr>
            <w:tcW w:w="720" w:type="dxa"/>
            <w:tcBorders>
              <w:right w:val="thinThickThinSmallGap" w:sz="24" w:space="0" w:color="auto"/>
            </w:tcBorders>
            <w:shd w:val="clear" w:color="auto" w:fill="FFFFFF"/>
            <w:vAlign w:val="center"/>
          </w:tcPr>
          <w:p w:rsidR="00AD2379" w:rsidRPr="001F29F9" w:rsidRDefault="008B71F1" w:rsidP="001968BB">
            <w:pPr>
              <w:spacing w:line="220" w:lineRule="exact"/>
              <w:rPr>
                <w:rFonts w:cs="Calibri"/>
                <w:color w:val="000000"/>
                <w:sz w:val="18"/>
              </w:rPr>
            </w:pPr>
            <w:r>
              <w:rPr>
                <w:rFonts w:cs="Calibri"/>
                <w:color w:val="000000"/>
                <w:sz w:val="18"/>
              </w:rPr>
              <w:t>0%</w:t>
            </w:r>
          </w:p>
        </w:tc>
        <w:tc>
          <w:tcPr>
            <w:tcW w:w="2610" w:type="dxa"/>
            <w:tcBorders>
              <w:left w:val="thinThickThinSmallGap" w:sz="24" w:space="0" w:color="auto"/>
            </w:tcBorders>
            <w:shd w:val="clear" w:color="auto" w:fill="FFFFFF"/>
            <w:vAlign w:val="center"/>
          </w:tcPr>
          <w:p w:rsidR="00AD2379" w:rsidRPr="002A1415" w:rsidRDefault="00CE39D9" w:rsidP="00CE39D9">
            <w:pPr>
              <w:spacing w:line="220" w:lineRule="exact"/>
              <w:contextualSpacing/>
              <w:jc w:val="left"/>
              <w:rPr>
                <w:rFonts w:cs="Calibri"/>
                <w:color w:val="000000"/>
                <w:sz w:val="18"/>
              </w:rPr>
            </w:pPr>
            <w:r w:rsidRPr="002A1415">
              <w:rPr>
                <w:rFonts w:cs="Calibri"/>
                <w:color w:val="000000"/>
                <w:sz w:val="18"/>
              </w:rPr>
              <w:t xml:space="preserve">Right Knee </w:t>
            </w:r>
            <w:r w:rsidR="008B71F1" w:rsidRPr="002A1415">
              <w:rPr>
                <w:rFonts w:cs="Calibri"/>
                <w:color w:val="000000"/>
                <w:sz w:val="18"/>
              </w:rPr>
              <w:t>Osteoarthritis</w:t>
            </w:r>
          </w:p>
        </w:tc>
        <w:tc>
          <w:tcPr>
            <w:tcW w:w="1080" w:type="dxa"/>
            <w:shd w:val="clear" w:color="auto" w:fill="FFFFFF"/>
            <w:vAlign w:val="center"/>
          </w:tcPr>
          <w:p w:rsidR="00AD2379" w:rsidRPr="002A1415" w:rsidRDefault="00A51D6B" w:rsidP="001968BB">
            <w:pPr>
              <w:spacing w:line="220" w:lineRule="exact"/>
              <w:contextualSpacing/>
              <w:rPr>
                <w:rFonts w:cs="Calibri"/>
                <w:color w:val="000000"/>
                <w:sz w:val="18"/>
              </w:rPr>
            </w:pPr>
            <w:r w:rsidRPr="002A1415">
              <w:rPr>
                <w:rFonts w:cs="Calibri"/>
                <w:color w:val="000000"/>
                <w:sz w:val="18"/>
              </w:rPr>
              <w:t>5003-</w:t>
            </w:r>
            <w:r w:rsidR="008B71F1" w:rsidRPr="002A1415">
              <w:rPr>
                <w:rFonts w:cs="Calibri"/>
                <w:color w:val="000000"/>
                <w:sz w:val="18"/>
              </w:rPr>
              <w:t>5259</w:t>
            </w:r>
          </w:p>
        </w:tc>
        <w:tc>
          <w:tcPr>
            <w:tcW w:w="720" w:type="dxa"/>
            <w:shd w:val="clear" w:color="auto" w:fill="FFFFFF"/>
            <w:vAlign w:val="center"/>
          </w:tcPr>
          <w:p w:rsidR="00AD2379" w:rsidRPr="002A1415" w:rsidRDefault="008B71F1" w:rsidP="001968BB">
            <w:pPr>
              <w:spacing w:line="220" w:lineRule="exact"/>
              <w:contextualSpacing/>
              <w:rPr>
                <w:rFonts w:cs="Calibri"/>
                <w:color w:val="000000"/>
                <w:sz w:val="18"/>
              </w:rPr>
            </w:pPr>
            <w:r w:rsidRPr="002A1415">
              <w:rPr>
                <w:rFonts w:cs="Calibri"/>
                <w:color w:val="000000"/>
                <w:sz w:val="18"/>
              </w:rPr>
              <w:t>10%</w:t>
            </w:r>
            <w:r w:rsidR="00B426B1" w:rsidRPr="002A1415">
              <w:rPr>
                <w:rFonts w:cs="Calibri"/>
                <w:color w:val="000000"/>
                <w:sz w:val="18"/>
              </w:rPr>
              <w:t>*</w:t>
            </w:r>
          </w:p>
        </w:tc>
        <w:tc>
          <w:tcPr>
            <w:tcW w:w="960" w:type="dxa"/>
            <w:shd w:val="clear" w:color="auto" w:fill="FFFFFF"/>
            <w:vAlign w:val="center"/>
          </w:tcPr>
          <w:p w:rsidR="00AD2379" w:rsidRPr="002A1415" w:rsidRDefault="008B71F1" w:rsidP="001968BB">
            <w:pPr>
              <w:spacing w:line="220" w:lineRule="exact"/>
              <w:contextualSpacing/>
              <w:rPr>
                <w:rFonts w:cs="Calibri"/>
                <w:color w:val="000000"/>
                <w:sz w:val="18"/>
              </w:rPr>
            </w:pPr>
            <w:r w:rsidRPr="002A1415">
              <w:rPr>
                <w:rFonts w:cs="Calibri"/>
                <w:color w:val="000000"/>
                <w:sz w:val="18"/>
              </w:rPr>
              <w:t>20020517</w:t>
            </w:r>
          </w:p>
        </w:tc>
      </w:tr>
      <w:tr w:rsidR="00A51D6B" w:rsidRPr="000D5DBE" w:rsidTr="00A51D6B">
        <w:trPr>
          <w:trHeight w:val="97"/>
        </w:trPr>
        <w:tc>
          <w:tcPr>
            <w:tcW w:w="3978" w:type="dxa"/>
            <w:gridSpan w:val="3"/>
            <w:vMerge w:val="restart"/>
            <w:tcBorders>
              <w:right w:val="thinThickThinSmallGap" w:sz="24" w:space="0" w:color="auto"/>
            </w:tcBorders>
            <w:shd w:val="clear" w:color="auto" w:fill="FFFFFF"/>
            <w:vAlign w:val="center"/>
          </w:tcPr>
          <w:p w:rsidR="00A51D6B" w:rsidRDefault="00A51D6B" w:rsidP="00152B75">
            <w:pPr>
              <w:spacing w:line="220" w:lineRule="exact"/>
              <w:contextualSpacing/>
              <w:rPr>
                <w:color w:val="000000"/>
                <w:sz w:val="18"/>
              </w:rPr>
            </w:pPr>
            <w:r>
              <w:rPr>
                <w:rFonts w:cs="Calibri"/>
                <w:color w:val="000000"/>
                <w:sz w:val="18"/>
              </w:rPr>
              <w:t>↓</w:t>
            </w:r>
            <w:r w:rsidRPr="000D5DBE">
              <w:rPr>
                <w:color w:val="000000"/>
                <w:sz w:val="18"/>
              </w:rPr>
              <w:t>No Additional MEB/PEB Entries</w:t>
            </w:r>
            <w:r>
              <w:rPr>
                <w:rFonts w:cs="Calibri"/>
                <w:color w:val="000000"/>
                <w:sz w:val="18"/>
              </w:rPr>
              <w:t>↓</w:t>
            </w:r>
          </w:p>
        </w:tc>
        <w:tc>
          <w:tcPr>
            <w:tcW w:w="2610" w:type="dxa"/>
            <w:tcBorders>
              <w:left w:val="thinThickThinSmallGap" w:sz="24" w:space="0" w:color="auto"/>
              <w:right w:val="single" w:sz="4" w:space="0" w:color="auto"/>
            </w:tcBorders>
            <w:shd w:val="clear" w:color="auto" w:fill="FFFFFF"/>
            <w:vAlign w:val="center"/>
          </w:tcPr>
          <w:p w:rsidR="00A51D6B" w:rsidRDefault="00CE39D9" w:rsidP="00C35211">
            <w:pPr>
              <w:spacing w:line="220" w:lineRule="exact"/>
              <w:contextualSpacing/>
              <w:jc w:val="left"/>
              <w:rPr>
                <w:color w:val="000000"/>
                <w:sz w:val="18"/>
              </w:rPr>
            </w:pPr>
            <w:r>
              <w:rPr>
                <w:color w:val="000000"/>
                <w:sz w:val="18"/>
              </w:rPr>
              <w:t xml:space="preserve">Left Knee </w:t>
            </w:r>
            <w:r w:rsidR="00A51D6B">
              <w:rPr>
                <w:color w:val="000000"/>
                <w:sz w:val="18"/>
              </w:rPr>
              <w:t>Osteoarthritis</w:t>
            </w:r>
          </w:p>
        </w:tc>
        <w:tc>
          <w:tcPr>
            <w:tcW w:w="1080" w:type="dxa"/>
            <w:tcBorders>
              <w:left w:val="single" w:sz="4" w:space="0" w:color="auto"/>
            </w:tcBorders>
            <w:shd w:val="clear" w:color="auto" w:fill="FFFFFF"/>
            <w:vAlign w:val="center"/>
          </w:tcPr>
          <w:p w:rsidR="00A51D6B" w:rsidRDefault="00A51D6B" w:rsidP="00C35211">
            <w:pPr>
              <w:spacing w:line="220" w:lineRule="exact"/>
              <w:contextualSpacing/>
              <w:rPr>
                <w:color w:val="000000"/>
                <w:sz w:val="18"/>
              </w:rPr>
            </w:pPr>
            <w:r>
              <w:rPr>
                <w:color w:val="000000"/>
                <w:sz w:val="18"/>
              </w:rPr>
              <w:t>5003-5260</w:t>
            </w:r>
          </w:p>
        </w:tc>
        <w:tc>
          <w:tcPr>
            <w:tcW w:w="720" w:type="dxa"/>
            <w:shd w:val="clear" w:color="auto" w:fill="FFFFFF"/>
            <w:vAlign w:val="center"/>
          </w:tcPr>
          <w:p w:rsidR="00A51D6B" w:rsidRDefault="00CE39D9" w:rsidP="00C35211">
            <w:pPr>
              <w:spacing w:line="220" w:lineRule="exact"/>
              <w:contextualSpacing/>
              <w:rPr>
                <w:color w:val="000000"/>
                <w:sz w:val="18"/>
              </w:rPr>
            </w:pPr>
            <w:r>
              <w:rPr>
                <w:color w:val="000000"/>
                <w:sz w:val="18"/>
              </w:rPr>
              <w:t>10%</w:t>
            </w:r>
          </w:p>
        </w:tc>
        <w:tc>
          <w:tcPr>
            <w:tcW w:w="960" w:type="dxa"/>
            <w:shd w:val="clear" w:color="auto" w:fill="FFFFFF"/>
            <w:vAlign w:val="center"/>
          </w:tcPr>
          <w:p w:rsidR="00A51D6B" w:rsidRDefault="00CE39D9" w:rsidP="00C35211">
            <w:pPr>
              <w:spacing w:line="220" w:lineRule="exact"/>
              <w:contextualSpacing/>
              <w:rPr>
                <w:color w:val="000000"/>
                <w:sz w:val="18"/>
              </w:rPr>
            </w:pPr>
            <w:r>
              <w:rPr>
                <w:rFonts w:cs="Calibri"/>
                <w:color w:val="000000"/>
                <w:sz w:val="18"/>
              </w:rPr>
              <w:t>20020517</w:t>
            </w:r>
          </w:p>
        </w:tc>
      </w:tr>
      <w:tr w:rsidR="00A51D6B" w:rsidRPr="000D5DBE" w:rsidTr="00A51D6B">
        <w:trPr>
          <w:trHeight w:val="97"/>
        </w:trPr>
        <w:tc>
          <w:tcPr>
            <w:tcW w:w="3978" w:type="dxa"/>
            <w:gridSpan w:val="3"/>
            <w:vMerge/>
            <w:tcBorders>
              <w:right w:val="thinThickThinSmallGap" w:sz="24" w:space="0" w:color="auto"/>
            </w:tcBorders>
            <w:shd w:val="clear" w:color="auto" w:fill="FFFFFF"/>
            <w:vAlign w:val="center"/>
          </w:tcPr>
          <w:p w:rsidR="00A51D6B" w:rsidRPr="00D8352E" w:rsidRDefault="00A51D6B" w:rsidP="00C35211">
            <w:pPr>
              <w:spacing w:line="220" w:lineRule="exact"/>
              <w:contextualSpacing/>
              <w:rPr>
                <w:rFonts w:cs="Calibri"/>
                <w:color w:val="000000"/>
                <w:sz w:val="18"/>
              </w:rPr>
            </w:pPr>
          </w:p>
        </w:tc>
        <w:tc>
          <w:tcPr>
            <w:tcW w:w="2610" w:type="dxa"/>
            <w:tcBorders>
              <w:left w:val="thinThickThinSmallGap" w:sz="24" w:space="0" w:color="auto"/>
              <w:right w:val="single" w:sz="4" w:space="0" w:color="auto"/>
            </w:tcBorders>
            <w:shd w:val="clear" w:color="auto" w:fill="FFFFFF"/>
            <w:vAlign w:val="center"/>
          </w:tcPr>
          <w:p w:rsidR="00A51D6B" w:rsidRPr="001F29F9" w:rsidRDefault="00A51D6B" w:rsidP="00C35211">
            <w:pPr>
              <w:spacing w:line="220" w:lineRule="exact"/>
              <w:contextualSpacing/>
              <w:jc w:val="left"/>
              <w:rPr>
                <w:rFonts w:cs="Calibri"/>
                <w:color w:val="000000"/>
                <w:sz w:val="18"/>
              </w:rPr>
            </w:pPr>
            <w:r>
              <w:rPr>
                <w:rFonts w:cs="Calibri"/>
                <w:color w:val="000000"/>
                <w:sz w:val="18"/>
              </w:rPr>
              <w:t>Tinnitus</w:t>
            </w:r>
          </w:p>
        </w:tc>
        <w:tc>
          <w:tcPr>
            <w:tcW w:w="1080" w:type="dxa"/>
            <w:tcBorders>
              <w:left w:val="single" w:sz="4" w:space="0" w:color="auto"/>
            </w:tcBorders>
            <w:shd w:val="clear" w:color="auto" w:fill="FFFFFF"/>
            <w:vAlign w:val="center"/>
          </w:tcPr>
          <w:p w:rsidR="00A51D6B" w:rsidRPr="001F29F9" w:rsidRDefault="00A51D6B" w:rsidP="00C35211">
            <w:pPr>
              <w:spacing w:line="220" w:lineRule="exact"/>
              <w:contextualSpacing/>
              <w:rPr>
                <w:rFonts w:cs="Calibri"/>
                <w:color w:val="000000"/>
                <w:sz w:val="18"/>
              </w:rPr>
            </w:pPr>
            <w:r>
              <w:rPr>
                <w:rFonts w:cs="Calibri"/>
                <w:color w:val="000000"/>
                <w:sz w:val="18"/>
              </w:rPr>
              <w:t>6260</w:t>
            </w:r>
          </w:p>
        </w:tc>
        <w:tc>
          <w:tcPr>
            <w:tcW w:w="720" w:type="dxa"/>
            <w:shd w:val="clear" w:color="auto" w:fill="FFFFFF"/>
            <w:vAlign w:val="center"/>
          </w:tcPr>
          <w:p w:rsidR="00A51D6B" w:rsidRPr="00D8352E" w:rsidRDefault="00A51D6B" w:rsidP="00C35211">
            <w:pPr>
              <w:spacing w:line="220" w:lineRule="exact"/>
              <w:contextualSpacing/>
              <w:rPr>
                <w:rFonts w:cs="Calibri"/>
                <w:color w:val="000000"/>
                <w:sz w:val="18"/>
              </w:rPr>
            </w:pPr>
            <w:r>
              <w:rPr>
                <w:rFonts w:cs="Calibri"/>
                <w:color w:val="000000"/>
                <w:sz w:val="18"/>
              </w:rPr>
              <w:t>10%</w:t>
            </w:r>
          </w:p>
        </w:tc>
        <w:tc>
          <w:tcPr>
            <w:tcW w:w="960" w:type="dxa"/>
            <w:shd w:val="clear" w:color="auto" w:fill="FFFFFF"/>
            <w:vAlign w:val="center"/>
          </w:tcPr>
          <w:p w:rsidR="00A51D6B" w:rsidRPr="00D8352E" w:rsidRDefault="00A51D6B" w:rsidP="00C35211">
            <w:pPr>
              <w:spacing w:line="220" w:lineRule="exact"/>
              <w:contextualSpacing/>
              <w:rPr>
                <w:rFonts w:cs="Calibri"/>
                <w:color w:val="000000"/>
                <w:sz w:val="18"/>
              </w:rPr>
            </w:pPr>
            <w:r>
              <w:rPr>
                <w:rFonts w:cs="Calibri"/>
                <w:color w:val="000000"/>
                <w:sz w:val="18"/>
              </w:rPr>
              <w:t>200205</w:t>
            </w:r>
            <w:r w:rsidR="00F02A48">
              <w:rPr>
                <w:rFonts w:cs="Calibri"/>
                <w:color w:val="000000"/>
                <w:sz w:val="18"/>
              </w:rPr>
              <w:t>21</w:t>
            </w:r>
          </w:p>
        </w:tc>
      </w:tr>
      <w:tr w:rsidR="00A51D6B" w:rsidRPr="000D5DBE" w:rsidTr="00A51D6B">
        <w:trPr>
          <w:trHeight w:val="97"/>
        </w:trPr>
        <w:tc>
          <w:tcPr>
            <w:tcW w:w="3978" w:type="dxa"/>
            <w:gridSpan w:val="3"/>
            <w:vMerge/>
            <w:tcBorders>
              <w:right w:val="thinThickThinSmallGap" w:sz="24" w:space="0" w:color="auto"/>
            </w:tcBorders>
            <w:shd w:val="clear" w:color="auto" w:fill="FFFFFF"/>
            <w:vAlign w:val="center"/>
          </w:tcPr>
          <w:p w:rsidR="00A51D6B" w:rsidRPr="00D8352E" w:rsidRDefault="00A51D6B" w:rsidP="00C35211">
            <w:pPr>
              <w:spacing w:line="220" w:lineRule="exact"/>
              <w:contextualSpacing/>
              <w:rPr>
                <w:color w:val="000000"/>
                <w:sz w:val="18"/>
              </w:rPr>
            </w:pPr>
          </w:p>
        </w:tc>
        <w:tc>
          <w:tcPr>
            <w:tcW w:w="2610" w:type="dxa"/>
            <w:tcBorders>
              <w:left w:val="thinThickThinSmallGap" w:sz="24" w:space="0" w:color="auto"/>
              <w:right w:val="single" w:sz="4" w:space="0" w:color="auto"/>
            </w:tcBorders>
            <w:shd w:val="clear" w:color="auto" w:fill="FFFFFF"/>
            <w:vAlign w:val="center"/>
          </w:tcPr>
          <w:p w:rsidR="00A51D6B" w:rsidRDefault="00A51D6B" w:rsidP="00CE39D9">
            <w:pPr>
              <w:spacing w:line="220" w:lineRule="exact"/>
              <w:contextualSpacing/>
              <w:jc w:val="left"/>
              <w:rPr>
                <w:color w:val="000000"/>
                <w:sz w:val="18"/>
              </w:rPr>
            </w:pPr>
            <w:r>
              <w:rPr>
                <w:color w:val="000000"/>
                <w:sz w:val="18"/>
              </w:rPr>
              <w:t>Lumbar</w:t>
            </w:r>
            <w:r w:rsidR="00CE39D9">
              <w:rPr>
                <w:color w:val="000000"/>
                <w:sz w:val="18"/>
              </w:rPr>
              <w:t xml:space="preserve"> Spine Spondylosis</w:t>
            </w:r>
          </w:p>
        </w:tc>
        <w:tc>
          <w:tcPr>
            <w:tcW w:w="1080" w:type="dxa"/>
            <w:tcBorders>
              <w:left w:val="single" w:sz="4" w:space="0" w:color="auto"/>
            </w:tcBorders>
            <w:shd w:val="clear" w:color="auto" w:fill="FFFFFF"/>
            <w:vAlign w:val="center"/>
          </w:tcPr>
          <w:p w:rsidR="00A51D6B" w:rsidRDefault="00CE39D9" w:rsidP="00C35211">
            <w:pPr>
              <w:spacing w:line="220" w:lineRule="exact"/>
              <w:contextualSpacing/>
              <w:rPr>
                <w:color w:val="000000"/>
                <w:sz w:val="18"/>
              </w:rPr>
            </w:pPr>
            <w:r>
              <w:rPr>
                <w:color w:val="000000"/>
                <w:sz w:val="18"/>
              </w:rPr>
              <w:t>5299-</w:t>
            </w:r>
            <w:r w:rsidR="00A51D6B">
              <w:rPr>
                <w:color w:val="000000"/>
                <w:sz w:val="18"/>
              </w:rPr>
              <w:t>5292</w:t>
            </w:r>
          </w:p>
        </w:tc>
        <w:tc>
          <w:tcPr>
            <w:tcW w:w="720" w:type="dxa"/>
            <w:shd w:val="clear" w:color="auto" w:fill="FFFFFF"/>
            <w:vAlign w:val="center"/>
          </w:tcPr>
          <w:p w:rsidR="00A51D6B" w:rsidRDefault="00A51D6B" w:rsidP="00C35211">
            <w:pPr>
              <w:spacing w:line="220" w:lineRule="exact"/>
              <w:contextualSpacing/>
              <w:rPr>
                <w:color w:val="000000"/>
                <w:sz w:val="18"/>
              </w:rPr>
            </w:pPr>
            <w:r>
              <w:rPr>
                <w:color w:val="000000"/>
                <w:sz w:val="18"/>
              </w:rPr>
              <w:t>10%</w:t>
            </w:r>
            <w:r w:rsidR="00B426B1">
              <w:rPr>
                <w:color w:val="000000"/>
                <w:sz w:val="18"/>
              </w:rPr>
              <w:t>**</w:t>
            </w:r>
          </w:p>
        </w:tc>
        <w:tc>
          <w:tcPr>
            <w:tcW w:w="960" w:type="dxa"/>
            <w:shd w:val="clear" w:color="auto" w:fill="FFFFFF"/>
            <w:vAlign w:val="center"/>
          </w:tcPr>
          <w:p w:rsidR="00A51D6B" w:rsidRPr="00D8352E" w:rsidRDefault="00A51D6B" w:rsidP="00C35211">
            <w:pPr>
              <w:spacing w:line="220" w:lineRule="exact"/>
              <w:contextualSpacing/>
              <w:rPr>
                <w:color w:val="000000"/>
                <w:sz w:val="18"/>
              </w:rPr>
            </w:pPr>
            <w:r>
              <w:rPr>
                <w:rFonts w:cs="Calibri"/>
                <w:color w:val="000000"/>
                <w:sz w:val="18"/>
              </w:rPr>
              <w:t>20020517</w:t>
            </w:r>
          </w:p>
        </w:tc>
      </w:tr>
      <w:tr w:rsidR="00CE39D9" w:rsidRPr="000D5DBE" w:rsidTr="005B569D">
        <w:trPr>
          <w:trHeight w:val="97"/>
        </w:trPr>
        <w:tc>
          <w:tcPr>
            <w:tcW w:w="3978" w:type="dxa"/>
            <w:gridSpan w:val="3"/>
            <w:vMerge/>
            <w:tcBorders>
              <w:right w:val="thinThickThinSmallGap" w:sz="24" w:space="0" w:color="auto"/>
            </w:tcBorders>
            <w:shd w:val="clear" w:color="auto" w:fill="FFFFFF"/>
            <w:vAlign w:val="center"/>
          </w:tcPr>
          <w:p w:rsidR="00CE39D9" w:rsidRPr="00D8352E" w:rsidRDefault="00CE39D9" w:rsidP="00C35211">
            <w:pPr>
              <w:spacing w:line="220" w:lineRule="exact"/>
              <w:contextualSpacing/>
              <w:rPr>
                <w:color w:val="000000"/>
                <w:sz w:val="18"/>
              </w:rPr>
            </w:pPr>
          </w:p>
        </w:tc>
        <w:tc>
          <w:tcPr>
            <w:tcW w:w="4410" w:type="dxa"/>
            <w:gridSpan w:val="3"/>
            <w:tcBorders>
              <w:left w:val="thinThickThinSmallGap" w:sz="24" w:space="0" w:color="auto"/>
            </w:tcBorders>
            <w:shd w:val="clear" w:color="auto" w:fill="FFFFFF"/>
            <w:vAlign w:val="center"/>
          </w:tcPr>
          <w:p w:rsidR="00CE39D9" w:rsidRDefault="00CE39D9" w:rsidP="00CE39D9">
            <w:pPr>
              <w:spacing w:line="220" w:lineRule="exact"/>
              <w:contextualSpacing/>
              <w:rPr>
                <w:color w:val="000000"/>
                <w:sz w:val="18"/>
              </w:rPr>
            </w:pPr>
            <w:r>
              <w:rPr>
                <w:color w:val="000000"/>
                <w:sz w:val="18"/>
              </w:rPr>
              <w:t>0% x 3</w:t>
            </w:r>
          </w:p>
        </w:tc>
        <w:tc>
          <w:tcPr>
            <w:tcW w:w="960" w:type="dxa"/>
            <w:shd w:val="clear" w:color="auto" w:fill="FFFFFF"/>
            <w:vAlign w:val="center"/>
          </w:tcPr>
          <w:p w:rsidR="00CE39D9" w:rsidRPr="00D8352E" w:rsidRDefault="00CE39D9" w:rsidP="00C35211">
            <w:pPr>
              <w:spacing w:line="220" w:lineRule="exact"/>
              <w:contextualSpacing/>
              <w:rPr>
                <w:color w:val="000000"/>
                <w:sz w:val="18"/>
              </w:rPr>
            </w:pPr>
            <w:r>
              <w:rPr>
                <w:rFonts w:cs="Calibri"/>
                <w:color w:val="000000"/>
                <w:sz w:val="18"/>
              </w:rPr>
              <w:t>20020517</w:t>
            </w:r>
          </w:p>
        </w:tc>
      </w:tr>
      <w:tr w:rsidR="00C35211" w:rsidRPr="000D5DBE" w:rsidTr="00A36444">
        <w:trPr>
          <w:trHeight w:val="124"/>
        </w:trPr>
        <w:tc>
          <w:tcPr>
            <w:tcW w:w="3978" w:type="dxa"/>
            <w:gridSpan w:val="3"/>
            <w:tcBorders>
              <w:right w:val="thinThickThinSmallGap" w:sz="24" w:space="0" w:color="auto"/>
            </w:tcBorders>
            <w:shd w:val="clear" w:color="auto" w:fill="D9D9D9"/>
          </w:tcPr>
          <w:p w:rsidR="00C35211" w:rsidRPr="000D5DBE" w:rsidRDefault="00C35211" w:rsidP="00C35211">
            <w:pPr>
              <w:contextualSpacing/>
              <w:rPr>
                <w:rFonts w:cs="Calibri"/>
                <w:b/>
                <w:color w:val="000000"/>
                <w:sz w:val="18"/>
              </w:rPr>
            </w:pPr>
            <w:r>
              <w:rPr>
                <w:b/>
                <w:color w:val="000000"/>
                <w:sz w:val="18"/>
              </w:rPr>
              <w:t>Combined:  x</w:t>
            </w:r>
            <w:r w:rsidRPr="000D5DBE">
              <w:rPr>
                <w:b/>
                <w:color w:val="000000"/>
                <w:sz w:val="18"/>
              </w:rPr>
              <w:t>0%</w:t>
            </w:r>
          </w:p>
        </w:tc>
        <w:tc>
          <w:tcPr>
            <w:tcW w:w="5370" w:type="dxa"/>
            <w:gridSpan w:val="4"/>
            <w:tcBorders>
              <w:left w:val="thinThickThinSmallGap" w:sz="24" w:space="0" w:color="auto"/>
            </w:tcBorders>
            <w:shd w:val="clear" w:color="auto" w:fill="D9D9D9"/>
          </w:tcPr>
          <w:p w:rsidR="00C35211" w:rsidRPr="000D5DBE" w:rsidRDefault="00A51D6B" w:rsidP="00C35211">
            <w:pPr>
              <w:contextualSpacing/>
              <w:rPr>
                <w:rFonts w:cs="Calibri"/>
                <w:b/>
                <w:color w:val="000000"/>
                <w:sz w:val="18"/>
              </w:rPr>
            </w:pPr>
            <w:r>
              <w:rPr>
                <w:b/>
                <w:color w:val="000000"/>
                <w:sz w:val="18"/>
              </w:rPr>
              <w:t>Combined:  x40</w:t>
            </w:r>
            <w:r w:rsidRPr="000D5DBE">
              <w:rPr>
                <w:b/>
                <w:color w:val="000000"/>
                <w:sz w:val="18"/>
              </w:rPr>
              <w:t>%</w:t>
            </w:r>
            <w:r>
              <w:rPr>
                <w:b/>
                <w:color w:val="000000"/>
                <w:sz w:val="18"/>
              </w:rPr>
              <w:t>*</w:t>
            </w:r>
          </w:p>
        </w:tc>
      </w:tr>
    </w:tbl>
    <w:p w:rsidR="00964058" w:rsidRDefault="00964058" w:rsidP="009611B8">
      <w:pPr>
        <w:pBdr>
          <w:bottom w:val="single" w:sz="12" w:space="1" w:color="auto"/>
        </w:pBdr>
        <w:tabs>
          <w:tab w:val="left" w:pos="288"/>
          <w:tab w:val="left" w:pos="4752"/>
        </w:tabs>
        <w:spacing w:line="180" w:lineRule="exact"/>
        <w:jc w:val="both"/>
        <w:rPr>
          <w:color w:val="000000"/>
          <w:sz w:val="18"/>
          <w:szCs w:val="18"/>
        </w:rPr>
      </w:pPr>
      <w:r>
        <w:rPr>
          <w:color w:val="000000"/>
          <w:sz w:val="18"/>
          <w:szCs w:val="18"/>
        </w:rPr>
        <w:t>*Rating decisi</w:t>
      </w:r>
      <w:r w:rsidR="00065119">
        <w:rPr>
          <w:color w:val="000000"/>
          <w:sz w:val="18"/>
          <w:szCs w:val="18"/>
        </w:rPr>
        <w:t>on 20090509 increased to 20% and added right knee instability coded 5257 at 10%</w:t>
      </w:r>
      <w:r w:rsidR="00F20ABB">
        <w:rPr>
          <w:color w:val="000000"/>
          <w:sz w:val="18"/>
          <w:szCs w:val="18"/>
        </w:rPr>
        <w:t>, both</w:t>
      </w:r>
      <w:r w:rsidR="00065119">
        <w:rPr>
          <w:color w:val="000000"/>
          <w:sz w:val="18"/>
          <w:szCs w:val="18"/>
        </w:rPr>
        <w:t xml:space="preserve"> effective 20090210, </w:t>
      </w:r>
      <w:r w:rsidR="00065119" w:rsidRPr="009611B8">
        <w:rPr>
          <w:color w:val="auto"/>
          <w:sz w:val="18"/>
          <w:szCs w:val="18"/>
        </w:rPr>
        <w:t>based</w:t>
      </w:r>
      <w:r w:rsidR="00065119">
        <w:rPr>
          <w:color w:val="000000"/>
          <w:sz w:val="18"/>
          <w:szCs w:val="18"/>
        </w:rPr>
        <w:t xml:space="preserve"> on later exam; combined 60%.</w:t>
      </w:r>
    </w:p>
    <w:p w:rsidR="00074E19" w:rsidRPr="00964058" w:rsidRDefault="00964058" w:rsidP="009611B8">
      <w:pPr>
        <w:pBdr>
          <w:bottom w:val="single" w:sz="12" w:space="1" w:color="auto"/>
        </w:pBdr>
        <w:tabs>
          <w:tab w:val="left" w:pos="288"/>
          <w:tab w:val="left" w:pos="4752"/>
        </w:tabs>
        <w:spacing w:line="180" w:lineRule="exact"/>
        <w:jc w:val="both"/>
        <w:rPr>
          <w:color w:val="000000"/>
          <w:sz w:val="18"/>
          <w:szCs w:val="18"/>
        </w:rPr>
      </w:pPr>
      <w:r>
        <w:rPr>
          <w:color w:val="000000"/>
          <w:sz w:val="18"/>
          <w:szCs w:val="18"/>
        </w:rPr>
        <w:t>**</w:t>
      </w:r>
      <w:r w:rsidRPr="009611B8">
        <w:rPr>
          <w:color w:val="auto"/>
          <w:sz w:val="18"/>
          <w:szCs w:val="18"/>
        </w:rPr>
        <w:t>Rating</w:t>
      </w:r>
      <w:r>
        <w:rPr>
          <w:color w:val="000000"/>
          <w:sz w:val="18"/>
          <w:szCs w:val="18"/>
        </w:rPr>
        <w:t xml:space="preserve"> </w:t>
      </w:r>
      <w:r w:rsidR="005835BE">
        <w:rPr>
          <w:color w:val="000000"/>
          <w:sz w:val="18"/>
          <w:szCs w:val="18"/>
        </w:rPr>
        <w:t>decision 20051007 increased to 2</w:t>
      </w:r>
      <w:r>
        <w:rPr>
          <w:color w:val="000000"/>
          <w:sz w:val="18"/>
          <w:szCs w:val="18"/>
        </w:rPr>
        <w:t>0% effective 20050524 based on later exam</w:t>
      </w:r>
      <w:r w:rsidR="00065119">
        <w:rPr>
          <w:color w:val="000000"/>
          <w:sz w:val="18"/>
          <w:szCs w:val="18"/>
        </w:rPr>
        <w:t>.</w:t>
      </w:r>
    </w:p>
    <w:p w:rsidR="00F02A48" w:rsidRPr="000F4504" w:rsidRDefault="00F02A48" w:rsidP="000F4504">
      <w:pPr>
        <w:pBdr>
          <w:bottom w:val="single" w:sz="12" w:space="1" w:color="auto"/>
        </w:pBdr>
        <w:tabs>
          <w:tab w:val="left" w:pos="288"/>
          <w:tab w:val="left" w:pos="4752"/>
        </w:tabs>
        <w:jc w:val="both"/>
        <w:rPr>
          <w:color w:val="000000"/>
        </w:rPr>
      </w:pPr>
    </w:p>
    <w:p w:rsidR="00AD2379" w:rsidRPr="001F29F9" w:rsidRDefault="00AD2379" w:rsidP="00665CDF">
      <w:pPr>
        <w:jc w:val="both"/>
        <w:rPr>
          <w:color w:val="000000"/>
        </w:rPr>
      </w:pPr>
    </w:p>
    <w:p w:rsidR="00665CDF" w:rsidRPr="00665CDF" w:rsidRDefault="00AD2379" w:rsidP="00665CDF">
      <w:pPr>
        <w:tabs>
          <w:tab w:val="left" w:pos="288"/>
          <w:tab w:val="left" w:pos="4752"/>
        </w:tabs>
        <w:jc w:val="both"/>
        <w:rPr>
          <w:color w:val="auto"/>
          <w:szCs w:val="24"/>
        </w:rPr>
      </w:pPr>
      <w:r w:rsidRPr="001F29F9">
        <w:rPr>
          <w:color w:val="000000"/>
          <w:u w:val="single"/>
        </w:rPr>
        <w:t>ANALYSIS SUMMARY</w:t>
      </w:r>
      <w:r w:rsidRPr="00665CDF">
        <w:rPr>
          <w:color w:val="auto"/>
        </w:rPr>
        <w:t xml:space="preserve">: </w:t>
      </w:r>
      <w:r w:rsidR="00665CDF" w:rsidRPr="00665CDF">
        <w:rPr>
          <w:color w:val="auto"/>
        </w:rPr>
        <w:t xml:space="preserve"> </w:t>
      </w:r>
      <w:r w:rsidR="00665CDF" w:rsidRPr="00665CDF">
        <w:rPr>
          <w:color w:val="auto"/>
          <w:szCs w:val="24"/>
        </w:rPr>
        <w:t xml:space="preserve">The Board acknowledges the sentiment expressed in the CI’s application regarding the significant impairment and worsening severity with which his service-incurred condition continues to burden him.  It is a fact, however, that the </w:t>
      </w:r>
      <w:r w:rsidR="00960D56">
        <w:rPr>
          <w:color w:val="auto"/>
          <w:szCs w:val="24"/>
        </w:rPr>
        <w:t>Disability Evaluation System (</w:t>
      </w:r>
      <w:r w:rsidR="00665CDF" w:rsidRPr="00665CDF">
        <w:rPr>
          <w:color w:val="auto"/>
          <w:szCs w:val="24"/>
        </w:rPr>
        <w:t>DES</w:t>
      </w:r>
      <w:r w:rsidR="00960D56">
        <w:rPr>
          <w:color w:val="auto"/>
          <w:szCs w:val="24"/>
        </w:rPr>
        <w:t>)</w:t>
      </w:r>
      <w:r w:rsidR="00665CDF" w:rsidRPr="00665CDF">
        <w:rPr>
          <w:color w:val="auto"/>
          <w:szCs w:val="24"/>
        </w:rPr>
        <w:t xml:space="preserve"> has neither the role nor the authority to compensate members for anticipated future severity or potential complications of conditions resulting in medical separation.  This role and authority is granted by Congress to the </w:t>
      </w:r>
      <w:r w:rsidR="00960D56">
        <w:rPr>
          <w:color w:val="auto"/>
          <w:szCs w:val="24"/>
        </w:rPr>
        <w:t xml:space="preserve">Department of </w:t>
      </w:r>
      <w:r w:rsidR="00665CDF" w:rsidRPr="00665CDF">
        <w:rPr>
          <w:color w:val="auto"/>
          <w:szCs w:val="24"/>
        </w:rPr>
        <w:t xml:space="preserve">Veterans’ </w:t>
      </w:r>
      <w:r w:rsidR="00960D56">
        <w:rPr>
          <w:color w:val="auto"/>
          <w:szCs w:val="24"/>
        </w:rPr>
        <w:t>Affairs (DVA)</w:t>
      </w:r>
      <w:r w:rsidR="00665CDF" w:rsidRPr="00665CDF">
        <w:rPr>
          <w:color w:val="auto"/>
          <w:szCs w:val="24"/>
        </w:rPr>
        <w:t xml:space="preserve">.  The Board utilizes </w:t>
      </w:r>
      <w:r w:rsidR="00960D56">
        <w:rPr>
          <w:color w:val="auto"/>
          <w:szCs w:val="24"/>
        </w:rPr>
        <w:t>D</w:t>
      </w:r>
      <w:r w:rsidR="00665CDF" w:rsidRPr="00665CDF">
        <w:rPr>
          <w:color w:val="auto"/>
          <w:szCs w:val="24"/>
        </w:rPr>
        <w:t xml:space="preserve">VA evidence proximal to separation in arriving at its recommendations; and, </w:t>
      </w:r>
      <w:proofErr w:type="spellStart"/>
      <w:r w:rsidR="00665CDF" w:rsidRPr="00665CDF">
        <w:rPr>
          <w:color w:val="auto"/>
          <w:szCs w:val="24"/>
        </w:rPr>
        <w:t>DoDI</w:t>
      </w:r>
      <w:proofErr w:type="spellEnd"/>
      <w:r w:rsidR="00665CDF" w:rsidRPr="00665CDF">
        <w:rPr>
          <w:color w:val="auto"/>
          <w:szCs w:val="24"/>
        </w:rPr>
        <w:t xml:space="preserve"> 6040.44 defines a 12</w:t>
      </w:r>
      <w:r w:rsidR="00960D56">
        <w:rPr>
          <w:color w:val="auto"/>
          <w:szCs w:val="24"/>
        </w:rPr>
        <w:t>-</w:t>
      </w:r>
      <w:r w:rsidR="00665CDF" w:rsidRPr="00665CDF">
        <w:rPr>
          <w:color w:val="auto"/>
          <w:szCs w:val="24"/>
        </w:rPr>
        <w:t xml:space="preserve">month interval for special consideration to post-separation evidence.  The Board’s authority as defined in </w:t>
      </w:r>
      <w:proofErr w:type="spellStart"/>
      <w:r w:rsidR="00665CDF" w:rsidRPr="00665CDF">
        <w:rPr>
          <w:color w:val="auto"/>
          <w:szCs w:val="24"/>
        </w:rPr>
        <w:t>DoDI</w:t>
      </w:r>
      <w:proofErr w:type="spellEnd"/>
      <w:r w:rsidR="00665CDF" w:rsidRPr="00665CDF">
        <w:rPr>
          <w:color w:val="auto"/>
          <w:szCs w:val="24"/>
        </w:rPr>
        <w:t xml:space="preserve">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665CDF" w:rsidRPr="00665CDF" w:rsidRDefault="00665CDF" w:rsidP="00665CDF">
      <w:pPr>
        <w:tabs>
          <w:tab w:val="left" w:pos="288"/>
          <w:tab w:val="left" w:pos="4752"/>
        </w:tabs>
        <w:jc w:val="both"/>
        <w:rPr>
          <w:color w:val="auto"/>
          <w:szCs w:val="24"/>
        </w:rPr>
      </w:pPr>
    </w:p>
    <w:p w:rsidR="003F491E" w:rsidRDefault="00062CE3" w:rsidP="003F491E">
      <w:pPr>
        <w:jc w:val="both"/>
        <w:rPr>
          <w:color w:val="000000"/>
          <w:szCs w:val="24"/>
        </w:rPr>
      </w:pPr>
      <w:proofErr w:type="gramStart"/>
      <w:r>
        <w:rPr>
          <w:color w:val="000000"/>
          <w:u w:val="single"/>
        </w:rPr>
        <w:t>Right Knee C</w:t>
      </w:r>
      <w:r w:rsidR="00074E19">
        <w:rPr>
          <w:color w:val="000000"/>
          <w:u w:val="single"/>
        </w:rPr>
        <w:t>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513581">
        <w:rPr>
          <w:color w:val="000000"/>
        </w:rPr>
        <w:t xml:space="preserve">The CI underwent </w:t>
      </w:r>
      <w:r w:rsidR="00FB63A3">
        <w:rPr>
          <w:color w:val="000000"/>
        </w:rPr>
        <w:t xml:space="preserve">right anterior cruciate ligament (ACL) reconstruction and debridement of </w:t>
      </w:r>
      <w:r w:rsidR="00665CDF">
        <w:rPr>
          <w:color w:val="000000"/>
        </w:rPr>
        <w:t xml:space="preserve">a </w:t>
      </w:r>
      <w:r w:rsidR="00FB63A3">
        <w:rPr>
          <w:color w:val="000000"/>
        </w:rPr>
        <w:t xml:space="preserve">medial meniscal tear </w:t>
      </w:r>
      <w:r w:rsidR="006B4056">
        <w:rPr>
          <w:color w:val="000000"/>
        </w:rPr>
        <w:t xml:space="preserve">on </w:t>
      </w:r>
      <w:r w:rsidR="00FB63A3">
        <w:rPr>
          <w:color w:val="000000"/>
        </w:rPr>
        <w:t xml:space="preserve">18 July 2000.  Persistent pain led to an </w:t>
      </w:r>
      <w:r w:rsidR="00665CDF">
        <w:rPr>
          <w:color w:val="000000"/>
        </w:rPr>
        <w:t xml:space="preserve">additional </w:t>
      </w:r>
      <w:r w:rsidR="00FB63A3">
        <w:rPr>
          <w:color w:val="000000"/>
        </w:rPr>
        <w:t>arthroscopy</w:t>
      </w:r>
      <w:r w:rsidR="00960D56">
        <w:rPr>
          <w:color w:val="000000"/>
        </w:rPr>
        <w:t xml:space="preserve"> performed</w:t>
      </w:r>
      <w:r w:rsidR="00FB63A3">
        <w:rPr>
          <w:color w:val="000000"/>
        </w:rPr>
        <w:t xml:space="preserve"> on </w:t>
      </w:r>
      <w:r w:rsidR="00D829A1">
        <w:rPr>
          <w:color w:val="000000"/>
        </w:rPr>
        <w:t xml:space="preserve">12 June </w:t>
      </w:r>
      <w:r w:rsidR="00FB63A3">
        <w:rPr>
          <w:color w:val="000000"/>
        </w:rPr>
        <w:t>2001 for patellar tendon debridement and repair; chondromalacia of the trochlea and medial femoral condyle was noted</w:t>
      </w:r>
      <w:r w:rsidR="007F1F3E">
        <w:rPr>
          <w:color w:val="000000"/>
        </w:rPr>
        <w:t xml:space="preserve"> at that time</w:t>
      </w:r>
      <w:r w:rsidR="00FB63A3">
        <w:rPr>
          <w:color w:val="000000"/>
        </w:rPr>
        <w:t xml:space="preserve">.  </w:t>
      </w:r>
      <w:r w:rsidR="003F491E">
        <w:rPr>
          <w:color w:val="000000"/>
          <w:szCs w:val="24"/>
        </w:rPr>
        <w:t>The</w:t>
      </w:r>
      <w:r w:rsidR="00EB0E4A">
        <w:rPr>
          <w:color w:val="000000"/>
          <w:szCs w:val="24"/>
        </w:rPr>
        <w:t>re were three</w:t>
      </w:r>
      <w:r w:rsidR="003F491E" w:rsidRPr="00B652C3">
        <w:rPr>
          <w:color w:val="000000"/>
          <w:szCs w:val="24"/>
        </w:rPr>
        <w:t xml:space="preserve"> goniometric range</w:t>
      </w:r>
      <w:r w:rsidR="00960D56">
        <w:rPr>
          <w:color w:val="000000"/>
          <w:szCs w:val="24"/>
        </w:rPr>
        <w:t>-</w:t>
      </w:r>
      <w:r w:rsidR="003F491E" w:rsidRPr="00B652C3">
        <w:rPr>
          <w:color w:val="000000"/>
          <w:szCs w:val="24"/>
        </w:rPr>
        <w:t>of</w:t>
      </w:r>
      <w:r w:rsidR="00960D56">
        <w:rPr>
          <w:color w:val="000000"/>
          <w:szCs w:val="24"/>
        </w:rPr>
        <w:t>-</w:t>
      </w:r>
      <w:r w:rsidR="003F491E" w:rsidRPr="00B652C3">
        <w:rPr>
          <w:color w:val="000000"/>
          <w:szCs w:val="24"/>
        </w:rPr>
        <w:t>motion (ROM) evaluations in evidence</w:t>
      </w:r>
      <w:r w:rsidR="003F491E" w:rsidRPr="00E8268E">
        <w:rPr>
          <w:color w:val="000000"/>
          <w:szCs w:val="24"/>
        </w:rPr>
        <w:t xml:space="preserve"> </w:t>
      </w:r>
      <w:r w:rsidR="003F491E" w:rsidRPr="00B652C3">
        <w:rPr>
          <w:color w:val="000000"/>
          <w:szCs w:val="24"/>
        </w:rPr>
        <w:t xml:space="preserve">which the Board weighed in arriving </w:t>
      </w:r>
      <w:r w:rsidR="003F491E">
        <w:rPr>
          <w:color w:val="000000"/>
          <w:szCs w:val="24"/>
        </w:rPr>
        <w:t>at its rating recommendation</w:t>
      </w:r>
      <w:r w:rsidR="003F491E" w:rsidRPr="00B652C3">
        <w:rPr>
          <w:color w:val="000000"/>
          <w:szCs w:val="24"/>
        </w:rPr>
        <w:t xml:space="preserve">, with documentation of additional ratable criteria, </w:t>
      </w:r>
      <w:r w:rsidR="007F1F3E">
        <w:rPr>
          <w:color w:val="000000"/>
          <w:szCs w:val="24"/>
        </w:rPr>
        <w:t>as</w:t>
      </w:r>
      <w:r w:rsidR="003F491E" w:rsidRPr="00B652C3">
        <w:rPr>
          <w:color w:val="000000"/>
          <w:szCs w:val="24"/>
        </w:rPr>
        <w:t xml:space="preserve"> summarized in the chart below.</w:t>
      </w:r>
    </w:p>
    <w:p w:rsidR="00541BEE" w:rsidRDefault="00541BEE" w:rsidP="00A81D29">
      <w:pPr>
        <w:jc w:val="left"/>
        <w:rPr>
          <w:rFonts w:asciiTheme="minorHAnsi" w:hAnsiTheme="minorHAnsi" w:cstheme="minorHAnsi"/>
          <w:color w:val="auto"/>
          <w:sz w:val="18"/>
          <w:szCs w:val="18"/>
        </w:rPr>
      </w:pPr>
    </w:p>
    <w:tbl>
      <w:tblPr>
        <w:tblW w:w="9429" w:type="dxa"/>
        <w:jc w:val="center"/>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1"/>
        <w:gridCol w:w="1848"/>
        <w:gridCol w:w="2520"/>
        <w:gridCol w:w="2520"/>
      </w:tblGrid>
      <w:tr w:rsidR="00F20ABB" w:rsidTr="00EB0E4A">
        <w:trPr>
          <w:jc w:val="center"/>
        </w:trPr>
        <w:tc>
          <w:tcPr>
            <w:tcW w:w="25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20ABB" w:rsidRPr="00FB63A3" w:rsidRDefault="00F20ABB" w:rsidP="00FB63A3">
            <w:pPr>
              <w:spacing w:line="220" w:lineRule="exact"/>
              <w:rPr>
                <w:color w:val="auto"/>
                <w:sz w:val="20"/>
              </w:rPr>
            </w:pPr>
            <w:r w:rsidRPr="00FB63A3">
              <w:rPr>
                <w:color w:val="auto"/>
                <w:sz w:val="20"/>
              </w:rPr>
              <w:t>Right Knee ROM</w:t>
            </w:r>
            <w:r>
              <w:rPr>
                <w:color w:val="auto"/>
                <w:sz w:val="20"/>
              </w:rPr>
              <w:t xml:space="preserve"> in degrees</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Pr>
          <w:p w:rsidR="00EB0E4A" w:rsidRDefault="00EB0E4A" w:rsidP="00A81D29">
            <w:pPr>
              <w:spacing w:line="220" w:lineRule="exact"/>
              <w:rPr>
                <w:color w:val="auto"/>
                <w:sz w:val="20"/>
              </w:rPr>
            </w:pPr>
            <w:r>
              <w:rPr>
                <w:color w:val="auto"/>
                <w:sz w:val="20"/>
              </w:rPr>
              <w:t>PT ~7 Mo. Pre-Sep</w:t>
            </w:r>
          </w:p>
        </w:tc>
        <w:tc>
          <w:tcPr>
            <w:tcW w:w="25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20ABB" w:rsidRPr="00FB63A3" w:rsidRDefault="00F20ABB" w:rsidP="00A81D29">
            <w:pPr>
              <w:spacing w:line="220" w:lineRule="exact"/>
              <w:rPr>
                <w:color w:val="auto"/>
                <w:sz w:val="20"/>
              </w:rPr>
            </w:pPr>
            <w:r>
              <w:rPr>
                <w:color w:val="auto"/>
                <w:sz w:val="20"/>
              </w:rPr>
              <w:t>NARSUM</w:t>
            </w:r>
            <w:r w:rsidRPr="00FB63A3">
              <w:rPr>
                <w:color w:val="auto"/>
                <w:sz w:val="20"/>
              </w:rPr>
              <w:t xml:space="preserve"> ~</w:t>
            </w:r>
            <w:r w:rsidRPr="00FB63A3">
              <w:rPr>
                <w:rFonts w:eastAsia="Calibri"/>
                <w:color w:val="auto"/>
                <w:sz w:val="20"/>
              </w:rPr>
              <w:t>2 ½</w:t>
            </w:r>
            <w:r w:rsidRPr="00FB63A3">
              <w:rPr>
                <w:color w:val="auto"/>
                <w:sz w:val="20"/>
              </w:rPr>
              <w:t xml:space="preserve"> Mo. Pre-Sep</w:t>
            </w:r>
          </w:p>
        </w:tc>
        <w:tc>
          <w:tcPr>
            <w:tcW w:w="25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20ABB" w:rsidRPr="00FB63A3" w:rsidRDefault="00F20ABB" w:rsidP="00A81D29">
            <w:pPr>
              <w:spacing w:line="220" w:lineRule="exact"/>
              <w:rPr>
                <w:color w:val="auto"/>
                <w:sz w:val="20"/>
              </w:rPr>
            </w:pPr>
            <w:r w:rsidRPr="00FB63A3">
              <w:rPr>
                <w:color w:val="auto"/>
                <w:sz w:val="20"/>
              </w:rPr>
              <w:t>VA C&amp;P ~</w:t>
            </w:r>
            <w:r w:rsidRPr="00FB63A3">
              <w:rPr>
                <w:rFonts w:eastAsia="Calibri"/>
                <w:color w:val="auto"/>
                <w:sz w:val="20"/>
              </w:rPr>
              <w:t>2</w:t>
            </w:r>
            <w:r w:rsidRPr="00FB63A3">
              <w:rPr>
                <w:color w:val="auto"/>
                <w:sz w:val="20"/>
              </w:rPr>
              <w:t xml:space="preserve"> ½ Mo. Post-Sep</w:t>
            </w:r>
          </w:p>
        </w:tc>
      </w:tr>
      <w:tr w:rsidR="00F20ABB" w:rsidTr="00EB0E4A">
        <w:trPr>
          <w:jc w:val="center"/>
        </w:trPr>
        <w:tc>
          <w:tcPr>
            <w:tcW w:w="2541" w:type="dxa"/>
            <w:tcBorders>
              <w:top w:val="single" w:sz="4" w:space="0" w:color="000000"/>
              <w:left w:val="single" w:sz="4" w:space="0" w:color="000000"/>
              <w:bottom w:val="single" w:sz="4" w:space="0" w:color="000000"/>
              <w:right w:val="single" w:sz="4" w:space="0" w:color="000000"/>
            </w:tcBorders>
            <w:vAlign w:val="center"/>
            <w:hideMark/>
          </w:tcPr>
          <w:p w:rsidR="00F20ABB" w:rsidRPr="00FB63A3" w:rsidRDefault="00F20ABB" w:rsidP="00152B75">
            <w:pPr>
              <w:spacing w:line="220" w:lineRule="exact"/>
              <w:rPr>
                <w:color w:val="auto"/>
                <w:sz w:val="20"/>
              </w:rPr>
            </w:pPr>
            <w:r w:rsidRPr="00FB63A3">
              <w:rPr>
                <w:color w:val="auto"/>
                <w:sz w:val="20"/>
              </w:rPr>
              <w:t>Flexion (140 Normal)</w:t>
            </w:r>
          </w:p>
        </w:tc>
        <w:tc>
          <w:tcPr>
            <w:tcW w:w="1848" w:type="dxa"/>
            <w:tcBorders>
              <w:top w:val="single" w:sz="4" w:space="0" w:color="000000"/>
              <w:left w:val="single" w:sz="4" w:space="0" w:color="000000"/>
              <w:bottom w:val="single" w:sz="4" w:space="0" w:color="000000"/>
              <w:right w:val="single" w:sz="4" w:space="0" w:color="000000"/>
            </w:tcBorders>
          </w:tcPr>
          <w:p w:rsidR="00F20ABB" w:rsidRPr="00FB63A3" w:rsidRDefault="00EB0E4A" w:rsidP="00152B75">
            <w:pPr>
              <w:spacing w:line="220" w:lineRule="exact"/>
              <w:rPr>
                <w:color w:val="auto"/>
                <w:sz w:val="20"/>
              </w:rPr>
            </w:pPr>
            <w:r>
              <w:rPr>
                <w:color w:val="auto"/>
                <w:sz w:val="20"/>
              </w:rPr>
              <w:t>120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F20ABB" w:rsidRPr="00FB63A3" w:rsidRDefault="00F20ABB" w:rsidP="00152B75">
            <w:pPr>
              <w:spacing w:line="220" w:lineRule="exact"/>
              <w:rPr>
                <w:color w:val="auto"/>
                <w:sz w:val="20"/>
                <w:highlight w:val="yellow"/>
              </w:rPr>
            </w:pPr>
            <w:r w:rsidRPr="00FB63A3">
              <w:rPr>
                <w:color w:val="auto"/>
                <w:sz w:val="20"/>
              </w:rPr>
              <w:t>125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F20ABB" w:rsidRPr="00FB63A3" w:rsidRDefault="00F20ABB" w:rsidP="00152B75">
            <w:pPr>
              <w:spacing w:line="220" w:lineRule="exact"/>
              <w:rPr>
                <w:color w:val="auto"/>
                <w:sz w:val="20"/>
              </w:rPr>
            </w:pPr>
            <w:r w:rsidRPr="00FB63A3">
              <w:rPr>
                <w:color w:val="auto"/>
                <w:sz w:val="20"/>
              </w:rPr>
              <w:t>70</w:t>
            </w:r>
          </w:p>
        </w:tc>
      </w:tr>
      <w:tr w:rsidR="00F20ABB" w:rsidTr="00EB0E4A">
        <w:trPr>
          <w:jc w:val="center"/>
        </w:trPr>
        <w:tc>
          <w:tcPr>
            <w:tcW w:w="2541" w:type="dxa"/>
            <w:tcBorders>
              <w:top w:val="single" w:sz="4" w:space="0" w:color="000000"/>
              <w:left w:val="single" w:sz="4" w:space="0" w:color="000000"/>
              <w:bottom w:val="single" w:sz="4" w:space="0" w:color="auto"/>
              <w:right w:val="single" w:sz="4" w:space="0" w:color="000000"/>
            </w:tcBorders>
            <w:vAlign w:val="center"/>
            <w:hideMark/>
          </w:tcPr>
          <w:p w:rsidR="00F20ABB" w:rsidRPr="00FB63A3" w:rsidRDefault="00F20ABB" w:rsidP="00152B75">
            <w:pPr>
              <w:spacing w:line="220" w:lineRule="exact"/>
              <w:rPr>
                <w:color w:val="auto"/>
                <w:sz w:val="20"/>
              </w:rPr>
            </w:pPr>
            <w:r w:rsidRPr="00FB63A3">
              <w:rPr>
                <w:color w:val="auto"/>
                <w:sz w:val="20"/>
              </w:rPr>
              <w:t>Extension (0 Normal)</w:t>
            </w:r>
          </w:p>
        </w:tc>
        <w:tc>
          <w:tcPr>
            <w:tcW w:w="1848" w:type="dxa"/>
            <w:tcBorders>
              <w:top w:val="single" w:sz="4" w:space="0" w:color="000000"/>
              <w:left w:val="single" w:sz="4" w:space="0" w:color="000000"/>
              <w:bottom w:val="single" w:sz="4" w:space="0" w:color="auto"/>
              <w:right w:val="single" w:sz="4" w:space="0" w:color="000000"/>
            </w:tcBorders>
          </w:tcPr>
          <w:p w:rsidR="00F20ABB" w:rsidRPr="00FB63A3" w:rsidRDefault="00EB0E4A" w:rsidP="00152B75">
            <w:pPr>
              <w:spacing w:line="220" w:lineRule="exact"/>
              <w:rPr>
                <w:color w:val="auto"/>
                <w:sz w:val="20"/>
              </w:rPr>
            </w:pPr>
            <w:r>
              <w:rPr>
                <w:color w:val="auto"/>
                <w:sz w:val="20"/>
              </w:rPr>
              <w:t>--</w:t>
            </w:r>
          </w:p>
        </w:tc>
        <w:tc>
          <w:tcPr>
            <w:tcW w:w="2520" w:type="dxa"/>
            <w:tcBorders>
              <w:top w:val="single" w:sz="4" w:space="0" w:color="000000"/>
              <w:left w:val="single" w:sz="4" w:space="0" w:color="000000"/>
              <w:bottom w:val="single" w:sz="4" w:space="0" w:color="auto"/>
              <w:right w:val="single" w:sz="4" w:space="0" w:color="000000"/>
            </w:tcBorders>
            <w:vAlign w:val="center"/>
            <w:hideMark/>
          </w:tcPr>
          <w:p w:rsidR="00F20ABB" w:rsidRPr="00FB63A3" w:rsidRDefault="00F20ABB" w:rsidP="00152B75">
            <w:pPr>
              <w:spacing w:line="220" w:lineRule="exact"/>
              <w:rPr>
                <w:color w:val="auto"/>
                <w:sz w:val="20"/>
                <w:highlight w:val="yellow"/>
              </w:rPr>
            </w:pPr>
            <w:r w:rsidRPr="00FB63A3">
              <w:rPr>
                <w:color w:val="auto"/>
                <w:sz w:val="20"/>
              </w:rPr>
              <w:t>-5</w:t>
            </w:r>
            <w:r>
              <w:rPr>
                <w:color w:val="auto"/>
                <w:sz w:val="20"/>
              </w:rPr>
              <w:t>*</w:t>
            </w:r>
          </w:p>
        </w:tc>
        <w:tc>
          <w:tcPr>
            <w:tcW w:w="2520" w:type="dxa"/>
            <w:tcBorders>
              <w:top w:val="single" w:sz="4" w:space="0" w:color="000000"/>
              <w:left w:val="single" w:sz="4" w:space="0" w:color="000000"/>
              <w:bottom w:val="single" w:sz="4" w:space="0" w:color="auto"/>
              <w:right w:val="single" w:sz="4" w:space="0" w:color="000000"/>
            </w:tcBorders>
            <w:vAlign w:val="center"/>
            <w:hideMark/>
          </w:tcPr>
          <w:p w:rsidR="00F20ABB" w:rsidRPr="00FB63A3" w:rsidRDefault="00F20ABB" w:rsidP="00152B75">
            <w:pPr>
              <w:spacing w:line="220" w:lineRule="exact"/>
              <w:rPr>
                <w:color w:val="auto"/>
                <w:sz w:val="20"/>
              </w:rPr>
            </w:pPr>
            <w:r w:rsidRPr="00FB63A3">
              <w:rPr>
                <w:color w:val="auto"/>
                <w:sz w:val="20"/>
              </w:rPr>
              <w:t>0</w:t>
            </w:r>
          </w:p>
        </w:tc>
      </w:tr>
      <w:tr w:rsidR="00F20ABB" w:rsidTr="00EB0E4A">
        <w:trPr>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rsidR="00F20ABB" w:rsidRPr="00FB63A3" w:rsidRDefault="00F20ABB" w:rsidP="00152B75">
            <w:pPr>
              <w:tabs>
                <w:tab w:val="left" w:pos="288"/>
                <w:tab w:val="left" w:pos="4752"/>
              </w:tabs>
              <w:spacing w:line="220" w:lineRule="exact"/>
              <w:rPr>
                <w:color w:val="auto"/>
                <w:sz w:val="20"/>
              </w:rPr>
            </w:pPr>
            <w:r w:rsidRPr="00FB63A3">
              <w:rPr>
                <w:color w:val="auto"/>
                <w:sz w:val="20"/>
              </w:rPr>
              <w:t>Comment</w:t>
            </w:r>
          </w:p>
        </w:tc>
        <w:tc>
          <w:tcPr>
            <w:tcW w:w="1848" w:type="dxa"/>
            <w:tcBorders>
              <w:top w:val="single" w:sz="4" w:space="0" w:color="auto"/>
              <w:left w:val="single" w:sz="4" w:space="0" w:color="auto"/>
              <w:bottom w:val="single" w:sz="4" w:space="0" w:color="auto"/>
              <w:right w:val="single" w:sz="4" w:space="0" w:color="auto"/>
            </w:tcBorders>
          </w:tcPr>
          <w:p w:rsidR="00F20ABB" w:rsidRDefault="00EB0E4A" w:rsidP="00152B75">
            <w:pPr>
              <w:rPr>
                <w:rFonts w:eastAsia="Calibri"/>
                <w:color w:val="auto"/>
                <w:sz w:val="20"/>
              </w:rPr>
            </w:pPr>
            <w:r>
              <w:rPr>
                <w:rFonts w:eastAsia="Calibri"/>
                <w:color w:val="auto"/>
                <w:sz w:val="20"/>
              </w:rPr>
              <w:t>Stable graft</w:t>
            </w:r>
          </w:p>
        </w:tc>
        <w:tc>
          <w:tcPr>
            <w:tcW w:w="2520" w:type="dxa"/>
            <w:tcBorders>
              <w:top w:val="single" w:sz="4" w:space="0" w:color="auto"/>
              <w:left w:val="single" w:sz="4" w:space="0" w:color="auto"/>
              <w:bottom w:val="single" w:sz="4" w:space="0" w:color="auto"/>
              <w:right w:val="single" w:sz="4" w:space="0" w:color="auto"/>
            </w:tcBorders>
            <w:hideMark/>
          </w:tcPr>
          <w:p w:rsidR="00F20ABB" w:rsidRPr="00FB63A3" w:rsidRDefault="00F20ABB" w:rsidP="00152B75">
            <w:pPr>
              <w:rPr>
                <w:color w:val="auto"/>
                <w:sz w:val="20"/>
              </w:rPr>
            </w:pPr>
            <w:r>
              <w:rPr>
                <w:rFonts w:eastAsia="Calibri"/>
                <w:color w:val="auto"/>
                <w:sz w:val="20"/>
              </w:rPr>
              <w:t>+tenderness, crepitus</w:t>
            </w:r>
          </w:p>
        </w:tc>
        <w:tc>
          <w:tcPr>
            <w:tcW w:w="2520" w:type="dxa"/>
            <w:tcBorders>
              <w:top w:val="single" w:sz="4" w:space="0" w:color="auto"/>
              <w:left w:val="single" w:sz="4" w:space="0" w:color="auto"/>
              <w:bottom w:val="single" w:sz="4" w:space="0" w:color="auto"/>
              <w:right w:val="single" w:sz="4" w:space="0" w:color="auto"/>
            </w:tcBorders>
            <w:hideMark/>
          </w:tcPr>
          <w:p w:rsidR="00F20ABB" w:rsidRPr="00FB63A3" w:rsidRDefault="00F20ABB" w:rsidP="00152B75">
            <w:pPr>
              <w:rPr>
                <w:color w:val="auto"/>
                <w:sz w:val="20"/>
              </w:rPr>
            </w:pPr>
            <w:r>
              <w:rPr>
                <w:rFonts w:eastAsia="Calibri"/>
                <w:color w:val="auto"/>
                <w:sz w:val="20"/>
              </w:rPr>
              <w:t>Occasional limp</w:t>
            </w:r>
          </w:p>
        </w:tc>
      </w:tr>
      <w:tr w:rsidR="00F20ABB" w:rsidTr="00EB0E4A">
        <w:trPr>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rsidR="00F20ABB" w:rsidRPr="00FB63A3" w:rsidRDefault="00F20ABB" w:rsidP="00152B75">
            <w:pPr>
              <w:tabs>
                <w:tab w:val="left" w:pos="288"/>
                <w:tab w:val="left" w:pos="4752"/>
              </w:tabs>
              <w:spacing w:line="220" w:lineRule="exact"/>
              <w:rPr>
                <w:color w:val="auto"/>
                <w:sz w:val="20"/>
              </w:rPr>
            </w:pPr>
            <w:r w:rsidRPr="00FB63A3">
              <w:rPr>
                <w:color w:val="auto"/>
                <w:sz w:val="20"/>
              </w:rPr>
              <w:t>§4.71a Rating</w:t>
            </w:r>
          </w:p>
        </w:tc>
        <w:tc>
          <w:tcPr>
            <w:tcW w:w="1848" w:type="dxa"/>
            <w:tcBorders>
              <w:top w:val="single" w:sz="4" w:space="0" w:color="auto"/>
              <w:left w:val="single" w:sz="4" w:space="0" w:color="auto"/>
              <w:bottom w:val="single" w:sz="4" w:space="0" w:color="auto"/>
              <w:right w:val="single" w:sz="4" w:space="0" w:color="auto"/>
            </w:tcBorders>
          </w:tcPr>
          <w:p w:rsidR="00F20ABB" w:rsidRDefault="00EB0E4A" w:rsidP="00152B75">
            <w:pPr>
              <w:rPr>
                <w:color w:val="auto"/>
                <w:sz w:val="20"/>
              </w:rPr>
            </w:pPr>
            <w:r>
              <w:rPr>
                <w:color w:val="auto"/>
                <w:sz w:val="20"/>
              </w:rPr>
              <w:t>10%</w:t>
            </w:r>
          </w:p>
        </w:tc>
        <w:tc>
          <w:tcPr>
            <w:tcW w:w="2520" w:type="dxa"/>
            <w:tcBorders>
              <w:top w:val="single" w:sz="4" w:space="0" w:color="auto"/>
              <w:left w:val="single" w:sz="4" w:space="0" w:color="auto"/>
              <w:bottom w:val="single" w:sz="4" w:space="0" w:color="auto"/>
              <w:right w:val="single" w:sz="4" w:space="0" w:color="auto"/>
            </w:tcBorders>
            <w:hideMark/>
          </w:tcPr>
          <w:p w:rsidR="00F20ABB" w:rsidRPr="00FB63A3" w:rsidRDefault="00F20ABB" w:rsidP="00152B75">
            <w:pPr>
              <w:rPr>
                <w:color w:val="auto"/>
                <w:sz w:val="20"/>
              </w:rPr>
            </w:pPr>
            <w:r>
              <w:rPr>
                <w:color w:val="auto"/>
                <w:sz w:val="20"/>
              </w:rPr>
              <w:t>10%</w:t>
            </w:r>
          </w:p>
        </w:tc>
        <w:tc>
          <w:tcPr>
            <w:tcW w:w="2520" w:type="dxa"/>
            <w:tcBorders>
              <w:top w:val="single" w:sz="4" w:space="0" w:color="auto"/>
              <w:left w:val="single" w:sz="4" w:space="0" w:color="auto"/>
              <w:bottom w:val="single" w:sz="4" w:space="0" w:color="auto"/>
              <w:right w:val="single" w:sz="4" w:space="0" w:color="auto"/>
            </w:tcBorders>
            <w:hideMark/>
          </w:tcPr>
          <w:p w:rsidR="00F20ABB" w:rsidRPr="00FB63A3" w:rsidRDefault="00F20ABB" w:rsidP="00152B75">
            <w:pPr>
              <w:rPr>
                <w:color w:val="auto"/>
                <w:sz w:val="20"/>
              </w:rPr>
            </w:pPr>
            <w:r>
              <w:rPr>
                <w:color w:val="auto"/>
                <w:sz w:val="20"/>
              </w:rPr>
              <w:t>10%</w:t>
            </w:r>
          </w:p>
        </w:tc>
      </w:tr>
    </w:tbl>
    <w:p w:rsidR="00074E19" w:rsidRPr="00FB63A3" w:rsidRDefault="00FB63A3" w:rsidP="003F491E">
      <w:pPr>
        <w:jc w:val="both"/>
        <w:rPr>
          <w:color w:val="000000"/>
          <w:sz w:val="20"/>
        </w:rPr>
      </w:pPr>
      <w:r>
        <w:rPr>
          <w:color w:val="000000"/>
          <w:sz w:val="20"/>
        </w:rPr>
        <w:t>*Taken to mean hyperextension</w:t>
      </w:r>
    </w:p>
    <w:p w:rsidR="00CF0280" w:rsidRDefault="00CF0280" w:rsidP="0069687C">
      <w:pPr>
        <w:jc w:val="both"/>
        <w:rPr>
          <w:color w:val="000000"/>
          <w:szCs w:val="24"/>
        </w:rPr>
      </w:pPr>
    </w:p>
    <w:p w:rsidR="00062CE3" w:rsidRDefault="009A5D99" w:rsidP="00FB00AD">
      <w:pPr>
        <w:tabs>
          <w:tab w:val="left" w:pos="288"/>
          <w:tab w:val="left" w:pos="4752"/>
        </w:tabs>
        <w:jc w:val="both"/>
        <w:rPr>
          <w:rFonts w:cs="Times New Roman"/>
          <w:color w:val="auto"/>
        </w:rPr>
      </w:pPr>
      <w:r>
        <w:rPr>
          <w:rFonts w:cs="Times New Roman"/>
          <w:color w:val="auto"/>
        </w:rPr>
        <w:t xml:space="preserve">At the orthopedic </w:t>
      </w:r>
      <w:r w:rsidR="00960D56">
        <w:rPr>
          <w:rFonts w:cs="Times New Roman"/>
          <w:color w:val="auto"/>
        </w:rPr>
        <w:t>narrative summary (</w:t>
      </w:r>
      <w:r>
        <w:rPr>
          <w:rFonts w:cs="Times New Roman"/>
          <w:color w:val="auto"/>
        </w:rPr>
        <w:t>NARSUM</w:t>
      </w:r>
      <w:r w:rsidR="00960D56">
        <w:rPr>
          <w:rFonts w:cs="Times New Roman"/>
          <w:color w:val="auto"/>
        </w:rPr>
        <w:t>)</w:t>
      </w:r>
      <w:r>
        <w:rPr>
          <w:rFonts w:cs="Times New Roman"/>
          <w:color w:val="auto"/>
        </w:rPr>
        <w:t xml:space="preserve"> examination </w:t>
      </w:r>
      <w:r w:rsidR="00960D56">
        <w:rPr>
          <w:rFonts w:cs="Times New Roman"/>
          <w:color w:val="auto"/>
        </w:rPr>
        <w:t xml:space="preserve">performed </w:t>
      </w:r>
      <w:r>
        <w:rPr>
          <w:rFonts w:cs="Times New Roman"/>
          <w:color w:val="auto"/>
        </w:rPr>
        <w:t xml:space="preserve">on 18 December </w:t>
      </w:r>
      <w:r w:rsidR="00960D56">
        <w:rPr>
          <w:rFonts w:cs="Times New Roman"/>
          <w:color w:val="auto"/>
        </w:rPr>
        <w:t>2</w:t>
      </w:r>
      <w:r>
        <w:rPr>
          <w:rFonts w:cs="Times New Roman"/>
          <w:color w:val="auto"/>
        </w:rPr>
        <w:t>001</w:t>
      </w:r>
      <w:r w:rsidR="00960D56">
        <w:rPr>
          <w:rFonts w:cs="Times New Roman"/>
          <w:color w:val="auto"/>
        </w:rPr>
        <w:t xml:space="preserve"> indicated</w:t>
      </w:r>
      <w:r>
        <w:rPr>
          <w:rFonts w:cs="Times New Roman"/>
          <w:color w:val="auto"/>
        </w:rPr>
        <w:t xml:space="preserve"> the CI complained of daily right knee pain with weight bearing activities.  Physical exam</w:t>
      </w:r>
      <w:r w:rsidR="00FB63A3">
        <w:rPr>
          <w:rFonts w:cs="Times New Roman"/>
          <w:color w:val="auto"/>
        </w:rPr>
        <w:t xml:space="preserve"> noted mild tenderness of the central portion of the patellar tendon, slight patellofemoral crepitus and positive patellar grind.  There was no </w:t>
      </w:r>
      <w:r>
        <w:rPr>
          <w:rFonts w:cs="Times New Roman"/>
          <w:color w:val="auto"/>
        </w:rPr>
        <w:t xml:space="preserve">swelling and no </w:t>
      </w:r>
      <w:r w:rsidR="00FB63A3">
        <w:rPr>
          <w:rFonts w:cs="Times New Roman"/>
          <w:color w:val="auto"/>
        </w:rPr>
        <w:t>sign of knee instability.</w:t>
      </w:r>
      <w:r w:rsidR="00A81D29">
        <w:rPr>
          <w:rFonts w:cs="Times New Roman"/>
          <w:color w:val="auto"/>
        </w:rPr>
        <w:t xml:space="preserve">  </w:t>
      </w:r>
      <w:r w:rsidR="00FB63A3">
        <w:rPr>
          <w:rFonts w:cs="Times New Roman"/>
          <w:color w:val="auto"/>
        </w:rPr>
        <w:t xml:space="preserve">At the VA examination </w:t>
      </w:r>
      <w:r w:rsidR="00960D56">
        <w:rPr>
          <w:rFonts w:cs="Times New Roman"/>
          <w:color w:val="auto"/>
        </w:rPr>
        <w:t xml:space="preserve">performed </w:t>
      </w:r>
      <w:r w:rsidR="00FB63A3">
        <w:rPr>
          <w:rFonts w:cs="Times New Roman"/>
          <w:color w:val="auto"/>
        </w:rPr>
        <w:t xml:space="preserve">on 17 May 2002, the CI complained of pain and swelling.  He denied recurrent subluxation, instability, dislocation or locking.  Prolonged standing or walking caused flare-ups, which were alleviated by rest and ice.  </w:t>
      </w:r>
      <w:r w:rsidR="00062CE3">
        <w:rPr>
          <w:rFonts w:cs="Times New Roman"/>
          <w:color w:val="auto"/>
        </w:rPr>
        <w:t xml:space="preserve">Examination showed </w:t>
      </w:r>
      <w:r w:rsidR="00F02A48">
        <w:rPr>
          <w:rFonts w:cs="Times New Roman"/>
          <w:color w:val="auto"/>
        </w:rPr>
        <w:t xml:space="preserve">no swelling and </w:t>
      </w:r>
      <w:r w:rsidR="007F1F3E">
        <w:rPr>
          <w:rFonts w:cs="Times New Roman"/>
          <w:color w:val="auto"/>
        </w:rPr>
        <w:t>no signs of instability;</w:t>
      </w:r>
      <w:r w:rsidR="00062CE3">
        <w:rPr>
          <w:rFonts w:cs="Times New Roman"/>
          <w:color w:val="auto"/>
        </w:rPr>
        <w:t xml:space="preserve"> one </w:t>
      </w:r>
      <w:r w:rsidR="007F1F3E">
        <w:rPr>
          <w:rFonts w:cs="Times New Roman"/>
          <w:color w:val="auto"/>
        </w:rPr>
        <w:t>maneuver</w:t>
      </w:r>
      <w:r w:rsidR="00062CE3">
        <w:rPr>
          <w:rFonts w:cs="Times New Roman"/>
          <w:color w:val="auto"/>
        </w:rPr>
        <w:t xml:space="preserve"> for meniscal injury was positive. </w:t>
      </w:r>
      <w:r w:rsidR="00B426B1">
        <w:rPr>
          <w:rFonts w:cs="Times New Roman"/>
          <w:color w:val="auto"/>
        </w:rPr>
        <w:t xml:space="preserve"> X-rays showed degenerative arthritis.</w:t>
      </w:r>
    </w:p>
    <w:p w:rsidR="00062CE3" w:rsidRDefault="00062CE3" w:rsidP="00FB00AD">
      <w:pPr>
        <w:tabs>
          <w:tab w:val="left" w:pos="288"/>
          <w:tab w:val="left" w:pos="4752"/>
        </w:tabs>
        <w:jc w:val="both"/>
        <w:rPr>
          <w:rFonts w:cs="Times New Roman"/>
          <w:color w:val="auto"/>
        </w:rPr>
      </w:pPr>
    </w:p>
    <w:p w:rsidR="00241B01" w:rsidRPr="00096247" w:rsidRDefault="00AD2379" w:rsidP="00C64FF4">
      <w:pPr>
        <w:tabs>
          <w:tab w:val="left" w:pos="288"/>
          <w:tab w:val="left" w:pos="4752"/>
        </w:tabs>
        <w:jc w:val="both"/>
        <w:rPr>
          <w:rFonts w:eastAsia="Calibri"/>
          <w:color w:val="auto"/>
          <w:szCs w:val="24"/>
        </w:rPr>
      </w:pPr>
      <w:r w:rsidRPr="00096247">
        <w:rPr>
          <w:color w:val="auto"/>
        </w:rPr>
        <w:t>The Board directs attenti</w:t>
      </w:r>
      <w:r w:rsidR="00782CC1" w:rsidRPr="00096247">
        <w:rPr>
          <w:color w:val="auto"/>
        </w:rPr>
        <w:t>on to its rating recommendation</w:t>
      </w:r>
      <w:r w:rsidRPr="00096247">
        <w:rPr>
          <w:color w:val="auto"/>
        </w:rPr>
        <w:t xml:space="preserve"> </w:t>
      </w:r>
      <w:r w:rsidR="00B13A51" w:rsidRPr="00096247">
        <w:rPr>
          <w:color w:val="auto"/>
        </w:rPr>
        <w:t>based on the above evidence</w:t>
      </w:r>
      <w:r w:rsidRPr="00096247">
        <w:rPr>
          <w:color w:val="auto"/>
        </w:rPr>
        <w:t xml:space="preserve">. </w:t>
      </w:r>
      <w:r w:rsidR="00192392" w:rsidRPr="00096247">
        <w:rPr>
          <w:color w:val="auto"/>
        </w:rPr>
        <w:t xml:space="preserve"> </w:t>
      </w:r>
      <w:r w:rsidR="007B128E" w:rsidRPr="00096247">
        <w:rPr>
          <w:color w:val="auto"/>
          <w:szCs w:val="24"/>
        </w:rPr>
        <w:t>The PEB and VA chose different coding options for the condition, but this did not bear on rating.</w:t>
      </w:r>
      <w:r w:rsidR="007B128E" w:rsidRPr="00096247">
        <w:rPr>
          <w:color w:val="FF0000"/>
          <w:szCs w:val="24"/>
        </w:rPr>
        <w:t xml:space="preserve">  </w:t>
      </w:r>
      <w:r w:rsidR="007B128E" w:rsidRPr="00096247">
        <w:rPr>
          <w:color w:val="auto"/>
          <w:szCs w:val="24"/>
        </w:rPr>
        <w:t>The PEB</w:t>
      </w:r>
      <w:r w:rsidR="00C64FF4" w:rsidRPr="00096247">
        <w:rPr>
          <w:color w:val="auto"/>
          <w:szCs w:val="24"/>
        </w:rPr>
        <w:t xml:space="preserve"> assigned a 0% rating with likely</w:t>
      </w:r>
      <w:r w:rsidR="007B128E" w:rsidRPr="00096247">
        <w:rPr>
          <w:color w:val="auto"/>
          <w:szCs w:val="24"/>
        </w:rPr>
        <w:t xml:space="preserve"> application of the </w:t>
      </w:r>
      <w:r w:rsidR="00C64FF4" w:rsidRPr="00096247">
        <w:rPr>
          <w:color w:val="auto"/>
          <w:szCs w:val="24"/>
        </w:rPr>
        <w:t>USAPDA pain policy for rating.</w:t>
      </w:r>
      <w:r w:rsidR="007B128E" w:rsidRPr="00096247">
        <w:rPr>
          <w:color w:val="auto"/>
          <w:szCs w:val="24"/>
        </w:rPr>
        <w:t xml:space="preserve"> </w:t>
      </w:r>
      <w:r w:rsidR="007F1F3E" w:rsidRPr="00096247">
        <w:rPr>
          <w:color w:val="auto"/>
          <w:szCs w:val="24"/>
        </w:rPr>
        <w:t xml:space="preserve"> </w:t>
      </w:r>
      <w:r w:rsidR="007B128E" w:rsidRPr="00096247">
        <w:rPr>
          <w:color w:val="auto"/>
          <w:szCs w:val="24"/>
        </w:rPr>
        <w:t xml:space="preserve">Although limitation of motion was noncompensable, there is sufficient evidence of pain with use (§4.40) to justify a minimal compensable rating under §4.71a.  </w:t>
      </w:r>
      <w:r w:rsidR="00C64FF4" w:rsidRPr="00096247">
        <w:rPr>
          <w:color w:val="auto"/>
          <w:szCs w:val="24"/>
        </w:rPr>
        <w:t xml:space="preserve">The Board could find no support for rating higher than 10% under alternate knee codes.  </w:t>
      </w:r>
      <w:r w:rsidR="00241B01" w:rsidRPr="00096247">
        <w:rPr>
          <w:rFonts w:eastAsia="Calibri"/>
          <w:color w:val="auto"/>
          <w:szCs w:val="24"/>
        </w:rPr>
        <w:t xml:space="preserve">After due deliberation, considering all of the evidence and mindful of VASRD §4.3 (reasonable doubt), the Board recommends a disability rating of </w:t>
      </w:r>
      <w:r w:rsidR="00062CE3" w:rsidRPr="00096247">
        <w:rPr>
          <w:rFonts w:eastAsia="Calibri"/>
          <w:color w:val="auto"/>
          <w:szCs w:val="24"/>
        </w:rPr>
        <w:t>1</w:t>
      </w:r>
      <w:r w:rsidR="00241B01" w:rsidRPr="00096247">
        <w:rPr>
          <w:rFonts w:eastAsia="Calibri"/>
          <w:color w:val="auto"/>
          <w:szCs w:val="24"/>
        </w:rPr>
        <w:t xml:space="preserve">0% for the </w:t>
      </w:r>
      <w:r w:rsidR="00062CE3" w:rsidRPr="00096247">
        <w:rPr>
          <w:rFonts w:eastAsia="Calibri"/>
          <w:color w:val="auto"/>
          <w:szCs w:val="24"/>
        </w:rPr>
        <w:t>right knee</w:t>
      </w:r>
      <w:r w:rsidR="00241B01" w:rsidRPr="00096247">
        <w:rPr>
          <w:rFonts w:eastAsia="Calibri"/>
          <w:color w:val="auto"/>
          <w:szCs w:val="24"/>
        </w:rPr>
        <w:t xml:space="preserve"> condition.</w:t>
      </w:r>
    </w:p>
    <w:p w:rsidR="00C15865" w:rsidRPr="009A7578" w:rsidRDefault="00C15865"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Default="00AD2379" w:rsidP="00560F12">
      <w:pPr>
        <w:jc w:val="both"/>
        <w:rPr>
          <w:rFonts w:eastAsia="Calibri" w:cs="Times New Roman"/>
          <w:color w:val="auto"/>
          <w:szCs w:val="24"/>
        </w:rPr>
      </w:pPr>
      <w:r w:rsidRPr="001F29F9">
        <w:rPr>
          <w:color w:val="000000"/>
          <w:u w:val="single"/>
        </w:rPr>
        <w:lastRenderedPageBreak/>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w:t>
      </w:r>
      <w:r w:rsidR="00096247">
        <w:rPr>
          <w:rFonts w:cs="Times New Roman"/>
          <w:color w:val="auto"/>
        </w:rPr>
        <w:t xml:space="preserve"> </w:t>
      </w:r>
      <w:r w:rsidRPr="00D8352E">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096247">
        <w:rPr>
          <w:rFonts w:eastAsia="Calibri" w:cs="Times New Roman"/>
          <w:color w:val="auto"/>
          <w:szCs w:val="24"/>
        </w:rPr>
        <w:t>the right knee condition</w:t>
      </w:r>
      <w:r w:rsidR="00241B01" w:rsidRPr="00241B01">
        <w:rPr>
          <w:rFonts w:eastAsia="Calibri" w:cs="Times New Roman"/>
          <w:color w:val="auto"/>
          <w:szCs w:val="24"/>
        </w:rPr>
        <w:t xml:space="preserve"> was operant in this case and </w:t>
      </w:r>
      <w:r w:rsidR="001A3A20">
        <w:rPr>
          <w:rFonts w:eastAsia="Calibri" w:cs="Times New Roman"/>
          <w:color w:val="auto"/>
          <w:szCs w:val="24"/>
        </w:rPr>
        <w:t>it</w:t>
      </w:r>
      <w:r w:rsidR="00241B01" w:rsidRPr="00241B01">
        <w:rPr>
          <w:rFonts w:eastAsia="Calibri" w:cs="Times New Roman"/>
          <w:color w:val="auto"/>
          <w:szCs w:val="24"/>
        </w:rPr>
        <w:t xml:space="preserve"> was adjudicated independently of that policy by the Board.</w:t>
      </w:r>
      <w:r w:rsidR="00A81D29">
        <w:rPr>
          <w:rFonts w:eastAsia="Calibri" w:cs="Times New Roman"/>
          <w:color w:val="auto"/>
          <w:szCs w:val="24"/>
        </w:rPr>
        <w:t xml:space="preserve">  </w:t>
      </w:r>
      <w:r w:rsidR="00241B01" w:rsidRPr="00241B01">
        <w:rPr>
          <w:rFonts w:eastAsia="Calibri" w:cs="Times New Roman"/>
          <w:color w:val="auto"/>
          <w:szCs w:val="24"/>
        </w:rPr>
        <w:t xml:space="preserve">In the matter of the </w:t>
      </w:r>
      <w:r w:rsidR="00096247">
        <w:rPr>
          <w:rFonts w:eastAsia="Calibri" w:cs="Times New Roman"/>
          <w:color w:val="auto"/>
          <w:szCs w:val="24"/>
        </w:rPr>
        <w:t>chronic right knee pain</w:t>
      </w:r>
      <w:r w:rsidR="00241B01" w:rsidRPr="00241B01">
        <w:rPr>
          <w:rFonts w:eastAsia="Calibri" w:cs="Times New Roman"/>
          <w:color w:val="auto"/>
          <w:szCs w:val="24"/>
        </w:rPr>
        <w:t xml:space="preserve"> condition, the </w:t>
      </w:r>
      <w:r w:rsidR="00241B01" w:rsidRPr="00A81D29">
        <w:rPr>
          <w:rFonts w:eastAsia="Calibri" w:cs="Times New Roman"/>
          <w:color w:val="auto"/>
          <w:szCs w:val="24"/>
        </w:rPr>
        <w:t>Board unanimously</w:t>
      </w:r>
      <w:r w:rsidR="00096247" w:rsidRPr="00A81D29">
        <w:rPr>
          <w:rFonts w:eastAsia="Calibri" w:cs="Times New Roman"/>
          <w:color w:val="auto"/>
          <w:szCs w:val="24"/>
        </w:rPr>
        <w:t xml:space="preserve"> recommends</w:t>
      </w:r>
      <w:r w:rsidR="00096247">
        <w:rPr>
          <w:rFonts w:eastAsia="Calibri" w:cs="Times New Roman"/>
          <w:color w:val="auto"/>
          <w:szCs w:val="24"/>
        </w:rPr>
        <w:t xml:space="preserve"> a </w:t>
      </w:r>
      <w:r w:rsidR="00241B01" w:rsidRPr="00241B01">
        <w:rPr>
          <w:rFonts w:eastAsia="Calibri" w:cs="Times New Roman"/>
          <w:color w:val="auto"/>
          <w:szCs w:val="24"/>
        </w:rPr>
        <w:t xml:space="preserve">disability rating of </w:t>
      </w:r>
      <w:r w:rsidR="00096247">
        <w:rPr>
          <w:rFonts w:eastAsia="Calibri" w:cs="Times New Roman"/>
          <w:color w:val="auto"/>
          <w:szCs w:val="24"/>
        </w:rPr>
        <w:t>1</w:t>
      </w:r>
      <w:r w:rsidR="00241B01" w:rsidRPr="00241B01">
        <w:rPr>
          <w:rFonts w:eastAsia="Calibri" w:cs="Times New Roman"/>
          <w:color w:val="auto"/>
          <w:szCs w:val="24"/>
        </w:rPr>
        <w:t xml:space="preserve">0%, coded </w:t>
      </w:r>
      <w:r w:rsidR="00096247">
        <w:rPr>
          <w:rFonts w:eastAsia="Calibri" w:cs="Times New Roman"/>
          <w:color w:val="auto"/>
          <w:szCs w:val="24"/>
        </w:rPr>
        <w:t>5299-5003</w:t>
      </w:r>
      <w:r w:rsidR="00E36080">
        <w:rPr>
          <w:rFonts w:eastAsia="Calibri" w:cs="Times New Roman"/>
          <w:color w:val="auto"/>
          <w:szCs w:val="24"/>
        </w:rPr>
        <w:t>,</w:t>
      </w:r>
      <w:r w:rsidR="00241B01" w:rsidRPr="00241B01">
        <w:rPr>
          <w:rFonts w:eastAsia="Calibri" w:cs="Times New Roman"/>
          <w:color w:val="auto"/>
          <w:szCs w:val="24"/>
        </w:rPr>
        <w:t xml:space="preserve"> IAW VASRD </w:t>
      </w:r>
      <w:r w:rsidR="00241B01" w:rsidRPr="00A81D29">
        <w:rPr>
          <w:rFonts w:eastAsia="Calibri" w:cs="Times New Roman"/>
          <w:color w:val="auto"/>
          <w:szCs w:val="24"/>
        </w:rPr>
        <w:t>§4.71a.</w:t>
      </w:r>
      <w:r w:rsidR="00A81D29">
        <w:rPr>
          <w:rFonts w:eastAsia="Calibri" w:cs="Times New Roman"/>
          <w:color w:val="auto"/>
          <w:szCs w:val="24"/>
        </w:rPr>
        <w:t xml:space="preserve">  </w:t>
      </w:r>
      <w:r w:rsidR="00B55FB5"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565636" w:rsidRDefault="00AD2379" w:rsidP="00A81D29">
      <w:pPr>
        <w:jc w:val="left"/>
        <w:rPr>
          <w:rFonts w:eastAsia="Calibri" w:cs="Times New Roman"/>
          <w:color w:val="000080"/>
          <w:szCs w:val="24"/>
        </w:rPr>
      </w:pPr>
      <w:r w:rsidRPr="009A7578">
        <w:rPr>
          <w:color w:val="000000"/>
          <w:u w:val="single"/>
        </w:rPr>
        <w:t>RECOMMENDATION</w:t>
      </w:r>
      <w:r w:rsidRPr="009A7578">
        <w:rPr>
          <w:color w:val="000000"/>
        </w:rPr>
        <w:t>:</w:t>
      </w:r>
      <w:r w:rsidR="00A81D29">
        <w:rPr>
          <w:color w:val="000000"/>
        </w:rPr>
        <w:t xml:space="preserve"> </w:t>
      </w:r>
      <w:r w:rsidRPr="009A7578">
        <w:rPr>
          <w:color w:val="000000"/>
        </w:rPr>
        <w:t xml:space="preserve"> </w:t>
      </w:r>
      <w:r w:rsidR="00565636" w:rsidRPr="00565636">
        <w:rPr>
          <w:rFonts w:eastAsia="Calibri" w:cs="Times New Roman"/>
          <w:color w:val="auto"/>
          <w:szCs w:val="24"/>
        </w:rPr>
        <w:t>The Board recommends that the CI’s prior determination be modified as follows, effective as of the date of his prior medical separation</w:t>
      </w:r>
      <w:r w:rsidR="00287122">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071071" w:rsidP="00BF0E94">
            <w:pPr>
              <w:tabs>
                <w:tab w:val="left" w:pos="288"/>
                <w:tab w:val="left" w:pos="4752"/>
              </w:tabs>
              <w:jc w:val="left"/>
              <w:rPr>
                <w:color w:val="000000"/>
              </w:rPr>
            </w:pPr>
            <w:r>
              <w:rPr>
                <w:color w:val="000000"/>
              </w:rPr>
              <w:t>C</w:t>
            </w:r>
            <w:r w:rsidR="00096247">
              <w:rPr>
                <w:color w:val="000000"/>
              </w:rPr>
              <w:t>hronic Right Knee Pain</w:t>
            </w:r>
          </w:p>
        </w:tc>
        <w:tc>
          <w:tcPr>
            <w:tcW w:w="1530" w:type="dxa"/>
            <w:vAlign w:val="center"/>
          </w:tcPr>
          <w:p w:rsidR="00AD2379" w:rsidRPr="000D5DBE" w:rsidRDefault="00096247" w:rsidP="00BF0E94">
            <w:pPr>
              <w:tabs>
                <w:tab w:val="left" w:pos="288"/>
                <w:tab w:val="left" w:pos="4752"/>
              </w:tabs>
              <w:rPr>
                <w:color w:val="000000"/>
              </w:rPr>
            </w:pPr>
            <w:r>
              <w:rPr>
                <w:color w:val="000000"/>
              </w:rPr>
              <w:t>5299-5003</w:t>
            </w:r>
          </w:p>
        </w:tc>
        <w:tc>
          <w:tcPr>
            <w:tcW w:w="1026" w:type="dxa"/>
            <w:vAlign w:val="center"/>
          </w:tcPr>
          <w:p w:rsidR="00AD2379" w:rsidRPr="000D5DBE" w:rsidRDefault="00096247"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096247"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C35211" w:rsidRPr="00C35211">
        <w:rPr>
          <w:color w:val="000000"/>
        </w:rPr>
        <w:t>201</w:t>
      </w:r>
      <w:r w:rsidR="00C35211">
        <w:rPr>
          <w:color w:val="000000"/>
        </w:rPr>
        <w:t>20602</w:t>
      </w:r>
      <w:r w:rsidRPr="001F29F9">
        <w:rPr>
          <w:color w:val="000000"/>
        </w:rPr>
        <w:t>, w/</w:t>
      </w:r>
      <w:proofErr w:type="spellStart"/>
      <w:r w:rsidRPr="001F29F9">
        <w:rPr>
          <w:color w:val="000000"/>
        </w:rPr>
        <w:t>atchs</w:t>
      </w:r>
      <w:proofErr w:type="spellEnd"/>
      <w:r w:rsidRPr="001F29F9">
        <w:rPr>
          <w:color w:val="000000"/>
        </w:rPr>
        <w:t>.</w:t>
      </w:r>
    </w:p>
    <w:p w:rsidR="00AD2379" w:rsidRPr="001F29F9" w:rsidRDefault="00AD2379" w:rsidP="005144A7">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AD2379" w:rsidRPr="001F29F9" w:rsidRDefault="00AD2379" w:rsidP="005144A7">
      <w:pPr>
        <w:tabs>
          <w:tab w:val="left" w:pos="288"/>
          <w:tab w:val="left" w:pos="4752"/>
        </w:tabs>
        <w:jc w:val="both"/>
        <w:rPr>
          <w:color w:val="000000"/>
        </w:rPr>
      </w:pPr>
      <w:r w:rsidRPr="001F29F9">
        <w:rPr>
          <w:color w:val="000000"/>
        </w:rPr>
        <w:t>Exhibit C.  Department of Veteran</w:t>
      </w:r>
      <w:r w:rsidR="001E3BE9">
        <w:rPr>
          <w:color w:val="000000"/>
        </w:rPr>
        <w:t>’</w:t>
      </w:r>
      <w:r w:rsidRPr="001F29F9">
        <w:rPr>
          <w:color w:val="000000"/>
        </w:rPr>
        <w:t>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8343E1">
        <w:rPr>
          <w:color w:val="000000"/>
        </w:rPr>
        <w:t>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8343E1" w:rsidRDefault="00AD2379" w:rsidP="00BF0E94">
      <w:pPr>
        <w:tabs>
          <w:tab w:val="left" w:pos="0"/>
          <w:tab w:val="left" w:pos="4320"/>
        </w:tabs>
        <w:jc w:val="both"/>
        <w:rPr>
          <w:color w:val="000000"/>
        </w:rPr>
      </w:pPr>
      <w:r w:rsidRPr="001F29F9">
        <w:rPr>
          <w:color w:val="000000"/>
        </w:rPr>
        <w:tab/>
        <w:t xml:space="preserve">           Physical Disability Board of Review</w:t>
      </w:r>
    </w:p>
    <w:p w:rsidR="008343E1" w:rsidRDefault="008343E1">
      <w:pPr>
        <w:spacing w:line="240" w:lineRule="auto"/>
        <w:jc w:val="left"/>
        <w:rPr>
          <w:color w:val="000000"/>
        </w:rPr>
      </w:pPr>
      <w:r>
        <w:rPr>
          <w:color w:val="000000"/>
        </w:rPr>
        <w:br w:type="page"/>
      </w:r>
    </w:p>
    <w:p w:rsidR="008343E1" w:rsidRDefault="008343E1" w:rsidP="008343E1">
      <w:pPr>
        <w:sectPr w:rsidR="008343E1">
          <w:pgSz w:w="12240" w:h="15840"/>
          <w:pgMar w:top="2160" w:right="1440" w:bottom="1440" w:left="1440" w:header="720" w:footer="720" w:gutter="0"/>
          <w:cols w:space="720"/>
        </w:sectPr>
      </w:pPr>
    </w:p>
    <w:p w:rsidR="008343E1" w:rsidRDefault="008343E1" w:rsidP="008343E1">
      <w:pPr>
        <w:pStyle w:val="Header"/>
        <w:tabs>
          <w:tab w:val="left" w:pos="720"/>
        </w:tabs>
        <w:jc w:val="left"/>
      </w:pPr>
      <w:r>
        <w:lastRenderedPageBreak/>
        <w:t>SFMR-RB</w:t>
      </w:r>
      <w:r>
        <w:tab/>
      </w:r>
      <w:r>
        <w:tab/>
      </w:r>
      <w:r>
        <w:tab/>
      </w:r>
      <w:r>
        <w:tab/>
      </w:r>
      <w:r>
        <w:tab/>
      </w:r>
      <w:r>
        <w:tab/>
      </w:r>
      <w:r>
        <w:tab/>
      </w:r>
      <w:r>
        <w:tab/>
      </w:r>
      <w:r>
        <w:tab/>
      </w:r>
    </w:p>
    <w:p w:rsidR="008343E1" w:rsidRDefault="008343E1" w:rsidP="008343E1">
      <w:pPr>
        <w:pStyle w:val="Header"/>
        <w:tabs>
          <w:tab w:val="left" w:pos="720"/>
        </w:tabs>
        <w:jc w:val="left"/>
      </w:pPr>
    </w:p>
    <w:p w:rsidR="008343E1" w:rsidRDefault="008343E1" w:rsidP="008343E1">
      <w:pPr>
        <w:jc w:val="left"/>
      </w:pPr>
    </w:p>
    <w:p w:rsidR="008343E1" w:rsidRDefault="008343E1" w:rsidP="008343E1">
      <w:pPr>
        <w:jc w:val="left"/>
      </w:pPr>
      <w:r>
        <w:t xml:space="preserve">MEMORANDUM FOR Commander, US Army Physical Disability Agency </w:t>
      </w:r>
    </w:p>
    <w:p w:rsidR="008343E1" w:rsidRDefault="008343E1" w:rsidP="008343E1">
      <w:pPr>
        <w:jc w:val="left"/>
      </w:pPr>
      <w:r>
        <w:t xml:space="preserve">(TAPD-ZB </w:t>
      </w:r>
      <w:proofErr w:type="gramStart"/>
      <w:r>
        <w:t>/  )</w:t>
      </w:r>
      <w:proofErr w:type="gramEnd"/>
      <w:r>
        <w:t>, 2900 Crystal Drive, Suite 300, Arlington, VA  22202-3557</w:t>
      </w:r>
    </w:p>
    <w:p w:rsidR="008343E1" w:rsidRDefault="008343E1" w:rsidP="008343E1">
      <w:pPr>
        <w:jc w:val="left"/>
      </w:pPr>
    </w:p>
    <w:p w:rsidR="008343E1" w:rsidRDefault="008343E1" w:rsidP="008343E1">
      <w:pPr>
        <w:jc w:val="left"/>
      </w:pPr>
    </w:p>
    <w:p w:rsidR="008343E1" w:rsidRDefault="008343E1" w:rsidP="008343E1">
      <w:pPr>
        <w:ind w:right="-180"/>
        <w:jc w:val="left"/>
      </w:pPr>
      <w:r>
        <w:t xml:space="preserve">SUBJECT:  Department of Defense Physical Disability Board of Review Recommendation </w:t>
      </w:r>
    </w:p>
    <w:p w:rsidR="008343E1" w:rsidRDefault="008343E1" w:rsidP="008343E1">
      <w:pPr>
        <w:pStyle w:val="Header"/>
        <w:tabs>
          <w:tab w:val="left" w:pos="720"/>
        </w:tabs>
        <w:jc w:val="left"/>
      </w:pPr>
      <w:proofErr w:type="gramStart"/>
      <w:r>
        <w:t>for</w:t>
      </w:r>
      <w:proofErr w:type="gramEnd"/>
      <w:r>
        <w:t xml:space="preserve"> XXXXXXXXXXXXXXX, AR20120019876 (PD201200776)</w:t>
      </w:r>
    </w:p>
    <w:p w:rsidR="008343E1" w:rsidRDefault="008343E1" w:rsidP="008343E1">
      <w:pPr>
        <w:pStyle w:val="Header"/>
        <w:tabs>
          <w:tab w:val="left" w:pos="720"/>
        </w:tabs>
        <w:jc w:val="left"/>
      </w:pPr>
    </w:p>
    <w:p w:rsidR="008343E1" w:rsidRDefault="008343E1" w:rsidP="008343E1">
      <w:pPr>
        <w:jc w:val="left"/>
      </w:pPr>
    </w:p>
    <w:p w:rsidR="008343E1" w:rsidRDefault="008343E1" w:rsidP="008343E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8343E1" w:rsidRDefault="008343E1" w:rsidP="008343E1">
      <w:pPr>
        <w:jc w:val="left"/>
      </w:pPr>
    </w:p>
    <w:p w:rsidR="008343E1" w:rsidRDefault="008343E1" w:rsidP="008343E1">
      <w:pPr>
        <w:jc w:val="left"/>
      </w:pPr>
      <w:r>
        <w:t xml:space="preserve">2.  I direct that all the Department of the Army records of the individual concerned be corrected accordingly no later than 120 days from the date of this memorandum.   </w:t>
      </w:r>
    </w:p>
    <w:p w:rsidR="008343E1" w:rsidRDefault="008343E1" w:rsidP="008343E1">
      <w:pPr>
        <w:jc w:val="left"/>
      </w:pPr>
    </w:p>
    <w:p w:rsidR="008343E1" w:rsidRDefault="008343E1" w:rsidP="008343E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343E1" w:rsidRDefault="008343E1" w:rsidP="008343E1">
      <w:pPr>
        <w:jc w:val="left"/>
      </w:pPr>
    </w:p>
    <w:p w:rsidR="008343E1" w:rsidRDefault="008343E1" w:rsidP="008343E1">
      <w:pPr>
        <w:jc w:val="left"/>
      </w:pPr>
      <w:r>
        <w:t xml:space="preserve"> BY ORDER OF THE SECRETARY OF THE ARMY:</w:t>
      </w:r>
    </w:p>
    <w:p w:rsidR="008343E1" w:rsidRDefault="008343E1" w:rsidP="008343E1">
      <w:pPr>
        <w:jc w:val="left"/>
      </w:pPr>
    </w:p>
    <w:p w:rsidR="008343E1" w:rsidRDefault="008343E1" w:rsidP="008343E1">
      <w:pPr>
        <w:jc w:val="left"/>
      </w:pPr>
    </w:p>
    <w:p w:rsidR="008343E1" w:rsidRDefault="008343E1" w:rsidP="008343E1">
      <w:pPr>
        <w:pStyle w:val="Header"/>
        <w:tabs>
          <w:tab w:val="left" w:pos="720"/>
        </w:tabs>
        <w:jc w:val="left"/>
      </w:pPr>
    </w:p>
    <w:p w:rsidR="008343E1" w:rsidRDefault="008343E1" w:rsidP="008343E1">
      <w:pPr>
        <w:jc w:val="left"/>
      </w:pPr>
    </w:p>
    <w:p w:rsidR="008343E1" w:rsidRDefault="008343E1" w:rsidP="008343E1">
      <w:pPr>
        <w:jc w:val="left"/>
      </w:pPr>
      <w:bookmarkStart w:id="0" w:name="OLE_LINK4"/>
      <w:bookmarkStart w:id="1" w:name="OLE_LINK3"/>
      <w:r>
        <w:t>Encl</w:t>
      </w:r>
      <w:r>
        <w:tab/>
      </w:r>
      <w:r>
        <w:tab/>
      </w:r>
      <w:r>
        <w:tab/>
      </w:r>
      <w:r>
        <w:tab/>
      </w:r>
      <w:r>
        <w:tab/>
      </w:r>
      <w:r>
        <w:tab/>
        <w:t xml:space="preserve">     XXXXXXXXXXXXXXXXX</w:t>
      </w:r>
    </w:p>
    <w:p w:rsidR="008343E1" w:rsidRDefault="008343E1" w:rsidP="008343E1">
      <w:pPr>
        <w:jc w:val="left"/>
      </w:pPr>
      <w:r>
        <w:tab/>
      </w:r>
      <w:r>
        <w:tab/>
      </w:r>
      <w:r>
        <w:tab/>
      </w:r>
      <w:r>
        <w:tab/>
      </w:r>
      <w:r>
        <w:tab/>
      </w:r>
      <w:r>
        <w:tab/>
        <w:t xml:space="preserve">     Deputy Assistant Secretary</w:t>
      </w:r>
    </w:p>
    <w:p w:rsidR="008343E1" w:rsidRDefault="008343E1" w:rsidP="008343E1">
      <w:pPr>
        <w:jc w:val="left"/>
      </w:pPr>
      <w:r>
        <w:tab/>
      </w:r>
      <w:r>
        <w:tab/>
      </w:r>
      <w:r>
        <w:tab/>
      </w:r>
      <w:r>
        <w:tab/>
      </w:r>
      <w:r>
        <w:tab/>
      </w:r>
      <w:r>
        <w:tab/>
        <w:t xml:space="preserve">         (Army Review Boards)</w:t>
      </w:r>
      <w:bookmarkEnd w:id="0"/>
      <w:bookmarkEnd w:id="1"/>
    </w:p>
    <w:p w:rsidR="008343E1" w:rsidRDefault="008343E1" w:rsidP="008343E1">
      <w:pPr>
        <w:jc w:val="left"/>
      </w:pPr>
    </w:p>
    <w:p w:rsidR="008343E1" w:rsidRDefault="008343E1" w:rsidP="008343E1">
      <w:pPr>
        <w:jc w:val="left"/>
      </w:pPr>
      <w:r>
        <w:t xml:space="preserve">CF: </w:t>
      </w:r>
    </w:p>
    <w:p w:rsidR="008343E1" w:rsidRDefault="008343E1" w:rsidP="008343E1">
      <w:pPr>
        <w:jc w:val="left"/>
      </w:pPr>
      <w:r>
        <w:t xml:space="preserve">(  ) </w:t>
      </w:r>
      <w:proofErr w:type="spellStart"/>
      <w:proofErr w:type="gramStart"/>
      <w:r>
        <w:t>DoD</w:t>
      </w:r>
      <w:proofErr w:type="spellEnd"/>
      <w:proofErr w:type="gramEnd"/>
      <w:r>
        <w:t xml:space="preserve"> PDBR</w:t>
      </w:r>
    </w:p>
    <w:p w:rsidR="008343E1" w:rsidRDefault="008343E1" w:rsidP="008343E1">
      <w:pPr>
        <w:jc w:val="left"/>
      </w:pPr>
      <w:r>
        <w:t>(  ) DVA</w:t>
      </w:r>
    </w:p>
    <w:p w:rsidR="00AD2379" w:rsidRPr="001F29F9" w:rsidRDefault="00AD2379" w:rsidP="008343E1">
      <w:pPr>
        <w:tabs>
          <w:tab w:val="left" w:pos="0"/>
          <w:tab w:val="left" w:pos="4320"/>
        </w:tabs>
        <w:jc w:val="left"/>
        <w:rPr>
          <w:color w:val="000000"/>
        </w:rPr>
      </w:pPr>
    </w:p>
    <w:sectPr w:rsidR="00AD2379" w:rsidRPr="001F29F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BF" w:rsidRDefault="00475FBF">
      <w:r>
        <w:separator/>
      </w:r>
    </w:p>
  </w:endnote>
  <w:endnote w:type="continuationSeparator" w:id="0">
    <w:p w:rsidR="00475FBF" w:rsidRDefault="00475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8343E1" w:rsidRPr="008343E1">
        <w:rPr>
          <w:noProof/>
          <w:color w:val="auto"/>
        </w:rPr>
        <w:t>4</w:t>
      </w:r>
    </w:fldSimple>
    <w:r w:rsidRPr="00374247">
      <w:rPr>
        <w:color w:val="auto"/>
      </w:rPr>
      <w:t xml:space="preserve">                                                           </w:t>
    </w:r>
    <w:r w:rsidRPr="001D64F3">
      <w:rPr>
        <w:color w:val="auto"/>
      </w:rPr>
      <w:t>PD1</w:t>
    </w:r>
    <w:r w:rsidR="003D4C24">
      <w:rPr>
        <w:color w:val="auto"/>
      </w:rPr>
      <w:t>2007</w:t>
    </w:r>
    <w:r w:rsidR="00F04770">
      <w:rPr>
        <w:color w:val="auto"/>
      </w:rPr>
      <w:t>76</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BF" w:rsidRDefault="00475FBF">
      <w:r>
        <w:separator/>
      </w:r>
    </w:p>
  </w:footnote>
  <w:footnote w:type="continuationSeparator" w:id="0">
    <w:p w:rsidR="00475FBF" w:rsidRDefault="00475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1062DF"/>
    <w:multiLevelType w:val="hybridMultilevel"/>
    <w:tmpl w:val="44886578"/>
    <w:lvl w:ilvl="0" w:tplc="9B7EE1E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93B51"/>
    <w:multiLevelType w:val="hybridMultilevel"/>
    <w:tmpl w:val="48266652"/>
    <w:lvl w:ilvl="0" w:tplc="14EC075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1"/>
  </w:num>
  <w:num w:numId="18">
    <w:abstractNumId w:val="11"/>
  </w:num>
  <w:num w:numId="19">
    <w:abstractNumId w:val="14"/>
  </w:num>
  <w:num w:numId="20">
    <w:abstractNumId w:val="20"/>
  </w:num>
  <w:num w:numId="21">
    <w:abstractNumId w:val="16"/>
  </w:num>
  <w:num w:numId="22">
    <w:abstractNumId w:val="2"/>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46D1"/>
    <w:rsid w:val="000452D7"/>
    <w:rsid w:val="00051622"/>
    <w:rsid w:val="00051A11"/>
    <w:rsid w:val="00051F89"/>
    <w:rsid w:val="00052234"/>
    <w:rsid w:val="00053D7C"/>
    <w:rsid w:val="000575C5"/>
    <w:rsid w:val="000577C9"/>
    <w:rsid w:val="00060C18"/>
    <w:rsid w:val="00060FFD"/>
    <w:rsid w:val="00061D69"/>
    <w:rsid w:val="00062CE3"/>
    <w:rsid w:val="0006431E"/>
    <w:rsid w:val="00065119"/>
    <w:rsid w:val="000652EA"/>
    <w:rsid w:val="00065E21"/>
    <w:rsid w:val="000673ED"/>
    <w:rsid w:val="00067854"/>
    <w:rsid w:val="00070DED"/>
    <w:rsid w:val="00071071"/>
    <w:rsid w:val="00072433"/>
    <w:rsid w:val="00072B3E"/>
    <w:rsid w:val="0007488B"/>
    <w:rsid w:val="00074E19"/>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6247"/>
    <w:rsid w:val="00097B9B"/>
    <w:rsid w:val="000A2BCE"/>
    <w:rsid w:val="000A31E2"/>
    <w:rsid w:val="000A33C8"/>
    <w:rsid w:val="000A36DF"/>
    <w:rsid w:val="000A41E3"/>
    <w:rsid w:val="000A4BBA"/>
    <w:rsid w:val="000A5071"/>
    <w:rsid w:val="000A74E3"/>
    <w:rsid w:val="000B0AD2"/>
    <w:rsid w:val="000B1022"/>
    <w:rsid w:val="000B2FB8"/>
    <w:rsid w:val="000B471C"/>
    <w:rsid w:val="000B4C99"/>
    <w:rsid w:val="000C06F6"/>
    <w:rsid w:val="000C15F8"/>
    <w:rsid w:val="000C1D34"/>
    <w:rsid w:val="000C2362"/>
    <w:rsid w:val="000C2FA8"/>
    <w:rsid w:val="000C3AA1"/>
    <w:rsid w:val="000C3C13"/>
    <w:rsid w:val="000C46B7"/>
    <w:rsid w:val="000C4D5F"/>
    <w:rsid w:val="000C53F9"/>
    <w:rsid w:val="000C5813"/>
    <w:rsid w:val="000C6979"/>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5DA6"/>
    <w:rsid w:val="000E7034"/>
    <w:rsid w:val="000F02BE"/>
    <w:rsid w:val="000F0928"/>
    <w:rsid w:val="000F0B3D"/>
    <w:rsid w:val="000F1E65"/>
    <w:rsid w:val="000F2F2B"/>
    <w:rsid w:val="000F427B"/>
    <w:rsid w:val="000F43D0"/>
    <w:rsid w:val="000F4504"/>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AA2"/>
    <w:rsid w:val="001374C7"/>
    <w:rsid w:val="00140FA4"/>
    <w:rsid w:val="00141BC9"/>
    <w:rsid w:val="001421FD"/>
    <w:rsid w:val="001425C8"/>
    <w:rsid w:val="00142EBA"/>
    <w:rsid w:val="00143AC7"/>
    <w:rsid w:val="00143B79"/>
    <w:rsid w:val="00145965"/>
    <w:rsid w:val="00150B8A"/>
    <w:rsid w:val="00150DCB"/>
    <w:rsid w:val="00151912"/>
    <w:rsid w:val="00152466"/>
    <w:rsid w:val="00152B75"/>
    <w:rsid w:val="00153740"/>
    <w:rsid w:val="001537D8"/>
    <w:rsid w:val="00153D88"/>
    <w:rsid w:val="001541C5"/>
    <w:rsid w:val="00154C7D"/>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48E0"/>
    <w:rsid w:val="001A5320"/>
    <w:rsid w:val="001A5E62"/>
    <w:rsid w:val="001A6848"/>
    <w:rsid w:val="001A7538"/>
    <w:rsid w:val="001B06FB"/>
    <w:rsid w:val="001B0B1A"/>
    <w:rsid w:val="001B20E6"/>
    <w:rsid w:val="001B3046"/>
    <w:rsid w:val="001B4C0B"/>
    <w:rsid w:val="001B4CFC"/>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E51"/>
    <w:rsid w:val="001E2FF1"/>
    <w:rsid w:val="001E3BE9"/>
    <w:rsid w:val="001E3FE1"/>
    <w:rsid w:val="001E41FE"/>
    <w:rsid w:val="001E4989"/>
    <w:rsid w:val="001E572D"/>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DEF"/>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0F4"/>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05C2"/>
    <w:rsid w:val="002810A4"/>
    <w:rsid w:val="0028261C"/>
    <w:rsid w:val="00282DB6"/>
    <w:rsid w:val="002833E3"/>
    <w:rsid w:val="00284A26"/>
    <w:rsid w:val="00285095"/>
    <w:rsid w:val="00286B5A"/>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1415"/>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BAC"/>
    <w:rsid w:val="00331C13"/>
    <w:rsid w:val="003320E8"/>
    <w:rsid w:val="0033238E"/>
    <w:rsid w:val="003328FD"/>
    <w:rsid w:val="00332DE3"/>
    <w:rsid w:val="003330FA"/>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270"/>
    <w:rsid w:val="003618B6"/>
    <w:rsid w:val="0036199A"/>
    <w:rsid w:val="003620C8"/>
    <w:rsid w:val="00363087"/>
    <w:rsid w:val="00363112"/>
    <w:rsid w:val="0036319E"/>
    <w:rsid w:val="003632A4"/>
    <w:rsid w:val="00363362"/>
    <w:rsid w:val="0036392A"/>
    <w:rsid w:val="00364CAB"/>
    <w:rsid w:val="00365384"/>
    <w:rsid w:val="00365767"/>
    <w:rsid w:val="003658CB"/>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5D24"/>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4C24"/>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3F798C"/>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09E2"/>
    <w:rsid w:val="00451F9D"/>
    <w:rsid w:val="00452AD5"/>
    <w:rsid w:val="00453167"/>
    <w:rsid w:val="0045353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5FBF"/>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3581"/>
    <w:rsid w:val="00514449"/>
    <w:rsid w:val="005144A7"/>
    <w:rsid w:val="00515419"/>
    <w:rsid w:val="005157BD"/>
    <w:rsid w:val="005214A3"/>
    <w:rsid w:val="005222E7"/>
    <w:rsid w:val="00523488"/>
    <w:rsid w:val="005234CC"/>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BEE"/>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2D73"/>
    <w:rsid w:val="005738F5"/>
    <w:rsid w:val="00573D34"/>
    <w:rsid w:val="00574A1B"/>
    <w:rsid w:val="00575963"/>
    <w:rsid w:val="00575EBE"/>
    <w:rsid w:val="00575F32"/>
    <w:rsid w:val="00576718"/>
    <w:rsid w:val="0058039C"/>
    <w:rsid w:val="00580A63"/>
    <w:rsid w:val="005830B1"/>
    <w:rsid w:val="00583379"/>
    <w:rsid w:val="005835BE"/>
    <w:rsid w:val="0058417C"/>
    <w:rsid w:val="005854F9"/>
    <w:rsid w:val="00586EC6"/>
    <w:rsid w:val="00587DDE"/>
    <w:rsid w:val="0059027D"/>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374"/>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46EB"/>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032"/>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CDF"/>
    <w:rsid w:val="00665D75"/>
    <w:rsid w:val="006708E3"/>
    <w:rsid w:val="00670DDC"/>
    <w:rsid w:val="00671389"/>
    <w:rsid w:val="00671EB4"/>
    <w:rsid w:val="00673CDC"/>
    <w:rsid w:val="0067443B"/>
    <w:rsid w:val="0067679D"/>
    <w:rsid w:val="006770AA"/>
    <w:rsid w:val="00680450"/>
    <w:rsid w:val="0068098E"/>
    <w:rsid w:val="00680F4C"/>
    <w:rsid w:val="006810BD"/>
    <w:rsid w:val="00682486"/>
    <w:rsid w:val="006833A7"/>
    <w:rsid w:val="00684CE6"/>
    <w:rsid w:val="00684E2B"/>
    <w:rsid w:val="006857A0"/>
    <w:rsid w:val="006869F2"/>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6E2C"/>
    <w:rsid w:val="006A714F"/>
    <w:rsid w:val="006A752D"/>
    <w:rsid w:val="006A75FA"/>
    <w:rsid w:val="006B07D5"/>
    <w:rsid w:val="006B1309"/>
    <w:rsid w:val="006B31E6"/>
    <w:rsid w:val="006B3463"/>
    <w:rsid w:val="006B3923"/>
    <w:rsid w:val="006B3F3E"/>
    <w:rsid w:val="006B4056"/>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069"/>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29F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28EC"/>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40B"/>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783"/>
    <w:rsid w:val="00797801"/>
    <w:rsid w:val="007A0861"/>
    <w:rsid w:val="007A0B39"/>
    <w:rsid w:val="007A14A4"/>
    <w:rsid w:val="007A168F"/>
    <w:rsid w:val="007A2346"/>
    <w:rsid w:val="007A28E4"/>
    <w:rsid w:val="007A2B9A"/>
    <w:rsid w:val="007A3BB3"/>
    <w:rsid w:val="007A3F91"/>
    <w:rsid w:val="007A3F9C"/>
    <w:rsid w:val="007A4B72"/>
    <w:rsid w:val="007A5AD1"/>
    <w:rsid w:val="007A5B7B"/>
    <w:rsid w:val="007A65A9"/>
    <w:rsid w:val="007A7FD8"/>
    <w:rsid w:val="007B0128"/>
    <w:rsid w:val="007B0635"/>
    <w:rsid w:val="007B0A06"/>
    <w:rsid w:val="007B0B24"/>
    <w:rsid w:val="007B0F8B"/>
    <w:rsid w:val="007B128E"/>
    <w:rsid w:val="007B1C83"/>
    <w:rsid w:val="007B3B32"/>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5176"/>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1F3E"/>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851"/>
    <w:rsid w:val="00830999"/>
    <w:rsid w:val="00830D5E"/>
    <w:rsid w:val="00830F69"/>
    <w:rsid w:val="00831940"/>
    <w:rsid w:val="00831CAC"/>
    <w:rsid w:val="008324D9"/>
    <w:rsid w:val="00833170"/>
    <w:rsid w:val="00833418"/>
    <w:rsid w:val="0083387F"/>
    <w:rsid w:val="008343E1"/>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54BC"/>
    <w:rsid w:val="00856428"/>
    <w:rsid w:val="00856693"/>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B71F1"/>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03A8"/>
    <w:rsid w:val="00921CFD"/>
    <w:rsid w:val="009220DC"/>
    <w:rsid w:val="009228D1"/>
    <w:rsid w:val="00923B25"/>
    <w:rsid w:val="0092402E"/>
    <w:rsid w:val="009259BA"/>
    <w:rsid w:val="00926C0A"/>
    <w:rsid w:val="00926FCB"/>
    <w:rsid w:val="009303BB"/>
    <w:rsid w:val="0093108A"/>
    <w:rsid w:val="009319EF"/>
    <w:rsid w:val="00931B6D"/>
    <w:rsid w:val="00932549"/>
    <w:rsid w:val="0093311A"/>
    <w:rsid w:val="0093443E"/>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D56"/>
    <w:rsid w:val="00960ED5"/>
    <w:rsid w:val="009611B8"/>
    <w:rsid w:val="0096168C"/>
    <w:rsid w:val="00961840"/>
    <w:rsid w:val="009625E3"/>
    <w:rsid w:val="00962F2D"/>
    <w:rsid w:val="00963A7A"/>
    <w:rsid w:val="00964058"/>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5B18"/>
    <w:rsid w:val="009A5D99"/>
    <w:rsid w:val="009A66C5"/>
    <w:rsid w:val="009A66E7"/>
    <w:rsid w:val="009A7578"/>
    <w:rsid w:val="009A79BA"/>
    <w:rsid w:val="009B10F9"/>
    <w:rsid w:val="009B14D1"/>
    <w:rsid w:val="009B1534"/>
    <w:rsid w:val="009B4963"/>
    <w:rsid w:val="009B4A3B"/>
    <w:rsid w:val="009B557B"/>
    <w:rsid w:val="009B6023"/>
    <w:rsid w:val="009B6808"/>
    <w:rsid w:val="009B69D3"/>
    <w:rsid w:val="009B721E"/>
    <w:rsid w:val="009B7BA7"/>
    <w:rsid w:val="009B7C01"/>
    <w:rsid w:val="009B7FA0"/>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1D6B"/>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361"/>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D29"/>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535"/>
    <w:rsid w:val="00AB062D"/>
    <w:rsid w:val="00AB0659"/>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3932"/>
    <w:rsid w:val="00AE4624"/>
    <w:rsid w:val="00AE4B1D"/>
    <w:rsid w:val="00AE4B3E"/>
    <w:rsid w:val="00AE4B90"/>
    <w:rsid w:val="00AE5257"/>
    <w:rsid w:val="00AE5E14"/>
    <w:rsid w:val="00AE6115"/>
    <w:rsid w:val="00AE625B"/>
    <w:rsid w:val="00AF01B2"/>
    <w:rsid w:val="00AF1103"/>
    <w:rsid w:val="00AF141E"/>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6B1"/>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3A9"/>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6D1"/>
    <w:rsid w:val="00BD6806"/>
    <w:rsid w:val="00BD6939"/>
    <w:rsid w:val="00BD70F4"/>
    <w:rsid w:val="00BD7433"/>
    <w:rsid w:val="00BD7831"/>
    <w:rsid w:val="00BD7940"/>
    <w:rsid w:val="00BD7C10"/>
    <w:rsid w:val="00BE046F"/>
    <w:rsid w:val="00BE0DEB"/>
    <w:rsid w:val="00BE229C"/>
    <w:rsid w:val="00BE2AB8"/>
    <w:rsid w:val="00BE2FC1"/>
    <w:rsid w:val="00BE3142"/>
    <w:rsid w:val="00BE37AA"/>
    <w:rsid w:val="00BE4039"/>
    <w:rsid w:val="00BE47D4"/>
    <w:rsid w:val="00BE4C4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5865"/>
    <w:rsid w:val="00C162E1"/>
    <w:rsid w:val="00C16BE4"/>
    <w:rsid w:val="00C16E9F"/>
    <w:rsid w:val="00C1713D"/>
    <w:rsid w:val="00C17523"/>
    <w:rsid w:val="00C177F1"/>
    <w:rsid w:val="00C17EE6"/>
    <w:rsid w:val="00C217F7"/>
    <w:rsid w:val="00C2272E"/>
    <w:rsid w:val="00C22F3A"/>
    <w:rsid w:val="00C23311"/>
    <w:rsid w:val="00C246EE"/>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5211"/>
    <w:rsid w:val="00C36201"/>
    <w:rsid w:val="00C368E8"/>
    <w:rsid w:val="00C36C3D"/>
    <w:rsid w:val="00C372C7"/>
    <w:rsid w:val="00C372FB"/>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4FF4"/>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C2E"/>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6DDF"/>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E39D9"/>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A47"/>
    <w:rsid w:val="00D23DE4"/>
    <w:rsid w:val="00D25A5C"/>
    <w:rsid w:val="00D2615F"/>
    <w:rsid w:val="00D26873"/>
    <w:rsid w:val="00D27C99"/>
    <w:rsid w:val="00D30912"/>
    <w:rsid w:val="00D31683"/>
    <w:rsid w:val="00D32B17"/>
    <w:rsid w:val="00D33452"/>
    <w:rsid w:val="00D336C8"/>
    <w:rsid w:val="00D339E8"/>
    <w:rsid w:val="00D33FDD"/>
    <w:rsid w:val="00D3654A"/>
    <w:rsid w:val="00D3662E"/>
    <w:rsid w:val="00D366FF"/>
    <w:rsid w:val="00D373F1"/>
    <w:rsid w:val="00D37567"/>
    <w:rsid w:val="00D37D36"/>
    <w:rsid w:val="00D40B1F"/>
    <w:rsid w:val="00D40D75"/>
    <w:rsid w:val="00D41EC4"/>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1"/>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53EA"/>
    <w:rsid w:val="00DD64E0"/>
    <w:rsid w:val="00DD775C"/>
    <w:rsid w:val="00DD7BE0"/>
    <w:rsid w:val="00DE0C67"/>
    <w:rsid w:val="00DE0ECE"/>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BF7"/>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085"/>
    <w:rsid w:val="00EA681F"/>
    <w:rsid w:val="00EB04C6"/>
    <w:rsid w:val="00EB06A6"/>
    <w:rsid w:val="00EB0E4A"/>
    <w:rsid w:val="00EB29EA"/>
    <w:rsid w:val="00EB3307"/>
    <w:rsid w:val="00EB3823"/>
    <w:rsid w:val="00EB3CBB"/>
    <w:rsid w:val="00EB47D8"/>
    <w:rsid w:val="00EB493F"/>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3616"/>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17F1"/>
    <w:rsid w:val="00F020E5"/>
    <w:rsid w:val="00F02A48"/>
    <w:rsid w:val="00F02F9F"/>
    <w:rsid w:val="00F03525"/>
    <w:rsid w:val="00F039A8"/>
    <w:rsid w:val="00F0424D"/>
    <w:rsid w:val="00F04770"/>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0ABB"/>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019"/>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08"/>
    <w:rsid w:val="00FA6CA9"/>
    <w:rsid w:val="00FA78C8"/>
    <w:rsid w:val="00FA7A2F"/>
    <w:rsid w:val="00FB00AD"/>
    <w:rsid w:val="00FB09FE"/>
    <w:rsid w:val="00FB0E80"/>
    <w:rsid w:val="00FB101D"/>
    <w:rsid w:val="00FB1725"/>
    <w:rsid w:val="00FB2493"/>
    <w:rsid w:val="00FB42B7"/>
    <w:rsid w:val="00FB4484"/>
    <w:rsid w:val="00FB593A"/>
    <w:rsid w:val="00FB63A3"/>
    <w:rsid w:val="00FB6410"/>
    <w:rsid w:val="00FB6E82"/>
    <w:rsid w:val="00FB792E"/>
    <w:rsid w:val="00FB7CF0"/>
    <w:rsid w:val="00FC0042"/>
    <w:rsid w:val="00FC1E67"/>
    <w:rsid w:val="00FC2949"/>
    <w:rsid w:val="00FC2A13"/>
    <w:rsid w:val="00FC4284"/>
    <w:rsid w:val="00FC4576"/>
    <w:rsid w:val="00FC494C"/>
    <w:rsid w:val="00FC49D2"/>
    <w:rsid w:val="00FC5FF5"/>
    <w:rsid w:val="00FC6285"/>
    <w:rsid w:val="00FC78FB"/>
    <w:rsid w:val="00FC7DBC"/>
    <w:rsid w:val="00FD076A"/>
    <w:rsid w:val="00FD0A88"/>
    <w:rsid w:val="00FD0AA0"/>
    <w:rsid w:val="00FD1D5A"/>
    <w:rsid w:val="00FD4B85"/>
    <w:rsid w:val="00FD5059"/>
    <w:rsid w:val="00FD554D"/>
    <w:rsid w:val="00FD56C5"/>
    <w:rsid w:val="00FD5BCC"/>
    <w:rsid w:val="00FD5EB8"/>
    <w:rsid w:val="00FD6C2D"/>
    <w:rsid w:val="00FD7B23"/>
    <w:rsid w:val="00FE1A5F"/>
    <w:rsid w:val="00FE2A48"/>
    <w:rsid w:val="00FE2DEF"/>
    <w:rsid w:val="00FE323C"/>
    <w:rsid w:val="00FE3A27"/>
    <w:rsid w:val="00FE44C3"/>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573711261">
      <w:bodyDiv w:val="1"/>
      <w:marLeft w:val="0"/>
      <w:marRight w:val="0"/>
      <w:marTop w:val="0"/>
      <w:marBottom w:val="0"/>
      <w:divBdr>
        <w:top w:val="none" w:sz="0" w:space="0" w:color="auto"/>
        <w:left w:val="none" w:sz="0" w:space="0" w:color="auto"/>
        <w:bottom w:val="none" w:sz="0" w:space="0" w:color="auto"/>
        <w:right w:val="none" w:sz="0" w:space="0" w:color="auto"/>
      </w:divBdr>
    </w:div>
    <w:div w:id="85203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D725-8B54-417A-BA96-1125F6B0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2012-10-22T12:27:00Z</cp:lastPrinted>
  <dcterms:created xsi:type="dcterms:W3CDTF">2012-11-27T15:29:00Z</dcterms:created>
  <dcterms:modified xsi:type="dcterms:W3CDTF">2012-11-27T15:29:00Z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