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261942" w:rsidRDefault="00AD2379" w:rsidP="000D4AF7">
      <w:pPr>
        <w:tabs>
          <w:tab w:val="left" w:pos="288"/>
          <w:tab w:val="left" w:pos="4770"/>
        </w:tabs>
        <w:rPr>
          <w:color w:val="auto"/>
          <w:sz w:val="22"/>
          <w:szCs w:val="22"/>
        </w:rPr>
      </w:pPr>
      <w:r w:rsidRPr="00261942">
        <w:rPr>
          <w:color w:val="auto"/>
          <w:sz w:val="22"/>
          <w:szCs w:val="22"/>
        </w:rPr>
        <w:t>RECORD OF PROCEEDINGS</w:t>
      </w:r>
    </w:p>
    <w:p w:rsidR="00AD2379" w:rsidRPr="00261942" w:rsidRDefault="00AD2379" w:rsidP="00BF0E94">
      <w:pPr>
        <w:tabs>
          <w:tab w:val="left" w:pos="288"/>
          <w:tab w:val="left" w:pos="4752"/>
        </w:tabs>
        <w:rPr>
          <w:color w:val="auto"/>
          <w:sz w:val="22"/>
          <w:szCs w:val="22"/>
        </w:rPr>
      </w:pPr>
      <w:r w:rsidRPr="00261942">
        <w:rPr>
          <w:color w:val="auto"/>
          <w:sz w:val="22"/>
          <w:szCs w:val="22"/>
        </w:rPr>
        <w:t>PHYSICAL DISABILITY BOARD OF REVIEW</w:t>
      </w:r>
    </w:p>
    <w:p w:rsidR="00AD2379" w:rsidRPr="00261942" w:rsidRDefault="00AD2379" w:rsidP="00BF0E94">
      <w:pPr>
        <w:tabs>
          <w:tab w:val="left" w:pos="288"/>
          <w:tab w:val="left" w:pos="4752"/>
        </w:tabs>
        <w:jc w:val="both"/>
        <w:rPr>
          <w:caps/>
          <w:color w:val="auto"/>
          <w:sz w:val="22"/>
          <w:szCs w:val="22"/>
        </w:rPr>
      </w:pPr>
    </w:p>
    <w:p w:rsidR="0095270D" w:rsidRPr="00261942" w:rsidRDefault="0095270D" w:rsidP="00DD5558">
      <w:pPr>
        <w:tabs>
          <w:tab w:val="right" w:pos="9360"/>
        </w:tabs>
        <w:jc w:val="both"/>
        <w:rPr>
          <w:caps/>
          <w:color w:val="auto"/>
          <w:sz w:val="22"/>
          <w:szCs w:val="22"/>
        </w:rPr>
      </w:pPr>
      <w:r w:rsidRPr="00261942">
        <w:rPr>
          <w:caps/>
          <w:color w:val="auto"/>
          <w:sz w:val="22"/>
          <w:szCs w:val="22"/>
        </w:rPr>
        <w:t xml:space="preserve">NAME:  </w:t>
      </w:r>
      <w:r w:rsidR="00A75265">
        <w:rPr>
          <w:caps/>
          <w:color w:val="auto"/>
          <w:sz w:val="22"/>
          <w:szCs w:val="22"/>
        </w:rPr>
        <w:t>XXXXXXXXXXXXXXXX</w:t>
      </w:r>
      <w:r w:rsidR="002A09AD" w:rsidRPr="00261942">
        <w:rPr>
          <w:caps/>
          <w:color w:val="auto"/>
          <w:sz w:val="22"/>
          <w:szCs w:val="22"/>
        </w:rPr>
        <w:t xml:space="preserve">                                                </w:t>
      </w:r>
      <w:r w:rsidR="00CA6FBE">
        <w:rPr>
          <w:caps/>
          <w:color w:val="auto"/>
          <w:sz w:val="22"/>
          <w:szCs w:val="22"/>
        </w:rPr>
        <w:tab/>
      </w:r>
      <w:r w:rsidR="002A09AD" w:rsidRPr="00261942">
        <w:rPr>
          <w:caps/>
          <w:color w:val="auto"/>
          <w:sz w:val="22"/>
          <w:szCs w:val="22"/>
        </w:rPr>
        <w:t xml:space="preserve">          </w:t>
      </w:r>
      <w:r w:rsidR="002E34B5" w:rsidRPr="00261942">
        <w:rPr>
          <w:caps/>
          <w:color w:val="auto"/>
          <w:sz w:val="22"/>
          <w:szCs w:val="22"/>
        </w:rPr>
        <w:t xml:space="preserve">   </w:t>
      </w:r>
      <w:r w:rsidR="002A09AD" w:rsidRPr="00261942">
        <w:rPr>
          <w:caps/>
          <w:color w:val="auto"/>
          <w:sz w:val="22"/>
          <w:szCs w:val="22"/>
        </w:rPr>
        <w:t xml:space="preserve"> </w:t>
      </w:r>
      <w:r w:rsidR="002E34B5" w:rsidRPr="00261942">
        <w:rPr>
          <w:caps/>
          <w:color w:val="auto"/>
          <w:sz w:val="22"/>
          <w:szCs w:val="22"/>
        </w:rPr>
        <w:t xml:space="preserve">       </w:t>
      </w:r>
      <w:r w:rsidR="002A09AD" w:rsidRPr="00261942">
        <w:rPr>
          <w:caps/>
          <w:color w:val="auto"/>
          <w:sz w:val="22"/>
          <w:szCs w:val="22"/>
        </w:rPr>
        <w:t xml:space="preserve">  </w:t>
      </w:r>
      <w:r w:rsidR="00EE3CFB" w:rsidRPr="00261942">
        <w:rPr>
          <w:caps/>
          <w:color w:val="auto"/>
          <w:sz w:val="22"/>
          <w:szCs w:val="22"/>
        </w:rPr>
        <w:t xml:space="preserve">BRANCH OF SERVICE: </w:t>
      </w:r>
      <w:r w:rsidR="0018208F" w:rsidRPr="00261942">
        <w:rPr>
          <w:caps/>
          <w:color w:val="auto"/>
          <w:sz w:val="22"/>
          <w:szCs w:val="22"/>
        </w:rPr>
        <w:t xml:space="preserve"> </w:t>
      </w:r>
      <w:r w:rsidR="0011613F" w:rsidRPr="00261942">
        <w:rPr>
          <w:caps/>
          <w:color w:val="auto"/>
          <w:sz w:val="22"/>
          <w:szCs w:val="22"/>
        </w:rPr>
        <w:t>Army</w:t>
      </w:r>
    </w:p>
    <w:p w:rsidR="0095270D" w:rsidRPr="00261942" w:rsidRDefault="0095270D" w:rsidP="00DD5558">
      <w:pPr>
        <w:tabs>
          <w:tab w:val="right" w:pos="9360"/>
        </w:tabs>
        <w:jc w:val="both"/>
        <w:rPr>
          <w:color w:val="auto"/>
          <w:sz w:val="22"/>
          <w:szCs w:val="22"/>
        </w:rPr>
      </w:pPr>
      <w:r w:rsidRPr="00261942">
        <w:rPr>
          <w:caps/>
          <w:color w:val="auto"/>
          <w:sz w:val="22"/>
          <w:szCs w:val="22"/>
        </w:rPr>
        <w:t>CASE NUMBER:  PD</w:t>
      </w:r>
      <w:r w:rsidR="001657BE" w:rsidRPr="00261942">
        <w:rPr>
          <w:caps/>
          <w:color w:val="auto"/>
          <w:sz w:val="22"/>
          <w:szCs w:val="22"/>
        </w:rPr>
        <w:t>12</w:t>
      </w:r>
      <w:r w:rsidRPr="00261942">
        <w:rPr>
          <w:caps/>
          <w:color w:val="auto"/>
          <w:sz w:val="22"/>
          <w:szCs w:val="22"/>
        </w:rPr>
        <w:t>00</w:t>
      </w:r>
      <w:r w:rsidR="0011613F" w:rsidRPr="00261942">
        <w:rPr>
          <w:caps/>
          <w:color w:val="auto"/>
          <w:sz w:val="22"/>
          <w:szCs w:val="22"/>
        </w:rPr>
        <w:t>540</w:t>
      </w:r>
      <w:r w:rsidR="00DD5558" w:rsidRPr="00261942">
        <w:rPr>
          <w:color w:val="auto"/>
          <w:sz w:val="22"/>
          <w:szCs w:val="22"/>
        </w:rPr>
        <w:tab/>
      </w:r>
      <w:r w:rsidR="0018208F" w:rsidRPr="00261942">
        <w:rPr>
          <w:color w:val="auto"/>
          <w:sz w:val="22"/>
          <w:szCs w:val="22"/>
        </w:rPr>
        <w:t>SE</w:t>
      </w:r>
      <w:r w:rsidRPr="00261942">
        <w:rPr>
          <w:color w:val="auto"/>
          <w:sz w:val="22"/>
          <w:szCs w:val="22"/>
        </w:rPr>
        <w:t>PARATION DATE:  200</w:t>
      </w:r>
      <w:r w:rsidR="0011613F" w:rsidRPr="00261942">
        <w:rPr>
          <w:color w:val="auto"/>
          <w:sz w:val="22"/>
          <w:szCs w:val="22"/>
        </w:rPr>
        <w:t>30403</w:t>
      </w:r>
    </w:p>
    <w:p w:rsidR="00AD2379" w:rsidRPr="00261942" w:rsidRDefault="0095270D" w:rsidP="0095270D">
      <w:pPr>
        <w:pBdr>
          <w:bottom w:val="single" w:sz="12" w:space="1" w:color="auto"/>
        </w:pBdr>
        <w:tabs>
          <w:tab w:val="left" w:pos="288"/>
          <w:tab w:val="left" w:pos="4752"/>
        </w:tabs>
        <w:jc w:val="both"/>
        <w:rPr>
          <w:rFonts w:cs="Times New Roman"/>
          <w:caps/>
          <w:color w:val="auto"/>
          <w:sz w:val="22"/>
          <w:szCs w:val="22"/>
        </w:rPr>
      </w:pPr>
      <w:r w:rsidRPr="00261942">
        <w:rPr>
          <w:caps/>
          <w:color w:val="auto"/>
          <w:sz w:val="22"/>
          <w:szCs w:val="22"/>
        </w:rPr>
        <w:t>BOARD DATE:  2012</w:t>
      </w:r>
      <w:r w:rsidR="00685045" w:rsidRPr="00261942">
        <w:rPr>
          <w:caps/>
          <w:color w:val="auto"/>
          <w:sz w:val="22"/>
          <w:szCs w:val="22"/>
        </w:rPr>
        <w:t>1031</w:t>
      </w:r>
    </w:p>
    <w:p w:rsidR="0095270D" w:rsidRPr="00261942" w:rsidRDefault="0095270D" w:rsidP="0095270D">
      <w:pPr>
        <w:pBdr>
          <w:bottom w:val="single" w:sz="12" w:space="1" w:color="auto"/>
        </w:pBdr>
        <w:tabs>
          <w:tab w:val="left" w:pos="288"/>
          <w:tab w:val="left" w:pos="4752"/>
        </w:tabs>
        <w:jc w:val="both"/>
        <w:rPr>
          <w:color w:val="auto"/>
          <w:sz w:val="22"/>
          <w:szCs w:val="22"/>
        </w:rPr>
      </w:pPr>
    </w:p>
    <w:p w:rsidR="00AD2379" w:rsidRPr="00261942" w:rsidRDefault="00AD2379" w:rsidP="00BF0E94">
      <w:pPr>
        <w:tabs>
          <w:tab w:val="left" w:pos="288"/>
          <w:tab w:val="left" w:pos="4752"/>
        </w:tabs>
        <w:jc w:val="both"/>
        <w:rPr>
          <w:color w:val="auto"/>
          <w:sz w:val="22"/>
          <w:szCs w:val="22"/>
        </w:rPr>
      </w:pPr>
    </w:p>
    <w:p w:rsidR="000B1C9E" w:rsidRPr="00261942" w:rsidRDefault="00AD2379" w:rsidP="00BF0E94">
      <w:pPr>
        <w:tabs>
          <w:tab w:val="left" w:pos="288"/>
          <w:tab w:val="left" w:pos="4752"/>
        </w:tabs>
        <w:jc w:val="both"/>
        <w:rPr>
          <w:color w:val="auto"/>
          <w:sz w:val="22"/>
          <w:szCs w:val="22"/>
        </w:rPr>
      </w:pPr>
      <w:r w:rsidRPr="00261942">
        <w:rPr>
          <w:color w:val="auto"/>
          <w:sz w:val="22"/>
          <w:szCs w:val="22"/>
          <w:u w:val="single"/>
        </w:rPr>
        <w:t>SUMMARY OF CASE</w:t>
      </w:r>
      <w:r w:rsidRPr="00261942">
        <w:rPr>
          <w:color w:val="auto"/>
          <w:sz w:val="22"/>
          <w:szCs w:val="22"/>
        </w:rPr>
        <w:t>:</w:t>
      </w:r>
      <w:r w:rsidR="00532B33" w:rsidRPr="00261942">
        <w:rPr>
          <w:color w:val="auto"/>
          <w:sz w:val="22"/>
          <w:szCs w:val="22"/>
        </w:rPr>
        <w:t xml:space="preserve"> </w:t>
      </w:r>
      <w:r w:rsidRPr="00261942">
        <w:rPr>
          <w:color w:val="auto"/>
          <w:sz w:val="22"/>
          <w:szCs w:val="22"/>
        </w:rPr>
        <w:t xml:space="preserve"> Data extracted from the available evidence of record reflects that this covered individual (CI) was </w:t>
      </w:r>
      <w:r w:rsidR="00A70270" w:rsidRPr="00261942">
        <w:rPr>
          <w:color w:val="auto"/>
          <w:sz w:val="22"/>
          <w:szCs w:val="22"/>
        </w:rPr>
        <w:t>an active duty</w:t>
      </w:r>
      <w:r w:rsidRPr="00261942">
        <w:rPr>
          <w:color w:val="auto"/>
          <w:sz w:val="22"/>
          <w:szCs w:val="22"/>
        </w:rPr>
        <w:t xml:space="preserve"> </w:t>
      </w:r>
      <w:r w:rsidR="00645189" w:rsidRPr="00261942">
        <w:rPr>
          <w:color w:val="auto"/>
          <w:sz w:val="22"/>
          <w:szCs w:val="22"/>
        </w:rPr>
        <w:t>SP</w:t>
      </w:r>
      <w:r w:rsidR="00295799" w:rsidRPr="00261942">
        <w:rPr>
          <w:color w:val="auto"/>
          <w:sz w:val="22"/>
          <w:szCs w:val="22"/>
        </w:rPr>
        <w:t>C/E-4</w:t>
      </w:r>
      <w:r w:rsidRPr="00261942">
        <w:rPr>
          <w:color w:val="auto"/>
          <w:sz w:val="22"/>
          <w:szCs w:val="22"/>
        </w:rPr>
        <w:t xml:space="preserve"> (</w:t>
      </w:r>
      <w:r w:rsidR="00397334" w:rsidRPr="00261942">
        <w:rPr>
          <w:color w:val="auto"/>
          <w:sz w:val="22"/>
          <w:szCs w:val="22"/>
        </w:rPr>
        <w:t>11B1O, Infantry</w:t>
      </w:r>
      <w:r w:rsidR="00A70270" w:rsidRPr="00261942">
        <w:rPr>
          <w:color w:val="auto"/>
          <w:sz w:val="22"/>
          <w:szCs w:val="22"/>
        </w:rPr>
        <w:t>)</w:t>
      </w:r>
      <w:r w:rsidR="00565636" w:rsidRPr="00261942">
        <w:rPr>
          <w:color w:val="auto"/>
          <w:sz w:val="22"/>
          <w:szCs w:val="22"/>
        </w:rPr>
        <w:t>,</w:t>
      </w:r>
      <w:r w:rsidR="00A70270" w:rsidRPr="00261942">
        <w:rPr>
          <w:color w:val="auto"/>
          <w:sz w:val="22"/>
          <w:szCs w:val="22"/>
        </w:rPr>
        <w:t xml:space="preserve"> </w:t>
      </w:r>
      <w:r w:rsidRPr="00261942">
        <w:rPr>
          <w:color w:val="auto"/>
          <w:sz w:val="22"/>
          <w:szCs w:val="22"/>
        </w:rPr>
        <w:t xml:space="preserve">medically separated for </w:t>
      </w:r>
      <w:r w:rsidR="00F20950" w:rsidRPr="00261942">
        <w:rPr>
          <w:color w:val="auto"/>
          <w:sz w:val="22"/>
          <w:szCs w:val="22"/>
        </w:rPr>
        <w:t>chronic low back pain (LBP) and obstructive sleep apnea (OSA).</w:t>
      </w:r>
      <w:r w:rsidR="00D82D06" w:rsidRPr="00261942">
        <w:rPr>
          <w:color w:val="auto"/>
          <w:sz w:val="22"/>
          <w:szCs w:val="22"/>
        </w:rPr>
        <w:t xml:space="preserve">  </w:t>
      </w:r>
      <w:r w:rsidR="008026A2" w:rsidRPr="00261942">
        <w:rPr>
          <w:color w:val="auto"/>
          <w:sz w:val="22"/>
          <w:szCs w:val="22"/>
        </w:rPr>
        <w:t xml:space="preserve">The back pain condition began in 2002, was not a consequence of trauma </w:t>
      </w:r>
      <w:r w:rsidR="00331BAA" w:rsidRPr="00261942">
        <w:rPr>
          <w:color w:val="auto"/>
          <w:sz w:val="22"/>
          <w:szCs w:val="22"/>
        </w:rPr>
        <w:t>and was not associated with a surgical indication.</w:t>
      </w:r>
      <w:r w:rsidR="00D93288" w:rsidRPr="00261942">
        <w:rPr>
          <w:color w:val="auto"/>
          <w:sz w:val="22"/>
          <w:szCs w:val="22"/>
        </w:rPr>
        <w:t xml:space="preserve"> </w:t>
      </w:r>
      <w:r w:rsidR="00EB56EF" w:rsidRPr="00261942">
        <w:rPr>
          <w:color w:val="auto"/>
          <w:sz w:val="22"/>
          <w:szCs w:val="22"/>
        </w:rPr>
        <w:t xml:space="preserve"> </w:t>
      </w:r>
      <w:r w:rsidR="00D93288" w:rsidRPr="00261942">
        <w:rPr>
          <w:color w:val="auto"/>
          <w:sz w:val="22"/>
          <w:szCs w:val="22"/>
        </w:rPr>
        <w:t>S</w:t>
      </w:r>
      <w:r w:rsidR="00EB56EF" w:rsidRPr="00261942">
        <w:rPr>
          <w:color w:val="auto"/>
          <w:sz w:val="22"/>
          <w:szCs w:val="22"/>
        </w:rPr>
        <w:t>leep apnea</w:t>
      </w:r>
      <w:r w:rsidR="00D93288" w:rsidRPr="00261942">
        <w:rPr>
          <w:color w:val="auto"/>
          <w:sz w:val="22"/>
          <w:szCs w:val="22"/>
        </w:rPr>
        <w:t xml:space="preserve"> was diagnosed</w:t>
      </w:r>
      <w:r w:rsidR="00EB56EF" w:rsidRPr="00261942">
        <w:rPr>
          <w:color w:val="auto"/>
          <w:sz w:val="22"/>
          <w:szCs w:val="22"/>
        </w:rPr>
        <w:t xml:space="preserve"> in August 2002</w:t>
      </w:r>
      <w:r w:rsidR="00D93288" w:rsidRPr="00261942">
        <w:rPr>
          <w:color w:val="auto"/>
          <w:sz w:val="22"/>
          <w:szCs w:val="22"/>
        </w:rPr>
        <w:t xml:space="preserve">, </w:t>
      </w:r>
      <w:r w:rsidR="00CA6FBE">
        <w:rPr>
          <w:color w:val="auto"/>
          <w:sz w:val="22"/>
          <w:szCs w:val="22"/>
        </w:rPr>
        <w:t xml:space="preserve">and </w:t>
      </w:r>
      <w:r w:rsidR="00D93288" w:rsidRPr="00261942">
        <w:rPr>
          <w:color w:val="auto"/>
          <w:sz w:val="22"/>
          <w:szCs w:val="22"/>
        </w:rPr>
        <w:t xml:space="preserve">did not respond to surgical intervention and required </w:t>
      </w:r>
      <w:r w:rsidR="00196C0C" w:rsidRPr="00261942">
        <w:rPr>
          <w:color w:val="auto"/>
          <w:sz w:val="22"/>
          <w:szCs w:val="22"/>
        </w:rPr>
        <w:t>continuous positive airway pressure (</w:t>
      </w:r>
      <w:r w:rsidR="00D93288" w:rsidRPr="00261942">
        <w:rPr>
          <w:color w:val="auto"/>
          <w:sz w:val="22"/>
          <w:szCs w:val="22"/>
        </w:rPr>
        <w:t>CPAP</w:t>
      </w:r>
      <w:r w:rsidR="00196C0C" w:rsidRPr="00261942">
        <w:rPr>
          <w:color w:val="auto"/>
          <w:sz w:val="22"/>
          <w:szCs w:val="22"/>
        </w:rPr>
        <w:t>)</w:t>
      </w:r>
      <w:r w:rsidR="00D93288" w:rsidRPr="00261942">
        <w:rPr>
          <w:color w:val="auto"/>
          <w:sz w:val="22"/>
          <w:szCs w:val="22"/>
        </w:rPr>
        <w:t xml:space="preserve"> therapy.</w:t>
      </w:r>
      <w:r w:rsidR="00EB56EF" w:rsidRPr="00261942">
        <w:rPr>
          <w:color w:val="auto"/>
          <w:sz w:val="22"/>
          <w:szCs w:val="22"/>
        </w:rPr>
        <w:t xml:space="preserve">  </w:t>
      </w:r>
      <w:r w:rsidR="00D93288" w:rsidRPr="00261942">
        <w:rPr>
          <w:color w:val="auto"/>
          <w:sz w:val="22"/>
          <w:szCs w:val="22"/>
        </w:rPr>
        <w:t xml:space="preserve">Neither condition improved adequately with treatment to meet the physical requirements of his Military Occupational Specialty or satisfy physical fitness standards.  </w:t>
      </w:r>
      <w:r w:rsidR="009C12A1" w:rsidRPr="00261942">
        <w:rPr>
          <w:color w:val="auto"/>
          <w:sz w:val="22"/>
          <w:szCs w:val="22"/>
        </w:rPr>
        <w:t xml:space="preserve">He </w:t>
      </w:r>
      <w:r w:rsidR="00F566B7" w:rsidRPr="00261942">
        <w:rPr>
          <w:color w:val="auto"/>
          <w:sz w:val="22"/>
          <w:szCs w:val="22"/>
        </w:rPr>
        <w:t xml:space="preserve">was issued a permanent </w:t>
      </w:r>
      <w:r w:rsidR="00EB56EF" w:rsidRPr="00261942">
        <w:rPr>
          <w:color w:val="auto"/>
          <w:sz w:val="22"/>
          <w:szCs w:val="22"/>
        </w:rPr>
        <w:t>P3/</w:t>
      </w:r>
      <w:r w:rsidR="00F566B7" w:rsidRPr="00261942">
        <w:rPr>
          <w:color w:val="auto"/>
          <w:sz w:val="22"/>
          <w:szCs w:val="22"/>
        </w:rPr>
        <w:t>L3 profile and</w:t>
      </w:r>
      <w:r w:rsidR="009C12A1" w:rsidRPr="00261942">
        <w:rPr>
          <w:color w:val="auto"/>
          <w:sz w:val="22"/>
          <w:szCs w:val="22"/>
        </w:rPr>
        <w:t xml:space="preserve"> </w:t>
      </w:r>
      <w:r w:rsidR="00F566B7" w:rsidRPr="00261942">
        <w:rPr>
          <w:color w:val="auto"/>
          <w:sz w:val="22"/>
          <w:szCs w:val="22"/>
        </w:rPr>
        <w:t>referred for a Medical Evaluation Board (MEB).</w:t>
      </w:r>
      <w:r w:rsidR="00D93288" w:rsidRPr="00261942">
        <w:rPr>
          <w:color w:val="auto"/>
          <w:sz w:val="22"/>
          <w:szCs w:val="22"/>
        </w:rPr>
        <w:t xml:space="preserve">  </w:t>
      </w:r>
      <w:r w:rsidR="001F046E" w:rsidRPr="00261942">
        <w:rPr>
          <w:color w:val="auto"/>
          <w:sz w:val="22"/>
          <w:szCs w:val="22"/>
        </w:rPr>
        <w:t xml:space="preserve">The MEB forwarded pain at lumbar regions secondary to herniated nucleus pulposus and </w:t>
      </w:r>
      <w:r w:rsidR="00CA6FBE">
        <w:rPr>
          <w:color w:val="auto"/>
          <w:sz w:val="22"/>
          <w:szCs w:val="22"/>
        </w:rPr>
        <w:t>OSA</w:t>
      </w:r>
      <w:r w:rsidR="001F046E" w:rsidRPr="00261942">
        <w:rPr>
          <w:color w:val="auto"/>
          <w:sz w:val="22"/>
          <w:szCs w:val="22"/>
        </w:rPr>
        <w:t xml:space="preserve"> to the Physical Evaluation Board (PEB) as medically unacceptable IAW AR 40-501.  </w:t>
      </w:r>
      <w:r w:rsidR="00F15483" w:rsidRPr="00261942">
        <w:rPr>
          <w:color w:val="auto"/>
          <w:sz w:val="22"/>
          <w:szCs w:val="22"/>
        </w:rPr>
        <w:t>The MEB forwarded no other conditions for PEB adjudication.</w:t>
      </w:r>
      <w:r w:rsidR="00D93288" w:rsidRPr="00261942">
        <w:rPr>
          <w:color w:val="auto"/>
          <w:sz w:val="22"/>
          <w:szCs w:val="22"/>
        </w:rPr>
        <w:t xml:space="preserve">  </w:t>
      </w:r>
      <w:r w:rsidRPr="00261942">
        <w:rPr>
          <w:color w:val="auto"/>
          <w:sz w:val="22"/>
          <w:szCs w:val="22"/>
        </w:rPr>
        <w:t xml:space="preserve">The PEB adjudicated the </w:t>
      </w:r>
      <w:r w:rsidR="001F046E" w:rsidRPr="00261942">
        <w:rPr>
          <w:color w:val="auto"/>
          <w:sz w:val="22"/>
          <w:szCs w:val="22"/>
        </w:rPr>
        <w:t>chronic LBP</w:t>
      </w:r>
      <w:r w:rsidR="00F20950" w:rsidRPr="00261942">
        <w:rPr>
          <w:color w:val="auto"/>
          <w:sz w:val="22"/>
          <w:szCs w:val="22"/>
        </w:rPr>
        <w:t xml:space="preserve"> with L4-5 herniated pulposus and OSA </w:t>
      </w:r>
      <w:r w:rsidR="008530E3" w:rsidRPr="00261942">
        <w:rPr>
          <w:color w:val="auto"/>
          <w:sz w:val="22"/>
          <w:szCs w:val="22"/>
        </w:rPr>
        <w:t>condition</w:t>
      </w:r>
      <w:r w:rsidR="00F20950" w:rsidRPr="00261942">
        <w:rPr>
          <w:color w:val="auto"/>
          <w:sz w:val="22"/>
          <w:szCs w:val="22"/>
        </w:rPr>
        <w:t>s</w:t>
      </w:r>
      <w:r w:rsidR="008530E3" w:rsidRPr="00261942">
        <w:rPr>
          <w:color w:val="auto"/>
          <w:sz w:val="22"/>
          <w:szCs w:val="22"/>
        </w:rPr>
        <w:t xml:space="preserve"> as unfitting, rated </w:t>
      </w:r>
      <w:r w:rsidR="00F20950" w:rsidRPr="00261942">
        <w:rPr>
          <w:color w:val="auto"/>
          <w:sz w:val="22"/>
          <w:szCs w:val="22"/>
        </w:rPr>
        <w:t>10</w:t>
      </w:r>
      <w:r w:rsidRPr="00261942">
        <w:rPr>
          <w:color w:val="auto"/>
          <w:sz w:val="22"/>
          <w:szCs w:val="22"/>
        </w:rPr>
        <w:t>%</w:t>
      </w:r>
      <w:r w:rsidR="00F20950" w:rsidRPr="00261942">
        <w:rPr>
          <w:color w:val="auto"/>
          <w:sz w:val="22"/>
          <w:szCs w:val="22"/>
        </w:rPr>
        <w:t xml:space="preserve"> and 0</w:t>
      </w:r>
      <w:r w:rsidR="000C647D" w:rsidRPr="00261942">
        <w:rPr>
          <w:color w:val="auto"/>
          <w:sz w:val="22"/>
          <w:szCs w:val="22"/>
        </w:rPr>
        <w:t>%</w:t>
      </w:r>
      <w:r w:rsidR="00EB56EF" w:rsidRPr="00261942">
        <w:rPr>
          <w:color w:val="auto"/>
          <w:sz w:val="22"/>
          <w:szCs w:val="22"/>
        </w:rPr>
        <w:t xml:space="preserve"> respectfully</w:t>
      </w:r>
      <w:r w:rsidRPr="00261942">
        <w:rPr>
          <w:color w:val="auto"/>
          <w:sz w:val="22"/>
          <w:szCs w:val="22"/>
        </w:rPr>
        <w:t xml:space="preserve">, </w:t>
      </w:r>
      <w:r w:rsidR="00E46D90" w:rsidRPr="00261942">
        <w:rPr>
          <w:color w:val="auto"/>
          <w:sz w:val="22"/>
          <w:szCs w:val="22"/>
        </w:rPr>
        <w:t xml:space="preserve">with application of </w:t>
      </w:r>
      <w:r w:rsidR="00F20950" w:rsidRPr="00261942">
        <w:rPr>
          <w:color w:val="auto"/>
          <w:sz w:val="22"/>
          <w:szCs w:val="22"/>
        </w:rPr>
        <w:t xml:space="preserve">the </w:t>
      </w:r>
      <w:r w:rsidR="00E438A4" w:rsidRPr="00261942">
        <w:rPr>
          <w:color w:val="auto"/>
          <w:sz w:val="22"/>
          <w:szCs w:val="22"/>
        </w:rPr>
        <w:t>Department of Defense Instruction (DoDI) 1332.39</w:t>
      </w:r>
      <w:r w:rsidR="00BF72CA" w:rsidRPr="00261942">
        <w:rPr>
          <w:color w:val="auto"/>
          <w:sz w:val="22"/>
          <w:szCs w:val="22"/>
        </w:rPr>
        <w:t>.</w:t>
      </w:r>
      <w:r w:rsidR="00165C7B" w:rsidRPr="00261942">
        <w:rPr>
          <w:color w:val="auto"/>
          <w:sz w:val="22"/>
          <w:szCs w:val="22"/>
        </w:rPr>
        <w:t xml:space="preserve">  </w:t>
      </w:r>
      <w:r w:rsidRPr="00261942">
        <w:rPr>
          <w:color w:val="auto"/>
          <w:sz w:val="22"/>
          <w:szCs w:val="22"/>
        </w:rPr>
        <w:t xml:space="preserve">The CI made no appeals, and was medically separated with </w:t>
      </w:r>
      <w:r w:rsidR="00EB56EF" w:rsidRPr="00261942">
        <w:rPr>
          <w:color w:val="auto"/>
          <w:sz w:val="22"/>
          <w:szCs w:val="22"/>
        </w:rPr>
        <w:t>a 10</w:t>
      </w:r>
      <w:r w:rsidR="0066684A" w:rsidRPr="00261942">
        <w:rPr>
          <w:color w:val="auto"/>
          <w:sz w:val="22"/>
          <w:szCs w:val="22"/>
        </w:rPr>
        <w:t xml:space="preserve">% </w:t>
      </w:r>
      <w:r w:rsidRPr="00261942">
        <w:rPr>
          <w:color w:val="auto"/>
          <w:sz w:val="22"/>
          <w:szCs w:val="22"/>
        </w:rPr>
        <w:t>disability rating.</w:t>
      </w:r>
    </w:p>
    <w:p w:rsidR="00042978" w:rsidRPr="00261942" w:rsidRDefault="00042978" w:rsidP="00042978">
      <w:pPr>
        <w:pBdr>
          <w:bottom w:val="single" w:sz="12" w:space="1" w:color="auto"/>
        </w:pBdr>
        <w:tabs>
          <w:tab w:val="left" w:pos="288"/>
          <w:tab w:val="left" w:pos="4752"/>
        </w:tabs>
        <w:jc w:val="both"/>
        <w:rPr>
          <w:color w:val="auto"/>
          <w:sz w:val="22"/>
          <w:szCs w:val="22"/>
        </w:rPr>
      </w:pPr>
    </w:p>
    <w:p w:rsidR="00042978" w:rsidRPr="00261942" w:rsidRDefault="00042978" w:rsidP="00042978">
      <w:pPr>
        <w:jc w:val="left"/>
        <w:rPr>
          <w:color w:val="auto"/>
          <w:sz w:val="22"/>
          <w:szCs w:val="22"/>
          <w:u w:val="single"/>
        </w:rPr>
      </w:pPr>
    </w:p>
    <w:p w:rsidR="00E212DF" w:rsidRPr="00261942" w:rsidRDefault="00AD2379" w:rsidP="00295799">
      <w:pPr>
        <w:tabs>
          <w:tab w:val="left" w:pos="288"/>
          <w:tab w:val="left" w:pos="4752"/>
        </w:tabs>
        <w:jc w:val="both"/>
        <w:rPr>
          <w:rFonts w:eastAsia="Cambria"/>
          <w:color w:val="auto"/>
          <w:sz w:val="22"/>
          <w:szCs w:val="22"/>
        </w:rPr>
      </w:pPr>
      <w:r w:rsidRPr="00261942">
        <w:rPr>
          <w:color w:val="auto"/>
          <w:sz w:val="22"/>
          <w:szCs w:val="22"/>
          <w:u w:val="single"/>
        </w:rPr>
        <w:t>CI CONTENTION</w:t>
      </w:r>
      <w:r w:rsidRPr="00261942">
        <w:rPr>
          <w:color w:val="auto"/>
          <w:sz w:val="22"/>
          <w:szCs w:val="22"/>
        </w:rPr>
        <w:t>:</w:t>
      </w:r>
      <w:r w:rsidR="0066684A" w:rsidRPr="00261942">
        <w:rPr>
          <w:color w:val="auto"/>
          <w:sz w:val="22"/>
          <w:szCs w:val="22"/>
        </w:rPr>
        <w:t xml:space="preserve"> </w:t>
      </w:r>
      <w:r w:rsidR="006F674E" w:rsidRPr="00261942">
        <w:rPr>
          <w:color w:val="auto"/>
          <w:sz w:val="22"/>
          <w:szCs w:val="22"/>
        </w:rPr>
        <w:t xml:space="preserve"> </w:t>
      </w:r>
      <w:r w:rsidR="00295799" w:rsidRPr="00261942">
        <w:rPr>
          <w:color w:val="auto"/>
          <w:sz w:val="22"/>
          <w:szCs w:val="22"/>
        </w:rPr>
        <w:t>“Arthritis in lower back; flat feet; DJD arthritis thor</w:t>
      </w:r>
      <w:r w:rsidR="0031414A" w:rsidRPr="00261942">
        <w:rPr>
          <w:color w:val="auto"/>
          <w:sz w:val="22"/>
          <w:szCs w:val="22"/>
        </w:rPr>
        <w:t>acolumbar spine; left knee; DJD</w:t>
      </w:r>
      <w:r w:rsidR="00295799" w:rsidRPr="00261942">
        <w:rPr>
          <w:color w:val="auto"/>
          <w:sz w:val="22"/>
          <w:szCs w:val="22"/>
        </w:rPr>
        <w:t xml:space="preserve"> acromioclavicular joint</w:t>
      </w:r>
      <w:r w:rsidR="007E50EB" w:rsidRPr="00261942">
        <w:rPr>
          <w:color w:val="auto"/>
          <w:sz w:val="22"/>
          <w:szCs w:val="22"/>
        </w:rPr>
        <w:t>.</w:t>
      </w:r>
      <w:r w:rsidR="00295799" w:rsidRPr="00261942">
        <w:rPr>
          <w:color w:val="auto"/>
          <w:sz w:val="22"/>
          <w:szCs w:val="22"/>
        </w:rPr>
        <w:t>”</w:t>
      </w:r>
    </w:p>
    <w:p w:rsidR="004306E0" w:rsidRPr="00261942" w:rsidRDefault="004306E0" w:rsidP="00BF0E94">
      <w:pPr>
        <w:pBdr>
          <w:bottom w:val="single" w:sz="12" w:space="1" w:color="auto"/>
        </w:pBdr>
        <w:tabs>
          <w:tab w:val="left" w:pos="288"/>
          <w:tab w:val="left" w:pos="4752"/>
        </w:tabs>
        <w:jc w:val="both"/>
        <w:rPr>
          <w:color w:val="auto"/>
          <w:sz w:val="22"/>
          <w:szCs w:val="22"/>
        </w:rPr>
      </w:pPr>
    </w:p>
    <w:p w:rsidR="007635A8" w:rsidRPr="00261942" w:rsidRDefault="007635A8" w:rsidP="007635A8">
      <w:pPr>
        <w:jc w:val="both"/>
        <w:rPr>
          <w:color w:val="auto"/>
          <w:sz w:val="22"/>
          <w:szCs w:val="22"/>
          <w:u w:val="single"/>
        </w:rPr>
      </w:pPr>
    </w:p>
    <w:p w:rsidR="009239C0" w:rsidRPr="00261942" w:rsidRDefault="009239C0" w:rsidP="009239C0">
      <w:pPr>
        <w:jc w:val="both"/>
        <w:rPr>
          <w:color w:val="auto"/>
          <w:sz w:val="22"/>
          <w:szCs w:val="22"/>
        </w:rPr>
      </w:pPr>
      <w:r w:rsidRPr="00261942">
        <w:rPr>
          <w:color w:val="auto"/>
          <w:sz w:val="22"/>
          <w:szCs w:val="22"/>
          <w:u w:val="single"/>
        </w:rPr>
        <w:t>SCOPE OF REVIEW</w:t>
      </w:r>
      <w:r w:rsidRPr="00261942">
        <w:rPr>
          <w:color w:val="auto"/>
          <w:sz w:val="22"/>
          <w:szCs w:val="22"/>
        </w:rPr>
        <w:t>:  The Board wishes to clarify that the scope of its re</w:t>
      </w:r>
      <w:r w:rsidR="00AE2B85" w:rsidRPr="00261942">
        <w:rPr>
          <w:color w:val="auto"/>
          <w:sz w:val="22"/>
          <w:szCs w:val="22"/>
        </w:rPr>
        <w:t>view as defined in DoDI 6040.44, Enclosure 3, paragraph 5.e</w:t>
      </w:r>
      <w:proofErr w:type="gramStart"/>
      <w:r w:rsidR="00AE2B85" w:rsidRPr="00261942">
        <w:rPr>
          <w:color w:val="auto"/>
          <w:sz w:val="22"/>
          <w:szCs w:val="22"/>
        </w:rPr>
        <w:t>.(</w:t>
      </w:r>
      <w:proofErr w:type="gramEnd"/>
      <w:r w:rsidR="00AE2B85" w:rsidRPr="00261942">
        <w:rPr>
          <w:color w:val="auto"/>
          <w:sz w:val="22"/>
          <w:szCs w:val="22"/>
        </w:rPr>
        <w:t>2)</w:t>
      </w:r>
      <w:r w:rsidRPr="00261942">
        <w:rPr>
          <w:color w:val="auto"/>
          <w:sz w:val="22"/>
          <w:szCs w:val="22"/>
        </w:rPr>
        <w:t xml:space="preserve"> is limited to those conditions which were determined by the PEB to be specifically unfitting for continued military service; or, when requested by the CI, those condition(s) “identified but not determined to be unfitting by the PEB.</w:t>
      </w:r>
      <w:r w:rsidR="00196C0C" w:rsidRPr="00261942">
        <w:rPr>
          <w:color w:val="auto"/>
          <w:sz w:val="22"/>
          <w:szCs w:val="22"/>
        </w:rPr>
        <w:t>”</w:t>
      </w:r>
      <w:r w:rsidRPr="00261942">
        <w:rPr>
          <w:color w:val="auto"/>
          <w:sz w:val="22"/>
          <w:szCs w:val="22"/>
        </w:rPr>
        <w:t xml:space="preserve">  The ratings for unfitting conditions will be reviewed in all cases.  The </w:t>
      </w:r>
      <w:r w:rsidR="007E50EB" w:rsidRPr="00261942">
        <w:rPr>
          <w:color w:val="auto"/>
          <w:sz w:val="22"/>
          <w:szCs w:val="22"/>
        </w:rPr>
        <w:t xml:space="preserve">unfitting lower back arthritis (DJD arthritis thoracolumbar spine) and </w:t>
      </w:r>
      <w:r w:rsidR="00CA6FBE">
        <w:rPr>
          <w:color w:val="auto"/>
          <w:sz w:val="22"/>
          <w:szCs w:val="22"/>
        </w:rPr>
        <w:t>OSA</w:t>
      </w:r>
      <w:r w:rsidRPr="00261942">
        <w:rPr>
          <w:color w:val="auto"/>
          <w:sz w:val="22"/>
          <w:szCs w:val="22"/>
        </w:rPr>
        <w:t xml:space="preserve"> condition</w:t>
      </w:r>
      <w:r w:rsidR="007E50EB" w:rsidRPr="00261942">
        <w:rPr>
          <w:color w:val="auto"/>
          <w:sz w:val="22"/>
          <w:szCs w:val="22"/>
        </w:rPr>
        <w:t>s</w:t>
      </w:r>
      <w:r w:rsidRPr="00261942">
        <w:rPr>
          <w:color w:val="auto"/>
          <w:sz w:val="22"/>
          <w:szCs w:val="22"/>
        </w:rPr>
        <w:t xml:space="preserve"> meet the criteria prescribed in DoDI 6040.44 for Board purview, and are accordingly addressed below.  </w:t>
      </w:r>
      <w:r w:rsidR="00E039B9" w:rsidRPr="00261942">
        <w:rPr>
          <w:color w:val="auto"/>
          <w:sz w:val="22"/>
          <w:szCs w:val="22"/>
        </w:rPr>
        <w:t xml:space="preserve">The </w:t>
      </w:r>
      <w:r w:rsidR="0031414A" w:rsidRPr="00261942">
        <w:rPr>
          <w:color w:val="auto"/>
          <w:sz w:val="22"/>
          <w:szCs w:val="22"/>
        </w:rPr>
        <w:t>flat feet, left knee, and</w:t>
      </w:r>
      <w:r w:rsidR="00BA26A5" w:rsidRPr="00261942">
        <w:rPr>
          <w:color w:val="auto"/>
          <w:sz w:val="22"/>
          <w:szCs w:val="22"/>
        </w:rPr>
        <w:t xml:space="preserve"> DJD acromioclavicular joint</w:t>
      </w:r>
      <w:r w:rsidRPr="00261942">
        <w:rPr>
          <w:color w:val="auto"/>
          <w:sz w:val="22"/>
          <w:szCs w:val="22"/>
        </w:rPr>
        <w:t xml:space="preserve"> are not within the Board’s purview.</w:t>
      </w:r>
      <w:r w:rsidR="0031414A" w:rsidRPr="00261942">
        <w:rPr>
          <w:color w:val="auto"/>
          <w:sz w:val="22"/>
          <w:szCs w:val="22"/>
        </w:rPr>
        <w:t xml:space="preserve"> </w:t>
      </w:r>
      <w:r w:rsidRPr="00261942">
        <w:rPr>
          <w:color w:val="auto"/>
          <w:sz w:val="22"/>
          <w:szCs w:val="22"/>
        </w:rPr>
        <w:t xml:space="preserve"> Any condition or contention not requested in this application, or otherwise outside the Board’s defined scope of review, remain eligible for future consideration by the Army Board for Correction of Military Records</w:t>
      </w:r>
      <w:r w:rsidR="00BA26A5" w:rsidRPr="00261942">
        <w:rPr>
          <w:color w:val="auto"/>
          <w:sz w:val="22"/>
          <w:szCs w:val="22"/>
        </w:rPr>
        <w:t>.</w:t>
      </w:r>
    </w:p>
    <w:p w:rsidR="000B63CF" w:rsidRPr="00261942" w:rsidRDefault="000B63CF" w:rsidP="000B63CF">
      <w:pPr>
        <w:pBdr>
          <w:bottom w:val="single" w:sz="12" w:space="1" w:color="auto"/>
        </w:pBdr>
        <w:tabs>
          <w:tab w:val="left" w:pos="288"/>
          <w:tab w:val="left" w:pos="4752"/>
        </w:tabs>
        <w:jc w:val="both"/>
        <w:rPr>
          <w:color w:val="auto"/>
          <w:sz w:val="22"/>
          <w:szCs w:val="22"/>
        </w:rPr>
      </w:pPr>
    </w:p>
    <w:p w:rsidR="000B63CF" w:rsidRPr="00261942" w:rsidRDefault="000B63CF" w:rsidP="000B63CF">
      <w:pPr>
        <w:jc w:val="both"/>
        <w:rPr>
          <w:color w:val="auto"/>
          <w:sz w:val="22"/>
          <w:szCs w:val="22"/>
          <w:u w:val="single"/>
        </w:rPr>
      </w:pPr>
    </w:p>
    <w:p w:rsidR="00AD2379" w:rsidRPr="00261942" w:rsidRDefault="00AD2379" w:rsidP="00BF0E94">
      <w:pPr>
        <w:jc w:val="left"/>
        <w:rPr>
          <w:color w:val="auto"/>
          <w:sz w:val="22"/>
          <w:szCs w:val="22"/>
        </w:rPr>
      </w:pPr>
      <w:r w:rsidRPr="00261942">
        <w:rPr>
          <w:color w:val="auto"/>
          <w:sz w:val="22"/>
          <w:szCs w:val="22"/>
          <w:u w:val="single"/>
        </w:rPr>
        <w:t>RATING COMPARISON</w:t>
      </w:r>
      <w:r w:rsidR="00B3648C" w:rsidRPr="00261942">
        <w:rPr>
          <w:color w:val="auto"/>
          <w:sz w:val="22"/>
          <w:szCs w:val="22"/>
        </w:rPr>
        <w:t>:</w:t>
      </w:r>
    </w:p>
    <w:p w:rsidR="00F90376" w:rsidRPr="00261942" w:rsidRDefault="00F90376" w:rsidP="00F90376">
      <w:pPr>
        <w:jc w:val="both"/>
        <w:rPr>
          <w:color w:val="auto"/>
          <w:sz w:val="22"/>
          <w:szCs w:val="22"/>
        </w:rPr>
      </w:pPr>
    </w:p>
    <w:tbl>
      <w:tblPr>
        <w:tblStyle w:val="TableGrid"/>
        <w:tblW w:w="9369" w:type="dxa"/>
        <w:jc w:val="center"/>
        <w:tblInd w:w="9" w:type="dxa"/>
        <w:tblLayout w:type="fixed"/>
        <w:tblLook w:val="00A0"/>
      </w:tblPr>
      <w:tblGrid>
        <w:gridCol w:w="1265"/>
        <w:gridCol w:w="1530"/>
        <w:gridCol w:w="1080"/>
        <w:gridCol w:w="2880"/>
        <w:gridCol w:w="1080"/>
        <w:gridCol w:w="720"/>
        <w:gridCol w:w="814"/>
      </w:tblGrid>
      <w:tr w:rsidR="00F90376" w:rsidRPr="00261942" w:rsidTr="009D6E91">
        <w:trPr>
          <w:trHeight w:val="170"/>
          <w:jc w:val="center"/>
        </w:trPr>
        <w:tc>
          <w:tcPr>
            <w:tcW w:w="3875" w:type="dxa"/>
            <w:gridSpan w:val="3"/>
            <w:tcBorders>
              <w:right w:val="thinThickThinSmallGap" w:sz="24" w:space="0" w:color="auto"/>
            </w:tcBorders>
            <w:shd w:val="clear" w:color="auto" w:fill="D9D9D9"/>
            <w:vAlign w:val="center"/>
          </w:tcPr>
          <w:p w:rsidR="00F90376" w:rsidRPr="00261942" w:rsidRDefault="00F90376" w:rsidP="001F5599">
            <w:pPr>
              <w:spacing w:line="180" w:lineRule="exact"/>
              <w:contextualSpacing/>
              <w:rPr>
                <w:rFonts w:cs="Calibri"/>
                <w:b/>
                <w:color w:val="auto"/>
              </w:rPr>
            </w:pPr>
            <w:r w:rsidRPr="00261942">
              <w:rPr>
                <w:b/>
                <w:color w:val="auto"/>
              </w:rPr>
              <w:t xml:space="preserve">Service </w:t>
            </w:r>
            <w:r w:rsidR="001F5599" w:rsidRPr="00261942">
              <w:rPr>
                <w:b/>
                <w:color w:val="auto"/>
              </w:rPr>
              <w:t>I</w:t>
            </w:r>
            <w:r w:rsidRPr="00261942">
              <w:rPr>
                <w:b/>
                <w:color w:val="auto"/>
              </w:rPr>
              <w:t xml:space="preserve">PEB – Dated </w:t>
            </w:r>
            <w:r w:rsidR="001F5599" w:rsidRPr="00261942">
              <w:rPr>
                <w:b/>
                <w:color w:val="auto"/>
              </w:rPr>
              <w:t>20030312</w:t>
            </w:r>
          </w:p>
        </w:tc>
        <w:tc>
          <w:tcPr>
            <w:tcW w:w="5494" w:type="dxa"/>
            <w:gridSpan w:val="4"/>
            <w:tcBorders>
              <w:left w:val="thinThickThinSmallGap" w:sz="24" w:space="0" w:color="auto"/>
            </w:tcBorders>
            <w:shd w:val="clear" w:color="auto" w:fill="D9D9D9"/>
            <w:vAlign w:val="center"/>
          </w:tcPr>
          <w:p w:rsidR="00F90376" w:rsidRPr="00261942" w:rsidRDefault="00F90376" w:rsidP="00961FB4">
            <w:pPr>
              <w:spacing w:line="200" w:lineRule="exact"/>
              <w:contextualSpacing/>
              <w:rPr>
                <w:rFonts w:cs="Calibri"/>
                <w:b/>
                <w:color w:val="auto"/>
              </w:rPr>
            </w:pPr>
            <w:r w:rsidRPr="00261942">
              <w:rPr>
                <w:b/>
                <w:color w:val="auto"/>
              </w:rPr>
              <w:t>VA – All Effective Date</w:t>
            </w:r>
            <w:r w:rsidR="00DA27C4" w:rsidRPr="00261942">
              <w:rPr>
                <w:b/>
                <w:color w:val="auto"/>
              </w:rPr>
              <w:t xml:space="preserve"> 20030404</w:t>
            </w:r>
          </w:p>
        </w:tc>
      </w:tr>
      <w:tr w:rsidR="00F90376" w:rsidRPr="00261942" w:rsidTr="009D6E91">
        <w:trPr>
          <w:trHeight w:val="97"/>
          <w:jc w:val="center"/>
        </w:trPr>
        <w:tc>
          <w:tcPr>
            <w:tcW w:w="1265" w:type="dxa"/>
            <w:tcBorders>
              <w:bottom w:val="single" w:sz="4" w:space="0" w:color="000000"/>
              <w:right w:val="single" w:sz="4" w:space="0" w:color="auto"/>
            </w:tcBorders>
            <w:shd w:val="clear" w:color="auto" w:fill="D9D9D9"/>
            <w:vAlign w:val="center"/>
          </w:tcPr>
          <w:p w:rsidR="00F90376" w:rsidRPr="00261942" w:rsidRDefault="00F90376" w:rsidP="006B690F">
            <w:pPr>
              <w:spacing w:line="180" w:lineRule="exact"/>
              <w:contextualSpacing/>
              <w:rPr>
                <w:rFonts w:cs="Calibri"/>
                <w:b/>
                <w:color w:val="auto"/>
              </w:rPr>
            </w:pPr>
            <w:r w:rsidRPr="00261942">
              <w:rPr>
                <w:b/>
                <w:color w:val="auto"/>
              </w:rPr>
              <w:t>Condition</w:t>
            </w:r>
          </w:p>
        </w:tc>
        <w:tc>
          <w:tcPr>
            <w:tcW w:w="1530" w:type="dxa"/>
            <w:tcBorders>
              <w:left w:val="single" w:sz="4" w:space="0" w:color="auto"/>
              <w:bottom w:val="single" w:sz="4" w:space="0" w:color="000000"/>
            </w:tcBorders>
            <w:shd w:val="clear" w:color="auto" w:fill="D9D9D9"/>
            <w:vAlign w:val="center"/>
          </w:tcPr>
          <w:p w:rsidR="00F90376" w:rsidRPr="00261942" w:rsidRDefault="00F90376" w:rsidP="006B690F">
            <w:pPr>
              <w:spacing w:line="180" w:lineRule="exact"/>
              <w:contextualSpacing/>
              <w:rPr>
                <w:rFonts w:cs="Calibri"/>
                <w:b/>
                <w:color w:val="auto"/>
              </w:rPr>
            </w:pPr>
            <w:r w:rsidRPr="00261942">
              <w:rPr>
                <w:b/>
                <w:color w:val="auto"/>
              </w:rPr>
              <w:t>Code</w:t>
            </w:r>
          </w:p>
        </w:tc>
        <w:tc>
          <w:tcPr>
            <w:tcW w:w="1080" w:type="dxa"/>
            <w:tcBorders>
              <w:bottom w:val="single" w:sz="4" w:space="0" w:color="000000"/>
              <w:right w:val="thinThickThinSmallGap" w:sz="24" w:space="0" w:color="auto"/>
            </w:tcBorders>
            <w:shd w:val="clear" w:color="auto" w:fill="D9D9D9"/>
            <w:vAlign w:val="center"/>
          </w:tcPr>
          <w:p w:rsidR="00F90376" w:rsidRPr="00261942" w:rsidRDefault="00F90376" w:rsidP="006B690F">
            <w:pPr>
              <w:spacing w:line="180" w:lineRule="exact"/>
              <w:contextualSpacing/>
              <w:rPr>
                <w:rFonts w:cs="Calibri"/>
                <w:b/>
                <w:color w:val="auto"/>
              </w:rPr>
            </w:pPr>
            <w:r w:rsidRPr="00261942">
              <w:rPr>
                <w:b/>
                <w:color w:val="auto"/>
              </w:rPr>
              <w:t>Rating</w:t>
            </w:r>
          </w:p>
        </w:tc>
        <w:tc>
          <w:tcPr>
            <w:tcW w:w="2880" w:type="dxa"/>
            <w:tcBorders>
              <w:left w:val="thinThickThinSmallGap" w:sz="24" w:space="0" w:color="auto"/>
              <w:bottom w:val="single" w:sz="4" w:space="0" w:color="000000"/>
            </w:tcBorders>
            <w:shd w:val="clear" w:color="auto" w:fill="D9D9D9"/>
            <w:vAlign w:val="center"/>
          </w:tcPr>
          <w:p w:rsidR="00F90376" w:rsidRPr="00261942" w:rsidRDefault="00F90376" w:rsidP="00961FB4">
            <w:pPr>
              <w:spacing w:line="200" w:lineRule="exact"/>
              <w:contextualSpacing/>
              <w:rPr>
                <w:rFonts w:cs="Calibri"/>
                <w:b/>
                <w:color w:val="auto"/>
              </w:rPr>
            </w:pPr>
            <w:r w:rsidRPr="00261942">
              <w:rPr>
                <w:b/>
                <w:color w:val="auto"/>
              </w:rPr>
              <w:t>Condition</w:t>
            </w:r>
          </w:p>
        </w:tc>
        <w:tc>
          <w:tcPr>
            <w:tcW w:w="1080" w:type="dxa"/>
            <w:tcBorders>
              <w:bottom w:val="single" w:sz="4" w:space="0" w:color="000000"/>
            </w:tcBorders>
            <w:shd w:val="clear" w:color="auto" w:fill="D9D9D9"/>
            <w:vAlign w:val="center"/>
          </w:tcPr>
          <w:p w:rsidR="00F90376" w:rsidRPr="00261942" w:rsidRDefault="00F90376" w:rsidP="00961FB4">
            <w:pPr>
              <w:spacing w:line="200" w:lineRule="exact"/>
              <w:contextualSpacing/>
              <w:rPr>
                <w:rFonts w:cs="Calibri"/>
                <w:b/>
                <w:color w:val="auto"/>
              </w:rPr>
            </w:pPr>
            <w:r w:rsidRPr="00261942">
              <w:rPr>
                <w:b/>
                <w:color w:val="auto"/>
              </w:rPr>
              <w:t>Code</w:t>
            </w:r>
          </w:p>
        </w:tc>
        <w:tc>
          <w:tcPr>
            <w:tcW w:w="720" w:type="dxa"/>
            <w:tcBorders>
              <w:bottom w:val="single" w:sz="4" w:space="0" w:color="000000"/>
            </w:tcBorders>
            <w:shd w:val="clear" w:color="auto" w:fill="D9D9D9"/>
            <w:vAlign w:val="center"/>
          </w:tcPr>
          <w:p w:rsidR="00F90376" w:rsidRPr="00261942" w:rsidRDefault="00F90376" w:rsidP="00961FB4">
            <w:pPr>
              <w:spacing w:line="200" w:lineRule="exact"/>
              <w:contextualSpacing/>
              <w:rPr>
                <w:rFonts w:cs="Calibri"/>
                <w:b/>
                <w:color w:val="auto"/>
              </w:rPr>
            </w:pPr>
            <w:r w:rsidRPr="00261942">
              <w:rPr>
                <w:b/>
                <w:color w:val="auto"/>
              </w:rPr>
              <w:t>Rating</w:t>
            </w:r>
          </w:p>
        </w:tc>
        <w:tc>
          <w:tcPr>
            <w:tcW w:w="814" w:type="dxa"/>
            <w:tcBorders>
              <w:bottom w:val="single" w:sz="4" w:space="0" w:color="000000"/>
            </w:tcBorders>
            <w:shd w:val="clear" w:color="auto" w:fill="D9D9D9"/>
            <w:vAlign w:val="center"/>
          </w:tcPr>
          <w:p w:rsidR="00F90376" w:rsidRPr="00261942" w:rsidRDefault="00F90376" w:rsidP="00961FB4">
            <w:pPr>
              <w:spacing w:line="200" w:lineRule="exact"/>
              <w:contextualSpacing/>
              <w:rPr>
                <w:rFonts w:cs="Calibri"/>
                <w:b/>
                <w:color w:val="auto"/>
              </w:rPr>
            </w:pPr>
            <w:r w:rsidRPr="00261942">
              <w:rPr>
                <w:b/>
                <w:color w:val="auto"/>
              </w:rPr>
              <w:t>Exam</w:t>
            </w:r>
          </w:p>
        </w:tc>
      </w:tr>
      <w:tr w:rsidR="00DA27C4" w:rsidRPr="00261942" w:rsidTr="009D6E91">
        <w:trPr>
          <w:trHeight w:val="118"/>
          <w:jc w:val="center"/>
        </w:trPr>
        <w:tc>
          <w:tcPr>
            <w:tcW w:w="1265" w:type="dxa"/>
            <w:tcBorders>
              <w:right w:val="single" w:sz="4" w:space="0" w:color="auto"/>
            </w:tcBorders>
            <w:shd w:val="clear" w:color="auto" w:fill="FFFFFF"/>
            <w:vAlign w:val="center"/>
          </w:tcPr>
          <w:p w:rsidR="00DA27C4" w:rsidRPr="00261942" w:rsidRDefault="00DA27C4" w:rsidP="006B690F">
            <w:pPr>
              <w:spacing w:line="180" w:lineRule="exact"/>
              <w:contextualSpacing/>
              <w:jc w:val="left"/>
              <w:rPr>
                <w:rFonts w:cs="Calibri"/>
                <w:color w:val="auto"/>
              </w:rPr>
            </w:pPr>
            <w:r w:rsidRPr="00261942">
              <w:rPr>
                <w:rFonts w:cs="Calibri"/>
                <w:color w:val="auto"/>
              </w:rPr>
              <w:t>Chronic LB</w:t>
            </w:r>
            <w:r w:rsidR="00F76C43" w:rsidRPr="00261942">
              <w:rPr>
                <w:rFonts w:cs="Calibri"/>
                <w:color w:val="auto"/>
              </w:rPr>
              <w:t>P</w:t>
            </w:r>
          </w:p>
        </w:tc>
        <w:tc>
          <w:tcPr>
            <w:tcW w:w="1530" w:type="dxa"/>
            <w:tcBorders>
              <w:left w:val="single" w:sz="4" w:space="0" w:color="auto"/>
            </w:tcBorders>
            <w:shd w:val="clear" w:color="auto" w:fill="FFFFFF"/>
            <w:vAlign w:val="center"/>
          </w:tcPr>
          <w:p w:rsidR="00DA27C4" w:rsidRPr="00261942" w:rsidRDefault="00DA27C4" w:rsidP="006B690F">
            <w:pPr>
              <w:spacing w:line="180" w:lineRule="exact"/>
              <w:contextualSpacing/>
              <w:rPr>
                <w:rFonts w:cs="Calibri"/>
                <w:color w:val="auto"/>
              </w:rPr>
            </w:pPr>
            <w:r w:rsidRPr="00261942">
              <w:rPr>
                <w:rFonts w:cs="Calibri"/>
                <w:color w:val="auto"/>
              </w:rPr>
              <w:t>5293-5299-5295</w:t>
            </w:r>
          </w:p>
        </w:tc>
        <w:tc>
          <w:tcPr>
            <w:tcW w:w="1080" w:type="dxa"/>
            <w:tcBorders>
              <w:right w:val="thinThickThinSmallGap" w:sz="24" w:space="0" w:color="auto"/>
            </w:tcBorders>
            <w:shd w:val="clear" w:color="auto" w:fill="FFFFFF"/>
            <w:vAlign w:val="center"/>
          </w:tcPr>
          <w:p w:rsidR="00DA27C4" w:rsidRPr="00261942" w:rsidRDefault="00DA27C4" w:rsidP="006B690F">
            <w:pPr>
              <w:spacing w:line="180" w:lineRule="exact"/>
              <w:rPr>
                <w:rFonts w:cs="Calibri"/>
                <w:color w:val="auto"/>
              </w:rPr>
            </w:pPr>
            <w:r w:rsidRPr="00261942">
              <w:rPr>
                <w:rFonts w:cs="Calibri"/>
                <w:color w:val="auto"/>
              </w:rPr>
              <w:t>10%</w:t>
            </w:r>
          </w:p>
        </w:tc>
        <w:tc>
          <w:tcPr>
            <w:tcW w:w="2880" w:type="dxa"/>
            <w:tcBorders>
              <w:left w:val="thinThickThinSmallGap" w:sz="24" w:space="0" w:color="auto"/>
            </w:tcBorders>
            <w:shd w:val="clear" w:color="auto" w:fill="FFFFFF"/>
            <w:vAlign w:val="center"/>
          </w:tcPr>
          <w:p w:rsidR="00DA27C4" w:rsidRPr="00261942" w:rsidRDefault="00DA27C4" w:rsidP="00961FB4">
            <w:pPr>
              <w:spacing w:line="200" w:lineRule="exact"/>
              <w:contextualSpacing/>
              <w:jc w:val="left"/>
              <w:rPr>
                <w:color w:val="auto"/>
              </w:rPr>
            </w:pPr>
            <w:r w:rsidRPr="00261942">
              <w:rPr>
                <w:color w:val="auto"/>
              </w:rPr>
              <w:t>Chronic L</w:t>
            </w:r>
            <w:r w:rsidR="00172584" w:rsidRPr="00261942">
              <w:rPr>
                <w:color w:val="auto"/>
              </w:rPr>
              <w:t>ow</w:t>
            </w:r>
            <w:r w:rsidR="009534BF" w:rsidRPr="00261942">
              <w:rPr>
                <w:color w:val="auto"/>
              </w:rPr>
              <w:t xml:space="preserve"> Back Pain</w:t>
            </w:r>
          </w:p>
        </w:tc>
        <w:tc>
          <w:tcPr>
            <w:tcW w:w="1080" w:type="dxa"/>
            <w:shd w:val="clear" w:color="auto" w:fill="FFFFFF"/>
            <w:vAlign w:val="center"/>
          </w:tcPr>
          <w:p w:rsidR="00DA27C4" w:rsidRPr="00261942" w:rsidRDefault="00DA27C4" w:rsidP="00961FB4">
            <w:pPr>
              <w:spacing w:line="200" w:lineRule="exact"/>
              <w:contextualSpacing/>
              <w:rPr>
                <w:color w:val="auto"/>
              </w:rPr>
            </w:pPr>
            <w:r w:rsidRPr="00261942">
              <w:rPr>
                <w:color w:val="auto"/>
              </w:rPr>
              <w:t>5293-5295</w:t>
            </w:r>
          </w:p>
        </w:tc>
        <w:tc>
          <w:tcPr>
            <w:tcW w:w="720" w:type="dxa"/>
            <w:shd w:val="clear" w:color="auto" w:fill="FFFFFF"/>
            <w:vAlign w:val="center"/>
          </w:tcPr>
          <w:p w:rsidR="00DA27C4" w:rsidRPr="00261942" w:rsidRDefault="00DA27C4" w:rsidP="00961FB4">
            <w:pPr>
              <w:spacing w:line="200" w:lineRule="exact"/>
              <w:contextualSpacing/>
              <w:rPr>
                <w:color w:val="auto"/>
              </w:rPr>
            </w:pPr>
            <w:r w:rsidRPr="00261942">
              <w:rPr>
                <w:color w:val="auto"/>
              </w:rPr>
              <w:t>10%</w:t>
            </w:r>
            <w:r w:rsidR="00685045" w:rsidRPr="00261942">
              <w:rPr>
                <w:color w:val="auto"/>
                <w:vertAlign w:val="superscript"/>
              </w:rPr>
              <w:t>*</w:t>
            </w:r>
          </w:p>
        </w:tc>
        <w:tc>
          <w:tcPr>
            <w:tcW w:w="814" w:type="dxa"/>
            <w:shd w:val="clear" w:color="auto" w:fill="FFFFFF"/>
            <w:vAlign w:val="center"/>
          </w:tcPr>
          <w:p w:rsidR="00DA27C4" w:rsidRPr="00261942" w:rsidRDefault="00DA27C4" w:rsidP="00961FB4">
            <w:pPr>
              <w:spacing w:line="200" w:lineRule="exact"/>
              <w:contextualSpacing/>
              <w:rPr>
                <w:color w:val="auto"/>
              </w:rPr>
            </w:pPr>
            <w:r w:rsidRPr="00261942">
              <w:rPr>
                <w:color w:val="auto"/>
              </w:rPr>
              <w:t>STR</w:t>
            </w:r>
          </w:p>
        </w:tc>
      </w:tr>
      <w:tr w:rsidR="00DA27C4" w:rsidRPr="00261942" w:rsidTr="009D6E91">
        <w:trPr>
          <w:trHeight w:val="118"/>
          <w:jc w:val="center"/>
        </w:trPr>
        <w:tc>
          <w:tcPr>
            <w:tcW w:w="1265" w:type="dxa"/>
            <w:tcBorders>
              <w:right w:val="single" w:sz="4" w:space="0" w:color="auto"/>
            </w:tcBorders>
            <w:shd w:val="clear" w:color="auto" w:fill="FFFFFF"/>
            <w:vAlign w:val="center"/>
          </w:tcPr>
          <w:p w:rsidR="00DA27C4" w:rsidRPr="00261942" w:rsidRDefault="00DA27C4" w:rsidP="006B690F">
            <w:pPr>
              <w:spacing w:line="180" w:lineRule="exact"/>
              <w:contextualSpacing/>
              <w:jc w:val="left"/>
              <w:rPr>
                <w:color w:val="auto"/>
              </w:rPr>
            </w:pPr>
            <w:r w:rsidRPr="00261942">
              <w:rPr>
                <w:color w:val="auto"/>
              </w:rPr>
              <w:t>OSA</w:t>
            </w:r>
          </w:p>
        </w:tc>
        <w:tc>
          <w:tcPr>
            <w:tcW w:w="1530" w:type="dxa"/>
            <w:tcBorders>
              <w:left w:val="single" w:sz="4" w:space="0" w:color="auto"/>
            </w:tcBorders>
            <w:shd w:val="clear" w:color="auto" w:fill="FFFFFF"/>
            <w:vAlign w:val="center"/>
          </w:tcPr>
          <w:p w:rsidR="00DA27C4" w:rsidRPr="00261942" w:rsidRDefault="00DA27C4" w:rsidP="006B690F">
            <w:pPr>
              <w:spacing w:line="180" w:lineRule="exact"/>
              <w:contextualSpacing/>
              <w:rPr>
                <w:color w:val="auto"/>
              </w:rPr>
            </w:pPr>
            <w:r w:rsidRPr="00261942">
              <w:rPr>
                <w:color w:val="auto"/>
              </w:rPr>
              <w:t>6847</w:t>
            </w:r>
          </w:p>
        </w:tc>
        <w:tc>
          <w:tcPr>
            <w:tcW w:w="1080" w:type="dxa"/>
            <w:tcBorders>
              <w:right w:val="thinThickThinSmallGap" w:sz="24" w:space="0" w:color="auto"/>
            </w:tcBorders>
            <w:shd w:val="clear" w:color="auto" w:fill="FFFFFF"/>
            <w:vAlign w:val="center"/>
          </w:tcPr>
          <w:p w:rsidR="00DA27C4" w:rsidRPr="00261942" w:rsidRDefault="00DA27C4" w:rsidP="006B690F">
            <w:pPr>
              <w:spacing w:line="180" w:lineRule="exact"/>
              <w:rPr>
                <w:color w:val="auto"/>
              </w:rPr>
            </w:pPr>
            <w:r w:rsidRPr="00261942">
              <w:rPr>
                <w:color w:val="auto"/>
              </w:rPr>
              <w:t>0%</w:t>
            </w:r>
          </w:p>
        </w:tc>
        <w:tc>
          <w:tcPr>
            <w:tcW w:w="2880" w:type="dxa"/>
            <w:tcBorders>
              <w:left w:val="thinThickThinSmallGap" w:sz="24" w:space="0" w:color="auto"/>
            </w:tcBorders>
            <w:shd w:val="clear" w:color="auto" w:fill="FFFFFF"/>
            <w:vAlign w:val="center"/>
          </w:tcPr>
          <w:p w:rsidR="00DA27C4" w:rsidRPr="00261942" w:rsidRDefault="00DA27C4" w:rsidP="00961FB4">
            <w:pPr>
              <w:spacing w:line="200" w:lineRule="exact"/>
              <w:contextualSpacing/>
              <w:jc w:val="left"/>
              <w:rPr>
                <w:rFonts w:cs="Calibri"/>
                <w:color w:val="auto"/>
              </w:rPr>
            </w:pPr>
            <w:r w:rsidRPr="00261942">
              <w:rPr>
                <w:rFonts w:cs="Calibri"/>
                <w:color w:val="auto"/>
              </w:rPr>
              <w:t>Sleep Apnea</w:t>
            </w:r>
          </w:p>
        </w:tc>
        <w:tc>
          <w:tcPr>
            <w:tcW w:w="1080" w:type="dxa"/>
            <w:shd w:val="clear" w:color="auto" w:fill="FFFFFF"/>
            <w:vAlign w:val="center"/>
          </w:tcPr>
          <w:p w:rsidR="00DA27C4" w:rsidRPr="00261942" w:rsidRDefault="00DA27C4" w:rsidP="00961FB4">
            <w:pPr>
              <w:spacing w:line="200" w:lineRule="exact"/>
              <w:contextualSpacing/>
              <w:rPr>
                <w:rFonts w:cs="Calibri"/>
                <w:color w:val="auto"/>
              </w:rPr>
            </w:pPr>
            <w:r w:rsidRPr="00261942">
              <w:rPr>
                <w:rFonts w:cs="Calibri"/>
                <w:color w:val="auto"/>
              </w:rPr>
              <w:t>6847</w:t>
            </w:r>
          </w:p>
        </w:tc>
        <w:tc>
          <w:tcPr>
            <w:tcW w:w="720" w:type="dxa"/>
            <w:shd w:val="clear" w:color="auto" w:fill="FFFFFF"/>
            <w:vAlign w:val="center"/>
          </w:tcPr>
          <w:p w:rsidR="00DA27C4" w:rsidRPr="00261942" w:rsidRDefault="00DA27C4" w:rsidP="00961FB4">
            <w:pPr>
              <w:spacing w:line="200" w:lineRule="exact"/>
              <w:contextualSpacing/>
              <w:rPr>
                <w:rFonts w:cs="Calibri"/>
                <w:color w:val="auto"/>
              </w:rPr>
            </w:pPr>
            <w:r w:rsidRPr="00261942">
              <w:rPr>
                <w:rFonts w:cs="Calibri"/>
                <w:color w:val="auto"/>
              </w:rPr>
              <w:t>50%</w:t>
            </w:r>
          </w:p>
        </w:tc>
        <w:tc>
          <w:tcPr>
            <w:tcW w:w="814" w:type="dxa"/>
            <w:shd w:val="clear" w:color="auto" w:fill="FFFFFF"/>
            <w:vAlign w:val="center"/>
          </w:tcPr>
          <w:p w:rsidR="00DA27C4" w:rsidRPr="00261942" w:rsidRDefault="00DA27C4" w:rsidP="00961FB4">
            <w:pPr>
              <w:spacing w:line="200" w:lineRule="exact"/>
              <w:contextualSpacing/>
              <w:rPr>
                <w:rFonts w:cs="Calibri"/>
                <w:color w:val="auto"/>
              </w:rPr>
            </w:pPr>
            <w:r w:rsidRPr="00261942">
              <w:rPr>
                <w:color w:val="auto"/>
              </w:rPr>
              <w:t>STR</w:t>
            </w:r>
          </w:p>
        </w:tc>
      </w:tr>
      <w:tr w:rsidR="000262BD" w:rsidRPr="00261942" w:rsidTr="009D6E91">
        <w:trPr>
          <w:trHeight w:val="118"/>
          <w:jc w:val="center"/>
        </w:trPr>
        <w:tc>
          <w:tcPr>
            <w:tcW w:w="3875" w:type="dxa"/>
            <w:gridSpan w:val="3"/>
            <w:vMerge w:val="restart"/>
            <w:tcBorders>
              <w:right w:val="thinThickThinSmallGap" w:sz="24" w:space="0" w:color="auto"/>
            </w:tcBorders>
            <w:shd w:val="clear" w:color="auto" w:fill="FFFFFF"/>
            <w:vAlign w:val="center"/>
          </w:tcPr>
          <w:p w:rsidR="000262BD" w:rsidRPr="00261942" w:rsidRDefault="000262BD" w:rsidP="006B690F">
            <w:pPr>
              <w:spacing w:line="180" w:lineRule="exact"/>
              <w:contextualSpacing/>
              <w:rPr>
                <w:color w:val="auto"/>
              </w:rPr>
            </w:pPr>
            <w:r w:rsidRPr="00261942">
              <w:rPr>
                <w:rFonts w:cs="Calibri"/>
                <w:color w:val="auto"/>
              </w:rPr>
              <w:t>No Additional MEB/PEB Entries</w:t>
            </w:r>
          </w:p>
        </w:tc>
        <w:tc>
          <w:tcPr>
            <w:tcW w:w="2880" w:type="dxa"/>
            <w:tcBorders>
              <w:left w:val="thinThickThinSmallGap" w:sz="24" w:space="0" w:color="auto"/>
            </w:tcBorders>
            <w:shd w:val="clear" w:color="auto" w:fill="FFFFFF"/>
            <w:vAlign w:val="center"/>
          </w:tcPr>
          <w:p w:rsidR="000262BD" w:rsidRPr="00261942" w:rsidRDefault="009D6E91" w:rsidP="002E34B5">
            <w:pPr>
              <w:spacing w:line="200" w:lineRule="exact"/>
              <w:contextualSpacing/>
              <w:jc w:val="left"/>
              <w:rPr>
                <w:rFonts w:cs="Calibri"/>
                <w:color w:val="auto"/>
              </w:rPr>
            </w:pPr>
            <w:r w:rsidRPr="00261942">
              <w:rPr>
                <w:rFonts w:cs="Calibri"/>
                <w:color w:val="auto"/>
              </w:rPr>
              <w:t>Right Shoulder D</w:t>
            </w:r>
            <w:r w:rsidR="002E34B5" w:rsidRPr="00261942">
              <w:rPr>
                <w:rFonts w:cs="Calibri"/>
                <w:color w:val="auto"/>
              </w:rPr>
              <w:t>JD</w:t>
            </w:r>
          </w:p>
        </w:tc>
        <w:tc>
          <w:tcPr>
            <w:tcW w:w="1080" w:type="dxa"/>
            <w:shd w:val="clear" w:color="auto" w:fill="FFFFFF"/>
            <w:vAlign w:val="center"/>
          </w:tcPr>
          <w:p w:rsidR="000262BD" w:rsidRPr="00261942" w:rsidRDefault="000262BD" w:rsidP="00961FB4">
            <w:pPr>
              <w:spacing w:line="200" w:lineRule="exact"/>
              <w:contextualSpacing/>
              <w:rPr>
                <w:rFonts w:cs="Calibri"/>
                <w:color w:val="auto"/>
              </w:rPr>
            </w:pPr>
            <w:r w:rsidRPr="00261942">
              <w:rPr>
                <w:rFonts w:cs="Calibri"/>
                <w:color w:val="auto"/>
              </w:rPr>
              <w:t>5010-5203</w:t>
            </w:r>
          </w:p>
        </w:tc>
        <w:tc>
          <w:tcPr>
            <w:tcW w:w="720" w:type="dxa"/>
            <w:shd w:val="clear" w:color="auto" w:fill="FFFFFF"/>
            <w:vAlign w:val="center"/>
          </w:tcPr>
          <w:p w:rsidR="000262BD" w:rsidRPr="00261942" w:rsidRDefault="000262BD" w:rsidP="00961FB4">
            <w:pPr>
              <w:spacing w:line="200" w:lineRule="exact"/>
              <w:contextualSpacing/>
              <w:rPr>
                <w:rFonts w:cs="Calibri"/>
                <w:color w:val="auto"/>
              </w:rPr>
            </w:pPr>
            <w:r w:rsidRPr="00261942">
              <w:rPr>
                <w:rFonts w:cs="Calibri"/>
                <w:color w:val="auto"/>
              </w:rPr>
              <w:t>10%</w:t>
            </w:r>
          </w:p>
        </w:tc>
        <w:tc>
          <w:tcPr>
            <w:tcW w:w="814" w:type="dxa"/>
            <w:shd w:val="clear" w:color="auto" w:fill="FFFFFF"/>
            <w:vAlign w:val="center"/>
          </w:tcPr>
          <w:p w:rsidR="000262BD" w:rsidRPr="00261942" w:rsidRDefault="000262BD" w:rsidP="00961FB4">
            <w:pPr>
              <w:spacing w:line="200" w:lineRule="exact"/>
              <w:contextualSpacing/>
              <w:rPr>
                <w:rFonts w:cs="Calibri"/>
                <w:color w:val="auto"/>
              </w:rPr>
            </w:pPr>
            <w:r w:rsidRPr="00261942">
              <w:rPr>
                <w:rFonts w:cs="Calibri"/>
                <w:color w:val="auto"/>
              </w:rPr>
              <w:t>STR</w:t>
            </w:r>
          </w:p>
        </w:tc>
      </w:tr>
      <w:tr w:rsidR="000262BD" w:rsidRPr="00261942" w:rsidTr="009D6E91">
        <w:trPr>
          <w:trHeight w:val="172"/>
          <w:jc w:val="center"/>
        </w:trPr>
        <w:tc>
          <w:tcPr>
            <w:tcW w:w="3875" w:type="dxa"/>
            <w:gridSpan w:val="3"/>
            <w:vMerge/>
            <w:tcBorders>
              <w:right w:val="thinThickThinSmallGap" w:sz="24" w:space="0" w:color="auto"/>
            </w:tcBorders>
            <w:shd w:val="clear" w:color="auto" w:fill="FFFFFF"/>
            <w:vAlign w:val="center"/>
          </w:tcPr>
          <w:p w:rsidR="000262BD" w:rsidRPr="00261942" w:rsidRDefault="000262BD" w:rsidP="006B690F">
            <w:pPr>
              <w:spacing w:line="180" w:lineRule="exact"/>
              <w:contextualSpacing/>
              <w:rPr>
                <w:rFonts w:cs="Calibri"/>
                <w:color w:val="auto"/>
              </w:rPr>
            </w:pPr>
          </w:p>
        </w:tc>
        <w:tc>
          <w:tcPr>
            <w:tcW w:w="4680" w:type="dxa"/>
            <w:gridSpan w:val="3"/>
            <w:tcBorders>
              <w:left w:val="thinThickThinSmallGap" w:sz="24" w:space="0" w:color="auto"/>
            </w:tcBorders>
            <w:shd w:val="clear" w:color="auto" w:fill="FFFFFF"/>
            <w:vAlign w:val="center"/>
          </w:tcPr>
          <w:p w:rsidR="000262BD" w:rsidRPr="00261942" w:rsidRDefault="0066213F" w:rsidP="00961FB4">
            <w:pPr>
              <w:spacing w:line="200" w:lineRule="exact"/>
              <w:contextualSpacing/>
              <w:rPr>
                <w:rFonts w:cs="Calibri"/>
                <w:color w:val="auto"/>
              </w:rPr>
            </w:pPr>
            <w:r w:rsidRPr="00261942">
              <w:rPr>
                <w:color w:val="auto"/>
              </w:rPr>
              <w:t xml:space="preserve">0% x 1 / </w:t>
            </w:r>
            <w:r w:rsidR="000262BD" w:rsidRPr="00261942">
              <w:rPr>
                <w:color w:val="auto"/>
              </w:rPr>
              <w:t>Not Service-Connected x 17</w:t>
            </w:r>
          </w:p>
        </w:tc>
        <w:tc>
          <w:tcPr>
            <w:tcW w:w="814" w:type="dxa"/>
            <w:shd w:val="clear" w:color="auto" w:fill="FFFFFF"/>
            <w:vAlign w:val="center"/>
          </w:tcPr>
          <w:p w:rsidR="000262BD" w:rsidRPr="00261942" w:rsidRDefault="0054401B" w:rsidP="00961FB4">
            <w:pPr>
              <w:spacing w:line="200" w:lineRule="exact"/>
              <w:contextualSpacing/>
              <w:rPr>
                <w:rFonts w:cs="Calibri"/>
                <w:color w:val="auto"/>
              </w:rPr>
            </w:pPr>
            <w:r w:rsidRPr="00261942">
              <w:rPr>
                <w:rFonts w:cs="Calibri"/>
                <w:color w:val="auto"/>
              </w:rPr>
              <w:t>STR</w:t>
            </w:r>
          </w:p>
        </w:tc>
      </w:tr>
      <w:tr w:rsidR="00DA27C4" w:rsidRPr="00261942" w:rsidTr="009D6E91">
        <w:trPr>
          <w:trHeight w:val="124"/>
          <w:jc w:val="center"/>
        </w:trPr>
        <w:tc>
          <w:tcPr>
            <w:tcW w:w="3875" w:type="dxa"/>
            <w:gridSpan w:val="3"/>
            <w:tcBorders>
              <w:right w:val="thinThickThinSmallGap" w:sz="24" w:space="0" w:color="auto"/>
            </w:tcBorders>
            <w:shd w:val="clear" w:color="auto" w:fill="D9D9D9"/>
          </w:tcPr>
          <w:p w:rsidR="00DA27C4" w:rsidRPr="00261942" w:rsidRDefault="00DA27C4" w:rsidP="006B690F">
            <w:pPr>
              <w:spacing w:line="180" w:lineRule="exact"/>
              <w:contextualSpacing/>
              <w:rPr>
                <w:rFonts w:cs="Calibri"/>
                <w:b/>
                <w:color w:val="auto"/>
              </w:rPr>
            </w:pPr>
            <w:r w:rsidRPr="00261942">
              <w:rPr>
                <w:b/>
                <w:color w:val="auto"/>
              </w:rPr>
              <w:t>Combined:  10%</w:t>
            </w:r>
          </w:p>
        </w:tc>
        <w:tc>
          <w:tcPr>
            <w:tcW w:w="5494" w:type="dxa"/>
            <w:gridSpan w:val="4"/>
            <w:tcBorders>
              <w:left w:val="thinThickThinSmallGap" w:sz="24" w:space="0" w:color="auto"/>
            </w:tcBorders>
            <w:shd w:val="clear" w:color="auto" w:fill="D9D9D9"/>
          </w:tcPr>
          <w:p w:rsidR="00DA27C4" w:rsidRPr="00261942" w:rsidRDefault="00DA27C4" w:rsidP="00961FB4">
            <w:pPr>
              <w:spacing w:line="200" w:lineRule="exact"/>
              <w:contextualSpacing/>
              <w:rPr>
                <w:rFonts w:cs="Calibri"/>
                <w:b/>
                <w:color w:val="auto"/>
              </w:rPr>
            </w:pPr>
            <w:r w:rsidRPr="00261942">
              <w:rPr>
                <w:b/>
                <w:color w:val="auto"/>
              </w:rPr>
              <w:t xml:space="preserve">Combined:  </w:t>
            </w:r>
            <w:r w:rsidR="00583AE1" w:rsidRPr="00261942">
              <w:rPr>
                <w:b/>
                <w:color w:val="auto"/>
              </w:rPr>
              <w:t>60</w:t>
            </w:r>
            <w:r w:rsidRPr="00261942">
              <w:rPr>
                <w:b/>
                <w:color w:val="auto"/>
              </w:rPr>
              <w:t>%</w:t>
            </w:r>
          </w:p>
        </w:tc>
      </w:tr>
    </w:tbl>
    <w:p w:rsidR="009E2096" w:rsidRPr="00261942" w:rsidRDefault="00685045" w:rsidP="00165C7B">
      <w:pPr>
        <w:pBdr>
          <w:bottom w:val="single" w:sz="12" w:space="1" w:color="auto"/>
        </w:pBdr>
        <w:tabs>
          <w:tab w:val="left" w:pos="288"/>
          <w:tab w:val="left" w:pos="4752"/>
        </w:tabs>
        <w:spacing w:line="180" w:lineRule="exact"/>
        <w:jc w:val="both"/>
        <w:rPr>
          <w:color w:val="auto"/>
          <w:sz w:val="22"/>
          <w:szCs w:val="22"/>
        </w:rPr>
      </w:pPr>
      <w:r w:rsidRPr="00261942">
        <w:rPr>
          <w:color w:val="auto"/>
          <w:sz w:val="22"/>
          <w:szCs w:val="22"/>
        </w:rPr>
        <w:t>*After first active duty tour, VA</w:t>
      </w:r>
      <w:r w:rsidR="000D66B9" w:rsidRPr="00261942">
        <w:rPr>
          <w:color w:val="auto"/>
          <w:sz w:val="22"/>
          <w:szCs w:val="22"/>
        </w:rPr>
        <w:t xml:space="preserve"> rated 0%</w:t>
      </w:r>
      <w:r w:rsidR="00F53677" w:rsidRPr="00261942">
        <w:rPr>
          <w:color w:val="auto"/>
          <w:sz w:val="22"/>
          <w:szCs w:val="22"/>
        </w:rPr>
        <w:t xml:space="preserve"> effective 19880309</w:t>
      </w:r>
      <w:r w:rsidR="000D66B9" w:rsidRPr="00261942">
        <w:rPr>
          <w:color w:val="auto"/>
          <w:sz w:val="22"/>
          <w:szCs w:val="22"/>
        </w:rPr>
        <w:t xml:space="preserve">; </w:t>
      </w:r>
      <w:r w:rsidR="009D6E91" w:rsidRPr="00261942">
        <w:rPr>
          <w:color w:val="auto"/>
          <w:sz w:val="22"/>
          <w:szCs w:val="22"/>
        </w:rPr>
        <w:t xml:space="preserve">20040921 </w:t>
      </w:r>
      <w:r w:rsidRPr="00261942">
        <w:rPr>
          <w:color w:val="auto"/>
          <w:sz w:val="22"/>
          <w:szCs w:val="22"/>
        </w:rPr>
        <w:t xml:space="preserve">VA </w:t>
      </w:r>
      <w:r w:rsidR="009D6E91" w:rsidRPr="00261942">
        <w:rPr>
          <w:color w:val="auto"/>
          <w:sz w:val="22"/>
          <w:szCs w:val="22"/>
        </w:rPr>
        <w:t xml:space="preserve">decision changed code to 5242; </w:t>
      </w:r>
      <w:r w:rsidR="009E2096" w:rsidRPr="00261942">
        <w:rPr>
          <w:color w:val="auto"/>
          <w:sz w:val="22"/>
          <w:szCs w:val="22"/>
        </w:rPr>
        <w:t>20050408</w:t>
      </w:r>
      <w:r w:rsidR="009534BF" w:rsidRPr="00261942">
        <w:rPr>
          <w:color w:val="auto"/>
          <w:sz w:val="22"/>
          <w:szCs w:val="22"/>
        </w:rPr>
        <w:t xml:space="preserve"> decision</w:t>
      </w:r>
      <w:r w:rsidR="00B5050D" w:rsidRPr="00261942">
        <w:rPr>
          <w:color w:val="auto"/>
          <w:sz w:val="22"/>
          <w:szCs w:val="22"/>
        </w:rPr>
        <w:t xml:space="preserve"> </w:t>
      </w:r>
      <w:r w:rsidR="009E2096" w:rsidRPr="00261942">
        <w:rPr>
          <w:color w:val="auto"/>
          <w:sz w:val="22"/>
          <w:szCs w:val="22"/>
        </w:rPr>
        <w:t>increase</w:t>
      </w:r>
      <w:r w:rsidR="00A0296B" w:rsidRPr="00261942">
        <w:rPr>
          <w:color w:val="auto"/>
          <w:sz w:val="22"/>
          <w:szCs w:val="22"/>
        </w:rPr>
        <w:t>d</w:t>
      </w:r>
      <w:r w:rsidR="009E2096" w:rsidRPr="00261942">
        <w:rPr>
          <w:color w:val="auto"/>
          <w:sz w:val="22"/>
          <w:szCs w:val="22"/>
        </w:rPr>
        <w:t xml:space="preserve"> to 20% effective 20040426</w:t>
      </w:r>
      <w:r w:rsidR="009534BF" w:rsidRPr="00261942">
        <w:rPr>
          <w:color w:val="auto"/>
          <w:sz w:val="22"/>
          <w:szCs w:val="22"/>
        </w:rPr>
        <w:t xml:space="preserve"> based on later exams</w:t>
      </w:r>
      <w:r w:rsidR="000D66B9" w:rsidRPr="00261942">
        <w:rPr>
          <w:color w:val="auto"/>
          <w:sz w:val="22"/>
          <w:szCs w:val="22"/>
        </w:rPr>
        <w:t>;</w:t>
      </w:r>
      <w:r w:rsidR="008335EA" w:rsidRPr="00261942">
        <w:rPr>
          <w:color w:val="auto"/>
          <w:sz w:val="22"/>
          <w:szCs w:val="22"/>
        </w:rPr>
        <w:t xml:space="preserve"> 20090914</w:t>
      </w:r>
      <w:r w:rsidR="00D347DA" w:rsidRPr="00261942">
        <w:rPr>
          <w:color w:val="auto"/>
          <w:sz w:val="22"/>
          <w:szCs w:val="22"/>
        </w:rPr>
        <w:t xml:space="preserve"> </w:t>
      </w:r>
      <w:r w:rsidR="009534BF" w:rsidRPr="00261942">
        <w:rPr>
          <w:color w:val="auto"/>
          <w:sz w:val="22"/>
          <w:szCs w:val="22"/>
        </w:rPr>
        <w:t>decision</w:t>
      </w:r>
      <w:r w:rsidR="008335EA" w:rsidRPr="00261942">
        <w:rPr>
          <w:color w:val="auto"/>
          <w:sz w:val="22"/>
          <w:szCs w:val="22"/>
        </w:rPr>
        <w:t xml:space="preserve"> increased to 40% effective 20040426</w:t>
      </w:r>
      <w:r w:rsidR="00AD3798" w:rsidRPr="00261942">
        <w:rPr>
          <w:color w:val="auto"/>
          <w:sz w:val="22"/>
          <w:szCs w:val="22"/>
        </w:rPr>
        <w:t>; 201</w:t>
      </w:r>
      <w:r w:rsidR="00141640" w:rsidRPr="00261942">
        <w:rPr>
          <w:color w:val="auto"/>
          <w:sz w:val="22"/>
          <w:szCs w:val="22"/>
        </w:rPr>
        <w:t>10322</w:t>
      </w:r>
      <w:r w:rsidR="009534BF" w:rsidRPr="00261942">
        <w:rPr>
          <w:color w:val="auto"/>
          <w:sz w:val="22"/>
          <w:szCs w:val="22"/>
        </w:rPr>
        <w:t xml:space="preserve"> decision</w:t>
      </w:r>
      <w:r w:rsidR="00141640" w:rsidRPr="00261942">
        <w:rPr>
          <w:color w:val="auto"/>
          <w:sz w:val="22"/>
          <w:szCs w:val="22"/>
        </w:rPr>
        <w:t xml:space="preserve"> reduced to 10% effective 20111201</w:t>
      </w:r>
    </w:p>
    <w:p w:rsidR="0062168A" w:rsidRPr="00261942" w:rsidRDefault="0062168A" w:rsidP="00F90376">
      <w:pPr>
        <w:pBdr>
          <w:bottom w:val="single" w:sz="12" w:space="1" w:color="auto"/>
        </w:pBdr>
        <w:tabs>
          <w:tab w:val="left" w:pos="288"/>
          <w:tab w:val="left" w:pos="4752"/>
        </w:tabs>
        <w:jc w:val="both"/>
        <w:rPr>
          <w:color w:val="auto"/>
          <w:sz w:val="22"/>
          <w:szCs w:val="22"/>
        </w:rPr>
      </w:pPr>
    </w:p>
    <w:p w:rsidR="004648E1" w:rsidRPr="00261942" w:rsidRDefault="004648E1" w:rsidP="004648E1">
      <w:pPr>
        <w:jc w:val="both"/>
        <w:rPr>
          <w:color w:val="auto"/>
          <w:sz w:val="22"/>
          <w:szCs w:val="22"/>
        </w:rPr>
      </w:pPr>
      <w:r w:rsidRPr="00261942">
        <w:rPr>
          <w:color w:val="auto"/>
          <w:sz w:val="22"/>
          <w:szCs w:val="22"/>
          <w:u w:val="single"/>
        </w:rPr>
        <w:lastRenderedPageBreak/>
        <w:t>ANALYSIS</w:t>
      </w:r>
      <w:r w:rsidRPr="00261942">
        <w:rPr>
          <w:color w:val="auto"/>
          <w:sz w:val="22"/>
          <w:szCs w:val="22"/>
        </w:rPr>
        <w:t>:  The Board notes the VA’s ratings and all service</w:t>
      </w:r>
      <w:r w:rsidR="00196C0C" w:rsidRPr="00261942">
        <w:rPr>
          <w:color w:val="auto"/>
          <w:sz w:val="22"/>
          <w:szCs w:val="22"/>
        </w:rPr>
        <w:t>-</w:t>
      </w:r>
      <w:r w:rsidRPr="00261942">
        <w:rPr>
          <w:color w:val="auto"/>
          <w:sz w:val="22"/>
          <w:szCs w:val="22"/>
        </w:rPr>
        <w:t xml:space="preserve">connected conditions, but must emphasize that its recommendations are premised on severity at the time of separation.  The VA ratings which it considers in that regard are those rendered most proximate to separation. The </w:t>
      </w:r>
      <w:r w:rsidR="00196C0C" w:rsidRPr="00261942">
        <w:rPr>
          <w:color w:val="auto"/>
          <w:sz w:val="22"/>
          <w:szCs w:val="22"/>
        </w:rPr>
        <w:t>Disability Evaluation System (</w:t>
      </w:r>
      <w:r w:rsidRPr="00261942">
        <w:rPr>
          <w:color w:val="auto"/>
          <w:sz w:val="22"/>
          <w:szCs w:val="22"/>
        </w:rPr>
        <w:t>DES</w:t>
      </w:r>
      <w:r w:rsidR="00196C0C" w:rsidRPr="00261942">
        <w:rPr>
          <w:color w:val="auto"/>
          <w:sz w:val="22"/>
          <w:szCs w:val="22"/>
        </w:rPr>
        <w:t>)</w:t>
      </w:r>
      <w:r w:rsidRPr="00261942">
        <w:rPr>
          <w:color w:val="auto"/>
          <w:sz w:val="22"/>
          <w:szCs w:val="22"/>
        </w:rPr>
        <w:t xml:space="preserve"> has neither the role nor the authority to compensate members for anticipated future severity or potential complications of conditions resulting in medical separation. That role and authority is granted by Congress to the </w:t>
      </w:r>
      <w:r w:rsidR="00196C0C" w:rsidRPr="00261942">
        <w:rPr>
          <w:color w:val="auto"/>
          <w:sz w:val="22"/>
          <w:szCs w:val="22"/>
        </w:rPr>
        <w:t xml:space="preserve">Department of </w:t>
      </w:r>
      <w:r w:rsidRPr="00261942">
        <w:rPr>
          <w:color w:val="auto"/>
          <w:sz w:val="22"/>
          <w:szCs w:val="22"/>
        </w:rPr>
        <w:t>Veterans</w:t>
      </w:r>
      <w:r w:rsidR="00196C0C" w:rsidRPr="00261942">
        <w:rPr>
          <w:color w:val="auto"/>
          <w:sz w:val="22"/>
          <w:szCs w:val="22"/>
        </w:rPr>
        <w:t>’</w:t>
      </w:r>
      <w:r w:rsidRPr="00261942">
        <w:rPr>
          <w:color w:val="auto"/>
          <w:sz w:val="22"/>
          <w:szCs w:val="22"/>
        </w:rPr>
        <w:t xml:space="preserve"> Affairs.</w:t>
      </w:r>
    </w:p>
    <w:p w:rsidR="00AD2379" w:rsidRPr="00261942" w:rsidRDefault="00AD2379" w:rsidP="00B22D42">
      <w:pPr>
        <w:jc w:val="both"/>
        <w:rPr>
          <w:color w:val="auto"/>
          <w:sz w:val="22"/>
          <w:szCs w:val="22"/>
          <w:highlight w:val="yellow"/>
        </w:rPr>
      </w:pPr>
    </w:p>
    <w:p w:rsidR="00E87193" w:rsidRPr="00261942" w:rsidRDefault="007C4CE1" w:rsidP="002A09AD">
      <w:pPr>
        <w:jc w:val="both"/>
        <w:rPr>
          <w:color w:val="auto"/>
          <w:sz w:val="22"/>
          <w:szCs w:val="22"/>
        </w:rPr>
      </w:pPr>
      <w:proofErr w:type="gramStart"/>
      <w:r w:rsidRPr="00261942">
        <w:rPr>
          <w:color w:val="auto"/>
          <w:sz w:val="22"/>
          <w:szCs w:val="22"/>
          <w:u w:val="single"/>
        </w:rPr>
        <w:t>Chronic L</w:t>
      </w:r>
      <w:r w:rsidR="00D50CE3" w:rsidRPr="00261942">
        <w:rPr>
          <w:color w:val="auto"/>
          <w:sz w:val="22"/>
          <w:szCs w:val="22"/>
          <w:u w:val="single"/>
        </w:rPr>
        <w:t>ow Back Pain</w:t>
      </w:r>
      <w:r w:rsidRPr="00261942">
        <w:rPr>
          <w:color w:val="auto"/>
          <w:sz w:val="22"/>
          <w:szCs w:val="22"/>
          <w:u w:val="single"/>
        </w:rPr>
        <w:t xml:space="preserve"> </w:t>
      </w:r>
      <w:r w:rsidR="00AD2379" w:rsidRPr="00261942">
        <w:rPr>
          <w:color w:val="auto"/>
          <w:sz w:val="22"/>
          <w:szCs w:val="22"/>
          <w:u w:val="single"/>
        </w:rPr>
        <w:t>Condition</w:t>
      </w:r>
      <w:r w:rsidR="00AD2379" w:rsidRPr="00261942">
        <w:rPr>
          <w:color w:val="auto"/>
          <w:sz w:val="22"/>
          <w:szCs w:val="22"/>
        </w:rPr>
        <w:t>.</w:t>
      </w:r>
      <w:proofErr w:type="gramEnd"/>
      <w:r w:rsidR="009A0322" w:rsidRPr="00261942">
        <w:rPr>
          <w:color w:val="auto"/>
          <w:sz w:val="22"/>
          <w:szCs w:val="22"/>
        </w:rPr>
        <w:t xml:space="preserve"> </w:t>
      </w:r>
      <w:r w:rsidR="00AD2379" w:rsidRPr="00261942">
        <w:rPr>
          <w:color w:val="auto"/>
          <w:sz w:val="22"/>
          <w:szCs w:val="22"/>
        </w:rPr>
        <w:t xml:space="preserve"> </w:t>
      </w:r>
      <w:r w:rsidR="00FF1A2B" w:rsidRPr="00261942">
        <w:rPr>
          <w:color w:val="auto"/>
          <w:sz w:val="22"/>
          <w:szCs w:val="22"/>
        </w:rPr>
        <w:t xml:space="preserve">The 2003 Veteran Administration Schedule for Rating Disabilities (VASRD) coding and rating standards for the spine, which were in effect at the time of separation, were changed to the current §4.71a rating standards in 2004, and were identical to the 2003 VASRD standards used by the VA in its initial rating decision.  The pre-2004 ratings were based on a judgment as to whether the disability was mild, moderate or severe.  The 2004-to-current standards are grounded in range-of-motion (ROM) measurements.  IAW DoDI 6040.44, this Board must consider the appropriate rating for the CI’s back condition at separation based on the VASRD standards in effect at the time of separation (i.e. pre-2004 standards).  </w:t>
      </w:r>
      <w:r w:rsidR="00793080" w:rsidRPr="00261942">
        <w:rPr>
          <w:color w:val="auto"/>
          <w:sz w:val="22"/>
          <w:szCs w:val="22"/>
        </w:rPr>
        <w:t xml:space="preserve">The CI’s low back pain condition began during his first active duty tour.  The VA subsequently assigned a 0% rating for degenerative changes of the lumbosacral spine, </w:t>
      </w:r>
      <w:r w:rsidR="00F40F36" w:rsidRPr="00261942">
        <w:rPr>
          <w:color w:val="auto"/>
          <w:sz w:val="22"/>
          <w:szCs w:val="22"/>
        </w:rPr>
        <w:t>effective 9 March 1988.</w:t>
      </w:r>
      <w:r w:rsidR="00513120" w:rsidRPr="00261942">
        <w:rPr>
          <w:color w:val="auto"/>
          <w:sz w:val="22"/>
          <w:szCs w:val="22"/>
        </w:rPr>
        <w:t xml:space="preserve">  </w:t>
      </w:r>
      <w:r w:rsidR="00CF0280" w:rsidRPr="00261942">
        <w:rPr>
          <w:color w:val="auto"/>
          <w:sz w:val="22"/>
          <w:szCs w:val="22"/>
        </w:rPr>
        <w:t>At the MEB exam</w:t>
      </w:r>
      <w:r w:rsidR="00331BAA" w:rsidRPr="00261942">
        <w:rPr>
          <w:color w:val="auto"/>
          <w:sz w:val="22"/>
          <w:szCs w:val="22"/>
        </w:rPr>
        <w:t xml:space="preserve"> </w:t>
      </w:r>
      <w:r w:rsidR="00196C0C" w:rsidRPr="00261942">
        <w:rPr>
          <w:color w:val="auto"/>
          <w:sz w:val="22"/>
          <w:szCs w:val="22"/>
        </w:rPr>
        <w:t xml:space="preserve">performed </w:t>
      </w:r>
      <w:r w:rsidR="00331BAA" w:rsidRPr="00261942">
        <w:rPr>
          <w:color w:val="auto"/>
          <w:sz w:val="22"/>
          <w:szCs w:val="22"/>
        </w:rPr>
        <w:t>on</w:t>
      </w:r>
      <w:r w:rsidR="005665DC" w:rsidRPr="00261942">
        <w:rPr>
          <w:color w:val="auto"/>
          <w:sz w:val="22"/>
          <w:szCs w:val="22"/>
        </w:rPr>
        <w:t xml:space="preserve"> 3 February 2003 (</w:t>
      </w:r>
      <w:r w:rsidR="00196C0C" w:rsidRPr="00261942">
        <w:rPr>
          <w:color w:val="auto"/>
          <w:sz w:val="22"/>
          <w:szCs w:val="22"/>
        </w:rPr>
        <w:t>2</w:t>
      </w:r>
      <w:r w:rsidR="005665DC" w:rsidRPr="00261942">
        <w:rPr>
          <w:color w:val="auto"/>
          <w:sz w:val="22"/>
          <w:szCs w:val="22"/>
        </w:rPr>
        <w:t xml:space="preserve"> months prior to separation)</w:t>
      </w:r>
      <w:r w:rsidR="00CF0280" w:rsidRPr="00261942">
        <w:rPr>
          <w:color w:val="auto"/>
          <w:sz w:val="22"/>
          <w:szCs w:val="22"/>
        </w:rPr>
        <w:t>, the CI reported</w:t>
      </w:r>
      <w:r w:rsidR="005665DC" w:rsidRPr="00261942">
        <w:rPr>
          <w:color w:val="auto"/>
          <w:sz w:val="22"/>
          <w:szCs w:val="22"/>
        </w:rPr>
        <w:t xml:space="preserve"> pain localized to the lumbar region with periodic pain radiating to the right foot.</w:t>
      </w:r>
      <w:r w:rsidR="00CF0280" w:rsidRPr="00261942">
        <w:rPr>
          <w:color w:val="auto"/>
          <w:sz w:val="22"/>
          <w:szCs w:val="22"/>
        </w:rPr>
        <w:t xml:space="preserve">  </w:t>
      </w:r>
      <w:r w:rsidR="00420329" w:rsidRPr="00261942">
        <w:rPr>
          <w:color w:val="auto"/>
          <w:sz w:val="22"/>
          <w:szCs w:val="22"/>
        </w:rPr>
        <w:t>Back pain</w:t>
      </w:r>
      <w:r w:rsidR="00E3142A" w:rsidRPr="00261942">
        <w:rPr>
          <w:color w:val="auto"/>
          <w:sz w:val="22"/>
          <w:szCs w:val="22"/>
        </w:rPr>
        <w:t xml:space="preserve"> severity sometimes required narcotic medication.  </w:t>
      </w:r>
      <w:r w:rsidR="00793080" w:rsidRPr="00261942">
        <w:rPr>
          <w:color w:val="auto"/>
          <w:sz w:val="22"/>
          <w:szCs w:val="22"/>
        </w:rPr>
        <w:t xml:space="preserve">His profile restricted him from running, jumping, road marching, performing sit-ups or flutter kicks, and heavy lifting.  </w:t>
      </w:r>
      <w:r w:rsidR="00E3142A" w:rsidRPr="00261942">
        <w:rPr>
          <w:color w:val="auto"/>
          <w:sz w:val="22"/>
          <w:szCs w:val="22"/>
        </w:rPr>
        <w:t>Examination revealed a normal heel-toe gait, no spinous process tenderness</w:t>
      </w:r>
      <w:r w:rsidR="00420329" w:rsidRPr="00261942">
        <w:rPr>
          <w:color w:val="auto"/>
          <w:sz w:val="22"/>
          <w:szCs w:val="22"/>
        </w:rPr>
        <w:t xml:space="preserve"> and a negative straight leg raise (SLR) test.  Muscle strength and deep tendon reflexes (DTR) were normal.  </w:t>
      </w:r>
      <w:r w:rsidR="00196C0C" w:rsidRPr="00261942">
        <w:rPr>
          <w:color w:val="auto"/>
          <w:sz w:val="22"/>
          <w:szCs w:val="22"/>
        </w:rPr>
        <w:t>ROM</w:t>
      </w:r>
      <w:r w:rsidR="002F6C9A" w:rsidRPr="00261942">
        <w:rPr>
          <w:color w:val="auto"/>
          <w:sz w:val="22"/>
          <w:szCs w:val="22"/>
        </w:rPr>
        <w:t xml:space="preserve"> measurements were 170 degrees (normal to 90 degrees based on current standards), lateral flexion 45 degrees bilaterally (normal 30 degrees) and rotation 45-65 degrees bilaterally (normal 30 degrees).  </w:t>
      </w:r>
      <w:r w:rsidR="009A395D" w:rsidRPr="00261942">
        <w:rPr>
          <w:color w:val="auto"/>
          <w:sz w:val="22"/>
          <w:szCs w:val="22"/>
        </w:rPr>
        <w:t>The e</w:t>
      </w:r>
      <w:r w:rsidR="002F6C9A" w:rsidRPr="00261942">
        <w:rPr>
          <w:color w:val="auto"/>
          <w:sz w:val="22"/>
          <w:szCs w:val="22"/>
        </w:rPr>
        <w:t xml:space="preserve">xtension was not specified.  Painful motion was present.  </w:t>
      </w:r>
      <w:r w:rsidR="00420329" w:rsidRPr="00261942">
        <w:rPr>
          <w:color w:val="auto"/>
          <w:sz w:val="22"/>
          <w:szCs w:val="22"/>
        </w:rPr>
        <w:t>Magnetic resonance imaging</w:t>
      </w:r>
      <w:r w:rsidR="00196C0C" w:rsidRPr="00261942">
        <w:rPr>
          <w:color w:val="auto"/>
          <w:sz w:val="22"/>
          <w:szCs w:val="22"/>
        </w:rPr>
        <w:t xml:space="preserve"> (MRI)</w:t>
      </w:r>
      <w:r w:rsidR="00420329" w:rsidRPr="00261942">
        <w:rPr>
          <w:color w:val="auto"/>
          <w:sz w:val="22"/>
          <w:szCs w:val="22"/>
        </w:rPr>
        <w:t xml:space="preserve"> showed </w:t>
      </w:r>
      <w:r w:rsidR="00FC3368" w:rsidRPr="00261942">
        <w:rPr>
          <w:color w:val="auto"/>
          <w:sz w:val="22"/>
          <w:szCs w:val="22"/>
        </w:rPr>
        <w:t>small multi-level disc protrusions with a moderate herniated disc</w:t>
      </w:r>
      <w:r w:rsidR="00420329" w:rsidRPr="00261942">
        <w:rPr>
          <w:color w:val="auto"/>
          <w:sz w:val="22"/>
          <w:szCs w:val="22"/>
        </w:rPr>
        <w:t xml:space="preserve"> at</w:t>
      </w:r>
      <w:r w:rsidR="00FC3368" w:rsidRPr="00261942">
        <w:rPr>
          <w:color w:val="auto"/>
          <w:sz w:val="22"/>
          <w:szCs w:val="22"/>
        </w:rPr>
        <w:t xml:space="preserve"> the</w:t>
      </w:r>
      <w:r w:rsidR="00420329" w:rsidRPr="00261942">
        <w:rPr>
          <w:color w:val="auto"/>
          <w:sz w:val="22"/>
          <w:szCs w:val="22"/>
        </w:rPr>
        <w:t xml:space="preserve"> L4 to L5 </w:t>
      </w:r>
      <w:r w:rsidR="00FC3368" w:rsidRPr="00261942">
        <w:rPr>
          <w:color w:val="auto"/>
          <w:sz w:val="22"/>
          <w:szCs w:val="22"/>
        </w:rPr>
        <w:t xml:space="preserve">vertebral level causing mild left neuro-foraminal narrowing.  </w:t>
      </w:r>
      <w:r w:rsidR="005D18BA" w:rsidRPr="00261942">
        <w:rPr>
          <w:color w:val="auto"/>
          <w:sz w:val="22"/>
          <w:szCs w:val="22"/>
        </w:rPr>
        <w:t>Mild de</w:t>
      </w:r>
      <w:r w:rsidR="008026A2" w:rsidRPr="00261942">
        <w:rPr>
          <w:color w:val="auto"/>
          <w:sz w:val="22"/>
          <w:szCs w:val="22"/>
        </w:rPr>
        <w:t>generative changes were present</w:t>
      </w:r>
      <w:r w:rsidR="00435F68" w:rsidRPr="00261942">
        <w:rPr>
          <w:color w:val="auto"/>
          <w:sz w:val="22"/>
          <w:szCs w:val="22"/>
        </w:rPr>
        <w:t>.  Bone scan was normal.</w:t>
      </w:r>
      <w:r w:rsidR="00513120" w:rsidRPr="00261942">
        <w:rPr>
          <w:color w:val="auto"/>
          <w:sz w:val="22"/>
          <w:szCs w:val="22"/>
        </w:rPr>
        <w:t xml:space="preserve">  </w:t>
      </w:r>
      <w:r w:rsidR="007F5FE3" w:rsidRPr="00261942">
        <w:rPr>
          <w:color w:val="auto"/>
          <w:sz w:val="22"/>
          <w:szCs w:val="22"/>
        </w:rPr>
        <w:t xml:space="preserve">At a </w:t>
      </w:r>
      <w:r w:rsidR="00695AF7" w:rsidRPr="00261942">
        <w:rPr>
          <w:color w:val="auto"/>
          <w:sz w:val="22"/>
          <w:szCs w:val="22"/>
        </w:rPr>
        <w:t xml:space="preserve">VA Compensation and Pension (C&amp;P) exam </w:t>
      </w:r>
      <w:r w:rsidR="00196C0C" w:rsidRPr="00261942">
        <w:rPr>
          <w:color w:val="auto"/>
          <w:sz w:val="22"/>
          <w:szCs w:val="22"/>
        </w:rPr>
        <w:t>performed on 21 July 2004</w:t>
      </w:r>
      <w:r w:rsidR="007F5FE3" w:rsidRPr="00261942">
        <w:rPr>
          <w:color w:val="auto"/>
          <w:sz w:val="22"/>
          <w:szCs w:val="22"/>
        </w:rPr>
        <w:t xml:space="preserve">, the CI </w:t>
      </w:r>
      <w:r w:rsidR="00695AF7" w:rsidRPr="00261942">
        <w:rPr>
          <w:color w:val="auto"/>
          <w:sz w:val="22"/>
          <w:szCs w:val="22"/>
        </w:rPr>
        <w:t xml:space="preserve">reported </w:t>
      </w:r>
      <w:r w:rsidR="007F5FE3" w:rsidRPr="00261942">
        <w:rPr>
          <w:color w:val="auto"/>
          <w:sz w:val="22"/>
          <w:szCs w:val="22"/>
        </w:rPr>
        <w:t xml:space="preserve">pain severity of </w:t>
      </w:r>
      <w:r w:rsidR="00CA6FBE">
        <w:rPr>
          <w:color w:val="auto"/>
          <w:sz w:val="22"/>
          <w:szCs w:val="22"/>
        </w:rPr>
        <w:t xml:space="preserve">8 </w:t>
      </w:r>
      <w:r w:rsidR="007F5FE3" w:rsidRPr="00261942">
        <w:rPr>
          <w:color w:val="auto"/>
          <w:sz w:val="22"/>
          <w:szCs w:val="22"/>
        </w:rPr>
        <w:t>on a 0-10 scale.</w:t>
      </w:r>
      <w:r w:rsidR="00513120" w:rsidRPr="00261942">
        <w:rPr>
          <w:color w:val="auto"/>
          <w:sz w:val="22"/>
          <w:szCs w:val="22"/>
        </w:rPr>
        <w:t xml:space="preserve"> </w:t>
      </w:r>
      <w:r w:rsidR="007733AA" w:rsidRPr="00261942">
        <w:rPr>
          <w:color w:val="auto"/>
          <w:sz w:val="22"/>
          <w:szCs w:val="22"/>
        </w:rPr>
        <w:t xml:space="preserve"> </w:t>
      </w:r>
      <w:r w:rsidR="007F5FE3" w:rsidRPr="00261942">
        <w:rPr>
          <w:color w:val="auto"/>
          <w:sz w:val="22"/>
          <w:szCs w:val="22"/>
        </w:rPr>
        <w:t>He further stated that his condition prevented employment and sometimes required bed rest</w:t>
      </w:r>
      <w:r w:rsidR="009D6E91" w:rsidRPr="00261942">
        <w:rPr>
          <w:color w:val="auto"/>
          <w:sz w:val="22"/>
          <w:szCs w:val="22"/>
        </w:rPr>
        <w:t xml:space="preserve"> at his discretion, but not due to </w:t>
      </w:r>
      <w:r w:rsidR="00300CB1" w:rsidRPr="00261942">
        <w:rPr>
          <w:color w:val="auto"/>
          <w:sz w:val="22"/>
          <w:szCs w:val="22"/>
        </w:rPr>
        <w:t xml:space="preserve">a </w:t>
      </w:r>
      <w:r w:rsidR="009D6E91" w:rsidRPr="00261942">
        <w:rPr>
          <w:color w:val="auto"/>
          <w:sz w:val="22"/>
          <w:szCs w:val="22"/>
        </w:rPr>
        <w:t>physician recommendation</w:t>
      </w:r>
      <w:r w:rsidR="007F5FE3" w:rsidRPr="00261942">
        <w:rPr>
          <w:color w:val="auto"/>
          <w:sz w:val="22"/>
          <w:szCs w:val="22"/>
        </w:rPr>
        <w:t xml:space="preserve">.  Examination revealed </w:t>
      </w:r>
      <w:r w:rsidR="007733AA" w:rsidRPr="00261942">
        <w:rPr>
          <w:color w:val="auto"/>
          <w:sz w:val="22"/>
          <w:szCs w:val="22"/>
        </w:rPr>
        <w:t xml:space="preserve">a normal posture and gait without muscle spasm or tenderness.  </w:t>
      </w:r>
      <w:r w:rsidR="007F5FE3" w:rsidRPr="00261942">
        <w:rPr>
          <w:color w:val="auto"/>
          <w:sz w:val="22"/>
          <w:szCs w:val="22"/>
        </w:rPr>
        <w:t xml:space="preserve">No evidence of radiculopathy was present, and motor and sensory findings were normal.  </w:t>
      </w:r>
      <w:r w:rsidR="007733AA" w:rsidRPr="00261942">
        <w:rPr>
          <w:color w:val="auto"/>
          <w:sz w:val="22"/>
          <w:szCs w:val="22"/>
        </w:rPr>
        <w:t>ROM was limited by pain; measurements were normal except for mild limitation in extension (20 degrees instead of normal 30 degrees) and left lateral flexion (20 degrees instead of normal 30 degrees).</w:t>
      </w:r>
      <w:r w:rsidR="002A09AD" w:rsidRPr="00261942">
        <w:rPr>
          <w:color w:val="auto"/>
          <w:sz w:val="22"/>
          <w:szCs w:val="22"/>
        </w:rPr>
        <w:t xml:space="preserve">  </w:t>
      </w:r>
    </w:p>
    <w:p w:rsidR="00E87193" w:rsidRPr="00261942" w:rsidRDefault="00E87193" w:rsidP="002A09AD">
      <w:pPr>
        <w:jc w:val="both"/>
        <w:rPr>
          <w:color w:val="auto"/>
          <w:sz w:val="22"/>
          <w:szCs w:val="22"/>
        </w:rPr>
      </w:pPr>
    </w:p>
    <w:p w:rsidR="00D50CE3" w:rsidRPr="00261942" w:rsidRDefault="00AD2379" w:rsidP="002A09AD">
      <w:pPr>
        <w:jc w:val="both"/>
        <w:rPr>
          <w:color w:val="auto"/>
          <w:sz w:val="22"/>
          <w:szCs w:val="22"/>
        </w:rPr>
      </w:pPr>
      <w:r w:rsidRPr="00261942">
        <w:rPr>
          <w:rFonts w:cs="Times New Roman"/>
          <w:color w:val="auto"/>
          <w:sz w:val="22"/>
          <w:szCs w:val="22"/>
        </w:rPr>
        <w:t>The Board directs attenti</w:t>
      </w:r>
      <w:r w:rsidR="00782CC1" w:rsidRPr="00261942">
        <w:rPr>
          <w:rFonts w:cs="Times New Roman"/>
          <w:color w:val="auto"/>
          <w:sz w:val="22"/>
          <w:szCs w:val="22"/>
        </w:rPr>
        <w:t>on to its rating recommendation</w:t>
      </w:r>
      <w:r w:rsidRPr="00261942">
        <w:rPr>
          <w:rFonts w:cs="Times New Roman"/>
          <w:color w:val="auto"/>
          <w:sz w:val="22"/>
          <w:szCs w:val="22"/>
        </w:rPr>
        <w:t xml:space="preserve"> </w:t>
      </w:r>
      <w:r w:rsidR="00B13A51" w:rsidRPr="00261942">
        <w:rPr>
          <w:rFonts w:cs="Times New Roman"/>
          <w:color w:val="auto"/>
          <w:sz w:val="22"/>
          <w:szCs w:val="22"/>
        </w:rPr>
        <w:t>based on the above evidence</w:t>
      </w:r>
      <w:r w:rsidRPr="00261942">
        <w:rPr>
          <w:rFonts w:cs="Times New Roman"/>
          <w:color w:val="auto"/>
          <w:sz w:val="22"/>
          <w:szCs w:val="22"/>
        </w:rPr>
        <w:t>.</w:t>
      </w:r>
      <w:r w:rsidR="007733AA" w:rsidRPr="00261942">
        <w:rPr>
          <w:rFonts w:cs="Times New Roman"/>
          <w:color w:val="auto"/>
          <w:sz w:val="22"/>
          <w:szCs w:val="22"/>
        </w:rPr>
        <w:t xml:space="preserve">  </w:t>
      </w:r>
      <w:r w:rsidR="00CB3884" w:rsidRPr="00261942">
        <w:rPr>
          <w:rFonts w:cs="Times New Roman"/>
          <w:color w:val="auto"/>
          <w:sz w:val="22"/>
          <w:szCs w:val="22"/>
        </w:rPr>
        <w:t>T</w:t>
      </w:r>
      <w:r w:rsidR="00D50CE3" w:rsidRPr="00261942">
        <w:rPr>
          <w:color w:val="auto"/>
          <w:sz w:val="22"/>
          <w:szCs w:val="22"/>
        </w:rPr>
        <w:t xml:space="preserve">he Board must correlate the above clinical data with the 2003 rating schedule which, for </w:t>
      </w:r>
      <w:r w:rsidR="00D50CE3" w:rsidRPr="00261942">
        <w:rPr>
          <w:rFonts w:cs="Times New Roman"/>
          <w:color w:val="auto"/>
          <w:sz w:val="22"/>
          <w:szCs w:val="22"/>
        </w:rPr>
        <w:t>convenience</w:t>
      </w:r>
      <w:r w:rsidR="00D50CE3" w:rsidRPr="00261942">
        <w:rPr>
          <w:color w:val="auto"/>
          <w:sz w:val="22"/>
          <w:szCs w:val="22"/>
        </w:rPr>
        <w:t>, is excerpted below:</w:t>
      </w:r>
    </w:p>
    <w:p w:rsidR="002A09AD" w:rsidRPr="00261942" w:rsidRDefault="002A09AD" w:rsidP="002A09AD">
      <w:pPr>
        <w:jc w:val="both"/>
        <w:rPr>
          <w:color w:val="auto"/>
          <w:sz w:val="22"/>
          <w:szCs w:val="22"/>
        </w:rPr>
      </w:pPr>
    </w:p>
    <w:p w:rsidR="00374B72" w:rsidRPr="00261942" w:rsidRDefault="00374B72" w:rsidP="00374B72">
      <w:pPr>
        <w:autoSpaceDE w:val="0"/>
        <w:autoSpaceDN w:val="0"/>
        <w:adjustRightInd w:val="0"/>
        <w:ind w:left="864"/>
        <w:jc w:val="left"/>
        <w:rPr>
          <w:rFonts w:ascii="Times New Roman" w:hAnsi="Times New Roman" w:cs="Times New Roman"/>
          <w:b/>
          <w:bCs/>
          <w:color w:val="auto"/>
          <w:sz w:val="22"/>
          <w:szCs w:val="22"/>
        </w:rPr>
      </w:pPr>
    </w:p>
    <w:p w:rsidR="00374B72" w:rsidRPr="00261942" w:rsidRDefault="00374B72" w:rsidP="00374B72">
      <w:pPr>
        <w:autoSpaceDE w:val="0"/>
        <w:autoSpaceDN w:val="0"/>
        <w:adjustRightInd w:val="0"/>
        <w:ind w:left="864"/>
        <w:jc w:val="left"/>
        <w:rPr>
          <w:color w:val="auto"/>
          <w:sz w:val="22"/>
          <w:szCs w:val="22"/>
        </w:rPr>
      </w:pPr>
      <w:r w:rsidRPr="00261942">
        <w:rPr>
          <w:b/>
          <w:bCs/>
          <w:color w:val="auto"/>
          <w:sz w:val="22"/>
          <w:szCs w:val="22"/>
        </w:rPr>
        <w:t xml:space="preserve">5292 </w:t>
      </w:r>
      <w:r w:rsidRPr="00261942">
        <w:rPr>
          <w:color w:val="auto"/>
          <w:sz w:val="22"/>
          <w:szCs w:val="22"/>
        </w:rPr>
        <w:t>Spine, limitation of motion of, lumbar:</w:t>
      </w:r>
    </w:p>
    <w:p w:rsidR="00374B72" w:rsidRPr="00261942" w:rsidRDefault="00374B72" w:rsidP="00374B72">
      <w:pPr>
        <w:autoSpaceDE w:val="0"/>
        <w:autoSpaceDN w:val="0"/>
        <w:adjustRightInd w:val="0"/>
        <w:ind w:left="864" w:firstLine="720"/>
        <w:jc w:val="left"/>
        <w:rPr>
          <w:color w:val="auto"/>
          <w:sz w:val="22"/>
          <w:szCs w:val="22"/>
        </w:rPr>
      </w:pPr>
      <w:r w:rsidRPr="00261942">
        <w:rPr>
          <w:color w:val="auto"/>
          <w:sz w:val="22"/>
          <w:szCs w:val="22"/>
        </w:rPr>
        <w:t xml:space="preserve">Severe </w:t>
      </w:r>
      <w:proofErr w:type="gramStart"/>
      <w:r w:rsidRPr="00261942">
        <w:rPr>
          <w:color w:val="auto"/>
          <w:sz w:val="22"/>
          <w:szCs w:val="22"/>
        </w:rPr>
        <w:t>………………………………………………………..……….…………....</w:t>
      </w:r>
      <w:proofErr w:type="gramEnd"/>
      <w:r w:rsidRPr="00261942">
        <w:rPr>
          <w:color w:val="auto"/>
          <w:sz w:val="22"/>
          <w:szCs w:val="22"/>
        </w:rPr>
        <w:t xml:space="preserve"> 40</w:t>
      </w:r>
    </w:p>
    <w:p w:rsidR="00374B72" w:rsidRPr="00261942" w:rsidRDefault="00374B72" w:rsidP="00374B72">
      <w:pPr>
        <w:autoSpaceDE w:val="0"/>
        <w:autoSpaceDN w:val="0"/>
        <w:adjustRightInd w:val="0"/>
        <w:ind w:left="864" w:firstLine="720"/>
        <w:jc w:val="left"/>
        <w:rPr>
          <w:color w:val="auto"/>
          <w:sz w:val="22"/>
          <w:szCs w:val="22"/>
        </w:rPr>
      </w:pPr>
      <w:r w:rsidRPr="00261942">
        <w:rPr>
          <w:color w:val="auto"/>
          <w:sz w:val="22"/>
          <w:szCs w:val="22"/>
        </w:rPr>
        <w:t>Moderate …………………………………….……………….…….………...…. 20</w:t>
      </w:r>
    </w:p>
    <w:p w:rsidR="00374B72" w:rsidRPr="00261942" w:rsidRDefault="00374B72" w:rsidP="00374B72">
      <w:pPr>
        <w:autoSpaceDE w:val="0"/>
        <w:autoSpaceDN w:val="0"/>
        <w:adjustRightInd w:val="0"/>
        <w:ind w:left="864" w:firstLine="720"/>
        <w:jc w:val="left"/>
        <w:rPr>
          <w:color w:val="auto"/>
          <w:sz w:val="22"/>
          <w:szCs w:val="22"/>
        </w:rPr>
      </w:pPr>
      <w:r w:rsidRPr="00261942">
        <w:rPr>
          <w:color w:val="auto"/>
          <w:sz w:val="22"/>
          <w:szCs w:val="22"/>
        </w:rPr>
        <w:t xml:space="preserve">Slight </w:t>
      </w:r>
      <w:proofErr w:type="gramStart"/>
      <w:r w:rsidRPr="00261942">
        <w:rPr>
          <w:color w:val="auto"/>
          <w:sz w:val="22"/>
          <w:szCs w:val="22"/>
        </w:rPr>
        <w:t>………………………………………………………..…………………</w:t>
      </w:r>
      <w:r w:rsidR="007B5EE8" w:rsidRPr="00261942">
        <w:rPr>
          <w:color w:val="auto"/>
          <w:sz w:val="22"/>
          <w:szCs w:val="22"/>
        </w:rPr>
        <w:t>…</w:t>
      </w:r>
      <w:r w:rsidRPr="00261942">
        <w:rPr>
          <w:color w:val="auto"/>
          <w:sz w:val="22"/>
          <w:szCs w:val="22"/>
        </w:rPr>
        <w:t>..….</w:t>
      </w:r>
      <w:proofErr w:type="gramEnd"/>
      <w:r w:rsidRPr="00261942">
        <w:rPr>
          <w:color w:val="auto"/>
          <w:sz w:val="22"/>
          <w:szCs w:val="22"/>
        </w:rPr>
        <w:t>10</w:t>
      </w:r>
    </w:p>
    <w:p w:rsidR="00374B72" w:rsidRPr="00261942" w:rsidRDefault="00374B72" w:rsidP="00374B72">
      <w:pPr>
        <w:autoSpaceDE w:val="0"/>
        <w:autoSpaceDN w:val="0"/>
        <w:adjustRightInd w:val="0"/>
        <w:ind w:left="144" w:firstLine="720"/>
        <w:jc w:val="left"/>
        <w:rPr>
          <w:b/>
          <w:bCs/>
          <w:color w:val="auto"/>
          <w:sz w:val="22"/>
          <w:szCs w:val="22"/>
        </w:rPr>
      </w:pPr>
    </w:p>
    <w:p w:rsidR="00374B72" w:rsidRPr="00261942" w:rsidRDefault="00374B72" w:rsidP="009A395D">
      <w:pPr>
        <w:autoSpaceDE w:val="0"/>
        <w:autoSpaceDN w:val="0"/>
        <w:adjustRightInd w:val="0"/>
        <w:ind w:left="144" w:firstLine="720"/>
        <w:jc w:val="left"/>
        <w:rPr>
          <w:bCs/>
          <w:color w:val="auto"/>
          <w:sz w:val="22"/>
          <w:szCs w:val="22"/>
        </w:rPr>
      </w:pPr>
      <w:r w:rsidRPr="00261942">
        <w:rPr>
          <w:b/>
          <w:bCs/>
          <w:color w:val="auto"/>
          <w:sz w:val="22"/>
          <w:szCs w:val="22"/>
        </w:rPr>
        <w:t>5293</w:t>
      </w:r>
      <w:r w:rsidRPr="00261942">
        <w:rPr>
          <w:bCs/>
          <w:color w:val="auto"/>
          <w:sz w:val="22"/>
          <w:szCs w:val="22"/>
        </w:rPr>
        <w:t xml:space="preserve"> Intervertebral disc syndrome:  Evaluate intervertebral disc syndrome (preoperatively or</w:t>
      </w:r>
      <w:r w:rsidR="009A395D" w:rsidRPr="00261942">
        <w:rPr>
          <w:bCs/>
          <w:color w:val="auto"/>
          <w:sz w:val="22"/>
          <w:szCs w:val="22"/>
        </w:rPr>
        <w:t xml:space="preserve"> </w:t>
      </w:r>
    </w:p>
    <w:p w:rsidR="00374B72" w:rsidRPr="00261942" w:rsidRDefault="00374B72" w:rsidP="009A395D">
      <w:pPr>
        <w:autoSpaceDE w:val="0"/>
        <w:autoSpaceDN w:val="0"/>
        <w:adjustRightInd w:val="0"/>
        <w:ind w:left="144" w:firstLine="720"/>
        <w:jc w:val="left"/>
        <w:rPr>
          <w:bCs/>
          <w:color w:val="auto"/>
          <w:sz w:val="22"/>
          <w:szCs w:val="22"/>
        </w:rPr>
      </w:pPr>
      <w:proofErr w:type="gramStart"/>
      <w:r w:rsidRPr="00261942">
        <w:rPr>
          <w:bCs/>
          <w:color w:val="auto"/>
          <w:sz w:val="22"/>
          <w:szCs w:val="22"/>
        </w:rPr>
        <w:t>postoperatively</w:t>
      </w:r>
      <w:proofErr w:type="gramEnd"/>
      <w:r w:rsidRPr="00261942">
        <w:rPr>
          <w:bCs/>
          <w:color w:val="auto"/>
          <w:sz w:val="22"/>
          <w:szCs w:val="22"/>
        </w:rPr>
        <w:t>) either on the total duration of incapacitating episodes over the past 12 months or by</w:t>
      </w:r>
    </w:p>
    <w:p w:rsidR="00374B72" w:rsidRPr="00261942" w:rsidRDefault="00374B72" w:rsidP="009A395D">
      <w:pPr>
        <w:autoSpaceDE w:val="0"/>
        <w:autoSpaceDN w:val="0"/>
        <w:adjustRightInd w:val="0"/>
        <w:ind w:left="144" w:firstLine="720"/>
        <w:jc w:val="left"/>
        <w:rPr>
          <w:bCs/>
          <w:color w:val="auto"/>
          <w:sz w:val="22"/>
          <w:szCs w:val="22"/>
        </w:rPr>
      </w:pPr>
      <w:proofErr w:type="gramStart"/>
      <w:r w:rsidRPr="00261942">
        <w:rPr>
          <w:bCs/>
          <w:color w:val="auto"/>
          <w:sz w:val="22"/>
          <w:szCs w:val="22"/>
        </w:rPr>
        <w:t>combining</w:t>
      </w:r>
      <w:proofErr w:type="gramEnd"/>
      <w:r w:rsidRPr="00261942">
        <w:rPr>
          <w:bCs/>
          <w:color w:val="auto"/>
          <w:sz w:val="22"/>
          <w:szCs w:val="22"/>
        </w:rPr>
        <w:t xml:space="preserve"> under Sec. 4.25 separate evaluations of its chronic orthopedic and neurologic manifestations </w:t>
      </w:r>
    </w:p>
    <w:p w:rsidR="00374B72" w:rsidRPr="00261942" w:rsidRDefault="00374B72" w:rsidP="009A395D">
      <w:pPr>
        <w:autoSpaceDE w:val="0"/>
        <w:autoSpaceDN w:val="0"/>
        <w:adjustRightInd w:val="0"/>
        <w:ind w:left="144" w:firstLine="720"/>
        <w:jc w:val="left"/>
        <w:rPr>
          <w:bCs/>
          <w:color w:val="auto"/>
          <w:sz w:val="22"/>
          <w:szCs w:val="22"/>
        </w:rPr>
      </w:pPr>
      <w:proofErr w:type="gramStart"/>
      <w:r w:rsidRPr="00261942">
        <w:rPr>
          <w:bCs/>
          <w:color w:val="auto"/>
          <w:sz w:val="22"/>
          <w:szCs w:val="22"/>
        </w:rPr>
        <w:t>along</w:t>
      </w:r>
      <w:proofErr w:type="gramEnd"/>
      <w:r w:rsidRPr="00261942">
        <w:rPr>
          <w:bCs/>
          <w:color w:val="auto"/>
          <w:sz w:val="22"/>
          <w:szCs w:val="22"/>
        </w:rPr>
        <w:t xml:space="preserve"> with evaluations for all other disabilities, whichever method results in the higher evaluation.</w:t>
      </w:r>
    </w:p>
    <w:p w:rsidR="00374B72" w:rsidRPr="00261942" w:rsidRDefault="00374B72" w:rsidP="009A395D">
      <w:pPr>
        <w:autoSpaceDE w:val="0"/>
        <w:autoSpaceDN w:val="0"/>
        <w:adjustRightInd w:val="0"/>
        <w:ind w:left="720" w:firstLine="720"/>
        <w:jc w:val="left"/>
        <w:rPr>
          <w:bCs/>
          <w:color w:val="auto"/>
          <w:sz w:val="22"/>
          <w:szCs w:val="22"/>
        </w:rPr>
      </w:pPr>
      <w:r w:rsidRPr="00261942">
        <w:rPr>
          <w:bCs/>
          <w:color w:val="auto"/>
          <w:sz w:val="22"/>
          <w:szCs w:val="22"/>
        </w:rPr>
        <w:t xml:space="preserve">With incapacitating episodes having a total duration of at </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     </w:t>
      </w:r>
      <w:proofErr w:type="gramStart"/>
      <w:r w:rsidRPr="00261942">
        <w:rPr>
          <w:bCs/>
          <w:color w:val="auto"/>
          <w:sz w:val="22"/>
          <w:szCs w:val="22"/>
        </w:rPr>
        <w:t>least</w:t>
      </w:r>
      <w:proofErr w:type="gramEnd"/>
      <w:r w:rsidRPr="00261942">
        <w:rPr>
          <w:bCs/>
          <w:color w:val="auto"/>
          <w:sz w:val="22"/>
          <w:szCs w:val="22"/>
        </w:rPr>
        <w:t xml:space="preserve"> six weeks during the past 12 months...............................................................60</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lastRenderedPageBreak/>
        <w:t>With incapacitating episodes</w:t>
      </w:r>
      <w:r w:rsidR="00914BB4" w:rsidRPr="00261942">
        <w:rPr>
          <w:bCs/>
          <w:color w:val="auto"/>
          <w:sz w:val="22"/>
          <w:szCs w:val="22"/>
        </w:rPr>
        <w:t xml:space="preserve"> having a total duration of at</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     </w:t>
      </w:r>
      <w:proofErr w:type="gramStart"/>
      <w:r w:rsidRPr="00261942">
        <w:rPr>
          <w:bCs/>
          <w:color w:val="auto"/>
          <w:sz w:val="22"/>
          <w:szCs w:val="22"/>
        </w:rPr>
        <w:t>least</w:t>
      </w:r>
      <w:proofErr w:type="gramEnd"/>
      <w:r w:rsidRPr="00261942">
        <w:rPr>
          <w:bCs/>
          <w:color w:val="auto"/>
          <w:sz w:val="22"/>
          <w:szCs w:val="22"/>
        </w:rPr>
        <w:t xml:space="preserve"> four weeks but less than six </w:t>
      </w:r>
      <w:r w:rsidR="00914BB4" w:rsidRPr="00261942">
        <w:rPr>
          <w:bCs/>
          <w:color w:val="auto"/>
          <w:sz w:val="22"/>
          <w:szCs w:val="22"/>
        </w:rPr>
        <w:t>weeks during the past 12</w:t>
      </w:r>
    </w:p>
    <w:p w:rsidR="00374B72" w:rsidRPr="00261942" w:rsidRDefault="00374B72" w:rsidP="00374B72">
      <w:pPr>
        <w:autoSpaceDE w:val="0"/>
        <w:autoSpaceDN w:val="0"/>
        <w:adjustRightInd w:val="0"/>
        <w:ind w:left="1440" w:firstLine="240"/>
        <w:jc w:val="left"/>
        <w:rPr>
          <w:bCs/>
          <w:color w:val="auto"/>
          <w:sz w:val="22"/>
          <w:szCs w:val="22"/>
        </w:rPr>
      </w:pPr>
      <w:proofErr w:type="gramStart"/>
      <w:r w:rsidRPr="00261942">
        <w:rPr>
          <w:bCs/>
          <w:color w:val="auto"/>
          <w:sz w:val="22"/>
          <w:szCs w:val="22"/>
        </w:rPr>
        <w:t>months</w:t>
      </w:r>
      <w:proofErr w:type="gramEnd"/>
      <w:r w:rsidRPr="00261942">
        <w:rPr>
          <w:bCs/>
          <w:color w:val="auto"/>
          <w:sz w:val="22"/>
          <w:szCs w:val="22"/>
        </w:rPr>
        <w:t>......................................................................................................................40</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With incapacitating episodes having a total duration of at </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     </w:t>
      </w:r>
      <w:proofErr w:type="gramStart"/>
      <w:r w:rsidRPr="00261942">
        <w:rPr>
          <w:bCs/>
          <w:color w:val="auto"/>
          <w:sz w:val="22"/>
          <w:szCs w:val="22"/>
        </w:rPr>
        <w:t>least</w:t>
      </w:r>
      <w:proofErr w:type="gramEnd"/>
      <w:r w:rsidRPr="00261942">
        <w:rPr>
          <w:bCs/>
          <w:color w:val="auto"/>
          <w:sz w:val="22"/>
          <w:szCs w:val="22"/>
        </w:rPr>
        <w:t xml:space="preserve"> two weeks but less than four weeks during the past 12</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     </w:t>
      </w:r>
      <w:proofErr w:type="gramStart"/>
      <w:r w:rsidRPr="00261942">
        <w:rPr>
          <w:bCs/>
          <w:color w:val="auto"/>
          <w:sz w:val="22"/>
          <w:szCs w:val="22"/>
        </w:rPr>
        <w:t>months</w:t>
      </w:r>
      <w:proofErr w:type="gramEnd"/>
      <w:r w:rsidRPr="00261942">
        <w:rPr>
          <w:bCs/>
          <w:color w:val="auto"/>
          <w:sz w:val="22"/>
          <w:szCs w:val="22"/>
        </w:rPr>
        <w:t>......................................................................................................................20</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With incapacitating episodes having a total duration of at </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     </w:t>
      </w:r>
      <w:proofErr w:type="gramStart"/>
      <w:r w:rsidRPr="00261942">
        <w:rPr>
          <w:bCs/>
          <w:color w:val="auto"/>
          <w:sz w:val="22"/>
          <w:szCs w:val="22"/>
        </w:rPr>
        <w:t>least</w:t>
      </w:r>
      <w:proofErr w:type="gramEnd"/>
      <w:r w:rsidRPr="00261942">
        <w:rPr>
          <w:bCs/>
          <w:color w:val="auto"/>
          <w:sz w:val="22"/>
          <w:szCs w:val="22"/>
        </w:rPr>
        <w:t xml:space="preserve"> one week but less than two weeks during the past 12</w:t>
      </w:r>
    </w:p>
    <w:p w:rsidR="00374B72" w:rsidRPr="00261942" w:rsidRDefault="00374B72" w:rsidP="00374B72">
      <w:pPr>
        <w:autoSpaceDE w:val="0"/>
        <w:autoSpaceDN w:val="0"/>
        <w:adjustRightInd w:val="0"/>
        <w:ind w:left="720" w:firstLine="720"/>
        <w:jc w:val="left"/>
        <w:rPr>
          <w:bCs/>
          <w:color w:val="auto"/>
          <w:sz w:val="22"/>
          <w:szCs w:val="22"/>
        </w:rPr>
      </w:pPr>
      <w:r w:rsidRPr="00261942">
        <w:rPr>
          <w:bCs/>
          <w:color w:val="auto"/>
          <w:sz w:val="22"/>
          <w:szCs w:val="22"/>
        </w:rPr>
        <w:t xml:space="preserve">     </w:t>
      </w:r>
      <w:proofErr w:type="gramStart"/>
      <w:r w:rsidRPr="00261942">
        <w:rPr>
          <w:bCs/>
          <w:color w:val="auto"/>
          <w:sz w:val="22"/>
          <w:szCs w:val="22"/>
        </w:rPr>
        <w:t>months</w:t>
      </w:r>
      <w:proofErr w:type="gramEnd"/>
      <w:r w:rsidRPr="00261942">
        <w:rPr>
          <w:bCs/>
          <w:color w:val="auto"/>
          <w:sz w:val="22"/>
          <w:szCs w:val="22"/>
        </w:rPr>
        <w:t>......................................................................................................................10</w:t>
      </w:r>
    </w:p>
    <w:p w:rsidR="00374B72" w:rsidRPr="00261942" w:rsidRDefault="00374B72" w:rsidP="00374B72">
      <w:pPr>
        <w:autoSpaceDE w:val="0"/>
        <w:autoSpaceDN w:val="0"/>
        <w:adjustRightInd w:val="0"/>
        <w:ind w:left="144" w:firstLine="720"/>
        <w:jc w:val="left"/>
        <w:rPr>
          <w:bCs/>
          <w:color w:val="auto"/>
          <w:sz w:val="22"/>
          <w:szCs w:val="22"/>
        </w:rPr>
      </w:pPr>
      <w:r w:rsidRPr="00261942">
        <w:rPr>
          <w:bCs/>
          <w:color w:val="auto"/>
          <w:sz w:val="22"/>
          <w:szCs w:val="22"/>
        </w:rPr>
        <w:t>Note (1): For purposes of evaluations under 5293, an</w:t>
      </w:r>
    </w:p>
    <w:p w:rsidR="00374B72" w:rsidRPr="00261942" w:rsidRDefault="00374B72" w:rsidP="00374B72">
      <w:pPr>
        <w:autoSpaceDE w:val="0"/>
        <w:autoSpaceDN w:val="0"/>
        <w:adjustRightInd w:val="0"/>
        <w:ind w:left="144" w:firstLine="720"/>
        <w:jc w:val="left"/>
        <w:rPr>
          <w:bCs/>
          <w:color w:val="auto"/>
          <w:sz w:val="22"/>
          <w:szCs w:val="22"/>
        </w:rPr>
      </w:pPr>
      <w:proofErr w:type="gramStart"/>
      <w:r w:rsidRPr="00261942">
        <w:rPr>
          <w:bCs/>
          <w:color w:val="auto"/>
          <w:sz w:val="22"/>
          <w:szCs w:val="22"/>
        </w:rPr>
        <w:t>incapacitating</w:t>
      </w:r>
      <w:proofErr w:type="gramEnd"/>
      <w:r w:rsidRPr="00261942">
        <w:rPr>
          <w:bCs/>
          <w:color w:val="auto"/>
          <w:sz w:val="22"/>
          <w:szCs w:val="22"/>
        </w:rPr>
        <w:t xml:space="preserve"> episode is a period of acute signs and</w:t>
      </w:r>
    </w:p>
    <w:p w:rsidR="00374B72" w:rsidRPr="00261942" w:rsidRDefault="00374B72" w:rsidP="00374B72">
      <w:pPr>
        <w:autoSpaceDE w:val="0"/>
        <w:autoSpaceDN w:val="0"/>
        <w:adjustRightInd w:val="0"/>
        <w:ind w:left="144" w:firstLine="720"/>
        <w:jc w:val="left"/>
        <w:rPr>
          <w:bCs/>
          <w:color w:val="auto"/>
          <w:sz w:val="22"/>
          <w:szCs w:val="22"/>
        </w:rPr>
      </w:pPr>
      <w:proofErr w:type="gramStart"/>
      <w:r w:rsidRPr="00261942">
        <w:rPr>
          <w:bCs/>
          <w:color w:val="auto"/>
          <w:sz w:val="22"/>
          <w:szCs w:val="22"/>
        </w:rPr>
        <w:t>symptoms</w:t>
      </w:r>
      <w:proofErr w:type="gramEnd"/>
      <w:r w:rsidRPr="00261942">
        <w:rPr>
          <w:bCs/>
          <w:color w:val="auto"/>
          <w:sz w:val="22"/>
          <w:szCs w:val="22"/>
        </w:rPr>
        <w:t xml:space="preserve"> due to intervertebral disc syndrome that requires</w:t>
      </w:r>
    </w:p>
    <w:p w:rsidR="00374B72" w:rsidRPr="00261942" w:rsidRDefault="00374B72" w:rsidP="00374B72">
      <w:pPr>
        <w:autoSpaceDE w:val="0"/>
        <w:autoSpaceDN w:val="0"/>
        <w:adjustRightInd w:val="0"/>
        <w:ind w:left="144" w:firstLine="720"/>
        <w:jc w:val="left"/>
        <w:rPr>
          <w:bCs/>
          <w:color w:val="auto"/>
          <w:sz w:val="22"/>
          <w:szCs w:val="22"/>
        </w:rPr>
      </w:pPr>
      <w:proofErr w:type="gramStart"/>
      <w:r w:rsidRPr="00261942">
        <w:rPr>
          <w:bCs/>
          <w:color w:val="auto"/>
          <w:sz w:val="22"/>
          <w:szCs w:val="22"/>
        </w:rPr>
        <w:t>bed</w:t>
      </w:r>
      <w:proofErr w:type="gramEnd"/>
      <w:r w:rsidRPr="00261942">
        <w:rPr>
          <w:bCs/>
          <w:color w:val="auto"/>
          <w:sz w:val="22"/>
          <w:szCs w:val="22"/>
        </w:rPr>
        <w:t xml:space="preserve"> rest prescribed by a physician and treatment by a</w:t>
      </w:r>
    </w:p>
    <w:p w:rsidR="00374B72" w:rsidRPr="00261942" w:rsidRDefault="00374B72" w:rsidP="00374B72">
      <w:pPr>
        <w:autoSpaceDE w:val="0"/>
        <w:autoSpaceDN w:val="0"/>
        <w:adjustRightInd w:val="0"/>
        <w:ind w:left="144" w:firstLine="720"/>
        <w:jc w:val="left"/>
        <w:rPr>
          <w:bCs/>
          <w:color w:val="auto"/>
          <w:sz w:val="22"/>
          <w:szCs w:val="22"/>
        </w:rPr>
      </w:pPr>
      <w:proofErr w:type="gramStart"/>
      <w:r w:rsidRPr="00261942">
        <w:rPr>
          <w:bCs/>
          <w:color w:val="auto"/>
          <w:sz w:val="22"/>
          <w:szCs w:val="22"/>
        </w:rPr>
        <w:t>physician</w:t>
      </w:r>
      <w:proofErr w:type="gramEnd"/>
      <w:r w:rsidRPr="00261942">
        <w:rPr>
          <w:bCs/>
          <w:color w:val="auto"/>
          <w:sz w:val="22"/>
          <w:szCs w:val="22"/>
        </w:rPr>
        <w:t>. ``Chronic orthopedic and neurologic</w:t>
      </w:r>
    </w:p>
    <w:p w:rsidR="00374B72" w:rsidRPr="00261942" w:rsidRDefault="00374B72" w:rsidP="00374B72">
      <w:pPr>
        <w:autoSpaceDE w:val="0"/>
        <w:autoSpaceDN w:val="0"/>
        <w:adjustRightInd w:val="0"/>
        <w:ind w:left="144" w:firstLine="720"/>
        <w:jc w:val="left"/>
        <w:rPr>
          <w:bCs/>
          <w:color w:val="auto"/>
          <w:sz w:val="22"/>
          <w:szCs w:val="22"/>
        </w:rPr>
      </w:pPr>
      <w:proofErr w:type="gramStart"/>
      <w:r w:rsidRPr="00261942">
        <w:rPr>
          <w:bCs/>
          <w:color w:val="auto"/>
          <w:sz w:val="22"/>
          <w:szCs w:val="22"/>
        </w:rPr>
        <w:t>manifestations</w:t>
      </w:r>
      <w:proofErr w:type="gramEnd"/>
      <w:r w:rsidRPr="00261942">
        <w:rPr>
          <w:bCs/>
          <w:color w:val="auto"/>
          <w:sz w:val="22"/>
          <w:szCs w:val="22"/>
        </w:rPr>
        <w:t>'' means orthopedic and neurologic signs and</w:t>
      </w:r>
    </w:p>
    <w:p w:rsidR="00374B72" w:rsidRPr="00261942" w:rsidRDefault="00374B72" w:rsidP="00374B72">
      <w:pPr>
        <w:autoSpaceDE w:val="0"/>
        <w:autoSpaceDN w:val="0"/>
        <w:adjustRightInd w:val="0"/>
        <w:ind w:left="144" w:firstLine="720"/>
        <w:jc w:val="left"/>
        <w:rPr>
          <w:bCs/>
          <w:color w:val="auto"/>
          <w:sz w:val="22"/>
          <w:szCs w:val="22"/>
        </w:rPr>
      </w:pPr>
      <w:proofErr w:type="gramStart"/>
      <w:r w:rsidRPr="00261942">
        <w:rPr>
          <w:bCs/>
          <w:color w:val="auto"/>
          <w:sz w:val="22"/>
          <w:szCs w:val="22"/>
        </w:rPr>
        <w:t>symptoms</w:t>
      </w:r>
      <w:proofErr w:type="gramEnd"/>
      <w:r w:rsidRPr="00261942">
        <w:rPr>
          <w:bCs/>
          <w:color w:val="auto"/>
          <w:sz w:val="22"/>
          <w:szCs w:val="22"/>
        </w:rPr>
        <w:t xml:space="preserve"> resulting from intervertebral disc syndrome that are</w:t>
      </w:r>
    </w:p>
    <w:p w:rsidR="00374B72" w:rsidRPr="00261942" w:rsidRDefault="00374B72" w:rsidP="00374B72">
      <w:pPr>
        <w:autoSpaceDE w:val="0"/>
        <w:autoSpaceDN w:val="0"/>
        <w:adjustRightInd w:val="0"/>
        <w:ind w:left="144" w:firstLine="720"/>
        <w:jc w:val="left"/>
        <w:rPr>
          <w:b/>
          <w:bCs/>
          <w:color w:val="auto"/>
          <w:sz w:val="22"/>
          <w:szCs w:val="22"/>
        </w:rPr>
      </w:pPr>
      <w:proofErr w:type="gramStart"/>
      <w:r w:rsidRPr="00261942">
        <w:rPr>
          <w:bCs/>
          <w:color w:val="auto"/>
          <w:sz w:val="22"/>
          <w:szCs w:val="22"/>
        </w:rPr>
        <w:t>present</w:t>
      </w:r>
      <w:proofErr w:type="gramEnd"/>
      <w:r w:rsidRPr="00261942">
        <w:rPr>
          <w:bCs/>
          <w:color w:val="auto"/>
          <w:sz w:val="22"/>
          <w:szCs w:val="22"/>
        </w:rPr>
        <w:t xml:space="preserve"> constantly, or nearly so.</w:t>
      </w:r>
    </w:p>
    <w:p w:rsidR="00374B72" w:rsidRPr="00261942" w:rsidRDefault="00374B72" w:rsidP="00374B72">
      <w:pPr>
        <w:autoSpaceDE w:val="0"/>
        <w:autoSpaceDN w:val="0"/>
        <w:adjustRightInd w:val="0"/>
        <w:jc w:val="left"/>
        <w:rPr>
          <w:b/>
          <w:bCs/>
          <w:color w:val="auto"/>
          <w:sz w:val="22"/>
          <w:szCs w:val="22"/>
        </w:rPr>
      </w:pPr>
    </w:p>
    <w:p w:rsidR="00374B72" w:rsidRPr="00261942" w:rsidRDefault="00374B72" w:rsidP="00374B72">
      <w:pPr>
        <w:autoSpaceDE w:val="0"/>
        <w:autoSpaceDN w:val="0"/>
        <w:adjustRightInd w:val="0"/>
        <w:ind w:left="864"/>
        <w:jc w:val="left"/>
        <w:rPr>
          <w:color w:val="auto"/>
          <w:sz w:val="22"/>
          <w:szCs w:val="22"/>
        </w:rPr>
      </w:pPr>
      <w:r w:rsidRPr="00261942">
        <w:rPr>
          <w:b/>
          <w:bCs/>
          <w:color w:val="auto"/>
          <w:sz w:val="22"/>
          <w:szCs w:val="22"/>
        </w:rPr>
        <w:t xml:space="preserve">5295 </w:t>
      </w:r>
      <w:r w:rsidRPr="00261942">
        <w:rPr>
          <w:color w:val="auto"/>
          <w:sz w:val="22"/>
          <w:szCs w:val="22"/>
        </w:rPr>
        <w:t>Lumbosacral strain:</w:t>
      </w:r>
    </w:p>
    <w:p w:rsidR="00374B72" w:rsidRPr="00261942" w:rsidRDefault="00374B72" w:rsidP="00374B72">
      <w:pPr>
        <w:autoSpaceDE w:val="0"/>
        <w:autoSpaceDN w:val="0"/>
        <w:adjustRightInd w:val="0"/>
        <w:ind w:left="864" w:firstLine="720"/>
        <w:jc w:val="left"/>
        <w:rPr>
          <w:color w:val="auto"/>
          <w:sz w:val="22"/>
          <w:szCs w:val="22"/>
        </w:rPr>
      </w:pPr>
      <w:r w:rsidRPr="00261942">
        <w:rPr>
          <w:color w:val="auto"/>
          <w:sz w:val="22"/>
          <w:szCs w:val="22"/>
        </w:rPr>
        <w:t>Severe; with listing of whole spine to opposite side, positive</w:t>
      </w:r>
    </w:p>
    <w:p w:rsidR="00374B72" w:rsidRPr="00261942" w:rsidRDefault="00374B72" w:rsidP="00374B72">
      <w:pPr>
        <w:autoSpaceDE w:val="0"/>
        <w:autoSpaceDN w:val="0"/>
        <w:adjustRightInd w:val="0"/>
        <w:ind w:left="1872"/>
        <w:jc w:val="left"/>
        <w:rPr>
          <w:color w:val="auto"/>
          <w:sz w:val="22"/>
          <w:szCs w:val="22"/>
        </w:rPr>
      </w:pPr>
      <w:r w:rsidRPr="00261942">
        <w:rPr>
          <w:color w:val="auto"/>
          <w:sz w:val="22"/>
          <w:szCs w:val="22"/>
        </w:rPr>
        <w:t>Goldthwaite's sign, marked limitation of forward bending in</w:t>
      </w:r>
    </w:p>
    <w:p w:rsidR="00374B72" w:rsidRPr="00261942" w:rsidRDefault="00374B72" w:rsidP="00374B72">
      <w:pPr>
        <w:autoSpaceDE w:val="0"/>
        <w:autoSpaceDN w:val="0"/>
        <w:adjustRightInd w:val="0"/>
        <w:ind w:left="1872"/>
        <w:jc w:val="left"/>
        <w:rPr>
          <w:color w:val="auto"/>
          <w:sz w:val="22"/>
          <w:szCs w:val="22"/>
        </w:rPr>
      </w:pPr>
      <w:r w:rsidRPr="00261942">
        <w:rPr>
          <w:color w:val="auto"/>
          <w:sz w:val="22"/>
          <w:szCs w:val="22"/>
        </w:rPr>
        <w:t xml:space="preserve"> </w:t>
      </w:r>
      <w:proofErr w:type="gramStart"/>
      <w:r w:rsidRPr="00261942">
        <w:rPr>
          <w:color w:val="auto"/>
          <w:sz w:val="22"/>
          <w:szCs w:val="22"/>
        </w:rPr>
        <w:t>standing</w:t>
      </w:r>
      <w:proofErr w:type="gramEnd"/>
      <w:r w:rsidRPr="00261942">
        <w:rPr>
          <w:color w:val="auto"/>
          <w:sz w:val="22"/>
          <w:szCs w:val="22"/>
        </w:rPr>
        <w:t xml:space="preserve"> position, loss of lateral motion with </w:t>
      </w:r>
      <w:proofErr w:type="spellStart"/>
      <w:r w:rsidRPr="00261942">
        <w:rPr>
          <w:color w:val="auto"/>
          <w:sz w:val="22"/>
          <w:szCs w:val="22"/>
        </w:rPr>
        <w:t>osteo</w:t>
      </w:r>
      <w:proofErr w:type="spellEnd"/>
      <w:r w:rsidRPr="00261942">
        <w:rPr>
          <w:color w:val="auto"/>
          <w:sz w:val="22"/>
          <w:szCs w:val="22"/>
        </w:rPr>
        <w:t>-arthritic</w:t>
      </w:r>
    </w:p>
    <w:p w:rsidR="00374B72" w:rsidRPr="00261942" w:rsidRDefault="00374B72" w:rsidP="00374B72">
      <w:pPr>
        <w:autoSpaceDE w:val="0"/>
        <w:autoSpaceDN w:val="0"/>
        <w:adjustRightInd w:val="0"/>
        <w:ind w:left="1872"/>
        <w:jc w:val="left"/>
        <w:rPr>
          <w:color w:val="auto"/>
          <w:sz w:val="22"/>
          <w:szCs w:val="22"/>
        </w:rPr>
      </w:pPr>
      <w:r w:rsidRPr="00261942">
        <w:rPr>
          <w:color w:val="auto"/>
          <w:sz w:val="22"/>
          <w:szCs w:val="22"/>
        </w:rPr>
        <w:t xml:space="preserve"> </w:t>
      </w:r>
      <w:proofErr w:type="gramStart"/>
      <w:r w:rsidRPr="00261942">
        <w:rPr>
          <w:color w:val="auto"/>
          <w:sz w:val="22"/>
          <w:szCs w:val="22"/>
        </w:rPr>
        <w:t>changes</w:t>
      </w:r>
      <w:proofErr w:type="gramEnd"/>
      <w:r w:rsidRPr="00261942">
        <w:rPr>
          <w:color w:val="auto"/>
          <w:sz w:val="22"/>
          <w:szCs w:val="22"/>
        </w:rPr>
        <w:t>, or narrowing or irregularity of joint space, or some</w:t>
      </w:r>
    </w:p>
    <w:p w:rsidR="00374B72" w:rsidRPr="00261942" w:rsidRDefault="00374B72" w:rsidP="00374B72">
      <w:pPr>
        <w:autoSpaceDE w:val="0"/>
        <w:autoSpaceDN w:val="0"/>
        <w:adjustRightInd w:val="0"/>
        <w:ind w:left="1872"/>
        <w:jc w:val="left"/>
        <w:rPr>
          <w:color w:val="auto"/>
          <w:sz w:val="22"/>
          <w:szCs w:val="22"/>
        </w:rPr>
      </w:pPr>
      <w:r w:rsidRPr="00261942">
        <w:rPr>
          <w:color w:val="auto"/>
          <w:sz w:val="22"/>
          <w:szCs w:val="22"/>
        </w:rPr>
        <w:t xml:space="preserve"> </w:t>
      </w:r>
      <w:proofErr w:type="gramStart"/>
      <w:r w:rsidRPr="00261942">
        <w:rPr>
          <w:color w:val="auto"/>
          <w:sz w:val="22"/>
          <w:szCs w:val="22"/>
        </w:rPr>
        <w:t>of</w:t>
      </w:r>
      <w:proofErr w:type="gramEnd"/>
      <w:r w:rsidRPr="00261942">
        <w:rPr>
          <w:color w:val="auto"/>
          <w:sz w:val="22"/>
          <w:szCs w:val="22"/>
        </w:rPr>
        <w:t xml:space="preserve"> the above with abnormal mobility on forced motion …………………..…... 40</w:t>
      </w:r>
    </w:p>
    <w:p w:rsidR="00374B72" w:rsidRPr="00261942" w:rsidRDefault="00374B72" w:rsidP="00374B72">
      <w:pPr>
        <w:autoSpaceDE w:val="0"/>
        <w:autoSpaceDN w:val="0"/>
        <w:adjustRightInd w:val="0"/>
        <w:ind w:left="864" w:firstLine="720"/>
        <w:jc w:val="left"/>
        <w:rPr>
          <w:color w:val="auto"/>
          <w:sz w:val="22"/>
          <w:szCs w:val="22"/>
        </w:rPr>
      </w:pPr>
      <w:r w:rsidRPr="00261942">
        <w:rPr>
          <w:color w:val="auto"/>
          <w:sz w:val="22"/>
          <w:szCs w:val="22"/>
        </w:rPr>
        <w:t xml:space="preserve">With muscle spasm on extreme forward bending, loss of lateral spine </w:t>
      </w:r>
    </w:p>
    <w:p w:rsidR="00374B72" w:rsidRPr="00261942" w:rsidRDefault="00374B72" w:rsidP="00374B72">
      <w:pPr>
        <w:autoSpaceDE w:val="0"/>
        <w:autoSpaceDN w:val="0"/>
        <w:adjustRightInd w:val="0"/>
        <w:ind w:left="1872"/>
        <w:jc w:val="left"/>
        <w:rPr>
          <w:color w:val="auto"/>
          <w:sz w:val="22"/>
          <w:szCs w:val="22"/>
        </w:rPr>
      </w:pPr>
      <w:r w:rsidRPr="00261942">
        <w:rPr>
          <w:color w:val="auto"/>
          <w:sz w:val="22"/>
          <w:szCs w:val="22"/>
        </w:rPr>
        <w:t xml:space="preserve"> </w:t>
      </w:r>
      <w:proofErr w:type="gramStart"/>
      <w:r w:rsidRPr="00261942">
        <w:rPr>
          <w:color w:val="auto"/>
          <w:sz w:val="22"/>
          <w:szCs w:val="22"/>
        </w:rPr>
        <w:t>motion</w:t>
      </w:r>
      <w:proofErr w:type="gramEnd"/>
      <w:r w:rsidRPr="00261942">
        <w:rPr>
          <w:color w:val="auto"/>
          <w:sz w:val="22"/>
          <w:szCs w:val="22"/>
        </w:rPr>
        <w:t>, unilateral, in standing position ……………...…………..…...…</w:t>
      </w:r>
      <w:r w:rsidR="007B5EE8" w:rsidRPr="00261942">
        <w:rPr>
          <w:color w:val="auto"/>
          <w:sz w:val="22"/>
          <w:szCs w:val="22"/>
        </w:rPr>
        <w:t>………</w:t>
      </w:r>
      <w:r w:rsidRPr="00261942">
        <w:rPr>
          <w:color w:val="auto"/>
          <w:sz w:val="22"/>
          <w:szCs w:val="22"/>
        </w:rPr>
        <w:t>.….. 20</w:t>
      </w:r>
    </w:p>
    <w:p w:rsidR="00374B72" w:rsidRPr="00261942" w:rsidRDefault="00374B72" w:rsidP="00374B72">
      <w:pPr>
        <w:autoSpaceDE w:val="0"/>
        <w:autoSpaceDN w:val="0"/>
        <w:adjustRightInd w:val="0"/>
        <w:ind w:left="864" w:firstLine="720"/>
        <w:jc w:val="left"/>
        <w:rPr>
          <w:color w:val="auto"/>
          <w:sz w:val="22"/>
          <w:szCs w:val="22"/>
        </w:rPr>
      </w:pPr>
      <w:r w:rsidRPr="00261942">
        <w:rPr>
          <w:color w:val="auto"/>
          <w:sz w:val="22"/>
          <w:szCs w:val="22"/>
        </w:rPr>
        <w:t xml:space="preserve">With characteristic pain on motion </w:t>
      </w:r>
      <w:proofErr w:type="gramStart"/>
      <w:r w:rsidRPr="00261942">
        <w:rPr>
          <w:color w:val="auto"/>
          <w:sz w:val="22"/>
          <w:szCs w:val="22"/>
        </w:rPr>
        <w:t>………………………………..……...…</w:t>
      </w:r>
      <w:r w:rsidR="007B5EE8" w:rsidRPr="00261942">
        <w:rPr>
          <w:color w:val="auto"/>
          <w:sz w:val="22"/>
          <w:szCs w:val="22"/>
        </w:rPr>
        <w:t>………….</w:t>
      </w:r>
      <w:r w:rsidRPr="00261942">
        <w:rPr>
          <w:color w:val="auto"/>
          <w:sz w:val="22"/>
          <w:szCs w:val="22"/>
        </w:rPr>
        <w:t>….…</w:t>
      </w:r>
      <w:proofErr w:type="gramEnd"/>
      <w:r w:rsidRPr="00261942">
        <w:rPr>
          <w:color w:val="auto"/>
          <w:sz w:val="22"/>
          <w:szCs w:val="22"/>
        </w:rPr>
        <w:t>. 10</w:t>
      </w:r>
    </w:p>
    <w:p w:rsidR="00374B72" w:rsidRPr="00261942" w:rsidRDefault="00374B72" w:rsidP="00374B72">
      <w:pPr>
        <w:autoSpaceDE w:val="0"/>
        <w:autoSpaceDN w:val="0"/>
        <w:adjustRightInd w:val="0"/>
        <w:ind w:left="864" w:firstLine="720"/>
        <w:jc w:val="left"/>
        <w:rPr>
          <w:color w:val="auto"/>
          <w:sz w:val="22"/>
          <w:szCs w:val="22"/>
        </w:rPr>
      </w:pPr>
      <w:r w:rsidRPr="00261942">
        <w:rPr>
          <w:color w:val="auto"/>
          <w:sz w:val="22"/>
          <w:szCs w:val="22"/>
        </w:rPr>
        <w:t xml:space="preserve">With slight subjective symptoms only </w:t>
      </w:r>
      <w:proofErr w:type="gramStart"/>
      <w:r w:rsidRPr="00261942">
        <w:rPr>
          <w:color w:val="auto"/>
          <w:sz w:val="22"/>
          <w:szCs w:val="22"/>
        </w:rPr>
        <w:t>……………………...………………...……</w:t>
      </w:r>
      <w:r w:rsidR="007B5EE8" w:rsidRPr="00261942">
        <w:rPr>
          <w:color w:val="auto"/>
          <w:sz w:val="22"/>
          <w:szCs w:val="22"/>
        </w:rPr>
        <w:t>……………</w:t>
      </w:r>
      <w:proofErr w:type="gramEnd"/>
      <w:r w:rsidRPr="00261942">
        <w:rPr>
          <w:color w:val="auto"/>
          <w:sz w:val="22"/>
          <w:szCs w:val="22"/>
        </w:rPr>
        <w:t xml:space="preserve"> 0</w:t>
      </w:r>
    </w:p>
    <w:p w:rsidR="00D50CE3" w:rsidRPr="00261942" w:rsidRDefault="00D50CE3" w:rsidP="00374B72">
      <w:pPr>
        <w:spacing w:line="200" w:lineRule="exact"/>
        <w:jc w:val="both"/>
        <w:rPr>
          <w:color w:val="auto"/>
          <w:sz w:val="22"/>
          <w:szCs w:val="22"/>
          <w:highlight w:val="yellow"/>
        </w:rPr>
      </w:pPr>
    </w:p>
    <w:p w:rsidR="00626902" w:rsidRPr="00261942" w:rsidRDefault="00D50CE3" w:rsidP="001F0DA8">
      <w:pPr>
        <w:tabs>
          <w:tab w:val="left" w:pos="288"/>
          <w:tab w:val="left" w:pos="4752"/>
        </w:tabs>
        <w:jc w:val="both"/>
        <w:rPr>
          <w:rFonts w:eastAsia="Calibri" w:cs="Times New Roman"/>
          <w:color w:val="auto"/>
          <w:sz w:val="22"/>
          <w:szCs w:val="22"/>
        </w:rPr>
      </w:pPr>
      <w:r w:rsidRPr="00261942">
        <w:rPr>
          <w:color w:val="auto"/>
          <w:sz w:val="22"/>
          <w:szCs w:val="22"/>
        </w:rPr>
        <w:t xml:space="preserve">The PEB and VA both </w:t>
      </w:r>
      <w:r w:rsidR="00447D1E" w:rsidRPr="00261942">
        <w:rPr>
          <w:color w:val="auto"/>
          <w:sz w:val="22"/>
          <w:szCs w:val="22"/>
        </w:rPr>
        <w:t>assigned a 10% rating under</w:t>
      </w:r>
      <w:r w:rsidRPr="00261942">
        <w:rPr>
          <w:color w:val="auto"/>
          <w:sz w:val="22"/>
          <w:szCs w:val="22"/>
        </w:rPr>
        <w:t xml:space="preserve"> the 5295 code (analogously by the PEB</w:t>
      </w:r>
      <w:r w:rsidR="00447D1E" w:rsidRPr="00261942">
        <w:rPr>
          <w:color w:val="auto"/>
          <w:sz w:val="22"/>
          <w:szCs w:val="22"/>
        </w:rPr>
        <w:t>), and the 5293 code (intervertebral disc syndrome).  T</w:t>
      </w:r>
      <w:r w:rsidRPr="00261942">
        <w:rPr>
          <w:color w:val="auto"/>
          <w:sz w:val="22"/>
          <w:szCs w:val="22"/>
        </w:rPr>
        <w:t>he VA in a later rating decision modified the code to reflect newer VASRD coding options, but the rating was unaffected.</w:t>
      </w:r>
      <w:r w:rsidR="00513120" w:rsidRPr="00261942">
        <w:rPr>
          <w:color w:val="auto"/>
          <w:sz w:val="22"/>
          <w:szCs w:val="22"/>
        </w:rPr>
        <w:t xml:space="preserve"> </w:t>
      </w:r>
      <w:r w:rsidR="00447D1E" w:rsidRPr="00261942">
        <w:rPr>
          <w:color w:val="auto"/>
          <w:sz w:val="22"/>
          <w:szCs w:val="22"/>
        </w:rPr>
        <w:t xml:space="preserve"> A</w:t>
      </w:r>
      <w:r w:rsidRPr="00261942">
        <w:rPr>
          <w:color w:val="auto"/>
          <w:sz w:val="22"/>
          <w:szCs w:val="22"/>
        </w:rPr>
        <w:t xml:space="preserve"> </w:t>
      </w:r>
      <w:r w:rsidR="00447D1E" w:rsidRPr="00261942">
        <w:rPr>
          <w:color w:val="auto"/>
          <w:sz w:val="22"/>
          <w:szCs w:val="22"/>
        </w:rPr>
        <w:t>1</w:t>
      </w:r>
      <w:r w:rsidRPr="00261942">
        <w:rPr>
          <w:color w:val="auto"/>
          <w:sz w:val="22"/>
          <w:szCs w:val="22"/>
        </w:rPr>
        <w:t>0% ra</w:t>
      </w:r>
      <w:r w:rsidR="00447D1E" w:rsidRPr="00261942">
        <w:rPr>
          <w:color w:val="auto"/>
          <w:sz w:val="22"/>
          <w:szCs w:val="22"/>
        </w:rPr>
        <w:t>ting is justified if the condition is</w:t>
      </w:r>
      <w:r w:rsidRPr="00261942">
        <w:rPr>
          <w:color w:val="auto"/>
          <w:sz w:val="22"/>
          <w:szCs w:val="22"/>
        </w:rPr>
        <w:t xml:space="preserve"> </w:t>
      </w:r>
      <w:r w:rsidR="002A2F75" w:rsidRPr="00261942">
        <w:rPr>
          <w:color w:val="auto"/>
          <w:sz w:val="22"/>
          <w:szCs w:val="22"/>
        </w:rPr>
        <w:t xml:space="preserve">reflected by </w:t>
      </w:r>
      <w:r w:rsidR="007B5EE8" w:rsidRPr="00261942">
        <w:rPr>
          <w:color w:val="auto"/>
          <w:sz w:val="22"/>
          <w:szCs w:val="22"/>
        </w:rPr>
        <w:t xml:space="preserve">“slight” limitation of lumbar motion under 5292 or </w:t>
      </w:r>
      <w:r w:rsidRPr="00261942">
        <w:rPr>
          <w:color w:val="auto"/>
          <w:sz w:val="22"/>
          <w:szCs w:val="22"/>
        </w:rPr>
        <w:t>“</w:t>
      </w:r>
      <w:r w:rsidR="00447D1E" w:rsidRPr="00261942">
        <w:rPr>
          <w:color w:val="auto"/>
          <w:sz w:val="22"/>
          <w:szCs w:val="22"/>
        </w:rPr>
        <w:t>characteristic pain on motion</w:t>
      </w:r>
      <w:r w:rsidRPr="00261942">
        <w:rPr>
          <w:color w:val="auto"/>
          <w:sz w:val="22"/>
          <w:szCs w:val="22"/>
        </w:rPr>
        <w:t>”</w:t>
      </w:r>
      <w:r w:rsidR="007B5EE8" w:rsidRPr="00261942">
        <w:rPr>
          <w:color w:val="auto"/>
          <w:sz w:val="22"/>
          <w:szCs w:val="22"/>
        </w:rPr>
        <w:t xml:space="preserve"> under 5295.</w:t>
      </w:r>
      <w:r w:rsidRPr="00261942">
        <w:rPr>
          <w:color w:val="auto"/>
          <w:sz w:val="22"/>
          <w:szCs w:val="22"/>
        </w:rPr>
        <w:t xml:space="preserve">  </w:t>
      </w:r>
      <w:r w:rsidRPr="00261942">
        <w:rPr>
          <w:rFonts w:eastAsia="HiddenHorzOCR"/>
          <w:color w:val="auto"/>
          <w:sz w:val="22"/>
          <w:szCs w:val="22"/>
        </w:rPr>
        <w:t>The Board debated</w:t>
      </w:r>
      <w:r w:rsidR="002A2F75" w:rsidRPr="00261942">
        <w:rPr>
          <w:rFonts w:eastAsia="HiddenHorzOCR"/>
          <w:color w:val="auto"/>
          <w:sz w:val="22"/>
          <w:szCs w:val="22"/>
        </w:rPr>
        <w:t xml:space="preserve"> if a higher</w:t>
      </w:r>
      <w:r w:rsidRPr="00261942">
        <w:rPr>
          <w:rFonts w:eastAsia="HiddenHorzOCR"/>
          <w:color w:val="auto"/>
          <w:sz w:val="22"/>
          <w:szCs w:val="22"/>
        </w:rPr>
        <w:t xml:space="preserve"> rating</w:t>
      </w:r>
      <w:r w:rsidR="002A2F75" w:rsidRPr="00261942">
        <w:rPr>
          <w:rFonts w:eastAsia="HiddenHorzOCR"/>
          <w:color w:val="auto"/>
          <w:sz w:val="22"/>
          <w:szCs w:val="22"/>
        </w:rPr>
        <w:t xml:space="preserve"> was justified</w:t>
      </w:r>
      <w:r w:rsidRPr="00261942">
        <w:rPr>
          <w:rFonts w:eastAsia="HiddenHorzOCR"/>
          <w:color w:val="auto"/>
          <w:sz w:val="22"/>
          <w:szCs w:val="22"/>
        </w:rPr>
        <w:t xml:space="preserve"> using the older VASRD rules in effect at the time.  </w:t>
      </w:r>
      <w:r w:rsidRPr="00261942">
        <w:rPr>
          <w:rFonts w:eastAsiaTheme="minorHAnsi"/>
          <w:color w:val="auto"/>
          <w:sz w:val="22"/>
          <w:szCs w:val="22"/>
        </w:rPr>
        <w:t xml:space="preserve">Board </w:t>
      </w:r>
      <w:r w:rsidR="00D930D2" w:rsidRPr="00261942">
        <w:rPr>
          <w:rFonts w:eastAsiaTheme="minorHAnsi"/>
          <w:color w:val="auto"/>
          <w:sz w:val="22"/>
          <w:szCs w:val="22"/>
        </w:rPr>
        <w:t xml:space="preserve">members </w:t>
      </w:r>
      <w:r w:rsidRPr="00261942">
        <w:rPr>
          <w:rFonts w:eastAsiaTheme="minorHAnsi"/>
          <w:color w:val="auto"/>
          <w:sz w:val="22"/>
          <w:szCs w:val="22"/>
        </w:rPr>
        <w:t xml:space="preserve">agreed that elements of the </w:t>
      </w:r>
      <w:r w:rsidR="007B5EE8" w:rsidRPr="00261942">
        <w:rPr>
          <w:rFonts w:eastAsiaTheme="minorHAnsi"/>
          <w:color w:val="auto"/>
          <w:sz w:val="22"/>
          <w:szCs w:val="22"/>
        </w:rPr>
        <w:t>2</w:t>
      </w:r>
      <w:r w:rsidRPr="00261942">
        <w:rPr>
          <w:rFonts w:eastAsiaTheme="minorHAnsi"/>
          <w:color w:val="auto"/>
          <w:sz w:val="22"/>
          <w:szCs w:val="22"/>
        </w:rPr>
        <w:t xml:space="preserve">0% rating were not present on any of the </w:t>
      </w:r>
      <w:r w:rsidR="007B5EE8" w:rsidRPr="00261942">
        <w:rPr>
          <w:rFonts w:eastAsiaTheme="minorHAnsi"/>
          <w:color w:val="auto"/>
          <w:sz w:val="22"/>
          <w:szCs w:val="22"/>
        </w:rPr>
        <w:t>cited examinations</w:t>
      </w:r>
      <w:r w:rsidR="00D930D2" w:rsidRPr="00261942">
        <w:rPr>
          <w:rFonts w:eastAsiaTheme="minorHAnsi"/>
          <w:color w:val="auto"/>
          <w:sz w:val="22"/>
          <w:szCs w:val="22"/>
        </w:rPr>
        <w:t xml:space="preserve"> and further noted</w:t>
      </w:r>
      <w:r w:rsidRPr="00261942">
        <w:rPr>
          <w:rFonts w:eastAsiaTheme="minorHAnsi"/>
          <w:color w:val="auto"/>
          <w:sz w:val="22"/>
          <w:szCs w:val="22"/>
        </w:rPr>
        <w:t xml:space="preserve"> </w:t>
      </w:r>
      <w:r w:rsidR="00D930D2" w:rsidRPr="00261942">
        <w:rPr>
          <w:rFonts w:eastAsiaTheme="minorHAnsi"/>
          <w:color w:val="auto"/>
          <w:sz w:val="22"/>
          <w:szCs w:val="22"/>
        </w:rPr>
        <w:t>that there was no evidence of “incapacitating episodes” that would justify a minimal rating under the 5293 code.</w:t>
      </w:r>
      <w:r w:rsidR="00F464F1" w:rsidRPr="00261942">
        <w:rPr>
          <w:rFonts w:eastAsiaTheme="minorHAnsi"/>
          <w:color w:val="auto"/>
          <w:sz w:val="22"/>
          <w:szCs w:val="22"/>
        </w:rPr>
        <w:t xml:space="preserve">  The Board also considered if additional disability rating was justified for peripheral nerve impairment.  Although intermittent episodes of radiating pain were </w:t>
      </w:r>
      <w:r w:rsidR="00B829F1" w:rsidRPr="00261942">
        <w:rPr>
          <w:rFonts w:eastAsiaTheme="minorHAnsi"/>
          <w:color w:val="auto"/>
          <w:sz w:val="22"/>
          <w:szCs w:val="22"/>
        </w:rPr>
        <w:t>reported</w:t>
      </w:r>
      <w:r w:rsidR="00F464F1" w:rsidRPr="00261942">
        <w:rPr>
          <w:rFonts w:eastAsiaTheme="minorHAnsi"/>
          <w:color w:val="auto"/>
          <w:sz w:val="22"/>
          <w:szCs w:val="22"/>
        </w:rPr>
        <w:t>, and an MRI showed mild L4-L5 neuro-foraminal narrowing, there was no evidence on multiple exams of functional impairment due to neuropathy.  The Board therefore concludes that additional disability rating was not justified on this basis.</w:t>
      </w:r>
      <w:r w:rsidR="001F0DA8" w:rsidRPr="00261942">
        <w:rPr>
          <w:rFonts w:eastAsiaTheme="minorHAnsi"/>
          <w:color w:val="auto"/>
          <w:sz w:val="22"/>
          <w:szCs w:val="22"/>
        </w:rPr>
        <w:t xml:space="preserve">  </w:t>
      </w:r>
      <w:r w:rsidR="00626902" w:rsidRPr="00261942">
        <w:rPr>
          <w:rFonts w:eastAsia="Calibri" w:cs="Times New Roman"/>
          <w:color w:val="auto"/>
          <w:sz w:val="22"/>
          <w:szCs w:val="22"/>
        </w:rPr>
        <w:t xml:space="preserve">After due deliberation, considering all of the evidence and mindful of VASRD §4.3 (reasonable doubt), the Board concluded that there was insufficient cause to recommend a change in the PEB adjudication for the </w:t>
      </w:r>
      <w:r w:rsidR="00CD4FE4" w:rsidRPr="00261942">
        <w:rPr>
          <w:color w:val="auto"/>
          <w:sz w:val="22"/>
          <w:szCs w:val="22"/>
        </w:rPr>
        <w:t xml:space="preserve">chronic </w:t>
      </w:r>
      <w:r w:rsidR="00DE5F46" w:rsidRPr="00261942">
        <w:rPr>
          <w:color w:val="auto"/>
          <w:sz w:val="22"/>
          <w:szCs w:val="22"/>
        </w:rPr>
        <w:t>low back pain</w:t>
      </w:r>
      <w:r w:rsidR="00CD4FE4" w:rsidRPr="00261942">
        <w:rPr>
          <w:color w:val="auto"/>
          <w:sz w:val="22"/>
          <w:szCs w:val="22"/>
        </w:rPr>
        <w:t xml:space="preserve"> </w:t>
      </w:r>
      <w:r w:rsidR="00626902" w:rsidRPr="00261942">
        <w:rPr>
          <w:rFonts w:eastAsia="Calibri" w:cs="Times New Roman"/>
          <w:color w:val="auto"/>
          <w:sz w:val="22"/>
          <w:szCs w:val="22"/>
        </w:rPr>
        <w:t>condition.</w:t>
      </w:r>
    </w:p>
    <w:p w:rsidR="007C4CE1" w:rsidRPr="00261942" w:rsidRDefault="007C4CE1" w:rsidP="001554E4">
      <w:pPr>
        <w:jc w:val="both"/>
        <w:rPr>
          <w:rFonts w:eastAsia="Calibri" w:cs="Times New Roman"/>
          <w:color w:val="auto"/>
          <w:sz w:val="22"/>
          <w:szCs w:val="22"/>
        </w:rPr>
      </w:pPr>
    </w:p>
    <w:p w:rsidR="00CD747F" w:rsidRPr="00261942" w:rsidRDefault="007C4CE1" w:rsidP="00CD747F">
      <w:pPr>
        <w:jc w:val="both"/>
        <w:rPr>
          <w:color w:val="auto"/>
          <w:sz w:val="22"/>
          <w:szCs w:val="22"/>
        </w:rPr>
      </w:pPr>
      <w:proofErr w:type="gramStart"/>
      <w:r w:rsidRPr="00261942">
        <w:rPr>
          <w:color w:val="auto"/>
          <w:sz w:val="22"/>
          <w:szCs w:val="22"/>
          <w:u w:val="single"/>
        </w:rPr>
        <w:t>O</w:t>
      </w:r>
      <w:r w:rsidR="00CD747F" w:rsidRPr="00261942">
        <w:rPr>
          <w:color w:val="auto"/>
          <w:sz w:val="22"/>
          <w:szCs w:val="22"/>
          <w:u w:val="single"/>
        </w:rPr>
        <w:t>bstructive Sleep Apnea</w:t>
      </w:r>
      <w:r w:rsidRPr="00261942">
        <w:rPr>
          <w:color w:val="auto"/>
          <w:sz w:val="22"/>
          <w:szCs w:val="22"/>
          <w:u w:val="single"/>
        </w:rPr>
        <w:t xml:space="preserve"> Condition</w:t>
      </w:r>
      <w:r w:rsidRPr="00261942">
        <w:rPr>
          <w:color w:val="auto"/>
          <w:sz w:val="22"/>
          <w:szCs w:val="22"/>
        </w:rPr>
        <w:t>.</w:t>
      </w:r>
      <w:proofErr w:type="gramEnd"/>
      <w:r w:rsidR="00CD747F" w:rsidRPr="00261942">
        <w:rPr>
          <w:color w:val="auto"/>
          <w:sz w:val="22"/>
          <w:szCs w:val="22"/>
        </w:rPr>
        <w:t xml:space="preserve">  The OSA condition was well documented in the </w:t>
      </w:r>
      <w:r w:rsidR="00196C0C" w:rsidRPr="00261942">
        <w:rPr>
          <w:color w:val="auto"/>
          <w:sz w:val="22"/>
          <w:szCs w:val="22"/>
        </w:rPr>
        <w:t>service treatment record (</w:t>
      </w:r>
      <w:r w:rsidR="00CD747F" w:rsidRPr="00261942">
        <w:rPr>
          <w:color w:val="auto"/>
          <w:sz w:val="22"/>
          <w:szCs w:val="22"/>
        </w:rPr>
        <w:t>STR</w:t>
      </w:r>
      <w:r w:rsidR="00196C0C" w:rsidRPr="00261942">
        <w:rPr>
          <w:color w:val="auto"/>
          <w:sz w:val="22"/>
          <w:szCs w:val="22"/>
        </w:rPr>
        <w:t>)</w:t>
      </w:r>
      <w:r w:rsidR="00CD747F" w:rsidRPr="00261942">
        <w:rPr>
          <w:color w:val="auto"/>
          <w:sz w:val="22"/>
          <w:szCs w:val="22"/>
        </w:rPr>
        <w:t xml:space="preserve">.  After attempted surgical correction </w:t>
      </w:r>
      <w:r w:rsidR="00261942" w:rsidRPr="00261942">
        <w:rPr>
          <w:color w:val="auto"/>
          <w:sz w:val="22"/>
          <w:szCs w:val="22"/>
        </w:rPr>
        <w:t xml:space="preserve">performed </w:t>
      </w:r>
      <w:r w:rsidR="00CD747F" w:rsidRPr="00261942">
        <w:rPr>
          <w:color w:val="auto"/>
          <w:sz w:val="22"/>
          <w:szCs w:val="22"/>
        </w:rPr>
        <w:t>on 18 October 2002, a sleep study confirmed the persistence of moderate to severe sleep apnea, and he required continued treatment with titrated CPAP.</w:t>
      </w:r>
      <w:r w:rsidR="00A2718B" w:rsidRPr="00261942">
        <w:rPr>
          <w:color w:val="auto"/>
          <w:sz w:val="22"/>
          <w:szCs w:val="22"/>
        </w:rPr>
        <w:t xml:space="preserve"> </w:t>
      </w:r>
      <w:r w:rsidR="00CD747F" w:rsidRPr="00261942">
        <w:rPr>
          <w:color w:val="auto"/>
          <w:sz w:val="22"/>
          <w:szCs w:val="22"/>
        </w:rPr>
        <w:t xml:space="preserve"> The CI was placed on a permanent profile that required him to </w:t>
      </w:r>
      <w:r w:rsidR="00677ECC" w:rsidRPr="00261942">
        <w:rPr>
          <w:color w:val="auto"/>
          <w:sz w:val="22"/>
          <w:szCs w:val="22"/>
        </w:rPr>
        <w:t xml:space="preserve">use a CPAP machine and to obtain 6-8 hours of sleep per night.  </w:t>
      </w:r>
      <w:r w:rsidR="00CD747F" w:rsidRPr="00261942">
        <w:rPr>
          <w:color w:val="auto"/>
          <w:sz w:val="22"/>
          <w:szCs w:val="22"/>
        </w:rPr>
        <w:t>The PEB’s DA Form 199 assigned a 0% rating under DODI 1332.39 (E2.A1.2.21)</w:t>
      </w:r>
      <w:r w:rsidR="00677ECC" w:rsidRPr="00261942">
        <w:rPr>
          <w:color w:val="auto"/>
          <w:sz w:val="22"/>
          <w:szCs w:val="22"/>
        </w:rPr>
        <w:t>.</w:t>
      </w:r>
      <w:r w:rsidR="00CD747F" w:rsidRPr="00261942">
        <w:rPr>
          <w:color w:val="auto"/>
          <w:sz w:val="22"/>
          <w:szCs w:val="22"/>
        </w:rPr>
        <w:t xml:space="preserve">  Conte</w:t>
      </w:r>
      <w:r w:rsidR="00677ECC" w:rsidRPr="00261942">
        <w:rPr>
          <w:color w:val="auto"/>
          <w:sz w:val="22"/>
          <w:szCs w:val="22"/>
        </w:rPr>
        <w:t>mporary PEBs across all of the s</w:t>
      </w:r>
      <w:r w:rsidR="00CD747F" w:rsidRPr="00261942">
        <w:rPr>
          <w:color w:val="auto"/>
          <w:sz w:val="22"/>
          <w:szCs w:val="22"/>
        </w:rPr>
        <w:t>ervices no longer consider sleep apnea syndromes to be unfitting on th</w:t>
      </w:r>
      <w:r w:rsidR="00677ECC" w:rsidRPr="00261942">
        <w:rPr>
          <w:color w:val="auto"/>
          <w:sz w:val="22"/>
          <w:szCs w:val="22"/>
        </w:rPr>
        <w:t>e basis of impediments to the use of CPAP</w:t>
      </w:r>
      <w:r w:rsidR="00F51388" w:rsidRPr="00261942">
        <w:rPr>
          <w:color w:val="auto"/>
          <w:sz w:val="22"/>
          <w:szCs w:val="22"/>
        </w:rPr>
        <w:t xml:space="preserve"> in the field</w:t>
      </w:r>
      <w:r w:rsidR="00CD747F" w:rsidRPr="00261942">
        <w:rPr>
          <w:color w:val="auto"/>
          <w:sz w:val="22"/>
          <w:szCs w:val="22"/>
        </w:rPr>
        <w:t xml:space="preserve">; but, the Board, by legal opinion and firm precedent, does not make contrary recommendations to a PEB determination that a condition was unfitting.  VASRD §4.100 mandates a minimum rating of 50% under 6847 for sleep </w:t>
      </w:r>
      <w:r w:rsidR="00CD747F" w:rsidRPr="00261942">
        <w:rPr>
          <w:color w:val="auto"/>
          <w:sz w:val="22"/>
          <w:szCs w:val="22"/>
        </w:rPr>
        <w:lastRenderedPageBreak/>
        <w:t>apnea syndromes requiring a breathing assistance device.  In consideration of the unequivocal evidence, and IAW DoDI 6040.44, the Board must recommend a separation rating of 50% for the OSA condition.</w:t>
      </w:r>
    </w:p>
    <w:p w:rsidR="003863E9" w:rsidRPr="00261942" w:rsidRDefault="003863E9" w:rsidP="003863E9">
      <w:pPr>
        <w:pBdr>
          <w:bottom w:val="single" w:sz="12" w:space="1" w:color="auto"/>
        </w:pBdr>
        <w:tabs>
          <w:tab w:val="left" w:pos="288"/>
          <w:tab w:val="left" w:pos="4752"/>
        </w:tabs>
        <w:jc w:val="both"/>
        <w:rPr>
          <w:color w:val="auto"/>
          <w:sz w:val="22"/>
          <w:szCs w:val="22"/>
        </w:rPr>
      </w:pPr>
    </w:p>
    <w:p w:rsidR="00AD2379" w:rsidRPr="00261942" w:rsidRDefault="00AD2379" w:rsidP="006364ED">
      <w:pPr>
        <w:jc w:val="left"/>
        <w:rPr>
          <w:color w:val="auto"/>
          <w:sz w:val="22"/>
          <w:szCs w:val="22"/>
          <w:highlight w:val="magenta"/>
        </w:rPr>
      </w:pPr>
    </w:p>
    <w:p w:rsidR="00417BED" w:rsidRPr="00261942" w:rsidRDefault="00AD2379" w:rsidP="00417BED">
      <w:pPr>
        <w:jc w:val="both"/>
        <w:rPr>
          <w:rFonts w:eastAsia="Calibri" w:cs="Times New Roman"/>
          <w:color w:val="auto"/>
          <w:sz w:val="22"/>
          <w:szCs w:val="22"/>
        </w:rPr>
      </w:pPr>
      <w:r w:rsidRPr="00261942">
        <w:rPr>
          <w:color w:val="auto"/>
          <w:sz w:val="22"/>
          <w:szCs w:val="22"/>
          <w:u w:val="single"/>
        </w:rPr>
        <w:t>BOARD FINDINGS</w:t>
      </w:r>
      <w:r w:rsidRPr="00261942">
        <w:rPr>
          <w:color w:val="auto"/>
          <w:sz w:val="22"/>
          <w:szCs w:val="22"/>
        </w:rPr>
        <w:t>:  IAW DoDI 6040.44, provisions of DoD or Military Department regulations or guidelines relied upon by the PEB will not be considered by the Board to the extent they were inconsistent with the VASRD in effect at the time of the adjudication</w:t>
      </w:r>
      <w:r w:rsidRPr="00261942">
        <w:rPr>
          <w:rFonts w:cs="Times New Roman"/>
          <w:color w:val="auto"/>
          <w:sz w:val="22"/>
          <w:szCs w:val="22"/>
        </w:rPr>
        <w:t>.</w:t>
      </w:r>
      <w:r w:rsidR="00E012A7" w:rsidRPr="00261942">
        <w:rPr>
          <w:rFonts w:cs="Times New Roman"/>
          <w:color w:val="auto"/>
          <w:sz w:val="22"/>
          <w:szCs w:val="22"/>
        </w:rPr>
        <w:t xml:space="preserve">  </w:t>
      </w:r>
      <w:r w:rsidR="00165C7B" w:rsidRPr="00261942">
        <w:rPr>
          <w:rFonts w:eastAsia="Calibri" w:cs="Times New Roman"/>
          <w:color w:val="auto"/>
          <w:sz w:val="22"/>
          <w:szCs w:val="22"/>
        </w:rPr>
        <w:t xml:space="preserve">As discussed above, PEB reliance on DoDI 1332.39 for rating </w:t>
      </w:r>
      <w:r w:rsidR="007C4CE1" w:rsidRPr="00261942">
        <w:rPr>
          <w:color w:val="auto"/>
          <w:sz w:val="22"/>
          <w:szCs w:val="22"/>
        </w:rPr>
        <w:t xml:space="preserve">chronic </w:t>
      </w:r>
      <w:r w:rsidR="001822DA" w:rsidRPr="00261942">
        <w:rPr>
          <w:color w:val="auto"/>
          <w:sz w:val="22"/>
          <w:szCs w:val="22"/>
        </w:rPr>
        <w:t>low back pain and obstructive sleep apnea</w:t>
      </w:r>
      <w:r w:rsidR="00165C7B" w:rsidRPr="00261942">
        <w:rPr>
          <w:rFonts w:eastAsia="Calibri" w:cs="Times New Roman"/>
          <w:color w:val="auto"/>
          <w:sz w:val="22"/>
          <w:szCs w:val="22"/>
        </w:rPr>
        <w:t xml:space="preserve"> was operant in this case and the condition</w:t>
      </w:r>
      <w:r w:rsidR="007E50EB" w:rsidRPr="00261942">
        <w:rPr>
          <w:rFonts w:eastAsia="Calibri" w:cs="Times New Roman"/>
          <w:color w:val="auto"/>
          <w:sz w:val="22"/>
          <w:szCs w:val="22"/>
        </w:rPr>
        <w:t>s</w:t>
      </w:r>
      <w:r w:rsidR="00165C7B" w:rsidRPr="00261942">
        <w:rPr>
          <w:rFonts w:eastAsia="Calibri" w:cs="Times New Roman"/>
          <w:color w:val="auto"/>
          <w:sz w:val="22"/>
          <w:szCs w:val="22"/>
        </w:rPr>
        <w:t xml:space="preserve"> w</w:t>
      </w:r>
      <w:r w:rsidR="007E50EB" w:rsidRPr="00261942">
        <w:rPr>
          <w:rFonts w:eastAsia="Calibri" w:cs="Times New Roman"/>
          <w:color w:val="auto"/>
          <w:sz w:val="22"/>
          <w:szCs w:val="22"/>
        </w:rPr>
        <w:t>ere</w:t>
      </w:r>
      <w:r w:rsidR="00165C7B" w:rsidRPr="00261942">
        <w:rPr>
          <w:rFonts w:eastAsia="Calibri" w:cs="Times New Roman"/>
          <w:color w:val="auto"/>
          <w:sz w:val="22"/>
          <w:szCs w:val="22"/>
        </w:rPr>
        <w:t xml:space="preserve"> adjudicated independently of </w:t>
      </w:r>
      <w:r w:rsidR="007C4CE1" w:rsidRPr="00261942">
        <w:rPr>
          <w:rFonts w:eastAsia="Calibri" w:cs="Times New Roman"/>
          <w:color w:val="auto"/>
          <w:sz w:val="22"/>
          <w:szCs w:val="22"/>
        </w:rPr>
        <w:t>that instruction by the Board.</w:t>
      </w:r>
      <w:r w:rsidR="00513120" w:rsidRPr="00261942">
        <w:rPr>
          <w:rFonts w:eastAsia="Calibri" w:cs="Times New Roman"/>
          <w:color w:val="auto"/>
          <w:sz w:val="22"/>
          <w:szCs w:val="22"/>
        </w:rPr>
        <w:t xml:space="preserve">  </w:t>
      </w:r>
      <w:r w:rsidR="00725C13" w:rsidRPr="00261942">
        <w:rPr>
          <w:rFonts w:eastAsia="Calibri" w:cs="Times New Roman"/>
          <w:color w:val="auto"/>
          <w:sz w:val="22"/>
          <w:szCs w:val="22"/>
        </w:rPr>
        <w:t xml:space="preserve">In the matter of the chronic </w:t>
      </w:r>
      <w:r w:rsidR="007E50EB" w:rsidRPr="00261942">
        <w:rPr>
          <w:rFonts w:eastAsia="Calibri" w:cs="Times New Roman"/>
          <w:color w:val="auto"/>
          <w:sz w:val="22"/>
          <w:szCs w:val="22"/>
        </w:rPr>
        <w:t>low back pain</w:t>
      </w:r>
      <w:r w:rsidR="00725C13" w:rsidRPr="00261942">
        <w:rPr>
          <w:rFonts w:eastAsia="Calibri" w:cs="Times New Roman"/>
          <w:color w:val="auto"/>
          <w:sz w:val="22"/>
          <w:szCs w:val="22"/>
        </w:rPr>
        <w:t xml:space="preserve"> condition and IAW VASRD §4.71a, the Board unanimously recommends no change in the PEB adjudication.</w:t>
      </w:r>
      <w:r w:rsidR="00513120" w:rsidRPr="00261942">
        <w:rPr>
          <w:rFonts w:eastAsia="Calibri" w:cs="Times New Roman"/>
          <w:color w:val="auto"/>
          <w:sz w:val="22"/>
          <w:szCs w:val="22"/>
        </w:rPr>
        <w:t xml:space="preserve">  </w:t>
      </w:r>
      <w:r w:rsidR="00725C13" w:rsidRPr="00261942">
        <w:rPr>
          <w:rFonts w:eastAsia="Calibri" w:cs="Times New Roman"/>
          <w:color w:val="auto"/>
          <w:sz w:val="22"/>
          <w:szCs w:val="22"/>
        </w:rPr>
        <w:t xml:space="preserve">In the matter of the </w:t>
      </w:r>
      <w:r w:rsidR="00CA6FBE">
        <w:rPr>
          <w:rFonts w:eastAsia="Calibri" w:cs="Times New Roman"/>
          <w:color w:val="auto"/>
          <w:sz w:val="22"/>
          <w:szCs w:val="22"/>
        </w:rPr>
        <w:t>OSA</w:t>
      </w:r>
      <w:bookmarkStart w:id="0" w:name="_GoBack"/>
      <w:bookmarkEnd w:id="0"/>
      <w:r w:rsidR="007E50EB" w:rsidRPr="00261942">
        <w:rPr>
          <w:rFonts w:eastAsia="Calibri" w:cs="Times New Roman"/>
          <w:color w:val="auto"/>
          <w:sz w:val="22"/>
          <w:szCs w:val="22"/>
        </w:rPr>
        <w:t xml:space="preserve"> </w:t>
      </w:r>
      <w:r w:rsidR="00725C13" w:rsidRPr="00261942">
        <w:rPr>
          <w:rFonts w:eastAsia="Calibri" w:cs="Times New Roman"/>
          <w:color w:val="auto"/>
          <w:sz w:val="22"/>
          <w:szCs w:val="22"/>
        </w:rPr>
        <w:t xml:space="preserve">condition, the Board unanimously recommends a disability rating of 50%, coded </w:t>
      </w:r>
      <w:r w:rsidR="007E50EB" w:rsidRPr="00261942">
        <w:rPr>
          <w:rFonts w:eastAsia="Calibri" w:cs="Times New Roman"/>
          <w:color w:val="auto"/>
          <w:sz w:val="22"/>
          <w:szCs w:val="22"/>
        </w:rPr>
        <w:t>6847</w:t>
      </w:r>
      <w:r w:rsidR="00725C13" w:rsidRPr="00261942">
        <w:rPr>
          <w:rFonts w:eastAsia="Calibri" w:cs="Times New Roman"/>
          <w:color w:val="auto"/>
          <w:sz w:val="22"/>
          <w:szCs w:val="22"/>
        </w:rPr>
        <w:t xml:space="preserve"> IAW VASRD §4.</w:t>
      </w:r>
      <w:r w:rsidR="007E50EB" w:rsidRPr="00261942">
        <w:rPr>
          <w:rFonts w:eastAsia="Calibri" w:cs="Times New Roman"/>
          <w:color w:val="auto"/>
          <w:sz w:val="22"/>
          <w:szCs w:val="22"/>
        </w:rPr>
        <w:t>100</w:t>
      </w:r>
      <w:r w:rsidR="00725C13" w:rsidRPr="00261942">
        <w:rPr>
          <w:rFonts w:eastAsia="Calibri" w:cs="Times New Roman"/>
          <w:color w:val="auto"/>
          <w:sz w:val="22"/>
          <w:szCs w:val="22"/>
        </w:rPr>
        <w:t>.</w:t>
      </w:r>
      <w:r w:rsidR="00513120" w:rsidRPr="00261942">
        <w:rPr>
          <w:rFonts w:eastAsia="Calibri" w:cs="Times New Roman"/>
          <w:color w:val="auto"/>
          <w:sz w:val="22"/>
          <w:szCs w:val="22"/>
        </w:rPr>
        <w:t xml:space="preserve">  </w:t>
      </w:r>
      <w:r w:rsidR="00417BED" w:rsidRPr="00261942">
        <w:rPr>
          <w:rFonts w:eastAsia="Calibri" w:cs="Times New Roman"/>
          <w:color w:val="auto"/>
          <w:sz w:val="22"/>
          <w:szCs w:val="22"/>
        </w:rPr>
        <w:t>There were no other conditions within the Board’s scope of review for consideration.</w:t>
      </w:r>
    </w:p>
    <w:p w:rsidR="00AD2379" w:rsidRPr="00261942" w:rsidRDefault="00AD2379" w:rsidP="00BF0E94">
      <w:pPr>
        <w:pBdr>
          <w:bottom w:val="single" w:sz="12" w:space="1" w:color="auto"/>
        </w:pBdr>
        <w:tabs>
          <w:tab w:val="left" w:pos="288"/>
          <w:tab w:val="left" w:pos="4752"/>
        </w:tabs>
        <w:jc w:val="both"/>
        <w:rPr>
          <w:color w:val="auto"/>
          <w:sz w:val="22"/>
          <w:szCs w:val="22"/>
          <w:highlight w:val="magenta"/>
        </w:rPr>
      </w:pPr>
    </w:p>
    <w:p w:rsidR="00AD2379" w:rsidRPr="00261942" w:rsidRDefault="00AD2379" w:rsidP="006364ED">
      <w:pPr>
        <w:jc w:val="left"/>
        <w:rPr>
          <w:color w:val="auto"/>
          <w:sz w:val="22"/>
          <w:szCs w:val="22"/>
          <w:highlight w:val="magenta"/>
        </w:rPr>
      </w:pPr>
    </w:p>
    <w:p w:rsidR="00565636" w:rsidRPr="00261942" w:rsidRDefault="00AD2379" w:rsidP="009A395D">
      <w:pPr>
        <w:jc w:val="both"/>
        <w:rPr>
          <w:rFonts w:eastAsia="Calibri" w:cs="Times New Roman"/>
          <w:color w:val="auto"/>
          <w:sz w:val="22"/>
          <w:szCs w:val="22"/>
        </w:rPr>
      </w:pPr>
      <w:r w:rsidRPr="00261942">
        <w:rPr>
          <w:color w:val="auto"/>
          <w:sz w:val="22"/>
          <w:szCs w:val="22"/>
          <w:u w:val="single"/>
        </w:rPr>
        <w:t>RECOMMENDATION</w:t>
      </w:r>
      <w:r w:rsidRPr="00261942">
        <w:rPr>
          <w:color w:val="auto"/>
          <w:sz w:val="22"/>
          <w:szCs w:val="22"/>
        </w:rPr>
        <w:t xml:space="preserve">: </w:t>
      </w:r>
      <w:r w:rsidR="006B690F" w:rsidRPr="00261942">
        <w:rPr>
          <w:color w:val="auto"/>
          <w:sz w:val="22"/>
          <w:szCs w:val="22"/>
        </w:rPr>
        <w:t xml:space="preserve"> </w:t>
      </w:r>
      <w:r w:rsidR="00565636" w:rsidRPr="00261942">
        <w:rPr>
          <w:rFonts w:eastAsia="Calibri" w:cs="Times New Roman"/>
          <w:color w:val="auto"/>
          <w:sz w:val="22"/>
          <w:szCs w:val="22"/>
        </w:rPr>
        <w:t>The Board recommends that the CI’s prior determination be modified as follows</w:t>
      </w:r>
      <w:r w:rsidR="00417BED" w:rsidRPr="00261942">
        <w:rPr>
          <w:rFonts w:eastAsia="Calibri" w:cs="Times New Roman"/>
          <w:color w:val="auto"/>
          <w:sz w:val="22"/>
          <w:szCs w:val="22"/>
        </w:rPr>
        <w:t>;</w:t>
      </w:r>
      <w:r w:rsidR="00565636" w:rsidRPr="00261942">
        <w:rPr>
          <w:rFonts w:eastAsia="Calibri" w:cs="Times New Roman"/>
          <w:color w:val="auto"/>
          <w:sz w:val="22"/>
          <w:szCs w:val="22"/>
        </w:rPr>
        <w:t xml:space="preserve"> and</w:t>
      </w:r>
      <w:r w:rsidR="00417BED" w:rsidRPr="00261942">
        <w:rPr>
          <w:rFonts w:eastAsia="Calibri" w:cs="Times New Roman"/>
          <w:color w:val="auto"/>
          <w:sz w:val="22"/>
          <w:szCs w:val="22"/>
        </w:rPr>
        <w:t>,</w:t>
      </w:r>
      <w:r w:rsidR="00565636" w:rsidRPr="00261942">
        <w:rPr>
          <w:rFonts w:eastAsia="Calibri" w:cs="Times New Roman"/>
          <w:color w:val="auto"/>
          <w:sz w:val="22"/>
          <w:szCs w:val="22"/>
        </w:rPr>
        <w:t xml:space="preserve"> that the discharge with severance pay be recharacterized to reflect permanent disability retirement, effective as of the date of his</w:t>
      </w:r>
      <w:r w:rsidR="00417BED" w:rsidRPr="00261942">
        <w:rPr>
          <w:rFonts w:eastAsia="Calibri" w:cs="Times New Roman"/>
          <w:color w:val="auto"/>
          <w:sz w:val="22"/>
          <w:szCs w:val="22"/>
        </w:rPr>
        <w:t xml:space="preserve"> prior medical separation:</w:t>
      </w:r>
    </w:p>
    <w:p w:rsidR="00AD2379" w:rsidRPr="00261942" w:rsidRDefault="00AD2379" w:rsidP="00B22D42">
      <w:pPr>
        <w:jc w:val="both"/>
        <w:rPr>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02"/>
        <w:gridCol w:w="2196"/>
        <w:gridCol w:w="1026"/>
      </w:tblGrid>
      <w:tr w:rsidR="00AD2379" w:rsidRPr="00261942" w:rsidTr="00BE78BD">
        <w:trPr>
          <w:trHeight w:val="233"/>
          <w:jc w:val="center"/>
        </w:trPr>
        <w:tc>
          <w:tcPr>
            <w:tcW w:w="6102" w:type="dxa"/>
            <w:shd w:val="clear" w:color="auto" w:fill="D9D9D9"/>
            <w:vAlign w:val="center"/>
          </w:tcPr>
          <w:p w:rsidR="00AD2379" w:rsidRPr="00261942" w:rsidRDefault="00AD2379" w:rsidP="006B690F">
            <w:pPr>
              <w:tabs>
                <w:tab w:val="left" w:pos="288"/>
                <w:tab w:val="left" w:pos="4752"/>
              </w:tabs>
              <w:rPr>
                <w:b/>
                <w:color w:val="auto"/>
                <w:sz w:val="22"/>
                <w:szCs w:val="22"/>
              </w:rPr>
            </w:pPr>
            <w:r w:rsidRPr="00261942">
              <w:rPr>
                <w:b/>
                <w:color w:val="auto"/>
                <w:sz w:val="22"/>
                <w:szCs w:val="22"/>
              </w:rPr>
              <w:t>UNFITTING CONDITION</w:t>
            </w:r>
          </w:p>
        </w:tc>
        <w:tc>
          <w:tcPr>
            <w:tcW w:w="2196" w:type="dxa"/>
            <w:shd w:val="clear" w:color="auto" w:fill="D9D9D9"/>
            <w:vAlign w:val="center"/>
          </w:tcPr>
          <w:p w:rsidR="00AD2379" w:rsidRPr="00261942" w:rsidRDefault="00AD2379" w:rsidP="006B690F">
            <w:pPr>
              <w:tabs>
                <w:tab w:val="left" w:pos="288"/>
                <w:tab w:val="left" w:pos="4752"/>
              </w:tabs>
              <w:rPr>
                <w:b/>
                <w:color w:val="auto"/>
                <w:sz w:val="22"/>
                <w:szCs w:val="22"/>
              </w:rPr>
            </w:pPr>
            <w:r w:rsidRPr="00261942">
              <w:rPr>
                <w:b/>
                <w:color w:val="auto"/>
                <w:sz w:val="22"/>
                <w:szCs w:val="22"/>
              </w:rPr>
              <w:t>VASRD CODE</w:t>
            </w:r>
          </w:p>
        </w:tc>
        <w:tc>
          <w:tcPr>
            <w:tcW w:w="1026" w:type="dxa"/>
            <w:shd w:val="clear" w:color="auto" w:fill="D9D9D9"/>
            <w:vAlign w:val="center"/>
          </w:tcPr>
          <w:p w:rsidR="00AD2379" w:rsidRPr="00261942" w:rsidRDefault="00AD2379" w:rsidP="006B690F">
            <w:pPr>
              <w:tabs>
                <w:tab w:val="left" w:pos="288"/>
                <w:tab w:val="left" w:pos="4752"/>
              </w:tabs>
              <w:rPr>
                <w:b/>
                <w:color w:val="auto"/>
                <w:sz w:val="22"/>
                <w:szCs w:val="22"/>
              </w:rPr>
            </w:pPr>
            <w:r w:rsidRPr="00261942">
              <w:rPr>
                <w:b/>
                <w:color w:val="auto"/>
                <w:sz w:val="22"/>
                <w:szCs w:val="22"/>
              </w:rPr>
              <w:t>RATING</w:t>
            </w:r>
          </w:p>
        </w:tc>
      </w:tr>
      <w:tr w:rsidR="00AD2379" w:rsidRPr="00261942" w:rsidTr="00BE78BD">
        <w:trPr>
          <w:jc w:val="center"/>
        </w:trPr>
        <w:tc>
          <w:tcPr>
            <w:tcW w:w="6102" w:type="dxa"/>
            <w:vAlign w:val="center"/>
          </w:tcPr>
          <w:p w:rsidR="00AD2379" w:rsidRPr="00261942" w:rsidRDefault="00725C13" w:rsidP="00725C13">
            <w:pPr>
              <w:tabs>
                <w:tab w:val="left" w:pos="288"/>
                <w:tab w:val="left" w:pos="4752"/>
              </w:tabs>
              <w:jc w:val="left"/>
              <w:rPr>
                <w:b/>
                <w:color w:val="auto"/>
                <w:sz w:val="22"/>
                <w:szCs w:val="22"/>
              </w:rPr>
            </w:pPr>
            <w:r w:rsidRPr="00261942">
              <w:rPr>
                <w:color w:val="auto"/>
                <w:sz w:val="22"/>
                <w:szCs w:val="22"/>
              </w:rPr>
              <w:t>Chronic Low Back Pain, with L4-5 Herniated Pulposus</w:t>
            </w:r>
          </w:p>
        </w:tc>
        <w:tc>
          <w:tcPr>
            <w:tcW w:w="2196" w:type="dxa"/>
            <w:vAlign w:val="center"/>
          </w:tcPr>
          <w:p w:rsidR="00AD2379" w:rsidRPr="00261942" w:rsidRDefault="00BE78BD" w:rsidP="006B690F">
            <w:pPr>
              <w:tabs>
                <w:tab w:val="left" w:pos="288"/>
                <w:tab w:val="left" w:pos="4752"/>
              </w:tabs>
              <w:rPr>
                <w:color w:val="auto"/>
                <w:sz w:val="22"/>
                <w:szCs w:val="22"/>
                <w:highlight w:val="yellow"/>
              </w:rPr>
            </w:pPr>
            <w:r w:rsidRPr="00261942">
              <w:rPr>
                <w:color w:val="auto"/>
                <w:sz w:val="22"/>
                <w:szCs w:val="22"/>
              </w:rPr>
              <w:t>5293-5299-5295</w:t>
            </w:r>
          </w:p>
        </w:tc>
        <w:tc>
          <w:tcPr>
            <w:tcW w:w="1026" w:type="dxa"/>
            <w:vAlign w:val="center"/>
          </w:tcPr>
          <w:p w:rsidR="00AD2379" w:rsidRPr="00261942" w:rsidRDefault="00BE78BD" w:rsidP="006B690F">
            <w:pPr>
              <w:tabs>
                <w:tab w:val="left" w:pos="288"/>
                <w:tab w:val="left" w:pos="4752"/>
              </w:tabs>
              <w:rPr>
                <w:color w:val="auto"/>
                <w:sz w:val="22"/>
                <w:szCs w:val="22"/>
                <w:highlight w:val="yellow"/>
              </w:rPr>
            </w:pPr>
            <w:r w:rsidRPr="00261942">
              <w:rPr>
                <w:color w:val="auto"/>
                <w:sz w:val="22"/>
                <w:szCs w:val="22"/>
              </w:rPr>
              <w:t>1</w:t>
            </w:r>
            <w:r w:rsidR="00AD2379" w:rsidRPr="00261942">
              <w:rPr>
                <w:color w:val="auto"/>
                <w:sz w:val="22"/>
                <w:szCs w:val="22"/>
              </w:rPr>
              <w:t>0%</w:t>
            </w:r>
          </w:p>
        </w:tc>
      </w:tr>
      <w:tr w:rsidR="00725C13" w:rsidRPr="00261942" w:rsidTr="00BE78BD">
        <w:trPr>
          <w:jc w:val="center"/>
        </w:trPr>
        <w:tc>
          <w:tcPr>
            <w:tcW w:w="6102" w:type="dxa"/>
            <w:vAlign w:val="center"/>
          </w:tcPr>
          <w:p w:rsidR="00725C13" w:rsidRPr="00261942" w:rsidRDefault="00725C13" w:rsidP="00725C13">
            <w:pPr>
              <w:tabs>
                <w:tab w:val="left" w:pos="288"/>
                <w:tab w:val="left" w:pos="4752"/>
              </w:tabs>
              <w:jc w:val="left"/>
              <w:rPr>
                <w:color w:val="auto"/>
                <w:sz w:val="22"/>
                <w:szCs w:val="22"/>
              </w:rPr>
            </w:pPr>
            <w:r w:rsidRPr="00261942">
              <w:rPr>
                <w:color w:val="auto"/>
                <w:sz w:val="22"/>
                <w:szCs w:val="22"/>
              </w:rPr>
              <w:t>Obstructive Sleep Apnea</w:t>
            </w:r>
          </w:p>
        </w:tc>
        <w:tc>
          <w:tcPr>
            <w:tcW w:w="2196" w:type="dxa"/>
            <w:vAlign w:val="center"/>
          </w:tcPr>
          <w:p w:rsidR="00725C13" w:rsidRPr="00261942" w:rsidRDefault="00725C13" w:rsidP="006B690F">
            <w:pPr>
              <w:tabs>
                <w:tab w:val="left" w:pos="288"/>
                <w:tab w:val="left" w:pos="4752"/>
              </w:tabs>
              <w:rPr>
                <w:color w:val="auto"/>
                <w:sz w:val="22"/>
                <w:szCs w:val="22"/>
              </w:rPr>
            </w:pPr>
            <w:r w:rsidRPr="00261942">
              <w:rPr>
                <w:color w:val="auto"/>
                <w:sz w:val="22"/>
                <w:szCs w:val="22"/>
              </w:rPr>
              <w:t>6847</w:t>
            </w:r>
          </w:p>
        </w:tc>
        <w:tc>
          <w:tcPr>
            <w:tcW w:w="1026" w:type="dxa"/>
            <w:vAlign w:val="center"/>
          </w:tcPr>
          <w:p w:rsidR="00725C13" w:rsidRPr="00261942" w:rsidRDefault="00725C13" w:rsidP="006B690F">
            <w:pPr>
              <w:tabs>
                <w:tab w:val="left" w:pos="288"/>
                <w:tab w:val="left" w:pos="4752"/>
              </w:tabs>
              <w:rPr>
                <w:color w:val="auto"/>
                <w:sz w:val="22"/>
                <w:szCs w:val="22"/>
              </w:rPr>
            </w:pPr>
            <w:r w:rsidRPr="00261942">
              <w:rPr>
                <w:color w:val="auto"/>
                <w:sz w:val="22"/>
                <w:szCs w:val="22"/>
              </w:rPr>
              <w:t>50%</w:t>
            </w:r>
          </w:p>
        </w:tc>
      </w:tr>
      <w:tr w:rsidR="00AD2379" w:rsidRPr="00261942" w:rsidTr="00BE78BD">
        <w:tblPrEx>
          <w:tblLook w:val="0000"/>
        </w:tblPrEx>
        <w:trPr>
          <w:gridBefore w:val="1"/>
          <w:wBefore w:w="6102" w:type="dxa"/>
          <w:trHeight w:val="152"/>
          <w:jc w:val="center"/>
        </w:trPr>
        <w:tc>
          <w:tcPr>
            <w:tcW w:w="2196" w:type="dxa"/>
            <w:tcBorders>
              <w:left w:val="single" w:sz="4" w:space="0" w:color="auto"/>
            </w:tcBorders>
            <w:shd w:val="clear" w:color="auto" w:fill="D9D9D9"/>
            <w:vAlign w:val="center"/>
          </w:tcPr>
          <w:p w:rsidR="00AD2379" w:rsidRPr="00261942" w:rsidRDefault="00AD2379" w:rsidP="006B690F">
            <w:pPr>
              <w:tabs>
                <w:tab w:val="left" w:pos="288"/>
                <w:tab w:val="left" w:pos="4752"/>
              </w:tabs>
              <w:rPr>
                <w:b/>
                <w:color w:val="auto"/>
                <w:sz w:val="22"/>
                <w:szCs w:val="22"/>
              </w:rPr>
            </w:pPr>
            <w:r w:rsidRPr="00261942">
              <w:rPr>
                <w:b/>
                <w:color w:val="auto"/>
                <w:sz w:val="22"/>
                <w:szCs w:val="22"/>
              </w:rPr>
              <w:t>COMBINED</w:t>
            </w:r>
          </w:p>
        </w:tc>
        <w:tc>
          <w:tcPr>
            <w:tcW w:w="1026" w:type="dxa"/>
            <w:shd w:val="clear" w:color="auto" w:fill="D9D9D9"/>
            <w:vAlign w:val="center"/>
          </w:tcPr>
          <w:p w:rsidR="00AD2379" w:rsidRPr="00261942" w:rsidRDefault="00BE78BD" w:rsidP="006B690F">
            <w:pPr>
              <w:tabs>
                <w:tab w:val="left" w:pos="288"/>
                <w:tab w:val="left" w:pos="4752"/>
              </w:tabs>
              <w:rPr>
                <w:b/>
                <w:color w:val="auto"/>
                <w:sz w:val="22"/>
                <w:szCs w:val="22"/>
              </w:rPr>
            </w:pPr>
            <w:r w:rsidRPr="00261942">
              <w:rPr>
                <w:b/>
                <w:color w:val="auto"/>
                <w:sz w:val="22"/>
                <w:szCs w:val="22"/>
              </w:rPr>
              <w:t>6</w:t>
            </w:r>
            <w:r w:rsidR="00AD2379" w:rsidRPr="00261942">
              <w:rPr>
                <w:b/>
                <w:color w:val="auto"/>
                <w:sz w:val="22"/>
                <w:szCs w:val="22"/>
              </w:rPr>
              <w:t>0%</w:t>
            </w:r>
          </w:p>
        </w:tc>
      </w:tr>
    </w:tbl>
    <w:p w:rsidR="00AD2379" w:rsidRPr="00261942" w:rsidRDefault="00AD2379" w:rsidP="006B690F">
      <w:pPr>
        <w:pBdr>
          <w:bottom w:val="single" w:sz="12" w:space="1" w:color="auto"/>
        </w:pBdr>
        <w:tabs>
          <w:tab w:val="left" w:pos="288"/>
          <w:tab w:val="left" w:pos="4752"/>
        </w:tabs>
        <w:jc w:val="both"/>
        <w:rPr>
          <w:color w:val="auto"/>
          <w:sz w:val="22"/>
          <w:szCs w:val="22"/>
        </w:rPr>
      </w:pPr>
    </w:p>
    <w:p w:rsidR="00AD2379" w:rsidRPr="00261942" w:rsidRDefault="00AD2379" w:rsidP="006B690F">
      <w:pPr>
        <w:jc w:val="both"/>
        <w:rPr>
          <w:color w:val="auto"/>
          <w:sz w:val="22"/>
          <w:szCs w:val="22"/>
        </w:rPr>
      </w:pPr>
    </w:p>
    <w:p w:rsidR="00AD2379" w:rsidRPr="00261942" w:rsidRDefault="00AD2379" w:rsidP="006B690F">
      <w:pPr>
        <w:tabs>
          <w:tab w:val="left" w:pos="288"/>
          <w:tab w:val="left" w:pos="4752"/>
        </w:tabs>
        <w:jc w:val="both"/>
        <w:rPr>
          <w:color w:val="auto"/>
          <w:sz w:val="22"/>
          <w:szCs w:val="22"/>
        </w:rPr>
      </w:pPr>
      <w:r w:rsidRPr="00261942">
        <w:rPr>
          <w:color w:val="auto"/>
          <w:sz w:val="22"/>
          <w:szCs w:val="22"/>
        </w:rPr>
        <w:t>The following documentary evidence was considered:</w:t>
      </w:r>
    </w:p>
    <w:p w:rsidR="005144A7" w:rsidRPr="00261942" w:rsidRDefault="005144A7" w:rsidP="006B690F">
      <w:pPr>
        <w:tabs>
          <w:tab w:val="left" w:pos="288"/>
          <w:tab w:val="left" w:pos="4752"/>
        </w:tabs>
        <w:jc w:val="both"/>
        <w:rPr>
          <w:color w:val="auto"/>
          <w:sz w:val="22"/>
          <w:szCs w:val="22"/>
        </w:rPr>
      </w:pPr>
    </w:p>
    <w:p w:rsidR="00AD2379" w:rsidRPr="00261942" w:rsidRDefault="00295799" w:rsidP="006B690F">
      <w:pPr>
        <w:tabs>
          <w:tab w:val="left" w:pos="288"/>
          <w:tab w:val="left" w:pos="4752"/>
        </w:tabs>
        <w:jc w:val="both"/>
        <w:rPr>
          <w:color w:val="auto"/>
          <w:sz w:val="22"/>
          <w:szCs w:val="22"/>
        </w:rPr>
      </w:pPr>
      <w:r w:rsidRPr="00261942">
        <w:rPr>
          <w:color w:val="auto"/>
          <w:sz w:val="22"/>
          <w:szCs w:val="22"/>
        </w:rPr>
        <w:t>Exhibit A.  DD Form 294, dated 20120605</w:t>
      </w:r>
      <w:r w:rsidR="00ED7820" w:rsidRPr="00261942">
        <w:rPr>
          <w:color w:val="auto"/>
          <w:sz w:val="22"/>
          <w:szCs w:val="22"/>
        </w:rPr>
        <w:t>, w/atchs</w:t>
      </w:r>
    </w:p>
    <w:p w:rsidR="00AD2379" w:rsidRPr="00261942" w:rsidRDefault="00AD2379" w:rsidP="006B690F">
      <w:pPr>
        <w:tabs>
          <w:tab w:val="left" w:pos="288"/>
          <w:tab w:val="left" w:pos="4752"/>
        </w:tabs>
        <w:jc w:val="both"/>
        <w:rPr>
          <w:color w:val="auto"/>
          <w:sz w:val="22"/>
          <w:szCs w:val="22"/>
        </w:rPr>
      </w:pPr>
      <w:r w:rsidRPr="00261942">
        <w:rPr>
          <w:color w:val="auto"/>
          <w:sz w:val="22"/>
          <w:szCs w:val="22"/>
        </w:rPr>
        <w:t>Exhib</w:t>
      </w:r>
      <w:r w:rsidR="00ED7820" w:rsidRPr="00261942">
        <w:rPr>
          <w:color w:val="auto"/>
          <w:sz w:val="22"/>
          <w:szCs w:val="22"/>
        </w:rPr>
        <w:t>it B.  Service Treatment Record</w:t>
      </w:r>
    </w:p>
    <w:p w:rsidR="00AD2379" w:rsidRPr="00261942" w:rsidRDefault="00AD2379" w:rsidP="006B690F">
      <w:pPr>
        <w:tabs>
          <w:tab w:val="left" w:pos="288"/>
          <w:tab w:val="left" w:pos="4752"/>
        </w:tabs>
        <w:jc w:val="both"/>
        <w:rPr>
          <w:color w:val="auto"/>
          <w:sz w:val="22"/>
          <w:szCs w:val="22"/>
        </w:rPr>
      </w:pPr>
      <w:r w:rsidRPr="00261942">
        <w:rPr>
          <w:color w:val="auto"/>
          <w:sz w:val="22"/>
          <w:szCs w:val="22"/>
        </w:rPr>
        <w:t>Exhibit C.  Department of Veterans</w:t>
      </w:r>
      <w:r w:rsidR="00ED7820" w:rsidRPr="00261942">
        <w:rPr>
          <w:color w:val="auto"/>
          <w:sz w:val="22"/>
          <w:szCs w:val="22"/>
        </w:rPr>
        <w:t>’ Affairs Treatment Record</w:t>
      </w:r>
    </w:p>
    <w:p w:rsidR="00AD2379" w:rsidRPr="00261942" w:rsidRDefault="00AD2379" w:rsidP="006B690F">
      <w:pPr>
        <w:tabs>
          <w:tab w:val="left" w:pos="288"/>
          <w:tab w:val="left" w:pos="4752"/>
        </w:tabs>
        <w:jc w:val="both"/>
        <w:rPr>
          <w:color w:val="auto"/>
          <w:sz w:val="22"/>
          <w:szCs w:val="22"/>
        </w:rPr>
      </w:pPr>
    </w:p>
    <w:p w:rsidR="00AD2379" w:rsidRPr="00261942" w:rsidRDefault="00AD2379" w:rsidP="006B690F">
      <w:pPr>
        <w:tabs>
          <w:tab w:val="left" w:pos="288"/>
          <w:tab w:val="left" w:pos="4752"/>
        </w:tabs>
        <w:jc w:val="both"/>
        <w:rPr>
          <w:color w:val="auto"/>
          <w:sz w:val="22"/>
          <w:szCs w:val="22"/>
        </w:rPr>
      </w:pPr>
    </w:p>
    <w:p w:rsidR="00AD2379" w:rsidRPr="00261942" w:rsidRDefault="00AD2379" w:rsidP="006B690F">
      <w:pPr>
        <w:tabs>
          <w:tab w:val="left" w:pos="288"/>
          <w:tab w:val="left" w:pos="4752"/>
        </w:tabs>
        <w:jc w:val="both"/>
        <w:rPr>
          <w:color w:val="auto"/>
          <w:sz w:val="22"/>
          <w:szCs w:val="22"/>
        </w:rPr>
      </w:pPr>
    </w:p>
    <w:p w:rsidR="00AD2379" w:rsidRPr="00261942" w:rsidRDefault="00AD2379" w:rsidP="006B690F">
      <w:pPr>
        <w:tabs>
          <w:tab w:val="left" w:pos="288"/>
          <w:tab w:val="left" w:pos="4752"/>
        </w:tabs>
        <w:jc w:val="both"/>
        <w:rPr>
          <w:color w:val="auto"/>
          <w:sz w:val="22"/>
          <w:szCs w:val="22"/>
        </w:rPr>
      </w:pPr>
    </w:p>
    <w:p w:rsidR="00AD2379" w:rsidRPr="00261942" w:rsidRDefault="00AD2379" w:rsidP="006B690F">
      <w:pPr>
        <w:tabs>
          <w:tab w:val="left" w:pos="0"/>
          <w:tab w:val="left" w:pos="4320"/>
        </w:tabs>
        <w:jc w:val="both"/>
        <w:rPr>
          <w:color w:val="auto"/>
          <w:sz w:val="22"/>
          <w:szCs w:val="22"/>
        </w:rPr>
      </w:pPr>
      <w:r w:rsidRPr="00261942">
        <w:rPr>
          <w:color w:val="auto"/>
          <w:sz w:val="22"/>
          <w:szCs w:val="22"/>
        </w:rPr>
        <w:tab/>
        <w:t xml:space="preserve">           </w:t>
      </w:r>
      <w:r w:rsidR="00A75265">
        <w:rPr>
          <w:color w:val="auto"/>
          <w:sz w:val="22"/>
          <w:szCs w:val="22"/>
        </w:rPr>
        <w:t>XXXXXXXXXXXXXXXXXXXXX</w:t>
      </w:r>
    </w:p>
    <w:p w:rsidR="00AD2379" w:rsidRPr="00261942" w:rsidRDefault="00AD2379" w:rsidP="006B690F">
      <w:pPr>
        <w:tabs>
          <w:tab w:val="left" w:pos="0"/>
          <w:tab w:val="left" w:pos="4320"/>
        </w:tabs>
        <w:jc w:val="both"/>
        <w:rPr>
          <w:color w:val="auto"/>
          <w:sz w:val="22"/>
          <w:szCs w:val="22"/>
        </w:rPr>
      </w:pPr>
      <w:r w:rsidRPr="00261942">
        <w:rPr>
          <w:color w:val="auto"/>
          <w:sz w:val="22"/>
          <w:szCs w:val="22"/>
        </w:rPr>
        <w:tab/>
        <w:t xml:space="preserve">           President</w:t>
      </w:r>
    </w:p>
    <w:p w:rsidR="00A75265" w:rsidRDefault="00AD2379" w:rsidP="00BF0E94">
      <w:pPr>
        <w:tabs>
          <w:tab w:val="left" w:pos="0"/>
          <w:tab w:val="left" w:pos="4320"/>
        </w:tabs>
        <w:jc w:val="both"/>
        <w:rPr>
          <w:color w:val="auto"/>
          <w:sz w:val="22"/>
          <w:szCs w:val="22"/>
        </w:rPr>
      </w:pPr>
      <w:r w:rsidRPr="00261942">
        <w:rPr>
          <w:color w:val="auto"/>
          <w:sz w:val="22"/>
          <w:szCs w:val="22"/>
        </w:rPr>
        <w:tab/>
        <w:t xml:space="preserve">           Physical Disability Board of Review</w:t>
      </w:r>
    </w:p>
    <w:p w:rsidR="00A75265" w:rsidRDefault="00A75265">
      <w:pPr>
        <w:spacing w:line="240" w:lineRule="auto"/>
        <w:jc w:val="left"/>
        <w:rPr>
          <w:color w:val="auto"/>
          <w:sz w:val="22"/>
          <w:szCs w:val="22"/>
        </w:rPr>
      </w:pPr>
      <w:r>
        <w:rPr>
          <w:color w:val="auto"/>
          <w:sz w:val="22"/>
          <w:szCs w:val="22"/>
        </w:rPr>
        <w:br w:type="page"/>
      </w:r>
    </w:p>
    <w:p w:rsidR="00A75265" w:rsidRDefault="00A75265" w:rsidP="00A75265">
      <w:pPr>
        <w:pStyle w:val="Header"/>
        <w:tabs>
          <w:tab w:val="left" w:pos="720"/>
        </w:tabs>
        <w:jc w:val="left"/>
      </w:pPr>
      <w:r>
        <w:lastRenderedPageBreak/>
        <w:t>SFMR-RB</w:t>
      </w:r>
      <w:r>
        <w:tab/>
      </w:r>
      <w:r>
        <w:tab/>
      </w:r>
      <w:r>
        <w:tab/>
      </w:r>
      <w:r>
        <w:tab/>
      </w:r>
      <w:r>
        <w:tab/>
      </w:r>
      <w:r>
        <w:tab/>
      </w:r>
      <w:r>
        <w:tab/>
      </w:r>
      <w:r>
        <w:tab/>
      </w:r>
      <w:r>
        <w:tab/>
      </w:r>
    </w:p>
    <w:p w:rsidR="00A75265" w:rsidRDefault="00A75265" w:rsidP="00A75265">
      <w:pPr>
        <w:pStyle w:val="Header"/>
        <w:tabs>
          <w:tab w:val="left" w:pos="720"/>
        </w:tabs>
        <w:jc w:val="left"/>
      </w:pPr>
    </w:p>
    <w:p w:rsidR="00A75265" w:rsidRDefault="00A75265" w:rsidP="00A75265">
      <w:pPr>
        <w:jc w:val="left"/>
      </w:pPr>
    </w:p>
    <w:p w:rsidR="00A75265" w:rsidRDefault="00A75265" w:rsidP="00A75265">
      <w:pPr>
        <w:jc w:val="left"/>
      </w:pPr>
      <w:r>
        <w:t xml:space="preserve">MEMORANDUM FOR Commander, US Army Physical Disability Agency </w:t>
      </w:r>
    </w:p>
    <w:p w:rsidR="00A75265" w:rsidRDefault="00A75265" w:rsidP="00A75265">
      <w:pPr>
        <w:jc w:val="left"/>
      </w:pPr>
      <w:r>
        <w:t xml:space="preserve">(TAPD-ZB </w:t>
      </w:r>
      <w:proofErr w:type="gramStart"/>
      <w:r>
        <w:t>/  )</w:t>
      </w:r>
      <w:proofErr w:type="gramEnd"/>
      <w:r>
        <w:t>, 2900 Crystal Drive, Suite 300, Arlington, VA  22202-3557</w:t>
      </w:r>
    </w:p>
    <w:p w:rsidR="00A75265" w:rsidRDefault="00A75265" w:rsidP="00A75265">
      <w:pPr>
        <w:jc w:val="left"/>
      </w:pPr>
    </w:p>
    <w:p w:rsidR="00A75265" w:rsidRDefault="00A75265" w:rsidP="00A75265">
      <w:pPr>
        <w:jc w:val="left"/>
      </w:pPr>
    </w:p>
    <w:p w:rsidR="00A75265" w:rsidRDefault="00A75265" w:rsidP="00A75265">
      <w:pPr>
        <w:ind w:right="-180"/>
        <w:jc w:val="left"/>
      </w:pPr>
      <w:r>
        <w:t xml:space="preserve">SUBJECT:  Department of Defense Physical Disability Board of Review Recommendation </w:t>
      </w:r>
    </w:p>
    <w:p w:rsidR="00A75265" w:rsidRDefault="00A75265" w:rsidP="00A75265">
      <w:pPr>
        <w:pStyle w:val="Header"/>
        <w:tabs>
          <w:tab w:val="left" w:pos="720"/>
        </w:tabs>
        <w:jc w:val="left"/>
      </w:pPr>
      <w:proofErr w:type="gramStart"/>
      <w:r>
        <w:t>for</w:t>
      </w:r>
      <w:proofErr w:type="gramEnd"/>
      <w:r>
        <w:t xml:space="preserve"> XXXXXXXXXXXXXXXXXX, AR20120020017 (PD201200540)</w:t>
      </w:r>
    </w:p>
    <w:p w:rsidR="00A75265" w:rsidRDefault="00A75265" w:rsidP="00A75265">
      <w:pPr>
        <w:pStyle w:val="Header"/>
        <w:tabs>
          <w:tab w:val="left" w:pos="720"/>
        </w:tabs>
        <w:jc w:val="left"/>
      </w:pPr>
    </w:p>
    <w:p w:rsidR="00A75265" w:rsidRDefault="00A75265" w:rsidP="00A75265">
      <w:pPr>
        <w:jc w:val="left"/>
      </w:pPr>
    </w:p>
    <w:p w:rsidR="00A75265" w:rsidRDefault="00A75265" w:rsidP="00A75265">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60% effective the date of the individual’s original medical separation for disability with severance pay.  </w:t>
      </w:r>
    </w:p>
    <w:p w:rsidR="00A75265" w:rsidRDefault="00A75265" w:rsidP="00A75265">
      <w:pPr>
        <w:jc w:val="left"/>
      </w:pPr>
    </w:p>
    <w:p w:rsidR="00A75265" w:rsidRDefault="00A75265" w:rsidP="00A75265">
      <w:pPr>
        <w:jc w:val="left"/>
      </w:pPr>
      <w:r>
        <w:t>2.  I direct that all the Department of the Army records of the individual concerned be corrected accordingly no later than 120 days from the date of this memorandum:</w:t>
      </w:r>
    </w:p>
    <w:p w:rsidR="00A75265" w:rsidRDefault="00A75265" w:rsidP="00A75265">
      <w:pPr>
        <w:jc w:val="left"/>
      </w:pPr>
    </w:p>
    <w:p w:rsidR="00A75265" w:rsidRDefault="00A75265" w:rsidP="00A75265">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A75265" w:rsidRDefault="00A75265" w:rsidP="00A75265">
      <w:pPr>
        <w:jc w:val="left"/>
      </w:pPr>
    </w:p>
    <w:p w:rsidR="00A75265" w:rsidRDefault="00A75265" w:rsidP="00A75265">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75265" w:rsidRDefault="00A75265" w:rsidP="00A75265">
      <w:pPr>
        <w:jc w:val="left"/>
      </w:pPr>
    </w:p>
    <w:p w:rsidR="00A75265" w:rsidRDefault="00A75265" w:rsidP="00A75265">
      <w:pPr>
        <w:jc w:val="left"/>
      </w:pPr>
      <w:r>
        <w:tab/>
      </w:r>
      <w:proofErr w:type="gramStart"/>
      <w:r>
        <w:t>c.  Adjusting</w:t>
      </w:r>
      <w:proofErr w:type="gramEnd"/>
      <w:r>
        <w:t xml:space="preserve"> pay and allowances accordingly.  Pay and allowance adjustment will account for recoupment of severance pay, and payment of permanent retired pay at 60% effective the date of the original medical separation for disability with severance pay.</w:t>
      </w:r>
    </w:p>
    <w:p w:rsidR="00A75265" w:rsidRDefault="00A75265" w:rsidP="00A75265">
      <w:pPr>
        <w:jc w:val="left"/>
      </w:pPr>
    </w:p>
    <w:p w:rsidR="00A75265" w:rsidRDefault="00A75265" w:rsidP="00A75265">
      <w:pPr>
        <w:jc w:val="left"/>
      </w:pPr>
      <w:r>
        <w:tab/>
      </w:r>
      <w:proofErr w:type="gramStart"/>
      <w:r>
        <w:t>d.  Affording</w:t>
      </w:r>
      <w:proofErr w:type="gramEnd"/>
      <w:r>
        <w:t xml:space="preserve"> the individual the opportunity to elect Survivor Benefit Plan (SBP) and medical TRICARE retiree options.</w:t>
      </w:r>
    </w:p>
    <w:p w:rsidR="00A75265" w:rsidRDefault="00A75265" w:rsidP="00A75265">
      <w:pPr>
        <w:jc w:val="left"/>
      </w:pPr>
    </w:p>
    <w:p w:rsidR="00A75265" w:rsidRDefault="00A75265" w:rsidP="00A75265">
      <w:pPr>
        <w:jc w:val="left"/>
      </w:pPr>
    </w:p>
    <w:p w:rsidR="00A75265" w:rsidRDefault="00A75265" w:rsidP="00A75265">
      <w:pPr>
        <w:jc w:val="left"/>
      </w:pPr>
    </w:p>
    <w:p w:rsidR="00A75265" w:rsidRDefault="00A75265" w:rsidP="00A75265">
      <w:pPr>
        <w:jc w:val="left"/>
      </w:pPr>
    </w:p>
    <w:p w:rsidR="00A75265" w:rsidRDefault="00A75265" w:rsidP="00A75265">
      <w:pPr>
        <w:jc w:val="left"/>
      </w:pPr>
    </w:p>
    <w:p w:rsidR="00A75265" w:rsidRDefault="00A75265" w:rsidP="00A75265">
      <w:pPr>
        <w:jc w:val="left"/>
      </w:pPr>
    </w:p>
    <w:p w:rsidR="00A75265" w:rsidRDefault="00A75265" w:rsidP="00A7526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75265" w:rsidRDefault="00A75265" w:rsidP="00A75265">
      <w:pPr>
        <w:jc w:val="left"/>
      </w:pPr>
    </w:p>
    <w:p w:rsidR="00A75265" w:rsidRDefault="00A75265" w:rsidP="00A75265">
      <w:pPr>
        <w:jc w:val="left"/>
      </w:pPr>
      <w:r>
        <w:t>BY ORDER OF THE SECRETARY OF THE ARMY:</w:t>
      </w:r>
    </w:p>
    <w:p w:rsidR="00A75265" w:rsidRDefault="00A75265" w:rsidP="00A75265">
      <w:pPr>
        <w:jc w:val="left"/>
      </w:pPr>
    </w:p>
    <w:p w:rsidR="00A75265" w:rsidRDefault="00A75265" w:rsidP="00A75265">
      <w:pPr>
        <w:jc w:val="left"/>
      </w:pPr>
    </w:p>
    <w:p w:rsidR="00A75265" w:rsidRDefault="00A75265" w:rsidP="00A75265">
      <w:pPr>
        <w:pStyle w:val="Header"/>
        <w:tabs>
          <w:tab w:val="left" w:pos="720"/>
        </w:tabs>
        <w:jc w:val="left"/>
      </w:pPr>
    </w:p>
    <w:p w:rsidR="00A75265" w:rsidRDefault="00A75265" w:rsidP="00A75265">
      <w:pPr>
        <w:jc w:val="left"/>
      </w:pPr>
    </w:p>
    <w:p w:rsidR="00A75265" w:rsidRDefault="00A75265" w:rsidP="00A75265">
      <w:pPr>
        <w:jc w:val="left"/>
      </w:pPr>
      <w:bookmarkStart w:id="1" w:name="OLE_LINK4"/>
      <w:bookmarkStart w:id="2" w:name="OLE_LINK3"/>
      <w:r>
        <w:t>Encl</w:t>
      </w:r>
      <w:r>
        <w:tab/>
      </w:r>
      <w:r>
        <w:tab/>
      </w:r>
      <w:r>
        <w:tab/>
      </w:r>
      <w:r>
        <w:tab/>
      </w:r>
      <w:r>
        <w:tab/>
      </w:r>
      <w:r>
        <w:tab/>
        <w:t xml:space="preserve">     XXXXXXXXXXXXXXXXXXXXXX</w:t>
      </w:r>
    </w:p>
    <w:p w:rsidR="00A75265" w:rsidRDefault="00A75265" w:rsidP="00A75265">
      <w:pPr>
        <w:jc w:val="left"/>
      </w:pPr>
      <w:r>
        <w:tab/>
      </w:r>
      <w:r>
        <w:tab/>
      </w:r>
      <w:r>
        <w:tab/>
      </w:r>
      <w:r>
        <w:tab/>
      </w:r>
      <w:r>
        <w:tab/>
      </w:r>
      <w:r>
        <w:tab/>
        <w:t xml:space="preserve">     Deputy Assistant Secretary</w:t>
      </w:r>
    </w:p>
    <w:p w:rsidR="00A75265" w:rsidRDefault="00A75265" w:rsidP="00A75265">
      <w:pPr>
        <w:jc w:val="left"/>
      </w:pPr>
      <w:r>
        <w:tab/>
      </w:r>
      <w:r>
        <w:tab/>
      </w:r>
      <w:r>
        <w:tab/>
      </w:r>
      <w:r>
        <w:tab/>
      </w:r>
      <w:r>
        <w:tab/>
      </w:r>
      <w:r>
        <w:tab/>
        <w:t xml:space="preserve">         (Army Review Boards)</w:t>
      </w:r>
      <w:bookmarkEnd w:id="1"/>
      <w:bookmarkEnd w:id="2"/>
    </w:p>
    <w:p w:rsidR="00A75265" w:rsidRDefault="00A75265" w:rsidP="00A75265">
      <w:pPr>
        <w:jc w:val="left"/>
      </w:pPr>
    </w:p>
    <w:p w:rsidR="00A75265" w:rsidRDefault="00A75265" w:rsidP="00A75265">
      <w:pPr>
        <w:jc w:val="left"/>
      </w:pPr>
      <w:r>
        <w:t xml:space="preserve">CF: </w:t>
      </w:r>
    </w:p>
    <w:p w:rsidR="00A75265" w:rsidRDefault="00A75265" w:rsidP="00A75265">
      <w:pPr>
        <w:jc w:val="left"/>
      </w:pPr>
      <w:r>
        <w:t xml:space="preserve">(  ) </w:t>
      </w:r>
      <w:proofErr w:type="spellStart"/>
      <w:proofErr w:type="gramStart"/>
      <w:r>
        <w:t>DoD</w:t>
      </w:r>
      <w:proofErr w:type="spellEnd"/>
      <w:proofErr w:type="gramEnd"/>
      <w:r>
        <w:t xml:space="preserve"> PDBR</w:t>
      </w:r>
    </w:p>
    <w:p w:rsidR="00A75265" w:rsidRDefault="00A75265" w:rsidP="00A75265">
      <w:pPr>
        <w:jc w:val="left"/>
      </w:pPr>
      <w:r>
        <w:t>(  ) DVA</w:t>
      </w:r>
    </w:p>
    <w:p w:rsidR="00DF3B06" w:rsidRPr="00261942" w:rsidRDefault="00DF3B06" w:rsidP="00A75265">
      <w:pPr>
        <w:tabs>
          <w:tab w:val="left" w:pos="0"/>
          <w:tab w:val="left" w:pos="4320"/>
        </w:tabs>
        <w:jc w:val="left"/>
        <w:rPr>
          <w:color w:val="auto"/>
          <w:sz w:val="22"/>
          <w:szCs w:val="22"/>
        </w:rPr>
      </w:pPr>
    </w:p>
    <w:sectPr w:rsidR="00DF3B06" w:rsidRPr="0026194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29" w:rsidRDefault="00702F29">
      <w:r>
        <w:separator/>
      </w:r>
    </w:p>
  </w:endnote>
  <w:endnote w:type="continuationSeparator" w:id="0">
    <w:p w:rsidR="00702F29" w:rsidRDefault="00702F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EB" w:rsidRPr="00374247" w:rsidRDefault="00760AEB" w:rsidP="00726F84">
    <w:pPr>
      <w:pStyle w:val="Footer"/>
      <w:ind w:firstLine="4320"/>
      <w:rPr>
        <w:color w:val="auto"/>
      </w:rPr>
    </w:pPr>
    <w:r w:rsidRPr="00374247">
      <w:rPr>
        <w:color w:val="auto"/>
      </w:rPr>
      <w:t xml:space="preserve">   </w:t>
    </w:r>
    <w:r w:rsidR="00AE0B89" w:rsidRPr="00AE0B89">
      <w:fldChar w:fldCharType="begin"/>
    </w:r>
    <w:r w:rsidR="00702F29">
      <w:instrText xml:space="preserve"> PAGE   \* MERGEFORMAT </w:instrText>
    </w:r>
    <w:r w:rsidR="00AE0B89" w:rsidRPr="00AE0B89">
      <w:fldChar w:fldCharType="separate"/>
    </w:r>
    <w:r w:rsidR="00A75265" w:rsidRPr="00A75265">
      <w:rPr>
        <w:noProof/>
        <w:color w:val="auto"/>
      </w:rPr>
      <w:t>5</w:t>
    </w:r>
    <w:r w:rsidR="00AE0B89">
      <w:rPr>
        <w:noProof/>
        <w:color w:val="auto"/>
      </w:rPr>
      <w:fldChar w:fldCharType="end"/>
    </w:r>
    <w:r w:rsidRPr="00295799">
      <w:rPr>
        <w:color w:val="auto"/>
      </w:rPr>
      <w:t xml:space="preserve">                                                           PD1200540</w:t>
    </w:r>
  </w:p>
  <w:p w:rsidR="00760AEB" w:rsidRPr="00684CE6" w:rsidRDefault="00760AE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29" w:rsidRDefault="00702F29">
      <w:r>
        <w:separator/>
      </w:r>
    </w:p>
  </w:footnote>
  <w:footnote w:type="continuationSeparator" w:id="0">
    <w:p w:rsidR="00702F29" w:rsidRDefault="00702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D69F6"/>
    <w:multiLevelType w:val="hybridMultilevel"/>
    <w:tmpl w:val="349CA848"/>
    <w:lvl w:ilvl="0" w:tplc="E604B7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12D66"/>
    <w:multiLevelType w:val="hybridMultilevel"/>
    <w:tmpl w:val="A75CF438"/>
    <w:lvl w:ilvl="0" w:tplc="94C244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3"/>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62BD"/>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4E05"/>
    <w:rsid w:val="000452D7"/>
    <w:rsid w:val="000456EF"/>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0265"/>
    <w:rsid w:val="00092619"/>
    <w:rsid w:val="00092C66"/>
    <w:rsid w:val="00092CC9"/>
    <w:rsid w:val="000949DD"/>
    <w:rsid w:val="00094E4F"/>
    <w:rsid w:val="000A2BCE"/>
    <w:rsid w:val="000A31E2"/>
    <w:rsid w:val="000A33C8"/>
    <w:rsid w:val="000A41E3"/>
    <w:rsid w:val="000A4AB4"/>
    <w:rsid w:val="000A4BBA"/>
    <w:rsid w:val="000A5071"/>
    <w:rsid w:val="000A73DA"/>
    <w:rsid w:val="000B0AD2"/>
    <w:rsid w:val="000B1022"/>
    <w:rsid w:val="000B1C9E"/>
    <w:rsid w:val="000B1DD1"/>
    <w:rsid w:val="000B2FB8"/>
    <w:rsid w:val="000B34E6"/>
    <w:rsid w:val="000B3927"/>
    <w:rsid w:val="000B471C"/>
    <w:rsid w:val="000B4C99"/>
    <w:rsid w:val="000B63CF"/>
    <w:rsid w:val="000B7BB6"/>
    <w:rsid w:val="000C06F6"/>
    <w:rsid w:val="000C15F8"/>
    <w:rsid w:val="000C1D34"/>
    <w:rsid w:val="000C2362"/>
    <w:rsid w:val="000C2FA8"/>
    <w:rsid w:val="000C3C13"/>
    <w:rsid w:val="000C4B15"/>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66B9"/>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AF8"/>
    <w:rsid w:val="00102B8D"/>
    <w:rsid w:val="00102DE1"/>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13F"/>
    <w:rsid w:val="001209BA"/>
    <w:rsid w:val="001211AF"/>
    <w:rsid w:val="001215DF"/>
    <w:rsid w:val="001219DF"/>
    <w:rsid w:val="0012220B"/>
    <w:rsid w:val="00122ABE"/>
    <w:rsid w:val="00122FC5"/>
    <w:rsid w:val="001231DC"/>
    <w:rsid w:val="0012453A"/>
    <w:rsid w:val="0012489B"/>
    <w:rsid w:val="001272AE"/>
    <w:rsid w:val="00127327"/>
    <w:rsid w:val="00130756"/>
    <w:rsid w:val="001315DD"/>
    <w:rsid w:val="00134E0B"/>
    <w:rsid w:val="0013525F"/>
    <w:rsid w:val="00135385"/>
    <w:rsid w:val="00136204"/>
    <w:rsid w:val="001364D1"/>
    <w:rsid w:val="001374C7"/>
    <w:rsid w:val="00140FA4"/>
    <w:rsid w:val="00141640"/>
    <w:rsid w:val="00141BC9"/>
    <w:rsid w:val="001421FD"/>
    <w:rsid w:val="001425C8"/>
    <w:rsid w:val="00142EBA"/>
    <w:rsid w:val="00143AC7"/>
    <w:rsid w:val="00143B79"/>
    <w:rsid w:val="00145965"/>
    <w:rsid w:val="001475F3"/>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7933"/>
    <w:rsid w:val="0017038B"/>
    <w:rsid w:val="00170C94"/>
    <w:rsid w:val="0017139A"/>
    <w:rsid w:val="0017172C"/>
    <w:rsid w:val="001724C8"/>
    <w:rsid w:val="00172584"/>
    <w:rsid w:val="001726BA"/>
    <w:rsid w:val="001732C4"/>
    <w:rsid w:val="001745DD"/>
    <w:rsid w:val="00174FDE"/>
    <w:rsid w:val="00174FE3"/>
    <w:rsid w:val="00176D63"/>
    <w:rsid w:val="00177659"/>
    <w:rsid w:val="001779E5"/>
    <w:rsid w:val="00180826"/>
    <w:rsid w:val="00181240"/>
    <w:rsid w:val="0018208F"/>
    <w:rsid w:val="001822DA"/>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6C0C"/>
    <w:rsid w:val="001A025E"/>
    <w:rsid w:val="001A08CD"/>
    <w:rsid w:val="001A0A1E"/>
    <w:rsid w:val="001A2182"/>
    <w:rsid w:val="001A323E"/>
    <w:rsid w:val="001A5320"/>
    <w:rsid w:val="001A5E62"/>
    <w:rsid w:val="001A6848"/>
    <w:rsid w:val="001A6EF5"/>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046E"/>
    <w:rsid w:val="001F0DA8"/>
    <w:rsid w:val="001F29F9"/>
    <w:rsid w:val="001F559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87F"/>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07E7"/>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942"/>
    <w:rsid w:val="00261B7E"/>
    <w:rsid w:val="00262EA5"/>
    <w:rsid w:val="0026318D"/>
    <w:rsid w:val="00264148"/>
    <w:rsid w:val="002660AF"/>
    <w:rsid w:val="00270864"/>
    <w:rsid w:val="002712F7"/>
    <w:rsid w:val="0027159C"/>
    <w:rsid w:val="00271F33"/>
    <w:rsid w:val="002722F2"/>
    <w:rsid w:val="00274549"/>
    <w:rsid w:val="00274E46"/>
    <w:rsid w:val="002752AE"/>
    <w:rsid w:val="00275AFD"/>
    <w:rsid w:val="002762D6"/>
    <w:rsid w:val="002769AF"/>
    <w:rsid w:val="00276C86"/>
    <w:rsid w:val="00276FD0"/>
    <w:rsid w:val="00277217"/>
    <w:rsid w:val="002810A4"/>
    <w:rsid w:val="0028261C"/>
    <w:rsid w:val="00282DB6"/>
    <w:rsid w:val="00283CE2"/>
    <w:rsid w:val="00284A26"/>
    <w:rsid w:val="00285095"/>
    <w:rsid w:val="002854EB"/>
    <w:rsid w:val="00287006"/>
    <w:rsid w:val="0029030A"/>
    <w:rsid w:val="00291A69"/>
    <w:rsid w:val="00292397"/>
    <w:rsid w:val="00292AB2"/>
    <w:rsid w:val="00292B82"/>
    <w:rsid w:val="00293DB6"/>
    <w:rsid w:val="00293FE8"/>
    <w:rsid w:val="00294437"/>
    <w:rsid w:val="00295799"/>
    <w:rsid w:val="00296686"/>
    <w:rsid w:val="00297A00"/>
    <w:rsid w:val="00297A45"/>
    <w:rsid w:val="00297E20"/>
    <w:rsid w:val="002A09AD"/>
    <w:rsid w:val="002A233F"/>
    <w:rsid w:val="002A2F75"/>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0992"/>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34B5"/>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EEF"/>
    <w:rsid w:val="002F6AD8"/>
    <w:rsid w:val="002F6C9A"/>
    <w:rsid w:val="002F7C06"/>
    <w:rsid w:val="002F7F81"/>
    <w:rsid w:val="00300A36"/>
    <w:rsid w:val="00300CB1"/>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14A"/>
    <w:rsid w:val="00314517"/>
    <w:rsid w:val="003155FB"/>
    <w:rsid w:val="00316F9E"/>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BAA"/>
    <w:rsid w:val="003320E8"/>
    <w:rsid w:val="0033238E"/>
    <w:rsid w:val="003324CA"/>
    <w:rsid w:val="003328FD"/>
    <w:rsid w:val="00332DE3"/>
    <w:rsid w:val="0033334F"/>
    <w:rsid w:val="0033408F"/>
    <w:rsid w:val="0033414F"/>
    <w:rsid w:val="00334514"/>
    <w:rsid w:val="0033555E"/>
    <w:rsid w:val="0033601F"/>
    <w:rsid w:val="00336805"/>
    <w:rsid w:val="00337351"/>
    <w:rsid w:val="00341A54"/>
    <w:rsid w:val="00344A4F"/>
    <w:rsid w:val="00344D17"/>
    <w:rsid w:val="0034669F"/>
    <w:rsid w:val="003470C4"/>
    <w:rsid w:val="00347D0D"/>
    <w:rsid w:val="00351498"/>
    <w:rsid w:val="0035199E"/>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AE3"/>
    <w:rsid w:val="00364CAB"/>
    <w:rsid w:val="00365767"/>
    <w:rsid w:val="003659C0"/>
    <w:rsid w:val="003660DF"/>
    <w:rsid w:val="003674A9"/>
    <w:rsid w:val="00367D4F"/>
    <w:rsid w:val="00370743"/>
    <w:rsid w:val="00370D92"/>
    <w:rsid w:val="00370EF5"/>
    <w:rsid w:val="0037135B"/>
    <w:rsid w:val="003718CD"/>
    <w:rsid w:val="00372251"/>
    <w:rsid w:val="00373F64"/>
    <w:rsid w:val="00374247"/>
    <w:rsid w:val="00374B72"/>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34"/>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1E1E"/>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329"/>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5F68"/>
    <w:rsid w:val="00437B8A"/>
    <w:rsid w:val="00437D18"/>
    <w:rsid w:val="00437D77"/>
    <w:rsid w:val="00441D99"/>
    <w:rsid w:val="00442609"/>
    <w:rsid w:val="004429D9"/>
    <w:rsid w:val="004435BE"/>
    <w:rsid w:val="0044384F"/>
    <w:rsid w:val="00443A19"/>
    <w:rsid w:val="0044411E"/>
    <w:rsid w:val="00444472"/>
    <w:rsid w:val="00444B93"/>
    <w:rsid w:val="00444F80"/>
    <w:rsid w:val="00445599"/>
    <w:rsid w:val="00446018"/>
    <w:rsid w:val="0044769D"/>
    <w:rsid w:val="00447D1E"/>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48E1"/>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2BCA"/>
    <w:rsid w:val="00494159"/>
    <w:rsid w:val="0049445D"/>
    <w:rsid w:val="00494D39"/>
    <w:rsid w:val="00495350"/>
    <w:rsid w:val="00495E3C"/>
    <w:rsid w:val="00496041"/>
    <w:rsid w:val="00497156"/>
    <w:rsid w:val="004A0C79"/>
    <w:rsid w:val="004A1660"/>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A67"/>
    <w:rsid w:val="004C1EF8"/>
    <w:rsid w:val="004C2063"/>
    <w:rsid w:val="004C217F"/>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120"/>
    <w:rsid w:val="00514449"/>
    <w:rsid w:val="005144A7"/>
    <w:rsid w:val="00515419"/>
    <w:rsid w:val="005157BD"/>
    <w:rsid w:val="0051594B"/>
    <w:rsid w:val="005214A3"/>
    <w:rsid w:val="005222E7"/>
    <w:rsid w:val="00523488"/>
    <w:rsid w:val="00523A8B"/>
    <w:rsid w:val="00523E04"/>
    <w:rsid w:val="005243CF"/>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5445"/>
    <w:rsid w:val="00536044"/>
    <w:rsid w:val="00536379"/>
    <w:rsid w:val="00537238"/>
    <w:rsid w:val="005400C5"/>
    <w:rsid w:val="005404CD"/>
    <w:rsid w:val="00540BE0"/>
    <w:rsid w:val="00540BEF"/>
    <w:rsid w:val="00542022"/>
    <w:rsid w:val="00542B34"/>
    <w:rsid w:val="00542C9A"/>
    <w:rsid w:val="005436C2"/>
    <w:rsid w:val="0054401B"/>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5DC"/>
    <w:rsid w:val="005701C1"/>
    <w:rsid w:val="005703BF"/>
    <w:rsid w:val="00570754"/>
    <w:rsid w:val="005709F7"/>
    <w:rsid w:val="00570EAA"/>
    <w:rsid w:val="005710A9"/>
    <w:rsid w:val="005716B0"/>
    <w:rsid w:val="00571B11"/>
    <w:rsid w:val="00571D1B"/>
    <w:rsid w:val="00571DA3"/>
    <w:rsid w:val="00572C09"/>
    <w:rsid w:val="005738F5"/>
    <w:rsid w:val="00573D34"/>
    <w:rsid w:val="00574A1B"/>
    <w:rsid w:val="00575963"/>
    <w:rsid w:val="00575EBE"/>
    <w:rsid w:val="0058039C"/>
    <w:rsid w:val="00580A63"/>
    <w:rsid w:val="00583379"/>
    <w:rsid w:val="00583AE1"/>
    <w:rsid w:val="0058417C"/>
    <w:rsid w:val="005854F9"/>
    <w:rsid w:val="00586EC6"/>
    <w:rsid w:val="00587DDE"/>
    <w:rsid w:val="00593043"/>
    <w:rsid w:val="00595B60"/>
    <w:rsid w:val="00595B63"/>
    <w:rsid w:val="00595BF0"/>
    <w:rsid w:val="00597BED"/>
    <w:rsid w:val="00597E16"/>
    <w:rsid w:val="005A0B1D"/>
    <w:rsid w:val="005A1846"/>
    <w:rsid w:val="005A258C"/>
    <w:rsid w:val="005A3560"/>
    <w:rsid w:val="005A3E54"/>
    <w:rsid w:val="005A464E"/>
    <w:rsid w:val="005A62FC"/>
    <w:rsid w:val="005A6C99"/>
    <w:rsid w:val="005A74DE"/>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8BA"/>
    <w:rsid w:val="005D2306"/>
    <w:rsid w:val="005D2562"/>
    <w:rsid w:val="005D2666"/>
    <w:rsid w:val="005D4548"/>
    <w:rsid w:val="005D4A74"/>
    <w:rsid w:val="005D519F"/>
    <w:rsid w:val="005D5E91"/>
    <w:rsid w:val="005D67EF"/>
    <w:rsid w:val="005D7F6B"/>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1BF4"/>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168A"/>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189"/>
    <w:rsid w:val="0064527A"/>
    <w:rsid w:val="006458FD"/>
    <w:rsid w:val="00645DE8"/>
    <w:rsid w:val="00645EA2"/>
    <w:rsid w:val="00651E6D"/>
    <w:rsid w:val="0065237D"/>
    <w:rsid w:val="00652943"/>
    <w:rsid w:val="00653AB2"/>
    <w:rsid w:val="00653D2D"/>
    <w:rsid w:val="0065435E"/>
    <w:rsid w:val="00654551"/>
    <w:rsid w:val="00654F91"/>
    <w:rsid w:val="006555E7"/>
    <w:rsid w:val="00655BC8"/>
    <w:rsid w:val="00655CCC"/>
    <w:rsid w:val="006560B6"/>
    <w:rsid w:val="0065689C"/>
    <w:rsid w:val="0065726D"/>
    <w:rsid w:val="006573F2"/>
    <w:rsid w:val="00661BA2"/>
    <w:rsid w:val="0066213F"/>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0B3"/>
    <w:rsid w:val="00673CDC"/>
    <w:rsid w:val="0067443B"/>
    <w:rsid w:val="00675CD9"/>
    <w:rsid w:val="006770AA"/>
    <w:rsid w:val="00677ECC"/>
    <w:rsid w:val="00680450"/>
    <w:rsid w:val="0068098E"/>
    <w:rsid w:val="00680E7A"/>
    <w:rsid w:val="006810BD"/>
    <w:rsid w:val="00681350"/>
    <w:rsid w:val="0068160C"/>
    <w:rsid w:val="00682486"/>
    <w:rsid w:val="006833A7"/>
    <w:rsid w:val="00684CE6"/>
    <w:rsid w:val="00684E2B"/>
    <w:rsid w:val="00685045"/>
    <w:rsid w:val="006857A0"/>
    <w:rsid w:val="006870CE"/>
    <w:rsid w:val="00687C7E"/>
    <w:rsid w:val="00687D3D"/>
    <w:rsid w:val="00690569"/>
    <w:rsid w:val="00690FDA"/>
    <w:rsid w:val="00691E61"/>
    <w:rsid w:val="00692180"/>
    <w:rsid w:val="006937C6"/>
    <w:rsid w:val="00693C5E"/>
    <w:rsid w:val="00693CEE"/>
    <w:rsid w:val="00694EEA"/>
    <w:rsid w:val="006955B4"/>
    <w:rsid w:val="00695AF7"/>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A77"/>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3C5F"/>
    <w:rsid w:val="006D4250"/>
    <w:rsid w:val="006D4E0E"/>
    <w:rsid w:val="006D5861"/>
    <w:rsid w:val="006D5CE2"/>
    <w:rsid w:val="006D5E1E"/>
    <w:rsid w:val="006D63AB"/>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3D80"/>
    <w:rsid w:val="006F45A0"/>
    <w:rsid w:val="006F4F06"/>
    <w:rsid w:val="006F5A4E"/>
    <w:rsid w:val="006F5D37"/>
    <w:rsid w:val="006F6005"/>
    <w:rsid w:val="006F674E"/>
    <w:rsid w:val="007005EA"/>
    <w:rsid w:val="0070220D"/>
    <w:rsid w:val="00702F29"/>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5C13"/>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0513"/>
    <w:rsid w:val="00760AEB"/>
    <w:rsid w:val="0076100C"/>
    <w:rsid w:val="00761127"/>
    <w:rsid w:val="007612A5"/>
    <w:rsid w:val="007635A8"/>
    <w:rsid w:val="00763CAE"/>
    <w:rsid w:val="00763F95"/>
    <w:rsid w:val="007651ED"/>
    <w:rsid w:val="00766C87"/>
    <w:rsid w:val="00771043"/>
    <w:rsid w:val="0077272B"/>
    <w:rsid w:val="007733AA"/>
    <w:rsid w:val="007733FA"/>
    <w:rsid w:val="00773AF7"/>
    <w:rsid w:val="00773C45"/>
    <w:rsid w:val="00774FFD"/>
    <w:rsid w:val="00780378"/>
    <w:rsid w:val="0078085E"/>
    <w:rsid w:val="00781BD4"/>
    <w:rsid w:val="00781DC7"/>
    <w:rsid w:val="00782562"/>
    <w:rsid w:val="007828B4"/>
    <w:rsid w:val="00782CC1"/>
    <w:rsid w:val="00784832"/>
    <w:rsid w:val="00784EA0"/>
    <w:rsid w:val="00785C75"/>
    <w:rsid w:val="00785D77"/>
    <w:rsid w:val="00786111"/>
    <w:rsid w:val="00790963"/>
    <w:rsid w:val="0079150B"/>
    <w:rsid w:val="0079154B"/>
    <w:rsid w:val="00791966"/>
    <w:rsid w:val="00791EED"/>
    <w:rsid w:val="00791F1E"/>
    <w:rsid w:val="007927BE"/>
    <w:rsid w:val="00793080"/>
    <w:rsid w:val="007935B8"/>
    <w:rsid w:val="00794ADE"/>
    <w:rsid w:val="00794F3D"/>
    <w:rsid w:val="00795CE9"/>
    <w:rsid w:val="00796045"/>
    <w:rsid w:val="007968AC"/>
    <w:rsid w:val="007969AB"/>
    <w:rsid w:val="007973D8"/>
    <w:rsid w:val="00797801"/>
    <w:rsid w:val="007A0861"/>
    <w:rsid w:val="007A0B39"/>
    <w:rsid w:val="007A14A4"/>
    <w:rsid w:val="007A15CB"/>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5EE8"/>
    <w:rsid w:val="007B6CE0"/>
    <w:rsid w:val="007B7B37"/>
    <w:rsid w:val="007B7C41"/>
    <w:rsid w:val="007B7DD9"/>
    <w:rsid w:val="007C05C5"/>
    <w:rsid w:val="007C0715"/>
    <w:rsid w:val="007C0B04"/>
    <w:rsid w:val="007C10FC"/>
    <w:rsid w:val="007C112A"/>
    <w:rsid w:val="007C11E9"/>
    <w:rsid w:val="007C238B"/>
    <w:rsid w:val="007C2802"/>
    <w:rsid w:val="007C3E5A"/>
    <w:rsid w:val="007C4115"/>
    <w:rsid w:val="007C433E"/>
    <w:rsid w:val="007C4452"/>
    <w:rsid w:val="007C4B3C"/>
    <w:rsid w:val="007C4CE1"/>
    <w:rsid w:val="007C4DB1"/>
    <w:rsid w:val="007C6046"/>
    <w:rsid w:val="007C605A"/>
    <w:rsid w:val="007C6F0C"/>
    <w:rsid w:val="007D0292"/>
    <w:rsid w:val="007D136C"/>
    <w:rsid w:val="007D1FCE"/>
    <w:rsid w:val="007D21AC"/>
    <w:rsid w:val="007D24B0"/>
    <w:rsid w:val="007D3882"/>
    <w:rsid w:val="007D39E4"/>
    <w:rsid w:val="007D3FE7"/>
    <w:rsid w:val="007D43E6"/>
    <w:rsid w:val="007D4CFC"/>
    <w:rsid w:val="007D568A"/>
    <w:rsid w:val="007D574E"/>
    <w:rsid w:val="007D57C0"/>
    <w:rsid w:val="007D67CB"/>
    <w:rsid w:val="007D6BFE"/>
    <w:rsid w:val="007D6D14"/>
    <w:rsid w:val="007E176C"/>
    <w:rsid w:val="007E2046"/>
    <w:rsid w:val="007E3883"/>
    <w:rsid w:val="007E4876"/>
    <w:rsid w:val="007E48CD"/>
    <w:rsid w:val="007E4ACB"/>
    <w:rsid w:val="007E4FBB"/>
    <w:rsid w:val="007E50E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9A1"/>
    <w:rsid w:val="007F5FE3"/>
    <w:rsid w:val="007F6FE3"/>
    <w:rsid w:val="0080064F"/>
    <w:rsid w:val="00801B85"/>
    <w:rsid w:val="008026A2"/>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71B"/>
    <w:rsid w:val="00823D6A"/>
    <w:rsid w:val="00825A81"/>
    <w:rsid w:val="00827B29"/>
    <w:rsid w:val="00827DB6"/>
    <w:rsid w:val="008304B2"/>
    <w:rsid w:val="00830999"/>
    <w:rsid w:val="00830D5E"/>
    <w:rsid w:val="00830F69"/>
    <w:rsid w:val="00831940"/>
    <w:rsid w:val="008324D9"/>
    <w:rsid w:val="008327B3"/>
    <w:rsid w:val="00833418"/>
    <w:rsid w:val="008335EA"/>
    <w:rsid w:val="0083387F"/>
    <w:rsid w:val="00834458"/>
    <w:rsid w:val="00834AEA"/>
    <w:rsid w:val="00835841"/>
    <w:rsid w:val="00835BF2"/>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C60"/>
    <w:rsid w:val="00844DD0"/>
    <w:rsid w:val="008455C8"/>
    <w:rsid w:val="00845A37"/>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C32"/>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4516"/>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B1C"/>
    <w:rsid w:val="008C22F3"/>
    <w:rsid w:val="008C3223"/>
    <w:rsid w:val="008C3FD0"/>
    <w:rsid w:val="008C4F01"/>
    <w:rsid w:val="008C5152"/>
    <w:rsid w:val="008C710E"/>
    <w:rsid w:val="008D1484"/>
    <w:rsid w:val="008D29E7"/>
    <w:rsid w:val="008D5104"/>
    <w:rsid w:val="008D75F4"/>
    <w:rsid w:val="008D795D"/>
    <w:rsid w:val="008D7B07"/>
    <w:rsid w:val="008D7D5D"/>
    <w:rsid w:val="008E0D8F"/>
    <w:rsid w:val="008E0F4E"/>
    <w:rsid w:val="008E1E94"/>
    <w:rsid w:val="008E2D99"/>
    <w:rsid w:val="008E30D4"/>
    <w:rsid w:val="008E31EF"/>
    <w:rsid w:val="008E38B0"/>
    <w:rsid w:val="008E3C90"/>
    <w:rsid w:val="008E4A60"/>
    <w:rsid w:val="008E744D"/>
    <w:rsid w:val="008F1E08"/>
    <w:rsid w:val="008F30F4"/>
    <w:rsid w:val="008F58E1"/>
    <w:rsid w:val="008F6E05"/>
    <w:rsid w:val="008F6FC8"/>
    <w:rsid w:val="009001FA"/>
    <w:rsid w:val="0090045D"/>
    <w:rsid w:val="00900906"/>
    <w:rsid w:val="00900D8F"/>
    <w:rsid w:val="00901222"/>
    <w:rsid w:val="00901229"/>
    <w:rsid w:val="009014E3"/>
    <w:rsid w:val="00901538"/>
    <w:rsid w:val="009020ED"/>
    <w:rsid w:val="009026E8"/>
    <w:rsid w:val="00902CB5"/>
    <w:rsid w:val="00902FDD"/>
    <w:rsid w:val="00905EA6"/>
    <w:rsid w:val="00905EEF"/>
    <w:rsid w:val="00906919"/>
    <w:rsid w:val="00906EB7"/>
    <w:rsid w:val="00907A7C"/>
    <w:rsid w:val="00907FE6"/>
    <w:rsid w:val="009102BF"/>
    <w:rsid w:val="00911490"/>
    <w:rsid w:val="009115F2"/>
    <w:rsid w:val="00911B11"/>
    <w:rsid w:val="00912D35"/>
    <w:rsid w:val="00914ADB"/>
    <w:rsid w:val="00914BB4"/>
    <w:rsid w:val="00915196"/>
    <w:rsid w:val="00917182"/>
    <w:rsid w:val="00920251"/>
    <w:rsid w:val="00920259"/>
    <w:rsid w:val="00920436"/>
    <w:rsid w:val="00921CFD"/>
    <w:rsid w:val="00921F7F"/>
    <w:rsid w:val="009239C0"/>
    <w:rsid w:val="00923B25"/>
    <w:rsid w:val="0092402E"/>
    <w:rsid w:val="00925354"/>
    <w:rsid w:val="009259BA"/>
    <w:rsid w:val="00926451"/>
    <w:rsid w:val="00926C0A"/>
    <w:rsid w:val="00926FCB"/>
    <w:rsid w:val="00927BCD"/>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D2F"/>
    <w:rsid w:val="00950A3A"/>
    <w:rsid w:val="0095270D"/>
    <w:rsid w:val="00952C0C"/>
    <w:rsid w:val="00952CC5"/>
    <w:rsid w:val="0095340A"/>
    <w:rsid w:val="009534BF"/>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FB4"/>
    <w:rsid w:val="009625E3"/>
    <w:rsid w:val="00962F2D"/>
    <w:rsid w:val="00963A7A"/>
    <w:rsid w:val="009672CD"/>
    <w:rsid w:val="00971810"/>
    <w:rsid w:val="00972266"/>
    <w:rsid w:val="00972996"/>
    <w:rsid w:val="009730B4"/>
    <w:rsid w:val="0097320E"/>
    <w:rsid w:val="009732B8"/>
    <w:rsid w:val="00974647"/>
    <w:rsid w:val="0097514A"/>
    <w:rsid w:val="00975736"/>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87828"/>
    <w:rsid w:val="00990FD6"/>
    <w:rsid w:val="00992BF4"/>
    <w:rsid w:val="009935C3"/>
    <w:rsid w:val="0099421F"/>
    <w:rsid w:val="00994D08"/>
    <w:rsid w:val="00994D33"/>
    <w:rsid w:val="00994FC8"/>
    <w:rsid w:val="00996F7A"/>
    <w:rsid w:val="009A0322"/>
    <w:rsid w:val="009A0346"/>
    <w:rsid w:val="009A0DE3"/>
    <w:rsid w:val="009A1643"/>
    <w:rsid w:val="009A215A"/>
    <w:rsid w:val="009A26B9"/>
    <w:rsid w:val="009A395D"/>
    <w:rsid w:val="009A49D3"/>
    <w:rsid w:val="009A4F1B"/>
    <w:rsid w:val="009A66C5"/>
    <w:rsid w:val="009A66E7"/>
    <w:rsid w:val="009A7578"/>
    <w:rsid w:val="009A79BA"/>
    <w:rsid w:val="009B10F9"/>
    <w:rsid w:val="009B14D1"/>
    <w:rsid w:val="009B1534"/>
    <w:rsid w:val="009B1C79"/>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6E91"/>
    <w:rsid w:val="009E09D0"/>
    <w:rsid w:val="009E0C9F"/>
    <w:rsid w:val="009E1181"/>
    <w:rsid w:val="009E1283"/>
    <w:rsid w:val="009E2096"/>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1580"/>
    <w:rsid w:val="00A02457"/>
    <w:rsid w:val="00A0296B"/>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18B"/>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37B"/>
    <w:rsid w:val="00A56D26"/>
    <w:rsid w:val="00A571A7"/>
    <w:rsid w:val="00A5749A"/>
    <w:rsid w:val="00A575E1"/>
    <w:rsid w:val="00A57BA8"/>
    <w:rsid w:val="00A57C35"/>
    <w:rsid w:val="00A608FB"/>
    <w:rsid w:val="00A60A19"/>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131"/>
    <w:rsid w:val="00A75265"/>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168"/>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28EB"/>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3798"/>
    <w:rsid w:val="00AD426A"/>
    <w:rsid w:val="00AD49A1"/>
    <w:rsid w:val="00AD5771"/>
    <w:rsid w:val="00AD6870"/>
    <w:rsid w:val="00AD68C5"/>
    <w:rsid w:val="00AD7F8F"/>
    <w:rsid w:val="00AE0B89"/>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53AB"/>
    <w:rsid w:val="00B26354"/>
    <w:rsid w:val="00B26CA0"/>
    <w:rsid w:val="00B300BD"/>
    <w:rsid w:val="00B31965"/>
    <w:rsid w:val="00B32179"/>
    <w:rsid w:val="00B32341"/>
    <w:rsid w:val="00B32685"/>
    <w:rsid w:val="00B32C2B"/>
    <w:rsid w:val="00B33007"/>
    <w:rsid w:val="00B331A9"/>
    <w:rsid w:val="00B33498"/>
    <w:rsid w:val="00B33598"/>
    <w:rsid w:val="00B3575C"/>
    <w:rsid w:val="00B3648C"/>
    <w:rsid w:val="00B36569"/>
    <w:rsid w:val="00B37345"/>
    <w:rsid w:val="00B37F53"/>
    <w:rsid w:val="00B40A05"/>
    <w:rsid w:val="00B40A3E"/>
    <w:rsid w:val="00B412DB"/>
    <w:rsid w:val="00B427BB"/>
    <w:rsid w:val="00B42A08"/>
    <w:rsid w:val="00B42C02"/>
    <w:rsid w:val="00B43BA2"/>
    <w:rsid w:val="00B449EE"/>
    <w:rsid w:val="00B454AE"/>
    <w:rsid w:val="00B46089"/>
    <w:rsid w:val="00B47D60"/>
    <w:rsid w:val="00B501F5"/>
    <w:rsid w:val="00B50227"/>
    <w:rsid w:val="00B5050D"/>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244"/>
    <w:rsid w:val="00B80EDD"/>
    <w:rsid w:val="00B812BD"/>
    <w:rsid w:val="00B81964"/>
    <w:rsid w:val="00B82277"/>
    <w:rsid w:val="00B829F1"/>
    <w:rsid w:val="00B83F87"/>
    <w:rsid w:val="00B843DD"/>
    <w:rsid w:val="00B8478F"/>
    <w:rsid w:val="00B84F93"/>
    <w:rsid w:val="00B91676"/>
    <w:rsid w:val="00B9322B"/>
    <w:rsid w:val="00B93640"/>
    <w:rsid w:val="00B939C2"/>
    <w:rsid w:val="00B94023"/>
    <w:rsid w:val="00B955D5"/>
    <w:rsid w:val="00B95833"/>
    <w:rsid w:val="00BA1824"/>
    <w:rsid w:val="00BA26A5"/>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285"/>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D2"/>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78BD"/>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6B04"/>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0A4"/>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6C86"/>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038"/>
    <w:rsid w:val="00C74D3A"/>
    <w:rsid w:val="00C75F3D"/>
    <w:rsid w:val="00C80511"/>
    <w:rsid w:val="00C80655"/>
    <w:rsid w:val="00C81937"/>
    <w:rsid w:val="00C826F5"/>
    <w:rsid w:val="00C83740"/>
    <w:rsid w:val="00C84527"/>
    <w:rsid w:val="00C845FF"/>
    <w:rsid w:val="00C84881"/>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983"/>
    <w:rsid w:val="00CA6B1A"/>
    <w:rsid w:val="00CA6FBE"/>
    <w:rsid w:val="00CA720B"/>
    <w:rsid w:val="00CB1B18"/>
    <w:rsid w:val="00CB20DC"/>
    <w:rsid w:val="00CB23DC"/>
    <w:rsid w:val="00CB2487"/>
    <w:rsid w:val="00CB28E2"/>
    <w:rsid w:val="00CB2F20"/>
    <w:rsid w:val="00CB3395"/>
    <w:rsid w:val="00CB3884"/>
    <w:rsid w:val="00CB3F63"/>
    <w:rsid w:val="00CB40A0"/>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4FE4"/>
    <w:rsid w:val="00CD5653"/>
    <w:rsid w:val="00CD5E6D"/>
    <w:rsid w:val="00CD63C8"/>
    <w:rsid w:val="00CD747F"/>
    <w:rsid w:val="00CD76F8"/>
    <w:rsid w:val="00CD78A5"/>
    <w:rsid w:val="00CE02E8"/>
    <w:rsid w:val="00CE069E"/>
    <w:rsid w:val="00CE0C3D"/>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19B3"/>
    <w:rsid w:val="00D02596"/>
    <w:rsid w:val="00D0280D"/>
    <w:rsid w:val="00D02AEF"/>
    <w:rsid w:val="00D03EC9"/>
    <w:rsid w:val="00D05669"/>
    <w:rsid w:val="00D061EB"/>
    <w:rsid w:val="00D06952"/>
    <w:rsid w:val="00D07A72"/>
    <w:rsid w:val="00D10577"/>
    <w:rsid w:val="00D11D0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620"/>
    <w:rsid w:val="00D25A5C"/>
    <w:rsid w:val="00D26873"/>
    <w:rsid w:val="00D27C99"/>
    <w:rsid w:val="00D31683"/>
    <w:rsid w:val="00D33452"/>
    <w:rsid w:val="00D336C8"/>
    <w:rsid w:val="00D339E8"/>
    <w:rsid w:val="00D33FDD"/>
    <w:rsid w:val="00D347DA"/>
    <w:rsid w:val="00D3654A"/>
    <w:rsid w:val="00D3662E"/>
    <w:rsid w:val="00D366FF"/>
    <w:rsid w:val="00D373F1"/>
    <w:rsid w:val="00D37567"/>
    <w:rsid w:val="00D37D36"/>
    <w:rsid w:val="00D40B1F"/>
    <w:rsid w:val="00D40D75"/>
    <w:rsid w:val="00D426BE"/>
    <w:rsid w:val="00D43978"/>
    <w:rsid w:val="00D43CBD"/>
    <w:rsid w:val="00D441F1"/>
    <w:rsid w:val="00D449F0"/>
    <w:rsid w:val="00D45319"/>
    <w:rsid w:val="00D462D7"/>
    <w:rsid w:val="00D46A33"/>
    <w:rsid w:val="00D5062C"/>
    <w:rsid w:val="00D50AB9"/>
    <w:rsid w:val="00D50C8C"/>
    <w:rsid w:val="00D50CE3"/>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3DCB"/>
    <w:rsid w:val="00D67FD7"/>
    <w:rsid w:val="00D704E4"/>
    <w:rsid w:val="00D71A04"/>
    <w:rsid w:val="00D72410"/>
    <w:rsid w:val="00D739F6"/>
    <w:rsid w:val="00D73D53"/>
    <w:rsid w:val="00D7402C"/>
    <w:rsid w:val="00D7408A"/>
    <w:rsid w:val="00D74261"/>
    <w:rsid w:val="00D7441B"/>
    <w:rsid w:val="00D74D38"/>
    <w:rsid w:val="00D75589"/>
    <w:rsid w:val="00D76AB2"/>
    <w:rsid w:val="00D80490"/>
    <w:rsid w:val="00D828F9"/>
    <w:rsid w:val="00D829AD"/>
    <w:rsid w:val="00D82D06"/>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0D2"/>
    <w:rsid w:val="00D93288"/>
    <w:rsid w:val="00D93A41"/>
    <w:rsid w:val="00D93B9A"/>
    <w:rsid w:val="00D94F76"/>
    <w:rsid w:val="00D95984"/>
    <w:rsid w:val="00D95C64"/>
    <w:rsid w:val="00D9706F"/>
    <w:rsid w:val="00D972D4"/>
    <w:rsid w:val="00DA0614"/>
    <w:rsid w:val="00DA0FE3"/>
    <w:rsid w:val="00DA195B"/>
    <w:rsid w:val="00DA27C4"/>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03D"/>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5F46"/>
    <w:rsid w:val="00DE6952"/>
    <w:rsid w:val="00DE6FBE"/>
    <w:rsid w:val="00DE7843"/>
    <w:rsid w:val="00DE7A7D"/>
    <w:rsid w:val="00DE7E74"/>
    <w:rsid w:val="00DF071B"/>
    <w:rsid w:val="00DF3B06"/>
    <w:rsid w:val="00DF5C84"/>
    <w:rsid w:val="00DF5D3A"/>
    <w:rsid w:val="00DF5EC0"/>
    <w:rsid w:val="00DF650A"/>
    <w:rsid w:val="00DF6EF8"/>
    <w:rsid w:val="00DF6EFE"/>
    <w:rsid w:val="00DF70F4"/>
    <w:rsid w:val="00E00A69"/>
    <w:rsid w:val="00E012A7"/>
    <w:rsid w:val="00E017BC"/>
    <w:rsid w:val="00E017F0"/>
    <w:rsid w:val="00E01A0E"/>
    <w:rsid w:val="00E025FE"/>
    <w:rsid w:val="00E0346A"/>
    <w:rsid w:val="00E039B9"/>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74"/>
    <w:rsid w:val="00E21386"/>
    <w:rsid w:val="00E2421B"/>
    <w:rsid w:val="00E242AF"/>
    <w:rsid w:val="00E24849"/>
    <w:rsid w:val="00E2536E"/>
    <w:rsid w:val="00E25A99"/>
    <w:rsid w:val="00E25B8A"/>
    <w:rsid w:val="00E25EF8"/>
    <w:rsid w:val="00E2632B"/>
    <w:rsid w:val="00E26F75"/>
    <w:rsid w:val="00E27423"/>
    <w:rsid w:val="00E3077F"/>
    <w:rsid w:val="00E3142A"/>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1CD"/>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7CF"/>
    <w:rsid w:val="00E670F8"/>
    <w:rsid w:val="00E6741B"/>
    <w:rsid w:val="00E67FAC"/>
    <w:rsid w:val="00E70164"/>
    <w:rsid w:val="00E71485"/>
    <w:rsid w:val="00E7200B"/>
    <w:rsid w:val="00E738CB"/>
    <w:rsid w:val="00E73C88"/>
    <w:rsid w:val="00E73E21"/>
    <w:rsid w:val="00E74437"/>
    <w:rsid w:val="00E7443D"/>
    <w:rsid w:val="00E751B1"/>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193"/>
    <w:rsid w:val="00E90703"/>
    <w:rsid w:val="00E90A62"/>
    <w:rsid w:val="00E9160C"/>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6EF"/>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2DB5"/>
    <w:rsid w:val="00ED4773"/>
    <w:rsid w:val="00ED4FF0"/>
    <w:rsid w:val="00ED5284"/>
    <w:rsid w:val="00ED664B"/>
    <w:rsid w:val="00ED6A61"/>
    <w:rsid w:val="00ED768E"/>
    <w:rsid w:val="00ED7820"/>
    <w:rsid w:val="00ED7DA4"/>
    <w:rsid w:val="00EE03BB"/>
    <w:rsid w:val="00EE0552"/>
    <w:rsid w:val="00EE0B44"/>
    <w:rsid w:val="00EE125D"/>
    <w:rsid w:val="00EE1688"/>
    <w:rsid w:val="00EE23DE"/>
    <w:rsid w:val="00EE3CFB"/>
    <w:rsid w:val="00EE48BB"/>
    <w:rsid w:val="00EE6FE0"/>
    <w:rsid w:val="00EE704A"/>
    <w:rsid w:val="00EE7840"/>
    <w:rsid w:val="00EE7963"/>
    <w:rsid w:val="00EF2346"/>
    <w:rsid w:val="00EF27F4"/>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4DF9"/>
    <w:rsid w:val="00F053F0"/>
    <w:rsid w:val="00F05807"/>
    <w:rsid w:val="00F06451"/>
    <w:rsid w:val="00F07052"/>
    <w:rsid w:val="00F0706C"/>
    <w:rsid w:val="00F10613"/>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950"/>
    <w:rsid w:val="00F20DA4"/>
    <w:rsid w:val="00F20E9F"/>
    <w:rsid w:val="00F221F5"/>
    <w:rsid w:val="00F22A26"/>
    <w:rsid w:val="00F2361E"/>
    <w:rsid w:val="00F24072"/>
    <w:rsid w:val="00F26432"/>
    <w:rsid w:val="00F27E46"/>
    <w:rsid w:val="00F3197A"/>
    <w:rsid w:val="00F32139"/>
    <w:rsid w:val="00F33CF0"/>
    <w:rsid w:val="00F33D56"/>
    <w:rsid w:val="00F34E08"/>
    <w:rsid w:val="00F40F36"/>
    <w:rsid w:val="00F41D6D"/>
    <w:rsid w:val="00F41D91"/>
    <w:rsid w:val="00F41F52"/>
    <w:rsid w:val="00F41FA1"/>
    <w:rsid w:val="00F42363"/>
    <w:rsid w:val="00F427C4"/>
    <w:rsid w:val="00F43AD6"/>
    <w:rsid w:val="00F43D6C"/>
    <w:rsid w:val="00F464F1"/>
    <w:rsid w:val="00F46964"/>
    <w:rsid w:val="00F46F9A"/>
    <w:rsid w:val="00F470FD"/>
    <w:rsid w:val="00F50F30"/>
    <w:rsid w:val="00F5126A"/>
    <w:rsid w:val="00F5126E"/>
    <w:rsid w:val="00F51388"/>
    <w:rsid w:val="00F516EF"/>
    <w:rsid w:val="00F51755"/>
    <w:rsid w:val="00F531D9"/>
    <w:rsid w:val="00F53677"/>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6B21"/>
    <w:rsid w:val="00F67E31"/>
    <w:rsid w:val="00F70B44"/>
    <w:rsid w:val="00F71436"/>
    <w:rsid w:val="00F718A8"/>
    <w:rsid w:val="00F7207E"/>
    <w:rsid w:val="00F72183"/>
    <w:rsid w:val="00F75C12"/>
    <w:rsid w:val="00F764AF"/>
    <w:rsid w:val="00F76C43"/>
    <w:rsid w:val="00F76D01"/>
    <w:rsid w:val="00F80B43"/>
    <w:rsid w:val="00F80C97"/>
    <w:rsid w:val="00F81C35"/>
    <w:rsid w:val="00F82981"/>
    <w:rsid w:val="00F8311F"/>
    <w:rsid w:val="00F83248"/>
    <w:rsid w:val="00F83376"/>
    <w:rsid w:val="00F853AE"/>
    <w:rsid w:val="00F864C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3368"/>
    <w:rsid w:val="00FC4284"/>
    <w:rsid w:val="00FC4576"/>
    <w:rsid w:val="00FC494C"/>
    <w:rsid w:val="00FC59C8"/>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416"/>
    <w:rsid w:val="00FE2A48"/>
    <w:rsid w:val="00FE2DEF"/>
    <w:rsid w:val="00FE2E82"/>
    <w:rsid w:val="00FE323C"/>
    <w:rsid w:val="00FE3A27"/>
    <w:rsid w:val="00FE48A6"/>
    <w:rsid w:val="00FE559A"/>
    <w:rsid w:val="00FE5D0A"/>
    <w:rsid w:val="00FE6469"/>
    <w:rsid w:val="00FE7C22"/>
    <w:rsid w:val="00FE7C6D"/>
    <w:rsid w:val="00FE7EB9"/>
    <w:rsid w:val="00FF05D0"/>
    <w:rsid w:val="00FF06CE"/>
    <w:rsid w:val="00FF0D57"/>
    <w:rsid w:val="00FF0DC2"/>
    <w:rsid w:val="00FF0FF7"/>
    <w:rsid w:val="00FF1022"/>
    <w:rsid w:val="00FF10A2"/>
    <w:rsid w:val="00FF1438"/>
    <w:rsid w:val="00FF1A2B"/>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760513"/>
    <w:pPr>
      <w:spacing w:line="240" w:lineRule="auto"/>
    </w:pPr>
    <w:rPr>
      <w:sz w:val="20"/>
    </w:rPr>
  </w:style>
  <w:style w:type="character" w:customStyle="1" w:styleId="FootnoteTextChar">
    <w:name w:val="Footnote Text Char"/>
    <w:basedOn w:val="DefaultParagraphFont"/>
    <w:link w:val="FootnoteText"/>
    <w:uiPriority w:val="99"/>
    <w:semiHidden/>
    <w:rsid w:val="00760513"/>
    <w:rPr>
      <w:color w:val="008080"/>
    </w:rPr>
  </w:style>
  <w:style w:type="character" w:styleId="FootnoteReference">
    <w:name w:val="footnote reference"/>
    <w:basedOn w:val="DefaultParagraphFont"/>
    <w:uiPriority w:val="99"/>
    <w:semiHidden/>
    <w:unhideWhenUsed/>
    <w:rsid w:val="007605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6787">
      <w:bodyDiv w:val="1"/>
      <w:marLeft w:val="0"/>
      <w:marRight w:val="0"/>
      <w:marTop w:val="0"/>
      <w:marBottom w:val="0"/>
      <w:divBdr>
        <w:top w:val="none" w:sz="0" w:space="0" w:color="auto"/>
        <w:left w:val="none" w:sz="0" w:space="0" w:color="auto"/>
        <w:bottom w:val="none" w:sz="0" w:space="0" w:color="auto"/>
        <w:right w:val="none" w:sz="0" w:space="0" w:color="auto"/>
      </w:divBdr>
    </w:div>
    <w:div w:id="1671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E5D4-0F39-4B4C-8886-A27B1DC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2012-11-21T15:29:00Z</dcterms:created>
  <dcterms:modified xsi:type="dcterms:W3CDTF">2012-11-21T15:29:00Z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