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406BE5" w:rsidRDefault="0095270D" w:rsidP="00DD5558">
      <w:pPr>
        <w:tabs>
          <w:tab w:val="right" w:pos="9360"/>
        </w:tabs>
        <w:jc w:val="both"/>
        <w:rPr>
          <w:caps/>
          <w:color w:val="auto"/>
        </w:rPr>
      </w:pPr>
      <w:r w:rsidRPr="00F64312">
        <w:rPr>
          <w:caps/>
          <w:color w:val="auto"/>
        </w:rPr>
        <w:t xml:space="preserve">NAME:  </w:t>
      </w:r>
      <w:r w:rsidR="008E54CE">
        <w:rPr>
          <w:caps/>
          <w:color w:val="auto"/>
        </w:rPr>
        <w:t xml:space="preserve">XXXXXXXXXXXXXXXX      </w:t>
      </w:r>
      <w:r w:rsidR="009B6194">
        <w:rPr>
          <w:caps/>
          <w:color w:val="auto"/>
        </w:rPr>
        <w:t xml:space="preserve">                                                  </w:t>
      </w:r>
      <w:r w:rsidR="00FE0609">
        <w:rPr>
          <w:caps/>
          <w:color w:val="auto"/>
        </w:rPr>
        <w:t xml:space="preserve">      </w:t>
      </w:r>
      <w:r w:rsidR="001B154A">
        <w:rPr>
          <w:caps/>
          <w:color w:val="auto"/>
        </w:rPr>
        <w:t xml:space="preserve">   </w:t>
      </w:r>
      <w:r w:rsidR="00FE0609">
        <w:rPr>
          <w:caps/>
          <w:color w:val="auto"/>
        </w:rPr>
        <w:t xml:space="preserve">   </w:t>
      </w:r>
      <w:r w:rsidR="00EE3CFB" w:rsidRPr="00406BE5">
        <w:rPr>
          <w:caps/>
          <w:color w:val="auto"/>
        </w:rPr>
        <w:t xml:space="preserve">BRANCH OF SERVICE: </w:t>
      </w:r>
      <w:r w:rsidR="0018208F" w:rsidRPr="00406BE5">
        <w:rPr>
          <w:caps/>
          <w:color w:val="auto"/>
        </w:rPr>
        <w:t xml:space="preserve"> </w:t>
      </w:r>
      <w:r w:rsidR="00406BE5" w:rsidRPr="00406BE5">
        <w:rPr>
          <w:caps/>
          <w:color w:val="auto"/>
        </w:rPr>
        <w:t>Army</w:t>
      </w:r>
    </w:p>
    <w:p w:rsidR="0095270D" w:rsidRPr="00406BE5" w:rsidRDefault="0095270D" w:rsidP="00DD5558">
      <w:pPr>
        <w:tabs>
          <w:tab w:val="right" w:pos="9360"/>
        </w:tabs>
        <w:jc w:val="both"/>
        <w:rPr>
          <w:color w:val="auto"/>
        </w:rPr>
      </w:pPr>
      <w:r w:rsidRPr="00406BE5">
        <w:rPr>
          <w:caps/>
          <w:color w:val="auto"/>
        </w:rPr>
        <w:t>CASE NUMBER:  PD</w:t>
      </w:r>
      <w:r w:rsidR="001657BE" w:rsidRPr="00406BE5">
        <w:rPr>
          <w:caps/>
          <w:color w:val="auto"/>
        </w:rPr>
        <w:t>12</w:t>
      </w:r>
      <w:r w:rsidRPr="00406BE5">
        <w:rPr>
          <w:caps/>
          <w:color w:val="auto"/>
        </w:rPr>
        <w:t>00</w:t>
      </w:r>
      <w:r w:rsidR="00406BE5" w:rsidRPr="00406BE5">
        <w:rPr>
          <w:caps/>
          <w:color w:val="auto"/>
        </w:rPr>
        <w:t>481</w:t>
      </w:r>
      <w:r w:rsidR="00DD5558" w:rsidRPr="00406BE5">
        <w:rPr>
          <w:color w:val="auto"/>
        </w:rPr>
        <w:tab/>
      </w:r>
      <w:r w:rsidR="0018208F" w:rsidRPr="00406BE5">
        <w:rPr>
          <w:color w:val="auto"/>
        </w:rPr>
        <w:t>SE</w:t>
      </w:r>
      <w:r w:rsidRPr="00406BE5">
        <w:rPr>
          <w:color w:val="auto"/>
        </w:rPr>
        <w:t>PARATION DATE:  200</w:t>
      </w:r>
      <w:r w:rsidR="00406BE5" w:rsidRPr="00832F67">
        <w:rPr>
          <w:color w:val="auto"/>
        </w:rPr>
        <w:t>30331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406BE5">
        <w:rPr>
          <w:caps/>
          <w:color w:val="auto"/>
        </w:rPr>
        <w:t>BOARD DATE:  2012</w:t>
      </w:r>
      <w:r w:rsidR="00450F69">
        <w:rPr>
          <w:caps/>
          <w:color w:val="auto"/>
        </w:rPr>
        <w:t>1010</w:t>
      </w:r>
    </w:p>
    <w:p w:rsidR="0095270D" w:rsidRPr="00F64312" w:rsidRDefault="0095270D" w:rsidP="0095270D">
      <w:pPr>
        <w:pBdr>
          <w:bottom w:val="single" w:sz="12" w:space="1" w:color="auto"/>
        </w:pBdr>
        <w:tabs>
          <w:tab w:val="left" w:pos="288"/>
          <w:tab w:val="left" w:pos="4752"/>
        </w:tabs>
        <w:jc w:val="both"/>
        <w:rPr>
          <w:color w:val="auto"/>
        </w:rPr>
      </w:pPr>
    </w:p>
    <w:p w:rsidR="00AD2379"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8036A2">
        <w:rPr>
          <w:color w:val="auto"/>
        </w:rPr>
        <w:t>active duty</w:t>
      </w:r>
      <w:r w:rsidRPr="008036A2">
        <w:rPr>
          <w:color w:val="auto"/>
        </w:rPr>
        <w:t xml:space="preserve"> </w:t>
      </w:r>
      <w:r w:rsidR="00406BE5" w:rsidRPr="008036A2">
        <w:rPr>
          <w:color w:val="auto"/>
        </w:rPr>
        <w:t>SPC/E-4</w:t>
      </w:r>
      <w:r w:rsidRPr="008036A2">
        <w:rPr>
          <w:color w:val="auto"/>
        </w:rPr>
        <w:t xml:space="preserve"> (</w:t>
      </w:r>
      <w:r w:rsidR="00E54781">
        <w:rPr>
          <w:color w:val="auto"/>
        </w:rPr>
        <w:t>71L10/</w:t>
      </w:r>
      <w:r w:rsidR="008036A2" w:rsidRPr="008036A2">
        <w:rPr>
          <w:color w:val="auto"/>
        </w:rPr>
        <w:t>Administrative Specialist</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8036A2">
        <w:rPr>
          <w:color w:val="auto"/>
          <w:szCs w:val="24"/>
        </w:rPr>
        <w:t xml:space="preserve">chronic </w:t>
      </w:r>
      <w:r w:rsidR="005D2D7F">
        <w:rPr>
          <w:color w:val="auto"/>
          <w:szCs w:val="24"/>
        </w:rPr>
        <w:t xml:space="preserve">left wrist </w:t>
      </w:r>
      <w:r w:rsidR="008036A2">
        <w:rPr>
          <w:color w:val="auto"/>
          <w:szCs w:val="24"/>
        </w:rPr>
        <w:t>pain.</w:t>
      </w:r>
      <w:r w:rsidR="002E02A5">
        <w:rPr>
          <w:color w:val="auto"/>
          <w:szCs w:val="24"/>
        </w:rPr>
        <w:t xml:space="preserve">  </w:t>
      </w:r>
      <w:r w:rsidR="006730B3" w:rsidRPr="00D029AB">
        <w:rPr>
          <w:color w:val="auto"/>
          <w:szCs w:val="24"/>
        </w:rPr>
        <w:t xml:space="preserve">The </w:t>
      </w:r>
      <w:r w:rsidR="005D2D7F">
        <w:rPr>
          <w:color w:val="auto"/>
          <w:szCs w:val="24"/>
        </w:rPr>
        <w:t>condition began</w:t>
      </w:r>
      <w:r w:rsidR="0016471F" w:rsidRPr="00D029AB">
        <w:rPr>
          <w:color w:val="auto"/>
          <w:szCs w:val="24"/>
        </w:rPr>
        <w:t xml:space="preserve"> while performing pushups during basic training in </w:t>
      </w:r>
      <w:r w:rsidR="0016471F" w:rsidRPr="00073889">
        <w:rPr>
          <w:color w:val="auto"/>
          <w:szCs w:val="24"/>
        </w:rPr>
        <w:t>1999</w:t>
      </w:r>
      <w:r w:rsidR="00D029AB" w:rsidRPr="00073889">
        <w:rPr>
          <w:color w:val="auto"/>
          <w:szCs w:val="24"/>
        </w:rPr>
        <w:t xml:space="preserve">.  </w:t>
      </w:r>
      <w:r w:rsidR="008067A6" w:rsidRPr="00073889">
        <w:rPr>
          <w:color w:val="auto"/>
          <w:szCs w:val="24"/>
        </w:rPr>
        <w:t xml:space="preserve">He did not respond adequately to </w:t>
      </w:r>
      <w:r w:rsidR="00073889" w:rsidRPr="00073889">
        <w:rPr>
          <w:color w:val="auto"/>
          <w:szCs w:val="24"/>
        </w:rPr>
        <w:t>o</w:t>
      </w:r>
      <w:r w:rsidR="008067A6" w:rsidRPr="00073889">
        <w:rPr>
          <w:color w:val="auto"/>
          <w:szCs w:val="24"/>
        </w:rPr>
        <w:t>perative and rehabilitative treatment and was unable to meet the</w:t>
      </w:r>
      <w:r w:rsidR="00F566B7" w:rsidRPr="00073889">
        <w:rPr>
          <w:color w:val="auto"/>
        </w:rPr>
        <w:t xml:space="preserve"> physical requirements of his Military Occupational Specialty (</w:t>
      </w:r>
      <w:r w:rsidR="00F566B7" w:rsidRPr="00D029AB">
        <w:rPr>
          <w:color w:val="auto"/>
        </w:rPr>
        <w:t>MOS)</w:t>
      </w:r>
      <w:r w:rsidR="0021565F" w:rsidRPr="00D029AB">
        <w:rPr>
          <w:color w:val="auto"/>
        </w:rPr>
        <w:t xml:space="preserve"> </w:t>
      </w:r>
      <w:r w:rsidR="00F566B7" w:rsidRPr="00D029AB">
        <w:rPr>
          <w:color w:val="auto"/>
        </w:rPr>
        <w:t>or satis</w:t>
      </w:r>
      <w:r w:rsidR="009C12A1" w:rsidRPr="00D029AB">
        <w:rPr>
          <w:color w:val="auto"/>
        </w:rPr>
        <w:t>fy physical fitness standards.</w:t>
      </w:r>
      <w:r w:rsidR="00F566B7" w:rsidRPr="00D029AB">
        <w:rPr>
          <w:color w:val="auto"/>
        </w:rPr>
        <w:t xml:space="preserve"> </w:t>
      </w:r>
      <w:r w:rsidR="009C12A1" w:rsidRPr="00D029AB">
        <w:rPr>
          <w:color w:val="auto"/>
        </w:rPr>
        <w:t xml:space="preserve"> He </w:t>
      </w:r>
      <w:r w:rsidR="00F566B7" w:rsidRPr="00D029AB">
        <w:rPr>
          <w:color w:val="auto"/>
        </w:rPr>
        <w:t xml:space="preserve">was issued a </w:t>
      </w:r>
      <w:r w:rsidR="00D029AB" w:rsidRPr="00D029AB">
        <w:rPr>
          <w:color w:val="auto"/>
        </w:rPr>
        <w:t xml:space="preserve">permanent </w:t>
      </w:r>
      <w:r w:rsidR="00D029AB" w:rsidRPr="002E02A5">
        <w:rPr>
          <w:color w:val="auto"/>
        </w:rPr>
        <w:t>U</w:t>
      </w:r>
      <w:r w:rsidR="00F566B7" w:rsidRPr="002E02A5">
        <w:rPr>
          <w:color w:val="auto"/>
        </w:rPr>
        <w:t>3 profile and</w:t>
      </w:r>
      <w:r w:rsidR="009C12A1" w:rsidRPr="002E02A5">
        <w:rPr>
          <w:color w:val="auto"/>
        </w:rPr>
        <w:t xml:space="preserve"> </w:t>
      </w:r>
      <w:r w:rsidR="00F566B7" w:rsidRPr="002E02A5">
        <w:rPr>
          <w:color w:val="auto"/>
        </w:rPr>
        <w:t>referred for a Medical Evaluation Board (MEB).</w:t>
      </w:r>
      <w:r w:rsidR="002E02A5">
        <w:rPr>
          <w:color w:val="auto"/>
        </w:rPr>
        <w:t xml:space="preserve">  </w:t>
      </w:r>
      <w:r w:rsidR="005D2D7F" w:rsidRPr="005D2D7F">
        <w:rPr>
          <w:color w:val="auto"/>
        </w:rPr>
        <w:t xml:space="preserve">The MEB forwarded </w:t>
      </w:r>
      <w:r w:rsidR="005D2D7F">
        <w:rPr>
          <w:color w:val="auto"/>
        </w:rPr>
        <w:t>chronic left wrist pain</w:t>
      </w:r>
      <w:r w:rsidR="005D2D7F" w:rsidRPr="005D2D7F">
        <w:rPr>
          <w:color w:val="auto"/>
        </w:rPr>
        <w:t xml:space="preserve"> to the Physical Evaluation Board (PEB) as medically unacceptable IAW AR 40-501</w:t>
      </w:r>
      <w:r w:rsidR="005D2D7F">
        <w:rPr>
          <w:color w:val="auto"/>
        </w:rPr>
        <w:t xml:space="preserve">. </w:t>
      </w:r>
      <w:r w:rsidR="005D2D7F" w:rsidRPr="005D2D7F">
        <w:rPr>
          <w:color w:val="auto"/>
        </w:rPr>
        <w:t xml:space="preserve"> No other conditions appeared on the MEB’s submission.</w:t>
      </w:r>
      <w:r w:rsidR="005D2D7F">
        <w:rPr>
          <w:color w:val="auto"/>
        </w:rPr>
        <w:t xml:space="preserve">  </w:t>
      </w:r>
      <w:r w:rsidRPr="002E02A5">
        <w:rPr>
          <w:color w:val="auto"/>
        </w:rPr>
        <w:t xml:space="preserve">The PEB adjudicated the </w:t>
      </w:r>
      <w:r w:rsidR="00F02EDE" w:rsidRPr="002E02A5">
        <w:rPr>
          <w:color w:val="auto"/>
          <w:szCs w:val="24"/>
        </w:rPr>
        <w:t xml:space="preserve">chronic </w:t>
      </w:r>
      <w:r w:rsidR="00B03FD3">
        <w:rPr>
          <w:color w:val="auto"/>
          <w:szCs w:val="24"/>
        </w:rPr>
        <w:t xml:space="preserve">left wrist </w:t>
      </w:r>
      <w:r w:rsidR="00F02EDE" w:rsidRPr="002E02A5">
        <w:rPr>
          <w:color w:val="auto"/>
          <w:szCs w:val="24"/>
        </w:rPr>
        <w:t>pain</w:t>
      </w:r>
      <w:r w:rsidR="00F02EDE" w:rsidRPr="002E02A5">
        <w:rPr>
          <w:color w:val="auto"/>
        </w:rPr>
        <w:t xml:space="preserve"> </w:t>
      </w:r>
      <w:r w:rsidR="008530E3" w:rsidRPr="002E02A5">
        <w:rPr>
          <w:color w:val="auto"/>
        </w:rPr>
        <w:t xml:space="preserve">condition as unfitting, rated </w:t>
      </w:r>
      <w:r w:rsidR="00830C84" w:rsidRPr="00EB02DF">
        <w:rPr>
          <w:color w:val="000000"/>
          <w:szCs w:val="24"/>
        </w:rPr>
        <w:t>0%</w:t>
      </w:r>
      <w:r w:rsidR="005D2D7F">
        <w:rPr>
          <w:color w:val="000000"/>
          <w:szCs w:val="24"/>
        </w:rPr>
        <w:t>,</w:t>
      </w:r>
      <w:r w:rsidR="00830C84" w:rsidRPr="00EB02DF">
        <w:rPr>
          <w:color w:val="000000"/>
          <w:szCs w:val="24"/>
        </w:rPr>
        <w:t xml:space="preserve"> </w:t>
      </w:r>
      <w:r w:rsidR="00B03FD3">
        <w:rPr>
          <w:color w:val="000000"/>
          <w:szCs w:val="24"/>
        </w:rPr>
        <w:t>with application of</w:t>
      </w:r>
      <w:r w:rsidR="00830C84" w:rsidRPr="00EB02DF">
        <w:rPr>
          <w:color w:val="000000"/>
          <w:szCs w:val="24"/>
        </w:rPr>
        <w:t xml:space="preserve"> the </w:t>
      </w:r>
      <w:r w:rsidR="00830C84" w:rsidRPr="00EB02DF">
        <w:rPr>
          <w:color w:val="000000" w:themeColor="text1"/>
          <w:szCs w:val="24"/>
        </w:rPr>
        <w:t>US Army Physical Disability Agency (USAPDA) pain policy</w:t>
      </w:r>
      <w:r w:rsidR="00830C84">
        <w:rPr>
          <w:color w:val="000000" w:themeColor="text1"/>
          <w:szCs w:val="24"/>
        </w:rPr>
        <w:t xml:space="preserve">. </w:t>
      </w:r>
      <w:r w:rsidR="00830C84" w:rsidRPr="002E02A5">
        <w:rPr>
          <w:color w:val="auto"/>
        </w:rPr>
        <w:t xml:space="preserve"> </w:t>
      </w:r>
      <w:r w:rsidRPr="002E02A5">
        <w:rPr>
          <w:color w:val="auto"/>
        </w:rPr>
        <w:t xml:space="preserve">The CI made no appeals, and was medically separated with </w:t>
      </w:r>
      <w:r w:rsidR="004D1B17">
        <w:rPr>
          <w:color w:val="auto"/>
        </w:rPr>
        <w:t>the Service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406BE5">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406BE5">
        <w:rPr>
          <w:color w:val="auto"/>
        </w:rPr>
        <w:t xml:space="preserve"> “According to the doctor I am stuck with the pain and discomfort because the surgery wouldn’t help and due to my job I can only take certain medications so I have to just deal with my condition the best I can.”</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EF5A1D"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w:t>
      </w:r>
      <w:r w:rsidRPr="002E02A5">
        <w:rPr>
          <w:color w:val="auto"/>
        </w:rPr>
        <w:t>y the PEB</w:t>
      </w:r>
      <w:r w:rsidR="00E54781">
        <w:rPr>
          <w:color w:val="auto"/>
        </w:rPr>
        <w:t>.</w:t>
      </w:r>
      <w:r w:rsidRPr="002E02A5">
        <w:rPr>
          <w:color w:val="auto"/>
        </w:rPr>
        <w:t xml:space="preserve">”  The ratings for unfitting conditions will be reviewed in all cases.  The </w:t>
      </w:r>
      <w:r w:rsidR="002E02A5" w:rsidRPr="002E02A5">
        <w:rPr>
          <w:color w:val="auto"/>
          <w:szCs w:val="24"/>
        </w:rPr>
        <w:t>chronic left wrist</w:t>
      </w:r>
      <w:r w:rsidR="002E02A5" w:rsidRPr="002E02A5">
        <w:rPr>
          <w:color w:val="auto"/>
        </w:rPr>
        <w:t xml:space="preserve"> </w:t>
      </w:r>
      <w:r w:rsidR="0070476D">
        <w:rPr>
          <w:color w:val="auto"/>
        </w:rPr>
        <w:t xml:space="preserve">pain </w:t>
      </w:r>
      <w:r w:rsidRPr="002E02A5">
        <w:rPr>
          <w:color w:val="auto"/>
        </w:rPr>
        <w:t>condition requested for consideration meet</w:t>
      </w:r>
      <w:r w:rsidR="002E02A5" w:rsidRPr="002E02A5">
        <w:rPr>
          <w:color w:val="auto"/>
        </w:rPr>
        <w:t>s</w:t>
      </w:r>
      <w:r w:rsidRPr="002E02A5">
        <w:rPr>
          <w:color w:val="auto"/>
        </w:rPr>
        <w:t xml:space="preserve"> the criteria prescribed in DoDI 60</w:t>
      </w:r>
      <w:r w:rsidR="002E02A5" w:rsidRPr="002E02A5">
        <w:rPr>
          <w:color w:val="auto"/>
        </w:rPr>
        <w:t>40.44 for Board purview, and is</w:t>
      </w:r>
      <w:r w:rsidRPr="002E02A5">
        <w:rPr>
          <w:color w:val="auto"/>
        </w:rPr>
        <w:t xml:space="preserve"> accordingly addressed below.  Any condition or contention not requested in this application, or otherwise outside the Board’s defined scope of review, remain eligible for future consideration by the Army Board for Corre</w:t>
      </w:r>
      <w:r w:rsidR="002E02A5" w:rsidRPr="002E02A5">
        <w:rPr>
          <w:color w:val="auto"/>
        </w:rPr>
        <w:t>ction of Military Records</w:t>
      </w:r>
      <w:r w:rsidRPr="00EF5A1D">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00286FAF">
        <w:rPr>
          <w:color w:val="auto"/>
        </w:rPr>
        <w:t>:</w:t>
      </w:r>
    </w:p>
    <w:p w:rsidR="00F90376" w:rsidRPr="00F64312" w:rsidRDefault="00F90376" w:rsidP="00F90376">
      <w:pPr>
        <w:jc w:val="both"/>
        <w:rPr>
          <w:color w:val="auto"/>
        </w:rPr>
      </w:pPr>
    </w:p>
    <w:tbl>
      <w:tblPr>
        <w:tblStyle w:val="TableGrid"/>
        <w:tblW w:w="9403" w:type="dxa"/>
        <w:jc w:val="center"/>
        <w:tblInd w:w="321" w:type="dxa"/>
        <w:tblLayout w:type="fixed"/>
        <w:tblLook w:val="00A0"/>
      </w:tblPr>
      <w:tblGrid>
        <w:gridCol w:w="2000"/>
        <w:gridCol w:w="1080"/>
        <w:gridCol w:w="900"/>
        <w:gridCol w:w="2549"/>
        <w:gridCol w:w="1056"/>
        <w:gridCol w:w="733"/>
        <w:gridCol w:w="1085"/>
      </w:tblGrid>
      <w:tr w:rsidR="00F90376" w:rsidRPr="00F64312" w:rsidTr="001E717A">
        <w:trPr>
          <w:trHeight w:val="170"/>
          <w:jc w:val="center"/>
        </w:trPr>
        <w:tc>
          <w:tcPr>
            <w:tcW w:w="3980" w:type="dxa"/>
            <w:gridSpan w:val="3"/>
            <w:tcBorders>
              <w:right w:val="thinThickThinSmallGap" w:sz="24" w:space="0" w:color="auto"/>
            </w:tcBorders>
            <w:shd w:val="clear" w:color="auto" w:fill="D9D9D9"/>
            <w:vAlign w:val="center"/>
          </w:tcPr>
          <w:p w:rsidR="00F90376" w:rsidRPr="00F64312" w:rsidRDefault="00F90376" w:rsidP="00286FAF">
            <w:pPr>
              <w:spacing w:line="180" w:lineRule="exact"/>
              <w:contextualSpacing/>
              <w:rPr>
                <w:rFonts w:cs="Calibri"/>
                <w:b/>
                <w:color w:val="auto"/>
                <w:sz w:val="18"/>
              </w:rPr>
            </w:pPr>
            <w:r w:rsidRPr="00F64312">
              <w:rPr>
                <w:b/>
                <w:color w:val="auto"/>
                <w:sz w:val="18"/>
              </w:rPr>
              <w:t>Service PEB – Dated</w:t>
            </w:r>
            <w:r w:rsidR="00286FAF">
              <w:rPr>
                <w:b/>
                <w:color w:val="auto"/>
                <w:sz w:val="18"/>
              </w:rPr>
              <w:t xml:space="preserve"> 20030121</w:t>
            </w:r>
          </w:p>
        </w:tc>
        <w:tc>
          <w:tcPr>
            <w:tcW w:w="5423" w:type="dxa"/>
            <w:gridSpan w:val="4"/>
            <w:tcBorders>
              <w:left w:val="thinThickThinSmallGap" w:sz="24" w:space="0" w:color="auto"/>
            </w:tcBorders>
            <w:shd w:val="clear" w:color="auto" w:fill="D9D9D9"/>
            <w:vAlign w:val="center"/>
          </w:tcPr>
          <w:p w:rsidR="00F90376" w:rsidRPr="00F64312" w:rsidRDefault="00F90376" w:rsidP="00246D4A">
            <w:pPr>
              <w:spacing w:line="180" w:lineRule="exact"/>
              <w:contextualSpacing/>
              <w:rPr>
                <w:rFonts w:cs="Calibri"/>
                <w:b/>
                <w:color w:val="auto"/>
                <w:sz w:val="18"/>
              </w:rPr>
            </w:pPr>
            <w:r w:rsidRPr="00F64312">
              <w:rPr>
                <w:b/>
                <w:color w:val="auto"/>
                <w:sz w:val="18"/>
              </w:rPr>
              <w:t>VA (</w:t>
            </w:r>
            <w:r w:rsidR="00246D4A">
              <w:rPr>
                <w:b/>
                <w:color w:val="auto"/>
                <w:sz w:val="18"/>
              </w:rPr>
              <w:t>27</w:t>
            </w:r>
            <w:r w:rsidRPr="00F64312">
              <w:rPr>
                <w:b/>
                <w:color w:val="auto"/>
                <w:sz w:val="18"/>
              </w:rPr>
              <w:t xml:space="preserve"> Mos. </w:t>
            </w:r>
            <w:r w:rsidRPr="00246D4A">
              <w:rPr>
                <w:b/>
                <w:color w:val="auto"/>
                <w:sz w:val="18"/>
              </w:rPr>
              <w:t>Post-</w:t>
            </w:r>
            <w:r w:rsidRPr="00F64312">
              <w:rPr>
                <w:b/>
                <w:color w:val="auto"/>
                <w:sz w:val="18"/>
              </w:rPr>
              <w:t xml:space="preserve">Separation) – All Effective Date </w:t>
            </w:r>
            <w:r w:rsidR="00D15046">
              <w:rPr>
                <w:b/>
                <w:color w:val="auto"/>
                <w:sz w:val="18"/>
              </w:rPr>
              <w:t>20050512</w:t>
            </w:r>
          </w:p>
        </w:tc>
      </w:tr>
      <w:tr w:rsidR="00F90376" w:rsidRPr="00F64312" w:rsidTr="001E717A">
        <w:trPr>
          <w:trHeight w:val="97"/>
          <w:jc w:val="center"/>
        </w:trPr>
        <w:tc>
          <w:tcPr>
            <w:tcW w:w="2000"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90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549" w:type="dxa"/>
            <w:tcBorders>
              <w:left w:val="thinThickThinSmallGap" w:sz="24" w:space="0" w:color="auto"/>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56" w:type="dxa"/>
            <w:tcBorders>
              <w:left w:val="single" w:sz="4" w:space="0" w:color="auto"/>
              <w:bottom w:val="single" w:sz="4" w:space="0" w:color="auto"/>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33" w:type="dxa"/>
            <w:tcBorders>
              <w:left w:val="single" w:sz="4" w:space="0" w:color="auto"/>
              <w:bottom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1085"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1E717A" w:rsidRPr="00F64312" w:rsidTr="00AB02D0">
        <w:trPr>
          <w:trHeight w:val="118"/>
          <w:jc w:val="center"/>
        </w:trPr>
        <w:tc>
          <w:tcPr>
            <w:tcW w:w="2000" w:type="dxa"/>
            <w:tcBorders>
              <w:right w:val="single" w:sz="4" w:space="0" w:color="auto"/>
            </w:tcBorders>
            <w:shd w:val="clear" w:color="auto" w:fill="FFFFFF"/>
            <w:vAlign w:val="center"/>
          </w:tcPr>
          <w:p w:rsidR="001E717A" w:rsidRPr="00F64312" w:rsidRDefault="001E717A" w:rsidP="009304D0">
            <w:pPr>
              <w:spacing w:line="180" w:lineRule="exact"/>
              <w:contextualSpacing/>
              <w:jc w:val="left"/>
              <w:rPr>
                <w:rFonts w:cs="Calibri"/>
                <w:color w:val="auto"/>
                <w:sz w:val="18"/>
              </w:rPr>
            </w:pPr>
            <w:r>
              <w:rPr>
                <w:rFonts w:cs="Calibri"/>
                <w:color w:val="auto"/>
                <w:sz w:val="18"/>
              </w:rPr>
              <w:t>Chronic Left Wrist Pain</w:t>
            </w:r>
          </w:p>
        </w:tc>
        <w:tc>
          <w:tcPr>
            <w:tcW w:w="1080" w:type="dxa"/>
            <w:tcBorders>
              <w:left w:val="single" w:sz="4" w:space="0" w:color="auto"/>
            </w:tcBorders>
            <w:shd w:val="clear" w:color="auto" w:fill="FFFFFF"/>
            <w:vAlign w:val="center"/>
          </w:tcPr>
          <w:p w:rsidR="001E717A" w:rsidRPr="00F64312" w:rsidRDefault="001E717A" w:rsidP="006B690F">
            <w:pPr>
              <w:spacing w:line="180" w:lineRule="exact"/>
              <w:contextualSpacing/>
              <w:rPr>
                <w:rFonts w:cs="Calibri"/>
                <w:color w:val="auto"/>
                <w:sz w:val="18"/>
              </w:rPr>
            </w:pPr>
            <w:r>
              <w:rPr>
                <w:rFonts w:cs="Calibri"/>
                <w:color w:val="auto"/>
                <w:sz w:val="18"/>
              </w:rPr>
              <w:t>5099-5003</w:t>
            </w:r>
          </w:p>
        </w:tc>
        <w:tc>
          <w:tcPr>
            <w:tcW w:w="900" w:type="dxa"/>
            <w:tcBorders>
              <w:right w:val="thinThickThinSmallGap" w:sz="24" w:space="0" w:color="auto"/>
            </w:tcBorders>
            <w:shd w:val="clear" w:color="auto" w:fill="FFFFFF"/>
            <w:vAlign w:val="center"/>
          </w:tcPr>
          <w:p w:rsidR="001E717A" w:rsidRPr="00F64312" w:rsidRDefault="001E717A" w:rsidP="006B690F">
            <w:pPr>
              <w:spacing w:line="180" w:lineRule="exact"/>
              <w:rPr>
                <w:rFonts w:cs="Calibri"/>
                <w:color w:val="auto"/>
                <w:sz w:val="18"/>
              </w:rPr>
            </w:pPr>
            <w:r>
              <w:rPr>
                <w:rFonts w:cs="Calibri"/>
                <w:color w:val="auto"/>
                <w:sz w:val="18"/>
              </w:rPr>
              <w:t>0%</w:t>
            </w:r>
          </w:p>
        </w:tc>
        <w:tc>
          <w:tcPr>
            <w:tcW w:w="2549" w:type="dxa"/>
            <w:vMerge w:val="restart"/>
            <w:tcBorders>
              <w:left w:val="thinThickThinSmallGap" w:sz="24" w:space="0" w:color="auto"/>
              <w:right w:val="single" w:sz="4" w:space="0" w:color="auto"/>
            </w:tcBorders>
            <w:shd w:val="clear" w:color="auto" w:fill="FFFFFF"/>
            <w:vAlign w:val="center"/>
          </w:tcPr>
          <w:p w:rsidR="001E717A" w:rsidRPr="00F64312" w:rsidRDefault="001E717A" w:rsidP="0017172C">
            <w:pPr>
              <w:spacing w:line="180" w:lineRule="exact"/>
              <w:contextualSpacing/>
              <w:jc w:val="left"/>
              <w:rPr>
                <w:rFonts w:cs="Calibri"/>
                <w:color w:val="auto"/>
                <w:sz w:val="18"/>
              </w:rPr>
            </w:pPr>
            <w:r>
              <w:rPr>
                <w:rFonts w:cs="Calibri"/>
                <w:color w:val="auto"/>
                <w:sz w:val="18"/>
              </w:rPr>
              <w:t>Chronic Left Wrist Synovitis</w:t>
            </w:r>
          </w:p>
        </w:tc>
        <w:tc>
          <w:tcPr>
            <w:tcW w:w="1056" w:type="dxa"/>
            <w:vMerge w:val="restart"/>
            <w:tcBorders>
              <w:left w:val="single" w:sz="4" w:space="0" w:color="auto"/>
              <w:right w:val="single" w:sz="4" w:space="0" w:color="auto"/>
            </w:tcBorders>
            <w:shd w:val="clear" w:color="auto" w:fill="FFFFFF"/>
            <w:vAlign w:val="center"/>
          </w:tcPr>
          <w:p w:rsidR="001E717A" w:rsidRPr="00F64312" w:rsidRDefault="001E717A" w:rsidP="0017172C">
            <w:pPr>
              <w:spacing w:line="180" w:lineRule="exact"/>
              <w:contextualSpacing/>
              <w:rPr>
                <w:rFonts w:cs="Calibri"/>
                <w:color w:val="auto"/>
                <w:sz w:val="18"/>
              </w:rPr>
            </w:pPr>
            <w:r>
              <w:rPr>
                <w:rFonts w:cs="Calibri"/>
                <w:color w:val="auto"/>
                <w:sz w:val="18"/>
              </w:rPr>
              <w:t>5099-5020</w:t>
            </w:r>
          </w:p>
        </w:tc>
        <w:tc>
          <w:tcPr>
            <w:tcW w:w="733" w:type="dxa"/>
            <w:vMerge w:val="restart"/>
            <w:tcBorders>
              <w:left w:val="single" w:sz="4" w:space="0" w:color="auto"/>
            </w:tcBorders>
            <w:shd w:val="clear" w:color="auto" w:fill="FFFFFF"/>
            <w:vAlign w:val="center"/>
          </w:tcPr>
          <w:p w:rsidR="001E717A" w:rsidRPr="00F64312" w:rsidRDefault="001E717A" w:rsidP="0017172C">
            <w:pPr>
              <w:spacing w:line="180" w:lineRule="exact"/>
              <w:contextualSpacing/>
              <w:rPr>
                <w:rFonts w:cs="Calibri"/>
                <w:color w:val="auto"/>
                <w:sz w:val="18"/>
              </w:rPr>
            </w:pPr>
            <w:r>
              <w:rPr>
                <w:rFonts w:cs="Calibri"/>
                <w:color w:val="auto"/>
                <w:sz w:val="18"/>
              </w:rPr>
              <w:t>0%*</w:t>
            </w:r>
          </w:p>
        </w:tc>
        <w:tc>
          <w:tcPr>
            <w:tcW w:w="1085" w:type="dxa"/>
            <w:vMerge w:val="restart"/>
            <w:shd w:val="clear" w:color="auto" w:fill="FFFFFF"/>
            <w:vAlign w:val="center"/>
          </w:tcPr>
          <w:p w:rsidR="001E717A" w:rsidRPr="00F64312" w:rsidRDefault="001E717A" w:rsidP="0017172C">
            <w:pPr>
              <w:spacing w:line="180" w:lineRule="exact"/>
              <w:contextualSpacing/>
              <w:rPr>
                <w:rFonts w:cs="Calibri"/>
                <w:color w:val="auto"/>
                <w:sz w:val="18"/>
              </w:rPr>
            </w:pPr>
            <w:r>
              <w:rPr>
                <w:color w:val="auto"/>
                <w:sz w:val="18"/>
              </w:rPr>
              <w:t>20050727</w:t>
            </w:r>
          </w:p>
        </w:tc>
      </w:tr>
      <w:tr w:rsidR="001E717A" w:rsidRPr="00F64312" w:rsidTr="00AB02D0">
        <w:trPr>
          <w:trHeight w:val="172"/>
          <w:jc w:val="center"/>
        </w:trPr>
        <w:tc>
          <w:tcPr>
            <w:tcW w:w="3980" w:type="dxa"/>
            <w:gridSpan w:val="3"/>
            <w:tcBorders>
              <w:right w:val="thinThickThinSmallGap" w:sz="24" w:space="0" w:color="auto"/>
            </w:tcBorders>
            <w:shd w:val="clear" w:color="auto" w:fill="FFFFFF"/>
            <w:vAlign w:val="center"/>
          </w:tcPr>
          <w:p w:rsidR="001E717A" w:rsidRPr="00F64312" w:rsidRDefault="001E717A"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2549" w:type="dxa"/>
            <w:vMerge/>
            <w:tcBorders>
              <w:left w:val="thinThickThinSmallGap" w:sz="24" w:space="0" w:color="auto"/>
              <w:right w:val="single" w:sz="4" w:space="0" w:color="auto"/>
            </w:tcBorders>
            <w:shd w:val="clear" w:color="auto" w:fill="FFFFFF"/>
            <w:vAlign w:val="center"/>
          </w:tcPr>
          <w:p w:rsidR="001E717A" w:rsidRPr="00F64312" w:rsidRDefault="001E717A" w:rsidP="009B6194">
            <w:pPr>
              <w:rPr>
                <w:color w:val="auto"/>
                <w:sz w:val="18"/>
              </w:rPr>
            </w:pPr>
          </w:p>
        </w:tc>
        <w:tc>
          <w:tcPr>
            <w:tcW w:w="1056" w:type="dxa"/>
            <w:vMerge/>
            <w:tcBorders>
              <w:left w:val="single" w:sz="4" w:space="0" w:color="auto"/>
              <w:right w:val="single" w:sz="4" w:space="0" w:color="auto"/>
            </w:tcBorders>
            <w:shd w:val="clear" w:color="auto" w:fill="FFFFFF"/>
            <w:vAlign w:val="center"/>
          </w:tcPr>
          <w:p w:rsidR="001E717A" w:rsidRPr="00F64312" w:rsidRDefault="001E717A" w:rsidP="009B6194">
            <w:pPr>
              <w:rPr>
                <w:color w:val="auto"/>
                <w:sz w:val="18"/>
              </w:rPr>
            </w:pPr>
          </w:p>
        </w:tc>
        <w:tc>
          <w:tcPr>
            <w:tcW w:w="733" w:type="dxa"/>
            <w:vMerge/>
            <w:tcBorders>
              <w:left w:val="single" w:sz="4" w:space="0" w:color="auto"/>
            </w:tcBorders>
            <w:shd w:val="clear" w:color="auto" w:fill="FFFFFF"/>
            <w:vAlign w:val="center"/>
          </w:tcPr>
          <w:p w:rsidR="001E717A" w:rsidRPr="00F64312" w:rsidRDefault="001E717A" w:rsidP="009B6194">
            <w:pPr>
              <w:rPr>
                <w:color w:val="auto"/>
                <w:sz w:val="18"/>
              </w:rPr>
            </w:pPr>
          </w:p>
        </w:tc>
        <w:tc>
          <w:tcPr>
            <w:tcW w:w="1085" w:type="dxa"/>
            <w:vMerge/>
            <w:shd w:val="clear" w:color="auto" w:fill="FFFFFF"/>
            <w:vAlign w:val="center"/>
          </w:tcPr>
          <w:p w:rsidR="001E717A" w:rsidRPr="00F64312" w:rsidRDefault="001E717A" w:rsidP="009B6194">
            <w:pPr>
              <w:rPr>
                <w:rFonts w:cs="Calibri"/>
                <w:color w:val="auto"/>
                <w:sz w:val="18"/>
              </w:rPr>
            </w:pPr>
          </w:p>
        </w:tc>
      </w:tr>
    </w:tbl>
    <w:p w:rsidR="00913FB6" w:rsidRDefault="001E717A" w:rsidP="001E717A">
      <w:pPr>
        <w:pBdr>
          <w:bottom w:val="single" w:sz="12" w:space="1" w:color="auto"/>
        </w:pBdr>
        <w:tabs>
          <w:tab w:val="left" w:pos="453"/>
        </w:tabs>
        <w:jc w:val="both"/>
        <w:rPr>
          <w:color w:val="auto"/>
        </w:rPr>
      </w:pPr>
      <w:r w:rsidRPr="001E717A">
        <w:rPr>
          <w:color w:val="auto"/>
          <w:sz w:val="18"/>
          <w:szCs w:val="18"/>
        </w:rPr>
        <w:t>* Increased to 10% effective 20070124 &amp; added scar, left wrist coded 7804 rated @ 0% effective 20070124, VARD 20070723</w:t>
      </w:r>
    </w:p>
    <w:p w:rsidR="001E717A" w:rsidRPr="00F64312" w:rsidRDefault="001E717A"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B56BF7" w:rsidRDefault="00B56BF7" w:rsidP="00B56BF7">
      <w:pPr>
        <w:jc w:val="both"/>
        <w:rPr>
          <w:color w:val="auto"/>
        </w:rPr>
      </w:pPr>
      <w:r w:rsidRPr="00590B92">
        <w:rPr>
          <w:color w:val="auto"/>
          <w:u w:val="single"/>
        </w:rPr>
        <w:t>ANALYSIS SUMMARY</w:t>
      </w:r>
      <w:r w:rsidRPr="00590B92">
        <w:rPr>
          <w:color w:val="auto"/>
        </w:rPr>
        <w:t xml:space="preserve">:  The Board acknowledges the sentiment expressed in the CI’s application regarding the significant impairment with which his service-incurred condition continues to burden him.  The Board wishes to clarify that it is subject to the same laws for disability entitlements as those under which the Disability Evaluation System (DES) operates.  The DES </w:t>
      </w:r>
      <w:r w:rsidRPr="00590B92">
        <w:rPr>
          <w:color w:val="auto"/>
        </w:rPr>
        <w:lastRenderedPageBreak/>
        <w:t>has neither the role nor the authority to compensate service members for anticipated future severity or potential complications of conditions resulting in medical separation.  That role and authority is granted by Congress to the Department of Veteran</w:t>
      </w:r>
      <w:r w:rsidR="00E54781">
        <w:rPr>
          <w:color w:val="auto"/>
        </w:rPr>
        <w:t>s’</w:t>
      </w:r>
      <w:r w:rsidRPr="00590B92">
        <w:rPr>
          <w:color w:val="auto"/>
        </w:rPr>
        <w:t xml:space="preserve"> Affairs (DVA), operating under a different set of laws (Title 38, United States Code).  The Board evaluates </w:t>
      </w:r>
      <w:r w:rsidR="00E54781">
        <w:rPr>
          <w:color w:val="auto"/>
        </w:rPr>
        <w:t>D</w:t>
      </w:r>
      <w:r w:rsidRPr="00590B92">
        <w:rPr>
          <w:color w:val="auto"/>
        </w:rPr>
        <w:t xml:space="preserve">VA evidence proximal to separation in arriving at its recommendations, but its authority resides in evaluating the fairness of DES fitness decisions and rating determinations for disability at the time of separation.  While the DES considers all of the service member's medical conditions, compensation can only be offered for those medical conditions that cut short a service member’s career, and then only to the degree of severity present at the time of final disposition.  The DVA, however, is </w:t>
      </w:r>
      <w:r w:rsidR="00E54781">
        <w:rPr>
          <w:color w:val="auto"/>
        </w:rPr>
        <w:t>empowered to compensate service-</w:t>
      </w:r>
      <w:r w:rsidRPr="00590B92">
        <w:rPr>
          <w:color w:val="auto"/>
        </w:rPr>
        <w:t xml:space="preserve">connected conditions and to periodically re-evaluate said conditions for the purpose of adjusting the </w:t>
      </w:r>
      <w:r w:rsidR="00E54781">
        <w:rPr>
          <w:color w:val="auto"/>
        </w:rPr>
        <w:t>V</w:t>
      </w:r>
      <w:r w:rsidRPr="00590B92">
        <w:rPr>
          <w:color w:val="auto"/>
        </w:rPr>
        <w:t>eteran’s disability rating should</w:t>
      </w:r>
      <w:r w:rsidR="00E54781">
        <w:rPr>
          <w:color w:val="auto"/>
        </w:rPr>
        <w:t xml:space="preserve"> the</w:t>
      </w:r>
      <w:r w:rsidRPr="00590B92">
        <w:rPr>
          <w:color w:val="auto"/>
        </w:rPr>
        <w:t xml:space="preserve"> degree of impairment vary over time.</w:t>
      </w:r>
    </w:p>
    <w:p w:rsidR="00AD2379" w:rsidRPr="00F64312" w:rsidRDefault="00AD2379" w:rsidP="00B22D42">
      <w:pPr>
        <w:jc w:val="both"/>
        <w:rPr>
          <w:color w:val="auto"/>
          <w:highlight w:val="yellow"/>
        </w:rPr>
      </w:pPr>
    </w:p>
    <w:p w:rsidR="0069687C" w:rsidRPr="00F64312" w:rsidRDefault="00B56BF7" w:rsidP="0069687C">
      <w:pPr>
        <w:jc w:val="both"/>
        <w:rPr>
          <w:color w:val="auto"/>
          <w:szCs w:val="24"/>
        </w:rPr>
      </w:pPr>
      <w:proofErr w:type="gramStart"/>
      <w:r w:rsidRPr="00B56BF7">
        <w:rPr>
          <w:color w:val="auto"/>
          <w:u w:val="single"/>
        </w:rPr>
        <w:t xml:space="preserve">Chronic </w:t>
      </w:r>
      <w:r w:rsidR="00750B0F">
        <w:rPr>
          <w:color w:val="auto"/>
          <w:u w:val="single"/>
        </w:rPr>
        <w:t xml:space="preserve">Left Wrist </w:t>
      </w:r>
      <w:r w:rsidRPr="00B56BF7">
        <w:rPr>
          <w:color w:val="auto"/>
          <w:u w:val="single"/>
        </w:rPr>
        <w:t xml:space="preserve">Pain </w:t>
      </w:r>
      <w:r w:rsidR="00AD2379" w:rsidRPr="00B56BF7">
        <w:rPr>
          <w:color w:val="auto"/>
          <w:u w:val="single"/>
        </w:rPr>
        <w:t>Condition</w:t>
      </w:r>
      <w:r w:rsidR="00AD2379" w:rsidRPr="00B56BF7">
        <w:rPr>
          <w:color w:val="auto"/>
        </w:rPr>
        <w:t>.</w:t>
      </w:r>
      <w:proofErr w:type="gramEnd"/>
      <w:r w:rsidR="00AD2379" w:rsidRPr="00F64312">
        <w:rPr>
          <w:color w:val="auto"/>
        </w:rPr>
        <w:t xml:space="preserve"> </w:t>
      </w:r>
      <w:r w:rsidR="00385708" w:rsidRPr="00F64312">
        <w:rPr>
          <w:color w:val="auto"/>
        </w:rPr>
        <w:t xml:space="preserve"> </w:t>
      </w:r>
      <w:r w:rsidR="00714276">
        <w:rPr>
          <w:color w:val="auto"/>
        </w:rPr>
        <w:t xml:space="preserve">The right hand dominant CI underwent left wrist arthroscopic surgery </w:t>
      </w:r>
      <w:r w:rsidR="00E54781">
        <w:rPr>
          <w:color w:val="auto"/>
        </w:rPr>
        <w:t xml:space="preserve">performed </w:t>
      </w:r>
      <w:r w:rsidR="00714276">
        <w:rPr>
          <w:color w:val="auto"/>
        </w:rPr>
        <w:t xml:space="preserve">on 2 February 2002 for </w:t>
      </w:r>
      <w:r w:rsidR="00816159">
        <w:rPr>
          <w:color w:val="auto"/>
        </w:rPr>
        <w:t>a tear of the triangular fibrocartilag</w:t>
      </w:r>
      <w:r w:rsidR="00B43658">
        <w:rPr>
          <w:color w:val="auto"/>
        </w:rPr>
        <w:t>e</w:t>
      </w:r>
      <w:r w:rsidR="00816159">
        <w:rPr>
          <w:color w:val="auto"/>
        </w:rPr>
        <w:t xml:space="preserve"> complex (TFCC</w:t>
      </w:r>
      <w:r w:rsidR="00D75EB0">
        <w:rPr>
          <w:color w:val="auto"/>
        </w:rPr>
        <w:t>; a</w:t>
      </w:r>
      <w:r w:rsidR="00B43658">
        <w:rPr>
          <w:color w:val="auto"/>
        </w:rPr>
        <w:t xml:space="preserve"> stabilizing ligamentous structure in the wrist).</w:t>
      </w:r>
      <w:r w:rsidR="00450F69">
        <w:rPr>
          <w:color w:val="auto"/>
        </w:rPr>
        <w:t xml:space="preserve">  </w:t>
      </w:r>
      <w:r w:rsidR="0069687C" w:rsidRPr="00F64312">
        <w:rPr>
          <w:color w:val="auto"/>
          <w:szCs w:val="24"/>
        </w:rPr>
        <w:t xml:space="preserve">There were </w:t>
      </w:r>
      <w:r w:rsidR="004152B7" w:rsidRPr="00B43658">
        <w:rPr>
          <w:color w:val="auto"/>
          <w:szCs w:val="24"/>
        </w:rPr>
        <w:t>two</w:t>
      </w:r>
      <w:r w:rsidR="004152B7">
        <w:rPr>
          <w:color w:val="auto"/>
          <w:szCs w:val="24"/>
        </w:rPr>
        <w:t xml:space="preserve"> </w:t>
      </w:r>
      <w:r w:rsidR="00B43658">
        <w:rPr>
          <w:color w:val="auto"/>
          <w:szCs w:val="24"/>
        </w:rPr>
        <w:t xml:space="preserve">goniometric </w:t>
      </w:r>
      <w:r w:rsidR="00E54781">
        <w:rPr>
          <w:color w:val="auto"/>
          <w:szCs w:val="24"/>
        </w:rPr>
        <w:t>range-of-</w:t>
      </w:r>
      <w:r w:rsidR="0069687C" w:rsidRPr="00F64312">
        <w:rPr>
          <w:color w:val="auto"/>
          <w:szCs w:val="24"/>
        </w:rPr>
        <w:t>motion (ROM) evaluations in evidence, with documentation of additional ratable criteria, which the Board weighed in arrivi</w:t>
      </w:r>
      <w:r w:rsidR="00735E7D">
        <w:rPr>
          <w:color w:val="auto"/>
          <w:szCs w:val="24"/>
        </w:rPr>
        <w:t>ng at its rating recommendation,</w:t>
      </w:r>
      <w:r w:rsidR="0069687C" w:rsidRPr="00F64312">
        <w:rPr>
          <w:color w:val="auto"/>
          <w:szCs w:val="24"/>
        </w:rPr>
        <w:t xml:space="preserve"> as summarized in the chart below.</w:t>
      </w:r>
    </w:p>
    <w:p w:rsidR="00836B7B" w:rsidRPr="00F64312" w:rsidRDefault="00836B7B" w:rsidP="0069687C">
      <w:pPr>
        <w:jc w:val="both"/>
        <w:rPr>
          <w:color w:val="auto"/>
          <w:szCs w:val="24"/>
        </w:rPr>
      </w:pPr>
    </w:p>
    <w:tbl>
      <w:tblPr>
        <w:tblW w:w="6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250"/>
        <w:gridCol w:w="2250"/>
      </w:tblGrid>
      <w:tr w:rsidR="00450F69" w:rsidRPr="00F64312" w:rsidTr="00450F69">
        <w:trPr>
          <w:jc w:val="center"/>
        </w:trPr>
        <w:tc>
          <w:tcPr>
            <w:tcW w:w="2269" w:type="dxa"/>
            <w:shd w:val="clear" w:color="auto" w:fill="D9D9D9" w:themeFill="background1" w:themeFillShade="D9"/>
            <w:vAlign w:val="center"/>
          </w:tcPr>
          <w:p w:rsidR="00450F69" w:rsidRPr="00F64312" w:rsidRDefault="00450F69" w:rsidP="00532306">
            <w:pPr>
              <w:spacing w:line="220" w:lineRule="exact"/>
              <w:contextualSpacing/>
              <w:rPr>
                <w:rFonts w:asciiTheme="majorHAnsi" w:eastAsia="Calibri" w:hAnsiTheme="majorHAnsi" w:cstheme="majorHAnsi"/>
                <w:color w:val="auto"/>
                <w:sz w:val="18"/>
                <w:szCs w:val="18"/>
              </w:rPr>
            </w:pPr>
            <w:r w:rsidRPr="00B56BF7">
              <w:rPr>
                <w:rFonts w:asciiTheme="majorHAnsi" w:eastAsia="Calibri" w:hAnsiTheme="majorHAnsi" w:cstheme="majorHAnsi"/>
                <w:color w:val="auto"/>
                <w:sz w:val="18"/>
                <w:szCs w:val="18"/>
              </w:rPr>
              <w:t>Left Wrist</w:t>
            </w:r>
            <w:r w:rsidRPr="00F64312">
              <w:rPr>
                <w:rFonts w:asciiTheme="majorHAnsi" w:eastAsia="Calibri" w:hAnsiTheme="majorHAnsi" w:cstheme="majorHAnsi"/>
                <w:color w:val="auto"/>
                <w:sz w:val="18"/>
                <w:szCs w:val="18"/>
              </w:rPr>
              <w:t xml:space="preserve"> ROM</w:t>
            </w:r>
            <w:r>
              <w:rPr>
                <w:rFonts w:asciiTheme="majorHAnsi" w:eastAsia="Calibri" w:hAnsiTheme="majorHAnsi" w:cstheme="majorHAnsi"/>
                <w:color w:val="auto"/>
                <w:sz w:val="18"/>
                <w:szCs w:val="18"/>
              </w:rPr>
              <w:t xml:space="preserve"> degrees</w:t>
            </w:r>
          </w:p>
        </w:tc>
        <w:tc>
          <w:tcPr>
            <w:tcW w:w="2250" w:type="dxa"/>
            <w:shd w:val="clear" w:color="auto" w:fill="D9D9D9" w:themeFill="background1" w:themeFillShade="D9"/>
          </w:tcPr>
          <w:p w:rsidR="00450F69" w:rsidRPr="00F64312" w:rsidRDefault="00450F69" w:rsidP="00532306">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Ortho ~6 Mo. Pre-Sep</w:t>
            </w:r>
          </w:p>
        </w:tc>
        <w:tc>
          <w:tcPr>
            <w:tcW w:w="2250" w:type="dxa"/>
            <w:shd w:val="clear" w:color="auto" w:fill="D9D9D9" w:themeFill="background1" w:themeFillShade="D9"/>
            <w:vAlign w:val="center"/>
          </w:tcPr>
          <w:p w:rsidR="00450F69" w:rsidRPr="00F64312" w:rsidRDefault="00450F69" w:rsidP="00450F69">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O</w:t>
            </w:r>
            <w:r w:rsidRPr="00F64312">
              <w:rPr>
                <w:rFonts w:asciiTheme="majorHAnsi" w:eastAsia="Calibri" w:hAnsiTheme="majorHAnsi" w:cstheme="majorHAnsi"/>
                <w:color w:val="auto"/>
                <w:sz w:val="18"/>
                <w:szCs w:val="18"/>
              </w:rPr>
              <w:t>T ~</w:t>
            </w:r>
            <w:r>
              <w:rPr>
                <w:rFonts w:asciiTheme="majorHAnsi" w:eastAsia="Calibri" w:hAnsiTheme="majorHAnsi" w:cstheme="majorHAnsi"/>
                <w:color w:val="auto"/>
                <w:sz w:val="18"/>
                <w:szCs w:val="18"/>
              </w:rPr>
              <w:t>4</w:t>
            </w:r>
            <w:r w:rsidRPr="00F64312">
              <w:rPr>
                <w:rFonts w:asciiTheme="majorHAnsi" w:eastAsia="Calibri" w:hAnsiTheme="majorHAnsi" w:cstheme="majorHAnsi"/>
                <w:color w:val="auto"/>
                <w:sz w:val="18"/>
                <w:szCs w:val="18"/>
              </w:rPr>
              <w:t xml:space="preserve"> Mo. Pre-Sep</w:t>
            </w:r>
          </w:p>
        </w:tc>
      </w:tr>
      <w:tr w:rsidR="00450F69" w:rsidRPr="00F64312" w:rsidTr="00450F69">
        <w:trPr>
          <w:jc w:val="center"/>
        </w:trPr>
        <w:tc>
          <w:tcPr>
            <w:tcW w:w="2269" w:type="dxa"/>
            <w:vAlign w:val="center"/>
          </w:tcPr>
          <w:p w:rsidR="00450F69" w:rsidRPr="00F64312" w:rsidRDefault="00450F69" w:rsidP="00532306">
            <w:pPr>
              <w:spacing w:line="22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Dorsiflexion (0-70)</w:t>
            </w:r>
          </w:p>
        </w:tc>
        <w:tc>
          <w:tcPr>
            <w:tcW w:w="2250" w:type="dxa"/>
          </w:tcPr>
          <w:p w:rsidR="00450F69" w:rsidRPr="00F131C6" w:rsidRDefault="00450F69" w:rsidP="00F131C6">
            <w:pPr>
              <w:spacing w:line="220" w:lineRule="exact"/>
              <w:contextualSpacing/>
              <w:rPr>
                <w:rFonts w:asciiTheme="majorHAnsi" w:eastAsia="Calibri" w:hAnsiTheme="majorHAnsi" w:cstheme="majorHAnsi"/>
                <w:color w:val="auto"/>
                <w:sz w:val="18"/>
                <w:szCs w:val="18"/>
              </w:rPr>
            </w:pPr>
            <w:r w:rsidRPr="00F131C6">
              <w:rPr>
                <w:rFonts w:asciiTheme="majorHAnsi" w:eastAsia="Calibri" w:hAnsiTheme="majorHAnsi" w:cstheme="majorHAnsi"/>
                <w:color w:val="auto"/>
                <w:sz w:val="18"/>
                <w:szCs w:val="18"/>
              </w:rPr>
              <w:t>75</w:t>
            </w:r>
          </w:p>
        </w:tc>
        <w:tc>
          <w:tcPr>
            <w:tcW w:w="2250" w:type="dxa"/>
            <w:vAlign w:val="center"/>
          </w:tcPr>
          <w:p w:rsidR="00450F69" w:rsidRPr="00F131C6" w:rsidRDefault="00450F69" w:rsidP="00532306">
            <w:pPr>
              <w:spacing w:line="220" w:lineRule="exact"/>
              <w:contextualSpacing/>
              <w:rPr>
                <w:rFonts w:asciiTheme="majorHAnsi" w:eastAsia="Calibri" w:hAnsiTheme="majorHAnsi" w:cstheme="majorHAnsi"/>
                <w:color w:val="auto"/>
                <w:sz w:val="18"/>
                <w:szCs w:val="18"/>
              </w:rPr>
            </w:pPr>
            <w:r w:rsidRPr="00F131C6">
              <w:rPr>
                <w:rFonts w:asciiTheme="majorHAnsi" w:eastAsia="Calibri" w:hAnsiTheme="majorHAnsi" w:cstheme="majorHAnsi"/>
                <w:color w:val="auto"/>
                <w:sz w:val="18"/>
                <w:szCs w:val="18"/>
              </w:rPr>
              <w:t>60</w:t>
            </w:r>
          </w:p>
        </w:tc>
      </w:tr>
      <w:tr w:rsidR="00450F69" w:rsidRPr="00F64312" w:rsidTr="00450F69">
        <w:trPr>
          <w:jc w:val="center"/>
        </w:trPr>
        <w:tc>
          <w:tcPr>
            <w:tcW w:w="2269" w:type="dxa"/>
            <w:vAlign w:val="center"/>
          </w:tcPr>
          <w:p w:rsidR="00450F69" w:rsidRPr="00F64312" w:rsidRDefault="00450F69" w:rsidP="00532306">
            <w:pPr>
              <w:spacing w:line="22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Palmar Flexion (0-80)</w:t>
            </w:r>
          </w:p>
        </w:tc>
        <w:tc>
          <w:tcPr>
            <w:tcW w:w="2250" w:type="dxa"/>
          </w:tcPr>
          <w:p w:rsidR="00450F69" w:rsidRPr="00F131C6" w:rsidRDefault="00450F69" w:rsidP="00532306">
            <w:pPr>
              <w:spacing w:line="220" w:lineRule="exact"/>
              <w:contextualSpacing/>
              <w:rPr>
                <w:rFonts w:asciiTheme="majorHAnsi" w:eastAsia="Calibri" w:hAnsiTheme="majorHAnsi" w:cstheme="majorHAnsi"/>
                <w:color w:val="auto"/>
                <w:sz w:val="18"/>
                <w:szCs w:val="18"/>
              </w:rPr>
            </w:pPr>
            <w:r w:rsidRPr="00F131C6">
              <w:rPr>
                <w:rFonts w:asciiTheme="majorHAnsi" w:eastAsia="Calibri" w:hAnsiTheme="majorHAnsi" w:cstheme="majorHAnsi"/>
                <w:color w:val="auto"/>
                <w:sz w:val="18"/>
                <w:szCs w:val="18"/>
              </w:rPr>
              <w:t>65</w:t>
            </w:r>
          </w:p>
        </w:tc>
        <w:tc>
          <w:tcPr>
            <w:tcW w:w="2250" w:type="dxa"/>
            <w:vAlign w:val="center"/>
          </w:tcPr>
          <w:p w:rsidR="00450F69" w:rsidRPr="00F131C6" w:rsidRDefault="00450F69" w:rsidP="00F73313">
            <w:pPr>
              <w:spacing w:line="220" w:lineRule="exact"/>
              <w:contextualSpacing/>
              <w:rPr>
                <w:rFonts w:asciiTheme="majorHAnsi" w:eastAsia="Calibri" w:hAnsiTheme="majorHAnsi" w:cstheme="majorHAnsi"/>
                <w:color w:val="auto"/>
                <w:sz w:val="18"/>
                <w:szCs w:val="18"/>
              </w:rPr>
            </w:pPr>
            <w:r w:rsidRPr="00F131C6">
              <w:rPr>
                <w:rFonts w:asciiTheme="majorHAnsi" w:eastAsia="Calibri" w:hAnsiTheme="majorHAnsi" w:cstheme="majorHAnsi"/>
                <w:color w:val="auto"/>
                <w:sz w:val="18"/>
                <w:szCs w:val="18"/>
              </w:rPr>
              <w:t>90</w:t>
            </w:r>
          </w:p>
        </w:tc>
      </w:tr>
      <w:tr w:rsidR="00450F69" w:rsidRPr="00F64312" w:rsidTr="00450F69">
        <w:trPr>
          <w:jc w:val="center"/>
        </w:trPr>
        <w:tc>
          <w:tcPr>
            <w:tcW w:w="2269" w:type="dxa"/>
            <w:vAlign w:val="center"/>
          </w:tcPr>
          <w:p w:rsidR="00450F69" w:rsidRPr="00F64312" w:rsidRDefault="00450F69" w:rsidP="00532306">
            <w:pPr>
              <w:spacing w:line="22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Ulnar Deviation (0-45)</w:t>
            </w:r>
          </w:p>
        </w:tc>
        <w:tc>
          <w:tcPr>
            <w:tcW w:w="2250" w:type="dxa"/>
          </w:tcPr>
          <w:p w:rsidR="00450F69" w:rsidRPr="00F131C6" w:rsidRDefault="00450F69" w:rsidP="00532306">
            <w:pPr>
              <w:spacing w:line="220" w:lineRule="exact"/>
              <w:contextualSpacing/>
              <w:rPr>
                <w:rFonts w:asciiTheme="majorHAnsi" w:eastAsia="Calibri" w:hAnsiTheme="majorHAnsi" w:cstheme="majorHAnsi"/>
                <w:color w:val="auto"/>
                <w:sz w:val="18"/>
                <w:szCs w:val="18"/>
              </w:rPr>
            </w:pPr>
            <w:r w:rsidRPr="00F131C6">
              <w:rPr>
                <w:rFonts w:asciiTheme="majorHAnsi" w:eastAsia="Calibri" w:hAnsiTheme="majorHAnsi" w:cstheme="majorHAnsi"/>
                <w:color w:val="auto"/>
                <w:sz w:val="18"/>
                <w:szCs w:val="18"/>
              </w:rPr>
              <w:t>20</w:t>
            </w:r>
          </w:p>
        </w:tc>
        <w:tc>
          <w:tcPr>
            <w:tcW w:w="2250" w:type="dxa"/>
            <w:vAlign w:val="center"/>
          </w:tcPr>
          <w:p w:rsidR="00450F69" w:rsidRPr="00F131C6" w:rsidRDefault="00450F69" w:rsidP="00532306">
            <w:pPr>
              <w:spacing w:line="220" w:lineRule="exact"/>
              <w:contextualSpacing/>
              <w:rPr>
                <w:rFonts w:asciiTheme="majorHAnsi" w:eastAsia="Calibri" w:hAnsiTheme="majorHAnsi" w:cstheme="majorHAnsi"/>
                <w:color w:val="auto"/>
                <w:sz w:val="18"/>
                <w:szCs w:val="18"/>
              </w:rPr>
            </w:pPr>
            <w:r w:rsidRPr="00F131C6">
              <w:rPr>
                <w:rFonts w:asciiTheme="majorHAnsi" w:eastAsia="Calibri" w:hAnsiTheme="majorHAnsi" w:cstheme="majorHAnsi"/>
                <w:color w:val="auto"/>
                <w:sz w:val="18"/>
                <w:szCs w:val="18"/>
              </w:rPr>
              <w:t>30</w:t>
            </w:r>
          </w:p>
        </w:tc>
      </w:tr>
      <w:tr w:rsidR="00450F69" w:rsidRPr="00F64312" w:rsidTr="00450F69">
        <w:trPr>
          <w:jc w:val="center"/>
        </w:trPr>
        <w:tc>
          <w:tcPr>
            <w:tcW w:w="2269" w:type="dxa"/>
            <w:vAlign w:val="center"/>
          </w:tcPr>
          <w:p w:rsidR="00450F69" w:rsidRPr="00F64312" w:rsidRDefault="00450F69" w:rsidP="0053230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Radial Deviation (0-20</w:t>
            </w:r>
            <w:r w:rsidRPr="00F64312">
              <w:rPr>
                <w:rFonts w:asciiTheme="majorHAnsi" w:eastAsia="Calibri" w:hAnsiTheme="majorHAnsi" w:cstheme="majorHAnsi"/>
                <w:color w:val="auto"/>
                <w:sz w:val="18"/>
                <w:szCs w:val="18"/>
              </w:rPr>
              <w:t>)</w:t>
            </w:r>
          </w:p>
        </w:tc>
        <w:tc>
          <w:tcPr>
            <w:tcW w:w="2250" w:type="dxa"/>
          </w:tcPr>
          <w:p w:rsidR="00450F69" w:rsidRPr="00F131C6" w:rsidRDefault="00450F69" w:rsidP="00532306">
            <w:pPr>
              <w:spacing w:line="220" w:lineRule="exact"/>
              <w:contextualSpacing/>
              <w:rPr>
                <w:rFonts w:asciiTheme="majorHAnsi" w:eastAsia="Calibri" w:hAnsiTheme="majorHAnsi" w:cstheme="majorHAnsi"/>
                <w:color w:val="auto"/>
                <w:sz w:val="18"/>
                <w:szCs w:val="18"/>
              </w:rPr>
            </w:pPr>
            <w:r w:rsidRPr="00F131C6">
              <w:rPr>
                <w:rFonts w:asciiTheme="majorHAnsi" w:eastAsia="Calibri" w:hAnsiTheme="majorHAnsi" w:cstheme="majorHAnsi"/>
                <w:color w:val="auto"/>
                <w:sz w:val="18"/>
                <w:szCs w:val="18"/>
              </w:rPr>
              <w:t>20</w:t>
            </w:r>
          </w:p>
        </w:tc>
        <w:tc>
          <w:tcPr>
            <w:tcW w:w="2250" w:type="dxa"/>
            <w:vAlign w:val="center"/>
          </w:tcPr>
          <w:p w:rsidR="00450F69" w:rsidRPr="00F131C6" w:rsidRDefault="00450F69" w:rsidP="00532306">
            <w:pPr>
              <w:spacing w:line="220" w:lineRule="exact"/>
              <w:contextualSpacing/>
              <w:rPr>
                <w:rFonts w:asciiTheme="majorHAnsi" w:eastAsia="Calibri" w:hAnsiTheme="majorHAnsi" w:cstheme="majorHAnsi"/>
                <w:color w:val="auto"/>
                <w:sz w:val="18"/>
                <w:szCs w:val="18"/>
              </w:rPr>
            </w:pPr>
            <w:r w:rsidRPr="00F131C6">
              <w:rPr>
                <w:rFonts w:asciiTheme="majorHAnsi" w:eastAsia="Calibri" w:hAnsiTheme="majorHAnsi" w:cstheme="majorHAnsi"/>
                <w:color w:val="auto"/>
                <w:sz w:val="18"/>
                <w:szCs w:val="18"/>
              </w:rPr>
              <w:t>10</w:t>
            </w:r>
          </w:p>
        </w:tc>
      </w:tr>
      <w:tr w:rsidR="00450F69" w:rsidRPr="00F64312" w:rsidTr="00450F69">
        <w:trPr>
          <w:jc w:val="center"/>
        </w:trPr>
        <w:tc>
          <w:tcPr>
            <w:tcW w:w="2269" w:type="dxa"/>
            <w:vAlign w:val="center"/>
          </w:tcPr>
          <w:p w:rsidR="00450F69" w:rsidRPr="00F64312" w:rsidRDefault="00450F69" w:rsidP="00532306">
            <w:pPr>
              <w:tabs>
                <w:tab w:val="left" w:pos="288"/>
                <w:tab w:val="left" w:pos="4752"/>
              </w:tabs>
              <w:spacing w:line="220" w:lineRule="exact"/>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Comment</w:t>
            </w:r>
          </w:p>
        </w:tc>
        <w:tc>
          <w:tcPr>
            <w:tcW w:w="2250" w:type="dxa"/>
          </w:tcPr>
          <w:p w:rsidR="00450F69" w:rsidRPr="00F131C6" w:rsidRDefault="00450F69" w:rsidP="00A76F4D">
            <w:pPr>
              <w:pStyle w:val="ListParagraph"/>
              <w:spacing w:after="0" w:line="220" w:lineRule="exact"/>
              <w:ind w:left="0"/>
              <w:rPr>
                <w:rFonts w:asciiTheme="majorHAnsi" w:eastAsia="Calibri" w:hAnsiTheme="majorHAnsi" w:cstheme="majorHAnsi"/>
                <w:sz w:val="18"/>
                <w:szCs w:val="18"/>
              </w:rPr>
            </w:pPr>
            <w:r w:rsidRPr="00F131C6">
              <w:rPr>
                <w:rFonts w:asciiTheme="majorHAnsi" w:eastAsia="Calibri" w:hAnsiTheme="majorHAnsi" w:cstheme="majorHAnsi"/>
                <w:sz w:val="18"/>
                <w:szCs w:val="18"/>
              </w:rPr>
              <w:t>Pain with use</w:t>
            </w:r>
          </w:p>
        </w:tc>
        <w:tc>
          <w:tcPr>
            <w:tcW w:w="2250" w:type="dxa"/>
            <w:vAlign w:val="center"/>
          </w:tcPr>
          <w:p w:rsidR="00450F69" w:rsidRPr="00F131C6" w:rsidRDefault="00450F69" w:rsidP="00A76F4D">
            <w:pPr>
              <w:pStyle w:val="ListParagraph"/>
              <w:spacing w:after="0" w:line="220" w:lineRule="exact"/>
              <w:ind w:left="0"/>
              <w:rPr>
                <w:rFonts w:asciiTheme="majorHAnsi" w:eastAsia="Calibri" w:hAnsiTheme="majorHAnsi" w:cstheme="majorHAnsi"/>
                <w:sz w:val="18"/>
                <w:szCs w:val="18"/>
              </w:rPr>
            </w:pPr>
          </w:p>
        </w:tc>
      </w:tr>
      <w:tr w:rsidR="00450F69" w:rsidRPr="00F64312" w:rsidTr="00450F69">
        <w:trPr>
          <w:jc w:val="center"/>
        </w:trPr>
        <w:tc>
          <w:tcPr>
            <w:tcW w:w="2269" w:type="dxa"/>
            <w:vAlign w:val="center"/>
          </w:tcPr>
          <w:p w:rsidR="00450F69" w:rsidRPr="00F64312" w:rsidRDefault="00450F69" w:rsidP="00532306">
            <w:pPr>
              <w:tabs>
                <w:tab w:val="left" w:pos="288"/>
                <w:tab w:val="left" w:pos="4752"/>
              </w:tabs>
              <w:spacing w:line="220" w:lineRule="exact"/>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§4.71a Rating</w:t>
            </w:r>
          </w:p>
        </w:tc>
        <w:tc>
          <w:tcPr>
            <w:tcW w:w="2250" w:type="dxa"/>
          </w:tcPr>
          <w:p w:rsidR="00450F69" w:rsidRPr="00750B0F" w:rsidRDefault="00450F69" w:rsidP="00532306">
            <w:pPr>
              <w:pStyle w:val="ListParagraph"/>
              <w:spacing w:after="0" w:line="22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c>
          <w:tcPr>
            <w:tcW w:w="2250" w:type="dxa"/>
            <w:vAlign w:val="center"/>
          </w:tcPr>
          <w:p w:rsidR="00450F69" w:rsidRPr="00F64312" w:rsidRDefault="00450F69" w:rsidP="00532306">
            <w:pPr>
              <w:pStyle w:val="ListParagraph"/>
              <w:spacing w:after="0" w:line="220" w:lineRule="exact"/>
              <w:ind w:left="0"/>
              <w:rPr>
                <w:rFonts w:asciiTheme="majorHAnsi" w:eastAsia="Calibri" w:hAnsiTheme="majorHAnsi" w:cstheme="majorHAnsi"/>
                <w:sz w:val="18"/>
                <w:szCs w:val="18"/>
                <w:highlight w:val="lightGray"/>
              </w:rPr>
            </w:pPr>
            <w:r w:rsidRPr="00750B0F">
              <w:rPr>
                <w:rFonts w:asciiTheme="majorHAnsi" w:eastAsia="Calibri" w:hAnsiTheme="majorHAnsi" w:cstheme="majorHAnsi"/>
                <w:sz w:val="18"/>
                <w:szCs w:val="18"/>
              </w:rPr>
              <w:t>10%*</w:t>
            </w:r>
          </w:p>
        </w:tc>
      </w:tr>
    </w:tbl>
    <w:p w:rsidR="00836B7B" w:rsidRPr="00A76F4D" w:rsidRDefault="00F131C6" w:rsidP="00F131C6">
      <w:pPr>
        <w:ind w:firstLine="720"/>
        <w:jc w:val="both"/>
        <w:rPr>
          <w:color w:val="auto"/>
          <w:sz w:val="18"/>
          <w:szCs w:val="18"/>
        </w:rPr>
      </w:pPr>
      <w:r>
        <w:rPr>
          <w:color w:val="auto"/>
          <w:sz w:val="18"/>
          <w:szCs w:val="18"/>
        </w:rPr>
        <w:t xml:space="preserve">             </w:t>
      </w:r>
      <w:r w:rsidR="00A76F4D">
        <w:rPr>
          <w:color w:val="auto"/>
          <w:sz w:val="18"/>
          <w:szCs w:val="18"/>
        </w:rPr>
        <w:t>*Conceding pain with use</w:t>
      </w:r>
      <w:r w:rsidR="00750B0F">
        <w:rPr>
          <w:color w:val="auto"/>
          <w:sz w:val="18"/>
          <w:szCs w:val="18"/>
        </w:rPr>
        <w:t xml:space="preserve"> or painful motion</w:t>
      </w:r>
    </w:p>
    <w:p w:rsidR="00E97C03" w:rsidRDefault="00E97C03" w:rsidP="0069687C">
      <w:pPr>
        <w:jc w:val="both"/>
        <w:rPr>
          <w:color w:val="auto"/>
          <w:szCs w:val="24"/>
        </w:rPr>
      </w:pPr>
    </w:p>
    <w:p w:rsidR="00E627E9" w:rsidRDefault="00FE35EB" w:rsidP="00E627E9">
      <w:pPr>
        <w:jc w:val="both"/>
        <w:rPr>
          <w:color w:val="auto"/>
          <w:szCs w:val="24"/>
        </w:rPr>
      </w:pPr>
      <w:r>
        <w:rPr>
          <w:color w:val="auto"/>
        </w:rPr>
        <w:t xml:space="preserve">A magnetic resonance imaging (MRI) performed 13 months after surgery was normal.  </w:t>
      </w:r>
      <w:r>
        <w:rPr>
          <w:color w:val="auto"/>
          <w:szCs w:val="24"/>
        </w:rPr>
        <w:t>An orthopedic outpatient evaluation 10 months prior to separation</w:t>
      </w:r>
      <w:r w:rsidR="00F131C6">
        <w:rPr>
          <w:color w:val="auto"/>
          <w:szCs w:val="24"/>
        </w:rPr>
        <w:t xml:space="preserve"> </w:t>
      </w:r>
      <w:r>
        <w:rPr>
          <w:color w:val="auto"/>
          <w:szCs w:val="24"/>
        </w:rPr>
        <w:t>reported that the CI experienced 7/10 pain with use of the left wrist.</w:t>
      </w:r>
      <w:r w:rsidR="00F131C6">
        <w:rPr>
          <w:color w:val="auto"/>
          <w:szCs w:val="24"/>
        </w:rPr>
        <w:t xml:space="preserve">  </w:t>
      </w:r>
      <w:r w:rsidR="00B43658">
        <w:rPr>
          <w:color w:val="auto"/>
          <w:szCs w:val="24"/>
        </w:rPr>
        <w:t>At the MEB exam</w:t>
      </w:r>
      <w:r w:rsidR="001654C0">
        <w:rPr>
          <w:color w:val="auto"/>
          <w:szCs w:val="24"/>
        </w:rPr>
        <w:t xml:space="preserve"> </w:t>
      </w:r>
      <w:r w:rsidR="00E54781">
        <w:rPr>
          <w:color w:val="auto"/>
          <w:szCs w:val="24"/>
        </w:rPr>
        <w:t>4</w:t>
      </w:r>
      <w:r w:rsidR="001654C0">
        <w:rPr>
          <w:color w:val="auto"/>
          <w:szCs w:val="24"/>
        </w:rPr>
        <w:t xml:space="preserve"> months prior to separation</w:t>
      </w:r>
      <w:r w:rsidR="00B43658">
        <w:rPr>
          <w:color w:val="auto"/>
          <w:szCs w:val="24"/>
        </w:rPr>
        <w:t>, the CI reported that pain occurred when attempting push-ups</w:t>
      </w:r>
      <w:r w:rsidR="001654C0">
        <w:rPr>
          <w:color w:val="auto"/>
          <w:szCs w:val="24"/>
        </w:rPr>
        <w:t>,</w:t>
      </w:r>
      <w:r w:rsidR="00B43658">
        <w:rPr>
          <w:color w:val="auto"/>
          <w:szCs w:val="24"/>
        </w:rPr>
        <w:t xml:space="preserve"> and limited his ability to lift weights and handle weapons.  </w:t>
      </w:r>
      <w:r w:rsidR="00A21CAC">
        <w:rPr>
          <w:color w:val="auto"/>
          <w:szCs w:val="24"/>
        </w:rPr>
        <w:t xml:space="preserve">The pain caused him to type less often.  </w:t>
      </w:r>
      <w:r w:rsidR="00B43658">
        <w:rPr>
          <w:color w:val="auto"/>
          <w:szCs w:val="24"/>
        </w:rPr>
        <w:t xml:space="preserve">Examination revealed a surgical scar on the dorsal aspect of the left wrist.  No swelling was present.  </w:t>
      </w:r>
      <w:r w:rsidR="00E97C03">
        <w:rPr>
          <w:color w:val="auto"/>
          <w:szCs w:val="24"/>
        </w:rPr>
        <w:t xml:space="preserve">ROM </w:t>
      </w:r>
      <w:r w:rsidR="001654C0">
        <w:rPr>
          <w:color w:val="auto"/>
          <w:szCs w:val="24"/>
        </w:rPr>
        <w:t>of the wrist was</w:t>
      </w:r>
      <w:r w:rsidR="00E97C03">
        <w:rPr>
          <w:color w:val="auto"/>
          <w:szCs w:val="24"/>
        </w:rPr>
        <w:t xml:space="preserve"> </w:t>
      </w:r>
      <w:r w:rsidR="001654C0">
        <w:rPr>
          <w:color w:val="auto"/>
          <w:szCs w:val="24"/>
        </w:rPr>
        <w:t>“</w:t>
      </w:r>
      <w:r w:rsidR="00E97C03">
        <w:rPr>
          <w:color w:val="auto"/>
          <w:szCs w:val="24"/>
        </w:rPr>
        <w:t>normal.</w:t>
      </w:r>
      <w:r w:rsidR="001654C0">
        <w:rPr>
          <w:color w:val="auto"/>
          <w:szCs w:val="24"/>
        </w:rPr>
        <w:t>”</w:t>
      </w:r>
      <w:r w:rsidR="00E97C03">
        <w:rPr>
          <w:color w:val="auto"/>
          <w:szCs w:val="24"/>
        </w:rPr>
        <w:t xml:space="preserve">  </w:t>
      </w:r>
      <w:r w:rsidR="00750B0F">
        <w:rPr>
          <w:color w:val="auto"/>
          <w:szCs w:val="24"/>
        </w:rPr>
        <w:t xml:space="preserve">The exam was silent regarding tenderness or painful motion.  </w:t>
      </w:r>
      <w:r w:rsidR="00762333">
        <w:rPr>
          <w:color w:val="auto"/>
          <w:szCs w:val="24"/>
        </w:rPr>
        <w:t>The MEB occupational</w:t>
      </w:r>
      <w:r w:rsidR="001654C0">
        <w:rPr>
          <w:color w:val="auto"/>
          <w:szCs w:val="24"/>
        </w:rPr>
        <w:t xml:space="preserve"> therapist</w:t>
      </w:r>
      <w:r w:rsidR="00F131C6">
        <w:rPr>
          <w:color w:val="auto"/>
          <w:szCs w:val="24"/>
        </w:rPr>
        <w:t xml:space="preserve"> (OT)</w:t>
      </w:r>
      <w:r w:rsidR="001654C0">
        <w:rPr>
          <w:color w:val="auto"/>
          <w:szCs w:val="24"/>
        </w:rPr>
        <w:t xml:space="preserve"> reported normal measured grip strength</w:t>
      </w:r>
      <w:r w:rsidR="00FB16EE">
        <w:rPr>
          <w:color w:val="auto"/>
          <w:szCs w:val="24"/>
        </w:rPr>
        <w:t>, and forearm pronation and supination of 85 degrees (normal to 80 degrees).</w:t>
      </w:r>
      <w:r w:rsidR="007B1C88">
        <w:rPr>
          <w:color w:val="auto"/>
          <w:szCs w:val="24"/>
        </w:rPr>
        <w:t xml:space="preserve">  </w:t>
      </w:r>
      <w:r w:rsidR="004C6991">
        <w:rPr>
          <w:color w:val="auto"/>
          <w:szCs w:val="24"/>
        </w:rPr>
        <w:t xml:space="preserve">At the VA exam </w:t>
      </w:r>
      <w:r w:rsidR="00E54781">
        <w:rPr>
          <w:color w:val="auto"/>
          <w:szCs w:val="24"/>
        </w:rPr>
        <w:t xml:space="preserve">performed on 27 July 2005, </w:t>
      </w:r>
      <w:r w:rsidR="004C6991">
        <w:rPr>
          <w:color w:val="auto"/>
          <w:szCs w:val="24"/>
        </w:rPr>
        <w:t>28 months after separation</w:t>
      </w:r>
      <w:r w:rsidR="00E54781">
        <w:rPr>
          <w:color w:val="auto"/>
          <w:szCs w:val="24"/>
        </w:rPr>
        <w:t xml:space="preserve">, </w:t>
      </w:r>
      <w:r w:rsidR="004C6991">
        <w:rPr>
          <w:color w:val="auto"/>
          <w:szCs w:val="24"/>
        </w:rPr>
        <w:t>the CI stated he had not been seen for the condition since he separated from the service, and was not taking medication for it.  He tried a brace but it was not hel</w:t>
      </w:r>
      <w:r w:rsidR="00750B0F">
        <w:rPr>
          <w:color w:val="auto"/>
          <w:szCs w:val="24"/>
        </w:rPr>
        <w:t>p</w:t>
      </w:r>
      <w:r w:rsidR="004C6991">
        <w:rPr>
          <w:color w:val="auto"/>
          <w:szCs w:val="24"/>
        </w:rPr>
        <w:t>ful.  He continued to experience left wrist pain that worsened in the winter and was exacerbated by lifting or repetitive wrist activities.  He denied weakness</w:t>
      </w:r>
      <w:r w:rsidR="00FA1EDA">
        <w:rPr>
          <w:color w:val="auto"/>
          <w:szCs w:val="24"/>
        </w:rPr>
        <w:t>,</w:t>
      </w:r>
      <w:r w:rsidR="004C6991">
        <w:rPr>
          <w:color w:val="auto"/>
          <w:szCs w:val="24"/>
        </w:rPr>
        <w:t xml:space="preserve"> but noted stiffness and occasional swelling.  He complained </w:t>
      </w:r>
      <w:r w:rsidR="008A0455">
        <w:rPr>
          <w:color w:val="auto"/>
          <w:szCs w:val="24"/>
        </w:rPr>
        <w:t xml:space="preserve">that </w:t>
      </w:r>
      <w:r w:rsidR="004C6991">
        <w:rPr>
          <w:color w:val="auto"/>
          <w:szCs w:val="24"/>
        </w:rPr>
        <w:t xml:space="preserve">the wrist was easily fatigued and lacked endurance.  </w:t>
      </w:r>
      <w:r w:rsidR="0083722F">
        <w:rPr>
          <w:color w:val="auto"/>
          <w:szCs w:val="24"/>
        </w:rPr>
        <w:t>Examination revealed no swelling or redness.  Stren</w:t>
      </w:r>
      <w:r w:rsidR="008A0455">
        <w:rPr>
          <w:color w:val="auto"/>
          <w:szCs w:val="24"/>
        </w:rPr>
        <w:t>gth and sensation were intact, but r</w:t>
      </w:r>
      <w:r w:rsidR="0083722F">
        <w:rPr>
          <w:color w:val="auto"/>
          <w:szCs w:val="24"/>
        </w:rPr>
        <w:t>epetitive use caused fatigue.  X-rays were normal.</w:t>
      </w:r>
    </w:p>
    <w:p w:rsidR="00E627E9" w:rsidRDefault="00E627E9" w:rsidP="00E627E9">
      <w:pPr>
        <w:jc w:val="both"/>
        <w:rPr>
          <w:color w:val="auto"/>
          <w:szCs w:val="24"/>
        </w:rPr>
      </w:pPr>
    </w:p>
    <w:p w:rsidR="00241B01" w:rsidRPr="00FA1EDA" w:rsidRDefault="00AD2379" w:rsidP="00750B0F">
      <w:pPr>
        <w:tabs>
          <w:tab w:val="left" w:pos="288"/>
          <w:tab w:val="left" w:pos="4752"/>
        </w:tabs>
        <w:jc w:val="both"/>
        <w:rPr>
          <w:rFonts w:asciiTheme="majorHAnsi" w:eastAsia="Calibri" w:hAnsiTheme="majorHAnsi" w:cstheme="majorHAnsi"/>
          <w:color w:val="auto"/>
          <w:szCs w:val="24"/>
        </w:rPr>
      </w:pPr>
      <w:r w:rsidRPr="00FA1EDA">
        <w:rPr>
          <w:rFonts w:asciiTheme="majorHAnsi" w:hAnsiTheme="majorHAnsi" w:cstheme="majorHAnsi"/>
          <w:color w:val="auto"/>
        </w:rPr>
        <w:t>The Board directs attenti</w:t>
      </w:r>
      <w:r w:rsidR="00782CC1" w:rsidRPr="00FA1EDA">
        <w:rPr>
          <w:rFonts w:asciiTheme="majorHAnsi" w:hAnsiTheme="majorHAnsi" w:cstheme="majorHAnsi"/>
          <w:color w:val="auto"/>
        </w:rPr>
        <w:t>on to its rating recommendation</w:t>
      </w:r>
      <w:r w:rsidRPr="00FA1EDA">
        <w:rPr>
          <w:rFonts w:asciiTheme="majorHAnsi" w:hAnsiTheme="majorHAnsi" w:cstheme="majorHAnsi"/>
          <w:color w:val="auto"/>
        </w:rPr>
        <w:t xml:space="preserve"> </w:t>
      </w:r>
      <w:r w:rsidR="00B13A51" w:rsidRPr="00FA1EDA">
        <w:rPr>
          <w:rFonts w:asciiTheme="majorHAnsi" w:hAnsiTheme="majorHAnsi" w:cstheme="majorHAnsi"/>
          <w:color w:val="auto"/>
        </w:rPr>
        <w:t>based on the above evidence</w:t>
      </w:r>
      <w:r w:rsidRPr="00FA1EDA">
        <w:rPr>
          <w:rFonts w:asciiTheme="majorHAnsi" w:hAnsiTheme="majorHAnsi" w:cstheme="majorHAnsi"/>
          <w:color w:val="auto"/>
        </w:rPr>
        <w:t>.</w:t>
      </w:r>
      <w:r w:rsidR="00165C7B" w:rsidRPr="00FA1EDA">
        <w:rPr>
          <w:rFonts w:asciiTheme="majorHAnsi" w:hAnsiTheme="majorHAnsi" w:cstheme="majorHAnsi"/>
          <w:color w:val="auto"/>
        </w:rPr>
        <w:t xml:space="preserve">  </w:t>
      </w:r>
      <w:r w:rsidR="00145E4A" w:rsidRPr="00FA1EDA">
        <w:rPr>
          <w:rFonts w:asciiTheme="majorHAnsi" w:hAnsiTheme="majorHAnsi" w:cstheme="majorHAnsi"/>
          <w:color w:val="auto"/>
        </w:rPr>
        <w:t>The PEB assigned a 0% rating under an analogous 5003 code (degenerative arthritis)</w:t>
      </w:r>
      <w:r w:rsidR="00004175" w:rsidRPr="00FA1EDA">
        <w:rPr>
          <w:rFonts w:asciiTheme="majorHAnsi" w:hAnsiTheme="majorHAnsi" w:cstheme="majorHAnsi"/>
          <w:color w:val="auto"/>
        </w:rPr>
        <w:t xml:space="preserve"> </w:t>
      </w:r>
      <w:r w:rsidR="00750B0F" w:rsidRPr="00FA1EDA">
        <w:rPr>
          <w:rFonts w:asciiTheme="majorHAnsi" w:hAnsiTheme="majorHAnsi" w:cstheme="majorHAnsi"/>
          <w:color w:val="auto"/>
        </w:rPr>
        <w:t xml:space="preserve">with application of the USAPDA pain policy.  Although non-compensable limitation of wrist motion was present, the Board debated if the </w:t>
      </w:r>
      <w:r w:rsidR="00CA2B22" w:rsidRPr="00FA1EDA">
        <w:rPr>
          <w:rFonts w:asciiTheme="majorHAnsi" w:hAnsiTheme="majorHAnsi" w:cstheme="majorHAnsi"/>
          <w:color w:val="auto"/>
        </w:rPr>
        <w:t xml:space="preserve">CI’s symptoms were severe enough to warrant </w:t>
      </w:r>
      <w:r w:rsidR="00750B0F" w:rsidRPr="00FA1EDA">
        <w:rPr>
          <w:rFonts w:asciiTheme="majorHAnsi" w:hAnsiTheme="majorHAnsi" w:cstheme="majorHAnsi"/>
          <w:color w:val="auto"/>
        </w:rPr>
        <w:t xml:space="preserve">application of </w:t>
      </w:r>
      <w:r w:rsidR="00750B0F" w:rsidRPr="00FA1EDA">
        <w:rPr>
          <w:rFonts w:asciiTheme="majorHAnsi" w:eastAsia="Calibri" w:hAnsiTheme="majorHAnsi" w:cstheme="majorHAnsi"/>
          <w:color w:val="auto"/>
          <w:szCs w:val="24"/>
        </w:rPr>
        <w:t>§4.40 (</w:t>
      </w:r>
      <w:r w:rsidR="00CA2B22" w:rsidRPr="00FA1EDA">
        <w:rPr>
          <w:rFonts w:asciiTheme="majorHAnsi" w:eastAsia="Calibri" w:hAnsiTheme="majorHAnsi" w:cstheme="majorHAnsi"/>
          <w:color w:val="auto"/>
          <w:szCs w:val="24"/>
        </w:rPr>
        <w:t>functional loss</w:t>
      </w:r>
      <w:r w:rsidR="00750B0F" w:rsidRPr="00FA1EDA">
        <w:rPr>
          <w:rFonts w:asciiTheme="majorHAnsi" w:eastAsia="Calibri" w:hAnsiTheme="majorHAnsi" w:cstheme="majorHAnsi"/>
          <w:color w:val="auto"/>
          <w:szCs w:val="24"/>
        </w:rPr>
        <w:t xml:space="preserve">) </w:t>
      </w:r>
      <w:r w:rsidR="00CA2B22" w:rsidRPr="00FA1EDA">
        <w:rPr>
          <w:rFonts w:asciiTheme="majorHAnsi" w:eastAsia="Calibri" w:hAnsiTheme="majorHAnsi" w:cstheme="majorHAnsi"/>
          <w:color w:val="auto"/>
          <w:szCs w:val="24"/>
        </w:rPr>
        <w:t xml:space="preserve">which states that </w:t>
      </w:r>
      <w:r w:rsidR="00CA2B22" w:rsidRPr="00FA1EDA">
        <w:rPr>
          <w:rFonts w:asciiTheme="majorHAnsi" w:hAnsiTheme="majorHAnsi" w:cstheme="majorHAnsi"/>
          <w:color w:val="auto"/>
          <w:szCs w:val="24"/>
        </w:rPr>
        <w:t xml:space="preserve">“a part which becomes painful on use </w:t>
      </w:r>
      <w:r w:rsidR="00CA2B22" w:rsidRPr="00FA1EDA">
        <w:rPr>
          <w:rFonts w:asciiTheme="majorHAnsi" w:hAnsiTheme="majorHAnsi" w:cstheme="majorHAnsi"/>
          <w:color w:val="auto"/>
          <w:szCs w:val="24"/>
        </w:rPr>
        <w:lastRenderedPageBreak/>
        <w:t xml:space="preserve">must be regarded as seriously disabled.”  </w:t>
      </w:r>
      <w:r w:rsidR="00750B0F" w:rsidRPr="00FA1EDA">
        <w:rPr>
          <w:rFonts w:asciiTheme="majorHAnsi" w:eastAsia="Calibri" w:hAnsiTheme="majorHAnsi" w:cstheme="majorHAnsi"/>
          <w:color w:val="auto"/>
          <w:szCs w:val="24"/>
        </w:rPr>
        <w:t xml:space="preserve">Board members agreed that this pathway to a 10% rating under the PEB’s coding approach was justified.  </w:t>
      </w:r>
      <w:r w:rsidR="00241B01" w:rsidRPr="00FA1EDA">
        <w:rPr>
          <w:rFonts w:asciiTheme="majorHAnsi" w:eastAsia="Calibri" w:hAnsiTheme="majorHAnsi" w:cstheme="majorHAnsi"/>
          <w:color w:val="auto"/>
          <w:szCs w:val="24"/>
        </w:rPr>
        <w:t xml:space="preserve">After due deliberation, considering all of the evidence and mindful of VASRD §4.3 (reasonable doubt), the Board recommends a disability rating of </w:t>
      </w:r>
      <w:r w:rsidR="004152B7" w:rsidRPr="00FA1EDA">
        <w:rPr>
          <w:rFonts w:asciiTheme="majorHAnsi" w:eastAsia="Calibri" w:hAnsiTheme="majorHAnsi" w:cstheme="majorHAnsi"/>
          <w:color w:val="auto"/>
          <w:szCs w:val="24"/>
        </w:rPr>
        <w:t>10</w:t>
      </w:r>
      <w:r w:rsidR="00241B01" w:rsidRPr="00FA1EDA">
        <w:rPr>
          <w:rFonts w:asciiTheme="majorHAnsi" w:eastAsia="Calibri" w:hAnsiTheme="majorHAnsi" w:cstheme="majorHAnsi"/>
          <w:color w:val="auto"/>
          <w:szCs w:val="24"/>
        </w:rPr>
        <w:t xml:space="preserve">% for the </w:t>
      </w:r>
      <w:r w:rsidR="008165E9" w:rsidRPr="00FA1EDA">
        <w:rPr>
          <w:rFonts w:asciiTheme="majorHAnsi" w:hAnsiTheme="majorHAnsi" w:cstheme="majorHAnsi"/>
          <w:color w:val="auto"/>
          <w:szCs w:val="24"/>
        </w:rPr>
        <w:t>chronic</w:t>
      </w:r>
      <w:r w:rsidR="00750B0F" w:rsidRPr="00FA1EDA">
        <w:rPr>
          <w:rFonts w:asciiTheme="majorHAnsi" w:hAnsiTheme="majorHAnsi" w:cstheme="majorHAnsi"/>
          <w:color w:val="auto"/>
          <w:szCs w:val="24"/>
        </w:rPr>
        <w:t xml:space="preserve"> left </w:t>
      </w:r>
      <w:r w:rsidR="008165E9" w:rsidRPr="00FA1EDA">
        <w:rPr>
          <w:rFonts w:asciiTheme="majorHAnsi" w:hAnsiTheme="majorHAnsi" w:cstheme="majorHAnsi"/>
          <w:color w:val="auto"/>
          <w:szCs w:val="24"/>
        </w:rPr>
        <w:t>wrist</w:t>
      </w:r>
      <w:r w:rsidR="00241B01" w:rsidRPr="00FA1EDA">
        <w:rPr>
          <w:rFonts w:asciiTheme="majorHAnsi" w:eastAsia="Calibri" w:hAnsiTheme="majorHAnsi" w:cstheme="majorHAnsi"/>
          <w:color w:val="auto"/>
          <w:szCs w:val="24"/>
        </w:rPr>
        <w:t xml:space="preserve"> </w:t>
      </w:r>
      <w:r w:rsidR="00750B0F" w:rsidRPr="00FA1EDA">
        <w:rPr>
          <w:rFonts w:asciiTheme="majorHAnsi" w:eastAsia="Calibri" w:hAnsiTheme="majorHAnsi" w:cstheme="majorHAnsi"/>
          <w:color w:val="auto"/>
          <w:szCs w:val="24"/>
        </w:rPr>
        <w:t xml:space="preserve">pain </w:t>
      </w:r>
      <w:r w:rsidR="00241B01" w:rsidRPr="00FA1EDA">
        <w:rPr>
          <w:rFonts w:asciiTheme="majorHAnsi" w:eastAsia="Calibri" w:hAnsiTheme="majorHAnsi" w:cstheme="majorHAnsi"/>
          <w:color w:val="auto"/>
          <w:szCs w:val="24"/>
        </w:rPr>
        <w:t>condition.</w:t>
      </w: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750B0F">
        <w:rPr>
          <w:rFonts w:cs="Times New Roman"/>
          <w:color w:val="auto"/>
        </w:rPr>
        <w:t xml:space="preserve">  </w:t>
      </w:r>
      <w:r w:rsidR="00241B01" w:rsidRPr="00F64312">
        <w:rPr>
          <w:rFonts w:eastAsia="Calibri" w:cs="Times New Roman"/>
          <w:color w:val="auto"/>
          <w:szCs w:val="24"/>
        </w:rPr>
        <w:t xml:space="preserve">As discussed above, PEB reliance on </w:t>
      </w:r>
      <w:r w:rsidR="00241B01" w:rsidRPr="008036A2">
        <w:rPr>
          <w:rFonts w:eastAsia="Calibri" w:cs="Times New Roman"/>
          <w:color w:val="auto"/>
          <w:szCs w:val="24"/>
        </w:rPr>
        <w:t>the USAPDA pain policy</w:t>
      </w:r>
      <w:r w:rsidR="00241B01" w:rsidRPr="00F64312">
        <w:rPr>
          <w:rFonts w:eastAsia="Calibri" w:cs="Times New Roman"/>
          <w:color w:val="auto"/>
          <w:szCs w:val="24"/>
        </w:rPr>
        <w:t xml:space="preserve"> for rating </w:t>
      </w:r>
      <w:r w:rsidR="008036A2">
        <w:rPr>
          <w:rFonts w:eastAsia="Calibri" w:cs="Times New Roman"/>
          <w:color w:val="auto"/>
          <w:szCs w:val="24"/>
        </w:rPr>
        <w:t>chronic pain, left wrist</w:t>
      </w:r>
      <w:r w:rsidR="00241B01" w:rsidRPr="00F64312">
        <w:rPr>
          <w:rFonts w:eastAsia="Calibri" w:cs="Times New Roman"/>
          <w:color w:val="auto"/>
          <w:szCs w:val="24"/>
        </w:rPr>
        <w:t xml:space="preserve"> was operant in this case and the condition was adjudicated independently of that policy by the Board.</w:t>
      </w:r>
      <w:r w:rsidR="00FA591B">
        <w:rPr>
          <w:rFonts w:eastAsia="Calibri" w:cs="Times New Roman"/>
          <w:color w:val="auto"/>
          <w:szCs w:val="24"/>
        </w:rPr>
        <w:t xml:space="preserve">  </w:t>
      </w:r>
      <w:r w:rsidR="00241B01" w:rsidRPr="00F64312">
        <w:rPr>
          <w:rFonts w:eastAsia="Calibri" w:cs="Times New Roman"/>
          <w:color w:val="auto"/>
          <w:szCs w:val="24"/>
        </w:rPr>
        <w:t xml:space="preserve">In the matter of </w:t>
      </w:r>
      <w:r w:rsidR="00241B01" w:rsidRPr="00FA591B">
        <w:rPr>
          <w:rFonts w:eastAsia="Calibri" w:cs="Times New Roman"/>
          <w:color w:val="auto"/>
          <w:szCs w:val="24"/>
        </w:rPr>
        <w:t xml:space="preserve">the </w:t>
      </w:r>
      <w:r w:rsidR="008165E9" w:rsidRPr="00FA591B">
        <w:rPr>
          <w:color w:val="auto"/>
          <w:szCs w:val="24"/>
        </w:rPr>
        <w:t xml:space="preserve">chronic </w:t>
      </w:r>
      <w:r w:rsidR="00E66931" w:rsidRPr="00FA591B">
        <w:rPr>
          <w:color w:val="auto"/>
          <w:szCs w:val="24"/>
        </w:rPr>
        <w:t xml:space="preserve">left wrist </w:t>
      </w:r>
      <w:r w:rsidR="008165E9" w:rsidRPr="00FA591B">
        <w:rPr>
          <w:color w:val="auto"/>
          <w:szCs w:val="24"/>
        </w:rPr>
        <w:t>pain</w:t>
      </w:r>
      <w:r w:rsidR="00241B01" w:rsidRPr="00FA591B">
        <w:rPr>
          <w:rFonts w:eastAsia="Calibri" w:cs="Times New Roman"/>
          <w:color w:val="auto"/>
          <w:szCs w:val="24"/>
        </w:rPr>
        <w:t xml:space="preserve"> condition, the Board unanimously recommends a disability rating of </w:t>
      </w:r>
      <w:r w:rsidR="004152B7" w:rsidRPr="00FA591B">
        <w:rPr>
          <w:rFonts w:eastAsia="Calibri" w:cs="Times New Roman"/>
          <w:color w:val="auto"/>
          <w:szCs w:val="24"/>
        </w:rPr>
        <w:t>10</w:t>
      </w:r>
      <w:r w:rsidR="00241B01" w:rsidRPr="00FA591B">
        <w:rPr>
          <w:rFonts w:eastAsia="Calibri" w:cs="Times New Roman"/>
          <w:color w:val="auto"/>
          <w:szCs w:val="24"/>
        </w:rPr>
        <w:t xml:space="preserve">%, coded </w:t>
      </w:r>
      <w:r w:rsidR="004152B7" w:rsidRPr="00FA591B">
        <w:rPr>
          <w:rFonts w:eastAsia="Calibri" w:cs="Times New Roman"/>
          <w:color w:val="auto"/>
          <w:szCs w:val="24"/>
        </w:rPr>
        <w:t>5099-5003</w:t>
      </w:r>
      <w:r w:rsidR="00241B01" w:rsidRPr="00FA591B">
        <w:rPr>
          <w:rFonts w:eastAsia="Calibri" w:cs="Times New Roman"/>
          <w:color w:val="auto"/>
          <w:szCs w:val="24"/>
        </w:rPr>
        <w:t xml:space="preserve"> IAW</w:t>
      </w:r>
      <w:r w:rsidR="00241B01" w:rsidRPr="00F64312">
        <w:rPr>
          <w:rFonts w:eastAsia="Calibri" w:cs="Times New Roman"/>
          <w:color w:val="auto"/>
          <w:szCs w:val="24"/>
        </w:rPr>
        <w:t xml:space="preserve"> VASRD §</w:t>
      </w:r>
      <w:r w:rsidR="00241B01" w:rsidRPr="008165E9">
        <w:rPr>
          <w:rFonts w:eastAsia="Calibri" w:cs="Times New Roman"/>
          <w:color w:val="auto"/>
          <w:szCs w:val="24"/>
        </w:rPr>
        <w:t>4.71a.</w:t>
      </w:r>
      <w:r w:rsidR="00FA591B">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0C7155">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8165E9" w:rsidP="00C95FE5">
            <w:pPr>
              <w:tabs>
                <w:tab w:val="left" w:pos="288"/>
                <w:tab w:val="left" w:pos="4752"/>
              </w:tabs>
              <w:jc w:val="left"/>
              <w:rPr>
                <w:color w:val="auto"/>
              </w:rPr>
            </w:pPr>
            <w:r w:rsidRPr="008165E9">
              <w:rPr>
                <w:color w:val="auto"/>
              </w:rPr>
              <w:t>Chronic</w:t>
            </w:r>
            <w:r w:rsidR="00C95FE5">
              <w:rPr>
                <w:color w:val="auto"/>
              </w:rPr>
              <w:t xml:space="preserve"> Left Wrist</w:t>
            </w:r>
            <w:r w:rsidRPr="008165E9">
              <w:rPr>
                <w:color w:val="auto"/>
              </w:rPr>
              <w:t xml:space="preserve"> Pain</w:t>
            </w:r>
          </w:p>
        </w:tc>
        <w:tc>
          <w:tcPr>
            <w:tcW w:w="1530" w:type="dxa"/>
            <w:vAlign w:val="center"/>
          </w:tcPr>
          <w:p w:rsidR="00AD2379" w:rsidRPr="00FA591B" w:rsidRDefault="004152B7" w:rsidP="006B690F">
            <w:pPr>
              <w:tabs>
                <w:tab w:val="left" w:pos="288"/>
                <w:tab w:val="left" w:pos="4752"/>
              </w:tabs>
              <w:rPr>
                <w:color w:val="auto"/>
              </w:rPr>
            </w:pPr>
            <w:r w:rsidRPr="00FA591B">
              <w:rPr>
                <w:color w:val="auto"/>
              </w:rPr>
              <w:t>5099-5003</w:t>
            </w:r>
          </w:p>
        </w:tc>
        <w:tc>
          <w:tcPr>
            <w:tcW w:w="1026" w:type="dxa"/>
            <w:vAlign w:val="center"/>
          </w:tcPr>
          <w:p w:rsidR="00AD2379" w:rsidRPr="00FA591B" w:rsidRDefault="004152B7" w:rsidP="006B690F">
            <w:pPr>
              <w:tabs>
                <w:tab w:val="left" w:pos="288"/>
                <w:tab w:val="left" w:pos="4752"/>
              </w:tabs>
              <w:rPr>
                <w:color w:val="auto"/>
              </w:rPr>
            </w:pPr>
            <w:r w:rsidRPr="00FA591B">
              <w:rPr>
                <w:color w:val="auto"/>
              </w:rPr>
              <w:t>1</w:t>
            </w:r>
            <w:r w:rsidR="00AD2379" w:rsidRPr="00FA591B">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A591B" w:rsidRDefault="00AD2379" w:rsidP="006B690F">
            <w:pPr>
              <w:tabs>
                <w:tab w:val="left" w:pos="288"/>
                <w:tab w:val="left" w:pos="4752"/>
              </w:tabs>
              <w:rPr>
                <w:b/>
                <w:color w:val="auto"/>
              </w:rPr>
            </w:pPr>
            <w:r w:rsidRPr="00FA591B">
              <w:rPr>
                <w:b/>
                <w:color w:val="auto"/>
              </w:rPr>
              <w:t>COMBINED</w:t>
            </w:r>
          </w:p>
        </w:tc>
        <w:tc>
          <w:tcPr>
            <w:tcW w:w="1026" w:type="dxa"/>
            <w:shd w:val="clear" w:color="auto" w:fill="D9D9D9"/>
            <w:vAlign w:val="center"/>
          </w:tcPr>
          <w:p w:rsidR="00AD2379" w:rsidRPr="00FA591B" w:rsidRDefault="004152B7" w:rsidP="006B690F">
            <w:pPr>
              <w:tabs>
                <w:tab w:val="left" w:pos="288"/>
                <w:tab w:val="left" w:pos="4752"/>
              </w:tabs>
              <w:rPr>
                <w:b/>
                <w:color w:val="auto"/>
              </w:rPr>
            </w:pPr>
            <w:r w:rsidRPr="00FA591B">
              <w:rPr>
                <w:b/>
                <w:color w:val="auto"/>
              </w:rPr>
              <w:t>1</w:t>
            </w:r>
            <w:r w:rsidR="00AD2379" w:rsidRPr="00FA591B">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864B33" w:rsidP="006B690F">
      <w:pPr>
        <w:tabs>
          <w:tab w:val="left" w:pos="288"/>
          <w:tab w:val="left" w:pos="4752"/>
        </w:tabs>
        <w:jc w:val="both"/>
        <w:rPr>
          <w:color w:val="auto"/>
        </w:rPr>
      </w:pPr>
      <w:r>
        <w:rPr>
          <w:color w:val="auto"/>
        </w:rPr>
        <w:t>Exhibit A.  DD Form 294, dated 20120603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8E54CE">
        <w:rPr>
          <w:color w:val="auto"/>
        </w:rPr>
        <w:t>XXXXXXXXXXXXXXXXXXXXXXXXX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8E54CE" w:rsidRDefault="008E54CE" w:rsidP="00BF0E94">
      <w:pPr>
        <w:tabs>
          <w:tab w:val="left" w:pos="0"/>
          <w:tab w:val="left" w:pos="4320"/>
        </w:tabs>
        <w:jc w:val="both"/>
        <w:rPr>
          <w:color w:val="auto"/>
        </w:rPr>
      </w:pPr>
    </w:p>
    <w:p w:rsidR="008E54CE" w:rsidRDefault="008E54CE">
      <w:pPr>
        <w:spacing w:line="240" w:lineRule="auto"/>
        <w:jc w:val="left"/>
        <w:rPr>
          <w:color w:val="auto"/>
        </w:rPr>
      </w:pPr>
      <w:r>
        <w:rPr>
          <w:color w:val="auto"/>
        </w:rPr>
        <w:br w:type="page"/>
      </w:r>
    </w:p>
    <w:p w:rsidR="008E54CE" w:rsidRDefault="008E54CE" w:rsidP="008E54CE">
      <w:pPr>
        <w:sectPr w:rsidR="008E54CE">
          <w:pgSz w:w="12240" w:h="15840"/>
          <w:pgMar w:top="2160" w:right="1440" w:bottom="1440" w:left="1440" w:header="720" w:footer="720" w:gutter="0"/>
          <w:cols w:space="720"/>
        </w:sectPr>
      </w:pPr>
    </w:p>
    <w:p w:rsidR="008E54CE" w:rsidRDefault="008E54CE" w:rsidP="008E54CE">
      <w:pPr>
        <w:pStyle w:val="Header"/>
        <w:tabs>
          <w:tab w:val="left" w:pos="720"/>
        </w:tabs>
        <w:jc w:val="left"/>
      </w:pPr>
      <w:r>
        <w:lastRenderedPageBreak/>
        <w:t>SFMR-RB</w:t>
      </w:r>
      <w:r>
        <w:tab/>
      </w:r>
      <w:r>
        <w:tab/>
      </w:r>
      <w:r>
        <w:tab/>
      </w:r>
      <w:r>
        <w:tab/>
      </w:r>
      <w:r>
        <w:tab/>
      </w:r>
      <w:r>
        <w:tab/>
      </w:r>
      <w:r>
        <w:tab/>
      </w:r>
      <w:r>
        <w:tab/>
      </w:r>
      <w:r>
        <w:tab/>
      </w:r>
    </w:p>
    <w:p w:rsidR="008E54CE" w:rsidRDefault="008E54CE" w:rsidP="008E54CE">
      <w:pPr>
        <w:pStyle w:val="Header"/>
        <w:tabs>
          <w:tab w:val="left" w:pos="720"/>
        </w:tabs>
        <w:jc w:val="left"/>
      </w:pPr>
    </w:p>
    <w:p w:rsidR="008E54CE" w:rsidRDefault="008E54CE" w:rsidP="008E54CE">
      <w:pPr>
        <w:jc w:val="left"/>
      </w:pPr>
    </w:p>
    <w:p w:rsidR="008E54CE" w:rsidRDefault="008E54CE" w:rsidP="008E54CE">
      <w:pPr>
        <w:jc w:val="left"/>
      </w:pPr>
      <w:r>
        <w:t xml:space="preserve">MEMORANDUM FOR Commander, US Army Physical Disability Agency </w:t>
      </w:r>
    </w:p>
    <w:p w:rsidR="008E54CE" w:rsidRDefault="008E54CE" w:rsidP="008E54CE">
      <w:pPr>
        <w:jc w:val="left"/>
      </w:pPr>
      <w:r>
        <w:t xml:space="preserve">(TAPD-ZB </w:t>
      </w:r>
      <w:proofErr w:type="gramStart"/>
      <w:r>
        <w:t>/  )</w:t>
      </w:r>
      <w:proofErr w:type="gramEnd"/>
      <w:r>
        <w:t>, 2900 Crystal Drive, Suite 300, Arlington, VA  22202-3557</w:t>
      </w:r>
    </w:p>
    <w:p w:rsidR="008E54CE" w:rsidRDefault="008E54CE" w:rsidP="008E54CE">
      <w:pPr>
        <w:jc w:val="left"/>
      </w:pPr>
    </w:p>
    <w:p w:rsidR="008E54CE" w:rsidRDefault="008E54CE" w:rsidP="008E54CE">
      <w:pPr>
        <w:jc w:val="left"/>
      </w:pPr>
    </w:p>
    <w:p w:rsidR="008E54CE" w:rsidRDefault="008E54CE" w:rsidP="008E54CE">
      <w:pPr>
        <w:ind w:right="-180"/>
        <w:jc w:val="left"/>
      </w:pPr>
      <w:r>
        <w:t xml:space="preserve">SUBJECT:  Department of Defense Physical Disability Board of Review Recommendation </w:t>
      </w:r>
    </w:p>
    <w:p w:rsidR="008E54CE" w:rsidRDefault="008E54CE" w:rsidP="008E54CE">
      <w:pPr>
        <w:pStyle w:val="Header"/>
        <w:tabs>
          <w:tab w:val="left" w:pos="720"/>
        </w:tabs>
        <w:jc w:val="left"/>
      </w:pPr>
      <w:proofErr w:type="gramStart"/>
      <w:r>
        <w:t>for</w:t>
      </w:r>
      <w:proofErr w:type="gramEnd"/>
      <w:r>
        <w:t xml:space="preserve"> XXXXXXXXXXXXXXXXXXX, AR20120018614 (PD201200481)</w:t>
      </w:r>
    </w:p>
    <w:p w:rsidR="008E54CE" w:rsidRDefault="008E54CE" w:rsidP="008E54CE">
      <w:pPr>
        <w:pStyle w:val="Header"/>
        <w:tabs>
          <w:tab w:val="left" w:pos="720"/>
        </w:tabs>
        <w:jc w:val="left"/>
      </w:pPr>
    </w:p>
    <w:p w:rsidR="008E54CE" w:rsidRDefault="008E54CE" w:rsidP="008E54CE">
      <w:pPr>
        <w:jc w:val="left"/>
      </w:pPr>
    </w:p>
    <w:p w:rsidR="008E54CE" w:rsidRDefault="008E54CE" w:rsidP="008E54C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8E54CE" w:rsidRDefault="008E54CE" w:rsidP="008E54CE">
      <w:pPr>
        <w:jc w:val="left"/>
      </w:pPr>
    </w:p>
    <w:p w:rsidR="008E54CE" w:rsidRDefault="008E54CE" w:rsidP="008E54CE">
      <w:pPr>
        <w:jc w:val="left"/>
      </w:pPr>
      <w:r>
        <w:t xml:space="preserve">2.  I direct that all the Department of the Army records of the individual concerned be corrected accordingly no later than 120 days from the date of this memorandum.   </w:t>
      </w:r>
    </w:p>
    <w:p w:rsidR="008E54CE" w:rsidRDefault="008E54CE" w:rsidP="008E54CE">
      <w:pPr>
        <w:jc w:val="left"/>
      </w:pPr>
    </w:p>
    <w:p w:rsidR="008E54CE" w:rsidRDefault="008E54CE" w:rsidP="008E54C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E54CE" w:rsidRDefault="008E54CE" w:rsidP="008E54CE">
      <w:pPr>
        <w:jc w:val="left"/>
      </w:pPr>
    </w:p>
    <w:p w:rsidR="008E54CE" w:rsidRDefault="008E54CE" w:rsidP="008E54CE">
      <w:pPr>
        <w:jc w:val="left"/>
      </w:pPr>
      <w:r>
        <w:t xml:space="preserve"> BY ORDER OF THE SECRETARY OF THE ARMY:</w:t>
      </w:r>
    </w:p>
    <w:p w:rsidR="008E54CE" w:rsidRDefault="008E54CE" w:rsidP="008E54CE">
      <w:pPr>
        <w:jc w:val="left"/>
      </w:pPr>
    </w:p>
    <w:p w:rsidR="008E54CE" w:rsidRDefault="008E54CE" w:rsidP="008E54CE">
      <w:pPr>
        <w:jc w:val="left"/>
      </w:pPr>
    </w:p>
    <w:p w:rsidR="008E54CE" w:rsidRDefault="008E54CE" w:rsidP="008E54CE">
      <w:pPr>
        <w:pStyle w:val="Header"/>
        <w:tabs>
          <w:tab w:val="left" w:pos="720"/>
        </w:tabs>
        <w:jc w:val="left"/>
      </w:pPr>
    </w:p>
    <w:p w:rsidR="008E54CE" w:rsidRDefault="008E54CE" w:rsidP="008E54CE">
      <w:pPr>
        <w:jc w:val="left"/>
      </w:pPr>
    </w:p>
    <w:p w:rsidR="008E54CE" w:rsidRDefault="008E54CE" w:rsidP="008E54CE">
      <w:pPr>
        <w:jc w:val="left"/>
      </w:pPr>
      <w:bookmarkStart w:id="0" w:name="OLE_LINK4"/>
      <w:bookmarkStart w:id="1" w:name="OLE_LINK3"/>
      <w:r>
        <w:t>Encl</w:t>
      </w:r>
      <w:r>
        <w:tab/>
      </w:r>
      <w:r>
        <w:tab/>
      </w:r>
      <w:r>
        <w:tab/>
      </w:r>
      <w:r>
        <w:tab/>
      </w:r>
      <w:r>
        <w:tab/>
      </w:r>
      <w:r>
        <w:tab/>
        <w:t xml:space="preserve">     XXXXXXXXXXXXXXXXXXXX</w:t>
      </w:r>
    </w:p>
    <w:p w:rsidR="008E54CE" w:rsidRDefault="008E54CE" w:rsidP="008E54CE">
      <w:pPr>
        <w:jc w:val="left"/>
      </w:pPr>
      <w:r>
        <w:tab/>
      </w:r>
      <w:r>
        <w:tab/>
      </w:r>
      <w:r>
        <w:tab/>
      </w:r>
      <w:r>
        <w:tab/>
      </w:r>
      <w:r>
        <w:tab/>
      </w:r>
      <w:r>
        <w:tab/>
        <w:t xml:space="preserve">     Deputy Assistant Secretary</w:t>
      </w:r>
    </w:p>
    <w:p w:rsidR="008E54CE" w:rsidRDefault="008E54CE" w:rsidP="008E54CE">
      <w:pPr>
        <w:jc w:val="left"/>
      </w:pPr>
      <w:r>
        <w:tab/>
      </w:r>
      <w:r>
        <w:tab/>
      </w:r>
      <w:r>
        <w:tab/>
      </w:r>
      <w:r>
        <w:tab/>
      </w:r>
      <w:r>
        <w:tab/>
      </w:r>
      <w:r>
        <w:tab/>
        <w:t xml:space="preserve">         (Army Review Boards)</w:t>
      </w:r>
      <w:bookmarkEnd w:id="0"/>
      <w:bookmarkEnd w:id="1"/>
    </w:p>
    <w:p w:rsidR="008E54CE" w:rsidRDefault="008E54CE" w:rsidP="008E54CE">
      <w:pPr>
        <w:jc w:val="left"/>
      </w:pPr>
    </w:p>
    <w:p w:rsidR="008E54CE" w:rsidRDefault="008E54CE" w:rsidP="008E54CE">
      <w:pPr>
        <w:jc w:val="left"/>
      </w:pPr>
      <w:r>
        <w:t xml:space="preserve">CF: </w:t>
      </w:r>
    </w:p>
    <w:p w:rsidR="008E54CE" w:rsidRDefault="008E54CE" w:rsidP="008E54CE">
      <w:pPr>
        <w:jc w:val="left"/>
      </w:pPr>
      <w:r>
        <w:t xml:space="preserve">(  ) </w:t>
      </w:r>
      <w:proofErr w:type="spellStart"/>
      <w:proofErr w:type="gramStart"/>
      <w:r>
        <w:t>DoD</w:t>
      </w:r>
      <w:proofErr w:type="spellEnd"/>
      <w:proofErr w:type="gramEnd"/>
      <w:r>
        <w:t xml:space="preserve"> PDBR</w:t>
      </w:r>
    </w:p>
    <w:p w:rsidR="008E54CE" w:rsidRDefault="008E54CE" w:rsidP="008E54CE">
      <w:pPr>
        <w:jc w:val="left"/>
      </w:pPr>
      <w:r>
        <w:t>(  ) DVA</w:t>
      </w:r>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E4" w:rsidRDefault="00D94DE4">
      <w:r>
        <w:separator/>
      </w:r>
    </w:p>
  </w:endnote>
  <w:endnote w:type="continuationSeparator" w:id="0">
    <w:p w:rsidR="00D94DE4" w:rsidRDefault="00D94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E5" w:rsidRPr="00374247" w:rsidRDefault="00406BE5" w:rsidP="00726F84">
    <w:pPr>
      <w:pStyle w:val="Footer"/>
      <w:ind w:firstLine="4320"/>
      <w:rPr>
        <w:color w:val="auto"/>
      </w:rPr>
    </w:pPr>
    <w:r w:rsidRPr="00374247">
      <w:rPr>
        <w:color w:val="auto"/>
      </w:rPr>
      <w:t xml:space="preserve">   </w:t>
    </w:r>
    <w:fldSimple w:instr=" PAGE   \* MERGEFORMAT ">
      <w:r w:rsidR="008E54CE" w:rsidRPr="008E54CE">
        <w:rPr>
          <w:noProof/>
          <w:color w:val="auto"/>
        </w:rPr>
        <w:t>4</w:t>
      </w:r>
    </w:fldSimple>
    <w:r w:rsidRPr="008165E9">
      <w:rPr>
        <w:color w:val="auto"/>
      </w:rPr>
      <w:t xml:space="preserve">                                                           </w:t>
    </w:r>
    <w:r w:rsidR="008165E9" w:rsidRPr="008165E9">
      <w:rPr>
        <w:color w:val="auto"/>
      </w:rPr>
      <w:t>PD</w:t>
    </w:r>
    <w:r w:rsidRPr="008165E9">
      <w:rPr>
        <w:color w:val="auto"/>
      </w:rPr>
      <w:t>1</w:t>
    </w:r>
    <w:r w:rsidR="008165E9" w:rsidRPr="008165E9">
      <w:rPr>
        <w:color w:val="auto"/>
      </w:rPr>
      <w:t>200481</w:t>
    </w:r>
  </w:p>
  <w:p w:rsidR="00406BE5" w:rsidRPr="00684CE6" w:rsidRDefault="00406BE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E4" w:rsidRDefault="00D94DE4">
      <w:r>
        <w:separator/>
      </w:r>
    </w:p>
  </w:footnote>
  <w:footnote w:type="continuationSeparator" w:id="0">
    <w:p w:rsidR="00D94DE4" w:rsidRDefault="00D94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D69F6"/>
    <w:multiLevelType w:val="hybridMultilevel"/>
    <w:tmpl w:val="349CA848"/>
    <w:lvl w:ilvl="0" w:tplc="E604B7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12D66"/>
    <w:multiLevelType w:val="hybridMultilevel"/>
    <w:tmpl w:val="A75CF438"/>
    <w:lvl w:ilvl="0" w:tplc="94C244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3"/>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2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417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17E7"/>
    <w:rsid w:val="00042978"/>
    <w:rsid w:val="00042C26"/>
    <w:rsid w:val="00043382"/>
    <w:rsid w:val="00044623"/>
    <w:rsid w:val="00044E05"/>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3889"/>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A675C"/>
    <w:rsid w:val="000B0AD2"/>
    <w:rsid w:val="000B1022"/>
    <w:rsid w:val="000B1C9E"/>
    <w:rsid w:val="000B1DD1"/>
    <w:rsid w:val="000B2FB8"/>
    <w:rsid w:val="000B34E6"/>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55"/>
    <w:rsid w:val="000C7161"/>
    <w:rsid w:val="000C75CF"/>
    <w:rsid w:val="000C7B83"/>
    <w:rsid w:val="000C7DE4"/>
    <w:rsid w:val="000D0AE6"/>
    <w:rsid w:val="000D0BBD"/>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AF8"/>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27327"/>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5E4A"/>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471F"/>
    <w:rsid w:val="001654C0"/>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54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29E"/>
    <w:rsid w:val="001E3FE1"/>
    <w:rsid w:val="001E41FE"/>
    <w:rsid w:val="001E4989"/>
    <w:rsid w:val="001E598E"/>
    <w:rsid w:val="001E635C"/>
    <w:rsid w:val="001E6620"/>
    <w:rsid w:val="001E717A"/>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5D26"/>
    <w:rsid w:val="00226B1A"/>
    <w:rsid w:val="00226C59"/>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4A"/>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5F64"/>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CE2"/>
    <w:rsid w:val="00284A26"/>
    <w:rsid w:val="00285095"/>
    <w:rsid w:val="002854EB"/>
    <w:rsid w:val="00286FAF"/>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499D"/>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398"/>
    <w:rsid w:val="002B7710"/>
    <w:rsid w:val="002C0910"/>
    <w:rsid w:val="002C0DEA"/>
    <w:rsid w:val="002C34F6"/>
    <w:rsid w:val="002C3B6D"/>
    <w:rsid w:val="002C3F59"/>
    <w:rsid w:val="002C5D9D"/>
    <w:rsid w:val="002C5F10"/>
    <w:rsid w:val="002C6E5B"/>
    <w:rsid w:val="002D009A"/>
    <w:rsid w:val="002D08F3"/>
    <w:rsid w:val="002D18B4"/>
    <w:rsid w:val="002D2058"/>
    <w:rsid w:val="002D231A"/>
    <w:rsid w:val="002D5330"/>
    <w:rsid w:val="002D5F57"/>
    <w:rsid w:val="002D6DB2"/>
    <w:rsid w:val="002D73D4"/>
    <w:rsid w:val="002D7787"/>
    <w:rsid w:val="002E02A5"/>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2F01"/>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69EB"/>
    <w:rsid w:val="00316F9E"/>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4CA"/>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199E"/>
    <w:rsid w:val="00352B22"/>
    <w:rsid w:val="00352CBF"/>
    <w:rsid w:val="003534DC"/>
    <w:rsid w:val="00353C59"/>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917"/>
    <w:rsid w:val="00377BD2"/>
    <w:rsid w:val="00380601"/>
    <w:rsid w:val="003807B6"/>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4DF"/>
    <w:rsid w:val="003C5046"/>
    <w:rsid w:val="003C53E8"/>
    <w:rsid w:val="003C5B54"/>
    <w:rsid w:val="003C6068"/>
    <w:rsid w:val="003C7AEC"/>
    <w:rsid w:val="003D2BA3"/>
    <w:rsid w:val="003D2EE0"/>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567"/>
    <w:rsid w:val="004026FC"/>
    <w:rsid w:val="00403BFB"/>
    <w:rsid w:val="00404B45"/>
    <w:rsid w:val="00405BCF"/>
    <w:rsid w:val="004068E0"/>
    <w:rsid w:val="00406BE5"/>
    <w:rsid w:val="00406CC5"/>
    <w:rsid w:val="00406FCA"/>
    <w:rsid w:val="004074A4"/>
    <w:rsid w:val="004101B2"/>
    <w:rsid w:val="004123D7"/>
    <w:rsid w:val="00412658"/>
    <w:rsid w:val="004129DA"/>
    <w:rsid w:val="004152B7"/>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0F69"/>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159"/>
    <w:rsid w:val="0049445D"/>
    <w:rsid w:val="00494D39"/>
    <w:rsid w:val="00494E55"/>
    <w:rsid w:val="00495350"/>
    <w:rsid w:val="00495E3C"/>
    <w:rsid w:val="00496041"/>
    <w:rsid w:val="00497156"/>
    <w:rsid w:val="004A0C79"/>
    <w:rsid w:val="004A1FE0"/>
    <w:rsid w:val="004A24D2"/>
    <w:rsid w:val="004A2728"/>
    <w:rsid w:val="004A31B6"/>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A67"/>
    <w:rsid w:val="004C1EF8"/>
    <w:rsid w:val="004C2063"/>
    <w:rsid w:val="004C24C5"/>
    <w:rsid w:val="004C2645"/>
    <w:rsid w:val="004C47D5"/>
    <w:rsid w:val="004C4CAF"/>
    <w:rsid w:val="004C5E33"/>
    <w:rsid w:val="004C60A3"/>
    <w:rsid w:val="004C6991"/>
    <w:rsid w:val="004C6CDA"/>
    <w:rsid w:val="004C79F5"/>
    <w:rsid w:val="004D10D4"/>
    <w:rsid w:val="004D16BD"/>
    <w:rsid w:val="004D1B17"/>
    <w:rsid w:val="004D2AAB"/>
    <w:rsid w:val="004D362B"/>
    <w:rsid w:val="004D3C7F"/>
    <w:rsid w:val="004D42CB"/>
    <w:rsid w:val="004D4A0C"/>
    <w:rsid w:val="004D6E90"/>
    <w:rsid w:val="004D6F2B"/>
    <w:rsid w:val="004E0248"/>
    <w:rsid w:val="004E21A3"/>
    <w:rsid w:val="004E32EA"/>
    <w:rsid w:val="004E3517"/>
    <w:rsid w:val="004E6866"/>
    <w:rsid w:val="004E6B31"/>
    <w:rsid w:val="004F0C58"/>
    <w:rsid w:val="004F10EB"/>
    <w:rsid w:val="004F3222"/>
    <w:rsid w:val="004F3639"/>
    <w:rsid w:val="004F3BFA"/>
    <w:rsid w:val="004F4E3C"/>
    <w:rsid w:val="004F5A1A"/>
    <w:rsid w:val="004F675A"/>
    <w:rsid w:val="004F77A3"/>
    <w:rsid w:val="005000AB"/>
    <w:rsid w:val="00500EAF"/>
    <w:rsid w:val="00500F3C"/>
    <w:rsid w:val="005025EE"/>
    <w:rsid w:val="00502BD5"/>
    <w:rsid w:val="00503401"/>
    <w:rsid w:val="00503D35"/>
    <w:rsid w:val="00503DDF"/>
    <w:rsid w:val="00504EA2"/>
    <w:rsid w:val="00505524"/>
    <w:rsid w:val="005058D5"/>
    <w:rsid w:val="00506688"/>
    <w:rsid w:val="00510588"/>
    <w:rsid w:val="00510F9C"/>
    <w:rsid w:val="0051146C"/>
    <w:rsid w:val="005114DA"/>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369E"/>
    <w:rsid w:val="00595B60"/>
    <w:rsid w:val="00595B63"/>
    <w:rsid w:val="00595BF0"/>
    <w:rsid w:val="00595EA2"/>
    <w:rsid w:val="00597E16"/>
    <w:rsid w:val="005A0B1D"/>
    <w:rsid w:val="005A1846"/>
    <w:rsid w:val="005A258C"/>
    <w:rsid w:val="005A3560"/>
    <w:rsid w:val="005A3E54"/>
    <w:rsid w:val="005A42E0"/>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6B84"/>
    <w:rsid w:val="005B72DA"/>
    <w:rsid w:val="005C0E87"/>
    <w:rsid w:val="005C1398"/>
    <w:rsid w:val="005C16F3"/>
    <w:rsid w:val="005C3758"/>
    <w:rsid w:val="005C4D72"/>
    <w:rsid w:val="005C50C1"/>
    <w:rsid w:val="005C62C2"/>
    <w:rsid w:val="005D0ABC"/>
    <w:rsid w:val="005D2306"/>
    <w:rsid w:val="005D2562"/>
    <w:rsid w:val="005D2666"/>
    <w:rsid w:val="005D2D7F"/>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0B3"/>
    <w:rsid w:val="00673CDC"/>
    <w:rsid w:val="0067443B"/>
    <w:rsid w:val="00675CD9"/>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C7E1F"/>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76D"/>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27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5E7D"/>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B0F"/>
    <w:rsid w:val="00750C82"/>
    <w:rsid w:val="00750E3A"/>
    <w:rsid w:val="00752035"/>
    <w:rsid w:val="0076100C"/>
    <w:rsid w:val="00761127"/>
    <w:rsid w:val="007612A5"/>
    <w:rsid w:val="00762333"/>
    <w:rsid w:val="007635A8"/>
    <w:rsid w:val="00763CAE"/>
    <w:rsid w:val="00763F95"/>
    <w:rsid w:val="007651ED"/>
    <w:rsid w:val="00766C87"/>
    <w:rsid w:val="0077047F"/>
    <w:rsid w:val="00771043"/>
    <w:rsid w:val="0077272B"/>
    <w:rsid w:val="007733FA"/>
    <w:rsid w:val="00773AF7"/>
    <w:rsid w:val="00773C45"/>
    <w:rsid w:val="00774FFD"/>
    <w:rsid w:val="00780378"/>
    <w:rsid w:val="00780411"/>
    <w:rsid w:val="0078085E"/>
    <w:rsid w:val="00781BD4"/>
    <w:rsid w:val="00782562"/>
    <w:rsid w:val="007828B4"/>
    <w:rsid w:val="00782CC1"/>
    <w:rsid w:val="0078375F"/>
    <w:rsid w:val="00784832"/>
    <w:rsid w:val="00784EA0"/>
    <w:rsid w:val="00785C75"/>
    <w:rsid w:val="00785D77"/>
    <w:rsid w:val="00785FEE"/>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5CB"/>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1C88"/>
    <w:rsid w:val="007B4181"/>
    <w:rsid w:val="007B5746"/>
    <w:rsid w:val="007B58AB"/>
    <w:rsid w:val="007B5C5C"/>
    <w:rsid w:val="007B5DF0"/>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28"/>
    <w:rsid w:val="007F0EFF"/>
    <w:rsid w:val="007F1375"/>
    <w:rsid w:val="007F1AFD"/>
    <w:rsid w:val="007F30E4"/>
    <w:rsid w:val="007F39A1"/>
    <w:rsid w:val="0080064F"/>
    <w:rsid w:val="00801B85"/>
    <w:rsid w:val="008036A2"/>
    <w:rsid w:val="00803850"/>
    <w:rsid w:val="008039E8"/>
    <w:rsid w:val="00804385"/>
    <w:rsid w:val="00804E0E"/>
    <w:rsid w:val="008051EB"/>
    <w:rsid w:val="0080588E"/>
    <w:rsid w:val="00805AFD"/>
    <w:rsid w:val="00806397"/>
    <w:rsid w:val="008067A6"/>
    <w:rsid w:val="008078D8"/>
    <w:rsid w:val="0080798E"/>
    <w:rsid w:val="00811BD9"/>
    <w:rsid w:val="00811D5B"/>
    <w:rsid w:val="008139C8"/>
    <w:rsid w:val="00813C51"/>
    <w:rsid w:val="00816159"/>
    <w:rsid w:val="008165E9"/>
    <w:rsid w:val="00816CCB"/>
    <w:rsid w:val="00817572"/>
    <w:rsid w:val="00817713"/>
    <w:rsid w:val="008208C3"/>
    <w:rsid w:val="008218FF"/>
    <w:rsid w:val="008220F1"/>
    <w:rsid w:val="0082340B"/>
    <w:rsid w:val="00823D6A"/>
    <w:rsid w:val="00825A81"/>
    <w:rsid w:val="00827B29"/>
    <w:rsid w:val="00827DB6"/>
    <w:rsid w:val="008304B2"/>
    <w:rsid w:val="00830999"/>
    <w:rsid w:val="00830C84"/>
    <w:rsid w:val="00830D5E"/>
    <w:rsid w:val="00830F69"/>
    <w:rsid w:val="00831940"/>
    <w:rsid w:val="008324D9"/>
    <w:rsid w:val="00832F67"/>
    <w:rsid w:val="00833418"/>
    <w:rsid w:val="0083387F"/>
    <w:rsid w:val="00834458"/>
    <w:rsid w:val="00834AEA"/>
    <w:rsid w:val="00835841"/>
    <w:rsid w:val="00835BF8"/>
    <w:rsid w:val="00835FB7"/>
    <w:rsid w:val="00836B7B"/>
    <w:rsid w:val="0083722F"/>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C60"/>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4B33"/>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455"/>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6957"/>
    <w:rsid w:val="008B6C05"/>
    <w:rsid w:val="008C1B1C"/>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54CE"/>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624"/>
    <w:rsid w:val="009026E8"/>
    <w:rsid w:val="00902FDD"/>
    <w:rsid w:val="00905EA6"/>
    <w:rsid w:val="00905EEF"/>
    <w:rsid w:val="00906919"/>
    <w:rsid w:val="00906EB7"/>
    <w:rsid w:val="00907FE6"/>
    <w:rsid w:val="009102BF"/>
    <w:rsid w:val="00911490"/>
    <w:rsid w:val="009115F2"/>
    <w:rsid w:val="00911B11"/>
    <w:rsid w:val="00913FB6"/>
    <w:rsid w:val="00914ADB"/>
    <w:rsid w:val="00915196"/>
    <w:rsid w:val="00916C6B"/>
    <w:rsid w:val="00917182"/>
    <w:rsid w:val="00920251"/>
    <w:rsid w:val="00920259"/>
    <w:rsid w:val="00920436"/>
    <w:rsid w:val="00921CFD"/>
    <w:rsid w:val="00921F7F"/>
    <w:rsid w:val="009239C0"/>
    <w:rsid w:val="00923B25"/>
    <w:rsid w:val="0092402E"/>
    <w:rsid w:val="009259BA"/>
    <w:rsid w:val="00926451"/>
    <w:rsid w:val="00926C0A"/>
    <w:rsid w:val="00926FCB"/>
    <w:rsid w:val="00927BCD"/>
    <w:rsid w:val="009303BB"/>
    <w:rsid w:val="009304D0"/>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87828"/>
    <w:rsid w:val="00990FD6"/>
    <w:rsid w:val="00992BF4"/>
    <w:rsid w:val="009935C3"/>
    <w:rsid w:val="0099421F"/>
    <w:rsid w:val="009948D5"/>
    <w:rsid w:val="00994D33"/>
    <w:rsid w:val="00994FC8"/>
    <w:rsid w:val="009A0346"/>
    <w:rsid w:val="009A0DE3"/>
    <w:rsid w:val="009A1643"/>
    <w:rsid w:val="009A215A"/>
    <w:rsid w:val="009A26B9"/>
    <w:rsid w:val="009A49D3"/>
    <w:rsid w:val="009A4EDF"/>
    <w:rsid w:val="009A4F1B"/>
    <w:rsid w:val="009A66C5"/>
    <w:rsid w:val="009A66E7"/>
    <w:rsid w:val="009A7578"/>
    <w:rsid w:val="009A79BA"/>
    <w:rsid w:val="009B10F9"/>
    <w:rsid w:val="009B14D1"/>
    <w:rsid w:val="009B1534"/>
    <w:rsid w:val="009B4963"/>
    <w:rsid w:val="009B4A3B"/>
    <w:rsid w:val="009B519B"/>
    <w:rsid w:val="009B5902"/>
    <w:rsid w:val="009B6023"/>
    <w:rsid w:val="009B6194"/>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7916"/>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52"/>
    <w:rsid w:val="00A16876"/>
    <w:rsid w:val="00A200AA"/>
    <w:rsid w:val="00A20558"/>
    <w:rsid w:val="00A211DD"/>
    <w:rsid w:val="00A2186F"/>
    <w:rsid w:val="00A21CAC"/>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76F4D"/>
    <w:rsid w:val="00A82C52"/>
    <w:rsid w:val="00A836D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65A1"/>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3FD3"/>
    <w:rsid w:val="00B04562"/>
    <w:rsid w:val="00B0472F"/>
    <w:rsid w:val="00B06930"/>
    <w:rsid w:val="00B076B6"/>
    <w:rsid w:val="00B076D0"/>
    <w:rsid w:val="00B0773A"/>
    <w:rsid w:val="00B07955"/>
    <w:rsid w:val="00B1176B"/>
    <w:rsid w:val="00B11858"/>
    <w:rsid w:val="00B13A51"/>
    <w:rsid w:val="00B13EB7"/>
    <w:rsid w:val="00B140B8"/>
    <w:rsid w:val="00B14FAA"/>
    <w:rsid w:val="00B15BED"/>
    <w:rsid w:val="00B15D30"/>
    <w:rsid w:val="00B15F09"/>
    <w:rsid w:val="00B16D18"/>
    <w:rsid w:val="00B177DE"/>
    <w:rsid w:val="00B20414"/>
    <w:rsid w:val="00B20624"/>
    <w:rsid w:val="00B21F2F"/>
    <w:rsid w:val="00B22D42"/>
    <w:rsid w:val="00B23436"/>
    <w:rsid w:val="00B237F1"/>
    <w:rsid w:val="00B23F10"/>
    <w:rsid w:val="00B24328"/>
    <w:rsid w:val="00B24ED4"/>
    <w:rsid w:val="00B24F33"/>
    <w:rsid w:val="00B26354"/>
    <w:rsid w:val="00B26CA0"/>
    <w:rsid w:val="00B300BD"/>
    <w:rsid w:val="00B310F3"/>
    <w:rsid w:val="00B31965"/>
    <w:rsid w:val="00B32179"/>
    <w:rsid w:val="00B32341"/>
    <w:rsid w:val="00B32685"/>
    <w:rsid w:val="00B329B1"/>
    <w:rsid w:val="00B32C2B"/>
    <w:rsid w:val="00B33007"/>
    <w:rsid w:val="00B331A9"/>
    <w:rsid w:val="00B33498"/>
    <w:rsid w:val="00B33598"/>
    <w:rsid w:val="00B3575C"/>
    <w:rsid w:val="00B36569"/>
    <w:rsid w:val="00B37345"/>
    <w:rsid w:val="00B37F53"/>
    <w:rsid w:val="00B40A05"/>
    <w:rsid w:val="00B40A3E"/>
    <w:rsid w:val="00B412DB"/>
    <w:rsid w:val="00B41400"/>
    <w:rsid w:val="00B427BB"/>
    <w:rsid w:val="00B43658"/>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BF7"/>
    <w:rsid w:val="00B56F3D"/>
    <w:rsid w:val="00B57921"/>
    <w:rsid w:val="00B57E78"/>
    <w:rsid w:val="00B57EB8"/>
    <w:rsid w:val="00B609F6"/>
    <w:rsid w:val="00B60E75"/>
    <w:rsid w:val="00B643A6"/>
    <w:rsid w:val="00B64DD6"/>
    <w:rsid w:val="00B64F78"/>
    <w:rsid w:val="00B66505"/>
    <w:rsid w:val="00B6710C"/>
    <w:rsid w:val="00B67E84"/>
    <w:rsid w:val="00B71983"/>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1FF1"/>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24EE"/>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3AC3"/>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5FE5"/>
    <w:rsid w:val="00C9650E"/>
    <w:rsid w:val="00C97000"/>
    <w:rsid w:val="00C975BD"/>
    <w:rsid w:val="00CA068D"/>
    <w:rsid w:val="00CA08DF"/>
    <w:rsid w:val="00CA1228"/>
    <w:rsid w:val="00CA1C73"/>
    <w:rsid w:val="00CA282D"/>
    <w:rsid w:val="00CA2B22"/>
    <w:rsid w:val="00CA3F73"/>
    <w:rsid w:val="00CA4670"/>
    <w:rsid w:val="00CA4691"/>
    <w:rsid w:val="00CA5F89"/>
    <w:rsid w:val="00CA6B1A"/>
    <w:rsid w:val="00CA720B"/>
    <w:rsid w:val="00CB1B18"/>
    <w:rsid w:val="00CB20DC"/>
    <w:rsid w:val="00CB23DC"/>
    <w:rsid w:val="00CB2487"/>
    <w:rsid w:val="00CB28E2"/>
    <w:rsid w:val="00CB2F20"/>
    <w:rsid w:val="00CB3395"/>
    <w:rsid w:val="00CB3F63"/>
    <w:rsid w:val="00CB40A0"/>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C3D"/>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9AB"/>
    <w:rsid w:val="00D02AEF"/>
    <w:rsid w:val="00D03EC9"/>
    <w:rsid w:val="00D05669"/>
    <w:rsid w:val="00D061EB"/>
    <w:rsid w:val="00D06952"/>
    <w:rsid w:val="00D07A72"/>
    <w:rsid w:val="00D10577"/>
    <w:rsid w:val="00D12405"/>
    <w:rsid w:val="00D12A4E"/>
    <w:rsid w:val="00D1323B"/>
    <w:rsid w:val="00D14BAE"/>
    <w:rsid w:val="00D15046"/>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D08"/>
    <w:rsid w:val="00D52FCC"/>
    <w:rsid w:val="00D53148"/>
    <w:rsid w:val="00D53F14"/>
    <w:rsid w:val="00D54BE4"/>
    <w:rsid w:val="00D54DDB"/>
    <w:rsid w:val="00D554BC"/>
    <w:rsid w:val="00D560DC"/>
    <w:rsid w:val="00D56602"/>
    <w:rsid w:val="00D60483"/>
    <w:rsid w:val="00D61ABB"/>
    <w:rsid w:val="00D62D5C"/>
    <w:rsid w:val="00D63577"/>
    <w:rsid w:val="00D63DCB"/>
    <w:rsid w:val="00D67FD7"/>
    <w:rsid w:val="00D704E4"/>
    <w:rsid w:val="00D71A04"/>
    <w:rsid w:val="00D72410"/>
    <w:rsid w:val="00D73D53"/>
    <w:rsid w:val="00D7402C"/>
    <w:rsid w:val="00D7408A"/>
    <w:rsid w:val="00D74261"/>
    <w:rsid w:val="00D7441B"/>
    <w:rsid w:val="00D74D38"/>
    <w:rsid w:val="00D75589"/>
    <w:rsid w:val="00D75EB0"/>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739"/>
    <w:rsid w:val="00D9189B"/>
    <w:rsid w:val="00D91DA6"/>
    <w:rsid w:val="00D921A0"/>
    <w:rsid w:val="00D93A41"/>
    <w:rsid w:val="00D93B9A"/>
    <w:rsid w:val="00D94DE4"/>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0AB5"/>
    <w:rsid w:val="00DD286D"/>
    <w:rsid w:val="00DD2CAF"/>
    <w:rsid w:val="00DD3593"/>
    <w:rsid w:val="00DD462A"/>
    <w:rsid w:val="00DD5558"/>
    <w:rsid w:val="00DD6465"/>
    <w:rsid w:val="00DD64E0"/>
    <w:rsid w:val="00DD6FF9"/>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74"/>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3993"/>
    <w:rsid w:val="00E541CD"/>
    <w:rsid w:val="00E54781"/>
    <w:rsid w:val="00E54846"/>
    <w:rsid w:val="00E548FA"/>
    <w:rsid w:val="00E55CD9"/>
    <w:rsid w:val="00E57703"/>
    <w:rsid w:val="00E57ED4"/>
    <w:rsid w:val="00E57FED"/>
    <w:rsid w:val="00E6092F"/>
    <w:rsid w:val="00E61EE9"/>
    <w:rsid w:val="00E62049"/>
    <w:rsid w:val="00E627E9"/>
    <w:rsid w:val="00E629DA"/>
    <w:rsid w:val="00E64374"/>
    <w:rsid w:val="00E6451F"/>
    <w:rsid w:val="00E6469F"/>
    <w:rsid w:val="00E6546A"/>
    <w:rsid w:val="00E65C05"/>
    <w:rsid w:val="00E65D39"/>
    <w:rsid w:val="00E66931"/>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97C03"/>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D19"/>
    <w:rsid w:val="00ED4FF0"/>
    <w:rsid w:val="00ED5284"/>
    <w:rsid w:val="00ED664B"/>
    <w:rsid w:val="00ED6A61"/>
    <w:rsid w:val="00ED6B79"/>
    <w:rsid w:val="00ED768E"/>
    <w:rsid w:val="00ED7820"/>
    <w:rsid w:val="00ED7DA4"/>
    <w:rsid w:val="00EE03BB"/>
    <w:rsid w:val="00EE0552"/>
    <w:rsid w:val="00EE0B44"/>
    <w:rsid w:val="00EE125D"/>
    <w:rsid w:val="00EE1688"/>
    <w:rsid w:val="00EE23DE"/>
    <w:rsid w:val="00EE3CFB"/>
    <w:rsid w:val="00EE48BB"/>
    <w:rsid w:val="00EE6FE0"/>
    <w:rsid w:val="00EE704A"/>
    <w:rsid w:val="00EE7840"/>
    <w:rsid w:val="00EE7963"/>
    <w:rsid w:val="00EF2346"/>
    <w:rsid w:val="00EF2E75"/>
    <w:rsid w:val="00EF4C74"/>
    <w:rsid w:val="00EF5268"/>
    <w:rsid w:val="00EF5A1D"/>
    <w:rsid w:val="00EF608E"/>
    <w:rsid w:val="00EF6C4A"/>
    <w:rsid w:val="00F0044B"/>
    <w:rsid w:val="00F00E60"/>
    <w:rsid w:val="00F01A97"/>
    <w:rsid w:val="00F020E5"/>
    <w:rsid w:val="00F02EDE"/>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1C6"/>
    <w:rsid w:val="00F13AC6"/>
    <w:rsid w:val="00F14933"/>
    <w:rsid w:val="00F1516A"/>
    <w:rsid w:val="00F15483"/>
    <w:rsid w:val="00F15EE5"/>
    <w:rsid w:val="00F171F9"/>
    <w:rsid w:val="00F1737C"/>
    <w:rsid w:val="00F173AA"/>
    <w:rsid w:val="00F20DA4"/>
    <w:rsid w:val="00F20E9F"/>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330E"/>
    <w:rsid w:val="00F54D8E"/>
    <w:rsid w:val="00F5580D"/>
    <w:rsid w:val="00F566B7"/>
    <w:rsid w:val="00F56EA1"/>
    <w:rsid w:val="00F57E55"/>
    <w:rsid w:val="00F606D5"/>
    <w:rsid w:val="00F611B3"/>
    <w:rsid w:val="00F6196E"/>
    <w:rsid w:val="00F61CCC"/>
    <w:rsid w:val="00F62393"/>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3313"/>
    <w:rsid w:val="00F75C12"/>
    <w:rsid w:val="00F764AF"/>
    <w:rsid w:val="00F76D01"/>
    <w:rsid w:val="00F80B43"/>
    <w:rsid w:val="00F80C97"/>
    <w:rsid w:val="00F81C35"/>
    <w:rsid w:val="00F82981"/>
    <w:rsid w:val="00F8311F"/>
    <w:rsid w:val="00F83248"/>
    <w:rsid w:val="00F83376"/>
    <w:rsid w:val="00F853AE"/>
    <w:rsid w:val="00F87BEC"/>
    <w:rsid w:val="00F90376"/>
    <w:rsid w:val="00F908D5"/>
    <w:rsid w:val="00F912A0"/>
    <w:rsid w:val="00F913B9"/>
    <w:rsid w:val="00F91B14"/>
    <w:rsid w:val="00F93C74"/>
    <w:rsid w:val="00F93DCC"/>
    <w:rsid w:val="00F93EA6"/>
    <w:rsid w:val="00F9435D"/>
    <w:rsid w:val="00F966F9"/>
    <w:rsid w:val="00F96F61"/>
    <w:rsid w:val="00F97740"/>
    <w:rsid w:val="00FA0C8F"/>
    <w:rsid w:val="00FA1EDA"/>
    <w:rsid w:val="00FA24F2"/>
    <w:rsid w:val="00FA2DEF"/>
    <w:rsid w:val="00FA2F7B"/>
    <w:rsid w:val="00FA3C90"/>
    <w:rsid w:val="00FA3C97"/>
    <w:rsid w:val="00FA3D30"/>
    <w:rsid w:val="00FA4B49"/>
    <w:rsid w:val="00FA54F8"/>
    <w:rsid w:val="00FA591B"/>
    <w:rsid w:val="00FA6CA9"/>
    <w:rsid w:val="00FA78C8"/>
    <w:rsid w:val="00FA7A2F"/>
    <w:rsid w:val="00FB00AD"/>
    <w:rsid w:val="00FB09FE"/>
    <w:rsid w:val="00FB0E80"/>
    <w:rsid w:val="00FB101D"/>
    <w:rsid w:val="00FB16EE"/>
    <w:rsid w:val="00FB1725"/>
    <w:rsid w:val="00FB2493"/>
    <w:rsid w:val="00FB3573"/>
    <w:rsid w:val="00FB42B7"/>
    <w:rsid w:val="00FB4484"/>
    <w:rsid w:val="00FB593A"/>
    <w:rsid w:val="00FB6410"/>
    <w:rsid w:val="00FB6E82"/>
    <w:rsid w:val="00FB792E"/>
    <w:rsid w:val="00FB7CF0"/>
    <w:rsid w:val="00FC0042"/>
    <w:rsid w:val="00FC1E67"/>
    <w:rsid w:val="00FC2A13"/>
    <w:rsid w:val="00FC344E"/>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703"/>
    <w:rsid w:val="00FD7B23"/>
    <w:rsid w:val="00FE0416"/>
    <w:rsid w:val="00FE0609"/>
    <w:rsid w:val="00FE2A48"/>
    <w:rsid w:val="00FE2DEF"/>
    <w:rsid w:val="00FE2E82"/>
    <w:rsid w:val="00FE323C"/>
    <w:rsid w:val="00FE35EB"/>
    <w:rsid w:val="00FE3A27"/>
    <w:rsid w:val="00FE48A6"/>
    <w:rsid w:val="00FE559A"/>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544830944">
      <w:bodyDiv w:val="1"/>
      <w:marLeft w:val="0"/>
      <w:marRight w:val="0"/>
      <w:marTop w:val="0"/>
      <w:marBottom w:val="0"/>
      <w:divBdr>
        <w:top w:val="none" w:sz="0" w:space="0" w:color="auto"/>
        <w:left w:val="none" w:sz="0" w:space="0" w:color="auto"/>
        <w:bottom w:val="none" w:sz="0" w:space="0" w:color="auto"/>
        <w:right w:val="none" w:sz="0" w:space="0" w:color="auto"/>
      </w:divBdr>
      <w:divsChild>
        <w:div w:id="1162506786">
          <w:marLeft w:val="0"/>
          <w:marRight w:val="0"/>
          <w:marTop w:val="0"/>
          <w:marBottom w:val="0"/>
          <w:divBdr>
            <w:top w:val="none" w:sz="0" w:space="0" w:color="auto"/>
            <w:left w:val="none" w:sz="0" w:space="0" w:color="auto"/>
            <w:bottom w:val="none" w:sz="0" w:space="0" w:color="auto"/>
            <w:right w:val="none" w:sz="0" w:space="0" w:color="auto"/>
          </w:divBdr>
          <w:divsChild>
            <w:div w:id="1659385164">
              <w:marLeft w:val="0"/>
              <w:marRight w:val="0"/>
              <w:marTop w:val="0"/>
              <w:marBottom w:val="0"/>
              <w:divBdr>
                <w:top w:val="none" w:sz="0" w:space="0" w:color="auto"/>
                <w:left w:val="none" w:sz="0" w:space="0" w:color="auto"/>
                <w:bottom w:val="none" w:sz="0" w:space="0" w:color="auto"/>
                <w:right w:val="none" w:sz="0" w:space="0" w:color="auto"/>
              </w:divBdr>
              <w:divsChild>
                <w:div w:id="1979528091">
                  <w:marLeft w:val="0"/>
                  <w:marRight w:val="0"/>
                  <w:marTop w:val="0"/>
                  <w:marBottom w:val="0"/>
                  <w:divBdr>
                    <w:top w:val="none" w:sz="0" w:space="0" w:color="auto"/>
                    <w:left w:val="none" w:sz="0" w:space="0" w:color="auto"/>
                    <w:bottom w:val="none" w:sz="0" w:space="0" w:color="auto"/>
                    <w:right w:val="none" w:sz="0" w:space="0" w:color="auto"/>
                  </w:divBdr>
                  <w:divsChild>
                    <w:div w:id="1436512130">
                      <w:marLeft w:val="0"/>
                      <w:marRight w:val="0"/>
                      <w:marTop w:val="0"/>
                      <w:marBottom w:val="0"/>
                      <w:divBdr>
                        <w:top w:val="none" w:sz="0" w:space="0" w:color="auto"/>
                        <w:left w:val="none" w:sz="0" w:space="0" w:color="auto"/>
                        <w:bottom w:val="none" w:sz="0" w:space="0" w:color="auto"/>
                        <w:right w:val="none" w:sz="0" w:space="0" w:color="auto"/>
                      </w:divBdr>
                      <w:divsChild>
                        <w:div w:id="1821576829">
                          <w:marLeft w:val="0"/>
                          <w:marRight w:val="0"/>
                          <w:marTop w:val="0"/>
                          <w:marBottom w:val="0"/>
                          <w:divBdr>
                            <w:top w:val="none" w:sz="0" w:space="0" w:color="auto"/>
                            <w:left w:val="none" w:sz="0" w:space="0" w:color="auto"/>
                            <w:bottom w:val="none" w:sz="0" w:space="0" w:color="auto"/>
                            <w:right w:val="none" w:sz="0" w:space="0" w:color="auto"/>
                          </w:divBdr>
                          <w:divsChild>
                            <w:div w:id="531499709">
                              <w:marLeft w:val="0"/>
                              <w:marRight w:val="0"/>
                              <w:marTop w:val="0"/>
                              <w:marBottom w:val="0"/>
                              <w:divBdr>
                                <w:top w:val="none" w:sz="0" w:space="0" w:color="auto"/>
                                <w:left w:val="none" w:sz="0" w:space="0" w:color="auto"/>
                                <w:bottom w:val="none" w:sz="0" w:space="0" w:color="auto"/>
                                <w:right w:val="none" w:sz="0" w:space="0" w:color="auto"/>
                              </w:divBdr>
                              <w:divsChild>
                                <w:div w:id="1536700894">
                                  <w:marLeft w:val="0"/>
                                  <w:marRight w:val="0"/>
                                  <w:marTop w:val="0"/>
                                  <w:marBottom w:val="0"/>
                                  <w:divBdr>
                                    <w:top w:val="none" w:sz="0" w:space="0" w:color="auto"/>
                                    <w:left w:val="none" w:sz="0" w:space="0" w:color="auto"/>
                                    <w:bottom w:val="none" w:sz="0" w:space="0" w:color="auto"/>
                                    <w:right w:val="none" w:sz="0" w:space="0" w:color="auto"/>
                                  </w:divBdr>
                                  <w:divsChild>
                                    <w:div w:id="9966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78509">
      <w:bodyDiv w:val="1"/>
      <w:marLeft w:val="0"/>
      <w:marRight w:val="0"/>
      <w:marTop w:val="0"/>
      <w:marBottom w:val="0"/>
      <w:divBdr>
        <w:top w:val="none" w:sz="0" w:space="0" w:color="auto"/>
        <w:left w:val="none" w:sz="0" w:space="0" w:color="auto"/>
        <w:bottom w:val="none" w:sz="0" w:space="0" w:color="auto"/>
        <w:right w:val="none" w:sz="0" w:space="0" w:color="auto"/>
      </w:divBdr>
      <w:divsChild>
        <w:div w:id="1635599453">
          <w:marLeft w:val="0"/>
          <w:marRight w:val="0"/>
          <w:marTop w:val="0"/>
          <w:marBottom w:val="0"/>
          <w:divBdr>
            <w:top w:val="none" w:sz="0" w:space="0" w:color="auto"/>
            <w:left w:val="none" w:sz="0" w:space="0" w:color="auto"/>
            <w:bottom w:val="none" w:sz="0" w:space="0" w:color="auto"/>
            <w:right w:val="none" w:sz="0" w:space="0" w:color="auto"/>
          </w:divBdr>
          <w:divsChild>
            <w:div w:id="641279271">
              <w:marLeft w:val="0"/>
              <w:marRight w:val="0"/>
              <w:marTop w:val="0"/>
              <w:marBottom w:val="0"/>
              <w:divBdr>
                <w:top w:val="none" w:sz="0" w:space="0" w:color="auto"/>
                <w:left w:val="none" w:sz="0" w:space="0" w:color="auto"/>
                <w:bottom w:val="none" w:sz="0" w:space="0" w:color="auto"/>
                <w:right w:val="none" w:sz="0" w:space="0" w:color="auto"/>
              </w:divBdr>
              <w:divsChild>
                <w:div w:id="1036346169">
                  <w:marLeft w:val="0"/>
                  <w:marRight w:val="0"/>
                  <w:marTop w:val="0"/>
                  <w:marBottom w:val="0"/>
                  <w:divBdr>
                    <w:top w:val="none" w:sz="0" w:space="0" w:color="auto"/>
                    <w:left w:val="none" w:sz="0" w:space="0" w:color="auto"/>
                    <w:bottom w:val="none" w:sz="0" w:space="0" w:color="auto"/>
                    <w:right w:val="none" w:sz="0" w:space="0" w:color="auto"/>
                  </w:divBdr>
                  <w:divsChild>
                    <w:div w:id="372923243">
                      <w:marLeft w:val="0"/>
                      <w:marRight w:val="0"/>
                      <w:marTop w:val="0"/>
                      <w:marBottom w:val="0"/>
                      <w:divBdr>
                        <w:top w:val="none" w:sz="0" w:space="0" w:color="auto"/>
                        <w:left w:val="none" w:sz="0" w:space="0" w:color="auto"/>
                        <w:bottom w:val="none" w:sz="0" w:space="0" w:color="auto"/>
                        <w:right w:val="none" w:sz="0" w:space="0" w:color="auto"/>
                      </w:divBdr>
                      <w:divsChild>
                        <w:div w:id="1263958525">
                          <w:marLeft w:val="0"/>
                          <w:marRight w:val="0"/>
                          <w:marTop w:val="0"/>
                          <w:marBottom w:val="0"/>
                          <w:divBdr>
                            <w:top w:val="none" w:sz="0" w:space="0" w:color="auto"/>
                            <w:left w:val="none" w:sz="0" w:space="0" w:color="auto"/>
                            <w:bottom w:val="none" w:sz="0" w:space="0" w:color="auto"/>
                            <w:right w:val="none" w:sz="0" w:space="0" w:color="auto"/>
                          </w:divBdr>
                          <w:divsChild>
                            <w:div w:id="878710393">
                              <w:marLeft w:val="0"/>
                              <w:marRight w:val="0"/>
                              <w:marTop w:val="0"/>
                              <w:marBottom w:val="0"/>
                              <w:divBdr>
                                <w:top w:val="none" w:sz="0" w:space="0" w:color="auto"/>
                                <w:left w:val="none" w:sz="0" w:space="0" w:color="auto"/>
                                <w:bottom w:val="none" w:sz="0" w:space="0" w:color="auto"/>
                                <w:right w:val="none" w:sz="0" w:space="0" w:color="auto"/>
                              </w:divBdr>
                              <w:divsChild>
                                <w:div w:id="1943604239">
                                  <w:marLeft w:val="0"/>
                                  <w:marRight w:val="0"/>
                                  <w:marTop w:val="0"/>
                                  <w:marBottom w:val="0"/>
                                  <w:divBdr>
                                    <w:top w:val="none" w:sz="0" w:space="0" w:color="auto"/>
                                    <w:left w:val="none" w:sz="0" w:space="0" w:color="auto"/>
                                    <w:bottom w:val="none" w:sz="0" w:space="0" w:color="auto"/>
                                    <w:right w:val="none" w:sz="0" w:space="0" w:color="auto"/>
                                  </w:divBdr>
                                  <w:divsChild>
                                    <w:div w:id="9199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0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192C-141E-4190-B04C-F00E129F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2012-10-11T11:31:00Z</cp:lastPrinted>
  <dcterms:created xsi:type="dcterms:W3CDTF">2012-10-31T18:42:00Z</dcterms:created>
  <dcterms:modified xsi:type="dcterms:W3CDTF">2012-10-31T18:42:00Z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