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CA321F" w:rsidRDefault="00AD2379" w:rsidP="000D4AF7">
      <w:pPr>
        <w:tabs>
          <w:tab w:val="left" w:pos="288"/>
          <w:tab w:val="left" w:pos="4770"/>
        </w:tabs>
        <w:rPr>
          <w:color w:val="auto"/>
        </w:rPr>
      </w:pPr>
      <w:r w:rsidRPr="00CA321F">
        <w:rPr>
          <w:color w:val="auto"/>
        </w:rPr>
        <w:t>RECORD OF PROCEEDINGS</w:t>
      </w:r>
    </w:p>
    <w:p w:rsidR="00AD2379" w:rsidRPr="00CA321F" w:rsidRDefault="00AD2379" w:rsidP="00BF0E94">
      <w:pPr>
        <w:tabs>
          <w:tab w:val="left" w:pos="288"/>
          <w:tab w:val="left" w:pos="4752"/>
        </w:tabs>
        <w:rPr>
          <w:color w:val="auto"/>
        </w:rPr>
      </w:pPr>
      <w:r w:rsidRPr="00CA321F">
        <w:rPr>
          <w:color w:val="auto"/>
        </w:rPr>
        <w:t>PHYSICAL DISABILITY BOARD OF REVIEW</w:t>
      </w:r>
    </w:p>
    <w:p w:rsidR="00AD2379" w:rsidRPr="00CA321F" w:rsidRDefault="00AD2379" w:rsidP="00BF0E94">
      <w:pPr>
        <w:tabs>
          <w:tab w:val="left" w:pos="288"/>
          <w:tab w:val="left" w:pos="4752"/>
        </w:tabs>
        <w:jc w:val="both"/>
        <w:rPr>
          <w:caps/>
          <w:color w:val="auto"/>
        </w:rPr>
      </w:pPr>
    </w:p>
    <w:p w:rsidR="0095270D" w:rsidRPr="00CA321F" w:rsidRDefault="0095270D" w:rsidP="00DD5558">
      <w:pPr>
        <w:tabs>
          <w:tab w:val="right" w:pos="9360"/>
        </w:tabs>
        <w:jc w:val="both"/>
        <w:rPr>
          <w:caps/>
          <w:color w:val="auto"/>
        </w:rPr>
      </w:pPr>
      <w:r w:rsidRPr="00CA321F">
        <w:rPr>
          <w:caps/>
          <w:color w:val="auto"/>
        </w:rPr>
        <w:t xml:space="preserve">NAME:  </w:t>
      </w:r>
      <w:r w:rsidR="00366BEF">
        <w:rPr>
          <w:caps/>
          <w:color w:val="auto"/>
        </w:rPr>
        <w:t>XXXXXXXXXXXXXXXXXX</w:t>
      </w:r>
      <w:r w:rsidR="000E07B1" w:rsidRPr="00CA321F">
        <w:rPr>
          <w:caps/>
          <w:color w:val="auto"/>
        </w:rPr>
        <w:t xml:space="preserve">                                                  </w:t>
      </w:r>
      <w:r w:rsidR="00076AEC">
        <w:rPr>
          <w:caps/>
          <w:color w:val="auto"/>
        </w:rPr>
        <w:t xml:space="preserve"> </w:t>
      </w:r>
      <w:r w:rsidR="000E07B1" w:rsidRPr="00CA321F">
        <w:rPr>
          <w:caps/>
          <w:color w:val="auto"/>
        </w:rPr>
        <w:t xml:space="preserve">         </w:t>
      </w:r>
      <w:r w:rsidR="00584259">
        <w:rPr>
          <w:caps/>
          <w:color w:val="auto"/>
        </w:rPr>
        <w:tab/>
      </w:r>
      <w:r w:rsidR="00EE3CFB" w:rsidRPr="00CA321F">
        <w:rPr>
          <w:caps/>
          <w:color w:val="auto"/>
        </w:rPr>
        <w:t xml:space="preserve">BRANCH OF SERVICE: </w:t>
      </w:r>
      <w:r w:rsidR="0018208F" w:rsidRPr="00CA321F">
        <w:rPr>
          <w:caps/>
          <w:color w:val="auto"/>
        </w:rPr>
        <w:t xml:space="preserve"> </w:t>
      </w:r>
      <w:r w:rsidR="000E07B1" w:rsidRPr="00CA321F">
        <w:rPr>
          <w:caps/>
          <w:color w:val="auto"/>
        </w:rPr>
        <w:t>Army</w:t>
      </w:r>
    </w:p>
    <w:p w:rsidR="0095270D" w:rsidRPr="00CA321F" w:rsidRDefault="0095270D" w:rsidP="00DD5558">
      <w:pPr>
        <w:tabs>
          <w:tab w:val="right" w:pos="9360"/>
        </w:tabs>
        <w:jc w:val="both"/>
        <w:rPr>
          <w:color w:val="auto"/>
        </w:rPr>
      </w:pPr>
      <w:r w:rsidRPr="00CA321F">
        <w:rPr>
          <w:caps/>
          <w:color w:val="auto"/>
        </w:rPr>
        <w:t>CASE NUMBER:  PD</w:t>
      </w:r>
      <w:r w:rsidR="001657BE" w:rsidRPr="00CA321F">
        <w:rPr>
          <w:caps/>
          <w:color w:val="auto"/>
        </w:rPr>
        <w:t>12</w:t>
      </w:r>
      <w:r w:rsidR="00584259">
        <w:rPr>
          <w:caps/>
          <w:color w:val="auto"/>
        </w:rPr>
        <w:t>0</w:t>
      </w:r>
      <w:r w:rsidRPr="00CA321F">
        <w:rPr>
          <w:caps/>
          <w:color w:val="auto"/>
        </w:rPr>
        <w:t>0</w:t>
      </w:r>
      <w:r w:rsidR="000E07B1" w:rsidRPr="00CA321F">
        <w:rPr>
          <w:caps/>
          <w:color w:val="auto"/>
        </w:rPr>
        <w:t>409</w:t>
      </w:r>
      <w:r w:rsidR="00082268" w:rsidRPr="00CA321F">
        <w:rPr>
          <w:color w:val="auto"/>
        </w:rPr>
        <w:t xml:space="preserve">                                                         </w:t>
      </w:r>
      <w:r w:rsidR="00584259">
        <w:rPr>
          <w:color w:val="auto"/>
        </w:rPr>
        <w:tab/>
      </w:r>
      <w:r w:rsidR="00082268" w:rsidRPr="00CA321F">
        <w:rPr>
          <w:color w:val="auto"/>
        </w:rPr>
        <w:t xml:space="preserve"> </w:t>
      </w:r>
      <w:r w:rsidR="0018208F" w:rsidRPr="00CA321F">
        <w:rPr>
          <w:color w:val="auto"/>
        </w:rPr>
        <w:t>SE</w:t>
      </w:r>
      <w:r w:rsidRPr="00CA321F">
        <w:rPr>
          <w:color w:val="auto"/>
        </w:rPr>
        <w:t>PARATION DATE:  200</w:t>
      </w:r>
      <w:r w:rsidR="000E07B1" w:rsidRPr="00CA321F">
        <w:rPr>
          <w:color w:val="auto"/>
        </w:rPr>
        <w:t>91116</w:t>
      </w:r>
    </w:p>
    <w:p w:rsidR="00AD2379" w:rsidRPr="00CA321F" w:rsidRDefault="0095270D" w:rsidP="0095270D">
      <w:pPr>
        <w:pBdr>
          <w:bottom w:val="single" w:sz="12" w:space="1" w:color="auto"/>
        </w:pBdr>
        <w:tabs>
          <w:tab w:val="left" w:pos="288"/>
          <w:tab w:val="left" w:pos="4752"/>
        </w:tabs>
        <w:jc w:val="both"/>
        <w:rPr>
          <w:rFonts w:cs="Times New Roman"/>
          <w:caps/>
          <w:color w:val="auto"/>
        </w:rPr>
      </w:pPr>
      <w:r w:rsidRPr="00CA321F">
        <w:rPr>
          <w:caps/>
          <w:color w:val="auto"/>
        </w:rPr>
        <w:t>BOARD DATE:  2012</w:t>
      </w:r>
      <w:r w:rsidR="004B5E04" w:rsidRPr="00CA321F">
        <w:rPr>
          <w:caps/>
          <w:color w:val="auto"/>
        </w:rPr>
        <w:t>0927</w:t>
      </w:r>
      <w:r w:rsidR="00FF0D57" w:rsidRPr="00CA321F">
        <w:rPr>
          <w:caps/>
          <w:color w:val="auto"/>
          <w:szCs w:val="24"/>
        </w:rPr>
        <w:t xml:space="preserve"> </w:t>
      </w:r>
    </w:p>
    <w:p w:rsidR="0095270D" w:rsidRPr="00CA321F" w:rsidRDefault="0095270D" w:rsidP="0095270D">
      <w:pPr>
        <w:pBdr>
          <w:bottom w:val="single" w:sz="12" w:space="1" w:color="auto"/>
        </w:pBdr>
        <w:tabs>
          <w:tab w:val="left" w:pos="288"/>
          <w:tab w:val="left" w:pos="4752"/>
        </w:tabs>
        <w:jc w:val="both"/>
        <w:rPr>
          <w:color w:val="auto"/>
        </w:rPr>
      </w:pPr>
    </w:p>
    <w:p w:rsidR="00AD2379" w:rsidRPr="00CA321F" w:rsidRDefault="00AD2379" w:rsidP="003113F6">
      <w:pPr>
        <w:tabs>
          <w:tab w:val="left" w:pos="288"/>
          <w:tab w:val="left" w:pos="4752"/>
        </w:tabs>
        <w:jc w:val="both"/>
        <w:rPr>
          <w:color w:val="auto"/>
        </w:rPr>
      </w:pPr>
    </w:p>
    <w:p w:rsidR="000E07B1" w:rsidRPr="00F64312" w:rsidRDefault="00AD2379" w:rsidP="003113F6">
      <w:pPr>
        <w:tabs>
          <w:tab w:val="left" w:pos="288"/>
          <w:tab w:val="left" w:pos="4752"/>
        </w:tabs>
        <w:jc w:val="both"/>
        <w:rPr>
          <w:color w:val="auto"/>
        </w:rPr>
      </w:pPr>
      <w:r w:rsidRPr="00CA321F">
        <w:rPr>
          <w:color w:val="auto"/>
          <w:u w:val="single"/>
        </w:rPr>
        <w:t>SUMMARY OF CASE</w:t>
      </w:r>
      <w:r w:rsidRPr="00CA321F">
        <w:rPr>
          <w:color w:val="auto"/>
        </w:rPr>
        <w:t>:</w:t>
      </w:r>
      <w:r w:rsidR="00532B33" w:rsidRPr="00CA321F">
        <w:rPr>
          <w:color w:val="auto"/>
        </w:rPr>
        <w:t xml:space="preserve"> </w:t>
      </w:r>
      <w:r w:rsidRPr="00CA321F">
        <w:rPr>
          <w:color w:val="auto"/>
        </w:rPr>
        <w:t xml:space="preserve"> </w:t>
      </w:r>
      <w:r w:rsidR="000E07B1" w:rsidRPr="00CA321F">
        <w:rPr>
          <w:color w:val="auto"/>
        </w:rPr>
        <w:t>Data extracted from the available evidence of record reflects that this covered individual (CI) was an active duty SPC/E-4 (92A10</w:t>
      </w:r>
      <w:r w:rsidR="00A8036A">
        <w:rPr>
          <w:color w:val="auto"/>
        </w:rPr>
        <w:t xml:space="preserve">, </w:t>
      </w:r>
      <w:r w:rsidR="000E07B1" w:rsidRPr="00CA321F">
        <w:rPr>
          <w:color w:val="auto"/>
        </w:rPr>
        <w:t xml:space="preserve">Automated Logistical Specialist), medically separated for </w:t>
      </w:r>
      <w:r w:rsidR="00A8036A">
        <w:rPr>
          <w:color w:val="auto"/>
        </w:rPr>
        <w:t>t</w:t>
      </w:r>
      <w:r w:rsidR="000E07B1" w:rsidRPr="00CA321F">
        <w:rPr>
          <w:color w:val="auto"/>
          <w:szCs w:val="24"/>
        </w:rPr>
        <w:t>enosynovitis</w:t>
      </w:r>
      <w:r w:rsidR="00D554A2" w:rsidRPr="00CA321F">
        <w:rPr>
          <w:color w:val="auto"/>
          <w:szCs w:val="24"/>
        </w:rPr>
        <w:t xml:space="preserve"> </w:t>
      </w:r>
      <w:r w:rsidR="00F03663" w:rsidRPr="00CA321F">
        <w:rPr>
          <w:color w:val="auto"/>
          <w:szCs w:val="24"/>
        </w:rPr>
        <w:t>of the right ankle (flexor hallucis longis)</w:t>
      </w:r>
      <w:r w:rsidR="000E07B1" w:rsidRPr="00CA321F">
        <w:rPr>
          <w:color w:val="auto"/>
          <w:szCs w:val="24"/>
        </w:rPr>
        <w:t xml:space="preserve">.  </w:t>
      </w:r>
      <w:r w:rsidR="004E6D6A" w:rsidRPr="00CA321F">
        <w:rPr>
          <w:color w:val="auto"/>
        </w:rPr>
        <w:t>The CI did not respond adequately to</w:t>
      </w:r>
      <w:r w:rsidR="00F15483" w:rsidRPr="00CA321F">
        <w:rPr>
          <w:color w:val="auto"/>
        </w:rPr>
        <w:t xml:space="preserve"> treatment</w:t>
      </w:r>
      <w:r w:rsidR="004E6D6A" w:rsidRPr="00CA321F">
        <w:rPr>
          <w:color w:val="auto"/>
        </w:rPr>
        <w:t xml:space="preserve"> and was unable to perform within</w:t>
      </w:r>
      <w:r w:rsidR="00F566B7" w:rsidRPr="00CA321F">
        <w:rPr>
          <w:color w:val="auto"/>
        </w:rPr>
        <w:t xml:space="preserve"> </w:t>
      </w:r>
      <w:r w:rsidR="00CA500E" w:rsidRPr="00CA321F">
        <w:rPr>
          <w:color w:val="auto"/>
        </w:rPr>
        <w:t>her</w:t>
      </w:r>
      <w:r w:rsidR="00F566B7" w:rsidRPr="00CA321F">
        <w:rPr>
          <w:color w:val="auto"/>
        </w:rPr>
        <w:t xml:space="preserve"> Military Occupational Specialty (MOS)</w:t>
      </w:r>
      <w:r w:rsidR="0021565F" w:rsidRPr="00CA321F">
        <w:rPr>
          <w:color w:val="auto"/>
        </w:rPr>
        <w:t xml:space="preserve"> </w:t>
      </w:r>
      <w:r w:rsidR="00F566B7" w:rsidRPr="00CA321F">
        <w:rPr>
          <w:color w:val="auto"/>
        </w:rPr>
        <w:t>or satis</w:t>
      </w:r>
      <w:r w:rsidR="009C12A1" w:rsidRPr="00CA321F">
        <w:rPr>
          <w:color w:val="auto"/>
        </w:rPr>
        <w:t>fy physical fitness standards.</w:t>
      </w:r>
      <w:r w:rsidR="00F566B7" w:rsidRPr="00CA321F">
        <w:rPr>
          <w:color w:val="auto"/>
        </w:rPr>
        <w:t xml:space="preserve"> </w:t>
      </w:r>
      <w:r w:rsidR="009C12A1" w:rsidRPr="00CA321F">
        <w:rPr>
          <w:color w:val="auto"/>
        </w:rPr>
        <w:t xml:space="preserve"> </w:t>
      </w:r>
      <w:r w:rsidR="008519E7" w:rsidRPr="00CA321F">
        <w:rPr>
          <w:color w:val="auto"/>
        </w:rPr>
        <w:t>She</w:t>
      </w:r>
      <w:r w:rsidR="009C12A1" w:rsidRPr="00CA321F">
        <w:rPr>
          <w:color w:val="auto"/>
        </w:rPr>
        <w:t xml:space="preserve"> </w:t>
      </w:r>
      <w:r w:rsidR="00F566B7" w:rsidRPr="00CA321F">
        <w:rPr>
          <w:color w:val="auto"/>
        </w:rPr>
        <w:t xml:space="preserve">was issued a permanent </w:t>
      </w:r>
      <w:r w:rsidR="004E6D6A" w:rsidRPr="00CA321F">
        <w:rPr>
          <w:color w:val="auto"/>
        </w:rPr>
        <w:t>P2/</w:t>
      </w:r>
      <w:r w:rsidR="00F566B7" w:rsidRPr="00CA321F">
        <w:rPr>
          <w:color w:val="auto"/>
        </w:rPr>
        <w:t>L3 profile and</w:t>
      </w:r>
      <w:r w:rsidR="009C12A1" w:rsidRPr="00CA321F">
        <w:rPr>
          <w:color w:val="auto"/>
        </w:rPr>
        <w:t xml:space="preserve"> </w:t>
      </w:r>
      <w:r w:rsidR="00F566B7" w:rsidRPr="00CA321F">
        <w:rPr>
          <w:color w:val="auto"/>
        </w:rPr>
        <w:t>referred for a Medical Evaluation Board (MEB).</w:t>
      </w:r>
      <w:r w:rsidR="006D5E1E" w:rsidRPr="00CA321F">
        <w:rPr>
          <w:color w:val="auto"/>
        </w:rPr>
        <w:t xml:space="preserve">  </w:t>
      </w:r>
      <w:r w:rsidR="00D554A2" w:rsidRPr="00CA321F">
        <w:rPr>
          <w:color w:val="auto"/>
        </w:rPr>
        <w:t>Following appeal, t</w:t>
      </w:r>
      <w:r w:rsidR="00BA28B5" w:rsidRPr="00CA321F">
        <w:rPr>
          <w:color w:val="auto"/>
        </w:rPr>
        <w:t>he MEB forwarded</w:t>
      </w:r>
      <w:r w:rsidR="004E6D6A" w:rsidRPr="00CA321F">
        <w:rPr>
          <w:color w:val="auto"/>
        </w:rPr>
        <w:t xml:space="preserve"> right lateral </w:t>
      </w:r>
      <w:r w:rsidR="00BA28B5" w:rsidRPr="00CA321F">
        <w:rPr>
          <w:color w:val="auto"/>
        </w:rPr>
        <w:t xml:space="preserve">ankle instability and right peroneal tendinitis to the Physical Evaluation Board </w:t>
      </w:r>
      <w:r w:rsidR="00D554A2" w:rsidRPr="00CA321F">
        <w:rPr>
          <w:color w:val="auto"/>
        </w:rPr>
        <w:t xml:space="preserve">(PEB) </w:t>
      </w:r>
      <w:r w:rsidR="00BA28B5" w:rsidRPr="00CA321F">
        <w:rPr>
          <w:color w:val="auto"/>
        </w:rPr>
        <w:t xml:space="preserve">as </w:t>
      </w:r>
      <w:r w:rsidR="004E6D6A" w:rsidRPr="00CA321F">
        <w:rPr>
          <w:color w:val="auto"/>
        </w:rPr>
        <w:t>medically unacceptable IAW AR 40-501.  The MEB forwarded</w:t>
      </w:r>
      <w:r w:rsidR="004E6D6A" w:rsidRPr="00CA321F">
        <w:rPr>
          <w:color w:val="auto"/>
          <w:szCs w:val="24"/>
        </w:rPr>
        <w:t xml:space="preserve"> the </w:t>
      </w:r>
      <w:r w:rsidR="00A8036A" w:rsidRPr="00CA321F">
        <w:rPr>
          <w:color w:val="auto"/>
        </w:rPr>
        <w:t xml:space="preserve">irritable bowel syndrome </w:t>
      </w:r>
      <w:r w:rsidR="00D554A2" w:rsidRPr="00CA321F">
        <w:rPr>
          <w:color w:val="auto"/>
        </w:rPr>
        <w:t>(IBS)</w:t>
      </w:r>
      <w:r w:rsidR="000E07B1" w:rsidRPr="00CA321F">
        <w:rPr>
          <w:color w:val="auto"/>
        </w:rPr>
        <w:t xml:space="preserve">, </w:t>
      </w:r>
      <w:r w:rsidR="00A8036A" w:rsidRPr="00CA321F">
        <w:rPr>
          <w:color w:val="auto"/>
        </w:rPr>
        <w:t xml:space="preserve">back pain due to </w:t>
      </w:r>
      <w:proofErr w:type="spellStart"/>
      <w:r w:rsidR="00A8036A" w:rsidRPr="00CA321F">
        <w:rPr>
          <w:color w:val="auto"/>
        </w:rPr>
        <w:t>thoracolumbar</w:t>
      </w:r>
      <w:proofErr w:type="spellEnd"/>
      <w:r w:rsidR="00A8036A" w:rsidRPr="00CA321F">
        <w:rPr>
          <w:color w:val="auto"/>
        </w:rPr>
        <w:t xml:space="preserve"> </w:t>
      </w:r>
      <w:proofErr w:type="spellStart"/>
      <w:r w:rsidR="00A8036A" w:rsidRPr="00CA321F">
        <w:rPr>
          <w:color w:val="auto"/>
        </w:rPr>
        <w:t>dextroscoliosis</w:t>
      </w:r>
      <w:proofErr w:type="spellEnd"/>
      <w:r w:rsidR="00A8036A" w:rsidRPr="00CA321F">
        <w:rPr>
          <w:color w:val="auto"/>
        </w:rPr>
        <w:t xml:space="preserve">, right wrist pain, headaches, bilateral knee pain, cervical intraepithelial </w:t>
      </w:r>
      <w:proofErr w:type="spellStart"/>
      <w:r w:rsidR="00A8036A" w:rsidRPr="00CA321F">
        <w:rPr>
          <w:color w:val="auto"/>
        </w:rPr>
        <w:t>neoplasia</w:t>
      </w:r>
      <w:proofErr w:type="spellEnd"/>
      <w:r w:rsidR="00A8036A" w:rsidRPr="00CA321F">
        <w:rPr>
          <w:color w:val="auto"/>
        </w:rPr>
        <w:t xml:space="preserve"> – </w:t>
      </w:r>
      <w:proofErr w:type="spellStart"/>
      <w:r w:rsidR="00A8036A" w:rsidRPr="00CA321F">
        <w:rPr>
          <w:color w:val="auto"/>
        </w:rPr>
        <w:t>hpv</w:t>
      </w:r>
      <w:proofErr w:type="spellEnd"/>
      <w:r w:rsidR="00A8036A" w:rsidRPr="00CA321F">
        <w:rPr>
          <w:color w:val="auto"/>
        </w:rPr>
        <w:t xml:space="preserve"> positive, seasonal</w:t>
      </w:r>
      <w:r w:rsidR="00A8036A" w:rsidRPr="002A34CF">
        <w:rPr>
          <w:color w:val="auto"/>
        </w:rPr>
        <w:t xml:space="preserve"> allergies, left ear conductive hearing loss and mild </w:t>
      </w:r>
      <w:proofErr w:type="spellStart"/>
      <w:r w:rsidR="00A8036A" w:rsidRPr="002A34CF">
        <w:rPr>
          <w:color w:val="auto"/>
        </w:rPr>
        <w:t>gastroparesis</w:t>
      </w:r>
      <w:proofErr w:type="spellEnd"/>
      <w:r w:rsidR="00A8036A" w:rsidRPr="002A34CF">
        <w:rPr>
          <w:color w:val="auto"/>
        </w:rPr>
        <w:t xml:space="preserve"> </w:t>
      </w:r>
      <w:r w:rsidR="000E07B1" w:rsidRPr="002A34CF">
        <w:rPr>
          <w:color w:val="auto"/>
        </w:rPr>
        <w:t xml:space="preserve">conditions </w:t>
      </w:r>
      <w:r w:rsidR="004E6D6A">
        <w:rPr>
          <w:color w:val="auto"/>
        </w:rPr>
        <w:t>as medically acceptable</w:t>
      </w:r>
      <w:r w:rsidR="00A8036A">
        <w:rPr>
          <w:color w:val="auto"/>
        </w:rPr>
        <w:t xml:space="preserve"> </w:t>
      </w:r>
      <w:r w:rsidR="004E6D6A">
        <w:rPr>
          <w:color w:val="auto"/>
        </w:rPr>
        <w:t>-“meets Army</w:t>
      </w:r>
      <w:r w:rsidR="0086342E">
        <w:rPr>
          <w:color w:val="auto"/>
        </w:rPr>
        <w:t xml:space="preserve"> </w:t>
      </w:r>
      <w:r w:rsidR="00A8036A">
        <w:rPr>
          <w:color w:val="auto"/>
        </w:rPr>
        <w:t>retentions standards.</w:t>
      </w:r>
      <w:r w:rsidR="004E6D6A">
        <w:rPr>
          <w:color w:val="auto"/>
        </w:rPr>
        <w:t>”</w:t>
      </w:r>
      <w:r w:rsidR="0086342E">
        <w:rPr>
          <w:color w:val="auto"/>
          <w:szCs w:val="24"/>
        </w:rPr>
        <w:t xml:space="preserve">  </w:t>
      </w:r>
      <w:r w:rsidR="000E07B1" w:rsidRPr="002A34CF">
        <w:rPr>
          <w:color w:val="auto"/>
        </w:rPr>
        <w:t xml:space="preserve">The PEB adjudicated </w:t>
      </w:r>
      <w:r w:rsidR="008519E7">
        <w:rPr>
          <w:color w:val="auto"/>
        </w:rPr>
        <w:t xml:space="preserve">the </w:t>
      </w:r>
      <w:r w:rsidR="00F03663" w:rsidRPr="009B4E48">
        <w:rPr>
          <w:color w:val="auto"/>
        </w:rPr>
        <w:t xml:space="preserve">right ankle </w:t>
      </w:r>
      <w:r w:rsidR="008519E7" w:rsidRPr="009B4E48">
        <w:rPr>
          <w:color w:val="auto"/>
        </w:rPr>
        <w:t>tenosynovitis</w:t>
      </w:r>
      <w:r w:rsidR="000E07B1" w:rsidRPr="002A34CF">
        <w:rPr>
          <w:color w:val="auto"/>
        </w:rPr>
        <w:t xml:space="preserve"> condition as </w:t>
      </w:r>
      <w:r w:rsidR="000E07B1" w:rsidRPr="00291310">
        <w:rPr>
          <w:color w:val="auto"/>
        </w:rPr>
        <w:t xml:space="preserve">unfitting, rated 10% </w:t>
      </w:r>
      <w:r w:rsidR="00A8036A">
        <w:rPr>
          <w:color w:val="auto"/>
        </w:rPr>
        <w:t>with application of the Veteran</w:t>
      </w:r>
      <w:r w:rsidR="000E07B1" w:rsidRPr="00291310">
        <w:rPr>
          <w:color w:val="auto"/>
        </w:rPr>
        <w:t>s A</w:t>
      </w:r>
      <w:r w:rsidR="00A8036A">
        <w:rPr>
          <w:color w:val="auto"/>
        </w:rPr>
        <w:t xml:space="preserve">dministration </w:t>
      </w:r>
      <w:r w:rsidR="000E07B1" w:rsidRPr="00291310">
        <w:rPr>
          <w:color w:val="auto"/>
        </w:rPr>
        <w:t>Schedule for Rating Disabilities (VASRD)</w:t>
      </w:r>
      <w:r w:rsidR="00291310" w:rsidRPr="00291310">
        <w:rPr>
          <w:color w:val="auto"/>
        </w:rPr>
        <w:t>.</w:t>
      </w:r>
      <w:r w:rsidR="00291310" w:rsidRPr="00F64312">
        <w:rPr>
          <w:color w:val="auto"/>
        </w:rPr>
        <w:t xml:space="preserve">  </w:t>
      </w:r>
      <w:r w:rsidR="000E07B1" w:rsidRPr="002A34CF">
        <w:rPr>
          <w:color w:val="auto"/>
        </w:rPr>
        <w:t xml:space="preserve">The remaining </w:t>
      </w:r>
      <w:r w:rsidR="00C11BA1">
        <w:rPr>
          <w:color w:val="auto"/>
        </w:rPr>
        <w:t>conditions</w:t>
      </w:r>
      <w:r w:rsidR="000E07B1" w:rsidRPr="002A34CF">
        <w:rPr>
          <w:color w:val="auto"/>
        </w:rPr>
        <w:t xml:space="preserve"> were determined to be not unfitting and therefore not ratable.</w:t>
      </w:r>
      <w:r w:rsidR="00D554A2">
        <w:rPr>
          <w:color w:val="auto"/>
        </w:rPr>
        <w:t xml:space="preserve">  </w:t>
      </w:r>
      <w:r w:rsidR="00BA28B5">
        <w:rPr>
          <w:color w:val="auto"/>
        </w:rPr>
        <w:t xml:space="preserve">The CI made no other </w:t>
      </w:r>
      <w:r w:rsidR="000E07B1" w:rsidRPr="002A34CF">
        <w:rPr>
          <w:color w:val="auto"/>
        </w:rPr>
        <w:t>appeals, and was medically separated with a 10% disability rating.</w:t>
      </w:r>
      <w:r w:rsidR="000E07B1" w:rsidRPr="00F64312">
        <w:rPr>
          <w:color w:val="auto"/>
        </w:rPr>
        <w:t xml:space="preserve">  </w:t>
      </w:r>
    </w:p>
    <w:p w:rsidR="00042978" w:rsidRPr="00F64312" w:rsidRDefault="00042978" w:rsidP="003113F6">
      <w:pPr>
        <w:pBdr>
          <w:bottom w:val="single" w:sz="12" w:space="1" w:color="auto"/>
        </w:pBdr>
        <w:tabs>
          <w:tab w:val="left" w:pos="288"/>
          <w:tab w:val="left" w:pos="4752"/>
        </w:tabs>
        <w:jc w:val="both"/>
        <w:rPr>
          <w:color w:val="auto"/>
        </w:rPr>
      </w:pPr>
    </w:p>
    <w:p w:rsidR="00042978" w:rsidRPr="00F64312" w:rsidRDefault="00042978" w:rsidP="003113F6">
      <w:pPr>
        <w:jc w:val="both"/>
        <w:rPr>
          <w:color w:val="auto"/>
          <w:u w:val="single"/>
        </w:rPr>
      </w:pPr>
    </w:p>
    <w:p w:rsidR="004306E0" w:rsidRPr="00CA321F" w:rsidRDefault="00AD2379" w:rsidP="003113F6">
      <w:pPr>
        <w:tabs>
          <w:tab w:val="left" w:pos="288"/>
          <w:tab w:val="left" w:pos="4752"/>
        </w:tabs>
        <w:jc w:val="both"/>
        <w:rPr>
          <w:color w:val="auto"/>
        </w:rPr>
      </w:pPr>
      <w:r w:rsidRPr="00CA321F">
        <w:rPr>
          <w:color w:val="auto"/>
          <w:u w:val="single"/>
        </w:rPr>
        <w:t>CI CONTENTION</w:t>
      </w:r>
      <w:r w:rsidRPr="00CA321F">
        <w:rPr>
          <w:color w:val="auto"/>
        </w:rPr>
        <w:t>:</w:t>
      </w:r>
      <w:r w:rsidR="008519E7" w:rsidRPr="00CA321F">
        <w:rPr>
          <w:color w:val="auto"/>
        </w:rPr>
        <w:t xml:space="preserve"> </w:t>
      </w:r>
      <w:r w:rsidR="0066684A" w:rsidRPr="00CA321F">
        <w:rPr>
          <w:color w:val="auto"/>
        </w:rPr>
        <w:t xml:space="preserve"> </w:t>
      </w:r>
      <w:r w:rsidR="000E07B1" w:rsidRPr="00CA321F">
        <w:rPr>
          <w:color w:val="auto"/>
        </w:rPr>
        <w:t xml:space="preserve">“They unfairly assessed my right ankle, said it was </w:t>
      </w:r>
      <w:r w:rsidR="00A8036A" w:rsidRPr="00CA321F">
        <w:rPr>
          <w:color w:val="auto"/>
        </w:rPr>
        <w:t>tendinitis</w:t>
      </w:r>
      <w:r w:rsidR="000E07B1" w:rsidRPr="00CA321F">
        <w:rPr>
          <w:color w:val="auto"/>
        </w:rPr>
        <w:t>.</w:t>
      </w:r>
      <w:r w:rsidR="008519E7" w:rsidRPr="00CA321F">
        <w:rPr>
          <w:color w:val="auto"/>
        </w:rPr>
        <w:t xml:space="preserve"> </w:t>
      </w:r>
      <w:r w:rsidR="000E07B1" w:rsidRPr="00CA321F">
        <w:rPr>
          <w:color w:val="auto"/>
        </w:rPr>
        <w:t xml:space="preserve"> However, I recently went to the VA and had to have ligament reattachment surgery twice. </w:t>
      </w:r>
      <w:r w:rsidR="008519E7" w:rsidRPr="00CA321F">
        <w:rPr>
          <w:color w:val="auto"/>
        </w:rPr>
        <w:t xml:space="preserve"> </w:t>
      </w:r>
      <w:r w:rsidR="000E07B1" w:rsidRPr="00CA321F">
        <w:rPr>
          <w:color w:val="auto"/>
        </w:rPr>
        <w:t xml:space="preserve">Now I cannot work and have to go through </w:t>
      </w:r>
      <w:r w:rsidR="00A8036A" w:rsidRPr="00CA321F">
        <w:rPr>
          <w:color w:val="auto"/>
        </w:rPr>
        <w:t>physical</w:t>
      </w:r>
      <w:r w:rsidR="000E07B1" w:rsidRPr="00CA321F">
        <w:rPr>
          <w:color w:val="auto"/>
        </w:rPr>
        <w:t xml:space="preserve"> therapy. </w:t>
      </w:r>
      <w:r w:rsidR="008519E7" w:rsidRPr="00CA321F">
        <w:rPr>
          <w:color w:val="auto"/>
        </w:rPr>
        <w:t xml:space="preserve"> </w:t>
      </w:r>
      <w:r w:rsidR="000E07B1" w:rsidRPr="00CA321F">
        <w:rPr>
          <w:color w:val="auto"/>
        </w:rPr>
        <w:t xml:space="preserve">My back and stomach were also assessed unfairly.  I have much more back pain than I thought possible and after having my </w:t>
      </w:r>
      <w:r w:rsidR="00A8036A" w:rsidRPr="00CA321F">
        <w:rPr>
          <w:color w:val="auto"/>
        </w:rPr>
        <w:t xml:space="preserve">gallbladder </w:t>
      </w:r>
      <w:r w:rsidR="000E07B1" w:rsidRPr="00CA321F">
        <w:rPr>
          <w:color w:val="auto"/>
        </w:rPr>
        <w:t>taken out in the Army I can barely eat food without diarrhea or throwing up.”</w:t>
      </w:r>
      <w:r w:rsidR="00D554A2" w:rsidRPr="00CA321F">
        <w:rPr>
          <w:color w:val="auto"/>
        </w:rPr>
        <w:t xml:space="preserve">  </w:t>
      </w:r>
    </w:p>
    <w:p w:rsidR="000E07B1" w:rsidRPr="00CA321F" w:rsidRDefault="00B004B4" w:rsidP="003113F6">
      <w:pPr>
        <w:tabs>
          <w:tab w:val="left" w:pos="288"/>
          <w:tab w:val="left" w:pos="4752"/>
        </w:tabs>
        <w:jc w:val="both"/>
        <w:rPr>
          <w:b/>
          <w:color w:val="auto"/>
        </w:rPr>
      </w:pPr>
      <w:r w:rsidRPr="00CA321F">
        <w:rPr>
          <w:b/>
          <w:color w:val="auto"/>
        </w:rPr>
        <w:t>______________________________________________________________________________</w:t>
      </w:r>
    </w:p>
    <w:p w:rsidR="007635A8" w:rsidRPr="00CA321F" w:rsidRDefault="007635A8" w:rsidP="003113F6">
      <w:pPr>
        <w:jc w:val="both"/>
        <w:rPr>
          <w:color w:val="auto"/>
          <w:u w:val="single"/>
        </w:rPr>
      </w:pPr>
    </w:p>
    <w:p w:rsidR="00B004B4" w:rsidRDefault="009239C0" w:rsidP="003113F6">
      <w:pPr>
        <w:jc w:val="both"/>
        <w:rPr>
          <w:color w:val="auto"/>
        </w:rPr>
      </w:pPr>
      <w:r w:rsidRPr="00CA321F">
        <w:rPr>
          <w:color w:val="auto"/>
          <w:u w:val="single"/>
        </w:rPr>
        <w:t>SCOPE OF REVIEW</w:t>
      </w:r>
      <w:r w:rsidRPr="00CA321F">
        <w:rPr>
          <w:color w:val="auto"/>
        </w:rPr>
        <w:t xml:space="preserve">:  </w:t>
      </w:r>
      <w:r w:rsidR="00B004B4" w:rsidRPr="00CA321F">
        <w:rPr>
          <w:color w:val="auto"/>
        </w:rPr>
        <w:t>The Board wishes to clarify that the scope of its review as defined in DoDI 6040.44, Enclosure 3, paragraph 5.e</w:t>
      </w:r>
      <w:proofErr w:type="gramStart"/>
      <w:r w:rsidR="00A8036A">
        <w:rPr>
          <w:color w:val="auto"/>
        </w:rPr>
        <w:t>.</w:t>
      </w:r>
      <w:r w:rsidR="008519E7" w:rsidRPr="00CA321F">
        <w:rPr>
          <w:color w:val="auto"/>
        </w:rPr>
        <w:t>(</w:t>
      </w:r>
      <w:proofErr w:type="gramEnd"/>
      <w:r w:rsidR="00B004B4" w:rsidRPr="00CA321F">
        <w:rPr>
          <w:color w:val="auto"/>
        </w:rPr>
        <w:t>2) is limited to those conditions which were determined by the PEB to be specifically unfitting for continued military service; or, when requested by the CI, those condition(s) “identified but not determined to be unfitting by the PEB</w:t>
      </w:r>
      <w:r w:rsidR="00A8036A">
        <w:rPr>
          <w:color w:val="auto"/>
        </w:rPr>
        <w:t>.</w:t>
      </w:r>
      <w:r w:rsidR="00B004B4" w:rsidRPr="00CA321F">
        <w:rPr>
          <w:color w:val="auto"/>
        </w:rPr>
        <w:t xml:space="preserve">”  The ratings for unfitting conditions will be reviewed in all cases.  The </w:t>
      </w:r>
      <w:r w:rsidR="00D554A2" w:rsidRPr="00CA321F">
        <w:rPr>
          <w:color w:val="auto"/>
        </w:rPr>
        <w:t>b</w:t>
      </w:r>
      <w:r w:rsidR="00B004B4" w:rsidRPr="00CA321F">
        <w:rPr>
          <w:color w:val="auto"/>
        </w:rPr>
        <w:t xml:space="preserve">ack </w:t>
      </w:r>
      <w:r w:rsidR="00D554A2" w:rsidRPr="00CA321F">
        <w:rPr>
          <w:color w:val="auto"/>
        </w:rPr>
        <w:t xml:space="preserve">and stomach (interpreted as IBS and </w:t>
      </w:r>
      <w:r w:rsidR="00A8036A" w:rsidRPr="00CA321F">
        <w:rPr>
          <w:color w:val="auto"/>
        </w:rPr>
        <w:t xml:space="preserve">mild </w:t>
      </w:r>
      <w:proofErr w:type="spellStart"/>
      <w:r w:rsidR="00A8036A" w:rsidRPr="00CA321F">
        <w:rPr>
          <w:color w:val="auto"/>
        </w:rPr>
        <w:t>gastroparesis</w:t>
      </w:r>
      <w:proofErr w:type="spellEnd"/>
      <w:r w:rsidR="00D554A2" w:rsidRPr="00CA321F">
        <w:rPr>
          <w:color w:val="auto"/>
        </w:rPr>
        <w:t xml:space="preserve">) </w:t>
      </w:r>
      <w:r w:rsidR="00B004B4" w:rsidRPr="00CA321F">
        <w:rPr>
          <w:color w:val="auto"/>
        </w:rPr>
        <w:t>conditions as requested for consideration meet the criteria prescribed in DoDI 6040.44 for Board purview; and, are addressed below, in addition to a review of the Service ratings for the unfitting</w:t>
      </w:r>
      <w:r w:rsidR="009B4E48" w:rsidRPr="00CA321F">
        <w:rPr>
          <w:color w:val="auto"/>
        </w:rPr>
        <w:t xml:space="preserve"> right</w:t>
      </w:r>
      <w:r w:rsidR="00B004B4" w:rsidRPr="00CA321F">
        <w:rPr>
          <w:color w:val="auto"/>
        </w:rPr>
        <w:t xml:space="preserve"> </w:t>
      </w:r>
      <w:r w:rsidR="00D554A2" w:rsidRPr="00CA321F">
        <w:rPr>
          <w:color w:val="auto"/>
        </w:rPr>
        <w:t xml:space="preserve">ankle </w:t>
      </w:r>
      <w:r w:rsidR="00B004B4" w:rsidRPr="00CA321F">
        <w:rPr>
          <w:color w:val="auto"/>
        </w:rPr>
        <w:t xml:space="preserve">condition.  The other requested condition of </w:t>
      </w:r>
      <w:r w:rsidR="00A8036A" w:rsidRPr="00CA321F">
        <w:rPr>
          <w:color w:val="auto"/>
        </w:rPr>
        <w:t xml:space="preserve">gallbladder removal </w:t>
      </w:r>
      <w:r w:rsidR="00B004B4" w:rsidRPr="00CA321F">
        <w:rPr>
          <w:color w:val="auto"/>
        </w:rPr>
        <w:t>is not within the Board’s purview</w:t>
      </w:r>
      <w:r w:rsidR="00F03663" w:rsidRPr="00CA321F">
        <w:rPr>
          <w:color w:val="auto"/>
        </w:rPr>
        <w:t xml:space="preserve">, except as it relates to the PEB stated abdominal conditions of IBS </w:t>
      </w:r>
      <w:r w:rsidR="00A8036A" w:rsidRPr="00CA321F">
        <w:rPr>
          <w:color w:val="auto"/>
        </w:rPr>
        <w:t xml:space="preserve">and mild </w:t>
      </w:r>
      <w:proofErr w:type="spellStart"/>
      <w:r w:rsidR="00A8036A" w:rsidRPr="00CA321F">
        <w:rPr>
          <w:color w:val="auto"/>
        </w:rPr>
        <w:t>gastroparesis</w:t>
      </w:r>
      <w:proofErr w:type="spellEnd"/>
      <w:r w:rsidR="00B004B4" w:rsidRPr="00CA321F">
        <w:rPr>
          <w:color w:val="auto"/>
        </w:rPr>
        <w:t xml:space="preserve">. </w:t>
      </w:r>
      <w:r w:rsidR="00D554A2" w:rsidRPr="00CA321F">
        <w:rPr>
          <w:color w:val="auto"/>
        </w:rPr>
        <w:t xml:space="preserve"> </w:t>
      </w:r>
      <w:r w:rsidR="00B004B4" w:rsidRPr="00CA321F">
        <w:rPr>
          <w:color w:val="auto"/>
        </w:rPr>
        <w:t>Any conditions or contention not requested in this application, or otherwise outside the Board’s defined scope of review, remain eligible for future consideration by the Army Board for Correction</w:t>
      </w:r>
      <w:r w:rsidR="00A8036A">
        <w:rPr>
          <w:color w:val="auto"/>
        </w:rPr>
        <w:t xml:space="preserve"> of Military Records</w:t>
      </w:r>
      <w:r w:rsidR="00B004B4" w:rsidRPr="00CA321F">
        <w:rPr>
          <w:color w:val="auto"/>
        </w:rPr>
        <w:t>.</w:t>
      </w:r>
      <w:r w:rsidR="00A909FA">
        <w:rPr>
          <w:color w:val="auto"/>
        </w:rPr>
        <w:t xml:space="preserve">  </w:t>
      </w:r>
    </w:p>
    <w:p w:rsidR="008519E7" w:rsidRPr="00F64312" w:rsidRDefault="008519E7" w:rsidP="003113F6">
      <w:pPr>
        <w:pBdr>
          <w:bottom w:val="single" w:sz="12" w:space="1" w:color="auto"/>
        </w:pBdr>
        <w:tabs>
          <w:tab w:val="left" w:pos="288"/>
          <w:tab w:val="left" w:pos="4752"/>
        </w:tabs>
        <w:jc w:val="both"/>
        <w:rPr>
          <w:color w:val="auto"/>
        </w:rPr>
      </w:pPr>
    </w:p>
    <w:p w:rsidR="000B63CF" w:rsidRPr="00F64312" w:rsidRDefault="000B63CF" w:rsidP="003113F6">
      <w:pPr>
        <w:jc w:val="both"/>
        <w:rPr>
          <w:color w:val="auto"/>
          <w:u w:val="single"/>
        </w:rPr>
      </w:pPr>
    </w:p>
    <w:p w:rsidR="008519E7" w:rsidRDefault="008519E7" w:rsidP="003113F6">
      <w:pPr>
        <w:jc w:val="both"/>
        <w:rPr>
          <w:color w:val="auto"/>
          <w:u w:val="single"/>
        </w:rPr>
      </w:pPr>
      <w:r>
        <w:rPr>
          <w:color w:val="auto"/>
          <w:u w:val="single"/>
        </w:rPr>
        <w:br w:type="page"/>
      </w:r>
    </w:p>
    <w:p w:rsidR="00AD2379" w:rsidRDefault="00AD2379" w:rsidP="00BF0E94">
      <w:pPr>
        <w:jc w:val="left"/>
        <w:rPr>
          <w:color w:val="auto"/>
        </w:rPr>
      </w:pPr>
      <w:r w:rsidRPr="00F64312">
        <w:rPr>
          <w:color w:val="auto"/>
          <w:u w:val="single"/>
        </w:rPr>
        <w:lastRenderedPageBreak/>
        <w:t>RATING COMPARISON</w:t>
      </w:r>
      <w:r w:rsidR="008519E7">
        <w:rPr>
          <w:color w:val="auto"/>
        </w:rPr>
        <w:t>:</w:t>
      </w:r>
    </w:p>
    <w:p w:rsidR="00F43EAA" w:rsidRPr="00947174" w:rsidRDefault="00F43EAA" w:rsidP="00BF0E94">
      <w:pPr>
        <w:jc w:val="left"/>
        <w:rPr>
          <w:color w:val="auto"/>
        </w:rPr>
      </w:pPr>
    </w:p>
    <w:tbl>
      <w:tblPr>
        <w:tblStyle w:val="TableGrid"/>
        <w:tblW w:w="9375" w:type="dxa"/>
        <w:jc w:val="center"/>
        <w:tblInd w:w="9" w:type="dxa"/>
        <w:tblLayout w:type="fixed"/>
        <w:tblLook w:val="00A0"/>
      </w:tblPr>
      <w:tblGrid>
        <w:gridCol w:w="2524"/>
        <w:gridCol w:w="720"/>
        <w:gridCol w:w="723"/>
        <w:gridCol w:w="2971"/>
        <w:gridCol w:w="720"/>
        <w:gridCol w:w="721"/>
        <w:gridCol w:w="996"/>
      </w:tblGrid>
      <w:tr w:rsidR="00B004B4" w:rsidRPr="00CA321F" w:rsidTr="00991789">
        <w:trPr>
          <w:trHeight w:val="170"/>
          <w:jc w:val="center"/>
        </w:trPr>
        <w:tc>
          <w:tcPr>
            <w:tcW w:w="3967" w:type="dxa"/>
            <w:gridSpan w:val="3"/>
            <w:tcBorders>
              <w:top w:val="single" w:sz="4" w:space="0" w:color="000000"/>
              <w:left w:val="single" w:sz="4" w:space="0" w:color="000000"/>
              <w:bottom w:val="single" w:sz="4" w:space="0" w:color="000000"/>
              <w:right w:val="thinThickThinSmallGap" w:sz="24" w:space="0" w:color="auto"/>
            </w:tcBorders>
            <w:shd w:val="clear" w:color="auto" w:fill="D9D9D9"/>
            <w:vAlign w:val="center"/>
            <w:hideMark/>
          </w:tcPr>
          <w:p w:rsidR="00B004B4" w:rsidRPr="00CA321F" w:rsidRDefault="00B004B4">
            <w:pPr>
              <w:spacing w:line="180" w:lineRule="exact"/>
              <w:rPr>
                <w:rFonts w:cs="Calibri"/>
                <w:b/>
                <w:color w:val="auto"/>
                <w:sz w:val="18"/>
              </w:rPr>
            </w:pPr>
            <w:r w:rsidRPr="00CA321F">
              <w:rPr>
                <w:b/>
                <w:color w:val="auto"/>
                <w:sz w:val="18"/>
              </w:rPr>
              <w:t>Service IPEB – Dated 20091007</w:t>
            </w:r>
          </w:p>
        </w:tc>
        <w:tc>
          <w:tcPr>
            <w:tcW w:w="5408" w:type="dxa"/>
            <w:gridSpan w:val="4"/>
            <w:tcBorders>
              <w:top w:val="single" w:sz="4" w:space="0" w:color="000000"/>
              <w:left w:val="thinThickThinSmallGap" w:sz="24" w:space="0" w:color="auto"/>
              <w:bottom w:val="single" w:sz="4" w:space="0" w:color="000000"/>
              <w:right w:val="single" w:sz="4" w:space="0" w:color="000000"/>
            </w:tcBorders>
            <w:shd w:val="clear" w:color="auto" w:fill="D9D9D9"/>
            <w:vAlign w:val="center"/>
            <w:hideMark/>
          </w:tcPr>
          <w:p w:rsidR="00B004B4" w:rsidRPr="00CA321F" w:rsidRDefault="008519E7">
            <w:pPr>
              <w:spacing w:line="180" w:lineRule="exact"/>
              <w:rPr>
                <w:rFonts w:cs="Calibri"/>
                <w:b/>
                <w:color w:val="auto"/>
                <w:sz w:val="18"/>
              </w:rPr>
            </w:pPr>
            <w:r w:rsidRPr="00CA321F">
              <w:rPr>
                <w:b/>
                <w:color w:val="auto"/>
                <w:sz w:val="18"/>
              </w:rPr>
              <w:t>VA (5</w:t>
            </w:r>
            <w:r w:rsidR="00B004B4" w:rsidRPr="00CA321F">
              <w:rPr>
                <w:b/>
                <w:color w:val="auto"/>
                <w:sz w:val="18"/>
              </w:rPr>
              <w:t xml:space="preserve"> Mos. Post-Separation) – All Effective Date 20091117</w:t>
            </w:r>
          </w:p>
        </w:tc>
      </w:tr>
      <w:tr w:rsidR="00B004B4" w:rsidRPr="00CA321F" w:rsidTr="00991789">
        <w:trPr>
          <w:trHeight w:val="97"/>
          <w:jc w:val="center"/>
        </w:trPr>
        <w:tc>
          <w:tcPr>
            <w:tcW w:w="2524"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B004B4" w:rsidRPr="00CA321F" w:rsidRDefault="00B004B4">
            <w:pPr>
              <w:spacing w:line="180" w:lineRule="exact"/>
              <w:rPr>
                <w:rFonts w:cs="Calibri"/>
                <w:b/>
                <w:color w:val="auto"/>
                <w:sz w:val="18"/>
              </w:rPr>
            </w:pPr>
            <w:r w:rsidRPr="00CA321F">
              <w:rPr>
                <w:b/>
                <w:color w:val="auto"/>
                <w:sz w:val="18"/>
              </w:rPr>
              <w:t>Condition</w:t>
            </w:r>
          </w:p>
        </w:tc>
        <w:tc>
          <w:tcPr>
            <w:tcW w:w="72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B004B4" w:rsidRPr="00CA321F" w:rsidRDefault="00B004B4">
            <w:pPr>
              <w:spacing w:line="180" w:lineRule="exact"/>
              <w:rPr>
                <w:rFonts w:cs="Calibri"/>
                <w:b/>
                <w:color w:val="auto"/>
                <w:sz w:val="18"/>
              </w:rPr>
            </w:pPr>
            <w:r w:rsidRPr="00CA321F">
              <w:rPr>
                <w:b/>
                <w:color w:val="auto"/>
                <w:sz w:val="18"/>
              </w:rPr>
              <w:t>Code</w:t>
            </w:r>
          </w:p>
        </w:tc>
        <w:tc>
          <w:tcPr>
            <w:tcW w:w="723" w:type="dxa"/>
            <w:tcBorders>
              <w:top w:val="single" w:sz="4" w:space="0" w:color="000000"/>
              <w:left w:val="single" w:sz="4" w:space="0" w:color="000000"/>
              <w:bottom w:val="single" w:sz="4" w:space="0" w:color="000000"/>
              <w:right w:val="thinThickThinSmallGap" w:sz="24" w:space="0" w:color="auto"/>
            </w:tcBorders>
            <w:shd w:val="clear" w:color="auto" w:fill="D9D9D9"/>
            <w:vAlign w:val="center"/>
            <w:hideMark/>
          </w:tcPr>
          <w:p w:rsidR="00B004B4" w:rsidRPr="00CA321F" w:rsidRDefault="00B004B4">
            <w:pPr>
              <w:spacing w:line="180" w:lineRule="exact"/>
              <w:rPr>
                <w:rFonts w:cs="Calibri"/>
                <w:b/>
                <w:color w:val="auto"/>
                <w:sz w:val="18"/>
              </w:rPr>
            </w:pPr>
            <w:r w:rsidRPr="00CA321F">
              <w:rPr>
                <w:b/>
                <w:color w:val="auto"/>
                <w:sz w:val="18"/>
              </w:rPr>
              <w:t>Rating</w:t>
            </w:r>
          </w:p>
        </w:tc>
        <w:tc>
          <w:tcPr>
            <w:tcW w:w="2971" w:type="dxa"/>
            <w:tcBorders>
              <w:top w:val="single" w:sz="4" w:space="0" w:color="000000"/>
              <w:left w:val="thinThickThinSmallGap" w:sz="24" w:space="0" w:color="auto"/>
              <w:bottom w:val="single" w:sz="4" w:space="0" w:color="000000"/>
              <w:right w:val="single" w:sz="4" w:space="0" w:color="000000"/>
            </w:tcBorders>
            <w:shd w:val="clear" w:color="auto" w:fill="D9D9D9"/>
            <w:vAlign w:val="center"/>
            <w:hideMark/>
          </w:tcPr>
          <w:p w:rsidR="00B004B4" w:rsidRPr="00CA321F" w:rsidRDefault="00B004B4">
            <w:pPr>
              <w:spacing w:line="180" w:lineRule="exact"/>
              <w:rPr>
                <w:rFonts w:cs="Calibri"/>
                <w:b/>
                <w:color w:val="auto"/>
                <w:sz w:val="18"/>
              </w:rPr>
            </w:pPr>
            <w:r w:rsidRPr="00CA321F">
              <w:rPr>
                <w:b/>
                <w:color w:val="auto"/>
                <w:sz w:val="18"/>
              </w:rPr>
              <w:t>Condition</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04B4" w:rsidRPr="00CA321F" w:rsidRDefault="00B004B4">
            <w:pPr>
              <w:spacing w:line="180" w:lineRule="exact"/>
              <w:rPr>
                <w:rFonts w:cs="Calibri"/>
                <w:b/>
                <w:color w:val="auto"/>
                <w:sz w:val="18"/>
              </w:rPr>
            </w:pPr>
            <w:r w:rsidRPr="00CA321F">
              <w:rPr>
                <w:b/>
                <w:color w:val="auto"/>
                <w:sz w:val="18"/>
              </w:rPr>
              <w:t>Code</w:t>
            </w:r>
          </w:p>
        </w:tc>
        <w:tc>
          <w:tcPr>
            <w:tcW w:w="7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04B4" w:rsidRPr="00CA321F" w:rsidRDefault="00B004B4">
            <w:pPr>
              <w:spacing w:line="180" w:lineRule="exact"/>
              <w:rPr>
                <w:rFonts w:cs="Calibri"/>
                <w:b/>
                <w:color w:val="auto"/>
                <w:sz w:val="18"/>
              </w:rPr>
            </w:pPr>
            <w:r w:rsidRPr="00CA321F">
              <w:rPr>
                <w:b/>
                <w:color w:val="auto"/>
                <w:sz w:val="18"/>
              </w:rPr>
              <w:t>Rating</w:t>
            </w:r>
          </w:p>
        </w:tc>
        <w:tc>
          <w:tcPr>
            <w:tcW w:w="99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004B4" w:rsidRPr="00CA321F" w:rsidRDefault="00B004B4">
            <w:pPr>
              <w:spacing w:line="180" w:lineRule="exact"/>
              <w:rPr>
                <w:rFonts w:cs="Calibri"/>
                <w:b/>
                <w:color w:val="auto"/>
                <w:sz w:val="18"/>
              </w:rPr>
            </w:pPr>
            <w:r w:rsidRPr="00CA321F">
              <w:rPr>
                <w:b/>
                <w:color w:val="auto"/>
                <w:sz w:val="18"/>
              </w:rPr>
              <w:t>Exam</w:t>
            </w:r>
          </w:p>
        </w:tc>
      </w:tr>
      <w:tr w:rsidR="00B004B4" w:rsidRPr="00CA321F" w:rsidTr="00991789">
        <w:trPr>
          <w:trHeight w:val="118"/>
          <w:jc w:val="center"/>
        </w:trPr>
        <w:tc>
          <w:tcPr>
            <w:tcW w:w="252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B004B4" w:rsidRPr="00CA321F" w:rsidRDefault="00B004B4" w:rsidP="00F03663">
            <w:pPr>
              <w:spacing w:line="180" w:lineRule="exact"/>
              <w:jc w:val="left"/>
              <w:rPr>
                <w:rFonts w:cs="Calibri"/>
                <w:color w:val="auto"/>
                <w:sz w:val="18"/>
              </w:rPr>
            </w:pPr>
            <w:r w:rsidRPr="00CA321F">
              <w:rPr>
                <w:rFonts w:cs="Calibri"/>
                <w:color w:val="auto"/>
                <w:sz w:val="18"/>
              </w:rPr>
              <w:t>Tenosynovitis</w:t>
            </w:r>
            <w:r w:rsidR="00F03663" w:rsidRPr="00CA321F">
              <w:rPr>
                <w:rFonts w:cs="Calibri"/>
                <w:color w:val="auto"/>
                <w:sz w:val="18"/>
              </w:rPr>
              <w:t>, Right Ankle</w:t>
            </w:r>
          </w:p>
        </w:tc>
        <w:tc>
          <w:tcPr>
            <w:tcW w:w="720"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B004B4" w:rsidRPr="00CA321F" w:rsidRDefault="00B004B4">
            <w:pPr>
              <w:spacing w:line="180" w:lineRule="exact"/>
              <w:rPr>
                <w:rFonts w:cs="Calibri"/>
                <w:color w:val="auto"/>
                <w:sz w:val="18"/>
              </w:rPr>
            </w:pPr>
            <w:r w:rsidRPr="00CA321F">
              <w:rPr>
                <w:rFonts w:cs="Calibri"/>
                <w:color w:val="auto"/>
                <w:sz w:val="18"/>
              </w:rPr>
              <w:t>5024</w:t>
            </w:r>
          </w:p>
        </w:tc>
        <w:tc>
          <w:tcPr>
            <w:tcW w:w="723" w:type="dxa"/>
            <w:tcBorders>
              <w:top w:val="single" w:sz="4" w:space="0" w:color="000000"/>
              <w:left w:val="single" w:sz="4" w:space="0" w:color="000000"/>
              <w:bottom w:val="single" w:sz="4" w:space="0" w:color="000000"/>
              <w:right w:val="thinThickThinSmallGap" w:sz="24" w:space="0" w:color="auto"/>
            </w:tcBorders>
            <w:shd w:val="clear" w:color="auto" w:fill="FFFFFF"/>
            <w:vAlign w:val="center"/>
            <w:hideMark/>
          </w:tcPr>
          <w:p w:rsidR="00B004B4" w:rsidRPr="00CA321F" w:rsidRDefault="00B004B4">
            <w:pPr>
              <w:spacing w:line="180" w:lineRule="exact"/>
              <w:rPr>
                <w:rFonts w:cs="Calibri"/>
                <w:color w:val="auto"/>
                <w:sz w:val="18"/>
              </w:rPr>
            </w:pPr>
            <w:r w:rsidRPr="00CA321F">
              <w:rPr>
                <w:rFonts w:cs="Calibri"/>
                <w:color w:val="auto"/>
                <w:sz w:val="18"/>
              </w:rPr>
              <w:t>10%</w:t>
            </w:r>
          </w:p>
        </w:tc>
        <w:tc>
          <w:tcPr>
            <w:tcW w:w="2971" w:type="dxa"/>
            <w:tcBorders>
              <w:top w:val="single" w:sz="4" w:space="0" w:color="000000"/>
              <w:left w:val="thinThickThinSmallGap" w:sz="24" w:space="0" w:color="auto"/>
              <w:bottom w:val="single" w:sz="4" w:space="0" w:color="000000"/>
              <w:right w:val="single" w:sz="4" w:space="0" w:color="000000"/>
            </w:tcBorders>
            <w:shd w:val="clear" w:color="auto" w:fill="FFFFFF"/>
            <w:vAlign w:val="center"/>
            <w:hideMark/>
          </w:tcPr>
          <w:p w:rsidR="00B004B4" w:rsidRPr="00CA321F" w:rsidRDefault="00B004B4">
            <w:pPr>
              <w:spacing w:line="180" w:lineRule="exact"/>
              <w:jc w:val="left"/>
              <w:rPr>
                <w:rFonts w:cs="Calibri"/>
                <w:color w:val="auto"/>
                <w:sz w:val="18"/>
              </w:rPr>
            </w:pPr>
            <w:r w:rsidRPr="00CA321F">
              <w:rPr>
                <w:rFonts w:cs="Calibri"/>
                <w:color w:val="auto"/>
                <w:sz w:val="18"/>
              </w:rPr>
              <w:t>Chronic Strain Rt Ankle</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04B4" w:rsidRPr="00CA321F" w:rsidRDefault="00B004B4">
            <w:pPr>
              <w:spacing w:line="180" w:lineRule="exact"/>
              <w:rPr>
                <w:rFonts w:cs="Calibri"/>
                <w:color w:val="auto"/>
                <w:sz w:val="18"/>
              </w:rPr>
            </w:pPr>
            <w:r w:rsidRPr="00CA321F">
              <w:rPr>
                <w:rFonts w:cs="Calibri"/>
                <w:color w:val="auto"/>
                <w:sz w:val="18"/>
              </w:rPr>
              <w:t>5271</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04B4" w:rsidRPr="00CA321F" w:rsidRDefault="00B004B4">
            <w:pPr>
              <w:spacing w:line="180" w:lineRule="exact"/>
              <w:rPr>
                <w:rFonts w:cs="Calibri"/>
                <w:color w:val="auto"/>
                <w:sz w:val="18"/>
              </w:rPr>
            </w:pPr>
            <w:r w:rsidRPr="00CA321F">
              <w:rPr>
                <w:rFonts w:cs="Calibri"/>
                <w:color w:val="auto"/>
                <w:sz w:val="18"/>
              </w:rPr>
              <w:t>10%</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04B4" w:rsidRPr="00CA321F" w:rsidRDefault="00B004B4">
            <w:pPr>
              <w:spacing w:line="180" w:lineRule="exact"/>
              <w:rPr>
                <w:rFonts w:cs="Calibri"/>
                <w:color w:val="auto"/>
                <w:sz w:val="18"/>
              </w:rPr>
            </w:pPr>
            <w:r w:rsidRPr="00CA321F">
              <w:rPr>
                <w:color w:val="auto"/>
                <w:sz w:val="18"/>
              </w:rPr>
              <w:t>20100301</w:t>
            </w:r>
          </w:p>
        </w:tc>
      </w:tr>
      <w:tr w:rsidR="00B004B4" w:rsidRPr="00CA321F" w:rsidTr="00991789">
        <w:trPr>
          <w:trHeight w:val="118"/>
          <w:jc w:val="center"/>
        </w:trPr>
        <w:tc>
          <w:tcPr>
            <w:tcW w:w="252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B004B4" w:rsidRPr="00CA321F" w:rsidRDefault="00B004B4">
            <w:pPr>
              <w:spacing w:line="180" w:lineRule="exact"/>
              <w:jc w:val="left"/>
              <w:rPr>
                <w:color w:val="auto"/>
                <w:sz w:val="18"/>
              </w:rPr>
            </w:pPr>
            <w:r w:rsidRPr="00CA321F">
              <w:rPr>
                <w:color w:val="auto"/>
                <w:sz w:val="18"/>
              </w:rPr>
              <w:t>Irritable Bowel Syndrome</w:t>
            </w:r>
          </w:p>
        </w:tc>
        <w:tc>
          <w:tcPr>
            <w:tcW w:w="1443" w:type="dxa"/>
            <w:gridSpan w:val="2"/>
            <w:tcBorders>
              <w:top w:val="single" w:sz="4" w:space="0" w:color="000000"/>
              <w:left w:val="single" w:sz="4" w:space="0" w:color="auto"/>
              <w:bottom w:val="single" w:sz="4" w:space="0" w:color="000000"/>
              <w:right w:val="thinThickThinSmallGap" w:sz="24" w:space="0" w:color="auto"/>
            </w:tcBorders>
            <w:shd w:val="clear" w:color="auto" w:fill="FFFFFF"/>
            <w:vAlign w:val="center"/>
            <w:hideMark/>
          </w:tcPr>
          <w:p w:rsidR="00B004B4" w:rsidRPr="00CA321F" w:rsidRDefault="00FE0B24">
            <w:pPr>
              <w:spacing w:line="180" w:lineRule="exact"/>
              <w:rPr>
                <w:color w:val="auto"/>
                <w:sz w:val="18"/>
              </w:rPr>
            </w:pPr>
            <w:r w:rsidRPr="00CA321F">
              <w:rPr>
                <w:color w:val="auto"/>
                <w:sz w:val="18"/>
              </w:rPr>
              <w:t>Not Unfitting</w:t>
            </w:r>
          </w:p>
        </w:tc>
        <w:tc>
          <w:tcPr>
            <w:tcW w:w="2971" w:type="dxa"/>
            <w:tcBorders>
              <w:top w:val="single" w:sz="4" w:space="0" w:color="000000"/>
              <w:left w:val="thinThickThinSmallGap" w:sz="24" w:space="0" w:color="auto"/>
              <w:bottom w:val="single" w:sz="4" w:space="0" w:color="000000"/>
              <w:right w:val="single" w:sz="4" w:space="0" w:color="000000"/>
            </w:tcBorders>
            <w:shd w:val="clear" w:color="auto" w:fill="FFFFFF"/>
            <w:vAlign w:val="center"/>
            <w:hideMark/>
          </w:tcPr>
          <w:p w:rsidR="00B004B4" w:rsidRPr="00CA321F" w:rsidRDefault="00B004B4">
            <w:pPr>
              <w:spacing w:line="180" w:lineRule="exact"/>
              <w:jc w:val="left"/>
              <w:rPr>
                <w:color w:val="auto"/>
                <w:sz w:val="18"/>
              </w:rPr>
            </w:pPr>
            <w:r w:rsidRPr="00CA321F">
              <w:rPr>
                <w:color w:val="auto"/>
                <w:sz w:val="18"/>
              </w:rPr>
              <w:t>Status Post Lap Cholecystectomy</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04B4" w:rsidRPr="00CA321F" w:rsidRDefault="00B004B4">
            <w:pPr>
              <w:spacing w:line="180" w:lineRule="exact"/>
              <w:rPr>
                <w:color w:val="auto"/>
                <w:sz w:val="18"/>
              </w:rPr>
            </w:pPr>
            <w:r w:rsidRPr="00CA321F">
              <w:rPr>
                <w:color w:val="auto"/>
                <w:sz w:val="18"/>
              </w:rPr>
              <w:t>7318</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04B4" w:rsidRPr="00CA321F" w:rsidRDefault="00B004B4">
            <w:pPr>
              <w:spacing w:line="180" w:lineRule="exact"/>
              <w:rPr>
                <w:color w:val="auto"/>
                <w:sz w:val="18"/>
              </w:rPr>
            </w:pPr>
            <w:r w:rsidRPr="00CA321F">
              <w:rPr>
                <w:color w:val="auto"/>
                <w:sz w:val="18"/>
              </w:rPr>
              <w:t>10%</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04B4" w:rsidRPr="00CA321F" w:rsidRDefault="00B004B4">
            <w:pPr>
              <w:spacing w:line="180" w:lineRule="exact"/>
              <w:rPr>
                <w:color w:val="auto"/>
                <w:sz w:val="18"/>
              </w:rPr>
            </w:pPr>
            <w:r w:rsidRPr="00CA321F">
              <w:rPr>
                <w:color w:val="auto"/>
                <w:sz w:val="18"/>
              </w:rPr>
              <w:t>20100301</w:t>
            </w:r>
          </w:p>
        </w:tc>
      </w:tr>
      <w:tr w:rsidR="00FE0B24" w:rsidRPr="00CA321F" w:rsidTr="00991789">
        <w:trPr>
          <w:trHeight w:val="118"/>
          <w:jc w:val="center"/>
        </w:trPr>
        <w:tc>
          <w:tcPr>
            <w:tcW w:w="252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E0B24" w:rsidRPr="00CA321F" w:rsidRDefault="00FE0B24" w:rsidP="00FE0B24">
            <w:pPr>
              <w:spacing w:line="180" w:lineRule="exact"/>
              <w:jc w:val="left"/>
              <w:rPr>
                <w:color w:val="auto"/>
                <w:sz w:val="18"/>
              </w:rPr>
            </w:pPr>
            <w:r w:rsidRPr="00CA321F">
              <w:rPr>
                <w:color w:val="auto"/>
                <w:sz w:val="18"/>
              </w:rPr>
              <w:t>Back Pain, TL Dextroscoliosis</w:t>
            </w:r>
          </w:p>
        </w:tc>
        <w:tc>
          <w:tcPr>
            <w:tcW w:w="1443" w:type="dxa"/>
            <w:gridSpan w:val="2"/>
            <w:tcBorders>
              <w:top w:val="single" w:sz="4" w:space="0" w:color="000000"/>
              <w:left w:val="single" w:sz="4" w:space="0" w:color="auto"/>
              <w:bottom w:val="single" w:sz="4" w:space="0" w:color="000000"/>
              <w:right w:val="thinThickThinSmallGap" w:sz="24" w:space="0" w:color="auto"/>
            </w:tcBorders>
            <w:shd w:val="clear" w:color="auto" w:fill="FFFFFF"/>
            <w:vAlign w:val="center"/>
            <w:hideMark/>
          </w:tcPr>
          <w:p w:rsidR="00FE0B24" w:rsidRPr="00CA321F" w:rsidRDefault="00FE0B24" w:rsidP="00FE0B24">
            <w:pPr>
              <w:rPr>
                <w:color w:val="auto"/>
              </w:rPr>
            </w:pPr>
            <w:r w:rsidRPr="00CA321F">
              <w:rPr>
                <w:color w:val="auto"/>
                <w:sz w:val="18"/>
              </w:rPr>
              <w:t>Not Unfitting</w:t>
            </w:r>
          </w:p>
        </w:tc>
        <w:tc>
          <w:tcPr>
            <w:tcW w:w="2971" w:type="dxa"/>
            <w:tcBorders>
              <w:top w:val="single" w:sz="4" w:space="0" w:color="000000"/>
              <w:left w:val="thinThickThinSmallGap" w:sz="24" w:space="0" w:color="auto"/>
              <w:bottom w:val="single" w:sz="4" w:space="0" w:color="000000"/>
              <w:right w:val="single" w:sz="4" w:space="0" w:color="000000"/>
            </w:tcBorders>
            <w:shd w:val="clear" w:color="auto" w:fill="FFFFFF"/>
            <w:vAlign w:val="center"/>
            <w:hideMark/>
          </w:tcPr>
          <w:p w:rsidR="00FE0B24" w:rsidRPr="00CA321F" w:rsidRDefault="00FE0B24">
            <w:pPr>
              <w:spacing w:line="180" w:lineRule="exact"/>
              <w:jc w:val="left"/>
              <w:rPr>
                <w:color w:val="auto"/>
                <w:sz w:val="18"/>
              </w:rPr>
            </w:pPr>
            <w:r w:rsidRPr="00CA321F">
              <w:rPr>
                <w:color w:val="auto"/>
                <w:sz w:val="18"/>
              </w:rPr>
              <w:t>Lumbar Strain w/ Mild Scoliosis …</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E0B24" w:rsidRPr="00CA321F" w:rsidRDefault="00FE0B24">
            <w:pPr>
              <w:spacing w:line="180" w:lineRule="exact"/>
              <w:rPr>
                <w:color w:val="auto"/>
                <w:sz w:val="18"/>
              </w:rPr>
            </w:pPr>
            <w:r w:rsidRPr="00CA321F">
              <w:rPr>
                <w:color w:val="auto"/>
                <w:sz w:val="18"/>
              </w:rPr>
              <w:t>5242</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E0B24" w:rsidRPr="00CA321F" w:rsidRDefault="00FE0B24">
            <w:pPr>
              <w:spacing w:line="180" w:lineRule="exact"/>
              <w:rPr>
                <w:color w:val="auto"/>
                <w:sz w:val="18"/>
              </w:rPr>
            </w:pPr>
            <w:r w:rsidRPr="00CA321F">
              <w:rPr>
                <w:color w:val="auto"/>
                <w:sz w:val="18"/>
              </w:rPr>
              <w:t>10%</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E0B24" w:rsidRPr="00CA321F" w:rsidRDefault="00FE0B24">
            <w:pPr>
              <w:spacing w:line="180" w:lineRule="exact"/>
              <w:rPr>
                <w:color w:val="auto"/>
                <w:sz w:val="18"/>
              </w:rPr>
            </w:pPr>
            <w:r w:rsidRPr="00CA321F">
              <w:rPr>
                <w:color w:val="auto"/>
                <w:sz w:val="18"/>
              </w:rPr>
              <w:t>20100301</w:t>
            </w:r>
          </w:p>
        </w:tc>
      </w:tr>
      <w:tr w:rsidR="00FE0B24" w:rsidRPr="00CA321F" w:rsidTr="00991789">
        <w:trPr>
          <w:trHeight w:val="118"/>
          <w:jc w:val="center"/>
        </w:trPr>
        <w:tc>
          <w:tcPr>
            <w:tcW w:w="252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E0B24" w:rsidRPr="00CA321F" w:rsidRDefault="00FE0B24">
            <w:pPr>
              <w:spacing w:line="180" w:lineRule="exact"/>
              <w:jc w:val="left"/>
              <w:rPr>
                <w:color w:val="auto"/>
                <w:sz w:val="18"/>
              </w:rPr>
            </w:pPr>
            <w:r w:rsidRPr="00CA321F">
              <w:rPr>
                <w:color w:val="auto"/>
                <w:sz w:val="18"/>
              </w:rPr>
              <w:t>Rt Wrist Pain</w:t>
            </w:r>
          </w:p>
        </w:tc>
        <w:tc>
          <w:tcPr>
            <w:tcW w:w="1443" w:type="dxa"/>
            <w:gridSpan w:val="2"/>
            <w:tcBorders>
              <w:top w:val="single" w:sz="4" w:space="0" w:color="000000"/>
              <w:left w:val="single" w:sz="4" w:space="0" w:color="auto"/>
              <w:bottom w:val="single" w:sz="4" w:space="0" w:color="000000"/>
              <w:right w:val="thinThickThinSmallGap" w:sz="24" w:space="0" w:color="auto"/>
            </w:tcBorders>
            <w:shd w:val="clear" w:color="auto" w:fill="FFFFFF"/>
            <w:vAlign w:val="center"/>
            <w:hideMark/>
          </w:tcPr>
          <w:p w:rsidR="00FE0B24" w:rsidRPr="00CA321F" w:rsidRDefault="00FE0B24" w:rsidP="00FE0B24">
            <w:pPr>
              <w:rPr>
                <w:color w:val="auto"/>
              </w:rPr>
            </w:pPr>
            <w:r w:rsidRPr="00CA321F">
              <w:rPr>
                <w:color w:val="auto"/>
                <w:sz w:val="18"/>
              </w:rPr>
              <w:t>Not Unfitting</w:t>
            </w:r>
          </w:p>
        </w:tc>
        <w:tc>
          <w:tcPr>
            <w:tcW w:w="2971" w:type="dxa"/>
            <w:tcBorders>
              <w:top w:val="single" w:sz="4" w:space="0" w:color="000000"/>
              <w:left w:val="thinThickThinSmallGap" w:sz="24" w:space="0" w:color="auto"/>
              <w:bottom w:val="single" w:sz="4" w:space="0" w:color="000000"/>
              <w:right w:val="single" w:sz="4" w:space="0" w:color="000000"/>
            </w:tcBorders>
            <w:shd w:val="clear" w:color="auto" w:fill="FFFFFF"/>
            <w:vAlign w:val="center"/>
            <w:hideMark/>
          </w:tcPr>
          <w:p w:rsidR="00FE0B24" w:rsidRPr="00CA321F" w:rsidRDefault="00FE0B24">
            <w:pPr>
              <w:spacing w:line="180" w:lineRule="exact"/>
              <w:jc w:val="left"/>
              <w:rPr>
                <w:color w:val="auto"/>
                <w:sz w:val="18"/>
              </w:rPr>
            </w:pPr>
            <w:r w:rsidRPr="00CA321F">
              <w:rPr>
                <w:color w:val="auto"/>
                <w:sz w:val="18"/>
              </w:rPr>
              <w:t>Chronic Strain Rt Wrist</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E0B24" w:rsidRPr="00CA321F" w:rsidRDefault="00FE0B24">
            <w:pPr>
              <w:spacing w:line="180" w:lineRule="exact"/>
              <w:rPr>
                <w:color w:val="auto"/>
                <w:sz w:val="18"/>
              </w:rPr>
            </w:pPr>
            <w:r w:rsidRPr="00CA321F">
              <w:rPr>
                <w:color w:val="auto"/>
                <w:sz w:val="18"/>
              </w:rPr>
              <w:t>5215</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E0B24" w:rsidRPr="00CA321F" w:rsidRDefault="00FE0B24">
            <w:pPr>
              <w:spacing w:line="180" w:lineRule="exact"/>
              <w:rPr>
                <w:color w:val="auto"/>
                <w:sz w:val="18"/>
              </w:rPr>
            </w:pPr>
            <w:r w:rsidRPr="00CA321F">
              <w:rPr>
                <w:color w:val="auto"/>
                <w:sz w:val="18"/>
              </w:rPr>
              <w:t>0%</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E0B24" w:rsidRPr="00CA321F" w:rsidRDefault="00FE0B24">
            <w:pPr>
              <w:spacing w:line="180" w:lineRule="exact"/>
              <w:rPr>
                <w:color w:val="auto"/>
                <w:sz w:val="18"/>
              </w:rPr>
            </w:pPr>
            <w:r w:rsidRPr="00CA321F">
              <w:rPr>
                <w:color w:val="auto"/>
                <w:sz w:val="18"/>
              </w:rPr>
              <w:t>20100301</w:t>
            </w:r>
          </w:p>
        </w:tc>
      </w:tr>
      <w:tr w:rsidR="00FE0B24" w:rsidRPr="00CA321F" w:rsidTr="00991789">
        <w:trPr>
          <w:trHeight w:val="97"/>
          <w:jc w:val="center"/>
        </w:trPr>
        <w:tc>
          <w:tcPr>
            <w:tcW w:w="252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E0B24" w:rsidRPr="00CA321F" w:rsidRDefault="00FE0B24">
            <w:pPr>
              <w:spacing w:line="180" w:lineRule="exact"/>
              <w:jc w:val="left"/>
              <w:rPr>
                <w:rFonts w:cs="Calibri"/>
                <w:color w:val="auto"/>
                <w:sz w:val="18"/>
              </w:rPr>
            </w:pPr>
            <w:r w:rsidRPr="00CA321F">
              <w:rPr>
                <w:rFonts w:cs="Calibri"/>
                <w:color w:val="auto"/>
                <w:sz w:val="18"/>
              </w:rPr>
              <w:t>Headaches</w:t>
            </w:r>
          </w:p>
        </w:tc>
        <w:tc>
          <w:tcPr>
            <w:tcW w:w="1443" w:type="dxa"/>
            <w:gridSpan w:val="2"/>
            <w:tcBorders>
              <w:top w:val="single" w:sz="4" w:space="0" w:color="000000"/>
              <w:left w:val="single" w:sz="4" w:space="0" w:color="auto"/>
              <w:bottom w:val="single" w:sz="4" w:space="0" w:color="000000"/>
              <w:right w:val="thinThickThinSmallGap" w:sz="24" w:space="0" w:color="auto"/>
            </w:tcBorders>
            <w:shd w:val="clear" w:color="auto" w:fill="FFFFFF"/>
            <w:vAlign w:val="center"/>
            <w:hideMark/>
          </w:tcPr>
          <w:p w:rsidR="00FE0B24" w:rsidRPr="00CA321F" w:rsidRDefault="00FE0B24" w:rsidP="00FE0B24">
            <w:pPr>
              <w:rPr>
                <w:color w:val="auto"/>
              </w:rPr>
            </w:pPr>
            <w:r w:rsidRPr="00CA321F">
              <w:rPr>
                <w:color w:val="auto"/>
                <w:sz w:val="18"/>
              </w:rPr>
              <w:t>Not Unfitting</w:t>
            </w:r>
          </w:p>
        </w:tc>
        <w:tc>
          <w:tcPr>
            <w:tcW w:w="5408" w:type="dxa"/>
            <w:gridSpan w:val="4"/>
            <w:tcBorders>
              <w:top w:val="single" w:sz="4" w:space="0" w:color="000000"/>
              <w:left w:val="thinThickThinSmallGap" w:sz="24" w:space="0" w:color="auto"/>
              <w:bottom w:val="single" w:sz="4" w:space="0" w:color="000000"/>
              <w:right w:val="single" w:sz="4" w:space="0" w:color="000000"/>
            </w:tcBorders>
            <w:shd w:val="clear" w:color="auto" w:fill="FFFFFF"/>
            <w:vAlign w:val="center"/>
            <w:hideMark/>
          </w:tcPr>
          <w:p w:rsidR="00FE0B24" w:rsidRPr="00CA321F" w:rsidRDefault="00FE0B24" w:rsidP="00FE0B24">
            <w:pPr>
              <w:spacing w:line="180" w:lineRule="exact"/>
              <w:rPr>
                <w:rFonts w:cs="Calibri"/>
                <w:color w:val="auto"/>
                <w:sz w:val="18"/>
              </w:rPr>
            </w:pPr>
            <w:r w:rsidRPr="00CA321F">
              <w:rPr>
                <w:rFonts w:cs="Calibri"/>
                <w:color w:val="auto"/>
                <w:sz w:val="18"/>
              </w:rPr>
              <w:t>NO VA ENTRY</w:t>
            </w:r>
          </w:p>
        </w:tc>
      </w:tr>
      <w:tr w:rsidR="00FE0B24" w:rsidRPr="00CA321F" w:rsidTr="00991789">
        <w:trPr>
          <w:trHeight w:val="97"/>
          <w:jc w:val="center"/>
        </w:trPr>
        <w:tc>
          <w:tcPr>
            <w:tcW w:w="252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E0B24" w:rsidRPr="00CA321F" w:rsidRDefault="00FE0B24">
            <w:pPr>
              <w:spacing w:line="180" w:lineRule="exact"/>
              <w:jc w:val="left"/>
              <w:rPr>
                <w:color w:val="auto"/>
                <w:sz w:val="18"/>
              </w:rPr>
            </w:pPr>
            <w:r w:rsidRPr="00CA321F">
              <w:rPr>
                <w:color w:val="auto"/>
                <w:sz w:val="18"/>
              </w:rPr>
              <w:t>Bilateral Knee Pain</w:t>
            </w:r>
          </w:p>
        </w:tc>
        <w:tc>
          <w:tcPr>
            <w:tcW w:w="1443" w:type="dxa"/>
            <w:gridSpan w:val="2"/>
            <w:tcBorders>
              <w:top w:val="single" w:sz="4" w:space="0" w:color="000000"/>
              <w:left w:val="single" w:sz="4" w:space="0" w:color="auto"/>
              <w:bottom w:val="single" w:sz="4" w:space="0" w:color="000000"/>
              <w:right w:val="thinThickThinSmallGap" w:sz="24" w:space="0" w:color="auto"/>
            </w:tcBorders>
            <w:shd w:val="clear" w:color="auto" w:fill="FFFFFF"/>
            <w:vAlign w:val="center"/>
            <w:hideMark/>
          </w:tcPr>
          <w:p w:rsidR="00FE0B24" w:rsidRPr="00CA321F" w:rsidRDefault="00FE0B24" w:rsidP="00FE0B24">
            <w:pPr>
              <w:rPr>
                <w:color w:val="auto"/>
              </w:rPr>
            </w:pPr>
            <w:r w:rsidRPr="00CA321F">
              <w:rPr>
                <w:color w:val="auto"/>
                <w:sz w:val="18"/>
              </w:rPr>
              <w:t>Not Unfitting</w:t>
            </w:r>
          </w:p>
        </w:tc>
        <w:tc>
          <w:tcPr>
            <w:tcW w:w="2971" w:type="dxa"/>
            <w:tcBorders>
              <w:top w:val="single" w:sz="4" w:space="0" w:color="000000"/>
              <w:left w:val="thinThickThinSmallGap" w:sz="24" w:space="0" w:color="auto"/>
              <w:bottom w:val="single" w:sz="4" w:space="0" w:color="000000"/>
              <w:right w:val="single" w:sz="4" w:space="0" w:color="auto"/>
            </w:tcBorders>
            <w:shd w:val="clear" w:color="auto" w:fill="FFFFFF"/>
            <w:vAlign w:val="center"/>
            <w:hideMark/>
          </w:tcPr>
          <w:p w:rsidR="00FE0B24" w:rsidRPr="00CA321F" w:rsidRDefault="00FE0B24">
            <w:pPr>
              <w:spacing w:line="180" w:lineRule="exact"/>
              <w:jc w:val="left"/>
              <w:rPr>
                <w:color w:val="auto"/>
                <w:sz w:val="18"/>
              </w:rPr>
            </w:pPr>
            <w:r w:rsidRPr="00CA321F">
              <w:rPr>
                <w:color w:val="auto"/>
                <w:sz w:val="18"/>
              </w:rPr>
              <w:t>Lt/Rt Knee Condition</w:t>
            </w:r>
          </w:p>
        </w:tc>
        <w:tc>
          <w:tcPr>
            <w:tcW w:w="720"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FE0B24" w:rsidRPr="00CA321F" w:rsidRDefault="00FE0B24">
            <w:pPr>
              <w:spacing w:line="180" w:lineRule="exact"/>
              <w:rPr>
                <w:color w:val="auto"/>
                <w:sz w:val="18"/>
              </w:rPr>
            </w:pPr>
            <w:r w:rsidRPr="00CA321F">
              <w:rPr>
                <w:color w:val="auto"/>
                <w:sz w:val="18"/>
              </w:rPr>
              <w:t>5260</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E0B24" w:rsidRPr="00CA321F" w:rsidRDefault="00FE0B24">
            <w:pPr>
              <w:spacing w:line="180" w:lineRule="exact"/>
              <w:rPr>
                <w:color w:val="auto"/>
                <w:sz w:val="18"/>
              </w:rPr>
            </w:pPr>
            <w:r w:rsidRPr="00CA321F">
              <w:rPr>
                <w:color w:val="auto"/>
                <w:sz w:val="18"/>
              </w:rPr>
              <w:t>NSC</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E0B24" w:rsidRPr="00CA321F" w:rsidRDefault="00FE0B24">
            <w:pPr>
              <w:spacing w:line="180" w:lineRule="exact"/>
              <w:rPr>
                <w:color w:val="auto"/>
                <w:sz w:val="18"/>
              </w:rPr>
            </w:pPr>
            <w:r w:rsidRPr="00CA321F">
              <w:rPr>
                <w:color w:val="auto"/>
                <w:sz w:val="18"/>
              </w:rPr>
              <w:t>20100301</w:t>
            </w:r>
          </w:p>
        </w:tc>
      </w:tr>
      <w:tr w:rsidR="00FE0B24" w:rsidRPr="00CA321F" w:rsidTr="00991789">
        <w:trPr>
          <w:trHeight w:val="97"/>
          <w:jc w:val="center"/>
        </w:trPr>
        <w:tc>
          <w:tcPr>
            <w:tcW w:w="252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E0B24" w:rsidRPr="00CA321F" w:rsidRDefault="00FE0B24">
            <w:pPr>
              <w:spacing w:line="180" w:lineRule="exact"/>
              <w:jc w:val="left"/>
              <w:rPr>
                <w:color w:val="auto"/>
                <w:sz w:val="18"/>
              </w:rPr>
            </w:pPr>
            <w:r w:rsidRPr="00CA321F">
              <w:rPr>
                <w:color w:val="auto"/>
                <w:sz w:val="18"/>
              </w:rPr>
              <w:t>Cervical Intraepithelial Neoplasia – HPV</w:t>
            </w:r>
          </w:p>
        </w:tc>
        <w:tc>
          <w:tcPr>
            <w:tcW w:w="1443" w:type="dxa"/>
            <w:gridSpan w:val="2"/>
            <w:tcBorders>
              <w:top w:val="single" w:sz="4" w:space="0" w:color="000000"/>
              <w:left w:val="single" w:sz="4" w:space="0" w:color="auto"/>
              <w:bottom w:val="single" w:sz="4" w:space="0" w:color="000000"/>
              <w:right w:val="thinThickThinSmallGap" w:sz="24" w:space="0" w:color="auto"/>
            </w:tcBorders>
            <w:shd w:val="clear" w:color="auto" w:fill="FFFFFF"/>
            <w:vAlign w:val="center"/>
            <w:hideMark/>
          </w:tcPr>
          <w:p w:rsidR="00FE0B24" w:rsidRPr="00CA321F" w:rsidRDefault="00FE0B24" w:rsidP="00FE0B24">
            <w:pPr>
              <w:rPr>
                <w:color w:val="auto"/>
              </w:rPr>
            </w:pPr>
            <w:r w:rsidRPr="00CA321F">
              <w:rPr>
                <w:color w:val="auto"/>
                <w:sz w:val="18"/>
              </w:rPr>
              <w:t>Not Unfitting</w:t>
            </w:r>
          </w:p>
        </w:tc>
        <w:tc>
          <w:tcPr>
            <w:tcW w:w="5408" w:type="dxa"/>
            <w:gridSpan w:val="4"/>
            <w:tcBorders>
              <w:top w:val="single" w:sz="4" w:space="0" w:color="000000"/>
              <w:left w:val="thinThickThinSmallGap" w:sz="24" w:space="0" w:color="auto"/>
              <w:bottom w:val="single" w:sz="4" w:space="0" w:color="000000"/>
              <w:right w:val="single" w:sz="4" w:space="0" w:color="000000"/>
            </w:tcBorders>
            <w:shd w:val="clear" w:color="auto" w:fill="FFFFFF"/>
            <w:vAlign w:val="center"/>
            <w:hideMark/>
          </w:tcPr>
          <w:p w:rsidR="00FE0B24" w:rsidRPr="00CA321F" w:rsidRDefault="00FE0B24">
            <w:pPr>
              <w:spacing w:line="180" w:lineRule="exact"/>
              <w:rPr>
                <w:color w:val="auto"/>
                <w:sz w:val="18"/>
              </w:rPr>
            </w:pPr>
            <w:r w:rsidRPr="00CA321F">
              <w:rPr>
                <w:color w:val="auto"/>
                <w:sz w:val="18"/>
              </w:rPr>
              <w:t>NO VA ENTRY</w:t>
            </w:r>
          </w:p>
        </w:tc>
      </w:tr>
      <w:tr w:rsidR="00FE0B24" w:rsidRPr="00CA321F" w:rsidTr="00991789">
        <w:trPr>
          <w:trHeight w:val="97"/>
          <w:jc w:val="center"/>
        </w:trPr>
        <w:tc>
          <w:tcPr>
            <w:tcW w:w="252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E0B24" w:rsidRPr="00CA321F" w:rsidRDefault="00FE0B24">
            <w:pPr>
              <w:spacing w:line="180" w:lineRule="exact"/>
              <w:jc w:val="left"/>
              <w:rPr>
                <w:color w:val="auto"/>
                <w:sz w:val="18"/>
              </w:rPr>
            </w:pPr>
            <w:r w:rsidRPr="00CA321F">
              <w:rPr>
                <w:color w:val="auto"/>
                <w:sz w:val="18"/>
              </w:rPr>
              <w:t>Seasonal Allergies</w:t>
            </w:r>
          </w:p>
        </w:tc>
        <w:tc>
          <w:tcPr>
            <w:tcW w:w="1443" w:type="dxa"/>
            <w:gridSpan w:val="2"/>
            <w:tcBorders>
              <w:top w:val="single" w:sz="4" w:space="0" w:color="000000"/>
              <w:left w:val="single" w:sz="4" w:space="0" w:color="auto"/>
              <w:bottom w:val="single" w:sz="4" w:space="0" w:color="000000"/>
              <w:right w:val="thinThickThinSmallGap" w:sz="24" w:space="0" w:color="auto"/>
            </w:tcBorders>
            <w:shd w:val="clear" w:color="auto" w:fill="FFFFFF"/>
            <w:vAlign w:val="center"/>
            <w:hideMark/>
          </w:tcPr>
          <w:p w:rsidR="00FE0B24" w:rsidRPr="00CA321F" w:rsidRDefault="00FE0B24" w:rsidP="00FE0B24">
            <w:pPr>
              <w:rPr>
                <w:color w:val="auto"/>
              </w:rPr>
            </w:pPr>
            <w:r w:rsidRPr="00CA321F">
              <w:rPr>
                <w:color w:val="auto"/>
                <w:sz w:val="18"/>
              </w:rPr>
              <w:t>Not Unfitting</w:t>
            </w:r>
          </w:p>
        </w:tc>
        <w:tc>
          <w:tcPr>
            <w:tcW w:w="5408" w:type="dxa"/>
            <w:gridSpan w:val="4"/>
            <w:tcBorders>
              <w:top w:val="single" w:sz="4" w:space="0" w:color="000000"/>
              <w:left w:val="thinThickThinSmallGap" w:sz="24" w:space="0" w:color="auto"/>
              <w:bottom w:val="single" w:sz="4" w:space="0" w:color="000000"/>
              <w:right w:val="single" w:sz="4" w:space="0" w:color="000000"/>
            </w:tcBorders>
            <w:shd w:val="clear" w:color="auto" w:fill="FFFFFF"/>
            <w:vAlign w:val="center"/>
            <w:hideMark/>
          </w:tcPr>
          <w:p w:rsidR="00FE0B24" w:rsidRPr="00CA321F" w:rsidRDefault="00FE0B24">
            <w:pPr>
              <w:spacing w:line="180" w:lineRule="exact"/>
              <w:rPr>
                <w:color w:val="auto"/>
                <w:sz w:val="18"/>
              </w:rPr>
            </w:pPr>
            <w:r w:rsidRPr="00CA321F">
              <w:rPr>
                <w:color w:val="auto"/>
                <w:sz w:val="18"/>
              </w:rPr>
              <w:t>NO VA ENTRY</w:t>
            </w:r>
          </w:p>
        </w:tc>
      </w:tr>
      <w:tr w:rsidR="00FE0B24" w:rsidRPr="00CA321F" w:rsidTr="00991789">
        <w:trPr>
          <w:trHeight w:val="97"/>
          <w:jc w:val="center"/>
        </w:trPr>
        <w:tc>
          <w:tcPr>
            <w:tcW w:w="252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E0B24" w:rsidRPr="00CA321F" w:rsidRDefault="00FE0B24" w:rsidP="00FE0B24">
            <w:pPr>
              <w:spacing w:line="180" w:lineRule="exact"/>
              <w:jc w:val="left"/>
              <w:rPr>
                <w:color w:val="auto"/>
                <w:sz w:val="18"/>
              </w:rPr>
            </w:pPr>
            <w:r w:rsidRPr="00CA321F">
              <w:rPr>
                <w:color w:val="auto"/>
                <w:sz w:val="18"/>
              </w:rPr>
              <w:t>Lt Ear Hearing Loss</w:t>
            </w:r>
          </w:p>
        </w:tc>
        <w:tc>
          <w:tcPr>
            <w:tcW w:w="1443" w:type="dxa"/>
            <w:gridSpan w:val="2"/>
            <w:tcBorders>
              <w:top w:val="single" w:sz="4" w:space="0" w:color="000000"/>
              <w:left w:val="single" w:sz="4" w:space="0" w:color="auto"/>
              <w:bottom w:val="single" w:sz="4" w:space="0" w:color="000000"/>
              <w:right w:val="thinThickThinSmallGap" w:sz="24" w:space="0" w:color="auto"/>
            </w:tcBorders>
            <w:shd w:val="clear" w:color="auto" w:fill="FFFFFF"/>
            <w:vAlign w:val="center"/>
            <w:hideMark/>
          </w:tcPr>
          <w:p w:rsidR="00FE0B24" w:rsidRPr="00CA321F" w:rsidRDefault="00FE0B24" w:rsidP="00FE0B24">
            <w:pPr>
              <w:rPr>
                <w:color w:val="auto"/>
              </w:rPr>
            </w:pPr>
            <w:r w:rsidRPr="00CA321F">
              <w:rPr>
                <w:color w:val="auto"/>
                <w:sz w:val="18"/>
              </w:rPr>
              <w:t>Not Unfitting</w:t>
            </w:r>
          </w:p>
        </w:tc>
        <w:tc>
          <w:tcPr>
            <w:tcW w:w="2971" w:type="dxa"/>
            <w:tcBorders>
              <w:top w:val="single" w:sz="4" w:space="0" w:color="000000"/>
              <w:left w:val="thinThickThinSmallGap" w:sz="24" w:space="0" w:color="auto"/>
              <w:bottom w:val="single" w:sz="4" w:space="0" w:color="000000"/>
              <w:right w:val="single" w:sz="4" w:space="0" w:color="auto"/>
            </w:tcBorders>
            <w:shd w:val="clear" w:color="auto" w:fill="FFFFFF"/>
            <w:vAlign w:val="center"/>
            <w:hideMark/>
          </w:tcPr>
          <w:p w:rsidR="00FE0B24" w:rsidRPr="00CA321F" w:rsidRDefault="00FE0B24">
            <w:pPr>
              <w:spacing w:line="180" w:lineRule="exact"/>
              <w:jc w:val="left"/>
              <w:rPr>
                <w:color w:val="auto"/>
                <w:sz w:val="18"/>
              </w:rPr>
            </w:pPr>
            <w:r w:rsidRPr="00CA321F">
              <w:rPr>
                <w:color w:val="auto"/>
                <w:sz w:val="18"/>
              </w:rPr>
              <w:t>Bilateral Hearing Loss</w:t>
            </w:r>
          </w:p>
        </w:tc>
        <w:tc>
          <w:tcPr>
            <w:tcW w:w="720"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FE0B24" w:rsidRPr="00CA321F" w:rsidRDefault="00FE0B24">
            <w:pPr>
              <w:spacing w:line="180" w:lineRule="exact"/>
              <w:rPr>
                <w:color w:val="auto"/>
                <w:sz w:val="18"/>
              </w:rPr>
            </w:pPr>
            <w:r w:rsidRPr="00CA321F">
              <w:rPr>
                <w:color w:val="auto"/>
                <w:sz w:val="18"/>
              </w:rPr>
              <w:t>6100</w:t>
            </w:r>
          </w:p>
        </w:tc>
        <w:tc>
          <w:tcPr>
            <w:tcW w:w="7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E0B24" w:rsidRPr="00CA321F" w:rsidRDefault="00FE0B24">
            <w:pPr>
              <w:spacing w:line="180" w:lineRule="exact"/>
              <w:rPr>
                <w:color w:val="auto"/>
                <w:sz w:val="18"/>
              </w:rPr>
            </w:pPr>
            <w:r w:rsidRPr="00CA321F">
              <w:rPr>
                <w:color w:val="auto"/>
                <w:sz w:val="18"/>
              </w:rPr>
              <w:t>NSC</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E0B24" w:rsidRPr="00CA321F" w:rsidRDefault="00FE0B24">
            <w:pPr>
              <w:spacing w:line="180" w:lineRule="exact"/>
              <w:rPr>
                <w:color w:val="auto"/>
                <w:sz w:val="18"/>
              </w:rPr>
            </w:pPr>
            <w:r w:rsidRPr="00CA321F">
              <w:rPr>
                <w:color w:val="auto"/>
                <w:sz w:val="18"/>
              </w:rPr>
              <w:t>20100202</w:t>
            </w:r>
          </w:p>
        </w:tc>
      </w:tr>
      <w:tr w:rsidR="00FE0B24" w:rsidRPr="00CA321F" w:rsidTr="00991789">
        <w:trPr>
          <w:trHeight w:val="97"/>
          <w:jc w:val="center"/>
        </w:trPr>
        <w:tc>
          <w:tcPr>
            <w:tcW w:w="252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E0B24" w:rsidRPr="00CA321F" w:rsidRDefault="00FE0B24" w:rsidP="00E8239B">
            <w:pPr>
              <w:spacing w:line="180" w:lineRule="exact"/>
              <w:jc w:val="left"/>
              <w:rPr>
                <w:color w:val="auto"/>
                <w:sz w:val="18"/>
              </w:rPr>
            </w:pPr>
            <w:r w:rsidRPr="00CA321F">
              <w:rPr>
                <w:color w:val="auto"/>
                <w:sz w:val="18"/>
              </w:rPr>
              <w:t>Mild Gastroparesis</w:t>
            </w:r>
          </w:p>
        </w:tc>
        <w:tc>
          <w:tcPr>
            <w:tcW w:w="1443" w:type="dxa"/>
            <w:gridSpan w:val="2"/>
            <w:tcBorders>
              <w:top w:val="single" w:sz="4" w:space="0" w:color="000000"/>
              <w:left w:val="single" w:sz="4" w:space="0" w:color="auto"/>
              <w:bottom w:val="single" w:sz="4" w:space="0" w:color="000000"/>
              <w:right w:val="thinThickThinSmallGap" w:sz="24" w:space="0" w:color="auto"/>
            </w:tcBorders>
            <w:shd w:val="clear" w:color="auto" w:fill="FFFFFF"/>
            <w:vAlign w:val="center"/>
            <w:hideMark/>
          </w:tcPr>
          <w:p w:rsidR="00FE0B24" w:rsidRPr="00CA321F" w:rsidRDefault="00FE0B24" w:rsidP="00FE0B24">
            <w:pPr>
              <w:rPr>
                <w:color w:val="auto"/>
              </w:rPr>
            </w:pPr>
            <w:r w:rsidRPr="00CA321F">
              <w:rPr>
                <w:color w:val="auto"/>
                <w:sz w:val="18"/>
              </w:rPr>
              <w:t>Not Unfitting</w:t>
            </w:r>
          </w:p>
        </w:tc>
        <w:tc>
          <w:tcPr>
            <w:tcW w:w="5408" w:type="dxa"/>
            <w:gridSpan w:val="4"/>
            <w:tcBorders>
              <w:top w:val="single" w:sz="4" w:space="0" w:color="000000"/>
              <w:left w:val="thinThickThinSmallGap" w:sz="24" w:space="0" w:color="auto"/>
              <w:bottom w:val="single" w:sz="4" w:space="0" w:color="000000"/>
              <w:right w:val="single" w:sz="4" w:space="0" w:color="000000"/>
            </w:tcBorders>
            <w:shd w:val="clear" w:color="auto" w:fill="FFFFFF"/>
            <w:vAlign w:val="center"/>
            <w:hideMark/>
          </w:tcPr>
          <w:p w:rsidR="00FE0B24" w:rsidRPr="00CA321F" w:rsidRDefault="00FE0B24" w:rsidP="00FE0B24">
            <w:pPr>
              <w:spacing w:line="180" w:lineRule="exact"/>
              <w:jc w:val="left"/>
              <w:rPr>
                <w:color w:val="auto"/>
                <w:sz w:val="18"/>
              </w:rPr>
            </w:pPr>
            <w:r w:rsidRPr="00CA321F">
              <w:rPr>
                <w:color w:val="auto"/>
                <w:sz w:val="18"/>
              </w:rPr>
              <w:t>See 7318 above</w:t>
            </w:r>
          </w:p>
        </w:tc>
      </w:tr>
      <w:tr w:rsidR="00FE0B24" w:rsidRPr="00947174" w:rsidTr="00991789">
        <w:trPr>
          <w:trHeight w:val="97"/>
          <w:jc w:val="center"/>
        </w:trPr>
        <w:tc>
          <w:tcPr>
            <w:tcW w:w="3967" w:type="dxa"/>
            <w:gridSpan w:val="3"/>
            <w:vMerge w:val="restart"/>
            <w:tcBorders>
              <w:top w:val="single" w:sz="4" w:space="0" w:color="000000"/>
              <w:left w:val="single" w:sz="4" w:space="0" w:color="000000"/>
              <w:right w:val="thinThickThinSmallGap" w:sz="24" w:space="0" w:color="auto"/>
            </w:tcBorders>
            <w:shd w:val="clear" w:color="auto" w:fill="FFFFFF"/>
            <w:vAlign w:val="center"/>
            <w:hideMark/>
          </w:tcPr>
          <w:p w:rsidR="00FE0B24" w:rsidRPr="00CA321F" w:rsidRDefault="00FE0B24" w:rsidP="006827AF">
            <w:pPr>
              <w:spacing w:line="180" w:lineRule="exact"/>
              <w:rPr>
                <w:color w:val="auto"/>
              </w:rPr>
            </w:pPr>
            <w:r w:rsidRPr="00CA321F">
              <w:rPr>
                <w:rFonts w:cs="Calibri"/>
                <w:color w:val="auto"/>
                <w:sz w:val="18"/>
                <w:szCs w:val="18"/>
              </w:rPr>
              <w:t>↓No Additional MEB/PEB Entries↓</w:t>
            </w:r>
          </w:p>
        </w:tc>
        <w:tc>
          <w:tcPr>
            <w:tcW w:w="2971" w:type="dxa"/>
            <w:tcBorders>
              <w:top w:val="single" w:sz="4" w:space="0" w:color="000000"/>
              <w:left w:val="thinThickThinSmallGap" w:sz="24" w:space="0" w:color="auto"/>
              <w:bottom w:val="single" w:sz="4" w:space="0" w:color="000000"/>
              <w:right w:val="single" w:sz="4" w:space="0" w:color="auto"/>
            </w:tcBorders>
            <w:shd w:val="clear" w:color="auto" w:fill="FFFFFF"/>
            <w:vAlign w:val="center"/>
            <w:hideMark/>
          </w:tcPr>
          <w:p w:rsidR="00FE0B24" w:rsidRPr="00CA321F" w:rsidRDefault="00947174" w:rsidP="00947174">
            <w:pPr>
              <w:spacing w:line="180" w:lineRule="exact"/>
              <w:jc w:val="left"/>
              <w:rPr>
                <w:color w:val="auto"/>
                <w:sz w:val="18"/>
              </w:rPr>
            </w:pPr>
            <w:r w:rsidRPr="00CA321F">
              <w:rPr>
                <w:color w:val="auto"/>
                <w:sz w:val="18"/>
                <w:szCs w:val="18"/>
              </w:rPr>
              <w:t>Temporomandibular joint dysfunction (TMJ)</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FE0B24" w:rsidRPr="00CA321F" w:rsidRDefault="00947174">
            <w:pPr>
              <w:spacing w:line="180" w:lineRule="exact"/>
              <w:rPr>
                <w:color w:val="auto"/>
                <w:sz w:val="18"/>
              </w:rPr>
            </w:pPr>
            <w:r w:rsidRPr="00CA321F">
              <w:rPr>
                <w:color w:val="auto"/>
                <w:sz w:val="18"/>
              </w:rPr>
              <w:t>9905</w:t>
            </w:r>
          </w:p>
        </w:tc>
        <w:tc>
          <w:tcPr>
            <w:tcW w:w="721" w:type="dxa"/>
            <w:tcBorders>
              <w:top w:val="single" w:sz="4" w:space="0" w:color="auto"/>
              <w:left w:val="single" w:sz="4" w:space="0" w:color="auto"/>
              <w:bottom w:val="single" w:sz="4" w:space="0" w:color="auto"/>
              <w:right w:val="single" w:sz="4" w:space="0" w:color="auto"/>
            </w:tcBorders>
            <w:shd w:val="clear" w:color="auto" w:fill="FFFFFF"/>
            <w:vAlign w:val="center"/>
          </w:tcPr>
          <w:p w:rsidR="00FE0B24" w:rsidRPr="00CA321F" w:rsidRDefault="00FE0B24">
            <w:pPr>
              <w:spacing w:line="180" w:lineRule="exact"/>
              <w:rPr>
                <w:color w:val="auto"/>
                <w:sz w:val="18"/>
              </w:rPr>
            </w:pPr>
            <w:r w:rsidRPr="00CA321F">
              <w:rPr>
                <w:color w:val="auto"/>
                <w:sz w:val="18"/>
              </w:rPr>
              <w:t>0%</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FE0B24" w:rsidRPr="00947174" w:rsidRDefault="00FE0B24">
            <w:pPr>
              <w:spacing w:line="180" w:lineRule="exact"/>
              <w:rPr>
                <w:color w:val="auto"/>
                <w:sz w:val="18"/>
              </w:rPr>
            </w:pPr>
            <w:r w:rsidRPr="00CA321F">
              <w:rPr>
                <w:color w:val="auto"/>
                <w:sz w:val="18"/>
              </w:rPr>
              <w:t>20100301</w:t>
            </w:r>
          </w:p>
        </w:tc>
      </w:tr>
      <w:tr w:rsidR="00FE0B24" w:rsidRPr="00947174" w:rsidTr="00991789">
        <w:trPr>
          <w:trHeight w:val="172"/>
          <w:jc w:val="center"/>
        </w:trPr>
        <w:tc>
          <w:tcPr>
            <w:tcW w:w="3967" w:type="dxa"/>
            <w:gridSpan w:val="3"/>
            <w:vMerge/>
            <w:tcBorders>
              <w:left w:val="single" w:sz="4" w:space="0" w:color="000000"/>
              <w:bottom w:val="single" w:sz="4" w:space="0" w:color="000000"/>
              <w:right w:val="thinThickThinSmallGap" w:sz="24" w:space="0" w:color="auto"/>
            </w:tcBorders>
            <w:shd w:val="clear" w:color="auto" w:fill="FFFFFF"/>
            <w:vAlign w:val="center"/>
            <w:hideMark/>
          </w:tcPr>
          <w:p w:rsidR="00FE0B24" w:rsidRPr="00947174" w:rsidRDefault="00FE0B24">
            <w:pPr>
              <w:spacing w:line="180" w:lineRule="exact"/>
              <w:rPr>
                <w:rFonts w:cs="Calibri"/>
                <w:color w:val="auto"/>
                <w:sz w:val="18"/>
              </w:rPr>
            </w:pPr>
          </w:p>
        </w:tc>
        <w:tc>
          <w:tcPr>
            <w:tcW w:w="4412" w:type="dxa"/>
            <w:gridSpan w:val="3"/>
            <w:tcBorders>
              <w:top w:val="single" w:sz="4" w:space="0" w:color="000000"/>
              <w:left w:val="thinThickThinSmallGap" w:sz="24" w:space="0" w:color="auto"/>
              <w:bottom w:val="single" w:sz="4" w:space="0" w:color="000000"/>
              <w:right w:val="single" w:sz="4" w:space="0" w:color="000000"/>
            </w:tcBorders>
            <w:shd w:val="clear" w:color="auto" w:fill="FFFFFF"/>
            <w:vAlign w:val="center"/>
            <w:hideMark/>
          </w:tcPr>
          <w:p w:rsidR="00FE0B24" w:rsidRPr="00947174" w:rsidRDefault="00FE0B24">
            <w:pPr>
              <w:spacing w:line="180" w:lineRule="exact"/>
              <w:rPr>
                <w:rFonts w:cs="Calibri"/>
                <w:color w:val="auto"/>
                <w:sz w:val="18"/>
              </w:rPr>
            </w:pPr>
            <w:r w:rsidRPr="00947174">
              <w:rPr>
                <w:color w:val="auto"/>
                <w:sz w:val="18"/>
              </w:rPr>
              <w:t>0% X 2 / Not Service-Connected x 3</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E0B24" w:rsidRPr="00947174" w:rsidRDefault="00FE0B24">
            <w:pPr>
              <w:spacing w:line="180" w:lineRule="exact"/>
              <w:rPr>
                <w:rFonts w:cs="Calibri"/>
                <w:color w:val="auto"/>
                <w:sz w:val="18"/>
              </w:rPr>
            </w:pPr>
            <w:r w:rsidRPr="00947174">
              <w:rPr>
                <w:rFonts w:cs="Calibri"/>
                <w:color w:val="auto"/>
                <w:sz w:val="18"/>
              </w:rPr>
              <w:t>20100301</w:t>
            </w:r>
          </w:p>
        </w:tc>
      </w:tr>
      <w:tr w:rsidR="00B004B4" w:rsidRPr="00947174" w:rsidTr="00991789">
        <w:trPr>
          <w:trHeight w:val="124"/>
          <w:jc w:val="center"/>
        </w:trPr>
        <w:tc>
          <w:tcPr>
            <w:tcW w:w="3967" w:type="dxa"/>
            <w:gridSpan w:val="3"/>
            <w:tcBorders>
              <w:top w:val="single" w:sz="4" w:space="0" w:color="000000"/>
              <w:left w:val="single" w:sz="4" w:space="0" w:color="000000"/>
              <w:bottom w:val="single" w:sz="4" w:space="0" w:color="000000"/>
              <w:right w:val="thinThickThinSmallGap" w:sz="24" w:space="0" w:color="auto"/>
            </w:tcBorders>
            <w:shd w:val="clear" w:color="auto" w:fill="D9D9D9"/>
            <w:hideMark/>
          </w:tcPr>
          <w:p w:rsidR="00B004B4" w:rsidRPr="00947174" w:rsidRDefault="00B004B4">
            <w:pPr>
              <w:spacing w:line="180" w:lineRule="exact"/>
              <w:rPr>
                <w:rFonts w:cs="Calibri"/>
                <w:b/>
                <w:color w:val="auto"/>
                <w:sz w:val="18"/>
              </w:rPr>
            </w:pPr>
            <w:r w:rsidRPr="00947174">
              <w:rPr>
                <w:b/>
                <w:color w:val="auto"/>
                <w:sz w:val="18"/>
              </w:rPr>
              <w:t>Combined:  10%</w:t>
            </w:r>
          </w:p>
        </w:tc>
        <w:tc>
          <w:tcPr>
            <w:tcW w:w="5408" w:type="dxa"/>
            <w:gridSpan w:val="4"/>
            <w:tcBorders>
              <w:top w:val="single" w:sz="4" w:space="0" w:color="000000"/>
              <w:left w:val="thinThickThinSmallGap" w:sz="24" w:space="0" w:color="auto"/>
              <w:bottom w:val="single" w:sz="4" w:space="0" w:color="000000"/>
              <w:right w:val="single" w:sz="4" w:space="0" w:color="000000"/>
            </w:tcBorders>
            <w:shd w:val="clear" w:color="auto" w:fill="D9D9D9"/>
            <w:hideMark/>
          </w:tcPr>
          <w:p w:rsidR="00B004B4" w:rsidRPr="00947174" w:rsidRDefault="00B004B4">
            <w:pPr>
              <w:spacing w:line="180" w:lineRule="exact"/>
              <w:rPr>
                <w:rFonts w:cs="Calibri"/>
                <w:b/>
                <w:color w:val="auto"/>
                <w:sz w:val="18"/>
              </w:rPr>
            </w:pPr>
            <w:r w:rsidRPr="00947174">
              <w:rPr>
                <w:b/>
                <w:color w:val="auto"/>
                <w:sz w:val="18"/>
              </w:rPr>
              <w:t>Combined:  30%</w:t>
            </w:r>
          </w:p>
        </w:tc>
      </w:tr>
    </w:tbl>
    <w:p w:rsidR="00F03663" w:rsidRPr="00991789" w:rsidRDefault="00F03663" w:rsidP="00F90376">
      <w:pPr>
        <w:pBdr>
          <w:bottom w:val="single" w:sz="12" w:space="1" w:color="auto"/>
        </w:pBdr>
        <w:tabs>
          <w:tab w:val="left" w:pos="288"/>
          <w:tab w:val="left" w:pos="4752"/>
        </w:tabs>
        <w:jc w:val="both"/>
        <w:rPr>
          <w:color w:val="auto"/>
          <w:szCs w:val="18"/>
        </w:rPr>
      </w:pPr>
    </w:p>
    <w:p w:rsidR="00AD2379" w:rsidRPr="009B4E48" w:rsidRDefault="00AD2379" w:rsidP="009B4E48">
      <w:pPr>
        <w:jc w:val="both"/>
        <w:rPr>
          <w:color w:val="auto"/>
          <w:szCs w:val="24"/>
        </w:rPr>
      </w:pPr>
    </w:p>
    <w:p w:rsidR="0095159E" w:rsidRPr="009B4E48" w:rsidRDefault="00AD2379" w:rsidP="009B4E48">
      <w:pPr>
        <w:pStyle w:val="Default"/>
        <w:spacing w:line="240" w:lineRule="exact"/>
        <w:jc w:val="both"/>
      </w:pPr>
      <w:r w:rsidRPr="009B4E48">
        <w:rPr>
          <w:color w:val="auto"/>
          <w:u w:val="single"/>
        </w:rPr>
        <w:t>ANALYSIS SUMMARY</w:t>
      </w:r>
      <w:r w:rsidRPr="009B4E48">
        <w:rPr>
          <w:color w:val="auto"/>
        </w:rPr>
        <w:t>:</w:t>
      </w:r>
      <w:r w:rsidR="00896C01" w:rsidRPr="009B4E48">
        <w:rPr>
          <w:color w:val="auto"/>
        </w:rPr>
        <w:t xml:space="preserve"> </w:t>
      </w:r>
      <w:r w:rsidRPr="009B4E48">
        <w:rPr>
          <w:color w:val="auto"/>
        </w:rPr>
        <w:t xml:space="preserve"> </w:t>
      </w:r>
      <w:r w:rsidR="0095159E" w:rsidRPr="009B4E48">
        <w:t>The Board acknowledges the CI’s assertions that her right ankle and back we</w:t>
      </w:r>
      <w:r w:rsidR="00CA321F">
        <w:t>r</w:t>
      </w:r>
      <w:r w:rsidR="0095159E" w:rsidRPr="009B4E48">
        <w:t>e unfairly assessed.</w:t>
      </w:r>
      <w:r w:rsidR="008519E7" w:rsidRPr="009B4E48">
        <w:t xml:space="preserve"> </w:t>
      </w:r>
      <w:r w:rsidR="0095159E" w:rsidRPr="009B4E48">
        <w:t xml:space="preserve"> It is noted for the record that the Board has neither the jurisdiction nor authority to scrutinize or render opinions in reference to the CI’s statements in the application regarding suspected improprieties in the processing of his case. </w:t>
      </w:r>
      <w:r w:rsidR="008519E7" w:rsidRPr="009B4E48">
        <w:t xml:space="preserve"> </w:t>
      </w:r>
      <w:r w:rsidR="0095159E" w:rsidRPr="009B4E48">
        <w:t xml:space="preserve">The Board’s role is confined to the review of medical records and all evidence at hand to assess the fairness of PEB rating determinations, compared to VASRD standards, based on severity at the time of separation. </w:t>
      </w:r>
      <w:r w:rsidR="008519E7" w:rsidRPr="009B4E48">
        <w:t xml:space="preserve"> </w:t>
      </w:r>
      <w:r w:rsidR="0095159E" w:rsidRPr="009B4E48">
        <w:t>It must also judge the fairness of PEB fitness adjudications based on the fitness consequences of conditions as they exi</w:t>
      </w:r>
      <w:r w:rsidR="00CA321F">
        <w:t>sted at the time of separation.</w:t>
      </w:r>
      <w:r w:rsidR="00466F6C">
        <w:t xml:space="preserve">  </w:t>
      </w:r>
    </w:p>
    <w:p w:rsidR="00AD2379" w:rsidRPr="009B4E48" w:rsidRDefault="00AD2379" w:rsidP="009B4E48">
      <w:pPr>
        <w:jc w:val="both"/>
        <w:rPr>
          <w:color w:val="auto"/>
          <w:szCs w:val="24"/>
          <w:highlight w:val="yellow"/>
        </w:rPr>
      </w:pPr>
    </w:p>
    <w:p w:rsidR="0069687C" w:rsidRPr="00466F6C" w:rsidRDefault="0028366B" w:rsidP="009B4E48">
      <w:pPr>
        <w:jc w:val="both"/>
        <w:rPr>
          <w:color w:val="auto"/>
          <w:szCs w:val="24"/>
        </w:rPr>
      </w:pPr>
      <w:r w:rsidRPr="009B4E48">
        <w:rPr>
          <w:color w:val="auto"/>
          <w:szCs w:val="24"/>
          <w:u w:val="single"/>
        </w:rPr>
        <w:t xml:space="preserve">Right Ankle, </w:t>
      </w:r>
      <w:r w:rsidR="00F43EAA" w:rsidRPr="009B4E48">
        <w:rPr>
          <w:color w:val="auto"/>
          <w:szCs w:val="24"/>
          <w:u w:val="single"/>
        </w:rPr>
        <w:t>Tenosynovitis</w:t>
      </w:r>
      <w:r w:rsidR="00AD2379" w:rsidRPr="009B4E48">
        <w:rPr>
          <w:color w:val="auto"/>
          <w:szCs w:val="24"/>
          <w:u w:val="single"/>
        </w:rPr>
        <w:t xml:space="preserve"> Condition</w:t>
      </w:r>
      <w:r w:rsidR="00AD2379" w:rsidRPr="009B4E48">
        <w:rPr>
          <w:color w:val="auto"/>
          <w:szCs w:val="24"/>
        </w:rPr>
        <w:t>.</w:t>
      </w:r>
      <w:r w:rsidRPr="009B4E48">
        <w:rPr>
          <w:color w:val="auto"/>
          <w:szCs w:val="24"/>
        </w:rPr>
        <w:t xml:space="preserve">  </w:t>
      </w:r>
      <w:r w:rsidR="0069687C" w:rsidRPr="009B4E48">
        <w:rPr>
          <w:color w:val="auto"/>
          <w:szCs w:val="24"/>
        </w:rPr>
        <w:t xml:space="preserve">There were </w:t>
      </w:r>
      <w:r w:rsidR="004E6D6A" w:rsidRPr="009B4E48">
        <w:rPr>
          <w:color w:val="auto"/>
          <w:szCs w:val="24"/>
        </w:rPr>
        <w:t>three</w:t>
      </w:r>
      <w:r w:rsidR="0086342E" w:rsidRPr="009B4E48">
        <w:rPr>
          <w:color w:val="auto"/>
          <w:szCs w:val="24"/>
        </w:rPr>
        <w:t xml:space="preserve"> </w:t>
      </w:r>
      <w:r w:rsidR="00B228C7" w:rsidRPr="009B4E48">
        <w:rPr>
          <w:color w:val="auto"/>
          <w:szCs w:val="24"/>
        </w:rPr>
        <w:t xml:space="preserve">ankle </w:t>
      </w:r>
      <w:r w:rsidRPr="009B4E48">
        <w:rPr>
          <w:color w:val="auto"/>
          <w:szCs w:val="24"/>
        </w:rPr>
        <w:t xml:space="preserve">exams with two </w:t>
      </w:r>
      <w:r w:rsidR="00001EFC" w:rsidRPr="009B4E48">
        <w:rPr>
          <w:color w:val="auto"/>
          <w:szCs w:val="24"/>
        </w:rPr>
        <w:t>goniometric range</w:t>
      </w:r>
      <w:r w:rsidR="00A8036A">
        <w:rPr>
          <w:color w:val="auto"/>
          <w:szCs w:val="24"/>
        </w:rPr>
        <w:t>-</w:t>
      </w:r>
      <w:r w:rsidR="00001EFC" w:rsidRPr="009B4E48">
        <w:rPr>
          <w:color w:val="auto"/>
          <w:szCs w:val="24"/>
        </w:rPr>
        <w:t>of</w:t>
      </w:r>
      <w:r w:rsidR="00A8036A">
        <w:rPr>
          <w:color w:val="auto"/>
          <w:szCs w:val="24"/>
        </w:rPr>
        <w:t>-</w:t>
      </w:r>
      <w:r w:rsidR="0069687C" w:rsidRPr="009B4E48">
        <w:rPr>
          <w:color w:val="auto"/>
          <w:szCs w:val="24"/>
        </w:rPr>
        <w:t xml:space="preserve">motion (ROM) evaluations in evidence, with documentation of additional ratable criteria, which the Board weighed in arriving at its rating recommendation; as summarized </w:t>
      </w:r>
      <w:r w:rsidR="0069687C" w:rsidRPr="00466F6C">
        <w:rPr>
          <w:color w:val="auto"/>
          <w:szCs w:val="24"/>
        </w:rPr>
        <w:t>in the chart below.</w:t>
      </w:r>
    </w:p>
    <w:p w:rsidR="004B5E04" w:rsidRPr="00466F6C" w:rsidRDefault="004B5E04" w:rsidP="009B4E48">
      <w:pPr>
        <w:jc w:val="both"/>
        <w:rPr>
          <w:color w:val="auto"/>
          <w:szCs w:val="24"/>
        </w:rPr>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8"/>
        <w:gridCol w:w="2250"/>
        <w:gridCol w:w="2250"/>
        <w:gridCol w:w="2610"/>
      </w:tblGrid>
      <w:tr w:rsidR="00A04163" w:rsidRPr="00466F6C" w:rsidTr="00466F6C">
        <w:trPr>
          <w:trHeight w:val="350"/>
          <w:jc w:val="center"/>
        </w:trPr>
        <w:tc>
          <w:tcPr>
            <w:tcW w:w="2238" w:type="dxa"/>
            <w:shd w:val="clear" w:color="auto" w:fill="D9D9D9" w:themeFill="background1" w:themeFillShade="D9"/>
            <w:vAlign w:val="center"/>
          </w:tcPr>
          <w:p w:rsidR="00A04163" w:rsidRPr="00466F6C" w:rsidRDefault="00A04163" w:rsidP="00466F6C">
            <w:pPr>
              <w:spacing w:line="200" w:lineRule="exact"/>
              <w:contextualSpacing/>
              <w:rPr>
                <w:rFonts w:asciiTheme="majorHAnsi" w:eastAsia="Calibri" w:hAnsiTheme="majorHAnsi" w:cstheme="majorHAnsi"/>
                <w:color w:val="auto"/>
                <w:sz w:val="18"/>
                <w:szCs w:val="18"/>
              </w:rPr>
            </w:pPr>
            <w:r w:rsidRPr="00466F6C">
              <w:rPr>
                <w:rFonts w:asciiTheme="majorHAnsi" w:eastAsia="Calibri" w:hAnsiTheme="majorHAnsi" w:cstheme="majorHAnsi"/>
                <w:color w:val="auto"/>
                <w:sz w:val="18"/>
                <w:szCs w:val="18"/>
              </w:rPr>
              <w:t>Right Ankle ROM</w:t>
            </w:r>
          </w:p>
        </w:tc>
        <w:tc>
          <w:tcPr>
            <w:tcW w:w="2250" w:type="dxa"/>
            <w:shd w:val="clear" w:color="auto" w:fill="D9D9D9" w:themeFill="background1" w:themeFillShade="D9"/>
            <w:vAlign w:val="center"/>
          </w:tcPr>
          <w:p w:rsidR="00A04163" w:rsidRPr="00466F6C" w:rsidRDefault="00A04163" w:rsidP="00466F6C">
            <w:pPr>
              <w:spacing w:line="200" w:lineRule="exact"/>
              <w:contextualSpacing/>
              <w:rPr>
                <w:rFonts w:asciiTheme="majorHAnsi" w:hAnsiTheme="majorHAnsi" w:cstheme="majorHAnsi"/>
                <w:color w:val="auto"/>
                <w:sz w:val="18"/>
                <w:szCs w:val="18"/>
              </w:rPr>
            </w:pPr>
            <w:r w:rsidRPr="00466F6C">
              <w:rPr>
                <w:rFonts w:asciiTheme="majorHAnsi" w:hAnsiTheme="majorHAnsi" w:cstheme="majorHAnsi"/>
                <w:color w:val="auto"/>
                <w:sz w:val="18"/>
                <w:szCs w:val="18"/>
              </w:rPr>
              <w:t>Podiatry</w:t>
            </w:r>
            <w:r w:rsidR="0028366B" w:rsidRPr="00466F6C">
              <w:rPr>
                <w:rFonts w:asciiTheme="majorHAnsi" w:hAnsiTheme="majorHAnsi" w:cstheme="majorHAnsi"/>
                <w:color w:val="auto"/>
                <w:sz w:val="18"/>
                <w:szCs w:val="18"/>
              </w:rPr>
              <w:t xml:space="preserve"> </w:t>
            </w:r>
            <w:r w:rsidRPr="00466F6C">
              <w:rPr>
                <w:rFonts w:asciiTheme="majorHAnsi" w:hAnsiTheme="majorHAnsi" w:cstheme="majorHAnsi"/>
                <w:color w:val="auto"/>
                <w:sz w:val="18"/>
                <w:szCs w:val="18"/>
              </w:rPr>
              <w:t>~5 Mo. Pre-Sep</w:t>
            </w:r>
          </w:p>
        </w:tc>
        <w:tc>
          <w:tcPr>
            <w:tcW w:w="2250" w:type="dxa"/>
            <w:shd w:val="clear" w:color="auto" w:fill="D9D9D9" w:themeFill="background1" w:themeFillShade="D9"/>
            <w:vAlign w:val="center"/>
          </w:tcPr>
          <w:p w:rsidR="00A04163" w:rsidRPr="00466F6C" w:rsidRDefault="00A04163" w:rsidP="00466F6C">
            <w:pPr>
              <w:spacing w:line="200" w:lineRule="exact"/>
              <w:contextualSpacing/>
              <w:rPr>
                <w:rFonts w:asciiTheme="majorHAnsi" w:hAnsiTheme="majorHAnsi" w:cstheme="majorHAnsi"/>
                <w:color w:val="auto"/>
                <w:sz w:val="18"/>
                <w:szCs w:val="18"/>
              </w:rPr>
            </w:pPr>
            <w:r w:rsidRPr="00466F6C">
              <w:rPr>
                <w:rFonts w:asciiTheme="majorHAnsi" w:hAnsiTheme="majorHAnsi" w:cstheme="majorHAnsi"/>
                <w:color w:val="auto"/>
                <w:sz w:val="18"/>
                <w:szCs w:val="18"/>
              </w:rPr>
              <w:t>MEB ~5 Mo. Pre-Sep</w:t>
            </w:r>
          </w:p>
        </w:tc>
        <w:tc>
          <w:tcPr>
            <w:tcW w:w="2610" w:type="dxa"/>
            <w:shd w:val="clear" w:color="auto" w:fill="D9D9D9" w:themeFill="background1" w:themeFillShade="D9"/>
            <w:vAlign w:val="center"/>
          </w:tcPr>
          <w:p w:rsidR="00A04163" w:rsidRPr="00466F6C" w:rsidRDefault="00D7393A" w:rsidP="00466F6C">
            <w:pPr>
              <w:spacing w:line="200" w:lineRule="exact"/>
              <w:contextualSpacing/>
              <w:rPr>
                <w:rFonts w:asciiTheme="majorHAnsi" w:hAnsiTheme="majorHAnsi" w:cstheme="majorHAnsi"/>
                <w:color w:val="auto"/>
                <w:sz w:val="18"/>
                <w:szCs w:val="18"/>
              </w:rPr>
            </w:pPr>
            <w:r w:rsidRPr="00466F6C">
              <w:rPr>
                <w:rFonts w:asciiTheme="majorHAnsi" w:hAnsiTheme="majorHAnsi" w:cstheme="majorHAnsi"/>
                <w:color w:val="auto"/>
                <w:sz w:val="18"/>
                <w:szCs w:val="18"/>
              </w:rPr>
              <w:t>VA C&amp;P ~5</w:t>
            </w:r>
            <w:r w:rsidR="00A04163" w:rsidRPr="00466F6C">
              <w:rPr>
                <w:rFonts w:asciiTheme="majorHAnsi" w:hAnsiTheme="majorHAnsi" w:cstheme="majorHAnsi"/>
                <w:color w:val="auto"/>
                <w:sz w:val="18"/>
                <w:szCs w:val="18"/>
              </w:rPr>
              <w:t xml:space="preserve"> Mo. Post-Sep</w:t>
            </w:r>
          </w:p>
        </w:tc>
      </w:tr>
      <w:tr w:rsidR="00A04163" w:rsidRPr="00466F6C" w:rsidTr="00463CC2">
        <w:trPr>
          <w:jc w:val="center"/>
        </w:trPr>
        <w:tc>
          <w:tcPr>
            <w:tcW w:w="2238" w:type="dxa"/>
            <w:vAlign w:val="center"/>
          </w:tcPr>
          <w:p w:rsidR="00A04163" w:rsidRPr="00466F6C" w:rsidRDefault="00A04163" w:rsidP="0028366B">
            <w:pPr>
              <w:spacing w:line="200" w:lineRule="exact"/>
              <w:contextualSpacing/>
              <w:rPr>
                <w:rFonts w:asciiTheme="majorHAnsi" w:eastAsia="Calibri" w:hAnsiTheme="majorHAnsi" w:cstheme="majorHAnsi"/>
                <w:color w:val="auto"/>
                <w:sz w:val="18"/>
                <w:szCs w:val="18"/>
              </w:rPr>
            </w:pPr>
            <w:r w:rsidRPr="00466F6C">
              <w:rPr>
                <w:rFonts w:asciiTheme="majorHAnsi" w:eastAsia="Calibri" w:hAnsiTheme="majorHAnsi" w:cstheme="majorHAnsi"/>
                <w:color w:val="auto"/>
                <w:sz w:val="18"/>
                <w:szCs w:val="18"/>
              </w:rPr>
              <w:t>Dorsiflexion (0-20⁰)</w:t>
            </w:r>
          </w:p>
        </w:tc>
        <w:tc>
          <w:tcPr>
            <w:tcW w:w="2250" w:type="dxa"/>
            <w:vMerge w:val="restart"/>
            <w:vAlign w:val="center"/>
          </w:tcPr>
          <w:p w:rsidR="00A04163" w:rsidRPr="00466F6C" w:rsidRDefault="00A04163" w:rsidP="00463CC2">
            <w:pPr>
              <w:spacing w:line="200" w:lineRule="exact"/>
              <w:contextualSpacing/>
              <w:rPr>
                <w:rFonts w:asciiTheme="majorHAnsi" w:eastAsia="Calibri" w:hAnsiTheme="majorHAnsi" w:cstheme="majorHAnsi"/>
                <w:color w:val="auto"/>
                <w:sz w:val="18"/>
                <w:szCs w:val="18"/>
              </w:rPr>
            </w:pPr>
            <w:r w:rsidRPr="00466F6C">
              <w:rPr>
                <w:rFonts w:asciiTheme="majorHAnsi" w:eastAsia="Calibri" w:hAnsiTheme="majorHAnsi" w:cstheme="majorHAnsi"/>
                <w:color w:val="auto"/>
                <w:sz w:val="18"/>
                <w:szCs w:val="18"/>
              </w:rPr>
              <w:t>No ROM’s</w:t>
            </w:r>
          </w:p>
        </w:tc>
        <w:tc>
          <w:tcPr>
            <w:tcW w:w="2250" w:type="dxa"/>
            <w:vAlign w:val="center"/>
          </w:tcPr>
          <w:p w:rsidR="00A04163" w:rsidRPr="00466F6C" w:rsidRDefault="00A04163" w:rsidP="0028366B">
            <w:pPr>
              <w:spacing w:line="200" w:lineRule="exact"/>
              <w:contextualSpacing/>
              <w:rPr>
                <w:rFonts w:asciiTheme="majorHAnsi" w:eastAsia="Calibri" w:hAnsiTheme="majorHAnsi" w:cstheme="majorHAnsi"/>
                <w:color w:val="auto"/>
                <w:sz w:val="18"/>
                <w:szCs w:val="18"/>
              </w:rPr>
            </w:pPr>
            <w:r w:rsidRPr="00466F6C">
              <w:rPr>
                <w:rFonts w:asciiTheme="majorHAnsi" w:eastAsia="Calibri" w:hAnsiTheme="majorHAnsi" w:cstheme="majorHAnsi"/>
                <w:color w:val="auto"/>
                <w:sz w:val="18"/>
                <w:szCs w:val="18"/>
              </w:rPr>
              <w:t>20⁰</w:t>
            </w:r>
          </w:p>
        </w:tc>
        <w:tc>
          <w:tcPr>
            <w:tcW w:w="2610" w:type="dxa"/>
            <w:vAlign w:val="center"/>
          </w:tcPr>
          <w:p w:rsidR="00A04163" w:rsidRPr="00466F6C" w:rsidRDefault="00A04163" w:rsidP="0028366B">
            <w:pPr>
              <w:spacing w:line="200" w:lineRule="exact"/>
              <w:contextualSpacing/>
              <w:rPr>
                <w:rFonts w:asciiTheme="majorHAnsi" w:eastAsia="Calibri" w:hAnsiTheme="majorHAnsi" w:cstheme="majorHAnsi"/>
                <w:color w:val="auto"/>
                <w:sz w:val="18"/>
                <w:szCs w:val="18"/>
              </w:rPr>
            </w:pPr>
            <w:r w:rsidRPr="00466F6C">
              <w:rPr>
                <w:rFonts w:asciiTheme="majorHAnsi" w:eastAsia="Calibri" w:hAnsiTheme="majorHAnsi" w:cstheme="majorHAnsi"/>
                <w:color w:val="auto"/>
                <w:sz w:val="18"/>
                <w:szCs w:val="18"/>
              </w:rPr>
              <w:t>15⁰</w:t>
            </w:r>
          </w:p>
        </w:tc>
      </w:tr>
      <w:tr w:rsidR="00A04163" w:rsidRPr="00466F6C" w:rsidTr="00A04163">
        <w:trPr>
          <w:jc w:val="center"/>
        </w:trPr>
        <w:tc>
          <w:tcPr>
            <w:tcW w:w="2238" w:type="dxa"/>
            <w:vAlign w:val="center"/>
          </w:tcPr>
          <w:p w:rsidR="00A04163" w:rsidRPr="00466F6C" w:rsidRDefault="00A04163" w:rsidP="0028366B">
            <w:pPr>
              <w:spacing w:line="200" w:lineRule="exact"/>
              <w:contextualSpacing/>
              <w:rPr>
                <w:rFonts w:asciiTheme="majorHAnsi" w:eastAsia="Calibri" w:hAnsiTheme="majorHAnsi" w:cstheme="majorHAnsi"/>
                <w:color w:val="auto"/>
                <w:sz w:val="18"/>
                <w:szCs w:val="18"/>
              </w:rPr>
            </w:pPr>
            <w:r w:rsidRPr="00466F6C">
              <w:rPr>
                <w:rFonts w:asciiTheme="majorHAnsi" w:eastAsia="Calibri" w:hAnsiTheme="majorHAnsi" w:cstheme="majorHAnsi"/>
                <w:color w:val="auto"/>
                <w:sz w:val="18"/>
                <w:szCs w:val="18"/>
              </w:rPr>
              <w:t>Plantar Flexion (0-45⁰)</w:t>
            </w:r>
          </w:p>
        </w:tc>
        <w:tc>
          <w:tcPr>
            <w:tcW w:w="2250" w:type="dxa"/>
            <w:vMerge/>
          </w:tcPr>
          <w:p w:rsidR="00A04163" w:rsidRPr="00466F6C" w:rsidRDefault="00A04163" w:rsidP="0028366B">
            <w:pPr>
              <w:spacing w:line="200" w:lineRule="exact"/>
              <w:contextualSpacing/>
              <w:rPr>
                <w:rFonts w:asciiTheme="majorHAnsi" w:eastAsia="Calibri" w:hAnsiTheme="majorHAnsi" w:cstheme="majorHAnsi"/>
                <w:color w:val="auto"/>
                <w:sz w:val="18"/>
                <w:szCs w:val="18"/>
              </w:rPr>
            </w:pPr>
          </w:p>
        </w:tc>
        <w:tc>
          <w:tcPr>
            <w:tcW w:w="2250" w:type="dxa"/>
            <w:vAlign w:val="center"/>
          </w:tcPr>
          <w:p w:rsidR="00A04163" w:rsidRPr="00466F6C" w:rsidRDefault="00A04163" w:rsidP="0028366B">
            <w:pPr>
              <w:spacing w:line="200" w:lineRule="exact"/>
              <w:contextualSpacing/>
              <w:rPr>
                <w:rFonts w:asciiTheme="majorHAnsi" w:eastAsia="Calibri" w:hAnsiTheme="majorHAnsi" w:cstheme="majorHAnsi"/>
                <w:color w:val="auto"/>
                <w:sz w:val="18"/>
                <w:szCs w:val="18"/>
              </w:rPr>
            </w:pPr>
            <w:r w:rsidRPr="00466F6C">
              <w:rPr>
                <w:rFonts w:asciiTheme="majorHAnsi" w:eastAsia="Calibri" w:hAnsiTheme="majorHAnsi" w:cstheme="majorHAnsi"/>
                <w:color w:val="auto"/>
                <w:sz w:val="18"/>
                <w:szCs w:val="18"/>
              </w:rPr>
              <w:t>45⁰</w:t>
            </w:r>
          </w:p>
        </w:tc>
        <w:tc>
          <w:tcPr>
            <w:tcW w:w="2610" w:type="dxa"/>
            <w:vAlign w:val="center"/>
          </w:tcPr>
          <w:p w:rsidR="00A04163" w:rsidRPr="00466F6C" w:rsidRDefault="00A04163" w:rsidP="0028366B">
            <w:pPr>
              <w:spacing w:line="200" w:lineRule="exact"/>
              <w:contextualSpacing/>
              <w:rPr>
                <w:rFonts w:asciiTheme="majorHAnsi" w:eastAsia="Calibri" w:hAnsiTheme="majorHAnsi" w:cstheme="majorHAnsi"/>
                <w:color w:val="auto"/>
                <w:sz w:val="18"/>
                <w:szCs w:val="18"/>
              </w:rPr>
            </w:pPr>
            <w:r w:rsidRPr="00466F6C">
              <w:rPr>
                <w:rFonts w:asciiTheme="majorHAnsi" w:eastAsia="Calibri" w:hAnsiTheme="majorHAnsi" w:cstheme="majorHAnsi"/>
                <w:color w:val="auto"/>
                <w:sz w:val="18"/>
                <w:szCs w:val="18"/>
              </w:rPr>
              <w:t>40⁰</w:t>
            </w:r>
          </w:p>
        </w:tc>
      </w:tr>
      <w:tr w:rsidR="00A04163" w:rsidRPr="00466F6C" w:rsidTr="00A04163">
        <w:trPr>
          <w:jc w:val="center"/>
        </w:trPr>
        <w:tc>
          <w:tcPr>
            <w:tcW w:w="2238" w:type="dxa"/>
            <w:vAlign w:val="center"/>
          </w:tcPr>
          <w:p w:rsidR="00A04163" w:rsidRPr="00466F6C" w:rsidRDefault="00A04163" w:rsidP="0028366B">
            <w:pPr>
              <w:tabs>
                <w:tab w:val="left" w:pos="288"/>
                <w:tab w:val="left" w:pos="4752"/>
              </w:tabs>
              <w:spacing w:line="200" w:lineRule="exact"/>
              <w:rPr>
                <w:rFonts w:asciiTheme="majorHAnsi" w:eastAsiaTheme="minorHAnsi" w:hAnsiTheme="majorHAnsi" w:cstheme="majorHAnsi"/>
                <w:color w:val="auto"/>
                <w:sz w:val="18"/>
                <w:szCs w:val="18"/>
              </w:rPr>
            </w:pPr>
            <w:r w:rsidRPr="00466F6C">
              <w:rPr>
                <w:rFonts w:asciiTheme="majorHAnsi" w:eastAsiaTheme="minorHAnsi" w:hAnsiTheme="majorHAnsi" w:cstheme="majorHAnsi"/>
                <w:color w:val="auto"/>
                <w:sz w:val="18"/>
                <w:szCs w:val="18"/>
              </w:rPr>
              <w:t>Comment</w:t>
            </w:r>
          </w:p>
          <w:p w:rsidR="00A04163" w:rsidRPr="00466F6C" w:rsidRDefault="00A8036A" w:rsidP="0028366B">
            <w:pPr>
              <w:tabs>
                <w:tab w:val="left" w:pos="288"/>
                <w:tab w:val="left" w:pos="4752"/>
              </w:tabs>
              <w:spacing w:line="200" w:lineRule="exact"/>
              <w:rPr>
                <w:rFonts w:asciiTheme="majorHAnsi" w:eastAsiaTheme="minorHAnsi" w:hAnsiTheme="majorHAnsi" w:cstheme="majorHAnsi"/>
                <w:color w:val="auto"/>
                <w:sz w:val="18"/>
                <w:szCs w:val="18"/>
              </w:rPr>
            </w:pPr>
            <w:r>
              <w:rPr>
                <w:rFonts w:asciiTheme="majorHAnsi" w:eastAsiaTheme="minorHAnsi" w:hAnsiTheme="majorHAnsi" w:cstheme="majorHAnsi"/>
                <w:color w:val="auto"/>
                <w:sz w:val="18"/>
                <w:szCs w:val="18"/>
              </w:rPr>
              <w:t>*</w:t>
            </w:r>
            <w:r w:rsidR="00A04163" w:rsidRPr="00466F6C">
              <w:rPr>
                <w:rFonts w:asciiTheme="majorHAnsi" w:eastAsiaTheme="minorHAnsi" w:hAnsiTheme="majorHAnsi" w:cstheme="majorHAnsi"/>
                <w:color w:val="auto"/>
                <w:sz w:val="18"/>
                <w:szCs w:val="18"/>
              </w:rPr>
              <w:t>MRI –</w:t>
            </w:r>
            <w:r>
              <w:rPr>
                <w:rFonts w:asciiTheme="majorHAnsi" w:eastAsiaTheme="minorHAnsi" w:hAnsiTheme="majorHAnsi" w:cstheme="majorHAnsi"/>
                <w:color w:val="auto"/>
                <w:sz w:val="18"/>
                <w:szCs w:val="18"/>
              </w:rPr>
              <w:t xml:space="preserve"> </w:t>
            </w:r>
            <w:r w:rsidR="00A04163" w:rsidRPr="00466F6C">
              <w:rPr>
                <w:rFonts w:asciiTheme="majorHAnsi" w:eastAsiaTheme="minorHAnsi" w:hAnsiTheme="majorHAnsi" w:cstheme="majorHAnsi"/>
                <w:color w:val="auto"/>
                <w:sz w:val="18"/>
                <w:szCs w:val="18"/>
              </w:rPr>
              <w:t>ATFL tear, deltoid ligament tear with joint effusion</w:t>
            </w:r>
          </w:p>
          <w:p w:rsidR="00F16CE3" w:rsidRPr="00466F6C" w:rsidRDefault="00F16CE3" w:rsidP="0028366B">
            <w:pPr>
              <w:tabs>
                <w:tab w:val="left" w:pos="288"/>
                <w:tab w:val="left" w:pos="4752"/>
              </w:tabs>
              <w:spacing w:line="200" w:lineRule="exact"/>
              <w:rPr>
                <w:rFonts w:asciiTheme="majorHAnsi" w:eastAsiaTheme="minorHAnsi" w:hAnsiTheme="majorHAnsi" w:cstheme="majorHAnsi"/>
                <w:color w:val="auto"/>
                <w:sz w:val="18"/>
                <w:szCs w:val="18"/>
              </w:rPr>
            </w:pPr>
            <w:r w:rsidRPr="00466F6C">
              <w:rPr>
                <w:rFonts w:asciiTheme="majorHAnsi" w:eastAsiaTheme="minorHAnsi" w:hAnsiTheme="majorHAnsi" w:cstheme="majorHAnsi"/>
                <w:color w:val="auto"/>
                <w:sz w:val="18"/>
                <w:szCs w:val="18"/>
              </w:rPr>
              <w:t xml:space="preserve">Right ankle weight bearing </w:t>
            </w:r>
            <w:r w:rsidR="00E64344">
              <w:rPr>
                <w:rFonts w:asciiTheme="majorHAnsi" w:eastAsiaTheme="minorHAnsi" w:hAnsiTheme="majorHAnsi" w:cstheme="majorHAnsi"/>
                <w:color w:val="auto"/>
                <w:sz w:val="18"/>
                <w:szCs w:val="18"/>
              </w:rPr>
              <w:t>X-ray</w:t>
            </w:r>
            <w:r w:rsidRPr="00466F6C">
              <w:rPr>
                <w:rFonts w:asciiTheme="majorHAnsi" w:eastAsiaTheme="minorHAnsi" w:hAnsiTheme="majorHAnsi" w:cstheme="majorHAnsi"/>
                <w:color w:val="auto"/>
                <w:sz w:val="18"/>
                <w:szCs w:val="18"/>
              </w:rPr>
              <w:t>- normal</w:t>
            </w:r>
          </w:p>
        </w:tc>
        <w:tc>
          <w:tcPr>
            <w:tcW w:w="2250" w:type="dxa"/>
          </w:tcPr>
          <w:p w:rsidR="00A04163" w:rsidRPr="00466F6C" w:rsidRDefault="00A04163" w:rsidP="0028366B">
            <w:pPr>
              <w:pStyle w:val="ListParagraph"/>
              <w:spacing w:after="0" w:line="200" w:lineRule="exact"/>
              <w:ind w:left="0"/>
              <w:rPr>
                <w:rFonts w:asciiTheme="majorHAnsi" w:eastAsia="Calibri" w:hAnsiTheme="majorHAnsi" w:cstheme="majorHAnsi"/>
                <w:sz w:val="18"/>
                <w:szCs w:val="18"/>
              </w:rPr>
            </w:pPr>
            <w:r w:rsidRPr="00466F6C">
              <w:rPr>
                <w:rFonts w:asciiTheme="majorHAnsi" w:eastAsia="Calibri" w:hAnsiTheme="majorHAnsi" w:cstheme="majorHAnsi"/>
                <w:sz w:val="18"/>
                <w:szCs w:val="18"/>
              </w:rPr>
              <w:t>Muscle strength w/dorsiflexion-eversion 4/5; Tenderness to palpation (TTP) AFTL ankle/foot along peroneal tendon and anterior-medial tibiotalar joint line</w:t>
            </w:r>
            <w:r w:rsidR="000E01AD" w:rsidRPr="00466F6C">
              <w:rPr>
                <w:rFonts w:asciiTheme="majorHAnsi" w:eastAsia="Calibri" w:hAnsiTheme="majorHAnsi" w:cstheme="majorHAnsi"/>
                <w:sz w:val="18"/>
                <w:szCs w:val="18"/>
              </w:rPr>
              <w:t>; AFO brace</w:t>
            </w:r>
          </w:p>
        </w:tc>
        <w:tc>
          <w:tcPr>
            <w:tcW w:w="2250" w:type="dxa"/>
            <w:vAlign w:val="center"/>
          </w:tcPr>
          <w:p w:rsidR="00A04163" w:rsidRPr="00466F6C" w:rsidRDefault="00A04163" w:rsidP="0028366B">
            <w:pPr>
              <w:pStyle w:val="ListParagraph"/>
              <w:spacing w:after="0" w:line="200" w:lineRule="exact"/>
              <w:ind w:left="0"/>
              <w:rPr>
                <w:rFonts w:asciiTheme="majorHAnsi" w:eastAsia="Calibri" w:hAnsiTheme="majorHAnsi" w:cstheme="majorHAnsi"/>
                <w:sz w:val="18"/>
                <w:szCs w:val="18"/>
              </w:rPr>
            </w:pPr>
            <w:r w:rsidRPr="00466F6C">
              <w:rPr>
                <w:rFonts w:asciiTheme="majorHAnsi" w:eastAsia="Calibri" w:hAnsiTheme="majorHAnsi" w:cstheme="majorHAnsi"/>
                <w:sz w:val="18"/>
                <w:szCs w:val="18"/>
              </w:rPr>
              <w:t>Diffuse tenderness to strong palpation along  lateral malleolus and central part of foot; can’t tiptoe walk/heel walk-pain; wears AFO brace</w:t>
            </w:r>
            <w:r w:rsidR="00463CC2" w:rsidRPr="00466F6C">
              <w:rPr>
                <w:rFonts w:asciiTheme="majorHAnsi" w:eastAsia="Calibri" w:hAnsiTheme="majorHAnsi" w:cstheme="majorHAnsi"/>
                <w:sz w:val="18"/>
                <w:szCs w:val="18"/>
              </w:rPr>
              <w:t xml:space="preserve"> </w:t>
            </w:r>
          </w:p>
        </w:tc>
        <w:tc>
          <w:tcPr>
            <w:tcW w:w="2610" w:type="dxa"/>
            <w:vAlign w:val="center"/>
          </w:tcPr>
          <w:p w:rsidR="00A04163" w:rsidRPr="00466F6C" w:rsidRDefault="00D77FEB" w:rsidP="0028366B">
            <w:pPr>
              <w:pStyle w:val="ListParagraph"/>
              <w:spacing w:after="0" w:line="200" w:lineRule="exact"/>
              <w:ind w:left="0"/>
              <w:jc w:val="both"/>
              <w:rPr>
                <w:rFonts w:asciiTheme="majorHAnsi" w:eastAsia="Calibri" w:hAnsiTheme="majorHAnsi" w:cstheme="majorHAnsi"/>
                <w:sz w:val="18"/>
                <w:szCs w:val="18"/>
              </w:rPr>
            </w:pPr>
            <w:r w:rsidRPr="00466F6C">
              <w:rPr>
                <w:rFonts w:asciiTheme="majorHAnsi" w:eastAsia="Calibri" w:hAnsiTheme="majorHAnsi" w:cstheme="majorHAnsi"/>
                <w:sz w:val="18"/>
                <w:szCs w:val="18"/>
              </w:rPr>
              <w:t>Pain with active motion and following repetitive motion</w:t>
            </w:r>
            <w:r w:rsidR="00003C0B" w:rsidRPr="00466F6C">
              <w:rPr>
                <w:rFonts w:asciiTheme="majorHAnsi" w:eastAsia="Calibri" w:hAnsiTheme="majorHAnsi" w:cstheme="majorHAnsi"/>
                <w:sz w:val="18"/>
                <w:szCs w:val="18"/>
              </w:rPr>
              <w:t>; tenderness; mild laxity on inversion; guarding</w:t>
            </w:r>
          </w:p>
        </w:tc>
      </w:tr>
      <w:tr w:rsidR="00A04163" w:rsidRPr="00466F6C" w:rsidTr="00A04163">
        <w:trPr>
          <w:jc w:val="center"/>
        </w:trPr>
        <w:tc>
          <w:tcPr>
            <w:tcW w:w="2238" w:type="dxa"/>
            <w:vAlign w:val="center"/>
          </w:tcPr>
          <w:p w:rsidR="00A04163" w:rsidRPr="00466F6C" w:rsidRDefault="00A04163" w:rsidP="0028366B">
            <w:pPr>
              <w:tabs>
                <w:tab w:val="left" w:pos="288"/>
                <w:tab w:val="left" w:pos="4752"/>
              </w:tabs>
              <w:spacing w:line="200" w:lineRule="exact"/>
              <w:rPr>
                <w:rFonts w:asciiTheme="majorHAnsi" w:eastAsiaTheme="minorHAnsi" w:hAnsiTheme="majorHAnsi" w:cstheme="majorHAnsi"/>
                <w:color w:val="auto"/>
                <w:sz w:val="18"/>
                <w:szCs w:val="18"/>
              </w:rPr>
            </w:pPr>
            <w:r w:rsidRPr="00466F6C">
              <w:rPr>
                <w:rFonts w:asciiTheme="majorHAnsi" w:eastAsiaTheme="minorHAnsi" w:hAnsiTheme="majorHAnsi" w:cstheme="majorHAnsi"/>
                <w:color w:val="auto"/>
                <w:sz w:val="18"/>
                <w:szCs w:val="18"/>
              </w:rPr>
              <w:t>§4.71a Rating</w:t>
            </w:r>
          </w:p>
        </w:tc>
        <w:tc>
          <w:tcPr>
            <w:tcW w:w="2250" w:type="dxa"/>
          </w:tcPr>
          <w:p w:rsidR="00A04163" w:rsidRPr="00466F6C" w:rsidRDefault="00A04163" w:rsidP="0028366B">
            <w:pPr>
              <w:pStyle w:val="ListParagraph"/>
              <w:spacing w:after="0" w:line="200" w:lineRule="exact"/>
              <w:ind w:left="0"/>
              <w:rPr>
                <w:rFonts w:asciiTheme="majorHAnsi" w:eastAsia="Calibri" w:hAnsiTheme="majorHAnsi" w:cstheme="majorHAnsi"/>
                <w:sz w:val="18"/>
                <w:szCs w:val="18"/>
              </w:rPr>
            </w:pPr>
            <w:r w:rsidRPr="00466F6C">
              <w:rPr>
                <w:rFonts w:asciiTheme="majorHAnsi" w:eastAsia="Calibri" w:hAnsiTheme="majorHAnsi" w:cstheme="majorHAnsi"/>
                <w:sz w:val="18"/>
                <w:szCs w:val="18"/>
              </w:rPr>
              <w:t>10%</w:t>
            </w:r>
          </w:p>
        </w:tc>
        <w:tc>
          <w:tcPr>
            <w:tcW w:w="2250" w:type="dxa"/>
            <w:vAlign w:val="center"/>
          </w:tcPr>
          <w:p w:rsidR="00A04163" w:rsidRPr="00466F6C" w:rsidRDefault="00A04163" w:rsidP="0028366B">
            <w:pPr>
              <w:pStyle w:val="ListParagraph"/>
              <w:spacing w:after="0" w:line="200" w:lineRule="exact"/>
              <w:ind w:left="0"/>
              <w:rPr>
                <w:rFonts w:asciiTheme="majorHAnsi" w:eastAsia="Calibri" w:hAnsiTheme="majorHAnsi" w:cstheme="majorHAnsi"/>
                <w:sz w:val="18"/>
                <w:szCs w:val="18"/>
              </w:rPr>
            </w:pPr>
            <w:r w:rsidRPr="00466F6C">
              <w:rPr>
                <w:rFonts w:asciiTheme="majorHAnsi" w:eastAsia="Calibri" w:hAnsiTheme="majorHAnsi" w:cstheme="majorHAnsi"/>
                <w:sz w:val="18"/>
                <w:szCs w:val="18"/>
              </w:rPr>
              <w:t>10%</w:t>
            </w:r>
          </w:p>
        </w:tc>
        <w:tc>
          <w:tcPr>
            <w:tcW w:w="2610" w:type="dxa"/>
            <w:vAlign w:val="center"/>
          </w:tcPr>
          <w:p w:rsidR="00A04163" w:rsidRPr="00466F6C" w:rsidRDefault="00824731" w:rsidP="0028366B">
            <w:pPr>
              <w:pStyle w:val="ListParagraph"/>
              <w:spacing w:after="0" w:line="200" w:lineRule="exact"/>
              <w:ind w:left="0"/>
              <w:rPr>
                <w:rFonts w:asciiTheme="majorHAnsi" w:eastAsia="Calibri" w:hAnsiTheme="majorHAnsi" w:cstheme="majorHAnsi"/>
                <w:sz w:val="18"/>
                <w:szCs w:val="18"/>
              </w:rPr>
            </w:pPr>
            <w:r w:rsidRPr="00466F6C">
              <w:rPr>
                <w:rFonts w:asciiTheme="majorHAnsi" w:eastAsia="Calibri" w:hAnsiTheme="majorHAnsi" w:cstheme="majorHAnsi"/>
                <w:sz w:val="18"/>
                <w:szCs w:val="18"/>
              </w:rPr>
              <w:t>10</w:t>
            </w:r>
            <w:r w:rsidR="00A04163" w:rsidRPr="00466F6C">
              <w:rPr>
                <w:rFonts w:asciiTheme="majorHAnsi" w:eastAsia="Calibri" w:hAnsiTheme="majorHAnsi" w:cstheme="majorHAnsi"/>
                <w:sz w:val="18"/>
                <w:szCs w:val="18"/>
              </w:rPr>
              <w:t>%</w:t>
            </w:r>
          </w:p>
        </w:tc>
      </w:tr>
    </w:tbl>
    <w:p w:rsidR="00466F6C" w:rsidRPr="00A8036A" w:rsidRDefault="00A8036A" w:rsidP="009B4E48">
      <w:pPr>
        <w:jc w:val="both"/>
        <w:rPr>
          <w:color w:val="auto"/>
          <w:sz w:val="18"/>
          <w:szCs w:val="18"/>
        </w:rPr>
      </w:pPr>
      <w:r w:rsidRPr="00A8036A">
        <w:rPr>
          <w:color w:val="auto"/>
          <w:sz w:val="18"/>
          <w:szCs w:val="18"/>
        </w:rPr>
        <w:t>*magnetic resonance imaging</w:t>
      </w:r>
      <w:r>
        <w:rPr>
          <w:color w:val="auto"/>
          <w:sz w:val="18"/>
          <w:szCs w:val="18"/>
        </w:rPr>
        <w:t xml:space="preserve"> (MRI)</w:t>
      </w:r>
      <w:r w:rsidRPr="00A8036A">
        <w:rPr>
          <w:rFonts w:asciiTheme="majorHAnsi" w:eastAsiaTheme="minorHAnsi" w:hAnsiTheme="majorHAnsi" w:cstheme="majorHAnsi"/>
          <w:color w:val="auto"/>
          <w:sz w:val="18"/>
          <w:szCs w:val="18"/>
        </w:rPr>
        <w:t xml:space="preserve"> </w:t>
      </w:r>
      <w:r w:rsidRPr="00466F6C">
        <w:rPr>
          <w:rFonts w:asciiTheme="majorHAnsi" w:eastAsiaTheme="minorHAnsi" w:hAnsiTheme="majorHAnsi" w:cstheme="majorHAnsi"/>
          <w:color w:val="auto"/>
          <w:sz w:val="18"/>
          <w:szCs w:val="18"/>
        </w:rPr>
        <w:t>–</w:t>
      </w:r>
      <w:r>
        <w:rPr>
          <w:rFonts w:asciiTheme="majorHAnsi" w:eastAsiaTheme="minorHAnsi" w:hAnsiTheme="majorHAnsi" w:cstheme="majorHAnsi"/>
          <w:color w:val="auto"/>
          <w:sz w:val="18"/>
          <w:szCs w:val="18"/>
        </w:rPr>
        <w:t xml:space="preserve"> </w:t>
      </w:r>
      <w:r w:rsidRPr="00A8036A">
        <w:rPr>
          <w:color w:val="auto"/>
          <w:sz w:val="18"/>
          <w:szCs w:val="18"/>
        </w:rPr>
        <w:t>ant</w:t>
      </w:r>
      <w:r>
        <w:rPr>
          <w:color w:val="auto"/>
          <w:sz w:val="18"/>
          <w:szCs w:val="18"/>
        </w:rPr>
        <w:t xml:space="preserve">erior </w:t>
      </w:r>
      <w:proofErr w:type="spellStart"/>
      <w:r>
        <w:rPr>
          <w:color w:val="auto"/>
          <w:sz w:val="18"/>
          <w:szCs w:val="18"/>
        </w:rPr>
        <w:t>talofibular</w:t>
      </w:r>
      <w:proofErr w:type="spellEnd"/>
      <w:r>
        <w:rPr>
          <w:color w:val="auto"/>
          <w:sz w:val="18"/>
          <w:szCs w:val="18"/>
        </w:rPr>
        <w:t xml:space="preserve"> ligament (ATFL) </w:t>
      </w:r>
    </w:p>
    <w:p w:rsidR="00A8036A" w:rsidRPr="00A8036A" w:rsidRDefault="00A8036A" w:rsidP="009B4E48">
      <w:pPr>
        <w:jc w:val="both"/>
        <w:rPr>
          <w:color w:val="auto"/>
          <w:sz w:val="20"/>
        </w:rPr>
      </w:pPr>
    </w:p>
    <w:p w:rsidR="00463CC2" w:rsidRDefault="00E54223" w:rsidP="009B4E48">
      <w:pPr>
        <w:jc w:val="both"/>
        <w:rPr>
          <w:color w:val="auto"/>
          <w:szCs w:val="24"/>
        </w:rPr>
      </w:pPr>
      <w:r w:rsidRPr="00466F6C">
        <w:rPr>
          <w:color w:val="auto"/>
          <w:szCs w:val="24"/>
        </w:rPr>
        <w:t xml:space="preserve">The CI sustained </w:t>
      </w:r>
      <w:r w:rsidR="00AB3C0D" w:rsidRPr="00466F6C">
        <w:rPr>
          <w:color w:val="auto"/>
          <w:szCs w:val="24"/>
        </w:rPr>
        <w:t xml:space="preserve">a right ankle </w:t>
      </w:r>
      <w:r w:rsidRPr="00466F6C">
        <w:rPr>
          <w:color w:val="auto"/>
          <w:szCs w:val="24"/>
        </w:rPr>
        <w:t xml:space="preserve">sprain while playing soft ball in Korea in 2007.  An </w:t>
      </w:r>
      <w:r w:rsidR="00076AEC">
        <w:rPr>
          <w:color w:val="auto"/>
          <w:szCs w:val="24"/>
        </w:rPr>
        <w:t>X</w:t>
      </w:r>
      <w:r w:rsidRPr="00466F6C">
        <w:rPr>
          <w:color w:val="auto"/>
          <w:szCs w:val="24"/>
        </w:rPr>
        <w:t xml:space="preserve">-ray done at the time was normal without any fractures.  The CI was treated with </w:t>
      </w:r>
      <w:r w:rsidR="00A8036A" w:rsidRPr="00466F6C">
        <w:rPr>
          <w:color w:val="auto"/>
          <w:szCs w:val="24"/>
        </w:rPr>
        <w:t xml:space="preserve">physical therapy </w:t>
      </w:r>
      <w:r w:rsidRPr="00466F6C">
        <w:rPr>
          <w:color w:val="auto"/>
          <w:szCs w:val="24"/>
        </w:rPr>
        <w:t>(PT) and given crutches.</w:t>
      </w:r>
      <w:r w:rsidR="00AB3C0D" w:rsidRPr="00466F6C">
        <w:rPr>
          <w:color w:val="auto"/>
          <w:szCs w:val="24"/>
        </w:rPr>
        <w:t xml:space="preserve">  She sought further </w:t>
      </w:r>
      <w:r w:rsidR="00F04515" w:rsidRPr="00466F6C">
        <w:rPr>
          <w:color w:val="auto"/>
          <w:szCs w:val="24"/>
        </w:rPr>
        <w:t>treatment</w:t>
      </w:r>
      <w:r w:rsidR="00AB3C0D" w:rsidRPr="00466F6C">
        <w:rPr>
          <w:color w:val="auto"/>
          <w:szCs w:val="24"/>
        </w:rPr>
        <w:t xml:space="preserve"> for complaints of ongoing joint swellin</w:t>
      </w:r>
      <w:r w:rsidR="00AB3C0D" w:rsidRPr="00CA321F">
        <w:rPr>
          <w:color w:val="auto"/>
          <w:szCs w:val="24"/>
        </w:rPr>
        <w:t xml:space="preserve">g and </w:t>
      </w:r>
      <w:r w:rsidR="00F04515" w:rsidRPr="00CA321F">
        <w:rPr>
          <w:color w:val="auto"/>
          <w:szCs w:val="24"/>
        </w:rPr>
        <w:t xml:space="preserve">instability with multiple sprains.  An MRI done in February 2009 revealed an </w:t>
      </w:r>
      <w:r w:rsidR="00E64344">
        <w:rPr>
          <w:color w:val="auto"/>
          <w:szCs w:val="24"/>
        </w:rPr>
        <w:t xml:space="preserve">ATFL </w:t>
      </w:r>
      <w:r w:rsidR="00F04515" w:rsidRPr="00CA321F">
        <w:rPr>
          <w:color w:val="auto"/>
          <w:szCs w:val="24"/>
        </w:rPr>
        <w:t xml:space="preserve">tear.  The CI </w:t>
      </w:r>
      <w:r w:rsidR="00F04515" w:rsidRPr="00CA321F">
        <w:rPr>
          <w:color w:val="auto"/>
          <w:szCs w:val="24"/>
        </w:rPr>
        <w:lastRenderedPageBreak/>
        <w:t xml:space="preserve">was referred back to PT and saw an </w:t>
      </w:r>
      <w:r w:rsidR="00E64344">
        <w:rPr>
          <w:color w:val="auto"/>
          <w:szCs w:val="24"/>
        </w:rPr>
        <w:t>o</w:t>
      </w:r>
      <w:r w:rsidR="00B51E96" w:rsidRPr="00CA321F">
        <w:rPr>
          <w:color w:val="auto"/>
          <w:szCs w:val="24"/>
        </w:rPr>
        <w:t>rthopedist</w:t>
      </w:r>
      <w:r w:rsidR="00F04515" w:rsidRPr="00CA321F">
        <w:rPr>
          <w:color w:val="auto"/>
          <w:szCs w:val="24"/>
        </w:rPr>
        <w:t xml:space="preserve"> who</w:t>
      </w:r>
      <w:r w:rsidR="00B51E96" w:rsidRPr="00CA321F">
        <w:rPr>
          <w:color w:val="auto"/>
          <w:szCs w:val="24"/>
        </w:rPr>
        <w:t xml:space="preserve"> ordered an AFO (ankle-foot orthotic)</w:t>
      </w:r>
      <w:r w:rsidR="00B51E96" w:rsidRPr="00CA321F">
        <w:rPr>
          <w:color w:val="auto"/>
          <w:sz w:val="18"/>
          <w:szCs w:val="18"/>
        </w:rPr>
        <w:t xml:space="preserve"> </w:t>
      </w:r>
      <w:r w:rsidR="00B51E96" w:rsidRPr="00CA321F">
        <w:rPr>
          <w:color w:val="auto"/>
          <w:szCs w:val="24"/>
        </w:rPr>
        <w:t xml:space="preserve">for ankle support. </w:t>
      </w:r>
      <w:r w:rsidR="008519E7" w:rsidRPr="00CA321F">
        <w:rPr>
          <w:color w:val="auto"/>
          <w:szCs w:val="24"/>
        </w:rPr>
        <w:t xml:space="preserve"> </w:t>
      </w:r>
      <w:r w:rsidR="008F1C57" w:rsidRPr="00CA321F">
        <w:rPr>
          <w:color w:val="auto"/>
          <w:szCs w:val="24"/>
        </w:rPr>
        <w:t xml:space="preserve">The </w:t>
      </w:r>
      <w:r w:rsidR="00E64344" w:rsidRPr="00CA321F">
        <w:rPr>
          <w:color w:val="auto"/>
          <w:szCs w:val="24"/>
        </w:rPr>
        <w:t xml:space="preserve">commander’s statement </w:t>
      </w:r>
      <w:r w:rsidR="008F1C57" w:rsidRPr="00CA321F">
        <w:rPr>
          <w:color w:val="auto"/>
          <w:szCs w:val="24"/>
        </w:rPr>
        <w:t>indicated that the CI could only perform limited duties and she could</w:t>
      </w:r>
      <w:r w:rsidR="008F1C57">
        <w:rPr>
          <w:color w:val="auto"/>
          <w:szCs w:val="24"/>
        </w:rPr>
        <w:t xml:space="preserve"> not carry a weapon nor carry more than </w:t>
      </w:r>
      <w:r w:rsidR="00E64344">
        <w:rPr>
          <w:color w:val="auto"/>
          <w:szCs w:val="24"/>
        </w:rPr>
        <w:t>20</w:t>
      </w:r>
      <w:r w:rsidR="008F1C57">
        <w:rPr>
          <w:color w:val="auto"/>
          <w:szCs w:val="24"/>
        </w:rPr>
        <w:t xml:space="preserve"> pounds. </w:t>
      </w:r>
      <w:r w:rsidR="00B51E96">
        <w:rPr>
          <w:color w:val="auto"/>
          <w:szCs w:val="24"/>
        </w:rPr>
        <w:t xml:space="preserve"> The MEB examination </w:t>
      </w:r>
      <w:r w:rsidR="00076AEC">
        <w:rPr>
          <w:color w:val="auto"/>
          <w:szCs w:val="24"/>
        </w:rPr>
        <w:t>5</w:t>
      </w:r>
      <w:r w:rsidR="00983674" w:rsidRPr="00983674">
        <w:rPr>
          <w:color w:val="auto"/>
          <w:szCs w:val="24"/>
        </w:rPr>
        <w:t xml:space="preserve"> months prior to </w:t>
      </w:r>
      <w:r w:rsidR="00CA321F" w:rsidRPr="00983674">
        <w:rPr>
          <w:color w:val="auto"/>
          <w:szCs w:val="24"/>
        </w:rPr>
        <w:t>separation</w:t>
      </w:r>
      <w:r w:rsidR="00983674">
        <w:rPr>
          <w:color w:val="auto"/>
          <w:szCs w:val="24"/>
        </w:rPr>
        <w:t xml:space="preserve"> indicated ongoing complaints </w:t>
      </w:r>
      <w:r w:rsidR="00580BC0">
        <w:rPr>
          <w:color w:val="auto"/>
          <w:szCs w:val="24"/>
        </w:rPr>
        <w:t>of daily</w:t>
      </w:r>
      <w:r w:rsidR="00983674">
        <w:rPr>
          <w:color w:val="auto"/>
          <w:szCs w:val="24"/>
        </w:rPr>
        <w:t xml:space="preserve"> pain </w:t>
      </w:r>
      <w:r w:rsidR="008B23B9">
        <w:rPr>
          <w:color w:val="auto"/>
          <w:szCs w:val="24"/>
        </w:rPr>
        <w:t xml:space="preserve">with instability and </w:t>
      </w:r>
      <w:r w:rsidR="00983674">
        <w:rPr>
          <w:color w:val="auto"/>
          <w:szCs w:val="24"/>
        </w:rPr>
        <w:t xml:space="preserve">with flare-ups approximately </w:t>
      </w:r>
      <w:r w:rsidR="00580BC0">
        <w:rPr>
          <w:color w:val="auto"/>
          <w:szCs w:val="24"/>
        </w:rPr>
        <w:t>two</w:t>
      </w:r>
      <w:r w:rsidR="00983674">
        <w:rPr>
          <w:color w:val="auto"/>
          <w:szCs w:val="24"/>
        </w:rPr>
        <w:t xml:space="preserve"> to three </w:t>
      </w:r>
      <w:r w:rsidR="00580BC0">
        <w:rPr>
          <w:color w:val="auto"/>
          <w:szCs w:val="24"/>
        </w:rPr>
        <w:t>times</w:t>
      </w:r>
      <w:r w:rsidR="00983674">
        <w:rPr>
          <w:color w:val="auto"/>
          <w:szCs w:val="24"/>
        </w:rPr>
        <w:t xml:space="preserve"> a wee</w:t>
      </w:r>
      <w:r w:rsidR="003113F6">
        <w:rPr>
          <w:color w:val="auto"/>
          <w:szCs w:val="24"/>
        </w:rPr>
        <w:t xml:space="preserve">k which could last from </w:t>
      </w:r>
      <w:r w:rsidR="00076AEC">
        <w:rPr>
          <w:color w:val="auto"/>
          <w:szCs w:val="24"/>
        </w:rPr>
        <w:t>an</w:t>
      </w:r>
      <w:r w:rsidR="003113F6">
        <w:rPr>
          <w:color w:val="auto"/>
          <w:szCs w:val="24"/>
        </w:rPr>
        <w:t xml:space="preserve"> hour if the CI was</w:t>
      </w:r>
      <w:r w:rsidR="00983674">
        <w:rPr>
          <w:color w:val="auto"/>
          <w:szCs w:val="24"/>
        </w:rPr>
        <w:t xml:space="preserve"> able to lie down </w:t>
      </w:r>
      <w:r w:rsidR="00CA321F">
        <w:rPr>
          <w:color w:val="auto"/>
          <w:szCs w:val="24"/>
        </w:rPr>
        <w:t>or the</w:t>
      </w:r>
      <w:r w:rsidR="003113F6">
        <w:rPr>
          <w:color w:val="auto"/>
          <w:szCs w:val="24"/>
        </w:rPr>
        <w:t xml:space="preserve"> entire day if no rest was</w:t>
      </w:r>
      <w:r w:rsidR="00983674">
        <w:rPr>
          <w:color w:val="auto"/>
          <w:szCs w:val="24"/>
        </w:rPr>
        <w:t xml:space="preserve"> allowed.  The examiner speculated that during a flare-up, there was an additional impairment of 50%.  Precipitating factors were running, standing greater than 15 minutes, walking greater than one mile and squatting.  Pain relief included rest, icing, compress</w:t>
      </w:r>
      <w:r w:rsidR="00E64344">
        <w:rPr>
          <w:color w:val="auto"/>
          <w:szCs w:val="24"/>
        </w:rPr>
        <w:t>ion, elevation, narcotic (</w:t>
      </w:r>
      <w:proofErr w:type="spellStart"/>
      <w:r w:rsidR="00E64344">
        <w:rPr>
          <w:color w:val="auto"/>
          <w:szCs w:val="24"/>
        </w:rPr>
        <w:t>Vicodi</w:t>
      </w:r>
      <w:r w:rsidR="00983674">
        <w:rPr>
          <w:color w:val="auto"/>
          <w:szCs w:val="24"/>
        </w:rPr>
        <w:t>n</w:t>
      </w:r>
      <w:proofErr w:type="spellEnd"/>
      <w:r w:rsidR="00983674">
        <w:rPr>
          <w:color w:val="auto"/>
          <w:szCs w:val="24"/>
        </w:rPr>
        <w:t>) and non</w:t>
      </w:r>
      <w:r w:rsidR="00E64344">
        <w:rPr>
          <w:color w:val="auto"/>
          <w:szCs w:val="24"/>
        </w:rPr>
        <w:t>-</w:t>
      </w:r>
      <w:r w:rsidR="00983674">
        <w:rPr>
          <w:color w:val="auto"/>
          <w:szCs w:val="24"/>
        </w:rPr>
        <w:t>narcotic (Tylenol Arthritis) medications as well as continued use of the AFO.</w:t>
      </w:r>
      <w:r w:rsidR="008B23B9">
        <w:rPr>
          <w:color w:val="auto"/>
          <w:szCs w:val="24"/>
        </w:rPr>
        <w:t xml:space="preserve">  </w:t>
      </w:r>
    </w:p>
    <w:p w:rsidR="00463CC2" w:rsidRDefault="00463CC2" w:rsidP="009B4E48">
      <w:pPr>
        <w:jc w:val="both"/>
        <w:rPr>
          <w:color w:val="auto"/>
          <w:szCs w:val="24"/>
        </w:rPr>
      </w:pPr>
    </w:p>
    <w:p w:rsidR="00AB3C0D" w:rsidRPr="008B23B9" w:rsidRDefault="008519E7" w:rsidP="009B4E48">
      <w:pPr>
        <w:jc w:val="both"/>
        <w:rPr>
          <w:color w:val="auto"/>
          <w:szCs w:val="24"/>
        </w:rPr>
      </w:pPr>
      <w:r>
        <w:rPr>
          <w:color w:val="auto"/>
          <w:szCs w:val="24"/>
        </w:rPr>
        <w:t xml:space="preserve">The VA Compensation &amp; Pension (C&amp;P) examination </w:t>
      </w:r>
      <w:r w:rsidR="00076AEC">
        <w:rPr>
          <w:color w:val="auto"/>
          <w:szCs w:val="24"/>
        </w:rPr>
        <w:t>performed 5</w:t>
      </w:r>
      <w:r w:rsidRPr="008B23B9">
        <w:rPr>
          <w:color w:val="auto"/>
          <w:szCs w:val="24"/>
        </w:rPr>
        <w:t xml:space="preserve"> months </w:t>
      </w:r>
      <w:r w:rsidR="00076AEC">
        <w:rPr>
          <w:color w:val="auto"/>
          <w:szCs w:val="24"/>
        </w:rPr>
        <w:t>after</w:t>
      </w:r>
      <w:r w:rsidRPr="008B23B9">
        <w:rPr>
          <w:color w:val="auto"/>
          <w:szCs w:val="24"/>
        </w:rPr>
        <w:t xml:space="preserve"> separation</w:t>
      </w:r>
      <w:r>
        <w:rPr>
          <w:color w:val="auto"/>
          <w:szCs w:val="24"/>
        </w:rPr>
        <w:t xml:space="preserve"> noted complaints of right ankle pain and stiffness. </w:t>
      </w:r>
      <w:r w:rsidR="00463CC2">
        <w:rPr>
          <w:color w:val="auto"/>
          <w:szCs w:val="24"/>
        </w:rPr>
        <w:t xml:space="preserve"> </w:t>
      </w:r>
      <w:r>
        <w:rPr>
          <w:color w:val="auto"/>
          <w:szCs w:val="24"/>
        </w:rPr>
        <w:t xml:space="preserve">A repeat right ankle </w:t>
      </w:r>
      <w:r w:rsidR="00076AEC">
        <w:rPr>
          <w:color w:val="auto"/>
          <w:szCs w:val="24"/>
        </w:rPr>
        <w:t>X</w:t>
      </w:r>
      <w:r w:rsidR="00E64344">
        <w:rPr>
          <w:color w:val="auto"/>
          <w:szCs w:val="24"/>
        </w:rPr>
        <w:t>-ray</w:t>
      </w:r>
      <w:r>
        <w:rPr>
          <w:color w:val="auto"/>
          <w:szCs w:val="24"/>
        </w:rPr>
        <w:t xml:space="preserve"> was normal. </w:t>
      </w:r>
      <w:r w:rsidR="003113F6">
        <w:rPr>
          <w:color w:val="auto"/>
          <w:szCs w:val="24"/>
        </w:rPr>
        <w:t xml:space="preserve"> </w:t>
      </w:r>
      <w:r w:rsidR="00F16CE3">
        <w:rPr>
          <w:color w:val="auto"/>
          <w:szCs w:val="24"/>
        </w:rPr>
        <w:t>The examiner indicated some tenderness, guarding and mild laxity and opined that there was “remote right ankle sprain with chronic residual chronic strain, mild joint laxity and loss of motion”.</w:t>
      </w:r>
      <w:r w:rsidR="00463CC2">
        <w:rPr>
          <w:color w:val="auto"/>
          <w:szCs w:val="24"/>
        </w:rPr>
        <w:t xml:space="preserve">  </w:t>
      </w:r>
    </w:p>
    <w:p w:rsidR="00F16CE3" w:rsidRPr="00F64312" w:rsidRDefault="00F16CE3" w:rsidP="009B4E48">
      <w:pPr>
        <w:jc w:val="both"/>
        <w:rPr>
          <w:color w:val="auto"/>
          <w:szCs w:val="24"/>
        </w:rPr>
      </w:pPr>
    </w:p>
    <w:p w:rsidR="006A2EA0" w:rsidRPr="00380CD9" w:rsidRDefault="00F16CE3" w:rsidP="009B4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r w:rsidRPr="00F64312">
        <w:rPr>
          <w:rFonts w:cs="Times New Roman"/>
          <w:color w:val="auto"/>
        </w:rPr>
        <w:t xml:space="preserve">The Board directs attention to its rating recommendation based on the above evidence.  </w:t>
      </w:r>
      <w:r>
        <w:rPr>
          <w:rFonts w:cs="Times New Roman"/>
          <w:color w:val="auto"/>
        </w:rPr>
        <w:t>The PEB coded the</w:t>
      </w:r>
      <w:r w:rsidR="009B4E48">
        <w:rPr>
          <w:rFonts w:cs="Times New Roman"/>
          <w:color w:val="auto"/>
        </w:rPr>
        <w:t xml:space="preserve"> right ankle </w:t>
      </w:r>
      <w:r>
        <w:rPr>
          <w:rFonts w:cs="Times New Roman"/>
          <w:color w:val="auto"/>
        </w:rPr>
        <w:t xml:space="preserve">condition </w:t>
      </w:r>
      <w:r w:rsidR="00186351">
        <w:rPr>
          <w:rFonts w:cs="Times New Roman"/>
          <w:color w:val="auto"/>
        </w:rPr>
        <w:t>as</w:t>
      </w:r>
      <w:r w:rsidR="009B4E48">
        <w:rPr>
          <w:rFonts w:cs="Times New Roman"/>
          <w:color w:val="auto"/>
        </w:rPr>
        <w:t xml:space="preserve"> </w:t>
      </w:r>
      <w:r w:rsidR="00A909FA" w:rsidRPr="00A909FA">
        <w:rPr>
          <w:rFonts w:cs="Times New Roman"/>
          <w:color w:val="auto"/>
        </w:rPr>
        <w:t>5024</w:t>
      </w:r>
      <w:r w:rsidR="008519E7" w:rsidRPr="00A909FA">
        <w:rPr>
          <w:rFonts w:cs="Times New Roman"/>
          <w:color w:val="auto"/>
        </w:rPr>
        <w:t xml:space="preserve"> </w:t>
      </w:r>
      <w:r w:rsidR="00A909FA">
        <w:rPr>
          <w:rFonts w:cs="Times New Roman"/>
          <w:color w:val="auto"/>
        </w:rPr>
        <w:t>(</w:t>
      </w:r>
      <w:r w:rsidR="00B94DCF">
        <w:rPr>
          <w:rFonts w:cs="Times New Roman"/>
          <w:color w:val="auto"/>
        </w:rPr>
        <w:t xml:space="preserve">tenosynovitis) </w:t>
      </w:r>
      <w:r w:rsidR="008519E7">
        <w:rPr>
          <w:rFonts w:cs="Times New Roman"/>
          <w:color w:val="auto"/>
        </w:rPr>
        <w:t>rated</w:t>
      </w:r>
      <w:r>
        <w:rPr>
          <w:rFonts w:cs="Times New Roman"/>
          <w:color w:val="auto"/>
        </w:rPr>
        <w:t xml:space="preserve"> 10</w:t>
      </w:r>
      <w:r w:rsidRPr="00186351">
        <w:rPr>
          <w:rFonts w:asciiTheme="majorHAnsi" w:hAnsiTheme="majorHAnsi" w:cstheme="majorHAnsi"/>
          <w:color w:val="auto"/>
          <w:szCs w:val="24"/>
        </w:rPr>
        <w:t>%</w:t>
      </w:r>
      <w:r w:rsidR="00380CD9">
        <w:rPr>
          <w:rFonts w:asciiTheme="majorHAnsi" w:hAnsiTheme="majorHAnsi" w:cstheme="majorHAnsi"/>
          <w:color w:val="auto"/>
          <w:szCs w:val="24"/>
        </w:rPr>
        <w:t xml:space="preserve"> with </w:t>
      </w:r>
      <w:r w:rsidR="00380CD9" w:rsidRPr="00380CD9">
        <w:rPr>
          <w:rFonts w:asciiTheme="majorHAnsi" w:hAnsiTheme="majorHAnsi" w:cstheme="majorHAnsi"/>
          <w:color w:val="auto"/>
          <w:szCs w:val="24"/>
        </w:rPr>
        <w:t xml:space="preserve">application of </w:t>
      </w:r>
      <w:r w:rsidR="00380CD9" w:rsidRPr="00380CD9">
        <w:rPr>
          <w:color w:val="auto"/>
          <w:szCs w:val="24"/>
        </w:rPr>
        <w:t>§</w:t>
      </w:r>
      <w:r w:rsidR="008519E7" w:rsidRPr="00380CD9">
        <w:rPr>
          <w:color w:val="auto"/>
          <w:szCs w:val="24"/>
        </w:rPr>
        <w:t>4.59 Painful</w:t>
      </w:r>
      <w:r w:rsidR="00380CD9" w:rsidRPr="00380CD9">
        <w:rPr>
          <w:color w:val="auto"/>
          <w:szCs w:val="24"/>
        </w:rPr>
        <w:t xml:space="preserve"> motion, §4.10 </w:t>
      </w:r>
      <w:r w:rsidR="00B94DCF">
        <w:rPr>
          <w:color w:val="auto"/>
          <w:szCs w:val="24"/>
        </w:rPr>
        <w:t>(functional impairment)</w:t>
      </w:r>
      <w:r w:rsidR="00380CD9" w:rsidRPr="00380CD9">
        <w:rPr>
          <w:color w:val="auto"/>
          <w:szCs w:val="24"/>
        </w:rPr>
        <w:t xml:space="preserve"> and</w:t>
      </w:r>
      <w:r w:rsidR="00A909FA">
        <w:rPr>
          <w:color w:val="auto"/>
          <w:szCs w:val="24"/>
        </w:rPr>
        <w:t xml:space="preserve"> </w:t>
      </w:r>
      <w:r w:rsidR="00380CD9" w:rsidRPr="00380CD9">
        <w:rPr>
          <w:color w:val="auto"/>
          <w:szCs w:val="24"/>
        </w:rPr>
        <w:t>§</w:t>
      </w:r>
      <w:r w:rsidR="008519E7" w:rsidRPr="00380CD9">
        <w:rPr>
          <w:color w:val="auto"/>
          <w:szCs w:val="24"/>
        </w:rPr>
        <w:t xml:space="preserve">4.40 </w:t>
      </w:r>
      <w:r w:rsidR="00B94DCF">
        <w:rPr>
          <w:color w:val="auto"/>
          <w:szCs w:val="24"/>
        </w:rPr>
        <w:t>(f</w:t>
      </w:r>
      <w:r w:rsidR="008519E7" w:rsidRPr="00380CD9">
        <w:rPr>
          <w:color w:val="auto"/>
          <w:szCs w:val="24"/>
        </w:rPr>
        <w:t>unctional</w:t>
      </w:r>
      <w:r w:rsidR="00380CD9" w:rsidRPr="00380CD9">
        <w:rPr>
          <w:color w:val="auto"/>
          <w:szCs w:val="24"/>
        </w:rPr>
        <w:t xml:space="preserve"> loss</w:t>
      </w:r>
      <w:r w:rsidR="00B94DCF">
        <w:rPr>
          <w:color w:val="auto"/>
          <w:szCs w:val="24"/>
        </w:rPr>
        <w:t>)</w:t>
      </w:r>
      <w:r w:rsidR="00380CD9" w:rsidRPr="00380CD9">
        <w:rPr>
          <w:color w:val="auto"/>
          <w:szCs w:val="24"/>
        </w:rPr>
        <w:t>.</w:t>
      </w:r>
      <w:r w:rsidR="00380CD9">
        <w:rPr>
          <w:color w:val="auto"/>
          <w:szCs w:val="24"/>
        </w:rPr>
        <w:t xml:space="preserve">  </w:t>
      </w:r>
      <w:r w:rsidR="00186351" w:rsidRPr="00186351">
        <w:rPr>
          <w:rFonts w:asciiTheme="majorHAnsi" w:hAnsiTheme="majorHAnsi" w:cstheme="majorHAnsi"/>
          <w:color w:val="auto"/>
          <w:szCs w:val="24"/>
        </w:rPr>
        <w:t xml:space="preserve">The VA coded as 5271 </w:t>
      </w:r>
      <w:r w:rsidR="00B94DCF">
        <w:rPr>
          <w:rFonts w:asciiTheme="majorHAnsi" w:hAnsiTheme="majorHAnsi" w:cstheme="majorHAnsi"/>
          <w:color w:val="auto"/>
          <w:szCs w:val="24"/>
        </w:rPr>
        <w:t>(a</w:t>
      </w:r>
      <w:r w:rsidR="00186351" w:rsidRPr="00186351">
        <w:rPr>
          <w:rFonts w:asciiTheme="majorHAnsi" w:hAnsiTheme="majorHAnsi" w:cstheme="majorHAnsi"/>
          <w:color w:val="auto"/>
          <w:szCs w:val="24"/>
        </w:rPr>
        <w:t xml:space="preserve">nkle, </w:t>
      </w:r>
      <w:r w:rsidR="00A909FA">
        <w:rPr>
          <w:rFonts w:asciiTheme="majorHAnsi" w:hAnsiTheme="majorHAnsi" w:cstheme="majorHAnsi"/>
          <w:color w:val="auto"/>
          <w:szCs w:val="24"/>
        </w:rPr>
        <w:t xml:space="preserve">moderate </w:t>
      </w:r>
      <w:r w:rsidR="00186351" w:rsidRPr="00186351">
        <w:rPr>
          <w:rFonts w:asciiTheme="majorHAnsi" w:hAnsiTheme="majorHAnsi" w:cstheme="majorHAnsi"/>
          <w:color w:val="auto"/>
          <w:szCs w:val="24"/>
        </w:rPr>
        <w:t>limited motion</w:t>
      </w:r>
      <w:r w:rsidR="00B94DCF">
        <w:rPr>
          <w:rFonts w:asciiTheme="majorHAnsi" w:hAnsiTheme="majorHAnsi" w:cstheme="majorHAnsi"/>
          <w:color w:val="auto"/>
          <w:szCs w:val="24"/>
        </w:rPr>
        <w:t>)</w:t>
      </w:r>
      <w:r w:rsidR="00A909FA">
        <w:rPr>
          <w:rFonts w:asciiTheme="majorHAnsi" w:hAnsiTheme="majorHAnsi" w:cstheme="majorHAnsi"/>
          <w:color w:val="auto"/>
          <w:szCs w:val="24"/>
        </w:rPr>
        <w:t>,</w:t>
      </w:r>
      <w:r w:rsidR="00186351" w:rsidRPr="00186351">
        <w:rPr>
          <w:rFonts w:asciiTheme="majorHAnsi" w:hAnsiTheme="majorHAnsi" w:cstheme="majorHAnsi"/>
          <w:color w:val="auto"/>
          <w:szCs w:val="24"/>
        </w:rPr>
        <w:t xml:space="preserve"> rated </w:t>
      </w:r>
      <w:r w:rsidR="00A909FA">
        <w:rPr>
          <w:rFonts w:asciiTheme="majorHAnsi" w:hAnsiTheme="majorHAnsi" w:cstheme="majorHAnsi"/>
          <w:color w:val="auto"/>
          <w:szCs w:val="24"/>
        </w:rPr>
        <w:t xml:space="preserve">at </w:t>
      </w:r>
      <w:r w:rsidR="00186351" w:rsidRPr="00186351">
        <w:rPr>
          <w:rFonts w:asciiTheme="majorHAnsi" w:hAnsiTheme="majorHAnsi" w:cstheme="majorHAnsi"/>
          <w:color w:val="auto"/>
          <w:szCs w:val="24"/>
        </w:rPr>
        <w:t>10%</w:t>
      </w:r>
      <w:r w:rsidR="00186351">
        <w:rPr>
          <w:rFonts w:asciiTheme="majorHAnsi" w:hAnsiTheme="majorHAnsi" w:cstheme="majorHAnsi"/>
          <w:color w:val="auto"/>
          <w:szCs w:val="24"/>
        </w:rPr>
        <w:t>.</w:t>
      </w:r>
      <w:r w:rsidR="00432F4E">
        <w:rPr>
          <w:rFonts w:asciiTheme="majorHAnsi" w:hAnsiTheme="majorHAnsi" w:cstheme="majorHAnsi"/>
          <w:color w:val="auto"/>
          <w:szCs w:val="24"/>
        </w:rPr>
        <w:t xml:space="preserve">  </w:t>
      </w:r>
      <w:r w:rsidR="00463CC2">
        <w:rPr>
          <w:color w:val="auto"/>
          <w:szCs w:val="24"/>
        </w:rPr>
        <w:t>There is ample documentation of the right ankle pain in th</w:t>
      </w:r>
      <w:r w:rsidR="00B94DCF">
        <w:rPr>
          <w:color w:val="auto"/>
          <w:szCs w:val="24"/>
        </w:rPr>
        <w:t>e service treatment record</w:t>
      </w:r>
      <w:r w:rsidR="00463CC2">
        <w:rPr>
          <w:color w:val="auto"/>
          <w:szCs w:val="24"/>
        </w:rPr>
        <w:t xml:space="preserve">.  All exams in evidence support a 10% rating for the ankle condition.  </w:t>
      </w:r>
      <w:r w:rsidR="006A2EA0" w:rsidRPr="00F64312">
        <w:rPr>
          <w:rFonts w:eastAsia="Calibri" w:cs="Times New Roman"/>
          <w:color w:val="auto"/>
          <w:szCs w:val="24"/>
        </w:rPr>
        <w:t>After due deliberation, considering all of the evidence and mindful of VASRD §4.3 (reasonable doubt), the Board concluded that there was insufficient cause to recommend a change in the PEB adjudication for the</w:t>
      </w:r>
      <w:r w:rsidR="00082268">
        <w:rPr>
          <w:rFonts w:eastAsia="Calibri" w:cs="Times New Roman"/>
          <w:color w:val="auto"/>
          <w:szCs w:val="24"/>
        </w:rPr>
        <w:t xml:space="preserve"> </w:t>
      </w:r>
      <w:r w:rsidR="00B94DCF">
        <w:rPr>
          <w:rFonts w:eastAsia="Calibri" w:cs="Times New Roman"/>
          <w:color w:val="auto"/>
          <w:szCs w:val="24"/>
        </w:rPr>
        <w:t>right ankle</w:t>
      </w:r>
      <w:r w:rsidR="00B94DCF" w:rsidRPr="00F64312">
        <w:rPr>
          <w:rFonts w:eastAsia="Calibri" w:cs="Times New Roman"/>
          <w:color w:val="auto"/>
          <w:szCs w:val="24"/>
        </w:rPr>
        <w:t xml:space="preserve"> </w:t>
      </w:r>
      <w:r w:rsidR="00B94DCF">
        <w:rPr>
          <w:rFonts w:eastAsia="Calibri" w:cs="Times New Roman"/>
          <w:color w:val="auto"/>
          <w:szCs w:val="24"/>
        </w:rPr>
        <w:t>tenosynovitis</w:t>
      </w:r>
      <w:r w:rsidR="00B94DCF" w:rsidRPr="00F64312">
        <w:rPr>
          <w:rFonts w:eastAsia="Calibri" w:cs="Times New Roman"/>
          <w:color w:val="auto"/>
          <w:szCs w:val="24"/>
        </w:rPr>
        <w:t xml:space="preserve"> condition.  </w:t>
      </w:r>
    </w:p>
    <w:p w:rsidR="00F16CE3" w:rsidRDefault="00F16CE3" w:rsidP="009B4E48">
      <w:pPr>
        <w:tabs>
          <w:tab w:val="left" w:pos="288"/>
          <w:tab w:val="left" w:pos="4752"/>
        </w:tabs>
        <w:jc w:val="both"/>
        <w:rPr>
          <w:rFonts w:asciiTheme="majorHAnsi" w:hAnsiTheme="majorHAnsi" w:cstheme="majorHAnsi"/>
          <w:color w:val="auto"/>
          <w:szCs w:val="24"/>
        </w:rPr>
      </w:pPr>
    </w:p>
    <w:p w:rsidR="00947174" w:rsidRPr="00CA321F" w:rsidRDefault="00947174" w:rsidP="009B4E48">
      <w:pPr>
        <w:jc w:val="both"/>
        <w:rPr>
          <w:rFonts w:eastAsia="Calibri" w:cs="Times New Roman"/>
          <w:color w:val="auto"/>
          <w:szCs w:val="24"/>
        </w:rPr>
      </w:pPr>
      <w:r w:rsidRPr="00CA321F">
        <w:rPr>
          <w:rFonts w:eastAsia="HiddenHorzOCR"/>
          <w:color w:val="auto"/>
          <w:u w:val="single"/>
        </w:rPr>
        <w:t>Contended PEB Conditions</w:t>
      </w:r>
      <w:r w:rsidRPr="00CA321F">
        <w:rPr>
          <w:rFonts w:eastAsia="HiddenHorzOCR"/>
          <w:color w:val="auto"/>
        </w:rPr>
        <w:t xml:space="preserve">.  </w:t>
      </w:r>
      <w:r w:rsidRPr="00CA321F">
        <w:rPr>
          <w:rFonts w:eastAsia="Calibri" w:cs="Times New Roman"/>
          <w:color w:val="auto"/>
          <w:szCs w:val="24"/>
        </w:rPr>
        <w:t>The contended conditions adjudicated as not unfitting by the PEB were</w:t>
      </w:r>
      <w:r w:rsidRPr="00CA321F">
        <w:rPr>
          <w:color w:val="auto"/>
          <w:szCs w:val="24"/>
        </w:rPr>
        <w:t xml:space="preserve"> </w:t>
      </w:r>
      <w:r w:rsidR="00B94DCF" w:rsidRPr="00CA321F">
        <w:rPr>
          <w:color w:val="auto"/>
          <w:szCs w:val="24"/>
        </w:rPr>
        <w:t xml:space="preserve">back pain due to </w:t>
      </w:r>
      <w:proofErr w:type="spellStart"/>
      <w:r w:rsidR="00B94DCF" w:rsidRPr="00CA321F">
        <w:rPr>
          <w:color w:val="auto"/>
          <w:szCs w:val="24"/>
        </w:rPr>
        <w:t>thoracolumbar</w:t>
      </w:r>
      <w:proofErr w:type="spellEnd"/>
      <w:r w:rsidR="00B94DCF" w:rsidRPr="00CA321F">
        <w:rPr>
          <w:color w:val="auto"/>
          <w:szCs w:val="24"/>
        </w:rPr>
        <w:t xml:space="preserve"> </w:t>
      </w:r>
      <w:proofErr w:type="spellStart"/>
      <w:r w:rsidR="00B94DCF" w:rsidRPr="00CA321F">
        <w:rPr>
          <w:color w:val="auto"/>
          <w:szCs w:val="24"/>
        </w:rPr>
        <w:t>dextroscoliosis</w:t>
      </w:r>
      <w:proofErr w:type="spellEnd"/>
      <w:r w:rsidR="00B94DCF" w:rsidRPr="00CA321F">
        <w:rPr>
          <w:color w:val="auto"/>
          <w:szCs w:val="24"/>
        </w:rPr>
        <w:t>, irritable bowel syndrome</w:t>
      </w:r>
      <w:r w:rsidR="00B94DCF" w:rsidRPr="00CA321F">
        <w:rPr>
          <w:rFonts w:eastAsia="Calibri" w:cs="Times New Roman"/>
          <w:color w:val="auto"/>
          <w:szCs w:val="24"/>
        </w:rPr>
        <w:t xml:space="preserve"> and mild </w:t>
      </w:r>
      <w:proofErr w:type="spellStart"/>
      <w:r w:rsidR="00B94DCF" w:rsidRPr="00CA321F">
        <w:rPr>
          <w:rFonts w:eastAsia="Calibri" w:cs="Times New Roman"/>
          <w:color w:val="auto"/>
          <w:szCs w:val="24"/>
        </w:rPr>
        <w:t>gastroparesis</w:t>
      </w:r>
      <w:proofErr w:type="spellEnd"/>
      <w:r w:rsidR="00B94DCF" w:rsidRPr="00CA321F">
        <w:rPr>
          <w:rFonts w:eastAsia="Calibri" w:cs="Times New Roman"/>
          <w:color w:val="auto"/>
          <w:szCs w:val="24"/>
        </w:rPr>
        <w:t xml:space="preserve">.  </w:t>
      </w:r>
      <w:r w:rsidRPr="00CA321F">
        <w:rPr>
          <w:rFonts w:eastAsia="Calibri" w:cs="Times New Roman"/>
          <w:color w:val="auto"/>
          <w:szCs w:val="24"/>
        </w:rPr>
        <w:t xml:space="preserve">The Board’s first charge with respect to these conditions is an assessment of the appropriateness of the PEB’s fitness adjudications.  The Board’s threshold for countering fitness determinations </w:t>
      </w:r>
      <w:bookmarkStart w:id="0" w:name="_GoBack"/>
      <w:bookmarkEnd w:id="0"/>
      <w:r w:rsidRPr="00CA321F">
        <w:rPr>
          <w:rFonts w:eastAsia="Calibri" w:cs="Times New Roman"/>
          <w:color w:val="auto"/>
          <w:szCs w:val="24"/>
        </w:rPr>
        <w:t xml:space="preserve">is higher than the VASRD §4.3 (reasonable doubt) standard used for its rating recommendations, but remains adherent to the DoDI 6040.44 “fair and equitable” standard.  </w:t>
      </w:r>
    </w:p>
    <w:p w:rsidR="00082268" w:rsidRPr="00CA321F" w:rsidRDefault="00082268" w:rsidP="009B4E48">
      <w:pPr>
        <w:jc w:val="both"/>
        <w:rPr>
          <w:rFonts w:asciiTheme="majorHAnsi" w:hAnsiTheme="majorHAnsi" w:cstheme="majorHAnsi"/>
          <w:color w:val="auto"/>
          <w:szCs w:val="24"/>
        </w:rPr>
      </w:pPr>
    </w:p>
    <w:p w:rsidR="00955A6C" w:rsidRPr="00CA321F" w:rsidRDefault="00F43EAA" w:rsidP="009B4E48">
      <w:pPr>
        <w:jc w:val="both"/>
        <w:rPr>
          <w:color w:val="auto"/>
          <w:szCs w:val="24"/>
        </w:rPr>
      </w:pPr>
      <w:r w:rsidRPr="00CA321F">
        <w:rPr>
          <w:color w:val="auto"/>
          <w:szCs w:val="24"/>
          <w:u w:val="single"/>
        </w:rPr>
        <w:t xml:space="preserve">Back </w:t>
      </w:r>
      <w:r w:rsidR="00947174" w:rsidRPr="00CA321F">
        <w:rPr>
          <w:color w:val="auto"/>
          <w:szCs w:val="24"/>
          <w:u w:val="single"/>
        </w:rPr>
        <w:t>Condition</w:t>
      </w:r>
      <w:r w:rsidRPr="00CA321F">
        <w:rPr>
          <w:color w:val="auto"/>
          <w:szCs w:val="24"/>
        </w:rPr>
        <w:t xml:space="preserve">: </w:t>
      </w:r>
      <w:r w:rsidR="003113F6" w:rsidRPr="00CA321F">
        <w:rPr>
          <w:color w:val="auto"/>
          <w:szCs w:val="24"/>
        </w:rPr>
        <w:t xml:space="preserve"> </w:t>
      </w:r>
      <w:r w:rsidR="00955A6C" w:rsidRPr="00CA321F">
        <w:rPr>
          <w:color w:val="auto"/>
          <w:szCs w:val="24"/>
        </w:rPr>
        <w:t xml:space="preserve">The PEB found the back condition to be not unfitting citing for the back and other non-contended MEB conditions:  “… not listed on the </w:t>
      </w:r>
      <w:r w:rsidR="00B94DCF" w:rsidRPr="00CA321F">
        <w:rPr>
          <w:color w:val="auto"/>
          <w:szCs w:val="24"/>
        </w:rPr>
        <w:t xml:space="preserve">physical profile </w:t>
      </w:r>
      <w:r w:rsidR="00955A6C" w:rsidRPr="00CA321F">
        <w:rPr>
          <w:color w:val="auto"/>
          <w:szCs w:val="24"/>
        </w:rPr>
        <w:t xml:space="preserve">as limiting any of </w:t>
      </w:r>
      <w:r w:rsidR="00B94DCF" w:rsidRPr="00CA321F">
        <w:rPr>
          <w:color w:val="auto"/>
          <w:szCs w:val="24"/>
        </w:rPr>
        <w:t>the soldie</w:t>
      </w:r>
      <w:r w:rsidR="00B94DCF">
        <w:rPr>
          <w:color w:val="auto"/>
          <w:szCs w:val="24"/>
        </w:rPr>
        <w:t>r's functional activities, the c</w:t>
      </w:r>
      <w:r w:rsidR="00B94DCF" w:rsidRPr="00CA321F">
        <w:rPr>
          <w:color w:val="auto"/>
          <w:szCs w:val="24"/>
        </w:rPr>
        <w:t xml:space="preserve">ommander does not consider conditions to hinder soldier's performance and the case file contains no evidence that these diagnoses independently, or combined, render the soldier unfit for assigned duties.”  </w:t>
      </w:r>
    </w:p>
    <w:p w:rsidR="00955A6C" w:rsidRPr="00CA321F" w:rsidRDefault="00955A6C" w:rsidP="009B4E48">
      <w:pPr>
        <w:jc w:val="both"/>
        <w:rPr>
          <w:color w:val="auto"/>
          <w:szCs w:val="24"/>
        </w:rPr>
      </w:pPr>
    </w:p>
    <w:p w:rsidR="00466F6C" w:rsidRPr="00CA321F" w:rsidRDefault="00955A6C" w:rsidP="00466F6C">
      <w:pPr>
        <w:jc w:val="both"/>
        <w:rPr>
          <w:color w:val="auto"/>
          <w:szCs w:val="24"/>
        </w:rPr>
      </w:pPr>
      <w:r w:rsidRPr="00CA321F">
        <w:rPr>
          <w:rFonts w:eastAsia="Calibri" w:cs="Times New Roman"/>
          <w:color w:val="auto"/>
          <w:szCs w:val="24"/>
        </w:rPr>
        <w:t>The CI had complaints of low back p</w:t>
      </w:r>
      <w:r w:rsidR="00B94DCF">
        <w:rPr>
          <w:rFonts w:eastAsia="Calibri" w:cs="Times New Roman"/>
          <w:color w:val="auto"/>
          <w:szCs w:val="24"/>
        </w:rPr>
        <w:t>ain with a poor response to non-steroidal anti-</w:t>
      </w:r>
      <w:r w:rsidRPr="00CA321F">
        <w:rPr>
          <w:rFonts w:eastAsia="Calibri" w:cs="Times New Roman"/>
          <w:color w:val="auto"/>
          <w:szCs w:val="24"/>
        </w:rPr>
        <w:t>i</w:t>
      </w:r>
      <w:r w:rsidR="00B94DCF">
        <w:rPr>
          <w:rFonts w:eastAsia="Calibri" w:cs="Times New Roman"/>
          <w:color w:val="auto"/>
          <w:szCs w:val="24"/>
        </w:rPr>
        <w:t>nflammatory medications,</w:t>
      </w:r>
      <w:r w:rsidRPr="00CA321F">
        <w:rPr>
          <w:rFonts w:eastAsia="Calibri" w:cs="Times New Roman"/>
          <w:color w:val="auto"/>
          <w:szCs w:val="24"/>
        </w:rPr>
        <w:t xml:space="preserve"> tenderness on palpation and an abnormal spine curvature.  She attended back classes to assist with her back pain management.  </w:t>
      </w:r>
      <w:r w:rsidRPr="00CA321F">
        <w:rPr>
          <w:color w:val="auto"/>
          <w:szCs w:val="24"/>
        </w:rPr>
        <w:t>The MEB examination indicated</w:t>
      </w:r>
      <w:r w:rsidRPr="00CA321F">
        <w:rPr>
          <w:rFonts w:asciiTheme="majorHAnsi" w:eastAsia="Calibri" w:hAnsiTheme="majorHAnsi" w:cstheme="majorHAnsi"/>
          <w:color w:val="auto"/>
          <w:szCs w:val="24"/>
        </w:rPr>
        <w:t xml:space="preserve"> increased tone of the paravertebral muscles;</w:t>
      </w:r>
      <w:r w:rsidRPr="00CA321F">
        <w:rPr>
          <w:rFonts w:eastAsia="Calibri" w:cs="Times New Roman"/>
          <w:color w:val="auto"/>
          <w:szCs w:val="24"/>
        </w:rPr>
        <w:t xml:space="preserve"> </w:t>
      </w:r>
      <w:r w:rsidRPr="00CA321F">
        <w:rPr>
          <w:rFonts w:asciiTheme="majorHAnsi" w:eastAsia="Calibri" w:hAnsiTheme="majorHAnsi" w:cstheme="majorHAnsi"/>
          <w:color w:val="auto"/>
          <w:szCs w:val="24"/>
        </w:rPr>
        <w:t>tenderness to strong palpation C2-S1; heel walking/toe walking and requiring the stopping of the test midway due to pain.</w:t>
      </w:r>
      <w:r w:rsidRPr="00CA321F">
        <w:rPr>
          <w:color w:val="auto"/>
          <w:szCs w:val="24"/>
        </w:rPr>
        <w:t xml:space="preserve"> </w:t>
      </w:r>
      <w:r w:rsidR="00A909FA" w:rsidRPr="00CA321F">
        <w:rPr>
          <w:color w:val="auto"/>
          <w:szCs w:val="24"/>
        </w:rPr>
        <w:t xml:space="preserve"> </w:t>
      </w:r>
      <w:r w:rsidR="00082268" w:rsidRPr="00CA321F">
        <w:rPr>
          <w:color w:val="000000"/>
        </w:rPr>
        <w:t xml:space="preserve">All </w:t>
      </w:r>
      <w:r w:rsidR="00B94DCF">
        <w:rPr>
          <w:color w:val="000000"/>
        </w:rPr>
        <w:t>narrative summary (</w:t>
      </w:r>
      <w:r w:rsidR="00082268" w:rsidRPr="00CA321F">
        <w:rPr>
          <w:color w:val="000000"/>
        </w:rPr>
        <w:t>NARSUM</w:t>
      </w:r>
      <w:r w:rsidR="00B94DCF">
        <w:rPr>
          <w:color w:val="000000"/>
        </w:rPr>
        <w:t>)</w:t>
      </w:r>
      <w:r w:rsidR="00082268" w:rsidRPr="00CA321F">
        <w:rPr>
          <w:color w:val="000000"/>
        </w:rPr>
        <w:t xml:space="preserve"> limitations were referable to running, twisting</w:t>
      </w:r>
      <w:r w:rsidR="00A909FA" w:rsidRPr="00CA321F">
        <w:rPr>
          <w:color w:val="000000"/>
        </w:rPr>
        <w:t xml:space="preserve"> or carrying</w:t>
      </w:r>
      <w:r w:rsidR="009B4E48" w:rsidRPr="00CA321F">
        <w:rPr>
          <w:color w:val="000000"/>
        </w:rPr>
        <w:t>.</w:t>
      </w:r>
      <w:r w:rsidRPr="00CA321F">
        <w:rPr>
          <w:color w:val="auto"/>
          <w:szCs w:val="24"/>
        </w:rPr>
        <w:t xml:space="preserve"> </w:t>
      </w:r>
      <w:r w:rsidR="00A909FA" w:rsidRPr="00CA321F">
        <w:rPr>
          <w:color w:val="auto"/>
          <w:szCs w:val="24"/>
        </w:rPr>
        <w:t xml:space="preserve"> The profile for the ankle condition could have provided shelter for the limitations caused by the back condition, and the commander’s statement did not list any specific medical conditions, but noted the profile restrictions of </w:t>
      </w:r>
      <w:r w:rsidR="00A909FA" w:rsidRPr="00CA321F">
        <w:rPr>
          <w:color w:val="000000"/>
        </w:rPr>
        <w:t>running, twisting or carrying</w:t>
      </w:r>
      <w:r w:rsidR="00A909FA" w:rsidRPr="00CA321F">
        <w:rPr>
          <w:color w:val="auto"/>
          <w:szCs w:val="24"/>
        </w:rPr>
        <w:t xml:space="preserve">.  </w:t>
      </w:r>
      <w:r w:rsidR="00466F6C" w:rsidRPr="00CA321F">
        <w:rPr>
          <w:rFonts w:eastAsia="Calibri" w:cs="Times New Roman"/>
          <w:color w:val="auto"/>
          <w:szCs w:val="24"/>
        </w:rPr>
        <w:t xml:space="preserve">The </w:t>
      </w:r>
      <w:r w:rsidR="00466F6C" w:rsidRPr="00CA321F">
        <w:rPr>
          <w:color w:val="auto"/>
          <w:szCs w:val="24"/>
        </w:rPr>
        <w:t xml:space="preserve">VA C&amp;P examination noted ongoing complaints of low back pain, mild scoliosis pain on </w:t>
      </w:r>
      <w:r w:rsidR="00E64344">
        <w:rPr>
          <w:color w:val="auto"/>
          <w:szCs w:val="24"/>
        </w:rPr>
        <w:t>ROM</w:t>
      </w:r>
      <w:r w:rsidR="00466F6C" w:rsidRPr="00CA321F">
        <w:rPr>
          <w:color w:val="auto"/>
          <w:szCs w:val="24"/>
        </w:rPr>
        <w:t xml:space="preserve"> testing with loss of 5</w:t>
      </w:r>
      <w:r w:rsidR="00076AEC">
        <w:rPr>
          <w:color w:val="auto"/>
          <w:szCs w:val="24"/>
        </w:rPr>
        <w:t xml:space="preserve"> degrees</w:t>
      </w:r>
      <w:r w:rsidR="00466F6C" w:rsidRPr="00CA321F">
        <w:rPr>
          <w:color w:val="auto"/>
          <w:szCs w:val="24"/>
        </w:rPr>
        <w:t xml:space="preserve"> out of 240 degrees ROM and repetitive motion along with mild scoliosis on examination</w:t>
      </w:r>
      <w:r w:rsidR="00466F6C" w:rsidRPr="00732B13">
        <w:rPr>
          <w:color w:val="auto"/>
          <w:szCs w:val="24"/>
        </w:rPr>
        <w:t>.</w:t>
      </w:r>
      <w:r w:rsidR="00466F6C">
        <w:rPr>
          <w:color w:val="auto"/>
          <w:szCs w:val="24"/>
        </w:rPr>
        <w:t xml:space="preserve">  </w:t>
      </w:r>
    </w:p>
    <w:p w:rsidR="00A909FA" w:rsidRPr="00CA321F" w:rsidRDefault="00A909FA" w:rsidP="00A909FA">
      <w:pPr>
        <w:tabs>
          <w:tab w:val="left" w:pos="288"/>
          <w:tab w:val="left" w:pos="4752"/>
        </w:tabs>
        <w:jc w:val="both"/>
        <w:rPr>
          <w:color w:val="auto"/>
          <w:szCs w:val="24"/>
        </w:rPr>
      </w:pPr>
    </w:p>
    <w:p w:rsidR="00955A6C" w:rsidRDefault="00A909FA" w:rsidP="00466F6C">
      <w:pPr>
        <w:tabs>
          <w:tab w:val="left" w:pos="288"/>
          <w:tab w:val="left" w:pos="4752"/>
        </w:tabs>
        <w:jc w:val="both"/>
        <w:rPr>
          <w:color w:val="auto"/>
          <w:szCs w:val="24"/>
        </w:rPr>
      </w:pPr>
      <w:r w:rsidRPr="00CA321F">
        <w:rPr>
          <w:color w:val="auto"/>
          <w:szCs w:val="24"/>
        </w:rPr>
        <w:lastRenderedPageBreak/>
        <w:t xml:space="preserve">The Board considered if there were sufficient evidence to decouple the duty-limiting lower extremity limitations from those </w:t>
      </w:r>
      <w:r w:rsidR="00B55FED" w:rsidRPr="00466F6C">
        <w:rPr>
          <w:color w:val="auto"/>
          <w:szCs w:val="24"/>
        </w:rPr>
        <w:t xml:space="preserve">similar and overlapping duty restrictions reasonably attributable to </w:t>
      </w:r>
      <w:r w:rsidRPr="00466F6C">
        <w:rPr>
          <w:color w:val="auto"/>
          <w:szCs w:val="24"/>
        </w:rPr>
        <w:t xml:space="preserve">the CI’s back condition.  </w:t>
      </w:r>
      <w:r w:rsidR="00B55FED" w:rsidRPr="00466F6C">
        <w:rPr>
          <w:rFonts w:eastAsia="Calibri" w:cs="Times New Roman"/>
          <w:color w:val="auto"/>
          <w:szCs w:val="24"/>
        </w:rPr>
        <w:t>After due deliberation in consideration of the preponderance of the evidence, the Board concluded that there was</w:t>
      </w:r>
      <w:r w:rsidR="00CA321F" w:rsidRPr="00466F6C">
        <w:rPr>
          <w:rFonts w:eastAsia="Calibri" w:cs="Times New Roman"/>
          <w:color w:val="auto"/>
          <w:szCs w:val="24"/>
        </w:rPr>
        <w:t xml:space="preserve"> insufficient cause to recommend a change in the PEB fitness determination for the </w:t>
      </w:r>
      <w:r w:rsidR="00466F6C" w:rsidRPr="00466F6C">
        <w:rPr>
          <w:rFonts w:eastAsia="Calibri" w:cs="Times New Roman"/>
          <w:color w:val="auto"/>
          <w:szCs w:val="24"/>
        </w:rPr>
        <w:t>back condition</w:t>
      </w:r>
      <w:r w:rsidR="00CA321F" w:rsidRPr="00466F6C">
        <w:rPr>
          <w:rFonts w:eastAsia="Calibri" w:cs="Times New Roman"/>
          <w:color w:val="auto"/>
          <w:szCs w:val="24"/>
        </w:rPr>
        <w:t>; and, therefore, no additional disability rating can be recommended.</w:t>
      </w:r>
      <w:r w:rsidR="00CA321F">
        <w:rPr>
          <w:rFonts w:eastAsia="Calibri" w:cs="Times New Roman"/>
          <w:color w:val="auto"/>
          <w:szCs w:val="24"/>
        </w:rPr>
        <w:t xml:space="preserve">  </w:t>
      </w:r>
    </w:p>
    <w:p w:rsidR="003863E9" w:rsidRPr="00CA321F" w:rsidRDefault="00947174" w:rsidP="009B4E48">
      <w:pPr>
        <w:jc w:val="both"/>
        <w:rPr>
          <w:rFonts w:eastAsia="Calibri" w:cs="Times New Roman"/>
          <w:color w:val="auto"/>
          <w:szCs w:val="24"/>
        </w:rPr>
      </w:pPr>
      <w:r w:rsidRPr="00CA321F">
        <w:rPr>
          <w:rFonts w:eastAsia="Calibri" w:cs="Times New Roman"/>
          <w:color w:val="auto"/>
          <w:szCs w:val="24"/>
          <w:u w:val="single"/>
        </w:rPr>
        <w:t>Stomach conditions (</w:t>
      </w:r>
      <w:r w:rsidRPr="00CA321F">
        <w:rPr>
          <w:color w:val="auto"/>
          <w:szCs w:val="24"/>
          <w:u w:val="single"/>
        </w:rPr>
        <w:t>IBS</w:t>
      </w:r>
      <w:r w:rsidRPr="00CA321F">
        <w:rPr>
          <w:rFonts w:eastAsia="Calibri" w:cs="Times New Roman"/>
          <w:color w:val="auto"/>
          <w:szCs w:val="24"/>
          <w:u w:val="single"/>
        </w:rPr>
        <w:t xml:space="preserve"> and Mild Gastroparesis)</w:t>
      </w:r>
      <w:r w:rsidRPr="00CA321F">
        <w:rPr>
          <w:rFonts w:eastAsia="Calibri" w:cs="Times New Roman"/>
          <w:color w:val="auto"/>
          <w:szCs w:val="24"/>
        </w:rPr>
        <w:t xml:space="preserve">.  Abdominal pain was </w:t>
      </w:r>
      <w:r w:rsidR="008519E7" w:rsidRPr="00CA321F">
        <w:rPr>
          <w:color w:val="000000"/>
        </w:rPr>
        <w:t xml:space="preserve">profiled </w:t>
      </w:r>
      <w:r w:rsidR="00E64344">
        <w:rPr>
          <w:color w:val="000000"/>
        </w:rPr>
        <w:t>as P2.  The PEB stated:  “c</w:t>
      </w:r>
      <w:r w:rsidRPr="00CA321F">
        <w:rPr>
          <w:color w:val="000000"/>
        </w:rPr>
        <w:t>onditions listed as medical board diagnoses #2, 10 (IBS and</w:t>
      </w:r>
      <w:r w:rsidR="00E64344" w:rsidRPr="00CA321F">
        <w:rPr>
          <w:color w:val="000000"/>
        </w:rPr>
        <w:t xml:space="preserve"> mild </w:t>
      </w:r>
      <w:proofErr w:type="spellStart"/>
      <w:r w:rsidR="00E64344" w:rsidRPr="00CA321F">
        <w:rPr>
          <w:color w:val="000000"/>
        </w:rPr>
        <w:t>gastroparesis</w:t>
      </w:r>
      <w:proofErr w:type="spellEnd"/>
      <w:r w:rsidRPr="00CA321F">
        <w:rPr>
          <w:color w:val="000000"/>
        </w:rPr>
        <w:t>), were determined to meet retention standards by the MTF</w:t>
      </w:r>
      <w:r w:rsidR="00E64344">
        <w:rPr>
          <w:color w:val="000000"/>
        </w:rPr>
        <w:t xml:space="preserve"> (military treatment facility)</w:t>
      </w:r>
      <w:r w:rsidRPr="00CA321F">
        <w:rPr>
          <w:color w:val="000000"/>
        </w:rPr>
        <w:t xml:space="preserve">. </w:t>
      </w:r>
      <w:r w:rsidR="00E64344">
        <w:rPr>
          <w:color w:val="000000"/>
        </w:rPr>
        <w:t xml:space="preserve"> </w:t>
      </w:r>
      <w:r w:rsidRPr="00CA321F">
        <w:rPr>
          <w:color w:val="000000"/>
        </w:rPr>
        <w:t xml:space="preserve">Further consideration by the PEB found the conditions to be not unfitting and therefore not ratable as all meet medical retention standards, are not commented upon by the </w:t>
      </w:r>
      <w:r w:rsidR="00E64344" w:rsidRPr="00CA321F">
        <w:rPr>
          <w:color w:val="000000"/>
        </w:rPr>
        <w:t xml:space="preserve">commander as hindering the soldier's performance, and the case file contains no evidence </w:t>
      </w:r>
      <w:r w:rsidRPr="00CA321F">
        <w:rPr>
          <w:color w:val="000000"/>
        </w:rPr>
        <w:t>that these diagnoses independ</w:t>
      </w:r>
      <w:r w:rsidR="00E64344">
        <w:rPr>
          <w:color w:val="000000"/>
        </w:rPr>
        <w:t>ently, or combined, render the s</w:t>
      </w:r>
      <w:r w:rsidRPr="00CA321F">
        <w:rPr>
          <w:color w:val="000000"/>
        </w:rPr>
        <w:t xml:space="preserve">oldier unfit for assigned duties.”  </w:t>
      </w:r>
      <w:r w:rsidR="00515024" w:rsidRPr="00CA321F">
        <w:rPr>
          <w:color w:val="000000"/>
        </w:rPr>
        <w:t xml:space="preserve">The MEB response to the CI’s appeal considered the IBS and mild gastroparesis as a combined abdominal condition and noted an essentially normal GI </w:t>
      </w:r>
      <w:r w:rsidR="00E64344">
        <w:rPr>
          <w:color w:val="000000"/>
        </w:rPr>
        <w:t xml:space="preserve">(gastrointestinal) </w:t>
      </w:r>
      <w:r w:rsidR="00515024" w:rsidRPr="00CA321F">
        <w:rPr>
          <w:color w:val="000000"/>
        </w:rPr>
        <w:t xml:space="preserve">work up without significant duty limitations or re-evaluations despite increased subjective symptoms.  Both conditions </w:t>
      </w:r>
      <w:r w:rsidR="003863E9" w:rsidRPr="00CA321F">
        <w:rPr>
          <w:color w:val="000000"/>
        </w:rPr>
        <w:t xml:space="preserve">were reviewed by the </w:t>
      </w:r>
      <w:r w:rsidR="00E64344" w:rsidRPr="00CA321F">
        <w:rPr>
          <w:color w:val="000000"/>
        </w:rPr>
        <w:t xml:space="preserve">action officer </w:t>
      </w:r>
      <w:r w:rsidR="003863E9" w:rsidRPr="00CA321F">
        <w:rPr>
          <w:color w:val="000000"/>
        </w:rPr>
        <w:t xml:space="preserve">and considered by the Board.  </w:t>
      </w:r>
      <w:r w:rsidR="00B228C7" w:rsidRPr="00CA321F">
        <w:rPr>
          <w:color w:val="000000"/>
        </w:rPr>
        <w:t>All NARSUM limitations were referable to running</w:t>
      </w:r>
      <w:r w:rsidR="00E64344">
        <w:rPr>
          <w:color w:val="000000"/>
        </w:rPr>
        <w:t>/</w:t>
      </w:r>
      <w:r w:rsidR="00B228C7" w:rsidRPr="00CA321F">
        <w:rPr>
          <w:color w:val="000000"/>
        </w:rPr>
        <w:t xml:space="preserve">twisting.  </w:t>
      </w:r>
      <w:r w:rsidR="003863E9" w:rsidRPr="00CA321F">
        <w:rPr>
          <w:color w:val="000000"/>
        </w:rPr>
        <w:t xml:space="preserve">There was no indication from the record that any of these </w:t>
      </w:r>
      <w:r w:rsidR="00B228C7" w:rsidRPr="00CA321F">
        <w:rPr>
          <w:color w:val="000000"/>
        </w:rPr>
        <w:t xml:space="preserve">abdominal </w:t>
      </w:r>
      <w:r w:rsidR="003863E9" w:rsidRPr="00CA321F">
        <w:rPr>
          <w:color w:val="000000"/>
        </w:rPr>
        <w:t xml:space="preserve">conditions significantly interfered with satisfactory duty performance.  </w:t>
      </w:r>
      <w:r w:rsidR="003863E9" w:rsidRPr="00CA321F">
        <w:rPr>
          <w:rFonts w:eastAsia="Calibri" w:cs="Times New Roman"/>
          <w:color w:val="auto"/>
          <w:szCs w:val="24"/>
        </w:rPr>
        <w:t>After due deliberation in consideration of the preponderance of the evidence, the Board concluded that there was insufficient cause to recommend a change in the PEB fitness determination for</w:t>
      </w:r>
      <w:r w:rsidR="00CA500E" w:rsidRPr="00CA321F">
        <w:rPr>
          <w:rFonts w:eastAsia="Calibri" w:cs="Times New Roman"/>
          <w:color w:val="auto"/>
          <w:szCs w:val="24"/>
        </w:rPr>
        <w:t xml:space="preserve"> any of the contended </w:t>
      </w:r>
      <w:r w:rsidR="00466F6C">
        <w:rPr>
          <w:rFonts w:eastAsia="Calibri" w:cs="Times New Roman"/>
          <w:color w:val="auto"/>
          <w:szCs w:val="24"/>
        </w:rPr>
        <w:t xml:space="preserve">abdominal </w:t>
      </w:r>
      <w:r w:rsidR="00CA500E" w:rsidRPr="00CA321F">
        <w:rPr>
          <w:rFonts w:eastAsia="Calibri" w:cs="Times New Roman"/>
          <w:color w:val="auto"/>
          <w:szCs w:val="24"/>
        </w:rPr>
        <w:t>conditions</w:t>
      </w:r>
      <w:r w:rsidR="003863E9" w:rsidRPr="00CA321F">
        <w:rPr>
          <w:rFonts w:eastAsia="Calibri" w:cs="Times New Roman"/>
          <w:color w:val="auto"/>
          <w:szCs w:val="24"/>
        </w:rPr>
        <w:t>; and, therefore, no additional disability ratings can be recommended.</w:t>
      </w:r>
      <w:r w:rsidRPr="00CA321F">
        <w:rPr>
          <w:rFonts w:eastAsia="Calibri" w:cs="Times New Roman"/>
          <w:color w:val="auto"/>
          <w:szCs w:val="24"/>
        </w:rPr>
        <w:t xml:space="preserve">  </w:t>
      </w:r>
    </w:p>
    <w:p w:rsidR="003113F6" w:rsidRPr="00CA321F" w:rsidRDefault="003113F6" w:rsidP="009B4E48">
      <w:pPr>
        <w:jc w:val="both"/>
        <w:rPr>
          <w:rFonts w:eastAsia="Calibri" w:cs="Times New Roman"/>
          <w:color w:val="auto"/>
          <w:szCs w:val="24"/>
        </w:rPr>
      </w:pPr>
      <w:r w:rsidRPr="00CA321F">
        <w:rPr>
          <w:rFonts w:eastAsia="Calibri" w:cs="Times New Roman"/>
          <w:color w:val="auto"/>
          <w:szCs w:val="24"/>
        </w:rPr>
        <w:t>______________________________________________________________________________</w:t>
      </w:r>
    </w:p>
    <w:p w:rsidR="00AD2379" w:rsidRPr="00CA321F" w:rsidRDefault="00AD2379" w:rsidP="009B4E48">
      <w:pPr>
        <w:jc w:val="both"/>
        <w:rPr>
          <w:color w:val="auto"/>
        </w:rPr>
      </w:pPr>
    </w:p>
    <w:p w:rsidR="00417BED" w:rsidRPr="00CA321F" w:rsidRDefault="00AD2379" w:rsidP="009B4E48">
      <w:pPr>
        <w:jc w:val="both"/>
        <w:rPr>
          <w:rFonts w:eastAsia="Calibri" w:cs="Times New Roman"/>
          <w:color w:val="auto"/>
          <w:szCs w:val="24"/>
        </w:rPr>
      </w:pPr>
      <w:r w:rsidRPr="00CA321F">
        <w:rPr>
          <w:color w:val="auto"/>
          <w:u w:val="single"/>
        </w:rPr>
        <w:t>BOARD FINDINGS</w:t>
      </w:r>
      <w:r w:rsidRPr="00CA321F">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CA321F">
        <w:rPr>
          <w:rFonts w:cs="Times New Roman"/>
          <w:color w:val="auto"/>
        </w:rPr>
        <w:t>.</w:t>
      </w:r>
      <w:r w:rsidR="006B690F" w:rsidRPr="00CA321F">
        <w:rPr>
          <w:rFonts w:cs="Times New Roman"/>
          <w:color w:val="auto"/>
        </w:rPr>
        <w:t xml:space="preserve">  </w:t>
      </w:r>
      <w:r w:rsidRPr="00CA321F">
        <w:rPr>
          <w:rFonts w:cs="Times New Roman"/>
          <w:color w:val="auto"/>
        </w:rPr>
        <w:t>The Board did not surmise from the record or PEB ruling in this case that any prerogatives outside the VASRD were exercised.</w:t>
      </w:r>
      <w:r w:rsidR="006B690F" w:rsidRPr="00CA321F">
        <w:rPr>
          <w:rFonts w:cs="Times New Roman"/>
          <w:color w:val="auto"/>
        </w:rPr>
        <w:t xml:space="preserve">  </w:t>
      </w:r>
      <w:r w:rsidR="00CA500E" w:rsidRPr="00CA321F">
        <w:rPr>
          <w:rFonts w:eastAsia="Calibri" w:cs="Times New Roman"/>
          <w:color w:val="auto"/>
          <w:szCs w:val="24"/>
        </w:rPr>
        <w:t>In the matter of the</w:t>
      </w:r>
      <w:r w:rsidR="00CA500E" w:rsidRPr="00CA321F">
        <w:rPr>
          <w:color w:val="auto"/>
          <w:szCs w:val="24"/>
        </w:rPr>
        <w:t xml:space="preserve"> </w:t>
      </w:r>
      <w:r w:rsidR="00947174" w:rsidRPr="00CA321F">
        <w:rPr>
          <w:color w:val="auto"/>
          <w:szCs w:val="24"/>
        </w:rPr>
        <w:t>right ankle t</w:t>
      </w:r>
      <w:r w:rsidR="00CA500E" w:rsidRPr="00CA321F">
        <w:rPr>
          <w:color w:val="auto"/>
          <w:szCs w:val="24"/>
        </w:rPr>
        <w:t>enosynovitis</w:t>
      </w:r>
      <w:r w:rsidR="00CA500E" w:rsidRPr="00CA321F">
        <w:rPr>
          <w:rFonts w:eastAsia="Calibri" w:cs="Times New Roman"/>
          <w:color w:val="auto"/>
          <w:szCs w:val="24"/>
        </w:rPr>
        <w:t xml:space="preserve"> condition and IAW VASRD §4.71a, the Board unanimously recommends no change in the PEB adjudication.  </w:t>
      </w:r>
      <w:r w:rsidR="00560F12" w:rsidRPr="00CA321F">
        <w:rPr>
          <w:rFonts w:eastAsia="Calibri" w:cs="Times New Roman"/>
          <w:color w:val="auto"/>
          <w:szCs w:val="24"/>
        </w:rPr>
        <w:t xml:space="preserve">In the matter of the contended </w:t>
      </w:r>
      <w:r w:rsidR="00E64344">
        <w:rPr>
          <w:color w:val="auto"/>
          <w:szCs w:val="24"/>
        </w:rPr>
        <w:t>IBS</w:t>
      </w:r>
      <w:r w:rsidR="00CA321F" w:rsidRPr="00CA321F">
        <w:rPr>
          <w:color w:val="auto"/>
          <w:szCs w:val="24"/>
        </w:rPr>
        <w:t>,</w:t>
      </w:r>
      <w:r w:rsidR="00CA321F" w:rsidRPr="00CA321F">
        <w:rPr>
          <w:rFonts w:asciiTheme="majorHAnsi" w:hAnsiTheme="majorHAnsi" w:cstheme="majorHAnsi"/>
          <w:color w:val="auto"/>
          <w:szCs w:val="24"/>
        </w:rPr>
        <w:t xml:space="preserve"> </w:t>
      </w:r>
      <w:proofErr w:type="spellStart"/>
      <w:r w:rsidR="00E64344" w:rsidRPr="00CA321F">
        <w:rPr>
          <w:rFonts w:asciiTheme="majorHAnsi" w:hAnsiTheme="majorHAnsi" w:cstheme="majorHAnsi"/>
          <w:color w:val="auto"/>
          <w:szCs w:val="24"/>
        </w:rPr>
        <w:t>thoracolumbar</w:t>
      </w:r>
      <w:proofErr w:type="spellEnd"/>
      <w:r w:rsidR="00E64344" w:rsidRPr="00CA321F">
        <w:rPr>
          <w:rFonts w:asciiTheme="majorHAnsi" w:hAnsiTheme="majorHAnsi" w:cstheme="majorHAnsi"/>
          <w:color w:val="auto"/>
          <w:szCs w:val="24"/>
        </w:rPr>
        <w:t xml:space="preserve"> </w:t>
      </w:r>
      <w:proofErr w:type="spellStart"/>
      <w:r w:rsidR="00E64344" w:rsidRPr="00CA321F">
        <w:rPr>
          <w:rFonts w:asciiTheme="majorHAnsi" w:hAnsiTheme="majorHAnsi" w:cstheme="majorHAnsi"/>
          <w:color w:val="auto"/>
          <w:szCs w:val="24"/>
        </w:rPr>
        <w:t>dextroscoliosis</w:t>
      </w:r>
      <w:proofErr w:type="spellEnd"/>
      <w:r w:rsidR="00E64344" w:rsidRPr="00CA321F">
        <w:rPr>
          <w:rFonts w:eastAsia="Calibri" w:cs="Times New Roman"/>
          <w:color w:val="auto"/>
          <w:szCs w:val="24"/>
        </w:rPr>
        <w:t xml:space="preserve"> and mild </w:t>
      </w:r>
      <w:proofErr w:type="spellStart"/>
      <w:r w:rsidR="00E64344" w:rsidRPr="00CA321F">
        <w:rPr>
          <w:rFonts w:eastAsia="Calibri" w:cs="Times New Roman"/>
          <w:color w:val="auto"/>
          <w:szCs w:val="24"/>
        </w:rPr>
        <w:t>gastroparesis</w:t>
      </w:r>
      <w:proofErr w:type="spellEnd"/>
      <w:r w:rsidR="00E64344" w:rsidRPr="00CA321F">
        <w:rPr>
          <w:rFonts w:eastAsia="Calibri" w:cs="Times New Roman"/>
          <w:color w:val="auto"/>
          <w:szCs w:val="24"/>
        </w:rPr>
        <w:t xml:space="preserve"> </w:t>
      </w:r>
      <w:r w:rsidR="00B228C7" w:rsidRPr="00CA321F">
        <w:rPr>
          <w:rFonts w:eastAsia="Calibri" w:cs="Times New Roman"/>
          <w:color w:val="auto"/>
          <w:szCs w:val="24"/>
        </w:rPr>
        <w:t>conditions</w:t>
      </w:r>
      <w:r w:rsidR="00560F12" w:rsidRPr="00CA321F">
        <w:rPr>
          <w:rFonts w:eastAsia="Calibri" w:cs="Times New Roman"/>
          <w:color w:val="auto"/>
          <w:szCs w:val="24"/>
        </w:rPr>
        <w:t xml:space="preserve">, the Board unanimously </w:t>
      </w:r>
      <w:r w:rsidR="00417BED" w:rsidRPr="00CA321F">
        <w:rPr>
          <w:rFonts w:eastAsia="Calibri" w:cs="Times New Roman"/>
          <w:color w:val="auto"/>
          <w:szCs w:val="24"/>
        </w:rPr>
        <w:t>recommends no change from the PEB determinations as not unfitting.</w:t>
      </w:r>
      <w:r w:rsidR="00165C7B" w:rsidRPr="00CA321F">
        <w:rPr>
          <w:rFonts w:eastAsia="Calibri" w:cs="Times New Roman"/>
          <w:color w:val="auto"/>
          <w:szCs w:val="24"/>
        </w:rPr>
        <w:t xml:space="preserve">  </w:t>
      </w:r>
      <w:r w:rsidR="00417BED" w:rsidRPr="00CA321F">
        <w:rPr>
          <w:rFonts w:eastAsia="Calibri" w:cs="Times New Roman"/>
          <w:color w:val="auto"/>
          <w:szCs w:val="24"/>
        </w:rPr>
        <w:t>There were no other conditions within the Board’s scope of review for consideration.</w:t>
      </w:r>
      <w:r w:rsidR="00165C7B" w:rsidRPr="00CA321F">
        <w:rPr>
          <w:rFonts w:eastAsia="Calibri" w:cs="Times New Roman"/>
          <w:color w:val="auto"/>
          <w:szCs w:val="24"/>
        </w:rPr>
        <w:t xml:space="preserve">  </w:t>
      </w:r>
    </w:p>
    <w:p w:rsidR="00AD2379" w:rsidRPr="00CA321F" w:rsidRDefault="00AD2379" w:rsidP="009B4E48">
      <w:pPr>
        <w:pBdr>
          <w:bottom w:val="single" w:sz="12" w:space="1" w:color="auto"/>
        </w:pBdr>
        <w:tabs>
          <w:tab w:val="left" w:pos="288"/>
          <w:tab w:val="left" w:pos="4752"/>
        </w:tabs>
        <w:jc w:val="both"/>
        <w:rPr>
          <w:color w:val="auto"/>
        </w:rPr>
      </w:pPr>
    </w:p>
    <w:p w:rsidR="00AD2379" w:rsidRPr="00CA321F" w:rsidRDefault="00AD2379" w:rsidP="009B4E48">
      <w:pPr>
        <w:jc w:val="both"/>
        <w:rPr>
          <w:color w:val="auto"/>
        </w:rPr>
      </w:pPr>
    </w:p>
    <w:p w:rsidR="00AD2379" w:rsidRPr="00466F6C" w:rsidRDefault="00AD2379" w:rsidP="009B4E48">
      <w:pPr>
        <w:jc w:val="both"/>
        <w:rPr>
          <w:color w:val="auto"/>
        </w:rPr>
      </w:pPr>
      <w:r w:rsidRPr="00CA321F">
        <w:rPr>
          <w:color w:val="auto"/>
          <w:u w:val="single"/>
        </w:rPr>
        <w:t>RECOMMENDATION</w:t>
      </w:r>
      <w:r w:rsidRPr="00CA321F">
        <w:rPr>
          <w:color w:val="auto"/>
        </w:rPr>
        <w:t xml:space="preserve">: </w:t>
      </w:r>
      <w:r w:rsidR="00CA321F" w:rsidRPr="00F64312">
        <w:rPr>
          <w:color w:val="auto"/>
        </w:rPr>
        <w:t xml:space="preserve">The Board, therefore, recommends that there be no </w:t>
      </w:r>
      <w:r w:rsidR="00CA321F" w:rsidRPr="00466F6C">
        <w:rPr>
          <w:color w:val="auto"/>
        </w:rPr>
        <w:t>recharacterization of the CI’s disability and separation determination, as follows:</w:t>
      </w:r>
    </w:p>
    <w:p w:rsidR="00CA321F" w:rsidRPr="00466F6C" w:rsidRDefault="00CA321F" w:rsidP="009B4E48">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466F6C" w:rsidTr="006B690F">
        <w:trPr>
          <w:trHeight w:val="233"/>
          <w:jc w:val="center"/>
        </w:trPr>
        <w:tc>
          <w:tcPr>
            <w:tcW w:w="6768" w:type="dxa"/>
            <w:shd w:val="clear" w:color="auto" w:fill="D9D9D9"/>
            <w:vAlign w:val="center"/>
          </w:tcPr>
          <w:p w:rsidR="00AD2379" w:rsidRPr="00466F6C" w:rsidRDefault="00AD2379" w:rsidP="006B690F">
            <w:pPr>
              <w:tabs>
                <w:tab w:val="left" w:pos="288"/>
                <w:tab w:val="left" w:pos="4752"/>
              </w:tabs>
              <w:rPr>
                <w:b/>
                <w:color w:val="auto"/>
              </w:rPr>
            </w:pPr>
            <w:r w:rsidRPr="00466F6C">
              <w:rPr>
                <w:b/>
                <w:color w:val="auto"/>
              </w:rPr>
              <w:t>UNFITTING CONDITION</w:t>
            </w:r>
          </w:p>
        </w:tc>
        <w:tc>
          <w:tcPr>
            <w:tcW w:w="1530" w:type="dxa"/>
            <w:shd w:val="clear" w:color="auto" w:fill="D9D9D9"/>
            <w:vAlign w:val="center"/>
          </w:tcPr>
          <w:p w:rsidR="00AD2379" w:rsidRPr="00466F6C" w:rsidRDefault="00AD2379" w:rsidP="006B690F">
            <w:pPr>
              <w:tabs>
                <w:tab w:val="left" w:pos="288"/>
                <w:tab w:val="left" w:pos="4752"/>
              </w:tabs>
              <w:rPr>
                <w:b/>
                <w:color w:val="auto"/>
              </w:rPr>
            </w:pPr>
            <w:r w:rsidRPr="00466F6C">
              <w:rPr>
                <w:b/>
                <w:color w:val="auto"/>
              </w:rPr>
              <w:t>VASRD CODE</w:t>
            </w:r>
          </w:p>
        </w:tc>
        <w:tc>
          <w:tcPr>
            <w:tcW w:w="1026" w:type="dxa"/>
            <w:shd w:val="clear" w:color="auto" w:fill="D9D9D9"/>
            <w:vAlign w:val="center"/>
          </w:tcPr>
          <w:p w:rsidR="00AD2379" w:rsidRPr="00466F6C" w:rsidRDefault="00AD2379" w:rsidP="006B690F">
            <w:pPr>
              <w:tabs>
                <w:tab w:val="left" w:pos="288"/>
                <w:tab w:val="left" w:pos="4752"/>
              </w:tabs>
              <w:rPr>
                <w:b/>
                <w:color w:val="auto"/>
              </w:rPr>
            </w:pPr>
            <w:r w:rsidRPr="00466F6C">
              <w:rPr>
                <w:b/>
                <w:color w:val="auto"/>
              </w:rPr>
              <w:t>RATING</w:t>
            </w:r>
          </w:p>
        </w:tc>
      </w:tr>
      <w:tr w:rsidR="00AD2379" w:rsidRPr="00466F6C" w:rsidTr="006B690F">
        <w:trPr>
          <w:jc w:val="center"/>
        </w:trPr>
        <w:tc>
          <w:tcPr>
            <w:tcW w:w="6768" w:type="dxa"/>
            <w:vAlign w:val="center"/>
          </w:tcPr>
          <w:p w:rsidR="00AD2379" w:rsidRPr="00466F6C" w:rsidRDefault="009B4E48" w:rsidP="009B4E48">
            <w:pPr>
              <w:tabs>
                <w:tab w:val="left" w:pos="288"/>
                <w:tab w:val="left" w:pos="4752"/>
              </w:tabs>
              <w:jc w:val="left"/>
              <w:rPr>
                <w:color w:val="auto"/>
              </w:rPr>
            </w:pPr>
            <w:r w:rsidRPr="00466F6C">
              <w:rPr>
                <w:color w:val="auto"/>
              </w:rPr>
              <w:t xml:space="preserve">Right Ankle </w:t>
            </w:r>
            <w:r w:rsidR="001D77DD" w:rsidRPr="00466F6C">
              <w:rPr>
                <w:color w:val="auto"/>
              </w:rPr>
              <w:t>Tenosynovitis</w:t>
            </w:r>
            <w:r w:rsidR="00082268" w:rsidRPr="00466F6C">
              <w:rPr>
                <w:color w:val="auto"/>
              </w:rPr>
              <w:t xml:space="preserve"> </w:t>
            </w:r>
          </w:p>
        </w:tc>
        <w:tc>
          <w:tcPr>
            <w:tcW w:w="1530" w:type="dxa"/>
            <w:vAlign w:val="center"/>
          </w:tcPr>
          <w:p w:rsidR="00AD2379" w:rsidRPr="00466F6C" w:rsidRDefault="001D77DD" w:rsidP="006B690F">
            <w:pPr>
              <w:tabs>
                <w:tab w:val="left" w:pos="288"/>
                <w:tab w:val="left" w:pos="4752"/>
              </w:tabs>
              <w:rPr>
                <w:color w:val="auto"/>
              </w:rPr>
            </w:pPr>
            <w:r w:rsidRPr="00466F6C">
              <w:rPr>
                <w:color w:val="auto"/>
              </w:rPr>
              <w:t>5024</w:t>
            </w:r>
          </w:p>
        </w:tc>
        <w:tc>
          <w:tcPr>
            <w:tcW w:w="1026" w:type="dxa"/>
            <w:vAlign w:val="center"/>
          </w:tcPr>
          <w:p w:rsidR="00AD2379" w:rsidRPr="00466F6C" w:rsidRDefault="008F1C57" w:rsidP="006B690F">
            <w:pPr>
              <w:tabs>
                <w:tab w:val="left" w:pos="288"/>
                <w:tab w:val="left" w:pos="4752"/>
              </w:tabs>
              <w:rPr>
                <w:color w:val="auto"/>
              </w:rPr>
            </w:pPr>
            <w:r w:rsidRPr="00466F6C">
              <w:rPr>
                <w:color w:val="auto"/>
              </w:rPr>
              <w:t>1</w:t>
            </w:r>
            <w:r w:rsidR="00AD2379" w:rsidRPr="00466F6C">
              <w:rPr>
                <w:color w:val="auto"/>
              </w:rPr>
              <w:t>0%</w:t>
            </w:r>
          </w:p>
        </w:tc>
      </w:tr>
      <w:tr w:rsidR="00AD2379" w:rsidRPr="00466F6C"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466F6C" w:rsidRDefault="00AD2379" w:rsidP="006B690F">
            <w:pPr>
              <w:tabs>
                <w:tab w:val="left" w:pos="288"/>
                <w:tab w:val="left" w:pos="4752"/>
              </w:tabs>
              <w:rPr>
                <w:b/>
                <w:color w:val="auto"/>
              </w:rPr>
            </w:pPr>
            <w:r w:rsidRPr="00466F6C">
              <w:rPr>
                <w:b/>
                <w:color w:val="auto"/>
              </w:rPr>
              <w:t>COMBINED</w:t>
            </w:r>
          </w:p>
        </w:tc>
        <w:tc>
          <w:tcPr>
            <w:tcW w:w="1026" w:type="dxa"/>
            <w:shd w:val="clear" w:color="auto" w:fill="D9D9D9"/>
            <w:vAlign w:val="center"/>
          </w:tcPr>
          <w:p w:rsidR="00AD2379" w:rsidRPr="00466F6C" w:rsidRDefault="00CE5F15" w:rsidP="006B690F">
            <w:pPr>
              <w:tabs>
                <w:tab w:val="left" w:pos="288"/>
                <w:tab w:val="left" w:pos="4752"/>
              </w:tabs>
              <w:rPr>
                <w:b/>
                <w:color w:val="auto"/>
              </w:rPr>
            </w:pPr>
            <w:r w:rsidRPr="00466F6C">
              <w:rPr>
                <w:b/>
                <w:color w:val="auto"/>
              </w:rPr>
              <w:t>1</w:t>
            </w:r>
            <w:r w:rsidR="00AD2379" w:rsidRPr="00466F6C">
              <w:rPr>
                <w:b/>
                <w:color w:val="auto"/>
              </w:rPr>
              <w:t>0%</w:t>
            </w:r>
          </w:p>
        </w:tc>
      </w:tr>
    </w:tbl>
    <w:p w:rsidR="00947174" w:rsidRPr="00466F6C" w:rsidRDefault="00947174" w:rsidP="006B690F">
      <w:pPr>
        <w:pBdr>
          <w:bottom w:val="single" w:sz="12" w:space="1" w:color="auto"/>
        </w:pBdr>
        <w:tabs>
          <w:tab w:val="left" w:pos="288"/>
          <w:tab w:val="left" w:pos="4752"/>
        </w:tabs>
        <w:jc w:val="both"/>
        <w:rPr>
          <w:color w:val="auto"/>
        </w:rPr>
      </w:pPr>
    </w:p>
    <w:p w:rsidR="00AD2379" w:rsidRPr="00466F6C" w:rsidRDefault="00AD2379" w:rsidP="006B690F">
      <w:pPr>
        <w:jc w:val="both"/>
        <w:rPr>
          <w:color w:val="auto"/>
        </w:rPr>
      </w:pPr>
    </w:p>
    <w:p w:rsidR="00AD2379" w:rsidRPr="00466F6C" w:rsidRDefault="00AD2379" w:rsidP="006B690F">
      <w:pPr>
        <w:tabs>
          <w:tab w:val="left" w:pos="288"/>
          <w:tab w:val="left" w:pos="4752"/>
        </w:tabs>
        <w:jc w:val="both"/>
        <w:rPr>
          <w:color w:val="auto"/>
        </w:rPr>
      </w:pPr>
      <w:r w:rsidRPr="00466F6C">
        <w:rPr>
          <w:color w:val="auto"/>
        </w:rPr>
        <w:t>The following documentary evidence was considered:</w:t>
      </w:r>
    </w:p>
    <w:p w:rsidR="005144A7" w:rsidRPr="00CA321F"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CA321F">
        <w:rPr>
          <w:color w:val="auto"/>
        </w:rPr>
        <w:t>Exhibit A.  DD Form 294, dated 20</w:t>
      </w:r>
      <w:r w:rsidR="001D77DD" w:rsidRPr="00CA321F">
        <w:rPr>
          <w:color w:val="auto"/>
        </w:rPr>
        <w:t>120503</w:t>
      </w:r>
      <w:r w:rsidR="00ED7820" w:rsidRPr="00CA321F">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366BEF">
        <w:rPr>
          <w:color w:val="auto"/>
        </w:rPr>
        <w:t>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366BEF" w:rsidRDefault="00AD2379" w:rsidP="00BF0E94">
      <w:pPr>
        <w:tabs>
          <w:tab w:val="left" w:pos="0"/>
          <w:tab w:val="left" w:pos="4320"/>
        </w:tabs>
        <w:jc w:val="both"/>
        <w:rPr>
          <w:color w:val="auto"/>
        </w:rPr>
      </w:pPr>
      <w:r w:rsidRPr="00F64312">
        <w:rPr>
          <w:color w:val="auto"/>
        </w:rPr>
        <w:tab/>
        <w:t xml:space="preserve">           Physical Disability Board of Review</w:t>
      </w:r>
    </w:p>
    <w:p w:rsidR="00366BEF" w:rsidRDefault="00366BEF">
      <w:pPr>
        <w:spacing w:line="240" w:lineRule="auto"/>
        <w:jc w:val="left"/>
        <w:rPr>
          <w:color w:val="auto"/>
        </w:rPr>
      </w:pPr>
      <w:r>
        <w:rPr>
          <w:color w:val="auto"/>
        </w:rPr>
        <w:br w:type="page"/>
      </w:r>
    </w:p>
    <w:p w:rsidR="00366BEF" w:rsidRDefault="00366BEF" w:rsidP="00366BEF">
      <w:pPr>
        <w:sectPr w:rsidR="00366BEF">
          <w:pgSz w:w="12240" w:h="15840"/>
          <w:pgMar w:top="2160" w:right="1440" w:bottom="1440" w:left="1440" w:header="720" w:footer="720" w:gutter="0"/>
          <w:cols w:space="720"/>
        </w:sectPr>
      </w:pPr>
    </w:p>
    <w:p w:rsidR="00366BEF" w:rsidRDefault="00366BEF" w:rsidP="00366BEF">
      <w:pPr>
        <w:pStyle w:val="Header"/>
        <w:tabs>
          <w:tab w:val="left" w:pos="720"/>
        </w:tabs>
        <w:jc w:val="left"/>
      </w:pPr>
      <w:r>
        <w:lastRenderedPageBreak/>
        <w:t>SFMR-RB</w:t>
      </w:r>
      <w:r>
        <w:tab/>
      </w:r>
      <w:r>
        <w:tab/>
      </w:r>
      <w:r>
        <w:tab/>
      </w:r>
      <w:r>
        <w:tab/>
      </w:r>
      <w:r>
        <w:tab/>
      </w:r>
      <w:r>
        <w:tab/>
      </w:r>
      <w:r>
        <w:tab/>
      </w:r>
      <w:r>
        <w:tab/>
      </w:r>
      <w:r>
        <w:tab/>
      </w:r>
    </w:p>
    <w:p w:rsidR="00366BEF" w:rsidRDefault="00366BEF" w:rsidP="00366BEF">
      <w:pPr>
        <w:pStyle w:val="Header"/>
        <w:tabs>
          <w:tab w:val="left" w:pos="720"/>
        </w:tabs>
        <w:jc w:val="left"/>
      </w:pPr>
    </w:p>
    <w:p w:rsidR="00366BEF" w:rsidRDefault="00366BEF" w:rsidP="00366BEF">
      <w:pPr>
        <w:jc w:val="left"/>
      </w:pPr>
    </w:p>
    <w:p w:rsidR="00366BEF" w:rsidRDefault="00366BEF" w:rsidP="00366BEF">
      <w:pPr>
        <w:jc w:val="left"/>
      </w:pPr>
      <w:r>
        <w:t xml:space="preserve">MEMORANDUM FOR Commander, US Army Physical Disability Agency </w:t>
      </w:r>
    </w:p>
    <w:p w:rsidR="00366BEF" w:rsidRDefault="00366BEF" w:rsidP="00366BEF">
      <w:pPr>
        <w:jc w:val="left"/>
      </w:pPr>
      <w:r>
        <w:t xml:space="preserve">(TAPD-ZB </w:t>
      </w:r>
      <w:proofErr w:type="gramStart"/>
      <w:r>
        <w:t>/  )</w:t>
      </w:r>
      <w:proofErr w:type="gramEnd"/>
      <w:r>
        <w:t>, 2900 Crystal Drive, Suite 300, Arlington, VA  22202-3557</w:t>
      </w:r>
    </w:p>
    <w:p w:rsidR="00366BEF" w:rsidRDefault="00366BEF" w:rsidP="00366BEF">
      <w:pPr>
        <w:jc w:val="left"/>
      </w:pPr>
    </w:p>
    <w:p w:rsidR="00366BEF" w:rsidRDefault="00366BEF" w:rsidP="00366BEF">
      <w:pPr>
        <w:ind w:right="-180"/>
        <w:jc w:val="left"/>
      </w:pPr>
      <w:r>
        <w:t>SUBJECT:  Department of Defense Physical Disability Board of Review Recommendation for XXXXXXXXXXXXXXXXXXXXX, AR20120019888 (PD201200409)</w:t>
      </w:r>
    </w:p>
    <w:p w:rsidR="00366BEF" w:rsidRDefault="00366BEF" w:rsidP="00366BEF">
      <w:pPr>
        <w:pStyle w:val="Header"/>
        <w:tabs>
          <w:tab w:val="left" w:pos="720"/>
        </w:tabs>
        <w:jc w:val="left"/>
      </w:pPr>
    </w:p>
    <w:p w:rsidR="00366BEF" w:rsidRDefault="00366BEF" w:rsidP="00366BEF">
      <w:pPr>
        <w:jc w:val="left"/>
      </w:pPr>
    </w:p>
    <w:p w:rsidR="00366BEF" w:rsidRDefault="00366BEF" w:rsidP="00366BEF">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366BEF" w:rsidRDefault="00366BEF" w:rsidP="00366BEF">
      <w:pPr>
        <w:jc w:val="left"/>
      </w:pPr>
      <w:r>
        <w:t>This decision is final.  The individual concerned, counsel (if any), and any Members of Congress who have shown interest in this application have been notified of this decision by mail.</w:t>
      </w:r>
    </w:p>
    <w:p w:rsidR="00366BEF" w:rsidRDefault="00366BEF" w:rsidP="00366BEF">
      <w:pPr>
        <w:jc w:val="left"/>
      </w:pPr>
    </w:p>
    <w:p w:rsidR="00366BEF" w:rsidRDefault="00366BEF" w:rsidP="00366BEF">
      <w:pPr>
        <w:jc w:val="left"/>
      </w:pPr>
      <w:r>
        <w:t xml:space="preserve"> BY ORDER OF THE SECRETARY OF THE ARMY:</w:t>
      </w:r>
    </w:p>
    <w:p w:rsidR="00366BEF" w:rsidRDefault="00366BEF" w:rsidP="00366BEF">
      <w:pPr>
        <w:jc w:val="left"/>
      </w:pPr>
    </w:p>
    <w:p w:rsidR="00366BEF" w:rsidRDefault="00366BEF" w:rsidP="00366BEF">
      <w:pPr>
        <w:jc w:val="left"/>
      </w:pPr>
    </w:p>
    <w:p w:rsidR="00366BEF" w:rsidRDefault="00366BEF" w:rsidP="00366BEF">
      <w:pPr>
        <w:pStyle w:val="Header"/>
        <w:tabs>
          <w:tab w:val="left" w:pos="720"/>
        </w:tabs>
        <w:jc w:val="left"/>
      </w:pPr>
    </w:p>
    <w:p w:rsidR="00366BEF" w:rsidRDefault="00366BEF" w:rsidP="00366BEF">
      <w:pPr>
        <w:jc w:val="left"/>
      </w:pPr>
    </w:p>
    <w:p w:rsidR="00366BEF" w:rsidRDefault="00366BEF" w:rsidP="00366BEF">
      <w:pPr>
        <w:jc w:val="left"/>
      </w:pPr>
      <w:bookmarkStart w:id="1" w:name="OLE_LINK4"/>
      <w:bookmarkStart w:id="2" w:name="OLE_LINK3"/>
      <w:r>
        <w:t>Encl</w:t>
      </w:r>
      <w:r>
        <w:tab/>
      </w:r>
      <w:r>
        <w:tab/>
      </w:r>
      <w:r>
        <w:tab/>
      </w:r>
      <w:r>
        <w:tab/>
      </w:r>
      <w:r>
        <w:tab/>
      </w:r>
      <w:r>
        <w:tab/>
        <w:t xml:space="preserve">     XXXXXXXXXXXXXXXXXXXX</w:t>
      </w:r>
    </w:p>
    <w:p w:rsidR="00366BEF" w:rsidRDefault="00366BEF" w:rsidP="00366BEF">
      <w:pPr>
        <w:jc w:val="left"/>
      </w:pPr>
      <w:r>
        <w:tab/>
      </w:r>
      <w:r>
        <w:tab/>
      </w:r>
      <w:r>
        <w:tab/>
      </w:r>
      <w:r>
        <w:tab/>
      </w:r>
      <w:r>
        <w:tab/>
      </w:r>
      <w:r>
        <w:tab/>
        <w:t xml:space="preserve">     Deputy Assistant Secretary</w:t>
      </w:r>
    </w:p>
    <w:p w:rsidR="00366BEF" w:rsidRDefault="00366BEF" w:rsidP="00366BEF">
      <w:pPr>
        <w:jc w:val="left"/>
      </w:pPr>
      <w:r>
        <w:tab/>
      </w:r>
      <w:r>
        <w:tab/>
      </w:r>
      <w:r>
        <w:tab/>
      </w:r>
      <w:r>
        <w:tab/>
      </w:r>
      <w:r>
        <w:tab/>
      </w:r>
      <w:r>
        <w:tab/>
        <w:t xml:space="preserve">         (Army Review Boards)</w:t>
      </w:r>
      <w:bookmarkEnd w:id="1"/>
      <w:bookmarkEnd w:id="2"/>
    </w:p>
    <w:p w:rsidR="00366BEF" w:rsidRDefault="00366BEF" w:rsidP="00366BEF">
      <w:pPr>
        <w:jc w:val="left"/>
      </w:pPr>
    </w:p>
    <w:p w:rsidR="00366BEF" w:rsidRDefault="00366BEF" w:rsidP="00366BEF">
      <w:pPr>
        <w:jc w:val="left"/>
      </w:pPr>
      <w:r>
        <w:t xml:space="preserve">CF: </w:t>
      </w:r>
    </w:p>
    <w:p w:rsidR="00366BEF" w:rsidRDefault="00366BEF" w:rsidP="00366BEF">
      <w:pPr>
        <w:jc w:val="left"/>
      </w:pPr>
      <w:r>
        <w:t xml:space="preserve">(  ) </w:t>
      </w:r>
      <w:proofErr w:type="spellStart"/>
      <w:proofErr w:type="gramStart"/>
      <w:r>
        <w:t>DoD</w:t>
      </w:r>
      <w:proofErr w:type="spellEnd"/>
      <w:proofErr w:type="gramEnd"/>
      <w:r>
        <w:t xml:space="preserve"> PDBR</w:t>
      </w:r>
    </w:p>
    <w:p w:rsidR="00366BEF" w:rsidRDefault="00366BEF" w:rsidP="00366BEF">
      <w:pPr>
        <w:jc w:val="left"/>
      </w:pPr>
      <w:r>
        <w:t>(  ) DVA</w:t>
      </w:r>
    </w:p>
    <w:p w:rsidR="00366BEF" w:rsidRDefault="00366BEF" w:rsidP="00366BEF">
      <w:pPr>
        <w:jc w:val="left"/>
      </w:pPr>
    </w:p>
    <w:p w:rsidR="00DF3B06" w:rsidRPr="00F64312" w:rsidRDefault="00DF3B06" w:rsidP="00366BEF">
      <w:pPr>
        <w:tabs>
          <w:tab w:val="left" w:pos="0"/>
          <w:tab w:val="left" w:pos="4320"/>
        </w:tabs>
        <w:jc w:val="left"/>
        <w:rPr>
          <w:color w:val="auto"/>
        </w:rPr>
      </w:pPr>
    </w:p>
    <w:sectPr w:rsidR="00DF3B06" w:rsidRPr="00F64312"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64D" w:rsidRDefault="002E464D">
      <w:r>
        <w:separator/>
      </w:r>
    </w:p>
  </w:endnote>
  <w:endnote w:type="continuationSeparator" w:id="0">
    <w:p w:rsidR="002E464D" w:rsidRDefault="002E46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B1" w:rsidRPr="00374247" w:rsidRDefault="000E07B1" w:rsidP="00726F84">
    <w:pPr>
      <w:pStyle w:val="Footer"/>
      <w:ind w:firstLine="4320"/>
      <w:rPr>
        <w:color w:val="auto"/>
      </w:rPr>
    </w:pPr>
    <w:r w:rsidRPr="00374247">
      <w:rPr>
        <w:color w:val="auto"/>
      </w:rPr>
      <w:t xml:space="preserve">   </w:t>
    </w:r>
    <w:r w:rsidR="0019631D" w:rsidRPr="0019631D">
      <w:fldChar w:fldCharType="begin"/>
    </w:r>
    <w:r w:rsidR="00447305">
      <w:instrText xml:space="preserve"> PAGE   \* MERGEFORMAT </w:instrText>
    </w:r>
    <w:r w:rsidR="0019631D" w:rsidRPr="0019631D">
      <w:fldChar w:fldCharType="separate"/>
    </w:r>
    <w:r w:rsidR="00366BEF" w:rsidRPr="00366BEF">
      <w:rPr>
        <w:noProof/>
        <w:color w:val="auto"/>
      </w:rPr>
      <w:t>5</w:t>
    </w:r>
    <w:r w:rsidR="0019631D">
      <w:rPr>
        <w:noProof/>
        <w:color w:val="auto"/>
      </w:rPr>
      <w:fldChar w:fldCharType="end"/>
    </w:r>
    <w:r w:rsidRPr="00374247">
      <w:rPr>
        <w:color w:val="auto"/>
      </w:rPr>
      <w:t xml:space="preserve">                                                           </w:t>
    </w:r>
    <w:r w:rsidR="001D77DD">
      <w:rPr>
        <w:color w:val="auto"/>
      </w:rPr>
      <w:t>PD</w:t>
    </w:r>
    <w:r w:rsidRPr="001D77DD">
      <w:rPr>
        <w:color w:val="auto"/>
      </w:rPr>
      <w:t>1200</w:t>
    </w:r>
    <w:r w:rsidR="001D77DD">
      <w:rPr>
        <w:color w:val="auto"/>
      </w:rPr>
      <w:t>409</w:t>
    </w:r>
  </w:p>
  <w:p w:rsidR="000E07B1" w:rsidRPr="00684CE6" w:rsidRDefault="000E07B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64D" w:rsidRDefault="002E464D">
      <w:r>
        <w:separator/>
      </w:r>
    </w:p>
  </w:footnote>
  <w:footnote w:type="continuationSeparator" w:id="0">
    <w:p w:rsidR="002E464D" w:rsidRDefault="002E4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3060E"/>
    <w:multiLevelType w:val="hybridMultilevel"/>
    <w:tmpl w:val="27CC4014"/>
    <w:lvl w:ilvl="0" w:tplc="D47C59D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4"/>
  </w:num>
  <w:num w:numId="6">
    <w:abstractNumId w:val="10"/>
  </w:num>
  <w:num w:numId="7">
    <w:abstractNumId w:val="0"/>
  </w:num>
  <w:num w:numId="8">
    <w:abstractNumId w:val="6"/>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3C0B"/>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580A"/>
    <w:rsid w:val="00017778"/>
    <w:rsid w:val="00017B36"/>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04E4"/>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6AEC"/>
    <w:rsid w:val="000775C2"/>
    <w:rsid w:val="00077835"/>
    <w:rsid w:val="000801EF"/>
    <w:rsid w:val="000806AD"/>
    <w:rsid w:val="00080BDF"/>
    <w:rsid w:val="00080C57"/>
    <w:rsid w:val="00082268"/>
    <w:rsid w:val="00082482"/>
    <w:rsid w:val="00082CA0"/>
    <w:rsid w:val="000832D4"/>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4E6"/>
    <w:rsid w:val="000B3927"/>
    <w:rsid w:val="000B471C"/>
    <w:rsid w:val="000B4C99"/>
    <w:rsid w:val="000B63CF"/>
    <w:rsid w:val="000C06F6"/>
    <w:rsid w:val="000C15F8"/>
    <w:rsid w:val="000C1D34"/>
    <w:rsid w:val="000C2362"/>
    <w:rsid w:val="000C2FA8"/>
    <w:rsid w:val="000C3751"/>
    <w:rsid w:val="000C3C13"/>
    <w:rsid w:val="000C4D5F"/>
    <w:rsid w:val="000C53F9"/>
    <w:rsid w:val="000C5813"/>
    <w:rsid w:val="000C608B"/>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1AD"/>
    <w:rsid w:val="000E07B1"/>
    <w:rsid w:val="000E0993"/>
    <w:rsid w:val="000E2E50"/>
    <w:rsid w:val="000E32DB"/>
    <w:rsid w:val="000E37E0"/>
    <w:rsid w:val="000E3BD6"/>
    <w:rsid w:val="000E3CD1"/>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BE7"/>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1B"/>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351"/>
    <w:rsid w:val="001865E0"/>
    <w:rsid w:val="001870F0"/>
    <w:rsid w:val="00190E48"/>
    <w:rsid w:val="0019114B"/>
    <w:rsid w:val="00192392"/>
    <w:rsid w:val="0019273F"/>
    <w:rsid w:val="00193814"/>
    <w:rsid w:val="00193AAB"/>
    <w:rsid w:val="00193AD5"/>
    <w:rsid w:val="00193BAF"/>
    <w:rsid w:val="00194930"/>
    <w:rsid w:val="00195AAC"/>
    <w:rsid w:val="0019631D"/>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7DD"/>
    <w:rsid w:val="001D7A56"/>
    <w:rsid w:val="001E0291"/>
    <w:rsid w:val="001E15C0"/>
    <w:rsid w:val="001E18E0"/>
    <w:rsid w:val="001E18E2"/>
    <w:rsid w:val="001E19D0"/>
    <w:rsid w:val="001E2A30"/>
    <w:rsid w:val="001E2FF1"/>
    <w:rsid w:val="001E3FE1"/>
    <w:rsid w:val="001E41FE"/>
    <w:rsid w:val="001E4989"/>
    <w:rsid w:val="001E635C"/>
    <w:rsid w:val="001E6620"/>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23DF"/>
    <w:rsid w:val="00274549"/>
    <w:rsid w:val="00274E46"/>
    <w:rsid w:val="002752AE"/>
    <w:rsid w:val="00275AFD"/>
    <w:rsid w:val="002769AF"/>
    <w:rsid w:val="00276C86"/>
    <w:rsid w:val="00276FD0"/>
    <w:rsid w:val="00277217"/>
    <w:rsid w:val="002810A4"/>
    <w:rsid w:val="0028261C"/>
    <w:rsid w:val="00282DB6"/>
    <w:rsid w:val="0028366B"/>
    <w:rsid w:val="00284A26"/>
    <w:rsid w:val="00285095"/>
    <w:rsid w:val="002854EB"/>
    <w:rsid w:val="00287006"/>
    <w:rsid w:val="0029030A"/>
    <w:rsid w:val="00291310"/>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09A"/>
    <w:rsid w:val="002D08F3"/>
    <w:rsid w:val="002D18B4"/>
    <w:rsid w:val="002D2058"/>
    <w:rsid w:val="002D231A"/>
    <w:rsid w:val="002D5330"/>
    <w:rsid w:val="002D5F57"/>
    <w:rsid w:val="002D6DB2"/>
    <w:rsid w:val="002D73D4"/>
    <w:rsid w:val="002D7787"/>
    <w:rsid w:val="002E058C"/>
    <w:rsid w:val="002E1877"/>
    <w:rsid w:val="002E18DE"/>
    <w:rsid w:val="002E1C31"/>
    <w:rsid w:val="002E1EFD"/>
    <w:rsid w:val="002E2E0F"/>
    <w:rsid w:val="002E333A"/>
    <w:rsid w:val="002E3474"/>
    <w:rsid w:val="002E400C"/>
    <w:rsid w:val="002E464D"/>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13F6"/>
    <w:rsid w:val="00313C3A"/>
    <w:rsid w:val="00313D7A"/>
    <w:rsid w:val="00314517"/>
    <w:rsid w:val="003155FB"/>
    <w:rsid w:val="0032136A"/>
    <w:rsid w:val="003219E5"/>
    <w:rsid w:val="003224D8"/>
    <w:rsid w:val="00323A90"/>
    <w:rsid w:val="00323E70"/>
    <w:rsid w:val="003258A7"/>
    <w:rsid w:val="00325BA2"/>
    <w:rsid w:val="003262BD"/>
    <w:rsid w:val="00326798"/>
    <w:rsid w:val="00326996"/>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2113"/>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6BE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CD9"/>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32B"/>
    <w:rsid w:val="003A3F3D"/>
    <w:rsid w:val="003A40B4"/>
    <w:rsid w:val="003A41BA"/>
    <w:rsid w:val="003A4FA3"/>
    <w:rsid w:val="003A5491"/>
    <w:rsid w:val="003A5958"/>
    <w:rsid w:val="003A6A99"/>
    <w:rsid w:val="003A6E60"/>
    <w:rsid w:val="003A76AB"/>
    <w:rsid w:val="003A7FF8"/>
    <w:rsid w:val="003B17AC"/>
    <w:rsid w:val="003B2143"/>
    <w:rsid w:val="003B227A"/>
    <w:rsid w:val="003B36FB"/>
    <w:rsid w:val="003B3A77"/>
    <w:rsid w:val="003B4319"/>
    <w:rsid w:val="003B5854"/>
    <w:rsid w:val="003B6764"/>
    <w:rsid w:val="003B7A8B"/>
    <w:rsid w:val="003C173E"/>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D41"/>
    <w:rsid w:val="003E3E93"/>
    <w:rsid w:val="003E46D1"/>
    <w:rsid w:val="003E6214"/>
    <w:rsid w:val="003F0669"/>
    <w:rsid w:val="003F070E"/>
    <w:rsid w:val="003F1206"/>
    <w:rsid w:val="003F2418"/>
    <w:rsid w:val="003F28DB"/>
    <w:rsid w:val="003F2EEE"/>
    <w:rsid w:val="003F44FD"/>
    <w:rsid w:val="003F4A18"/>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2F4E"/>
    <w:rsid w:val="00433C23"/>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305"/>
    <w:rsid w:val="0044769D"/>
    <w:rsid w:val="0045027B"/>
    <w:rsid w:val="004504E7"/>
    <w:rsid w:val="00451F9D"/>
    <w:rsid w:val="00453167"/>
    <w:rsid w:val="0045361D"/>
    <w:rsid w:val="004543BC"/>
    <w:rsid w:val="00454F28"/>
    <w:rsid w:val="00455BF9"/>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3CC2"/>
    <w:rsid w:val="004640E9"/>
    <w:rsid w:val="00464744"/>
    <w:rsid w:val="004647EB"/>
    <w:rsid w:val="00464F53"/>
    <w:rsid w:val="00465230"/>
    <w:rsid w:val="00466CED"/>
    <w:rsid w:val="00466EB5"/>
    <w:rsid w:val="00466F6C"/>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159"/>
    <w:rsid w:val="0049445D"/>
    <w:rsid w:val="00494D39"/>
    <w:rsid w:val="00495350"/>
    <w:rsid w:val="00495E3C"/>
    <w:rsid w:val="00496041"/>
    <w:rsid w:val="00497156"/>
    <w:rsid w:val="004A073D"/>
    <w:rsid w:val="004A0C79"/>
    <w:rsid w:val="004A1FE0"/>
    <w:rsid w:val="004A24D2"/>
    <w:rsid w:val="004A2728"/>
    <w:rsid w:val="004A3214"/>
    <w:rsid w:val="004A4136"/>
    <w:rsid w:val="004A417B"/>
    <w:rsid w:val="004A4378"/>
    <w:rsid w:val="004A712D"/>
    <w:rsid w:val="004A7C03"/>
    <w:rsid w:val="004B03F3"/>
    <w:rsid w:val="004B0CC9"/>
    <w:rsid w:val="004B1C61"/>
    <w:rsid w:val="004B2195"/>
    <w:rsid w:val="004B2536"/>
    <w:rsid w:val="004B46D7"/>
    <w:rsid w:val="004B478D"/>
    <w:rsid w:val="004B5E04"/>
    <w:rsid w:val="004B6AF3"/>
    <w:rsid w:val="004B6B34"/>
    <w:rsid w:val="004B6F1F"/>
    <w:rsid w:val="004B715E"/>
    <w:rsid w:val="004B7169"/>
    <w:rsid w:val="004B79C9"/>
    <w:rsid w:val="004C00DD"/>
    <w:rsid w:val="004C05CF"/>
    <w:rsid w:val="004C0776"/>
    <w:rsid w:val="004C129C"/>
    <w:rsid w:val="004C1EF8"/>
    <w:rsid w:val="004C2063"/>
    <w:rsid w:val="004C24C5"/>
    <w:rsid w:val="004C2645"/>
    <w:rsid w:val="004C47D5"/>
    <w:rsid w:val="004C4CAF"/>
    <w:rsid w:val="004C5DAB"/>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E6D6A"/>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024"/>
    <w:rsid w:val="00515419"/>
    <w:rsid w:val="005157BD"/>
    <w:rsid w:val="0051594B"/>
    <w:rsid w:val="005214A3"/>
    <w:rsid w:val="005222E7"/>
    <w:rsid w:val="00523488"/>
    <w:rsid w:val="00523A8B"/>
    <w:rsid w:val="00523E04"/>
    <w:rsid w:val="00524D3A"/>
    <w:rsid w:val="00524ED4"/>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0BC0"/>
    <w:rsid w:val="00583379"/>
    <w:rsid w:val="0058417C"/>
    <w:rsid w:val="00584259"/>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35"/>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07B"/>
    <w:rsid w:val="00664296"/>
    <w:rsid w:val="00664427"/>
    <w:rsid w:val="00664840"/>
    <w:rsid w:val="006649CD"/>
    <w:rsid w:val="00665D75"/>
    <w:rsid w:val="0066684A"/>
    <w:rsid w:val="006708E3"/>
    <w:rsid w:val="00670DDC"/>
    <w:rsid w:val="00671389"/>
    <w:rsid w:val="00671EB4"/>
    <w:rsid w:val="00673CDC"/>
    <w:rsid w:val="0067443B"/>
    <w:rsid w:val="00674895"/>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2EA0"/>
    <w:rsid w:val="006A3B8E"/>
    <w:rsid w:val="006A3C26"/>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4FD5"/>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2B13"/>
    <w:rsid w:val="007340F3"/>
    <w:rsid w:val="007347BB"/>
    <w:rsid w:val="00735704"/>
    <w:rsid w:val="00736A49"/>
    <w:rsid w:val="007419A1"/>
    <w:rsid w:val="00743B71"/>
    <w:rsid w:val="00743C2D"/>
    <w:rsid w:val="00743C3A"/>
    <w:rsid w:val="00743E36"/>
    <w:rsid w:val="00743E3D"/>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2936"/>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B7DD9"/>
    <w:rsid w:val="007C05C5"/>
    <w:rsid w:val="007C0715"/>
    <w:rsid w:val="007C0B04"/>
    <w:rsid w:val="007C112A"/>
    <w:rsid w:val="007C11E9"/>
    <w:rsid w:val="007C1C06"/>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6BD9"/>
    <w:rsid w:val="008078D8"/>
    <w:rsid w:val="0080798E"/>
    <w:rsid w:val="00811BD9"/>
    <w:rsid w:val="00811D5B"/>
    <w:rsid w:val="00813C51"/>
    <w:rsid w:val="00816CCB"/>
    <w:rsid w:val="00817572"/>
    <w:rsid w:val="00817713"/>
    <w:rsid w:val="008208C3"/>
    <w:rsid w:val="008218FF"/>
    <w:rsid w:val="008220F1"/>
    <w:rsid w:val="0082340B"/>
    <w:rsid w:val="00823D6A"/>
    <w:rsid w:val="00824731"/>
    <w:rsid w:val="00825A81"/>
    <w:rsid w:val="00827B29"/>
    <w:rsid w:val="00827DB6"/>
    <w:rsid w:val="008304B2"/>
    <w:rsid w:val="00830999"/>
    <w:rsid w:val="00830D5E"/>
    <w:rsid w:val="00830F69"/>
    <w:rsid w:val="00831940"/>
    <w:rsid w:val="008324D9"/>
    <w:rsid w:val="00833418"/>
    <w:rsid w:val="00833815"/>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19E7"/>
    <w:rsid w:val="0085206E"/>
    <w:rsid w:val="008520FD"/>
    <w:rsid w:val="00852273"/>
    <w:rsid w:val="0085260B"/>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342E"/>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0594"/>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3B9"/>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603C"/>
    <w:rsid w:val="008E744D"/>
    <w:rsid w:val="008F1C57"/>
    <w:rsid w:val="008F1E08"/>
    <w:rsid w:val="008F30F4"/>
    <w:rsid w:val="008F58E1"/>
    <w:rsid w:val="008F6E05"/>
    <w:rsid w:val="008F6FC8"/>
    <w:rsid w:val="009001FA"/>
    <w:rsid w:val="0090045D"/>
    <w:rsid w:val="00900906"/>
    <w:rsid w:val="00900D8F"/>
    <w:rsid w:val="00901229"/>
    <w:rsid w:val="009014E3"/>
    <w:rsid w:val="00901538"/>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47174"/>
    <w:rsid w:val="00950A3A"/>
    <w:rsid w:val="0095159E"/>
    <w:rsid w:val="0095270D"/>
    <w:rsid w:val="00952C0C"/>
    <w:rsid w:val="00952CC5"/>
    <w:rsid w:val="0095340A"/>
    <w:rsid w:val="00953AF6"/>
    <w:rsid w:val="0095423E"/>
    <w:rsid w:val="00954581"/>
    <w:rsid w:val="0095466C"/>
    <w:rsid w:val="00954E5B"/>
    <w:rsid w:val="00955100"/>
    <w:rsid w:val="00955316"/>
    <w:rsid w:val="00955A6C"/>
    <w:rsid w:val="00955AAC"/>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3674"/>
    <w:rsid w:val="009842F3"/>
    <w:rsid w:val="00984B1A"/>
    <w:rsid w:val="00984EBF"/>
    <w:rsid w:val="00985099"/>
    <w:rsid w:val="00985D32"/>
    <w:rsid w:val="00986514"/>
    <w:rsid w:val="00986FCC"/>
    <w:rsid w:val="00990FD6"/>
    <w:rsid w:val="00991789"/>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4E48"/>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4C4"/>
    <w:rsid w:val="009F7809"/>
    <w:rsid w:val="009F7822"/>
    <w:rsid w:val="009F7AF5"/>
    <w:rsid w:val="00A00613"/>
    <w:rsid w:val="00A006F1"/>
    <w:rsid w:val="00A007A7"/>
    <w:rsid w:val="00A00D14"/>
    <w:rsid w:val="00A01408"/>
    <w:rsid w:val="00A02457"/>
    <w:rsid w:val="00A02AA8"/>
    <w:rsid w:val="00A03190"/>
    <w:rsid w:val="00A03A9E"/>
    <w:rsid w:val="00A0404B"/>
    <w:rsid w:val="00A04163"/>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2D72"/>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233E"/>
    <w:rsid w:val="00A63CEA"/>
    <w:rsid w:val="00A63DF3"/>
    <w:rsid w:val="00A65813"/>
    <w:rsid w:val="00A65C78"/>
    <w:rsid w:val="00A65F67"/>
    <w:rsid w:val="00A660A8"/>
    <w:rsid w:val="00A66A45"/>
    <w:rsid w:val="00A67591"/>
    <w:rsid w:val="00A67911"/>
    <w:rsid w:val="00A67CA6"/>
    <w:rsid w:val="00A70270"/>
    <w:rsid w:val="00A70E7B"/>
    <w:rsid w:val="00A717EA"/>
    <w:rsid w:val="00A730B0"/>
    <w:rsid w:val="00A7387A"/>
    <w:rsid w:val="00A73B84"/>
    <w:rsid w:val="00A73BCD"/>
    <w:rsid w:val="00A7411D"/>
    <w:rsid w:val="00A756C4"/>
    <w:rsid w:val="00A7592B"/>
    <w:rsid w:val="00A75ED7"/>
    <w:rsid w:val="00A76094"/>
    <w:rsid w:val="00A768E2"/>
    <w:rsid w:val="00A8036A"/>
    <w:rsid w:val="00A82C52"/>
    <w:rsid w:val="00A838E8"/>
    <w:rsid w:val="00A83C15"/>
    <w:rsid w:val="00A84EC4"/>
    <w:rsid w:val="00A86530"/>
    <w:rsid w:val="00A86CB6"/>
    <w:rsid w:val="00A909FA"/>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3C0D"/>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04B4"/>
    <w:rsid w:val="00B02145"/>
    <w:rsid w:val="00B022DC"/>
    <w:rsid w:val="00B039DD"/>
    <w:rsid w:val="00B04562"/>
    <w:rsid w:val="00B0472F"/>
    <w:rsid w:val="00B057FD"/>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8C7"/>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1E96"/>
    <w:rsid w:val="00B522CD"/>
    <w:rsid w:val="00B55143"/>
    <w:rsid w:val="00B553B2"/>
    <w:rsid w:val="00B555C8"/>
    <w:rsid w:val="00B55917"/>
    <w:rsid w:val="00B55D87"/>
    <w:rsid w:val="00B55FED"/>
    <w:rsid w:val="00B5646A"/>
    <w:rsid w:val="00B56F3D"/>
    <w:rsid w:val="00B57921"/>
    <w:rsid w:val="00B57E78"/>
    <w:rsid w:val="00B57EB8"/>
    <w:rsid w:val="00B609F6"/>
    <w:rsid w:val="00B60E75"/>
    <w:rsid w:val="00B6244A"/>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1CD2"/>
    <w:rsid w:val="00B82277"/>
    <w:rsid w:val="00B83F87"/>
    <w:rsid w:val="00B843DD"/>
    <w:rsid w:val="00B8478F"/>
    <w:rsid w:val="00B84F93"/>
    <w:rsid w:val="00B91676"/>
    <w:rsid w:val="00B9322B"/>
    <w:rsid w:val="00B93640"/>
    <w:rsid w:val="00B94023"/>
    <w:rsid w:val="00B94DCF"/>
    <w:rsid w:val="00B955D5"/>
    <w:rsid w:val="00B95833"/>
    <w:rsid w:val="00BA1824"/>
    <w:rsid w:val="00BA28B5"/>
    <w:rsid w:val="00BA2D98"/>
    <w:rsid w:val="00BA2F0C"/>
    <w:rsid w:val="00BA301E"/>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5DE"/>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1BA1"/>
    <w:rsid w:val="00C12506"/>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382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2742"/>
    <w:rsid w:val="00C34168"/>
    <w:rsid w:val="00C34247"/>
    <w:rsid w:val="00C34326"/>
    <w:rsid w:val="00C34CEB"/>
    <w:rsid w:val="00C36201"/>
    <w:rsid w:val="00C368E8"/>
    <w:rsid w:val="00C36C3D"/>
    <w:rsid w:val="00C372C7"/>
    <w:rsid w:val="00C3752A"/>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A1F"/>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008A"/>
    <w:rsid w:val="00C910DE"/>
    <w:rsid w:val="00C92DE6"/>
    <w:rsid w:val="00C931FC"/>
    <w:rsid w:val="00C932C5"/>
    <w:rsid w:val="00C94CB6"/>
    <w:rsid w:val="00C95299"/>
    <w:rsid w:val="00C95A72"/>
    <w:rsid w:val="00C9650E"/>
    <w:rsid w:val="00C97000"/>
    <w:rsid w:val="00C975BD"/>
    <w:rsid w:val="00CA068D"/>
    <w:rsid w:val="00CA08DF"/>
    <w:rsid w:val="00CA1228"/>
    <w:rsid w:val="00CA1C73"/>
    <w:rsid w:val="00CA282D"/>
    <w:rsid w:val="00CA321F"/>
    <w:rsid w:val="00CA3F73"/>
    <w:rsid w:val="00CA4670"/>
    <w:rsid w:val="00CA4691"/>
    <w:rsid w:val="00CA500E"/>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651"/>
    <w:rsid w:val="00CD1EF2"/>
    <w:rsid w:val="00CD32BD"/>
    <w:rsid w:val="00CD34C7"/>
    <w:rsid w:val="00CD5653"/>
    <w:rsid w:val="00CD5E6D"/>
    <w:rsid w:val="00CD63C8"/>
    <w:rsid w:val="00CD76F8"/>
    <w:rsid w:val="00CD78A5"/>
    <w:rsid w:val="00CE02E8"/>
    <w:rsid w:val="00CE069E"/>
    <w:rsid w:val="00CE0C3D"/>
    <w:rsid w:val="00CE0DE0"/>
    <w:rsid w:val="00CE214F"/>
    <w:rsid w:val="00CE2B1F"/>
    <w:rsid w:val="00CE2CC2"/>
    <w:rsid w:val="00CE3722"/>
    <w:rsid w:val="00CE449C"/>
    <w:rsid w:val="00CE5F15"/>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6C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410C"/>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24F"/>
    <w:rsid w:val="00D554A2"/>
    <w:rsid w:val="00D554BC"/>
    <w:rsid w:val="00D560DC"/>
    <w:rsid w:val="00D56602"/>
    <w:rsid w:val="00D60483"/>
    <w:rsid w:val="00D61ABB"/>
    <w:rsid w:val="00D62D5C"/>
    <w:rsid w:val="00D63577"/>
    <w:rsid w:val="00D67FD7"/>
    <w:rsid w:val="00D704E4"/>
    <w:rsid w:val="00D71A04"/>
    <w:rsid w:val="00D72410"/>
    <w:rsid w:val="00D7393A"/>
    <w:rsid w:val="00D73D53"/>
    <w:rsid w:val="00D7402C"/>
    <w:rsid w:val="00D7408A"/>
    <w:rsid w:val="00D74261"/>
    <w:rsid w:val="00D7441B"/>
    <w:rsid w:val="00D74D38"/>
    <w:rsid w:val="00D75589"/>
    <w:rsid w:val="00D76AB2"/>
    <w:rsid w:val="00D77FEB"/>
    <w:rsid w:val="00D80490"/>
    <w:rsid w:val="00D828F9"/>
    <w:rsid w:val="00D829AD"/>
    <w:rsid w:val="00D82EE2"/>
    <w:rsid w:val="00D8352E"/>
    <w:rsid w:val="00D83746"/>
    <w:rsid w:val="00D83D1B"/>
    <w:rsid w:val="00D84133"/>
    <w:rsid w:val="00D84B8D"/>
    <w:rsid w:val="00D8545C"/>
    <w:rsid w:val="00D86AB5"/>
    <w:rsid w:val="00D86E57"/>
    <w:rsid w:val="00D875A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1BA"/>
    <w:rsid w:val="00DA5564"/>
    <w:rsid w:val="00DA6B55"/>
    <w:rsid w:val="00DA6B97"/>
    <w:rsid w:val="00DA6CEE"/>
    <w:rsid w:val="00DA7997"/>
    <w:rsid w:val="00DA7FB0"/>
    <w:rsid w:val="00DB0015"/>
    <w:rsid w:val="00DB0359"/>
    <w:rsid w:val="00DB0ABB"/>
    <w:rsid w:val="00DB1D01"/>
    <w:rsid w:val="00DB2AAD"/>
    <w:rsid w:val="00DB44E2"/>
    <w:rsid w:val="00DB4A6D"/>
    <w:rsid w:val="00DB5941"/>
    <w:rsid w:val="00DB626D"/>
    <w:rsid w:val="00DB6365"/>
    <w:rsid w:val="00DB756C"/>
    <w:rsid w:val="00DC07B7"/>
    <w:rsid w:val="00DC0BF1"/>
    <w:rsid w:val="00DC0F8E"/>
    <w:rsid w:val="00DC11B7"/>
    <w:rsid w:val="00DC1607"/>
    <w:rsid w:val="00DC17F2"/>
    <w:rsid w:val="00DC4001"/>
    <w:rsid w:val="00DC41C3"/>
    <w:rsid w:val="00DC4842"/>
    <w:rsid w:val="00DC4A3C"/>
    <w:rsid w:val="00DC4FA4"/>
    <w:rsid w:val="00DC5028"/>
    <w:rsid w:val="00DC5B37"/>
    <w:rsid w:val="00DD0AB5"/>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00B"/>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223"/>
    <w:rsid w:val="00E54846"/>
    <w:rsid w:val="00E548FA"/>
    <w:rsid w:val="00E55CD9"/>
    <w:rsid w:val="00E57703"/>
    <w:rsid w:val="00E57ED4"/>
    <w:rsid w:val="00E57FED"/>
    <w:rsid w:val="00E6092F"/>
    <w:rsid w:val="00E61EE9"/>
    <w:rsid w:val="00E62049"/>
    <w:rsid w:val="00E629DA"/>
    <w:rsid w:val="00E64344"/>
    <w:rsid w:val="00E64374"/>
    <w:rsid w:val="00E6451F"/>
    <w:rsid w:val="00E6461A"/>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3887"/>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3CFB"/>
    <w:rsid w:val="00EE48BB"/>
    <w:rsid w:val="00EE6FE0"/>
    <w:rsid w:val="00EE704A"/>
    <w:rsid w:val="00EE7840"/>
    <w:rsid w:val="00EF2346"/>
    <w:rsid w:val="00EF2E75"/>
    <w:rsid w:val="00EF4C74"/>
    <w:rsid w:val="00EF5268"/>
    <w:rsid w:val="00EF608E"/>
    <w:rsid w:val="00EF6C4A"/>
    <w:rsid w:val="00F0044B"/>
    <w:rsid w:val="00F00E60"/>
    <w:rsid w:val="00F01A97"/>
    <w:rsid w:val="00F020E5"/>
    <w:rsid w:val="00F02F9F"/>
    <w:rsid w:val="00F03525"/>
    <w:rsid w:val="00F03663"/>
    <w:rsid w:val="00F039A8"/>
    <w:rsid w:val="00F0424D"/>
    <w:rsid w:val="00F04515"/>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6CE3"/>
    <w:rsid w:val="00F171F9"/>
    <w:rsid w:val="00F1737C"/>
    <w:rsid w:val="00F173AA"/>
    <w:rsid w:val="00F20C3C"/>
    <w:rsid w:val="00F20DA4"/>
    <w:rsid w:val="00F20E9F"/>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3EAA"/>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50E8"/>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0B24"/>
    <w:rsid w:val="00FE2A48"/>
    <w:rsid w:val="00FE2DEF"/>
    <w:rsid w:val="00FE2E82"/>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styleId="Title">
    <w:name w:val="Title"/>
    <w:basedOn w:val="Normal"/>
    <w:link w:val="TitleChar"/>
    <w:qFormat/>
    <w:rsid w:val="001D77DD"/>
    <w:pPr>
      <w:spacing w:line="240" w:lineRule="auto"/>
    </w:pPr>
    <w:rPr>
      <w:rFonts w:ascii="Verdana" w:hAnsi="Verdana" w:cs="Times New Roman"/>
      <w:b/>
      <w:bCs/>
      <w:color w:val="800000"/>
      <w:szCs w:val="24"/>
    </w:rPr>
  </w:style>
  <w:style w:type="character" w:customStyle="1" w:styleId="TitleChar">
    <w:name w:val="Title Char"/>
    <w:basedOn w:val="DefaultParagraphFont"/>
    <w:link w:val="Title"/>
    <w:rsid w:val="001D77DD"/>
    <w:rPr>
      <w:rFonts w:ascii="Verdana" w:hAnsi="Verdana" w:cs="Times New Roman"/>
      <w:b/>
      <w:bCs/>
      <w:color w:val="8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38495">
      <w:bodyDiv w:val="1"/>
      <w:marLeft w:val="0"/>
      <w:marRight w:val="0"/>
      <w:marTop w:val="0"/>
      <w:marBottom w:val="0"/>
      <w:divBdr>
        <w:top w:val="none" w:sz="0" w:space="0" w:color="auto"/>
        <w:left w:val="none" w:sz="0" w:space="0" w:color="auto"/>
        <w:bottom w:val="none" w:sz="0" w:space="0" w:color="auto"/>
        <w:right w:val="none" w:sz="0" w:space="0" w:color="auto"/>
      </w:divBdr>
    </w:div>
    <w:div w:id="167136533">
      <w:bodyDiv w:val="1"/>
      <w:marLeft w:val="0"/>
      <w:marRight w:val="0"/>
      <w:marTop w:val="0"/>
      <w:marBottom w:val="0"/>
      <w:divBdr>
        <w:top w:val="none" w:sz="0" w:space="0" w:color="auto"/>
        <w:left w:val="none" w:sz="0" w:space="0" w:color="auto"/>
        <w:bottom w:val="none" w:sz="0" w:space="0" w:color="auto"/>
        <w:right w:val="none" w:sz="0" w:space="0" w:color="auto"/>
      </w:divBdr>
    </w:div>
    <w:div w:id="514343184">
      <w:bodyDiv w:val="1"/>
      <w:marLeft w:val="0"/>
      <w:marRight w:val="0"/>
      <w:marTop w:val="0"/>
      <w:marBottom w:val="0"/>
      <w:divBdr>
        <w:top w:val="none" w:sz="0" w:space="0" w:color="auto"/>
        <w:left w:val="none" w:sz="0" w:space="0" w:color="auto"/>
        <w:bottom w:val="none" w:sz="0" w:space="0" w:color="auto"/>
        <w:right w:val="none" w:sz="0" w:space="0" w:color="auto"/>
      </w:divBdr>
    </w:div>
    <w:div w:id="740904249">
      <w:bodyDiv w:val="1"/>
      <w:marLeft w:val="0"/>
      <w:marRight w:val="0"/>
      <w:marTop w:val="0"/>
      <w:marBottom w:val="0"/>
      <w:divBdr>
        <w:top w:val="none" w:sz="0" w:space="0" w:color="auto"/>
        <w:left w:val="none" w:sz="0" w:space="0" w:color="auto"/>
        <w:bottom w:val="none" w:sz="0" w:space="0" w:color="auto"/>
        <w:right w:val="none" w:sz="0" w:space="0" w:color="auto"/>
      </w:divBdr>
    </w:div>
    <w:div w:id="1921672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B3E32-9181-4DA1-A8EC-B6469ACC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2012-11-21T16:22:00Z</dcterms:created>
  <dcterms:modified xsi:type="dcterms:W3CDTF">2012-11-21T16:22:00Z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