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E3B18" w:rsidP="0095270D">
      <w:pPr>
        <w:tabs>
          <w:tab w:val="left" w:pos="288"/>
          <w:tab w:val="left" w:pos="4752"/>
          <w:tab w:val="left" w:pos="6390"/>
          <w:tab w:val="left" w:pos="9270"/>
        </w:tabs>
        <w:jc w:val="both"/>
        <w:rPr>
          <w:caps/>
          <w:color w:val="000000" w:themeColor="text1"/>
        </w:rPr>
      </w:pPr>
      <w:r w:rsidRPr="00F64312">
        <w:rPr>
          <w:caps/>
          <w:color w:val="auto"/>
        </w:rPr>
        <w:t xml:space="preserve">NAME:  </w:t>
      </w:r>
      <w:r w:rsidR="00DE718E">
        <w:rPr>
          <w:caps/>
          <w:color w:val="auto"/>
        </w:rPr>
        <w:t>XXXXXXXXXXXXXXXXX</w:t>
      </w:r>
      <w:r w:rsidR="0095270D" w:rsidRPr="001F29F9">
        <w:rPr>
          <w:caps/>
          <w:color w:val="000000" w:themeColor="text1"/>
        </w:rPr>
        <w:t xml:space="preserve">        </w:t>
      </w:r>
      <w:r w:rsidR="0095270D">
        <w:rPr>
          <w:caps/>
          <w:color w:val="000000" w:themeColor="text1"/>
        </w:rPr>
        <w:tab/>
        <w:t xml:space="preserve">            </w:t>
      </w:r>
      <w:r w:rsidR="001E694E">
        <w:rPr>
          <w:caps/>
          <w:color w:val="000000" w:themeColor="text1"/>
        </w:rPr>
        <w:t xml:space="preserve">    </w:t>
      </w:r>
      <w:r w:rsidR="0095270D">
        <w:rPr>
          <w:caps/>
          <w:color w:val="000000" w:themeColor="text1"/>
        </w:rPr>
        <w:t xml:space="preserve">           </w:t>
      </w:r>
      <w:r w:rsidR="001E694E">
        <w:rPr>
          <w:caps/>
          <w:color w:val="000000" w:themeColor="text1"/>
        </w:rPr>
        <w:t xml:space="preserve"> </w:t>
      </w:r>
      <w:r w:rsidR="0095270D">
        <w:rPr>
          <w:caps/>
          <w:color w:val="000000" w:themeColor="text1"/>
        </w:rPr>
        <w:t xml:space="preserve">     </w:t>
      </w:r>
      <w:r w:rsidR="0095270D" w:rsidRPr="001F29F9">
        <w:rPr>
          <w:caps/>
          <w:color w:val="000000" w:themeColor="text1"/>
        </w:rPr>
        <w:t xml:space="preserve">BRANCH OF </w:t>
      </w:r>
      <w:r w:rsidR="0095270D" w:rsidRPr="004227C4">
        <w:rPr>
          <w:caps/>
          <w:color w:val="000000" w:themeColor="text1"/>
        </w:rPr>
        <w:t>SERVICE:  Army</w:t>
      </w:r>
    </w:p>
    <w:p w:rsidR="0095270D" w:rsidRDefault="007A7F28" w:rsidP="0095270D">
      <w:pPr>
        <w:tabs>
          <w:tab w:val="left" w:pos="288"/>
          <w:tab w:val="left" w:pos="5130"/>
        </w:tabs>
        <w:jc w:val="both"/>
        <w:rPr>
          <w:color w:val="000000" w:themeColor="text1"/>
        </w:rPr>
      </w:pPr>
      <w:r>
        <w:rPr>
          <w:caps/>
          <w:color w:val="000000" w:themeColor="text1"/>
        </w:rPr>
        <w:t>CASE NUMBER:  PD12</w:t>
      </w:r>
      <w:r w:rsidR="0095270D">
        <w:rPr>
          <w:caps/>
          <w:color w:val="000000" w:themeColor="text1"/>
        </w:rPr>
        <w:t>00</w:t>
      </w:r>
      <w:r w:rsidR="009E3B18">
        <w:rPr>
          <w:caps/>
          <w:color w:val="000000" w:themeColor="text1"/>
        </w:rPr>
        <w:t>380</w:t>
      </w:r>
      <w:r w:rsidR="0095270D" w:rsidRPr="001F29F9">
        <w:rPr>
          <w:color w:val="000000" w:themeColor="text1"/>
        </w:rPr>
        <w:t xml:space="preserve">                            </w:t>
      </w:r>
      <w:r w:rsidR="0095270D">
        <w:rPr>
          <w:color w:val="000000" w:themeColor="text1"/>
        </w:rPr>
        <w:tab/>
      </w:r>
      <w:r w:rsidR="0095270D">
        <w:rPr>
          <w:color w:val="000000" w:themeColor="text1"/>
        </w:rPr>
        <w:tab/>
        <w:t xml:space="preserve">          </w:t>
      </w:r>
      <w:r w:rsidR="0095270D" w:rsidRPr="001F29F9">
        <w:rPr>
          <w:color w:val="000000" w:themeColor="text1"/>
        </w:rPr>
        <w:t xml:space="preserve"> SEPARATION DATE:  </w:t>
      </w:r>
      <w:r w:rsidR="009E3B18" w:rsidRPr="00F64312">
        <w:rPr>
          <w:color w:val="auto"/>
        </w:rPr>
        <w:t>200</w:t>
      </w:r>
      <w:r w:rsidR="009E3B18">
        <w:rPr>
          <w:color w:val="auto"/>
        </w:rPr>
        <w:t>60110</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014780">
        <w:rPr>
          <w:caps/>
          <w:color w:val="000000"/>
        </w:rPr>
        <w:t>1026</w:t>
      </w:r>
      <w:r w:rsidRPr="001F29F9">
        <w:rPr>
          <w:caps/>
          <w:color w:val="000000"/>
        </w:rPr>
        <w:t xml:space="preserve">         </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50B3F" w:rsidRDefault="00D50B3F" w:rsidP="00DC62F0">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Pr>
          <w:color w:val="000000"/>
        </w:rPr>
        <w:t>an active duty SGT/E-5</w:t>
      </w:r>
      <w:r w:rsidR="009E3B18">
        <w:rPr>
          <w:color w:val="000000"/>
        </w:rPr>
        <w:t xml:space="preserve"> (13P</w:t>
      </w:r>
      <w:r w:rsidR="0015241A">
        <w:rPr>
          <w:color w:val="000000"/>
        </w:rPr>
        <w:t>/</w:t>
      </w:r>
      <w:r w:rsidR="009E3B18" w:rsidRPr="00134712">
        <w:rPr>
          <w:color w:val="auto"/>
        </w:rPr>
        <w:t>Multiple Launch Rocket</w:t>
      </w:r>
      <w:r w:rsidR="009E3B18">
        <w:rPr>
          <w:color w:val="auto"/>
        </w:rPr>
        <w:t xml:space="preserve"> Fire Control Specialist</w:t>
      </w:r>
      <w:r w:rsidR="009E3B18">
        <w:rPr>
          <w:color w:val="000000"/>
        </w:rPr>
        <w:t>)</w:t>
      </w:r>
      <w:r>
        <w:rPr>
          <w:color w:val="000000"/>
        </w:rPr>
        <w:t xml:space="preserve"> </w:t>
      </w:r>
      <w:r w:rsidRPr="001F29F9">
        <w:rPr>
          <w:color w:val="000000"/>
        </w:rPr>
        <w:t xml:space="preserve">medically separated for </w:t>
      </w:r>
      <w:r w:rsidR="009E3B18">
        <w:rPr>
          <w:color w:val="000000"/>
        </w:rPr>
        <w:t>atypical chest pain/extremity pain</w:t>
      </w:r>
      <w:r w:rsidRPr="001F29F9">
        <w:rPr>
          <w:color w:val="000000"/>
        </w:rPr>
        <w:t xml:space="preserve">. </w:t>
      </w:r>
      <w:r>
        <w:rPr>
          <w:color w:val="000000"/>
        </w:rPr>
        <w:t xml:space="preserve"> </w:t>
      </w:r>
      <w:r w:rsidR="005E08FE">
        <w:rPr>
          <w:color w:val="000000"/>
        </w:rPr>
        <w:t>He developed intermittent chest pain, periodic pain in all four extremities, and multiple associated symptoms d</w:t>
      </w:r>
      <w:r w:rsidR="00014780">
        <w:rPr>
          <w:color w:val="000000"/>
        </w:rPr>
        <w:t>uring a 2003 deployment to Iraq</w:t>
      </w:r>
      <w:r w:rsidR="005E08FE">
        <w:rPr>
          <w:color w:val="000000"/>
        </w:rPr>
        <w:t xml:space="preserve">.  He underwent exhaustive ancillary evaluations and specialty consultations without a specific etiology identified for chest or extremity complaints.  The symptoms </w:t>
      </w:r>
      <w:r w:rsidRPr="00F566B7">
        <w:rPr>
          <w:color w:val="000000"/>
        </w:rPr>
        <w:t xml:space="preserve">could not be adequately </w:t>
      </w:r>
      <w:r w:rsidR="005E08FE">
        <w:rPr>
          <w:color w:val="000000"/>
        </w:rPr>
        <w:t>controlled</w:t>
      </w:r>
      <w:r w:rsidR="00695E03">
        <w:rPr>
          <w:color w:val="000000"/>
        </w:rPr>
        <w:t xml:space="preserve"> </w:t>
      </w:r>
      <w:r w:rsidR="00695E03" w:rsidRPr="00192A48">
        <w:rPr>
          <w:rFonts w:cstheme="minorHAnsi"/>
          <w:color w:val="000000"/>
          <w:szCs w:val="24"/>
        </w:rPr>
        <w:t xml:space="preserve">to meet the physical requirements of </w:t>
      </w:r>
      <w:r w:rsidR="00695E03" w:rsidRPr="00D43C62">
        <w:rPr>
          <w:rFonts w:cstheme="minorHAnsi"/>
          <w:color w:val="000000"/>
          <w:szCs w:val="24"/>
        </w:rPr>
        <w:t>his</w:t>
      </w:r>
      <w:r w:rsidR="00695E03" w:rsidRPr="00192A48">
        <w:rPr>
          <w:rFonts w:cstheme="minorHAnsi"/>
          <w:color w:val="000000"/>
          <w:szCs w:val="24"/>
        </w:rPr>
        <w:t xml:space="preserve"> Military Occupational Specialty (MOS) or satisfy</w:t>
      </w:r>
      <w:r w:rsidR="00695E03" w:rsidRPr="00D43C62">
        <w:rPr>
          <w:rFonts w:cstheme="minorHAnsi"/>
          <w:color w:val="000000"/>
          <w:szCs w:val="24"/>
        </w:rPr>
        <w:t xml:space="preserve"> physical fitness standards.  H</w:t>
      </w:r>
      <w:r w:rsidR="00695E03" w:rsidRPr="00192A48">
        <w:rPr>
          <w:rFonts w:cstheme="minorHAnsi"/>
          <w:color w:val="000000"/>
          <w:szCs w:val="24"/>
        </w:rPr>
        <w:t xml:space="preserve">e was </w:t>
      </w:r>
      <w:r w:rsidR="00695E03" w:rsidRPr="00D43C62">
        <w:rPr>
          <w:rFonts w:cstheme="minorHAnsi"/>
          <w:color w:val="000000"/>
          <w:szCs w:val="24"/>
        </w:rPr>
        <w:t xml:space="preserve">issued a permanent </w:t>
      </w:r>
      <w:r w:rsidR="00695E03">
        <w:rPr>
          <w:rFonts w:cstheme="minorHAnsi"/>
          <w:color w:val="000000"/>
          <w:szCs w:val="24"/>
        </w:rPr>
        <w:t>P3/</w:t>
      </w:r>
      <w:r w:rsidR="00695E03" w:rsidRPr="00D43C62">
        <w:rPr>
          <w:rFonts w:cstheme="minorHAnsi"/>
          <w:color w:val="000000"/>
          <w:szCs w:val="24"/>
        </w:rPr>
        <w:t>U</w:t>
      </w:r>
      <w:r w:rsidR="00695E03" w:rsidRPr="00192A48">
        <w:rPr>
          <w:rFonts w:cstheme="minorHAnsi"/>
          <w:color w:val="000000"/>
          <w:szCs w:val="24"/>
        </w:rPr>
        <w:t>3</w:t>
      </w:r>
      <w:r w:rsidR="00695E03">
        <w:rPr>
          <w:rFonts w:cstheme="minorHAnsi"/>
          <w:color w:val="000000"/>
          <w:szCs w:val="24"/>
        </w:rPr>
        <w:t>/L3</w:t>
      </w:r>
      <w:r w:rsidR="00695E03" w:rsidRPr="00192A48">
        <w:rPr>
          <w:rFonts w:cstheme="minorHAnsi"/>
          <w:color w:val="000000"/>
          <w:szCs w:val="24"/>
        </w:rPr>
        <w:t xml:space="preserve"> profile and referred for a Medical Evaluation Board (MEB).  </w:t>
      </w:r>
      <w:r w:rsidR="00695E03">
        <w:rPr>
          <w:rFonts w:cstheme="minorHAnsi"/>
          <w:color w:val="000000"/>
          <w:szCs w:val="24"/>
        </w:rPr>
        <w:t xml:space="preserve">Two </w:t>
      </w:r>
      <w:r w:rsidR="00695E03" w:rsidRPr="00192A48">
        <w:rPr>
          <w:rFonts w:cstheme="minorHAnsi"/>
          <w:color w:val="000000"/>
          <w:szCs w:val="24"/>
        </w:rPr>
        <w:t>diagnoses</w:t>
      </w:r>
      <w:r w:rsidR="00695E03" w:rsidRPr="00D43C62">
        <w:rPr>
          <w:rFonts w:cstheme="minorHAnsi"/>
          <w:color w:val="000000"/>
          <w:szCs w:val="24"/>
        </w:rPr>
        <w:t xml:space="preserve">, </w:t>
      </w:r>
      <w:r w:rsidR="00695E03">
        <w:rPr>
          <w:rFonts w:cstheme="minorHAnsi"/>
          <w:color w:val="000000"/>
          <w:szCs w:val="24"/>
        </w:rPr>
        <w:t xml:space="preserve">“atypical chest pain” and “extremity muscle cramps”, </w:t>
      </w:r>
      <w:r w:rsidR="00695E03" w:rsidRPr="00192A48">
        <w:rPr>
          <w:rFonts w:cstheme="minorHAnsi"/>
          <w:color w:val="000000"/>
          <w:szCs w:val="24"/>
        </w:rPr>
        <w:t xml:space="preserve">were forwarded to the </w:t>
      </w:r>
      <w:r w:rsidR="001E694E">
        <w:rPr>
          <w:rFonts w:cstheme="minorHAnsi"/>
          <w:color w:val="000000"/>
          <w:szCs w:val="24"/>
        </w:rPr>
        <w:t xml:space="preserve">Informal </w:t>
      </w:r>
      <w:r w:rsidR="00695E03" w:rsidRPr="00192A48">
        <w:rPr>
          <w:rFonts w:cstheme="minorHAnsi"/>
          <w:color w:val="000000"/>
          <w:szCs w:val="24"/>
        </w:rPr>
        <w:t>Physical Evaluation Board (</w:t>
      </w:r>
      <w:r w:rsidR="001E694E">
        <w:rPr>
          <w:rFonts w:cstheme="minorHAnsi"/>
          <w:color w:val="000000"/>
          <w:szCs w:val="24"/>
        </w:rPr>
        <w:t>I</w:t>
      </w:r>
      <w:r w:rsidR="00695E03" w:rsidRPr="00192A48">
        <w:rPr>
          <w:rFonts w:cstheme="minorHAnsi"/>
          <w:color w:val="000000"/>
          <w:szCs w:val="24"/>
        </w:rPr>
        <w:t xml:space="preserve">PEB) as separate </w:t>
      </w:r>
      <w:r w:rsidR="006335B8" w:rsidRPr="00192A48">
        <w:rPr>
          <w:rFonts w:cstheme="minorHAnsi"/>
          <w:color w:val="000000"/>
          <w:szCs w:val="24"/>
        </w:rPr>
        <w:t xml:space="preserve">conditions </w:t>
      </w:r>
      <w:r w:rsidR="00695E03" w:rsidRPr="00192A48">
        <w:rPr>
          <w:rFonts w:cstheme="minorHAnsi"/>
          <w:color w:val="000000"/>
          <w:szCs w:val="24"/>
        </w:rPr>
        <w:t xml:space="preserve">medically unacceptable IAW AR 40-501.  </w:t>
      </w:r>
      <w:r w:rsidR="00695E03" w:rsidRPr="00D43C62">
        <w:rPr>
          <w:rFonts w:cstheme="minorHAnsi"/>
          <w:color w:val="000000"/>
          <w:szCs w:val="24"/>
        </w:rPr>
        <w:t xml:space="preserve">No other conditions were submitted by the MEB.  </w:t>
      </w:r>
      <w:r w:rsidR="00695E03">
        <w:rPr>
          <w:rFonts w:cstheme="minorHAnsi"/>
          <w:color w:val="000000"/>
          <w:szCs w:val="24"/>
        </w:rPr>
        <w:t xml:space="preserve">The IPEB </w:t>
      </w:r>
      <w:r w:rsidR="00695E03" w:rsidRPr="00192A48">
        <w:rPr>
          <w:rFonts w:cstheme="minorHAnsi"/>
          <w:color w:val="000000"/>
          <w:szCs w:val="24"/>
        </w:rPr>
        <w:t xml:space="preserve">adjudicated the </w:t>
      </w:r>
      <w:r w:rsidR="00695E03">
        <w:rPr>
          <w:rFonts w:cstheme="minorHAnsi"/>
          <w:color w:val="000000"/>
          <w:szCs w:val="24"/>
        </w:rPr>
        <w:t>two</w:t>
      </w:r>
      <w:r w:rsidR="00695E03" w:rsidRPr="00D43C62">
        <w:rPr>
          <w:rFonts w:cstheme="minorHAnsi"/>
          <w:color w:val="000000"/>
          <w:szCs w:val="24"/>
        </w:rPr>
        <w:t xml:space="preserve"> </w:t>
      </w:r>
      <w:r w:rsidR="00695E03" w:rsidRPr="00192A48">
        <w:rPr>
          <w:rFonts w:cstheme="minorHAnsi"/>
          <w:color w:val="000000"/>
          <w:szCs w:val="24"/>
        </w:rPr>
        <w:t xml:space="preserve">diagnoses as a single unfitting condition, </w:t>
      </w:r>
      <w:r w:rsidR="00695E03">
        <w:rPr>
          <w:rFonts w:cstheme="minorHAnsi"/>
          <w:color w:val="000000"/>
          <w:szCs w:val="24"/>
        </w:rPr>
        <w:t>“chronic atypical non-cardiac chest pain and extremity pain due to muscle cramps,</w:t>
      </w:r>
      <w:r w:rsidR="0015241A">
        <w:rPr>
          <w:rFonts w:cstheme="minorHAnsi"/>
          <w:color w:val="000000"/>
          <w:szCs w:val="24"/>
        </w:rPr>
        <w:t>”</w:t>
      </w:r>
      <w:r w:rsidR="00695E03">
        <w:rPr>
          <w:rFonts w:cstheme="minorHAnsi"/>
          <w:color w:val="000000"/>
          <w:szCs w:val="24"/>
        </w:rPr>
        <w:t xml:space="preserve"> </w:t>
      </w:r>
      <w:r w:rsidR="00695E03" w:rsidRPr="00192A48">
        <w:rPr>
          <w:rFonts w:cstheme="minorHAnsi"/>
          <w:color w:val="000000"/>
          <w:szCs w:val="24"/>
        </w:rPr>
        <w:t>coded analogously to 5003 (degenerat</w:t>
      </w:r>
      <w:r w:rsidR="00695E03" w:rsidRPr="00D43C62">
        <w:rPr>
          <w:rFonts w:cstheme="minorHAnsi"/>
          <w:color w:val="000000"/>
          <w:szCs w:val="24"/>
        </w:rPr>
        <w:t xml:space="preserve">ive arthritis) and rated 10%, </w:t>
      </w:r>
      <w:r w:rsidR="00695E03">
        <w:rPr>
          <w:rFonts w:cstheme="minorHAnsi"/>
          <w:color w:val="000000"/>
          <w:szCs w:val="24"/>
        </w:rPr>
        <w:t>referencing</w:t>
      </w:r>
      <w:r w:rsidR="00695E03" w:rsidRPr="00192A48">
        <w:rPr>
          <w:rFonts w:cstheme="minorHAnsi"/>
          <w:color w:val="000000"/>
          <w:szCs w:val="24"/>
        </w:rPr>
        <w:t xml:space="preserve"> the </w:t>
      </w:r>
      <w:r w:rsidR="00695E03" w:rsidRPr="00D43C62">
        <w:rPr>
          <w:rFonts w:cstheme="minorHAnsi"/>
          <w:color w:val="000000"/>
          <w:szCs w:val="24"/>
        </w:rPr>
        <w:t>US Army Physical Disability Agency (USAPDA) pain policy.</w:t>
      </w:r>
      <w:r w:rsidR="00695E03" w:rsidRPr="00192A48">
        <w:rPr>
          <w:rFonts w:cstheme="minorHAnsi"/>
          <w:color w:val="000000"/>
          <w:szCs w:val="24"/>
        </w:rPr>
        <w:t xml:space="preserve">  </w:t>
      </w:r>
      <w:r w:rsidR="00695E03">
        <w:rPr>
          <w:rFonts w:cstheme="minorHAnsi"/>
          <w:color w:val="000000"/>
          <w:szCs w:val="24"/>
        </w:rPr>
        <w:t xml:space="preserve">The code and rating was unchanged </w:t>
      </w:r>
      <w:r w:rsidR="00DC62F0">
        <w:rPr>
          <w:rFonts w:cstheme="minorHAnsi"/>
          <w:color w:val="000000"/>
          <w:szCs w:val="24"/>
        </w:rPr>
        <w:t>by an informal reconsideration per the USAPDA; and the CI appealed to a Formal PEB (FPEB), which a</w:t>
      </w:r>
      <w:r w:rsidR="006335B8">
        <w:rPr>
          <w:rFonts w:cstheme="minorHAnsi"/>
          <w:color w:val="000000"/>
          <w:szCs w:val="24"/>
        </w:rPr>
        <w:t>ffirmed the prior determination</w:t>
      </w:r>
      <w:r w:rsidR="00DC62F0">
        <w:rPr>
          <w:rFonts w:cstheme="minorHAnsi"/>
          <w:color w:val="000000"/>
          <w:szCs w:val="24"/>
        </w:rPr>
        <w:t xml:space="preserve">.  </w:t>
      </w:r>
      <w:r w:rsidR="00695E03" w:rsidRPr="00192A48">
        <w:rPr>
          <w:rFonts w:cstheme="minorHAnsi"/>
          <w:color w:val="000000"/>
          <w:szCs w:val="24"/>
        </w:rPr>
        <w:t xml:space="preserve">The CI was </w:t>
      </w:r>
      <w:r w:rsidR="00DC62F0">
        <w:rPr>
          <w:rFonts w:cstheme="minorHAnsi"/>
          <w:color w:val="000000"/>
          <w:szCs w:val="24"/>
        </w:rPr>
        <w:t xml:space="preserve">thus </w:t>
      </w:r>
      <w:r w:rsidR="00695E03" w:rsidRPr="00192A48">
        <w:rPr>
          <w:rFonts w:cstheme="minorHAnsi"/>
          <w:color w:val="000000"/>
          <w:szCs w:val="24"/>
        </w:rPr>
        <w:t>medically separated with a 10% disability rating.</w:t>
      </w:r>
    </w:p>
    <w:p w:rsidR="00D50B3F" w:rsidRPr="001F29F9" w:rsidRDefault="00D50B3F" w:rsidP="00D50B3F">
      <w:pPr>
        <w:pBdr>
          <w:bottom w:val="single" w:sz="12" w:space="1" w:color="auto"/>
        </w:pBdr>
        <w:tabs>
          <w:tab w:val="left" w:pos="288"/>
          <w:tab w:val="left" w:pos="4752"/>
        </w:tabs>
        <w:jc w:val="both"/>
        <w:rPr>
          <w:color w:val="000000"/>
        </w:rPr>
      </w:pPr>
    </w:p>
    <w:p w:rsidR="00D50B3F" w:rsidRPr="001F29F9" w:rsidRDefault="00D50B3F" w:rsidP="00D50B3F">
      <w:pPr>
        <w:tabs>
          <w:tab w:val="left" w:pos="288"/>
          <w:tab w:val="left" w:pos="4752"/>
        </w:tabs>
        <w:jc w:val="both"/>
        <w:rPr>
          <w:color w:val="000000"/>
        </w:rPr>
      </w:pPr>
    </w:p>
    <w:p w:rsidR="00D50B3F" w:rsidRPr="00C246EE" w:rsidRDefault="00D50B3F" w:rsidP="00D50B3F">
      <w:pPr>
        <w:tabs>
          <w:tab w:val="left" w:pos="288"/>
          <w:tab w:val="left" w:pos="4752"/>
        </w:tabs>
        <w:jc w:val="both"/>
        <w:rPr>
          <w:i/>
          <w:color w:val="000000" w:themeColor="text1"/>
          <w:highlight w:val="cyan"/>
        </w:rPr>
      </w:pPr>
      <w:r w:rsidRPr="001F29F9">
        <w:rPr>
          <w:color w:val="000000"/>
          <w:u w:val="single"/>
        </w:rPr>
        <w:t>CI CONTENTION</w:t>
      </w:r>
      <w:r w:rsidRPr="000D71CD">
        <w:rPr>
          <w:color w:val="000000"/>
        </w:rPr>
        <w:t xml:space="preserve">: </w:t>
      </w:r>
      <w:r w:rsidR="009B0110" w:rsidRPr="000D71CD">
        <w:rPr>
          <w:color w:val="000000"/>
        </w:rPr>
        <w:t xml:space="preserve">The application states: </w:t>
      </w:r>
      <w:r w:rsidR="000D71CD" w:rsidRPr="000D71CD">
        <w:rPr>
          <w:color w:val="auto"/>
        </w:rPr>
        <w:t xml:space="preserve">“I was evaluated under the PEB criteria that has been changed.”  </w:t>
      </w:r>
      <w:r w:rsidRPr="000D71CD">
        <w:rPr>
          <w:rFonts w:eastAsiaTheme="minorHAnsi"/>
          <w:color w:val="000000" w:themeColor="text1"/>
          <w:szCs w:val="24"/>
        </w:rPr>
        <w:t>He does not elaborate further or specify</w:t>
      </w:r>
      <w:r w:rsidRPr="00F72DEB">
        <w:rPr>
          <w:rFonts w:eastAsiaTheme="minorHAnsi"/>
          <w:color w:val="000000" w:themeColor="text1"/>
          <w:szCs w:val="24"/>
        </w:rPr>
        <w:t xml:space="preserve"> a request for Board consideration of any additional conditions.</w:t>
      </w:r>
      <w:r>
        <w:rPr>
          <w:color w:val="000000" w:themeColor="text1"/>
        </w:rPr>
        <w:t xml:space="preserve"> </w:t>
      </w:r>
    </w:p>
    <w:p w:rsidR="00D50B3F" w:rsidRPr="001F29F9" w:rsidRDefault="00D50B3F" w:rsidP="00D50B3F">
      <w:pPr>
        <w:pBdr>
          <w:bottom w:val="single" w:sz="12" w:space="1" w:color="auto"/>
        </w:pBdr>
        <w:tabs>
          <w:tab w:val="left" w:pos="288"/>
          <w:tab w:val="left" w:pos="4752"/>
        </w:tabs>
        <w:jc w:val="both"/>
        <w:rPr>
          <w:color w:val="000000"/>
        </w:rPr>
      </w:pPr>
    </w:p>
    <w:p w:rsidR="00D50B3F" w:rsidRPr="001F29F9" w:rsidRDefault="00D50B3F" w:rsidP="00D50B3F">
      <w:pPr>
        <w:tabs>
          <w:tab w:val="left" w:pos="288"/>
          <w:tab w:val="left" w:pos="4752"/>
        </w:tabs>
        <w:jc w:val="both"/>
        <w:rPr>
          <w:color w:val="000000"/>
        </w:rPr>
      </w:pPr>
    </w:p>
    <w:p w:rsidR="00F14638" w:rsidRPr="00C566C9" w:rsidRDefault="00D50B3F" w:rsidP="00D50B3F">
      <w:pPr>
        <w:jc w:val="both"/>
        <w:rPr>
          <w:color w:val="auto"/>
        </w:rPr>
      </w:pPr>
      <w:r w:rsidRPr="006A714F">
        <w:rPr>
          <w:color w:val="auto"/>
          <w:u w:val="single"/>
        </w:rPr>
        <w:t>SCOPE OF REVIEW</w:t>
      </w:r>
      <w:r>
        <w:rPr>
          <w:color w:val="auto"/>
        </w:rPr>
        <w:t xml:space="preserve">:  </w:t>
      </w:r>
      <w:r w:rsidR="000D71CD" w:rsidRPr="000D71CD">
        <w:rPr>
          <w:color w:val="auto"/>
        </w:rPr>
        <w:t>The Board wishes to clarify that the scope of its review as defined in Department of Defense Instruction (DoDI) 6040.44 (Enclosure 3, paragraph 5.e.2) is limited to those conditions which were determined by the PEB to be specifically unfitting for continued military service; or, when requested by the CI, those condition(s) “identified but not determined to be unfitting by the PEB.</w:t>
      </w:r>
      <w:r w:rsidR="0015241A">
        <w:rPr>
          <w:color w:val="auto"/>
        </w:rPr>
        <w:t>”</w:t>
      </w:r>
      <w:r w:rsidR="000D71CD" w:rsidRPr="000D71CD">
        <w:rPr>
          <w:color w:val="auto"/>
        </w:rPr>
        <w:t xml:space="preserve">  The rating for the unfitting </w:t>
      </w:r>
      <w:r w:rsidR="000D71CD">
        <w:rPr>
          <w:color w:val="auto"/>
        </w:rPr>
        <w:t>chest and extremity pain</w:t>
      </w:r>
      <w:r w:rsidR="000D71CD" w:rsidRPr="000D71CD">
        <w:rPr>
          <w:color w:val="auto"/>
        </w:rPr>
        <w:t xml:space="preserve"> condition</w:t>
      </w:r>
      <w:r w:rsidR="000D71CD">
        <w:rPr>
          <w:color w:val="auto"/>
        </w:rPr>
        <w:t>(s)</w:t>
      </w:r>
      <w:r w:rsidR="000D71CD" w:rsidRPr="000D71CD">
        <w:rPr>
          <w:color w:val="auto"/>
        </w:rPr>
        <w:t xml:space="preserve"> is addressed below; and, no additional conditions are within the DoDI 6040.44 defined purview of the Board.  Any conditions or contention not requested in this application, or otherwise outside the Board’s defined scope of review, remain eligible for future consideration by the Army Board for Correctio</w:t>
      </w:r>
      <w:r w:rsidR="0015241A">
        <w:rPr>
          <w:color w:val="auto"/>
        </w:rPr>
        <w:t>n of Military Records</w:t>
      </w:r>
      <w:r w:rsidR="000D71CD" w:rsidRPr="000D71CD">
        <w:rPr>
          <w:color w:val="auto"/>
        </w:rPr>
        <w:t xml:space="preserve">. </w:t>
      </w:r>
      <w:r w:rsidR="00F14638">
        <w:rPr>
          <w:color w:val="auto"/>
        </w:rPr>
        <w:t xml:space="preserve"> </w:t>
      </w:r>
      <w:r w:rsidR="001B6305">
        <w:rPr>
          <w:color w:val="auto"/>
        </w:rPr>
        <w:t>Also</w:t>
      </w:r>
      <w:r w:rsidR="001E694E">
        <w:rPr>
          <w:color w:val="auto"/>
        </w:rPr>
        <w:t>,</w:t>
      </w:r>
      <w:r w:rsidR="001B6305">
        <w:rPr>
          <w:color w:val="auto"/>
        </w:rPr>
        <w:t xml:space="preserve"> </w:t>
      </w:r>
      <w:r w:rsidR="001B6305" w:rsidRPr="00B7183B">
        <w:rPr>
          <w:color w:val="000000"/>
        </w:rPr>
        <w:t xml:space="preserve">IAW </w:t>
      </w:r>
      <w:proofErr w:type="spellStart"/>
      <w:r w:rsidR="001B6305" w:rsidRPr="00B7183B">
        <w:rPr>
          <w:color w:val="000000"/>
        </w:rPr>
        <w:t>DoDI</w:t>
      </w:r>
      <w:proofErr w:type="spellEnd"/>
      <w:r w:rsidR="001B6305" w:rsidRPr="00B7183B">
        <w:rPr>
          <w:color w:val="000000"/>
        </w:rPr>
        <w:t xml:space="preserve"> 6040.44, the Board’s authority is limited to making recommendations on correcting disability determinations.  The Board’s role is confined to the review of medical records and all evidence at hand to assess the fairness of PEB rating determinations, compared to Veterans Administration Schedule for Rating Disabilities (VASRD) standards</w:t>
      </w:r>
      <w:r w:rsidR="006335B8">
        <w:rPr>
          <w:color w:val="000000"/>
        </w:rPr>
        <w:t xml:space="preserve"> in effect at separation</w:t>
      </w:r>
      <w:r w:rsidR="001B6305" w:rsidRPr="00B7183B">
        <w:rPr>
          <w:color w:val="000000"/>
        </w:rPr>
        <w:t xml:space="preserve">, </w:t>
      </w:r>
      <w:r w:rsidR="005D178A">
        <w:rPr>
          <w:color w:val="000000"/>
        </w:rPr>
        <w:t xml:space="preserve">and </w:t>
      </w:r>
      <w:r w:rsidR="001B6305" w:rsidRPr="00B7183B">
        <w:rPr>
          <w:color w:val="000000"/>
        </w:rPr>
        <w:t>based on ratable severity at the time of separation</w:t>
      </w:r>
      <w:r w:rsidR="001B6305">
        <w:rPr>
          <w:color w:val="000000"/>
        </w:rPr>
        <w:t>.</w:t>
      </w:r>
    </w:p>
    <w:p w:rsidR="000D71CD" w:rsidRDefault="000D71CD">
      <w:pPr>
        <w:spacing w:line="240" w:lineRule="auto"/>
        <w:jc w:val="left"/>
        <w:rPr>
          <w:color w:val="000000"/>
          <w:u w:val="single"/>
        </w:rPr>
      </w:pPr>
      <w:r>
        <w:rPr>
          <w:color w:val="000000"/>
          <w:u w:val="single"/>
        </w:rPr>
        <w:br w:type="page"/>
      </w:r>
    </w:p>
    <w:p w:rsidR="00AD237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B7183B" w:rsidRDefault="00B7183B" w:rsidP="00BF0E94">
      <w:pPr>
        <w:jc w:val="left"/>
        <w:rPr>
          <w:color w:val="000000"/>
        </w:rPr>
      </w:pPr>
    </w:p>
    <w:tbl>
      <w:tblPr>
        <w:tblStyle w:val="TableGrid"/>
        <w:tblW w:w="9400" w:type="dxa"/>
        <w:jc w:val="center"/>
        <w:tblInd w:w="144" w:type="dxa"/>
        <w:tblLayout w:type="fixed"/>
        <w:tblLook w:val="00A0"/>
      </w:tblPr>
      <w:tblGrid>
        <w:gridCol w:w="1940"/>
        <w:gridCol w:w="1080"/>
        <w:gridCol w:w="720"/>
        <w:gridCol w:w="3210"/>
        <w:gridCol w:w="720"/>
        <w:gridCol w:w="720"/>
        <w:gridCol w:w="1010"/>
      </w:tblGrid>
      <w:tr w:rsidR="00B7183B" w:rsidRPr="00F64312" w:rsidTr="00B7183B">
        <w:trPr>
          <w:trHeight w:val="170"/>
          <w:jc w:val="center"/>
        </w:trPr>
        <w:tc>
          <w:tcPr>
            <w:tcW w:w="3740" w:type="dxa"/>
            <w:gridSpan w:val="3"/>
            <w:tcBorders>
              <w:right w:val="thinThickThinSmallGap" w:sz="24" w:space="0" w:color="auto"/>
            </w:tcBorders>
            <w:shd w:val="clear" w:color="auto" w:fill="D9D9D9"/>
            <w:vAlign w:val="center"/>
          </w:tcPr>
          <w:p w:rsidR="00B7183B" w:rsidRPr="00F64312" w:rsidRDefault="00B7183B" w:rsidP="00162B2B">
            <w:pPr>
              <w:contextualSpacing/>
              <w:rPr>
                <w:rFonts w:cs="Calibri"/>
                <w:b/>
                <w:color w:val="auto"/>
                <w:sz w:val="18"/>
              </w:rPr>
            </w:pPr>
            <w:r w:rsidRPr="00141313">
              <w:rPr>
                <w:b/>
                <w:color w:val="auto"/>
                <w:sz w:val="18"/>
              </w:rPr>
              <w:t>Service FPEB – Dated 20051110</w:t>
            </w:r>
          </w:p>
        </w:tc>
        <w:tc>
          <w:tcPr>
            <w:tcW w:w="5660" w:type="dxa"/>
            <w:gridSpan w:val="4"/>
            <w:tcBorders>
              <w:left w:val="thinThickThinSmallGap" w:sz="24" w:space="0" w:color="auto"/>
            </w:tcBorders>
            <w:shd w:val="clear" w:color="auto" w:fill="D9D9D9"/>
            <w:vAlign w:val="center"/>
          </w:tcPr>
          <w:p w:rsidR="00B7183B" w:rsidRPr="00F64312" w:rsidRDefault="00B7183B" w:rsidP="00162B2B">
            <w:pPr>
              <w:contextualSpacing/>
              <w:rPr>
                <w:rFonts w:cs="Calibri"/>
                <w:b/>
                <w:color w:val="auto"/>
                <w:sz w:val="18"/>
              </w:rPr>
            </w:pPr>
            <w:r w:rsidRPr="00F64312">
              <w:rPr>
                <w:b/>
                <w:color w:val="auto"/>
                <w:sz w:val="18"/>
              </w:rPr>
              <w:t>VA (</w:t>
            </w:r>
            <w:r>
              <w:rPr>
                <w:b/>
                <w:color w:val="auto"/>
                <w:sz w:val="18"/>
              </w:rPr>
              <w:t>10 Wks</w:t>
            </w:r>
            <w:r w:rsidRPr="00BA550F">
              <w:rPr>
                <w:b/>
                <w:color w:val="auto"/>
                <w:sz w:val="18"/>
              </w:rPr>
              <w:t>. Pre-Separation</w:t>
            </w:r>
            <w:r w:rsidRPr="00F64312">
              <w:rPr>
                <w:b/>
                <w:color w:val="auto"/>
                <w:sz w:val="18"/>
              </w:rPr>
              <w:t>) –</w:t>
            </w:r>
            <w:r>
              <w:rPr>
                <w:b/>
                <w:color w:val="auto"/>
                <w:sz w:val="18"/>
              </w:rPr>
              <w:t xml:space="preserve"> </w:t>
            </w:r>
            <w:r w:rsidRPr="00F64312">
              <w:rPr>
                <w:b/>
                <w:color w:val="auto"/>
                <w:sz w:val="18"/>
              </w:rPr>
              <w:t xml:space="preserve">Effective </w:t>
            </w:r>
            <w:r w:rsidRPr="00BA550F">
              <w:rPr>
                <w:b/>
                <w:color w:val="auto"/>
                <w:sz w:val="18"/>
              </w:rPr>
              <w:t>20060111</w:t>
            </w:r>
          </w:p>
        </w:tc>
      </w:tr>
      <w:tr w:rsidR="00B7183B" w:rsidRPr="00F64312" w:rsidTr="00B7183B">
        <w:trPr>
          <w:trHeight w:val="97"/>
          <w:jc w:val="center"/>
        </w:trPr>
        <w:tc>
          <w:tcPr>
            <w:tcW w:w="1940" w:type="dxa"/>
            <w:tcBorders>
              <w:bottom w:val="single" w:sz="4" w:space="0" w:color="000000"/>
              <w:right w:val="single" w:sz="4" w:space="0" w:color="auto"/>
            </w:tcBorders>
            <w:shd w:val="clear" w:color="auto" w:fill="D9D9D9"/>
            <w:vAlign w:val="center"/>
          </w:tcPr>
          <w:p w:rsidR="00B7183B" w:rsidRPr="00F64312" w:rsidRDefault="00B7183B" w:rsidP="00162B2B">
            <w:pPr>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B7183B" w:rsidRPr="00F64312" w:rsidRDefault="00B7183B" w:rsidP="00162B2B">
            <w:pPr>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B7183B" w:rsidRPr="00F64312" w:rsidRDefault="00B7183B" w:rsidP="00162B2B">
            <w:pPr>
              <w:contextualSpacing/>
              <w:rPr>
                <w:rFonts w:cs="Calibri"/>
                <w:b/>
                <w:color w:val="auto"/>
                <w:sz w:val="18"/>
              </w:rPr>
            </w:pPr>
            <w:r w:rsidRPr="00F64312">
              <w:rPr>
                <w:b/>
                <w:color w:val="auto"/>
                <w:sz w:val="18"/>
              </w:rPr>
              <w:t>Rating</w:t>
            </w:r>
          </w:p>
        </w:tc>
        <w:tc>
          <w:tcPr>
            <w:tcW w:w="3210" w:type="dxa"/>
            <w:tcBorders>
              <w:left w:val="thinThickThinSmallGap" w:sz="24" w:space="0" w:color="auto"/>
              <w:bottom w:val="single" w:sz="4" w:space="0" w:color="000000"/>
            </w:tcBorders>
            <w:shd w:val="clear" w:color="auto" w:fill="D9D9D9"/>
            <w:vAlign w:val="center"/>
          </w:tcPr>
          <w:p w:rsidR="00B7183B" w:rsidRPr="00F64312" w:rsidRDefault="00B7183B" w:rsidP="00162B2B">
            <w:pPr>
              <w:contextualSpacing/>
              <w:rPr>
                <w:rFonts w:cs="Calibri"/>
                <w:b/>
                <w:color w:val="auto"/>
                <w:sz w:val="18"/>
              </w:rPr>
            </w:pPr>
            <w:r w:rsidRPr="00F64312">
              <w:rPr>
                <w:b/>
                <w:color w:val="auto"/>
                <w:sz w:val="18"/>
              </w:rPr>
              <w:t>Condition</w:t>
            </w:r>
          </w:p>
        </w:tc>
        <w:tc>
          <w:tcPr>
            <w:tcW w:w="720" w:type="dxa"/>
            <w:tcBorders>
              <w:bottom w:val="single" w:sz="4" w:space="0" w:color="000000"/>
            </w:tcBorders>
            <w:shd w:val="clear" w:color="auto" w:fill="D9D9D9"/>
            <w:vAlign w:val="center"/>
          </w:tcPr>
          <w:p w:rsidR="00B7183B" w:rsidRPr="00F64312" w:rsidRDefault="00B7183B" w:rsidP="00162B2B">
            <w:pPr>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B7183B" w:rsidRPr="00F64312" w:rsidRDefault="00B7183B" w:rsidP="00162B2B">
            <w:pPr>
              <w:contextualSpacing/>
              <w:rPr>
                <w:rFonts w:cs="Calibri"/>
                <w:b/>
                <w:color w:val="auto"/>
                <w:sz w:val="18"/>
              </w:rPr>
            </w:pPr>
            <w:r w:rsidRPr="00F64312">
              <w:rPr>
                <w:b/>
                <w:color w:val="auto"/>
                <w:sz w:val="18"/>
              </w:rPr>
              <w:t>Rating</w:t>
            </w:r>
          </w:p>
        </w:tc>
        <w:tc>
          <w:tcPr>
            <w:tcW w:w="1010" w:type="dxa"/>
            <w:tcBorders>
              <w:bottom w:val="single" w:sz="4" w:space="0" w:color="000000"/>
            </w:tcBorders>
            <w:shd w:val="clear" w:color="auto" w:fill="D9D9D9"/>
            <w:vAlign w:val="center"/>
          </w:tcPr>
          <w:p w:rsidR="00B7183B" w:rsidRPr="00F64312" w:rsidRDefault="00B7183B" w:rsidP="00162B2B">
            <w:pPr>
              <w:contextualSpacing/>
              <w:rPr>
                <w:rFonts w:cs="Calibri"/>
                <w:b/>
                <w:color w:val="auto"/>
                <w:sz w:val="18"/>
              </w:rPr>
            </w:pPr>
            <w:r w:rsidRPr="00F64312">
              <w:rPr>
                <w:b/>
                <w:color w:val="auto"/>
                <w:sz w:val="18"/>
              </w:rPr>
              <w:t>Exam</w:t>
            </w:r>
          </w:p>
        </w:tc>
      </w:tr>
      <w:tr w:rsidR="00B7183B" w:rsidRPr="00F64312" w:rsidTr="00B7183B">
        <w:trPr>
          <w:trHeight w:val="118"/>
          <w:jc w:val="center"/>
        </w:trPr>
        <w:tc>
          <w:tcPr>
            <w:tcW w:w="1940" w:type="dxa"/>
            <w:vMerge w:val="restart"/>
            <w:tcBorders>
              <w:right w:val="single" w:sz="4" w:space="0" w:color="auto"/>
            </w:tcBorders>
            <w:shd w:val="clear" w:color="auto" w:fill="FFFFFF"/>
            <w:vAlign w:val="center"/>
          </w:tcPr>
          <w:p w:rsidR="00B7183B" w:rsidRPr="00F64312" w:rsidRDefault="00B7183B" w:rsidP="00162B2B">
            <w:pPr>
              <w:spacing w:line="180" w:lineRule="exact"/>
              <w:contextualSpacing/>
              <w:jc w:val="left"/>
              <w:rPr>
                <w:rFonts w:cs="Calibri"/>
                <w:color w:val="auto"/>
                <w:sz w:val="18"/>
              </w:rPr>
            </w:pPr>
            <w:r>
              <w:rPr>
                <w:rFonts w:cs="Calibri"/>
                <w:color w:val="auto"/>
                <w:sz w:val="18"/>
              </w:rPr>
              <w:t>Atypical Chest Pain and Extremity Pain</w:t>
            </w:r>
          </w:p>
        </w:tc>
        <w:tc>
          <w:tcPr>
            <w:tcW w:w="1080" w:type="dxa"/>
            <w:vMerge w:val="restart"/>
            <w:tcBorders>
              <w:left w:val="single" w:sz="4" w:space="0" w:color="auto"/>
            </w:tcBorders>
            <w:shd w:val="clear" w:color="auto" w:fill="FFFFFF"/>
            <w:vAlign w:val="center"/>
          </w:tcPr>
          <w:p w:rsidR="00B7183B" w:rsidRPr="00F64312" w:rsidRDefault="00B7183B" w:rsidP="00162B2B">
            <w:pPr>
              <w:spacing w:line="220" w:lineRule="exact"/>
              <w:contextualSpacing/>
              <w:rPr>
                <w:rFonts w:cs="Calibri"/>
                <w:color w:val="auto"/>
                <w:sz w:val="18"/>
              </w:rPr>
            </w:pPr>
            <w:r>
              <w:rPr>
                <w:rFonts w:cs="Calibri"/>
                <w:color w:val="auto"/>
                <w:sz w:val="18"/>
              </w:rPr>
              <w:t>5099-5003</w:t>
            </w:r>
          </w:p>
        </w:tc>
        <w:tc>
          <w:tcPr>
            <w:tcW w:w="720" w:type="dxa"/>
            <w:vMerge w:val="restart"/>
            <w:tcBorders>
              <w:right w:val="thinThickThinSmallGap" w:sz="24" w:space="0" w:color="auto"/>
            </w:tcBorders>
            <w:shd w:val="clear" w:color="auto" w:fill="FFFFFF"/>
            <w:vAlign w:val="center"/>
          </w:tcPr>
          <w:p w:rsidR="00B7183B" w:rsidRPr="00F64312" w:rsidRDefault="00B7183B" w:rsidP="00162B2B">
            <w:pPr>
              <w:spacing w:line="220" w:lineRule="exact"/>
              <w:rPr>
                <w:rFonts w:cs="Calibri"/>
                <w:color w:val="auto"/>
                <w:sz w:val="18"/>
              </w:rPr>
            </w:pPr>
            <w:r>
              <w:rPr>
                <w:rFonts w:cs="Calibri"/>
                <w:color w:val="auto"/>
                <w:sz w:val="18"/>
              </w:rPr>
              <w:t>10%</w:t>
            </w:r>
          </w:p>
        </w:tc>
        <w:tc>
          <w:tcPr>
            <w:tcW w:w="3210" w:type="dxa"/>
            <w:tcBorders>
              <w:left w:val="thinThickThinSmallGap" w:sz="24" w:space="0" w:color="auto"/>
            </w:tcBorders>
            <w:shd w:val="clear" w:color="auto" w:fill="FFFFFF"/>
            <w:vAlign w:val="center"/>
          </w:tcPr>
          <w:p w:rsidR="00B7183B" w:rsidRPr="00F64312" w:rsidRDefault="00B7183B" w:rsidP="00162B2B">
            <w:pPr>
              <w:spacing w:line="220" w:lineRule="exact"/>
              <w:contextualSpacing/>
              <w:jc w:val="left"/>
              <w:rPr>
                <w:rFonts w:cs="Calibri"/>
                <w:color w:val="auto"/>
                <w:sz w:val="18"/>
              </w:rPr>
            </w:pPr>
            <w:r>
              <w:rPr>
                <w:rFonts w:cs="Calibri"/>
                <w:color w:val="auto"/>
                <w:sz w:val="18"/>
              </w:rPr>
              <w:t>Coronary Artery Disease</w:t>
            </w:r>
          </w:p>
        </w:tc>
        <w:tc>
          <w:tcPr>
            <w:tcW w:w="720" w:type="dxa"/>
            <w:shd w:val="clear" w:color="auto" w:fill="FFFFFF"/>
            <w:vAlign w:val="center"/>
          </w:tcPr>
          <w:p w:rsidR="00B7183B" w:rsidRPr="00F64312" w:rsidRDefault="00B7183B" w:rsidP="00162B2B">
            <w:pPr>
              <w:spacing w:line="220" w:lineRule="exact"/>
              <w:contextualSpacing/>
              <w:rPr>
                <w:rFonts w:cs="Calibri"/>
                <w:color w:val="auto"/>
                <w:sz w:val="18"/>
              </w:rPr>
            </w:pPr>
            <w:r>
              <w:rPr>
                <w:rFonts w:cs="Calibri"/>
                <w:color w:val="auto"/>
                <w:sz w:val="18"/>
              </w:rPr>
              <w:t>7005</w:t>
            </w:r>
          </w:p>
        </w:tc>
        <w:tc>
          <w:tcPr>
            <w:tcW w:w="720" w:type="dxa"/>
            <w:shd w:val="clear" w:color="auto" w:fill="FFFFFF"/>
            <w:vAlign w:val="center"/>
          </w:tcPr>
          <w:p w:rsidR="00B7183B" w:rsidRPr="00F64312" w:rsidRDefault="00B7183B" w:rsidP="00162B2B">
            <w:pPr>
              <w:spacing w:line="220" w:lineRule="exact"/>
              <w:contextualSpacing/>
              <w:rPr>
                <w:rFonts w:cs="Calibri"/>
                <w:color w:val="auto"/>
                <w:sz w:val="18"/>
              </w:rPr>
            </w:pPr>
            <w:r>
              <w:rPr>
                <w:rFonts w:cs="Calibri"/>
                <w:color w:val="auto"/>
                <w:sz w:val="18"/>
              </w:rPr>
              <w:t>30%</w:t>
            </w:r>
          </w:p>
        </w:tc>
        <w:tc>
          <w:tcPr>
            <w:tcW w:w="1010" w:type="dxa"/>
            <w:shd w:val="clear" w:color="auto" w:fill="FFFFFF"/>
            <w:vAlign w:val="center"/>
          </w:tcPr>
          <w:p w:rsidR="00B7183B" w:rsidRPr="00F64312" w:rsidRDefault="00B7183B" w:rsidP="00162B2B">
            <w:pPr>
              <w:spacing w:line="220" w:lineRule="exact"/>
              <w:contextualSpacing/>
              <w:rPr>
                <w:rFonts w:cs="Calibri"/>
                <w:color w:val="auto"/>
                <w:sz w:val="18"/>
              </w:rPr>
            </w:pPr>
            <w:r w:rsidRPr="00BA550F">
              <w:rPr>
                <w:color w:val="auto"/>
                <w:sz w:val="18"/>
              </w:rPr>
              <w:t>20051026</w:t>
            </w:r>
          </w:p>
        </w:tc>
      </w:tr>
      <w:tr w:rsidR="00B7183B" w:rsidRPr="00F64312" w:rsidTr="00B7183B">
        <w:trPr>
          <w:trHeight w:val="118"/>
          <w:jc w:val="center"/>
        </w:trPr>
        <w:tc>
          <w:tcPr>
            <w:tcW w:w="1940" w:type="dxa"/>
            <w:vMerge/>
            <w:tcBorders>
              <w:right w:val="single" w:sz="4" w:space="0" w:color="auto"/>
            </w:tcBorders>
            <w:shd w:val="clear" w:color="auto" w:fill="FFFFFF"/>
            <w:vAlign w:val="center"/>
          </w:tcPr>
          <w:p w:rsidR="00B7183B" w:rsidRPr="00F64312" w:rsidRDefault="00B7183B" w:rsidP="00162B2B">
            <w:pPr>
              <w:spacing w:line="220" w:lineRule="exact"/>
              <w:rPr>
                <w:color w:val="auto"/>
                <w:sz w:val="18"/>
              </w:rPr>
            </w:pPr>
          </w:p>
        </w:tc>
        <w:tc>
          <w:tcPr>
            <w:tcW w:w="1080" w:type="dxa"/>
            <w:vMerge/>
            <w:tcBorders>
              <w:left w:val="single" w:sz="4" w:space="0" w:color="auto"/>
            </w:tcBorders>
            <w:shd w:val="clear" w:color="auto" w:fill="FFFFFF"/>
            <w:vAlign w:val="center"/>
          </w:tcPr>
          <w:p w:rsidR="00B7183B" w:rsidRPr="00F64312" w:rsidRDefault="00B7183B" w:rsidP="00162B2B">
            <w:pPr>
              <w:spacing w:line="220" w:lineRule="exact"/>
              <w:rPr>
                <w:color w:val="auto"/>
                <w:sz w:val="18"/>
              </w:rPr>
            </w:pPr>
          </w:p>
        </w:tc>
        <w:tc>
          <w:tcPr>
            <w:tcW w:w="720" w:type="dxa"/>
            <w:vMerge/>
            <w:tcBorders>
              <w:right w:val="thinThickThinSmallGap" w:sz="24" w:space="0" w:color="auto"/>
            </w:tcBorders>
            <w:shd w:val="clear" w:color="auto" w:fill="FFFFFF"/>
            <w:vAlign w:val="center"/>
          </w:tcPr>
          <w:p w:rsidR="00B7183B" w:rsidRPr="00F64312" w:rsidRDefault="00B7183B" w:rsidP="00162B2B">
            <w:pPr>
              <w:spacing w:line="220" w:lineRule="exact"/>
              <w:rPr>
                <w:color w:val="auto"/>
                <w:sz w:val="18"/>
              </w:rPr>
            </w:pPr>
          </w:p>
        </w:tc>
        <w:tc>
          <w:tcPr>
            <w:tcW w:w="3210" w:type="dxa"/>
            <w:tcBorders>
              <w:left w:val="thinThickThinSmallGap" w:sz="24" w:space="0" w:color="auto"/>
            </w:tcBorders>
            <w:shd w:val="clear" w:color="auto" w:fill="FFFFFF"/>
            <w:vAlign w:val="center"/>
          </w:tcPr>
          <w:p w:rsidR="00B7183B" w:rsidRPr="00F64312" w:rsidRDefault="00B7183B" w:rsidP="00162B2B">
            <w:pPr>
              <w:spacing w:line="220" w:lineRule="exact"/>
              <w:contextualSpacing/>
              <w:jc w:val="left"/>
              <w:rPr>
                <w:color w:val="auto"/>
                <w:sz w:val="18"/>
              </w:rPr>
            </w:pPr>
            <w:r>
              <w:rPr>
                <w:color w:val="auto"/>
                <w:sz w:val="18"/>
              </w:rPr>
              <w:t>Peripheral Vascular Disease, Right Leg</w:t>
            </w:r>
          </w:p>
        </w:tc>
        <w:tc>
          <w:tcPr>
            <w:tcW w:w="720" w:type="dxa"/>
            <w:shd w:val="clear" w:color="auto" w:fill="FFFFFF"/>
            <w:vAlign w:val="center"/>
          </w:tcPr>
          <w:p w:rsidR="00B7183B" w:rsidRPr="00F64312" w:rsidRDefault="00B7183B" w:rsidP="00162B2B">
            <w:pPr>
              <w:spacing w:line="220" w:lineRule="exact"/>
              <w:contextualSpacing/>
              <w:rPr>
                <w:color w:val="auto"/>
                <w:sz w:val="18"/>
              </w:rPr>
            </w:pPr>
            <w:r>
              <w:rPr>
                <w:color w:val="auto"/>
                <w:sz w:val="18"/>
              </w:rPr>
              <w:t>7114</w:t>
            </w:r>
          </w:p>
        </w:tc>
        <w:tc>
          <w:tcPr>
            <w:tcW w:w="720" w:type="dxa"/>
            <w:shd w:val="clear" w:color="auto" w:fill="FFFFFF"/>
            <w:vAlign w:val="center"/>
          </w:tcPr>
          <w:p w:rsidR="00B7183B" w:rsidRPr="00F64312" w:rsidRDefault="00B7183B" w:rsidP="00162B2B">
            <w:pPr>
              <w:spacing w:line="220" w:lineRule="exact"/>
              <w:contextualSpacing/>
              <w:rPr>
                <w:color w:val="auto"/>
                <w:sz w:val="18"/>
              </w:rPr>
            </w:pPr>
            <w:r>
              <w:rPr>
                <w:color w:val="auto"/>
                <w:sz w:val="18"/>
              </w:rPr>
              <w:t>20%</w:t>
            </w:r>
          </w:p>
        </w:tc>
        <w:tc>
          <w:tcPr>
            <w:tcW w:w="1010" w:type="dxa"/>
            <w:shd w:val="clear" w:color="auto" w:fill="FFFFFF"/>
            <w:vAlign w:val="center"/>
          </w:tcPr>
          <w:p w:rsidR="00B7183B" w:rsidRDefault="00B7183B" w:rsidP="00162B2B">
            <w:pPr>
              <w:spacing w:line="220" w:lineRule="exact"/>
            </w:pPr>
            <w:r w:rsidRPr="004F2E55">
              <w:rPr>
                <w:color w:val="auto"/>
                <w:sz w:val="18"/>
              </w:rPr>
              <w:t>20051026</w:t>
            </w:r>
          </w:p>
        </w:tc>
      </w:tr>
      <w:tr w:rsidR="00B7183B" w:rsidRPr="00F64312" w:rsidTr="00B7183B">
        <w:trPr>
          <w:trHeight w:val="118"/>
          <w:jc w:val="center"/>
        </w:trPr>
        <w:tc>
          <w:tcPr>
            <w:tcW w:w="1940" w:type="dxa"/>
            <w:vMerge/>
            <w:tcBorders>
              <w:right w:val="single" w:sz="4" w:space="0" w:color="auto"/>
            </w:tcBorders>
            <w:shd w:val="clear" w:color="auto" w:fill="FFFFFF"/>
            <w:vAlign w:val="center"/>
          </w:tcPr>
          <w:p w:rsidR="00B7183B" w:rsidRDefault="00B7183B" w:rsidP="00162B2B">
            <w:pPr>
              <w:spacing w:line="220" w:lineRule="exact"/>
              <w:contextualSpacing/>
              <w:rPr>
                <w:color w:val="auto"/>
                <w:sz w:val="18"/>
              </w:rPr>
            </w:pPr>
          </w:p>
        </w:tc>
        <w:tc>
          <w:tcPr>
            <w:tcW w:w="1080" w:type="dxa"/>
            <w:vMerge/>
            <w:tcBorders>
              <w:left w:val="single" w:sz="4" w:space="0" w:color="auto"/>
            </w:tcBorders>
            <w:shd w:val="clear" w:color="auto" w:fill="FFFFFF"/>
            <w:vAlign w:val="center"/>
          </w:tcPr>
          <w:p w:rsidR="00B7183B" w:rsidRDefault="00B7183B" w:rsidP="00162B2B">
            <w:pPr>
              <w:spacing w:line="220" w:lineRule="exact"/>
              <w:contextualSpacing/>
              <w:rPr>
                <w:color w:val="auto"/>
                <w:sz w:val="18"/>
              </w:rPr>
            </w:pPr>
          </w:p>
        </w:tc>
        <w:tc>
          <w:tcPr>
            <w:tcW w:w="720" w:type="dxa"/>
            <w:vMerge/>
            <w:tcBorders>
              <w:right w:val="thinThickThinSmallGap" w:sz="24" w:space="0" w:color="auto"/>
            </w:tcBorders>
            <w:shd w:val="clear" w:color="auto" w:fill="FFFFFF"/>
            <w:vAlign w:val="center"/>
          </w:tcPr>
          <w:p w:rsidR="00B7183B" w:rsidRDefault="00B7183B" w:rsidP="00162B2B">
            <w:pPr>
              <w:spacing w:line="220" w:lineRule="exact"/>
              <w:contextualSpacing/>
              <w:rPr>
                <w:color w:val="auto"/>
                <w:sz w:val="18"/>
              </w:rPr>
            </w:pPr>
          </w:p>
        </w:tc>
        <w:tc>
          <w:tcPr>
            <w:tcW w:w="3210" w:type="dxa"/>
            <w:tcBorders>
              <w:left w:val="thinThickThinSmallGap" w:sz="24" w:space="0" w:color="auto"/>
            </w:tcBorders>
            <w:shd w:val="clear" w:color="auto" w:fill="FFFFFF"/>
            <w:vAlign w:val="center"/>
          </w:tcPr>
          <w:p w:rsidR="00B7183B" w:rsidRPr="00F64312" w:rsidRDefault="00B7183B" w:rsidP="00162B2B">
            <w:pPr>
              <w:spacing w:line="220" w:lineRule="exact"/>
              <w:contextualSpacing/>
              <w:jc w:val="left"/>
              <w:rPr>
                <w:color w:val="auto"/>
                <w:sz w:val="18"/>
              </w:rPr>
            </w:pPr>
            <w:r>
              <w:rPr>
                <w:color w:val="auto"/>
                <w:sz w:val="18"/>
              </w:rPr>
              <w:t>Peripheral Vascular Disease, Left Leg</w:t>
            </w:r>
          </w:p>
        </w:tc>
        <w:tc>
          <w:tcPr>
            <w:tcW w:w="720" w:type="dxa"/>
            <w:shd w:val="clear" w:color="auto" w:fill="FFFFFF"/>
            <w:vAlign w:val="center"/>
          </w:tcPr>
          <w:p w:rsidR="00B7183B" w:rsidRPr="00F64312" w:rsidRDefault="00B7183B" w:rsidP="00162B2B">
            <w:pPr>
              <w:spacing w:line="220" w:lineRule="exact"/>
              <w:contextualSpacing/>
              <w:rPr>
                <w:color w:val="auto"/>
                <w:sz w:val="18"/>
              </w:rPr>
            </w:pPr>
            <w:r>
              <w:rPr>
                <w:color w:val="auto"/>
                <w:sz w:val="18"/>
              </w:rPr>
              <w:t>7114</w:t>
            </w:r>
          </w:p>
        </w:tc>
        <w:tc>
          <w:tcPr>
            <w:tcW w:w="720" w:type="dxa"/>
            <w:shd w:val="clear" w:color="auto" w:fill="FFFFFF"/>
            <w:vAlign w:val="center"/>
          </w:tcPr>
          <w:p w:rsidR="00B7183B" w:rsidRPr="00F64312" w:rsidRDefault="00B7183B" w:rsidP="00162B2B">
            <w:pPr>
              <w:spacing w:line="220" w:lineRule="exact"/>
              <w:contextualSpacing/>
              <w:rPr>
                <w:color w:val="auto"/>
                <w:sz w:val="18"/>
              </w:rPr>
            </w:pPr>
            <w:r>
              <w:rPr>
                <w:color w:val="auto"/>
                <w:sz w:val="18"/>
              </w:rPr>
              <w:t>20%</w:t>
            </w:r>
          </w:p>
        </w:tc>
        <w:tc>
          <w:tcPr>
            <w:tcW w:w="1010" w:type="dxa"/>
            <w:shd w:val="clear" w:color="auto" w:fill="FFFFFF"/>
            <w:vAlign w:val="center"/>
          </w:tcPr>
          <w:p w:rsidR="00B7183B" w:rsidRDefault="00B7183B" w:rsidP="00162B2B">
            <w:pPr>
              <w:spacing w:line="220" w:lineRule="exact"/>
            </w:pPr>
            <w:r w:rsidRPr="004F2E55">
              <w:rPr>
                <w:color w:val="auto"/>
                <w:sz w:val="18"/>
              </w:rPr>
              <w:t>20051026</w:t>
            </w:r>
          </w:p>
        </w:tc>
      </w:tr>
      <w:tr w:rsidR="00B7183B" w:rsidRPr="00F64312" w:rsidTr="00B7183B">
        <w:trPr>
          <w:trHeight w:val="118"/>
          <w:jc w:val="center"/>
        </w:trPr>
        <w:tc>
          <w:tcPr>
            <w:tcW w:w="1940" w:type="dxa"/>
            <w:vMerge/>
            <w:tcBorders>
              <w:right w:val="single" w:sz="4" w:space="0" w:color="auto"/>
            </w:tcBorders>
            <w:shd w:val="clear" w:color="auto" w:fill="FFFFFF"/>
            <w:vAlign w:val="center"/>
          </w:tcPr>
          <w:p w:rsidR="00B7183B" w:rsidRDefault="00B7183B" w:rsidP="00162B2B">
            <w:pPr>
              <w:spacing w:line="220" w:lineRule="exact"/>
              <w:contextualSpacing/>
              <w:rPr>
                <w:color w:val="auto"/>
                <w:sz w:val="18"/>
              </w:rPr>
            </w:pPr>
          </w:p>
        </w:tc>
        <w:tc>
          <w:tcPr>
            <w:tcW w:w="1080" w:type="dxa"/>
            <w:vMerge/>
            <w:tcBorders>
              <w:left w:val="single" w:sz="4" w:space="0" w:color="auto"/>
            </w:tcBorders>
            <w:shd w:val="clear" w:color="auto" w:fill="FFFFFF"/>
            <w:vAlign w:val="center"/>
          </w:tcPr>
          <w:p w:rsidR="00B7183B" w:rsidRDefault="00B7183B" w:rsidP="00162B2B">
            <w:pPr>
              <w:spacing w:line="220" w:lineRule="exact"/>
              <w:contextualSpacing/>
              <w:rPr>
                <w:color w:val="auto"/>
                <w:sz w:val="18"/>
              </w:rPr>
            </w:pPr>
          </w:p>
        </w:tc>
        <w:tc>
          <w:tcPr>
            <w:tcW w:w="720" w:type="dxa"/>
            <w:vMerge/>
            <w:tcBorders>
              <w:right w:val="thinThickThinSmallGap" w:sz="24" w:space="0" w:color="auto"/>
            </w:tcBorders>
            <w:shd w:val="clear" w:color="auto" w:fill="FFFFFF"/>
            <w:vAlign w:val="center"/>
          </w:tcPr>
          <w:p w:rsidR="00B7183B" w:rsidRDefault="00B7183B" w:rsidP="00162B2B">
            <w:pPr>
              <w:spacing w:line="220" w:lineRule="exact"/>
              <w:contextualSpacing/>
              <w:rPr>
                <w:color w:val="auto"/>
                <w:sz w:val="18"/>
              </w:rPr>
            </w:pPr>
          </w:p>
        </w:tc>
        <w:tc>
          <w:tcPr>
            <w:tcW w:w="3210" w:type="dxa"/>
            <w:tcBorders>
              <w:left w:val="thinThickThinSmallGap" w:sz="24" w:space="0" w:color="auto"/>
            </w:tcBorders>
            <w:shd w:val="clear" w:color="auto" w:fill="FFFFFF"/>
            <w:vAlign w:val="center"/>
          </w:tcPr>
          <w:p w:rsidR="00B7183B" w:rsidRDefault="00B7183B" w:rsidP="00162B2B">
            <w:pPr>
              <w:spacing w:line="220" w:lineRule="exact"/>
              <w:contextualSpacing/>
              <w:jc w:val="left"/>
              <w:rPr>
                <w:color w:val="auto"/>
                <w:sz w:val="18"/>
              </w:rPr>
            </w:pPr>
            <w:r>
              <w:rPr>
                <w:color w:val="auto"/>
                <w:sz w:val="18"/>
              </w:rPr>
              <w:t>Cubital Tunnel Syndrome, Left Arm</w:t>
            </w:r>
          </w:p>
        </w:tc>
        <w:tc>
          <w:tcPr>
            <w:tcW w:w="720" w:type="dxa"/>
            <w:shd w:val="clear" w:color="auto" w:fill="FFFFFF"/>
            <w:vAlign w:val="center"/>
          </w:tcPr>
          <w:p w:rsidR="00B7183B" w:rsidRDefault="00B7183B" w:rsidP="00162B2B">
            <w:pPr>
              <w:spacing w:line="220" w:lineRule="exact"/>
              <w:contextualSpacing/>
              <w:rPr>
                <w:color w:val="auto"/>
                <w:sz w:val="18"/>
              </w:rPr>
            </w:pPr>
            <w:r>
              <w:rPr>
                <w:color w:val="auto"/>
                <w:sz w:val="18"/>
              </w:rPr>
              <w:t>8517</w:t>
            </w:r>
          </w:p>
        </w:tc>
        <w:tc>
          <w:tcPr>
            <w:tcW w:w="720" w:type="dxa"/>
            <w:shd w:val="clear" w:color="auto" w:fill="FFFFFF"/>
            <w:vAlign w:val="center"/>
          </w:tcPr>
          <w:p w:rsidR="00B7183B" w:rsidRDefault="00B7183B" w:rsidP="00162B2B">
            <w:pPr>
              <w:spacing w:line="220" w:lineRule="exact"/>
              <w:contextualSpacing/>
              <w:rPr>
                <w:color w:val="auto"/>
                <w:sz w:val="18"/>
              </w:rPr>
            </w:pPr>
            <w:r>
              <w:rPr>
                <w:color w:val="auto"/>
                <w:sz w:val="18"/>
              </w:rPr>
              <w:t>10%</w:t>
            </w:r>
          </w:p>
        </w:tc>
        <w:tc>
          <w:tcPr>
            <w:tcW w:w="1010" w:type="dxa"/>
            <w:shd w:val="clear" w:color="auto" w:fill="FFFFFF"/>
            <w:vAlign w:val="center"/>
          </w:tcPr>
          <w:p w:rsidR="00B7183B" w:rsidRPr="004F2E55" w:rsidRDefault="00B7183B" w:rsidP="00162B2B">
            <w:pPr>
              <w:spacing w:line="220" w:lineRule="exact"/>
              <w:rPr>
                <w:color w:val="auto"/>
                <w:sz w:val="18"/>
              </w:rPr>
            </w:pPr>
            <w:r w:rsidRPr="004F2E55">
              <w:rPr>
                <w:color w:val="auto"/>
                <w:sz w:val="18"/>
              </w:rPr>
              <w:t>20051026</w:t>
            </w:r>
          </w:p>
        </w:tc>
      </w:tr>
      <w:tr w:rsidR="00B7183B" w:rsidRPr="00F64312" w:rsidTr="00B7183B">
        <w:trPr>
          <w:trHeight w:val="118"/>
          <w:jc w:val="center"/>
        </w:trPr>
        <w:tc>
          <w:tcPr>
            <w:tcW w:w="3740" w:type="dxa"/>
            <w:gridSpan w:val="3"/>
            <w:vMerge w:val="restart"/>
            <w:tcBorders>
              <w:right w:val="thinThickThinSmallGap" w:sz="24" w:space="0" w:color="auto"/>
            </w:tcBorders>
            <w:shd w:val="clear" w:color="auto" w:fill="FFFFFF"/>
            <w:vAlign w:val="center"/>
          </w:tcPr>
          <w:p w:rsidR="00B7183B" w:rsidRPr="00F64312" w:rsidRDefault="00B7183B" w:rsidP="00162B2B">
            <w:pPr>
              <w:spacing w:line="220" w:lineRule="exact"/>
              <w:contextualSpacing/>
              <w:rPr>
                <w:color w:val="auto"/>
                <w:sz w:val="18"/>
              </w:rPr>
            </w:pPr>
            <w:r w:rsidRPr="00F64312">
              <w:rPr>
                <w:rFonts w:cs="Calibri"/>
                <w:color w:val="auto"/>
                <w:sz w:val="18"/>
                <w:szCs w:val="18"/>
              </w:rPr>
              <w:t>No Additional MEB/PEB Entries</w:t>
            </w:r>
          </w:p>
        </w:tc>
        <w:tc>
          <w:tcPr>
            <w:tcW w:w="3210" w:type="dxa"/>
            <w:tcBorders>
              <w:left w:val="thinThickThinSmallGap" w:sz="24" w:space="0" w:color="auto"/>
            </w:tcBorders>
            <w:shd w:val="clear" w:color="auto" w:fill="FFFFFF"/>
            <w:vAlign w:val="center"/>
          </w:tcPr>
          <w:p w:rsidR="00B7183B" w:rsidRPr="00F64312" w:rsidRDefault="00B7183B" w:rsidP="00162B2B">
            <w:pPr>
              <w:spacing w:line="220" w:lineRule="exact"/>
              <w:contextualSpacing/>
              <w:jc w:val="left"/>
              <w:rPr>
                <w:color w:val="auto"/>
                <w:sz w:val="18"/>
              </w:rPr>
            </w:pPr>
            <w:r>
              <w:rPr>
                <w:color w:val="auto"/>
                <w:sz w:val="18"/>
              </w:rPr>
              <w:t>Cervical Spine Strain</w:t>
            </w:r>
          </w:p>
        </w:tc>
        <w:tc>
          <w:tcPr>
            <w:tcW w:w="720" w:type="dxa"/>
            <w:shd w:val="clear" w:color="auto" w:fill="FFFFFF"/>
            <w:vAlign w:val="center"/>
          </w:tcPr>
          <w:p w:rsidR="00B7183B" w:rsidRPr="00F64312" w:rsidRDefault="00B7183B" w:rsidP="00162B2B">
            <w:pPr>
              <w:spacing w:line="220" w:lineRule="exact"/>
              <w:contextualSpacing/>
              <w:rPr>
                <w:color w:val="auto"/>
                <w:sz w:val="18"/>
              </w:rPr>
            </w:pPr>
            <w:r>
              <w:rPr>
                <w:color w:val="auto"/>
                <w:sz w:val="18"/>
              </w:rPr>
              <w:t>5237</w:t>
            </w:r>
          </w:p>
        </w:tc>
        <w:tc>
          <w:tcPr>
            <w:tcW w:w="720" w:type="dxa"/>
            <w:shd w:val="clear" w:color="auto" w:fill="FFFFFF"/>
            <w:vAlign w:val="center"/>
          </w:tcPr>
          <w:p w:rsidR="00B7183B" w:rsidRPr="00F64312" w:rsidRDefault="00B7183B" w:rsidP="00162B2B">
            <w:pPr>
              <w:spacing w:line="220" w:lineRule="exact"/>
              <w:contextualSpacing/>
              <w:rPr>
                <w:color w:val="auto"/>
                <w:sz w:val="18"/>
              </w:rPr>
            </w:pPr>
            <w:r>
              <w:rPr>
                <w:color w:val="auto"/>
                <w:sz w:val="18"/>
              </w:rPr>
              <w:t>10%</w:t>
            </w:r>
          </w:p>
        </w:tc>
        <w:tc>
          <w:tcPr>
            <w:tcW w:w="1010" w:type="dxa"/>
            <w:shd w:val="clear" w:color="auto" w:fill="FFFFFF"/>
            <w:vAlign w:val="center"/>
          </w:tcPr>
          <w:p w:rsidR="00B7183B" w:rsidRDefault="00B7183B" w:rsidP="00162B2B">
            <w:pPr>
              <w:spacing w:line="220" w:lineRule="exact"/>
            </w:pPr>
            <w:r w:rsidRPr="004F2E55">
              <w:rPr>
                <w:color w:val="auto"/>
                <w:sz w:val="18"/>
              </w:rPr>
              <w:t>20051026</w:t>
            </w:r>
          </w:p>
        </w:tc>
      </w:tr>
      <w:tr w:rsidR="00B7183B" w:rsidRPr="00F64312" w:rsidTr="00B7183B">
        <w:trPr>
          <w:trHeight w:val="118"/>
          <w:jc w:val="center"/>
        </w:trPr>
        <w:tc>
          <w:tcPr>
            <w:tcW w:w="3740" w:type="dxa"/>
            <w:gridSpan w:val="3"/>
            <w:vMerge/>
            <w:tcBorders>
              <w:right w:val="thinThickThinSmallGap" w:sz="24" w:space="0" w:color="auto"/>
            </w:tcBorders>
            <w:shd w:val="clear" w:color="auto" w:fill="FFFFFF"/>
            <w:vAlign w:val="center"/>
          </w:tcPr>
          <w:p w:rsidR="00B7183B" w:rsidRPr="00F64312" w:rsidRDefault="00B7183B" w:rsidP="00162B2B">
            <w:pPr>
              <w:spacing w:line="220" w:lineRule="exact"/>
              <w:contextualSpacing/>
              <w:rPr>
                <w:color w:val="auto"/>
                <w:sz w:val="18"/>
              </w:rPr>
            </w:pPr>
          </w:p>
        </w:tc>
        <w:tc>
          <w:tcPr>
            <w:tcW w:w="3210" w:type="dxa"/>
            <w:tcBorders>
              <w:left w:val="thinThickThinSmallGap" w:sz="24" w:space="0" w:color="auto"/>
            </w:tcBorders>
            <w:shd w:val="clear" w:color="auto" w:fill="FFFFFF"/>
            <w:vAlign w:val="center"/>
          </w:tcPr>
          <w:p w:rsidR="00B7183B" w:rsidRDefault="00B7183B" w:rsidP="00162B2B">
            <w:pPr>
              <w:spacing w:line="220" w:lineRule="exact"/>
              <w:contextualSpacing/>
              <w:jc w:val="left"/>
              <w:rPr>
                <w:color w:val="auto"/>
                <w:sz w:val="18"/>
              </w:rPr>
            </w:pPr>
            <w:r>
              <w:rPr>
                <w:color w:val="auto"/>
                <w:sz w:val="18"/>
              </w:rPr>
              <w:t>Arthritis, Thoracolumbar Spine</w:t>
            </w:r>
          </w:p>
        </w:tc>
        <w:tc>
          <w:tcPr>
            <w:tcW w:w="720" w:type="dxa"/>
            <w:shd w:val="clear" w:color="auto" w:fill="FFFFFF"/>
            <w:vAlign w:val="center"/>
          </w:tcPr>
          <w:p w:rsidR="00B7183B" w:rsidRDefault="00B7183B" w:rsidP="00162B2B">
            <w:pPr>
              <w:spacing w:line="220" w:lineRule="exact"/>
              <w:contextualSpacing/>
              <w:rPr>
                <w:color w:val="auto"/>
                <w:sz w:val="18"/>
              </w:rPr>
            </w:pPr>
            <w:r>
              <w:rPr>
                <w:color w:val="auto"/>
                <w:sz w:val="18"/>
              </w:rPr>
              <w:t>5242</w:t>
            </w:r>
          </w:p>
        </w:tc>
        <w:tc>
          <w:tcPr>
            <w:tcW w:w="720" w:type="dxa"/>
            <w:shd w:val="clear" w:color="auto" w:fill="FFFFFF"/>
            <w:vAlign w:val="center"/>
          </w:tcPr>
          <w:p w:rsidR="00B7183B" w:rsidRDefault="00B7183B" w:rsidP="00162B2B">
            <w:pPr>
              <w:spacing w:line="220" w:lineRule="exact"/>
              <w:contextualSpacing/>
              <w:rPr>
                <w:color w:val="auto"/>
                <w:sz w:val="18"/>
              </w:rPr>
            </w:pPr>
            <w:r>
              <w:rPr>
                <w:color w:val="auto"/>
                <w:sz w:val="18"/>
              </w:rPr>
              <w:t>10%</w:t>
            </w:r>
          </w:p>
        </w:tc>
        <w:tc>
          <w:tcPr>
            <w:tcW w:w="1010" w:type="dxa"/>
            <w:shd w:val="clear" w:color="auto" w:fill="FFFFFF"/>
            <w:vAlign w:val="center"/>
          </w:tcPr>
          <w:p w:rsidR="00B7183B" w:rsidRDefault="00B7183B" w:rsidP="00162B2B">
            <w:pPr>
              <w:spacing w:line="220" w:lineRule="exact"/>
            </w:pPr>
            <w:r w:rsidRPr="004F2E55">
              <w:rPr>
                <w:color w:val="auto"/>
                <w:sz w:val="18"/>
              </w:rPr>
              <w:t>20051026</w:t>
            </w:r>
          </w:p>
        </w:tc>
      </w:tr>
      <w:tr w:rsidR="00B7183B" w:rsidRPr="00F64312" w:rsidTr="00B7183B">
        <w:trPr>
          <w:trHeight w:val="118"/>
          <w:jc w:val="center"/>
        </w:trPr>
        <w:tc>
          <w:tcPr>
            <w:tcW w:w="3740" w:type="dxa"/>
            <w:gridSpan w:val="3"/>
            <w:vMerge/>
            <w:tcBorders>
              <w:right w:val="thinThickThinSmallGap" w:sz="24" w:space="0" w:color="auto"/>
            </w:tcBorders>
            <w:shd w:val="clear" w:color="auto" w:fill="FFFFFF"/>
            <w:vAlign w:val="center"/>
          </w:tcPr>
          <w:p w:rsidR="00B7183B" w:rsidRPr="00F64312" w:rsidRDefault="00B7183B" w:rsidP="00162B2B">
            <w:pPr>
              <w:spacing w:line="220" w:lineRule="exact"/>
              <w:contextualSpacing/>
              <w:rPr>
                <w:color w:val="auto"/>
                <w:sz w:val="18"/>
              </w:rPr>
            </w:pPr>
          </w:p>
        </w:tc>
        <w:tc>
          <w:tcPr>
            <w:tcW w:w="3210" w:type="dxa"/>
            <w:tcBorders>
              <w:left w:val="thinThickThinSmallGap" w:sz="24" w:space="0" w:color="auto"/>
            </w:tcBorders>
            <w:shd w:val="clear" w:color="auto" w:fill="FFFFFF"/>
            <w:vAlign w:val="center"/>
          </w:tcPr>
          <w:p w:rsidR="00B7183B" w:rsidRDefault="00B7183B" w:rsidP="00162B2B">
            <w:pPr>
              <w:spacing w:line="220" w:lineRule="exact"/>
              <w:contextualSpacing/>
              <w:jc w:val="left"/>
              <w:rPr>
                <w:color w:val="auto"/>
                <w:sz w:val="18"/>
              </w:rPr>
            </w:pPr>
            <w:r>
              <w:rPr>
                <w:color w:val="auto"/>
                <w:sz w:val="18"/>
              </w:rPr>
              <w:t>Meniscal Tear, Left Knee</w:t>
            </w:r>
          </w:p>
        </w:tc>
        <w:tc>
          <w:tcPr>
            <w:tcW w:w="720" w:type="dxa"/>
            <w:shd w:val="clear" w:color="auto" w:fill="FFFFFF"/>
            <w:vAlign w:val="center"/>
          </w:tcPr>
          <w:p w:rsidR="00B7183B" w:rsidRDefault="00B7183B" w:rsidP="00162B2B">
            <w:pPr>
              <w:spacing w:line="220" w:lineRule="exact"/>
              <w:contextualSpacing/>
              <w:rPr>
                <w:color w:val="auto"/>
                <w:sz w:val="18"/>
              </w:rPr>
            </w:pPr>
            <w:r>
              <w:rPr>
                <w:color w:val="auto"/>
                <w:sz w:val="18"/>
              </w:rPr>
              <w:t>5262</w:t>
            </w:r>
          </w:p>
        </w:tc>
        <w:tc>
          <w:tcPr>
            <w:tcW w:w="720" w:type="dxa"/>
            <w:shd w:val="clear" w:color="auto" w:fill="FFFFFF"/>
            <w:vAlign w:val="center"/>
          </w:tcPr>
          <w:p w:rsidR="00B7183B" w:rsidRDefault="00B7183B" w:rsidP="00162B2B">
            <w:pPr>
              <w:spacing w:line="220" w:lineRule="exact"/>
              <w:contextualSpacing/>
              <w:rPr>
                <w:color w:val="auto"/>
                <w:sz w:val="18"/>
              </w:rPr>
            </w:pPr>
            <w:r>
              <w:rPr>
                <w:color w:val="auto"/>
                <w:sz w:val="18"/>
              </w:rPr>
              <w:t>10%</w:t>
            </w:r>
          </w:p>
        </w:tc>
        <w:tc>
          <w:tcPr>
            <w:tcW w:w="1010" w:type="dxa"/>
            <w:shd w:val="clear" w:color="auto" w:fill="FFFFFF"/>
            <w:vAlign w:val="center"/>
          </w:tcPr>
          <w:p w:rsidR="00B7183B" w:rsidRDefault="00B7183B" w:rsidP="00162B2B">
            <w:pPr>
              <w:spacing w:line="220" w:lineRule="exact"/>
            </w:pPr>
            <w:r w:rsidRPr="004F2E55">
              <w:rPr>
                <w:color w:val="auto"/>
                <w:sz w:val="18"/>
              </w:rPr>
              <w:t>20051026</w:t>
            </w:r>
          </w:p>
        </w:tc>
      </w:tr>
      <w:tr w:rsidR="00B7183B" w:rsidRPr="00F64312" w:rsidTr="00B7183B">
        <w:trPr>
          <w:trHeight w:val="172"/>
          <w:jc w:val="center"/>
        </w:trPr>
        <w:tc>
          <w:tcPr>
            <w:tcW w:w="3740" w:type="dxa"/>
            <w:gridSpan w:val="3"/>
            <w:vMerge/>
            <w:tcBorders>
              <w:right w:val="thinThickThinSmallGap" w:sz="24" w:space="0" w:color="auto"/>
            </w:tcBorders>
            <w:shd w:val="clear" w:color="auto" w:fill="FFFFFF"/>
            <w:vAlign w:val="center"/>
          </w:tcPr>
          <w:p w:rsidR="00B7183B" w:rsidRPr="00F64312" w:rsidRDefault="00B7183B" w:rsidP="00162B2B">
            <w:pPr>
              <w:spacing w:line="220" w:lineRule="exact"/>
              <w:contextualSpacing/>
              <w:rPr>
                <w:rFonts w:cs="Calibri"/>
                <w:color w:val="auto"/>
                <w:sz w:val="18"/>
              </w:rPr>
            </w:pPr>
          </w:p>
        </w:tc>
        <w:tc>
          <w:tcPr>
            <w:tcW w:w="4650" w:type="dxa"/>
            <w:gridSpan w:val="3"/>
            <w:tcBorders>
              <w:left w:val="thinThickThinSmallGap" w:sz="24" w:space="0" w:color="auto"/>
            </w:tcBorders>
            <w:shd w:val="clear" w:color="auto" w:fill="FFFFFF"/>
            <w:vAlign w:val="center"/>
          </w:tcPr>
          <w:p w:rsidR="00B7183B" w:rsidRPr="00F64312" w:rsidRDefault="00B7183B" w:rsidP="00162B2B">
            <w:pPr>
              <w:spacing w:line="220" w:lineRule="exact"/>
              <w:contextualSpacing/>
              <w:rPr>
                <w:rFonts w:cs="Calibri"/>
                <w:color w:val="auto"/>
                <w:sz w:val="18"/>
              </w:rPr>
            </w:pPr>
            <w:r w:rsidRPr="00F64312">
              <w:rPr>
                <w:color w:val="auto"/>
                <w:sz w:val="18"/>
              </w:rPr>
              <w:t xml:space="preserve">0% X </w:t>
            </w:r>
            <w:r>
              <w:rPr>
                <w:color w:val="auto"/>
                <w:sz w:val="18"/>
              </w:rPr>
              <w:t>7</w:t>
            </w:r>
            <w:r w:rsidRPr="00F64312">
              <w:rPr>
                <w:color w:val="auto"/>
                <w:sz w:val="18"/>
              </w:rPr>
              <w:t xml:space="preserve"> </w:t>
            </w:r>
            <w:r>
              <w:rPr>
                <w:color w:val="auto"/>
                <w:sz w:val="18"/>
              </w:rPr>
              <w:t xml:space="preserve">/ Not Service </w:t>
            </w:r>
            <w:r w:rsidRPr="00F64312">
              <w:rPr>
                <w:color w:val="auto"/>
                <w:sz w:val="18"/>
              </w:rPr>
              <w:t xml:space="preserve">Connected x </w:t>
            </w:r>
            <w:r>
              <w:rPr>
                <w:color w:val="auto"/>
                <w:sz w:val="18"/>
              </w:rPr>
              <w:t>1</w:t>
            </w:r>
          </w:p>
        </w:tc>
        <w:tc>
          <w:tcPr>
            <w:tcW w:w="1010" w:type="dxa"/>
            <w:shd w:val="clear" w:color="auto" w:fill="FFFFFF"/>
            <w:vAlign w:val="center"/>
          </w:tcPr>
          <w:p w:rsidR="00B7183B" w:rsidRPr="00F64312" w:rsidRDefault="00B7183B" w:rsidP="00162B2B">
            <w:pPr>
              <w:spacing w:line="220" w:lineRule="exact"/>
              <w:contextualSpacing/>
              <w:rPr>
                <w:rFonts w:cs="Calibri"/>
                <w:color w:val="auto"/>
                <w:sz w:val="18"/>
              </w:rPr>
            </w:pPr>
            <w:r w:rsidRPr="004F2E55">
              <w:rPr>
                <w:color w:val="auto"/>
                <w:sz w:val="18"/>
              </w:rPr>
              <w:t>20051026</w:t>
            </w:r>
          </w:p>
        </w:tc>
      </w:tr>
      <w:tr w:rsidR="00B7183B" w:rsidRPr="00F64312" w:rsidTr="00B7183B">
        <w:trPr>
          <w:trHeight w:val="124"/>
          <w:jc w:val="center"/>
        </w:trPr>
        <w:tc>
          <w:tcPr>
            <w:tcW w:w="3740" w:type="dxa"/>
            <w:gridSpan w:val="3"/>
            <w:tcBorders>
              <w:right w:val="thinThickThinSmallGap" w:sz="24" w:space="0" w:color="auto"/>
            </w:tcBorders>
            <w:shd w:val="clear" w:color="auto" w:fill="D9D9D9"/>
          </w:tcPr>
          <w:p w:rsidR="00B7183B" w:rsidRPr="00F64312" w:rsidRDefault="00B7183B" w:rsidP="00162B2B">
            <w:pPr>
              <w:contextualSpacing/>
              <w:rPr>
                <w:rFonts w:cs="Calibri"/>
                <w:b/>
                <w:color w:val="auto"/>
                <w:sz w:val="18"/>
              </w:rPr>
            </w:pPr>
            <w:r w:rsidRPr="00F64312">
              <w:rPr>
                <w:b/>
                <w:color w:val="auto"/>
                <w:sz w:val="18"/>
              </w:rPr>
              <w:t xml:space="preserve">Combined:  </w:t>
            </w:r>
            <w:r>
              <w:rPr>
                <w:b/>
                <w:color w:val="auto"/>
                <w:sz w:val="18"/>
              </w:rPr>
              <w:t>10%</w:t>
            </w:r>
          </w:p>
        </w:tc>
        <w:tc>
          <w:tcPr>
            <w:tcW w:w="5660" w:type="dxa"/>
            <w:gridSpan w:val="4"/>
            <w:tcBorders>
              <w:left w:val="thinThickThinSmallGap" w:sz="24" w:space="0" w:color="auto"/>
            </w:tcBorders>
            <w:shd w:val="clear" w:color="auto" w:fill="D9D9D9"/>
          </w:tcPr>
          <w:p w:rsidR="00B7183B" w:rsidRPr="00F64312" w:rsidRDefault="00B7183B" w:rsidP="00162B2B">
            <w:pPr>
              <w:contextualSpacing/>
              <w:rPr>
                <w:rFonts w:cs="Calibri"/>
                <w:b/>
                <w:color w:val="auto"/>
                <w:sz w:val="18"/>
              </w:rPr>
            </w:pPr>
            <w:r w:rsidRPr="00F64312">
              <w:rPr>
                <w:b/>
                <w:color w:val="auto"/>
                <w:sz w:val="18"/>
              </w:rPr>
              <w:t xml:space="preserve">Combined:  </w:t>
            </w:r>
            <w:r>
              <w:rPr>
                <w:b/>
                <w:color w:val="auto"/>
                <w:sz w:val="18"/>
              </w:rPr>
              <w:t>70</w:t>
            </w:r>
            <w:r w:rsidRPr="00F64312">
              <w:rPr>
                <w:b/>
                <w:color w:val="auto"/>
                <w:sz w:val="18"/>
              </w:rPr>
              <w:t>%</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B7183B" w:rsidRDefault="00E41C21" w:rsidP="00B7183B">
      <w:pPr>
        <w:jc w:val="both"/>
        <w:rPr>
          <w:color w:val="000000"/>
        </w:rPr>
      </w:pPr>
      <w:r w:rsidRPr="001F29F9">
        <w:rPr>
          <w:color w:val="000000"/>
          <w:u w:val="single"/>
        </w:rPr>
        <w:t>ANALYSIS SUMMARY</w:t>
      </w:r>
      <w:r w:rsidRPr="001F29F9">
        <w:rPr>
          <w:color w:val="000000"/>
        </w:rPr>
        <w:t>:</w:t>
      </w:r>
      <w:r>
        <w:rPr>
          <w:color w:val="000000"/>
        </w:rPr>
        <w:t xml:space="preserve"> </w:t>
      </w:r>
      <w:r w:rsidR="00B7183B">
        <w:rPr>
          <w:color w:val="000000"/>
        </w:rPr>
        <w:t xml:space="preserve"> </w:t>
      </w:r>
    </w:p>
    <w:p w:rsidR="001B6305" w:rsidRDefault="001B6305" w:rsidP="00B7183B">
      <w:pPr>
        <w:jc w:val="both"/>
        <w:rPr>
          <w:color w:val="000000"/>
        </w:rPr>
      </w:pPr>
    </w:p>
    <w:p w:rsidR="00C65A75" w:rsidRDefault="00C23CE4" w:rsidP="00E41C21">
      <w:pPr>
        <w:jc w:val="both"/>
        <w:rPr>
          <w:color w:val="000000"/>
        </w:rPr>
      </w:pPr>
      <w:r>
        <w:rPr>
          <w:color w:val="000000"/>
          <w:u w:val="single"/>
        </w:rPr>
        <w:t xml:space="preserve">Chest </w:t>
      </w:r>
      <w:r w:rsidR="003C0BED">
        <w:rPr>
          <w:color w:val="000000"/>
          <w:u w:val="single"/>
        </w:rPr>
        <w:t xml:space="preserve">and </w:t>
      </w:r>
      <w:r>
        <w:rPr>
          <w:color w:val="000000"/>
          <w:u w:val="single"/>
        </w:rPr>
        <w:t>Extremity Pain Condition(s)</w:t>
      </w:r>
      <w:r w:rsidR="00E41C21" w:rsidRPr="009A7578">
        <w:rPr>
          <w:color w:val="000000"/>
        </w:rPr>
        <w:t xml:space="preserve">. </w:t>
      </w:r>
      <w:r w:rsidR="00E41C21">
        <w:rPr>
          <w:color w:val="000000"/>
        </w:rPr>
        <w:t xml:space="preserve"> </w:t>
      </w:r>
      <w:r w:rsidR="00014780">
        <w:rPr>
          <w:color w:val="000000"/>
        </w:rPr>
        <w:t>T</w:t>
      </w:r>
      <w:r>
        <w:rPr>
          <w:color w:val="000000"/>
        </w:rPr>
        <w:t>he CI</w:t>
      </w:r>
      <w:r w:rsidR="006335B8">
        <w:rPr>
          <w:color w:val="000000"/>
        </w:rPr>
        <w:t>’s symptoms required</w:t>
      </w:r>
      <w:r>
        <w:rPr>
          <w:color w:val="000000"/>
        </w:rPr>
        <w:t xml:space="preserve"> </w:t>
      </w:r>
      <w:r w:rsidR="006335B8">
        <w:rPr>
          <w:color w:val="000000"/>
        </w:rPr>
        <w:t>medical evacuation from Iraq; and, on redeployment</w:t>
      </w:r>
      <w:r>
        <w:rPr>
          <w:color w:val="000000"/>
        </w:rPr>
        <w:t xml:space="preserve"> </w:t>
      </w:r>
      <w:r w:rsidR="00273955">
        <w:rPr>
          <w:color w:val="000000"/>
        </w:rPr>
        <w:t xml:space="preserve">his multiple physical complaints did not abate, but rather gradually worsened.  </w:t>
      </w:r>
      <w:r w:rsidR="00C11632">
        <w:rPr>
          <w:color w:val="000000"/>
        </w:rPr>
        <w:t xml:space="preserve">He underwent protracted and comprehensive evaluations for his symptoms.  He initially </w:t>
      </w:r>
      <w:r w:rsidR="005D178A">
        <w:rPr>
          <w:color w:val="000000"/>
        </w:rPr>
        <w:t>ascribed</w:t>
      </w:r>
      <w:r w:rsidR="00C11632">
        <w:rPr>
          <w:color w:val="000000"/>
        </w:rPr>
        <w:t xml:space="preserve"> them to Gulf War Syndrome, but </w:t>
      </w:r>
      <w:r w:rsidR="00512E5C">
        <w:rPr>
          <w:color w:val="000000"/>
        </w:rPr>
        <w:t xml:space="preserve">consultants convincingly made the case that this was not the etiology.  The CI did not serve in the Gulf War which has been the only source of these cases, and he did not meet the established diagnostic criteria for the syndrome regardless.  The results of evaluations, as relevant to diagnostic options for Board rating recommendations, are as follows.  </w:t>
      </w:r>
      <w:r w:rsidR="00C65C8D">
        <w:rPr>
          <w:color w:val="000000"/>
        </w:rPr>
        <w:t xml:space="preserve">A cardiology evaluation was the first priority and included an echocardiogram and </w:t>
      </w:r>
      <w:r w:rsidR="00561F94">
        <w:rPr>
          <w:color w:val="000000"/>
        </w:rPr>
        <w:t xml:space="preserve">exercise </w:t>
      </w:r>
      <w:r w:rsidR="00C65C8D">
        <w:rPr>
          <w:color w:val="000000"/>
        </w:rPr>
        <w:t xml:space="preserve">stress test </w:t>
      </w:r>
      <w:r w:rsidR="00561F94">
        <w:rPr>
          <w:color w:val="000000"/>
        </w:rPr>
        <w:t xml:space="preserve">(EST) </w:t>
      </w:r>
      <w:r w:rsidR="00C65C8D">
        <w:rPr>
          <w:color w:val="000000"/>
        </w:rPr>
        <w:t xml:space="preserve">which </w:t>
      </w:r>
      <w:r w:rsidR="00E81968">
        <w:rPr>
          <w:color w:val="000000"/>
        </w:rPr>
        <w:t>was</w:t>
      </w:r>
      <w:r w:rsidR="00C65C8D">
        <w:rPr>
          <w:color w:val="000000"/>
        </w:rPr>
        <w:t xml:space="preserve"> normal; then a cardiac catheterization </w:t>
      </w:r>
      <w:r w:rsidR="0015241A">
        <w:rPr>
          <w:color w:val="000000"/>
        </w:rPr>
        <w:t xml:space="preserve">performed in </w:t>
      </w:r>
      <w:r w:rsidR="00C65C8D">
        <w:rPr>
          <w:color w:val="000000"/>
        </w:rPr>
        <w:t xml:space="preserve">May 2003 </w:t>
      </w:r>
      <w:r w:rsidR="00162B2B">
        <w:rPr>
          <w:color w:val="000000"/>
        </w:rPr>
        <w:t xml:space="preserve">which demonstrated normal coronary arteries and ejection fraction.  With continuing pain, </w:t>
      </w:r>
      <w:r w:rsidR="00561F94">
        <w:rPr>
          <w:color w:val="000000"/>
        </w:rPr>
        <w:t>a repeat EST</w:t>
      </w:r>
      <w:r w:rsidR="00162B2B">
        <w:rPr>
          <w:color w:val="000000"/>
        </w:rPr>
        <w:t xml:space="preserve"> was performed in July 2005 (achieving maximum exertion) and was normal except for non-specific cardiogram changes interpreted as “possible ischemia infero lateral.</w:t>
      </w:r>
      <w:r w:rsidR="00C44C9B">
        <w:rPr>
          <w:color w:val="000000"/>
        </w:rPr>
        <w:t>”</w:t>
      </w:r>
      <w:r w:rsidR="00162B2B">
        <w:rPr>
          <w:color w:val="000000"/>
        </w:rPr>
        <w:t xml:space="preserve">  A cardiac nuclear perfusion study was </w:t>
      </w:r>
      <w:r w:rsidR="00C356C7">
        <w:rPr>
          <w:color w:val="000000"/>
        </w:rPr>
        <w:t xml:space="preserve">done in close follow-up which did not show inferior wall motion abnormality, and the ejection fraction was </w:t>
      </w:r>
      <w:r w:rsidR="005D178A">
        <w:rPr>
          <w:color w:val="000000"/>
        </w:rPr>
        <w:t xml:space="preserve">again </w:t>
      </w:r>
      <w:r w:rsidR="00C356C7">
        <w:rPr>
          <w:color w:val="000000"/>
        </w:rPr>
        <w:t xml:space="preserve">normal (66%).  That finding, coupled with the normal cardiac catheterization only </w:t>
      </w:r>
      <w:r w:rsidR="00E81968">
        <w:rPr>
          <w:color w:val="000000"/>
        </w:rPr>
        <w:t>2</w:t>
      </w:r>
      <w:r w:rsidR="00C356C7">
        <w:rPr>
          <w:color w:val="000000"/>
        </w:rPr>
        <w:t xml:space="preserve"> years previously, would quite comfortably exclude significant coronary artery disease.  Magnetic resonance imaging </w:t>
      </w:r>
      <w:r w:rsidR="00561F94">
        <w:rPr>
          <w:color w:val="000000"/>
        </w:rPr>
        <w:t xml:space="preserve">(MRI) </w:t>
      </w:r>
      <w:r w:rsidR="00C356C7">
        <w:rPr>
          <w:color w:val="000000"/>
        </w:rPr>
        <w:t xml:space="preserve">of the chest, lung scan and pulmonary function testing were normal.  </w:t>
      </w:r>
      <w:r w:rsidR="006804E5">
        <w:rPr>
          <w:color w:val="000000"/>
        </w:rPr>
        <w:t xml:space="preserve">Evaluations of the extremities began with a normal arteriogram of the left arm performed concurrently with the cardiac catheterization.  Cervical and thoracolumbar </w:t>
      </w:r>
      <w:r w:rsidR="00561F94">
        <w:rPr>
          <w:color w:val="000000"/>
        </w:rPr>
        <w:t>MRI’s were</w:t>
      </w:r>
      <w:r w:rsidR="006804E5">
        <w:rPr>
          <w:color w:val="000000"/>
        </w:rPr>
        <w:t xml:space="preserve"> negative for nerve root pathology.   </w:t>
      </w:r>
      <w:r w:rsidR="00C52258">
        <w:rPr>
          <w:color w:val="000000"/>
        </w:rPr>
        <w:t xml:space="preserve">Electrodiagnostic testing of all four extremities was normal.  </w:t>
      </w:r>
      <w:r w:rsidR="006F761B">
        <w:rPr>
          <w:color w:val="000000"/>
        </w:rPr>
        <w:t>A neurology consultant found no evidence of peripheral neuropathy or other neurologic disease, and made the MEB-submitted diagnosis of non-specific extremity cramps.  Doppler flow testing noted a left arterial brachial index (ABI) of 0.9 which is suggestive of peripheral vascular disease (PVD), although the right ABI was normal.  The</w:t>
      </w:r>
      <w:r w:rsidR="00C52258">
        <w:rPr>
          <w:color w:val="000000"/>
        </w:rPr>
        <w:t xml:space="preserve"> vascular consultant</w:t>
      </w:r>
      <w:r w:rsidR="006F761B">
        <w:rPr>
          <w:color w:val="000000"/>
        </w:rPr>
        <w:t>, however,</w:t>
      </w:r>
      <w:r w:rsidR="00C52258">
        <w:rPr>
          <w:color w:val="000000"/>
        </w:rPr>
        <w:t xml:space="preserve"> </w:t>
      </w:r>
      <w:r w:rsidR="006F761B">
        <w:rPr>
          <w:color w:val="000000"/>
        </w:rPr>
        <w:t xml:space="preserve">did not support a diagnosis of PVD (or Reynaud’s); but, diagnosed “non-specific vasomotor instability” and recommended a return to duty.  Further specialty consultations included rheumatology, immunology, and infectious disease; none of whom could identify a specific etiology for the CI’s symptoms.  </w:t>
      </w:r>
    </w:p>
    <w:p w:rsidR="005D178A" w:rsidRDefault="005D178A" w:rsidP="005D178A">
      <w:pPr>
        <w:jc w:val="both"/>
        <w:rPr>
          <w:color w:val="000000"/>
        </w:rPr>
      </w:pPr>
    </w:p>
    <w:p w:rsidR="001E1BD1" w:rsidRDefault="00273955" w:rsidP="00AA41F6">
      <w:pPr>
        <w:spacing w:after="120"/>
        <w:jc w:val="both"/>
        <w:rPr>
          <w:color w:val="000000"/>
        </w:rPr>
      </w:pPr>
      <w:r>
        <w:rPr>
          <w:color w:val="000000"/>
        </w:rPr>
        <w:t xml:space="preserve">The chest pain </w:t>
      </w:r>
      <w:r w:rsidR="00C65A75">
        <w:rPr>
          <w:color w:val="000000"/>
        </w:rPr>
        <w:t>was</w:t>
      </w:r>
      <w:r>
        <w:rPr>
          <w:color w:val="000000"/>
        </w:rPr>
        <w:t xml:space="preserve"> variously characterized by multiple entries in the </w:t>
      </w:r>
      <w:r w:rsidR="001635E0">
        <w:rPr>
          <w:color w:val="000000"/>
        </w:rPr>
        <w:t>s</w:t>
      </w:r>
      <w:r>
        <w:rPr>
          <w:color w:val="000000"/>
        </w:rPr>
        <w:t>ervice treatment record</w:t>
      </w:r>
      <w:r w:rsidR="00ED577A">
        <w:rPr>
          <w:color w:val="000000"/>
        </w:rPr>
        <w:t xml:space="preserve"> (STR)</w:t>
      </w:r>
      <w:r>
        <w:rPr>
          <w:color w:val="000000"/>
        </w:rPr>
        <w:t xml:space="preserve">.  Initial presentations described “pressure feeling like an elephant” </w:t>
      </w:r>
      <w:r w:rsidR="00751CBE">
        <w:rPr>
          <w:color w:val="000000"/>
        </w:rPr>
        <w:t>with “a pounding sensation</w:t>
      </w:r>
      <w:r w:rsidR="001E694E">
        <w:rPr>
          <w:color w:val="000000"/>
        </w:rPr>
        <w:t>,</w:t>
      </w:r>
      <w:r w:rsidR="00751CBE">
        <w:rPr>
          <w:color w:val="000000"/>
        </w:rPr>
        <w:t xml:space="preserve">” often associated with numbness of the left arm and shortness of breath, relieved by nitroglycerin, and precipitated by minimal exertion.  Later entries </w:t>
      </w:r>
      <w:r w:rsidR="00C65A75">
        <w:rPr>
          <w:color w:val="000000"/>
        </w:rPr>
        <w:t xml:space="preserve">(after the </w:t>
      </w:r>
      <w:r w:rsidR="00561F94">
        <w:rPr>
          <w:color w:val="000000"/>
        </w:rPr>
        <w:t xml:space="preserve">negative </w:t>
      </w:r>
      <w:r w:rsidR="00C65A75">
        <w:rPr>
          <w:color w:val="000000"/>
        </w:rPr>
        <w:t xml:space="preserve">cardiac </w:t>
      </w:r>
      <w:r w:rsidR="00C65A75">
        <w:rPr>
          <w:color w:val="000000"/>
        </w:rPr>
        <w:lastRenderedPageBreak/>
        <w:t xml:space="preserve">work up) </w:t>
      </w:r>
      <w:r w:rsidR="00751CBE">
        <w:rPr>
          <w:color w:val="000000"/>
        </w:rPr>
        <w:t xml:space="preserve">describe </w:t>
      </w:r>
      <w:r w:rsidR="009B003D">
        <w:rPr>
          <w:color w:val="000000"/>
        </w:rPr>
        <w:t>transient vaguely described episodes without radiation or associated symptoms</w:t>
      </w:r>
      <w:r w:rsidR="004433DC">
        <w:rPr>
          <w:color w:val="000000"/>
        </w:rPr>
        <w:t>, with occasional onset at rest</w:t>
      </w:r>
      <w:r w:rsidR="009B003D">
        <w:rPr>
          <w:color w:val="000000"/>
        </w:rPr>
        <w:t xml:space="preserve"> as well as with exe</w:t>
      </w:r>
      <w:r w:rsidR="004433DC">
        <w:rPr>
          <w:color w:val="000000"/>
        </w:rPr>
        <w:t>rtion</w:t>
      </w:r>
      <w:r w:rsidR="009B003D">
        <w:rPr>
          <w:color w:val="000000"/>
        </w:rPr>
        <w:t xml:space="preserve"> or emotional stress.</w:t>
      </w:r>
      <w:r w:rsidR="001254AF">
        <w:rPr>
          <w:color w:val="000000"/>
        </w:rPr>
        <w:t xml:space="preserve"> </w:t>
      </w:r>
      <w:r w:rsidR="009B003D">
        <w:rPr>
          <w:color w:val="000000"/>
        </w:rPr>
        <w:t xml:space="preserve"> The extremity complaints included </w:t>
      </w:r>
      <w:r w:rsidR="004433DC">
        <w:rPr>
          <w:color w:val="000000"/>
        </w:rPr>
        <w:t xml:space="preserve">hand and foot </w:t>
      </w:r>
      <w:r w:rsidR="009B003D">
        <w:rPr>
          <w:color w:val="000000"/>
        </w:rPr>
        <w:t>cramping</w:t>
      </w:r>
      <w:r w:rsidR="004433DC">
        <w:rPr>
          <w:color w:val="000000"/>
        </w:rPr>
        <w:t>, reported color and temperature changes</w:t>
      </w:r>
      <w:r w:rsidR="009B003D">
        <w:rPr>
          <w:color w:val="000000"/>
        </w:rPr>
        <w:t xml:space="preserve"> of the </w:t>
      </w:r>
      <w:r w:rsidR="004433DC">
        <w:rPr>
          <w:color w:val="000000"/>
        </w:rPr>
        <w:t xml:space="preserve">distal extremities, paresthesias in stocking and glove patterns, </w:t>
      </w:r>
      <w:r w:rsidR="001E1BD1">
        <w:rPr>
          <w:color w:val="000000"/>
        </w:rPr>
        <w:t xml:space="preserve">reported </w:t>
      </w:r>
      <w:r w:rsidR="004433DC">
        <w:rPr>
          <w:color w:val="000000"/>
        </w:rPr>
        <w:t xml:space="preserve">episodes of paralysis of the left arm, diffuse myalgias and arthralgias, </w:t>
      </w:r>
      <w:r w:rsidR="00ED577A">
        <w:rPr>
          <w:color w:val="000000"/>
        </w:rPr>
        <w:t xml:space="preserve">and subjective weakness of all extremities.  As with the chest pain, the symptoms were intermittent with variable frequency and duration; and, the symptom complex varied over numerous STR entries.  </w:t>
      </w:r>
      <w:r w:rsidR="00AA41F6">
        <w:rPr>
          <w:color w:val="000000"/>
        </w:rPr>
        <w:t xml:space="preserve">Multiple medication trials of various analgesics, including psychoactive and peripherally acting </w:t>
      </w:r>
      <w:r w:rsidR="009F4E25">
        <w:rPr>
          <w:color w:val="000000"/>
        </w:rPr>
        <w:t xml:space="preserve">neuropathic agents, are documented; with inconsistent reports of response.  </w:t>
      </w:r>
      <w:r w:rsidR="00C52258">
        <w:rPr>
          <w:color w:val="000000"/>
        </w:rPr>
        <w:t>Occupational therapy, specialty pain management</w:t>
      </w:r>
      <w:r w:rsidR="00621CA1">
        <w:rPr>
          <w:color w:val="000000"/>
        </w:rPr>
        <w:t>,</w:t>
      </w:r>
      <w:r w:rsidR="00C52258">
        <w:rPr>
          <w:color w:val="000000"/>
        </w:rPr>
        <w:t xml:space="preserve"> chiropractic therapy</w:t>
      </w:r>
      <w:r w:rsidR="00621CA1">
        <w:rPr>
          <w:color w:val="000000"/>
        </w:rPr>
        <w:t xml:space="preserve"> and acupuncture</w:t>
      </w:r>
      <w:r w:rsidR="00C52258">
        <w:rPr>
          <w:color w:val="000000"/>
        </w:rPr>
        <w:t xml:space="preserve"> </w:t>
      </w:r>
      <w:r w:rsidR="00621CA1">
        <w:rPr>
          <w:color w:val="000000"/>
        </w:rPr>
        <w:t xml:space="preserve">were </w:t>
      </w:r>
      <w:r w:rsidR="00C52258">
        <w:rPr>
          <w:color w:val="000000"/>
        </w:rPr>
        <w:t xml:space="preserve">also met with variable success.  </w:t>
      </w:r>
      <w:r w:rsidR="00AA41F6">
        <w:rPr>
          <w:color w:val="000000"/>
        </w:rPr>
        <w:t>Although providing a detailed history of the clinical course and numerous consultations and ancillary evaluations, t</w:t>
      </w:r>
      <w:r w:rsidR="00ED577A">
        <w:rPr>
          <w:color w:val="000000"/>
        </w:rPr>
        <w:t xml:space="preserve">he narrative summary (NARSUM) did not specifically elaborate </w:t>
      </w:r>
      <w:r w:rsidR="00AA41F6">
        <w:rPr>
          <w:color w:val="000000"/>
        </w:rPr>
        <w:t xml:space="preserve">the concurrent </w:t>
      </w:r>
      <w:r w:rsidR="00ED577A">
        <w:rPr>
          <w:color w:val="000000"/>
        </w:rPr>
        <w:t xml:space="preserve">frequency, duration, and response to treatment of the numerous symptoms.  </w:t>
      </w:r>
      <w:r w:rsidR="00C65A75">
        <w:rPr>
          <w:color w:val="000000"/>
        </w:rPr>
        <w:t xml:space="preserve">A comprehensive </w:t>
      </w:r>
      <w:r w:rsidR="007120FC">
        <w:rPr>
          <w:color w:val="000000"/>
        </w:rPr>
        <w:t xml:space="preserve">primary care </w:t>
      </w:r>
      <w:r w:rsidR="00C65A75">
        <w:rPr>
          <w:color w:val="000000"/>
        </w:rPr>
        <w:t>note, 3 months p</w:t>
      </w:r>
      <w:r w:rsidR="00E81968">
        <w:rPr>
          <w:color w:val="000000"/>
        </w:rPr>
        <w:t xml:space="preserve">rior to </w:t>
      </w:r>
      <w:r w:rsidR="00C65A75">
        <w:rPr>
          <w:color w:val="000000"/>
        </w:rPr>
        <w:t xml:space="preserve">separation and the most temporally probative outpatient evidence, </w:t>
      </w:r>
      <w:r w:rsidR="001E1BD1">
        <w:rPr>
          <w:color w:val="000000"/>
        </w:rPr>
        <w:t xml:space="preserve">noted the CI’s report that his extremity symptoms </w:t>
      </w:r>
      <w:r w:rsidR="009F4E25">
        <w:rPr>
          <w:color w:val="000000"/>
        </w:rPr>
        <w:t xml:space="preserve">(predominantly hands at that time) </w:t>
      </w:r>
      <w:r w:rsidR="001E1BD1">
        <w:rPr>
          <w:color w:val="000000"/>
        </w:rPr>
        <w:t>“occur 1-2 times a month an</w:t>
      </w:r>
      <w:r w:rsidR="009F4E25">
        <w:rPr>
          <w:color w:val="000000"/>
        </w:rPr>
        <w:t>d</w:t>
      </w:r>
      <w:r w:rsidR="001E1BD1">
        <w:rPr>
          <w:color w:val="000000"/>
        </w:rPr>
        <w:t xml:space="preserve"> last seconds up to 30 minutes.</w:t>
      </w:r>
      <w:r w:rsidR="00E81968">
        <w:rPr>
          <w:color w:val="000000"/>
        </w:rPr>
        <w:t>”</w:t>
      </w:r>
      <w:r w:rsidR="001E1BD1">
        <w:rPr>
          <w:color w:val="000000"/>
        </w:rPr>
        <w:t xml:space="preserve">  Other entries in that note are excerpted below.</w:t>
      </w:r>
    </w:p>
    <w:p w:rsidR="00ED577A" w:rsidRPr="00AA41F6" w:rsidRDefault="001E1BD1" w:rsidP="00AA41F6">
      <w:pPr>
        <w:spacing w:after="120" w:line="200" w:lineRule="exact"/>
        <w:ind w:left="720" w:right="720"/>
        <w:jc w:val="both"/>
        <w:rPr>
          <w:color w:val="000000"/>
          <w:sz w:val="20"/>
        </w:rPr>
      </w:pPr>
      <w:r w:rsidRPr="00AA41F6">
        <w:rPr>
          <w:color w:val="000000"/>
          <w:sz w:val="20"/>
        </w:rPr>
        <w:t>Patient continues to have chest pain with exertion and foot cramping is most frequent when going down stairs.</w:t>
      </w:r>
      <w:r w:rsidR="00AA41F6" w:rsidRPr="00AA41F6">
        <w:rPr>
          <w:color w:val="000000"/>
          <w:sz w:val="20"/>
        </w:rPr>
        <w:t xml:space="preserve"> ... </w:t>
      </w:r>
      <w:r w:rsidRPr="00AA41F6">
        <w:rPr>
          <w:color w:val="000000"/>
          <w:sz w:val="20"/>
        </w:rPr>
        <w:t>Patient states that he has no trigger that causes his symptoms.  It is not cl</w:t>
      </w:r>
      <w:r w:rsidR="00AA41F6" w:rsidRPr="00AA41F6">
        <w:rPr>
          <w:color w:val="000000"/>
          <w:sz w:val="20"/>
        </w:rPr>
        <w:t>ear that if soldier is experienc</w:t>
      </w:r>
      <w:r w:rsidRPr="00AA41F6">
        <w:rPr>
          <w:color w:val="000000"/>
          <w:sz w:val="20"/>
        </w:rPr>
        <w:t>ing such brief episodes of pain only 1-2 times a month, and last no</w:t>
      </w:r>
      <w:r w:rsidR="00AA41F6" w:rsidRPr="00AA41F6">
        <w:rPr>
          <w:color w:val="000000"/>
          <w:sz w:val="20"/>
        </w:rPr>
        <w:t xml:space="preserve"> </w:t>
      </w:r>
      <w:r w:rsidRPr="00AA41F6">
        <w:rPr>
          <w:color w:val="000000"/>
          <w:sz w:val="20"/>
        </w:rPr>
        <w:t xml:space="preserve">more than 30 minutes, how they could be as debilitating as he reports. </w:t>
      </w:r>
      <w:r w:rsidR="00AA41F6" w:rsidRPr="00AA41F6">
        <w:rPr>
          <w:color w:val="000000"/>
          <w:sz w:val="20"/>
        </w:rPr>
        <w:t xml:space="preserve"> </w:t>
      </w:r>
      <w:r w:rsidRPr="00AA41F6">
        <w:rPr>
          <w:color w:val="000000"/>
          <w:sz w:val="20"/>
        </w:rPr>
        <w:t>His response to this was "too much work causes back pain and</w:t>
      </w:r>
      <w:r w:rsidR="00AA41F6" w:rsidRPr="00AA41F6">
        <w:rPr>
          <w:color w:val="000000"/>
          <w:sz w:val="20"/>
        </w:rPr>
        <w:t xml:space="preserve"> </w:t>
      </w:r>
      <w:r w:rsidRPr="00AA41F6">
        <w:rPr>
          <w:color w:val="000000"/>
          <w:sz w:val="20"/>
        </w:rPr>
        <w:t>every bone in my body hurts".</w:t>
      </w:r>
    </w:p>
    <w:p w:rsidR="00FF3262" w:rsidRDefault="009F4E25" w:rsidP="00E41C21">
      <w:pPr>
        <w:jc w:val="both"/>
        <w:rPr>
          <w:color w:val="000000"/>
        </w:rPr>
      </w:pPr>
      <w:r>
        <w:rPr>
          <w:color w:val="000000"/>
        </w:rPr>
        <w:t>This examiner cited “non-objective complaints that have prevented him from doing his job and deploying</w:t>
      </w:r>
      <w:r w:rsidR="001E694E">
        <w:rPr>
          <w:color w:val="000000"/>
        </w:rPr>
        <w:t>;</w:t>
      </w:r>
      <w:r>
        <w:rPr>
          <w:color w:val="000000"/>
        </w:rPr>
        <w:t>” with a strongly worded impression of “malingering” in addition to diagnoses of “cramp of the limbs” and “atypical chest pain</w:t>
      </w:r>
      <w:r w:rsidR="001E694E">
        <w:rPr>
          <w:color w:val="000000"/>
        </w:rPr>
        <w:t>.</w:t>
      </w:r>
      <w:r>
        <w:rPr>
          <w:color w:val="000000"/>
        </w:rPr>
        <w:t xml:space="preserve">”  </w:t>
      </w:r>
      <w:r w:rsidR="00FF3262">
        <w:rPr>
          <w:color w:val="000000"/>
        </w:rPr>
        <w:t xml:space="preserve">Also of note, an early mental health consultant listed an Axis I impression of “rule-out </w:t>
      </w:r>
      <w:proofErr w:type="spellStart"/>
      <w:r w:rsidR="00FF3262">
        <w:rPr>
          <w:color w:val="000000"/>
        </w:rPr>
        <w:t>somatiform</w:t>
      </w:r>
      <w:proofErr w:type="spellEnd"/>
      <w:r w:rsidR="00FF3262">
        <w:rPr>
          <w:color w:val="000000"/>
        </w:rPr>
        <w:t xml:space="preserve"> disorder</w:t>
      </w:r>
      <w:r w:rsidR="001E694E">
        <w:rPr>
          <w:color w:val="000000"/>
        </w:rPr>
        <w:t>;</w:t>
      </w:r>
      <w:r w:rsidR="00FF3262">
        <w:rPr>
          <w:color w:val="000000"/>
        </w:rPr>
        <w:t xml:space="preserve">” although this was never pursued in service.  A VA psychiatrist did make an Axis I diagnosis of “depression vs. </w:t>
      </w:r>
      <w:proofErr w:type="spellStart"/>
      <w:r w:rsidR="00FF3262">
        <w:rPr>
          <w:color w:val="000000"/>
        </w:rPr>
        <w:t>somatization</w:t>
      </w:r>
      <w:proofErr w:type="spellEnd"/>
      <w:r w:rsidR="00FF3262">
        <w:rPr>
          <w:color w:val="000000"/>
        </w:rPr>
        <w:t xml:space="preserve"> and conversion </w:t>
      </w:r>
      <w:r w:rsidR="001E694E">
        <w:rPr>
          <w:color w:val="000000"/>
        </w:rPr>
        <w:t>disorder;”</w:t>
      </w:r>
      <w:r w:rsidR="00FF3262">
        <w:rPr>
          <w:color w:val="000000"/>
        </w:rPr>
        <w:t xml:space="preserve"> but, this was 17 months </w:t>
      </w:r>
      <w:r w:rsidR="00E81968">
        <w:rPr>
          <w:color w:val="000000"/>
        </w:rPr>
        <w:t xml:space="preserve">after </w:t>
      </w:r>
      <w:r w:rsidR="00FF3262">
        <w:rPr>
          <w:color w:val="000000"/>
        </w:rPr>
        <w:t xml:space="preserve">separation and therefore not applicable to </w:t>
      </w:r>
      <w:r w:rsidR="00EB3E8D">
        <w:rPr>
          <w:color w:val="000000"/>
        </w:rPr>
        <w:t xml:space="preserve">Board recommendations for rating at separation.  </w:t>
      </w:r>
    </w:p>
    <w:p w:rsidR="00EB3E8D" w:rsidRDefault="00EB3E8D" w:rsidP="00E41C21">
      <w:pPr>
        <w:jc w:val="both"/>
        <w:rPr>
          <w:color w:val="000000"/>
        </w:rPr>
      </w:pPr>
    </w:p>
    <w:p w:rsidR="00112908" w:rsidRDefault="00EB3E8D" w:rsidP="00E41C21">
      <w:pPr>
        <w:jc w:val="both"/>
        <w:rPr>
          <w:color w:val="000000"/>
          <w:szCs w:val="24"/>
        </w:rPr>
      </w:pPr>
      <w:r>
        <w:rPr>
          <w:color w:val="000000"/>
        </w:rPr>
        <w:t>The NARSUM physical examination was normal, as were numerous examinations (including comprehensive neurological and vascular findings) throughout the STR.  At the VA</w:t>
      </w:r>
      <w:r w:rsidRPr="00EB3E8D">
        <w:rPr>
          <w:color w:val="000000"/>
          <w:szCs w:val="24"/>
        </w:rPr>
        <w:t xml:space="preserve"> </w:t>
      </w:r>
      <w:r w:rsidRPr="00CF0280">
        <w:rPr>
          <w:color w:val="000000"/>
          <w:szCs w:val="24"/>
        </w:rPr>
        <w:t>Compensation and Pension (C&amp;P)</w:t>
      </w:r>
      <w:r>
        <w:rPr>
          <w:color w:val="000000"/>
          <w:szCs w:val="24"/>
        </w:rPr>
        <w:t xml:space="preserve"> </w:t>
      </w:r>
      <w:r w:rsidRPr="00EB3E8D">
        <w:rPr>
          <w:color w:val="000000"/>
          <w:szCs w:val="24"/>
        </w:rPr>
        <w:t xml:space="preserve">exam </w:t>
      </w:r>
      <w:r w:rsidR="00A22ADD">
        <w:rPr>
          <w:color w:val="000000"/>
          <w:szCs w:val="24"/>
        </w:rPr>
        <w:t xml:space="preserve">performed </w:t>
      </w:r>
      <w:r w:rsidRPr="00EB3E8D">
        <w:rPr>
          <w:color w:val="000000"/>
          <w:szCs w:val="24"/>
        </w:rPr>
        <w:t xml:space="preserve">10 weeks </w:t>
      </w:r>
      <w:r w:rsidR="00A22ADD">
        <w:rPr>
          <w:color w:val="000000"/>
          <w:szCs w:val="24"/>
        </w:rPr>
        <w:t xml:space="preserve">prior to </w:t>
      </w:r>
      <w:r w:rsidRPr="00EB3E8D">
        <w:rPr>
          <w:color w:val="000000"/>
          <w:szCs w:val="24"/>
        </w:rPr>
        <w:t>separation</w:t>
      </w:r>
      <w:r>
        <w:rPr>
          <w:color w:val="000000"/>
          <w:szCs w:val="24"/>
        </w:rPr>
        <w:t>, the CI’s multiple symptoms were listed; but frequency, duration, and response to treatment were not specified</w:t>
      </w:r>
      <w:r w:rsidR="00072954">
        <w:rPr>
          <w:color w:val="000000"/>
          <w:szCs w:val="24"/>
        </w:rPr>
        <w:t xml:space="preserve"> for the extremity complaints</w:t>
      </w:r>
      <w:r>
        <w:rPr>
          <w:color w:val="000000"/>
          <w:szCs w:val="24"/>
        </w:rPr>
        <w:t xml:space="preserve">.  </w:t>
      </w:r>
      <w:r w:rsidR="00072954">
        <w:rPr>
          <w:color w:val="000000"/>
          <w:szCs w:val="24"/>
        </w:rPr>
        <w:t xml:space="preserve">The chest pain was reported to flare “from time to time lasting 30 minutes to an hour at a time.”  </w:t>
      </w:r>
      <w:r w:rsidR="004F6C89">
        <w:rPr>
          <w:color w:val="000000"/>
          <w:szCs w:val="24"/>
        </w:rPr>
        <w:t xml:space="preserve">The VA physical examination was normal except for “reduced sensation in the left </w:t>
      </w:r>
      <w:proofErr w:type="spellStart"/>
      <w:r w:rsidR="004F6C89">
        <w:rPr>
          <w:color w:val="000000"/>
          <w:szCs w:val="24"/>
        </w:rPr>
        <w:t>ulnar</w:t>
      </w:r>
      <w:proofErr w:type="spellEnd"/>
      <w:r w:rsidR="004F6C89">
        <w:rPr>
          <w:color w:val="000000"/>
          <w:szCs w:val="24"/>
        </w:rPr>
        <w:t xml:space="preserve"> nerve distribution</w:t>
      </w:r>
      <w:r w:rsidR="001E694E">
        <w:rPr>
          <w:color w:val="000000"/>
          <w:szCs w:val="24"/>
        </w:rPr>
        <w:t>.</w:t>
      </w:r>
      <w:r w:rsidR="004F6C89">
        <w:rPr>
          <w:color w:val="000000"/>
          <w:szCs w:val="24"/>
        </w:rPr>
        <w:t>”  All range-of-motion</w:t>
      </w:r>
      <w:r w:rsidR="00A22ADD">
        <w:rPr>
          <w:color w:val="000000"/>
          <w:szCs w:val="24"/>
        </w:rPr>
        <w:t xml:space="preserve"> (ROM)</w:t>
      </w:r>
      <w:r w:rsidR="004F6C89">
        <w:rPr>
          <w:color w:val="000000"/>
          <w:szCs w:val="24"/>
        </w:rPr>
        <w:t xml:space="preserve"> measurements were normal or nearly so.  The VA diagnosis of coronary artery disease rested </w:t>
      </w:r>
      <w:r w:rsidR="00C52258">
        <w:rPr>
          <w:color w:val="000000"/>
          <w:szCs w:val="24"/>
        </w:rPr>
        <w:t xml:space="preserve">solely </w:t>
      </w:r>
      <w:r w:rsidR="004F6C89">
        <w:rPr>
          <w:color w:val="000000"/>
          <w:szCs w:val="24"/>
        </w:rPr>
        <w:t xml:space="preserve">on the </w:t>
      </w:r>
      <w:r w:rsidR="00072954">
        <w:rPr>
          <w:color w:val="000000"/>
          <w:szCs w:val="24"/>
        </w:rPr>
        <w:t>history, “He was told that he had changes in the inferior wall of the heart</w:t>
      </w:r>
      <w:r w:rsidR="00A22ADD">
        <w:rPr>
          <w:color w:val="000000"/>
          <w:szCs w:val="24"/>
        </w:rPr>
        <w:t>.</w:t>
      </w:r>
      <w:r w:rsidR="00162B2B">
        <w:rPr>
          <w:color w:val="000000"/>
          <w:szCs w:val="24"/>
        </w:rPr>
        <w:t>..</w:t>
      </w:r>
      <w:r w:rsidR="002D3B33">
        <w:rPr>
          <w:color w:val="000000"/>
          <w:szCs w:val="24"/>
        </w:rPr>
        <w:t>”  This was</w:t>
      </w:r>
      <w:r w:rsidR="00162B2B">
        <w:rPr>
          <w:color w:val="000000"/>
          <w:szCs w:val="24"/>
        </w:rPr>
        <w:t xml:space="preserve"> presumably referencing the 2005</w:t>
      </w:r>
      <w:r w:rsidR="00072954">
        <w:rPr>
          <w:color w:val="000000"/>
          <w:szCs w:val="24"/>
        </w:rPr>
        <w:t xml:space="preserve"> </w:t>
      </w:r>
      <w:r w:rsidR="00162B2B">
        <w:rPr>
          <w:color w:val="000000"/>
          <w:szCs w:val="24"/>
        </w:rPr>
        <w:t>EST, cited above</w:t>
      </w:r>
      <w:r w:rsidR="002D3B33">
        <w:rPr>
          <w:color w:val="000000"/>
          <w:szCs w:val="24"/>
        </w:rPr>
        <w:t xml:space="preserve">, </w:t>
      </w:r>
      <w:r w:rsidR="008C2030">
        <w:rPr>
          <w:color w:val="000000"/>
          <w:szCs w:val="24"/>
        </w:rPr>
        <w:t>although coronary ischemia</w:t>
      </w:r>
      <w:r w:rsidR="002D3B33">
        <w:rPr>
          <w:color w:val="000000"/>
          <w:szCs w:val="24"/>
        </w:rPr>
        <w:t xml:space="preserve"> was not supported by further study or likely based on all other evidence.</w:t>
      </w:r>
      <w:r w:rsidR="00072954">
        <w:rPr>
          <w:color w:val="000000"/>
          <w:szCs w:val="24"/>
        </w:rPr>
        <w:t xml:space="preserve">  </w:t>
      </w:r>
      <w:r w:rsidR="00C11632">
        <w:rPr>
          <w:color w:val="000000"/>
          <w:szCs w:val="24"/>
        </w:rPr>
        <w:t xml:space="preserve">The </w:t>
      </w:r>
      <w:r w:rsidR="00112908">
        <w:rPr>
          <w:color w:val="000000"/>
          <w:szCs w:val="24"/>
        </w:rPr>
        <w:t xml:space="preserve">VA </w:t>
      </w:r>
      <w:r w:rsidR="00C11632">
        <w:rPr>
          <w:color w:val="000000"/>
          <w:szCs w:val="24"/>
        </w:rPr>
        <w:t xml:space="preserve">diagnoses of </w:t>
      </w:r>
      <w:r w:rsidR="00112908">
        <w:rPr>
          <w:color w:val="000000"/>
          <w:szCs w:val="24"/>
        </w:rPr>
        <w:t>PVD</w:t>
      </w:r>
      <w:r w:rsidR="00C11632">
        <w:rPr>
          <w:color w:val="000000"/>
          <w:szCs w:val="24"/>
        </w:rPr>
        <w:t xml:space="preserve"> of </w:t>
      </w:r>
      <w:r w:rsidR="00112908">
        <w:rPr>
          <w:color w:val="000000"/>
          <w:szCs w:val="24"/>
        </w:rPr>
        <w:t xml:space="preserve">both </w:t>
      </w:r>
      <w:r w:rsidR="00C11632">
        <w:rPr>
          <w:color w:val="000000"/>
          <w:szCs w:val="24"/>
        </w:rPr>
        <w:t xml:space="preserve">lower extremities was premised </w:t>
      </w:r>
      <w:r w:rsidR="00112908">
        <w:rPr>
          <w:color w:val="000000"/>
          <w:szCs w:val="24"/>
        </w:rPr>
        <w:t xml:space="preserve">only on the equivocal ABI findings which would account for </w:t>
      </w:r>
      <w:r w:rsidR="008C2030">
        <w:rPr>
          <w:color w:val="000000"/>
          <w:szCs w:val="24"/>
        </w:rPr>
        <w:t xml:space="preserve">the </w:t>
      </w:r>
      <w:r w:rsidR="00112908">
        <w:rPr>
          <w:color w:val="000000"/>
          <w:szCs w:val="24"/>
        </w:rPr>
        <w:t>left leg only</w:t>
      </w:r>
      <w:r w:rsidR="008C2030">
        <w:rPr>
          <w:color w:val="000000"/>
          <w:szCs w:val="24"/>
        </w:rPr>
        <w:t>,</w:t>
      </w:r>
      <w:r w:rsidR="00112908">
        <w:rPr>
          <w:color w:val="000000"/>
          <w:szCs w:val="24"/>
        </w:rPr>
        <w:t xml:space="preserve"> and which was </w:t>
      </w:r>
      <w:r w:rsidR="008C2030">
        <w:rPr>
          <w:color w:val="000000"/>
          <w:szCs w:val="24"/>
        </w:rPr>
        <w:t>contrary to the opinion</w:t>
      </w:r>
      <w:r w:rsidR="00112908">
        <w:rPr>
          <w:color w:val="000000"/>
          <w:szCs w:val="24"/>
        </w:rPr>
        <w:t xml:space="preserve"> </w:t>
      </w:r>
      <w:r w:rsidR="008C2030">
        <w:rPr>
          <w:color w:val="000000"/>
          <w:szCs w:val="24"/>
        </w:rPr>
        <w:t>of the vascular surgeon.  The likelihood of PVD is also mitigated by the normal coronary and subclavian arterial findings at catheterization.</w:t>
      </w:r>
      <w:r w:rsidR="00112908">
        <w:rPr>
          <w:color w:val="000000"/>
          <w:szCs w:val="24"/>
        </w:rPr>
        <w:t xml:space="preserve"> </w:t>
      </w:r>
      <w:r w:rsidR="008C2030">
        <w:rPr>
          <w:color w:val="000000"/>
          <w:szCs w:val="24"/>
        </w:rPr>
        <w:t xml:space="preserve"> T</w:t>
      </w:r>
      <w:r w:rsidR="002D3B33">
        <w:rPr>
          <w:color w:val="000000"/>
          <w:szCs w:val="24"/>
        </w:rPr>
        <w:t xml:space="preserve">he VA diagnosis of left cubital tunnel syndrome was based </w:t>
      </w:r>
      <w:r w:rsidR="008C2030">
        <w:rPr>
          <w:color w:val="000000"/>
          <w:szCs w:val="24"/>
        </w:rPr>
        <w:t xml:space="preserve">solely </w:t>
      </w:r>
      <w:r w:rsidR="002D3B33">
        <w:rPr>
          <w:color w:val="000000"/>
          <w:szCs w:val="24"/>
        </w:rPr>
        <w:t xml:space="preserve">on the </w:t>
      </w:r>
      <w:r w:rsidR="008C2030">
        <w:rPr>
          <w:color w:val="000000"/>
          <w:szCs w:val="24"/>
        </w:rPr>
        <w:t>examiner’s sensory neurologic finding cited above; and,</w:t>
      </w:r>
      <w:r w:rsidR="002D3B33">
        <w:rPr>
          <w:color w:val="000000"/>
          <w:szCs w:val="24"/>
        </w:rPr>
        <w:t xml:space="preserve"> was not supported by electrodiagnostic testing or specialty opinion.  </w:t>
      </w:r>
    </w:p>
    <w:p w:rsidR="00112908" w:rsidRDefault="00112908" w:rsidP="00E41C21">
      <w:pPr>
        <w:jc w:val="both"/>
        <w:rPr>
          <w:color w:val="000000"/>
          <w:szCs w:val="24"/>
        </w:rPr>
      </w:pPr>
    </w:p>
    <w:p w:rsidR="00112908" w:rsidRDefault="00112908" w:rsidP="00112908">
      <w:pPr>
        <w:tabs>
          <w:tab w:val="left" w:pos="288"/>
          <w:tab w:val="left" w:pos="4752"/>
        </w:tabs>
        <w:jc w:val="both"/>
        <w:rPr>
          <w:color w:val="000000"/>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w:t>
      </w:r>
      <w:r>
        <w:rPr>
          <w:rFonts w:cs="Times New Roman"/>
          <w:color w:val="auto"/>
        </w:rPr>
        <w:t xml:space="preserve">  The PEB approach of combining multiple extremity complaints and chest pain under the analogous </w:t>
      </w:r>
      <w:r w:rsidR="002D3B33">
        <w:rPr>
          <w:rFonts w:cs="Times New Roman"/>
          <w:color w:val="auto"/>
        </w:rPr>
        <w:lastRenderedPageBreak/>
        <w:t xml:space="preserve">code 5003 </w:t>
      </w:r>
      <w:r w:rsidR="00BF1681">
        <w:rPr>
          <w:rFonts w:cs="Times New Roman"/>
          <w:color w:val="auto"/>
        </w:rPr>
        <w:t xml:space="preserve">(degenerative arthritis) was supported by </w:t>
      </w:r>
      <w:r w:rsidR="00BF1681" w:rsidRPr="00BF1681">
        <w:rPr>
          <w:rFonts w:cs="Times New Roman"/>
          <w:color w:val="auto"/>
        </w:rPr>
        <w:t>AR 635-40</w:t>
      </w:r>
      <w:r w:rsidR="00BF1681">
        <w:rPr>
          <w:rFonts w:cs="Times New Roman"/>
          <w:color w:val="auto"/>
        </w:rPr>
        <w:t xml:space="preserve">; but, is not compliant with VASRD §4.71a and therefore not an option available to the Board.  The Board has the option of ‘unbundling’ all of the conditions entrained in the PEB rating and recommending separate </w:t>
      </w:r>
      <w:r w:rsidR="00EF5F6E">
        <w:rPr>
          <w:rFonts w:cs="Times New Roman"/>
          <w:color w:val="auto"/>
        </w:rPr>
        <w:t xml:space="preserve">codes and </w:t>
      </w:r>
      <w:r w:rsidR="00BF1681">
        <w:rPr>
          <w:rFonts w:cs="Times New Roman"/>
          <w:color w:val="auto"/>
        </w:rPr>
        <w:t xml:space="preserve">ratings; but, each disability rating so derived must be supported </w:t>
      </w:r>
      <w:r w:rsidR="00EF5F6E">
        <w:rPr>
          <w:rFonts w:cs="Times New Roman"/>
          <w:color w:val="auto"/>
        </w:rPr>
        <w:t xml:space="preserve">as separately unfitting by a preponderance of the evidence.  The atypical chest pain could be separately considered on this basis, since it was separately profiled and separately judged to fail retention standards by the MEB.  All members agreed, however, that the </w:t>
      </w:r>
      <w:r w:rsidR="00EF5F6E">
        <w:rPr>
          <w:rFonts w:cstheme="minorHAnsi"/>
          <w:color w:val="000000"/>
          <w:szCs w:val="24"/>
        </w:rPr>
        <w:t xml:space="preserve">“extremity muscle cramps” combined as a single diagnosis by the MEB was clearly a combined effect type disability; and, that no single extremity (or pair of extremities) </w:t>
      </w:r>
      <w:r w:rsidR="007A4097">
        <w:rPr>
          <w:rFonts w:cstheme="minorHAnsi"/>
          <w:color w:val="000000"/>
          <w:szCs w:val="24"/>
        </w:rPr>
        <w:t>could be established as separately unfitting by performance based evidence apparent at separation</w:t>
      </w:r>
      <w:r w:rsidR="007A4097" w:rsidRPr="004F72FE">
        <w:rPr>
          <w:rFonts w:cstheme="minorHAnsi"/>
          <w:color w:val="000000"/>
          <w:szCs w:val="24"/>
        </w:rPr>
        <w:t>.  All members concurred that separate ratings under the VA diagnoses was not supported</w:t>
      </w:r>
      <w:r w:rsidR="009C5B0C" w:rsidRPr="004F72FE">
        <w:rPr>
          <w:rFonts w:cstheme="minorHAnsi"/>
          <w:color w:val="000000"/>
          <w:szCs w:val="24"/>
        </w:rPr>
        <w:t xml:space="preserve">; since the probative value of the VA examiner’s diagnostic opinions was considerably outweighed </w:t>
      </w:r>
      <w:r w:rsidR="00ED0808" w:rsidRPr="004F72FE">
        <w:rPr>
          <w:rFonts w:cstheme="minorHAnsi"/>
          <w:color w:val="000000"/>
          <w:szCs w:val="24"/>
        </w:rPr>
        <w:t>(in excess of the preponderance of the evidence standard) b</w:t>
      </w:r>
      <w:r w:rsidR="009C5B0C" w:rsidRPr="004F72FE">
        <w:rPr>
          <w:rFonts w:cstheme="minorHAnsi"/>
          <w:color w:val="000000"/>
          <w:szCs w:val="24"/>
        </w:rPr>
        <w:t xml:space="preserve">y the multiple specialty opinions backed by an abundance of </w:t>
      </w:r>
      <w:r w:rsidR="00ED0808" w:rsidRPr="004F72FE">
        <w:rPr>
          <w:rFonts w:cstheme="minorHAnsi"/>
          <w:color w:val="000000"/>
          <w:szCs w:val="24"/>
        </w:rPr>
        <w:t>irrefutable</w:t>
      </w:r>
      <w:r w:rsidR="009C5B0C" w:rsidRPr="004F72FE">
        <w:rPr>
          <w:rFonts w:cstheme="minorHAnsi"/>
          <w:color w:val="000000"/>
          <w:szCs w:val="24"/>
        </w:rPr>
        <w:t xml:space="preserve"> ancillary findings</w:t>
      </w:r>
      <w:r w:rsidR="007A4097" w:rsidRPr="004F72FE">
        <w:rPr>
          <w:rFonts w:cstheme="minorHAnsi"/>
          <w:color w:val="000000"/>
          <w:szCs w:val="24"/>
        </w:rPr>
        <w:t xml:space="preserve">.  </w:t>
      </w:r>
      <w:r w:rsidR="00BA45D5" w:rsidRPr="004F72FE">
        <w:rPr>
          <w:rFonts w:cstheme="minorHAnsi"/>
          <w:color w:val="000000"/>
          <w:szCs w:val="24"/>
        </w:rPr>
        <w:t>Members deliberate</w:t>
      </w:r>
      <w:r w:rsidR="00BA45D5">
        <w:rPr>
          <w:rFonts w:cstheme="minorHAnsi"/>
          <w:color w:val="000000"/>
          <w:szCs w:val="24"/>
        </w:rPr>
        <w:t xml:space="preserve">d the option of separate rating for the atypical chest pain under the analogous code 5399-5321 (muscle code for thoracic group) plus a combined rating for all of the extremity impairment under analogous 5003 (a very tenuous application of the code IAW §4.71a).  Members then considered </w:t>
      </w:r>
      <w:r w:rsidR="00BA45D5" w:rsidRPr="00BA45D5">
        <w:rPr>
          <w:rFonts w:cstheme="minorHAnsi"/>
          <w:i/>
          <w:color w:val="000000"/>
          <w:szCs w:val="24"/>
        </w:rPr>
        <w:t>analogous</w:t>
      </w:r>
      <w:r w:rsidR="00BA45D5">
        <w:rPr>
          <w:rFonts w:cstheme="minorHAnsi"/>
          <w:color w:val="000000"/>
          <w:szCs w:val="24"/>
        </w:rPr>
        <w:t xml:space="preserve"> rating under 5025 (fibromyalgia).  Although fibromyalgia clearly was not the diagnosis in this case (as per rheumatology consultation), the rated symptoms are quite similar to those manifested in this case; </w:t>
      </w:r>
      <w:r w:rsidR="000C4FEF">
        <w:rPr>
          <w:rFonts w:cstheme="minorHAnsi"/>
          <w:color w:val="000000"/>
          <w:szCs w:val="24"/>
        </w:rPr>
        <w:t>since the 5025 des</w:t>
      </w:r>
      <w:r w:rsidR="001254AF">
        <w:rPr>
          <w:rFonts w:cstheme="minorHAnsi"/>
          <w:color w:val="000000"/>
          <w:szCs w:val="24"/>
        </w:rPr>
        <w:t>c</w:t>
      </w:r>
      <w:r w:rsidR="000C4FEF">
        <w:rPr>
          <w:rFonts w:cstheme="minorHAnsi"/>
          <w:color w:val="000000"/>
          <w:szCs w:val="24"/>
        </w:rPr>
        <w:t>ription</w:t>
      </w:r>
      <w:r w:rsidR="00BA45D5">
        <w:rPr>
          <w:rFonts w:cstheme="minorHAnsi"/>
          <w:color w:val="000000"/>
          <w:szCs w:val="24"/>
        </w:rPr>
        <w:t xml:space="preserve"> includes “anterior chest</w:t>
      </w:r>
      <w:r w:rsidR="00A8554C">
        <w:rPr>
          <w:rFonts w:cstheme="minorHAnsi"/>
          <w:color w:val="000000"/>
          <w:szCs w:val="24"/>
        </w:rPr>
        <w:t>” pain as well as “</w:t>
      </w:r>
      <w:r w:rsidR="00A8554C" w:rsidRPr="00A8554C">
        <w:rPr>
          <w:color w:val="000000"/>
        </w:rPr>
        <w:t>widespread musculoskeletal pain</w:t>
      </w:r>
      <w:r w:rsidR="001E694E">
        <w:rPr>
          <w:color w:val="000000"/>
        </w:rPr>
        <w:t>,</w:t>
      </w:r>
      <w:r w:rsidR="00A8554C">
        <w:rPr>
          <w:color w:val="000000"/>
        </w:rPr>
        <w:t>” “</w:t>
      </w:r>
      <w:proofErr w:type="spellStart"/>
      <w:r w:rsidR="00A8554C">
        <w:rPr>
          <w:color w:val="000000"/>
        </w:rPr>
        <w:t>paresthesias</w:t>
      </w:r>
      <w:proofErr w:type="spellEnd"/>
      <w:r w:rsidR="001E694E">
        <w:rPr>
          <w:color w:val="000000"/>
        </w:rPr>
        <w:t>,</w:t>
      </w:r>
      <w:r w:rsidR="00A8554C">
        <w:rPr>
          <w:color w:val="000000"/>
        </w:rPr>
        <w:t>” and “</w:t>
      </w:r>
      <w:proofErr w:type="spellStart"/>
      <w:r w:rsidR="00A8554C" w:rsidRPr="00A8554C">
        <w:rPr>
          <w:color w:val="000000"/>
        </w:rPr>
        <w:t>Raynaud’s</w:t>
      </w:r>
      <w:proofErr w:type="spellEnd"/>
      <w:r w:rsidR="00A8554C" w:rsidRPr="00A8554C">
        <w:rPr>
          <w:color w:val="000000"/>
        </w:rPr>
        <w:t>-like symptoms</w:t>
      </w:r>
      <w:r w:rsidR="001E694E">
        <w:rPr>
          <w:color w:val="000000"/>
        </w:rPr>
        <w:t>.</w:t>
      </w:r>
      <w:r w:rsidR="00A8554C">
        <w:rPr>
          <w:color w:val="000000"/>
        </w:rPr>
        <w:t>”  Although not elaborated above (since they were not unfitting), all of the other symptoms referenced under 5025 were also reported by the CI in the STR.  VASRD §4.20 (analogous ratings) states, “</w:t>
      </w:r>
      <w:r w:rsidR="00A8554C" w:rsidRPr="00A8554C">
        <w:rPr>
          <w:color w:val="000000"/>
        </w:rPr>
        <w:t>When an unlisted condition is encountered it will be permissible to rate under a closely related disease or injury in which not only the functions affected, but the anatomical localization and symptomatology are closely analogous.</w:t>
      </w:r>
      <w:r w:rsidR="00A8554C">
        <w:rPr>
          <w:color w:val="000000"/>
        </w:rPr>
        <w:t xml:space="preserve">”  After considerable deliberation, all members agreed that a combined rating analogous to </w:t>
      </w:r>
      <w:r w:rsidR="00A802D8">
        <w:rPr>
          <w:color w:val="000000"/>
        </w:rPr>
        <w:t>5025 was preferable to the overly speculative route of attemp</w:t>
      </w:r>
      <w:r w:rsidR="000C4FEF">
        <w:rPr>
          <w:color w:val="000000"/>
        </w:rPr>
        <w:t>ting to derive separate ratings; that it was</w:t>
      </w:r>
      <w:r w:rsidR="00A802D8">
        <w:rPr>
          <w:color w:val="000000"/>
        </w:rPr>
        <w:t xml:space="preserve"> much more compatible wi</w:t>
      </w:r>
      <w:r w:rsidR="000C4FEF">
        <w:rPr>
          <w:color w:val="000000"/>
        </w:rPr>
        <w:t>th the total disability picture;</w:t>
      </w:r>
      <w:r w:rsidR="00A802D8">
        <w:rPr>
          <w:color w:val="000000"/>
        </w:rPr>
        <w:t xml:space="preserve"> and</w:t>
      </w:r>
      <w:r w:rsidR="000C4FEF">
        <w:rPr>
          <w:color w:val="000000"/>
        </w:rPr>
        <w:t xml:space="preserve">, that it was </w:t>
      </w:r>
      <w:r w:rsidR="00A802D8">
        <w:rPr>
          <w:color w:val="000000"/>
        </w:rPr>
        <w:t xml:space="preserve">more </w:t>
      </w:r>
      <w:r w:rsidR="000C4FEF">
        <w:rPr>
          <w:color w:val="000000"/>
        </w:rPr>
        <w:t xml:space="preserve">(or at least equally) </w:t>
      </w:r>
      <w:r w:rsidR="00A802D8">
        <w:rPr>
          <w:color w:val="000000"/>
        </w:rPr>
        <w:t>advantageous to rating.</w:t>
      </w:r>
    </w:p>
    <w:p w:rsidR="009C5B0C" w:rsidRDefault="009C5B0C" w:rsidP="00943242">
      <w:pPr>
        <w:jc w:val="both"/>
        <w:rPr>
          <w:color w:val="FF0000"/>
        </w:rPr>
      </w:pPr>
    </w:p>
    <w:p w:rsidR="00E41C21" w:rsidRDefault="00A802D8" w:rsidP="00943242">
      <w:pPr>
        <w:jc w:val="both"/>
        <w:rPr>
          <w:rFonts w:eastAsia="Calibri" w:cs="Times New Roman"/>
          <w:color w:val="auto"/>
          <w:szCs w:val="24"/>
        </w:rPr>
      </w:pPr>
      <w:r>
        <w:rPr>
          <w:rFonts w:cs="Times New Roman"/>
          <w:color w:val="auto"/>
        </w:rPr>
        <w:t>Code 5025 offers a 10% rating for symptoms “</w:t>
      </w:r>
      <w:r>
        <w:rPr>
          <w:rFonts w:asciiTheme="majorHAnsi" w:hAnsiTheme="majorHAnsi" w:cstheme="majorHAnsi"/>
          <w:color w:val="auto"/>
          <w:szCs w:val="24"/>
        </w:rPr>
        <w:t>t</w:t>
      </w:r>
      <w:r w:rsidRPr="002B56EA">
        <w:rPr>
          <w:rFonts w:asciiTheme="majorHAnsi" w:hAnsiTheme="majorHAnsi" w:cstheme="majorHAnsi"/>
          <w:color w:val="auto"/>
          <w:szCs w:val="24"/>
        </w:rPr>
        <w:t>hat require continuous medication for control</w:t>
      </w:r>
      <w:r w:rsidR="001E694E">
        <w:rPr>
          <w:rFonts w:asciiTheme="majorHAnsi" w:hAnsiTheme="majorHAnsi" w:cstheme="majorHAnsi"/>
          <w:color w:val="auto"/>
          <w:szCs w:val="24"/>
        </w:rPr>
        <w:t>;</w:t>
      </w:r>
      <w:r>
        <w:rPr>
          <w:rFonts w:asciiTheme="majorHAnsi" w:hAnsiTheme="majorHAnsi" w:cstheme="majorHAnsi"/>
          <w:color w:val="auto"/>
          <w:szCs w:val="24"/>
        </w:rPr>
        <w:t xml:space="preserve">” </w:t>
      </w:r>
      <w:r w:rsidR="000C4FEF">
        <w:rPr>
          <w:rFonts w:asciiTheme="majorHAnsi" w:hAnsiTheme="majorHAnsi" w:cstheme="majorHAnsi"/>
          <w:color w:val="auto"/>
          <w:szCs w:val="24"/>
        </w:rPr>
        <w:t xml:space="preserve">a </w:t>
      </w:r>
      <w:r>
        <w:rPr>
          <w:rFonts w:asciiTheme="majorHAnsi" w:hAnsiTheme="majorHAnsi" w:cstheme="majorHAnsi"/>
          <w:color w:val="auto"/>
          <w:szCs w:val="24"/>
        </w:rPr>
        <w:t xml:space="preserve">20% </w:t>
      </w:r>
      <w:r w:rsidR="000C4FEF">
        <w:rPr>
          <w:rFonts w:asciiTheme="majorHAnsi" w:hAnsiTheme="majorHAnsi" w:cstheme="majorHAnsi"/>
          <w:color w:val="auto"/>
          <w:szCs w:val="24"/>
        </w:rPr>
        <w:t xml:space="preserve">rating </w:t>
      </w:r>
      <w:r>
        <w:rPr>
          <w:rFonts w:asciiTheme="majorHAnsi" w:hAnsiTheme="majorHAnsi" w:cstheme="majorHAnsi"/>
          <w:color w:val="auto"/>
          <w:szCs w:val="24"/>
        </w:rPr>
        <w:t>for those “t</w:t>
      </w:r>
      <w:r w:rsidRPr="002B56EA">
        <w:rPr>
          <w:rFonts w:asciiTheme="majorHAnsi" w:hAnsiTheme="majorHAnsi" w:cstheme="majorHAnsi"/>
          <w:color w:val="auto"/>
          <w:szCs w:val="24"/>
        </w:rPr>
        <w:t>hat are episodic, with exacerbations often precipitated</w:t>
      </w:r>
      <w:r>
        <w:rPr>
          <w:rFonts w:asciiTheme="majorHAnsi" w:hAnsiTheme="majorHAnsi" w:cstheme="majorHAnsi"/>
          <w:color w:val="auto"/>
          <w:szCs w:val="24"/>
        </w:rPr>
        <w:t xml:space="preserve"> </w:t>
      </w:r>
      <w:r w:rsidRPr="002B56EA">
        <w:rPr>
          <w:rFonts w:asciiTheme="majorHAnsi" w:hAnsiTheme="majorHAnsi" w:cstheme="majorHAnsi"/>
          <w:color w:val="auto"/>
          <w:szCs w:val="24"/>
        </w:rPr>
        <w:t>by environmental or emotional stress or by overexertion,</w:t>
      </w:r>
      <w:r>
        <w:rPr>
          <w:rFonts w:asciiTheme="majorHAnsi" w:hAnsiTheme="majorHAnsi" w:cstheme="majorHAnsi"/>
          <w:color w:val="auto"/>
          <w:szCs w:val="24"/>
        </w:rPr>
        <w:t xml:space="preserve"> </w:t>
      </w:r>
      <w:r w:rsidRPr="002B56EA">
        <w:rPr>
          <w:rFonts w:asciiTheme="majorHAnsi" w:hAnsiTheme="majorHAnsi" w:cstheme="majorHAnsi"/>
          <w:color w:val="auto"/>
          <w:szCs w:val="24"/>
        </w:rPr>
        <w:t>but that are present more than one-third of the time</w:t>
      </w:r>
      <w:r w:rsidR="001E694E">
        <w:rPr>
          <w:rFonts w:asciiTheme="majorHAnsi" w:hAnsiTheme="majorHAnsi" w:cstheme="majorHAnsi"/>
          <w:color w:val="auto"/>
          <w:szCs w:val="24"/>
        </w:rPr>
        <w:t>;</w:t>
      </w:r>
      <w:r>
        <w:rPr>
          <w:rFonts w:asciiTheme="majorHAnsi" w:hAnsiTheme="majorHAnsi" w:cstheme="majorHAnsi"/>
          <w:color w:val="auto"/>
          <w:szCs w:val="24"/>
        </w:rPr>
        <w:t xml:space="preserve">” and </w:t>
      </w:r>
      <w:r w:rsidR="000C4FEF">
        <w:rPr>
          <w:rFonts w:asciiTheme="majorHAnsi" w:hAnsiTheme="majorHAnsi" w:cstheme="majorHAnsi"/>
          <w:color w:val="auto"/>
          <w:szCs w:val="24"/>
        </w:rPr>
        <w:t xml:space="preserve">a </w:t>
      </w:r>
      <w:r>
        <w:rPr>
          <w:rFonts w:asciiTheme="majorHAnsi" w:hAnsiTheme="majorHAnsi" w:cstheme="majorHAnsi"/>
          <w:color w:val="auto"/>
          <w:szCs w:val="24"/>
        </w:rPr>
        <w:t xml:space="preserve">40% </w:t>
      </w:r>
      <w:r w:rsidR="000C4FEF">
        <w:rPr>
          <w:rFonts w:asciiTheme="majorHAnsi" w:hAnsiTheme="majorHAnsi" w:cstheme="majorHAnsi"/>
          <w:color w:val="auto"/>
          <w:szCs w:val="24"/>
        </w:rPr>
        <w:t xml:space="preserve">rating </w:t>
      </w:r>
      <w:r>
        <w:rPr>
          <w:rFonts w:asciiTheme="majorHAnsi" w:hAnsiTheme="majorHAnsi" w:cstheme="majorHAnsi"/>
          <w:color w:val="auto"/>
          <w:szCs w:val="24"/>
        </w:rPr>
        <w:t>for those “t</w:t>
      </w:r>
      <w:r w:rsidRPr="002B56EA">
        <w:rPr>
          <w:rFonts w:asciiTheme="majorHAnsi" w:hAnsiTheme="majorHAnsi" w:cstheme="majorHAnsi"/>
          <w:color w:val="auto"/>
          <w:szCs w:val="24"/>
        </w:rPr>
        <w:t>hat are constant, or nearly so, and refractory to therapy</w:t>
      </w:r>
      <w:r w:rsidR="001E694E">
        <w:rPr>
          <w:rFonts w:asciiTheme="majorHAnsi" w:hAnsiTheme="majorHAnsi" w:cstheme="majorHAnsi"/>
          <w:color w:val="auto"/>
          <w:szCs w:val="24"/>
        </w:rPr>
        <w:t>.</w:t>
      </w:r>
      <w:r>
        <w:rPr>
          <w:rFonts w:asciiTheme="majorHAnsi" w:hAnsiTheme="majorHAnsi" w:cstheme="majorHAnsi"/>
          <w:color w:val="auto"/>
          <w:szCs w:val="24"/>
        </w:rPr>
        <w:t xml:space="preserve">”  Members agreed that, since the symptoms were clearly not controlled, the 10% rating </w:t>
      </w:r>
      <w:r w:rsidR="001E24B4">
        <w:rPr>
          <w:rFonts w:asciiTheme="majorHAnsi" w:hAnsiTheme="majorHAnsi" w:cstheme="majorHAnsi"/>
          <w:color w:val="auto"/>
          <w:szCs w:val="24"/>
        </w:rPr>
        <w:t xml:space="preserve">description does not accurately reflect the evidence.  Deliberations ensued regarding </w:t>
      </w:r>
      <w:r w:rsidR="001E694E">
        <w:rPr>
          <w:rFonts w:asciiTheme="majorHAnsi" w:hAnsiTheme="majorHAnsi" w:cstheme="majorHAnsi"/>
          <w:color w:val="auto"/>
          <w:szCs w:val="24"/>
        </w:rPr>
        <w:t>a 20% vs. a 40% recommendation.</w:t>
      </w:r>
      <w:r w:rsidR="001E24B4">
        <w:rPr>
          <w:rFonts w:asciiTheme="majorHAnsi" w:hAnsiTheme="majorHAnsi" w:cstheme="majorHAnsi"/>
          <w:color w:val="auto"/>
          <w:szCs w:val="24"/>
        </w:rPr>
        <w:t xml:space="preserve"> </w:t>
      </w:r>
      <w:r>
        <w:rPr>
          <w:rFonts w:asciiTheme="majorHAnsi" w:hAnsiTheme="majorHAnsi" w:cstheme="majorHAnsi"/>
          <w:color w:val="auto"/>
          <w:szCs w:val="24"/>
        </w:rPr>
        <w:t xml:space="preserve"> </w:t>
      </w:r>
      <w:r w:rsidR="001E24B4">
        <w:rPr>
          <w:rFonts w:asciiTheme="majorHAnsi" w:hAnsiTheme="majorHAnsi" w:cstheme="majorHAnsi"/>
          <w:color w:val="auto"/>
          <w:szCs w:val="24"/>
        </w:rPr>
        <w:t xml:space="preserve">At least the chest pain component was certainly exacerbated by the triggers elaborated in the 20% rating, but all of the symptoms were apparently ‘refractory to therapy’ as per the 40% description.  The key distinguishing feature between the ratings, however, is the frequency and constancy of symptoms.  </w:t>
      </w:r>
      <w:r w:rsidR="007120FC">
        <w:rPr>
          <w:rFonts w:asciiTheme="majorHAnsi" w:hAnsiTheme="majorHAnsi" w:cstheme="majorHAnsi"/>
          <w:color w:val="auto"/>
          <w:szCs w:val="24"/>
        </w:rPr>
        <w:t xml:space="preserve">The NARSUM and VA C&amp;P examiners did not document frequency and duration of symptoms, but both made it clear that they were intermittent; and, the primary care note near separation would suggest that the symptoms were fairly sporadic by that point.  </w:t>
      </w:r>
      <w:r w:rsidR="00943242" w:rsidRPr="00241B01">
        <w:rPr>
          <w:rFonts w:eastAsia="Calibri" w:cs="Times New Roman"/>
          <w:color w:val="auto"/>
          <w:szCs w:val="24"/>
        </w:rPr>
        <w:t xml:space="preserve">After due deliberation, considering all of the evidence and mindful of VASRD §4.3 (reasonable doubt), the Board recommends a disability rating </w:t>
      </w:r>
      <w:r w:rsidR="00943242" w:rsidRPr="009C5B0C">
        <w:rPr>
          <w:rFonts w:eastAsia="Calibri" w:cs="Times New Roman"/>
          <w:color w:val="auto"/>
          <w:szCs w:val="24"/>
        </w:rPr>
        <w:t>of 20% for the chest</w:t>
      </w:r>
      <w:r w:rsidR="00943242">
        <w:rPr>
          <w:rFonts w:eastAsia="Calibri" w:cs="Times New Roman"/>
          <w:color w:val="auto"/>
          <w:szCs w:val="24"/>
        </w:rPr>
        <w:t xml:space="preserve"> </w:t>
      </w:r>
      <w:r w:rsidR="003C0BED">
        <w:rPr>
          <w:rFonts w:eastAsia="Calibri" w:cs="Times New Roman"/>
          <w:color w:val="auto"/>
          <w:szCs w:val="24"/>
        </w:rPr>
        <w:t xml:space="preserve">and </w:t>
      </w:r>
      <w:r w:rsidR="00943242">
        <w:rPr>
          <w:rFonts w:eastAsia="Calibri" w:cs="Times New Roman"/>
          <w:color w:val="auto"/>
          <w:szCs w:val="24"/>
        </w:rPr>
        <w:t>extremity pain</w:t>
      </w:r>
      <w:r w:rsidR="00943242" w:rsidRPr="00241B01">
        <w:rPr>
          <w:rFonts w:eastAsia="Calibri" w:cs="Times New Roman"/>
          <w:color w:val="auto"/>
          <w:szCs w:val="24"/>
        </w:rPr>
        <w:t xml:space="preserve"> condition</w:t>
      </w:r>
      <w:r w:rsidR="00943242">
        <w:rPr>
          <w:rFonts w:eastAsia="Calibri" w:cs="Times New Roman"/>
          <w:color w:val="auto"/>
          <w:szCs w:val="24"/>
        </w:rPr>
        <w:t xml:space="preserve"> under the analogous code 5099-5025</w:t>
      </w:r>
      <w:r w:rsidR="00943242" w:rsidRPr="00241B01">
        <w:rPr>
          <w:rFonts w:eastAsia="Calibri" w:cs="Times New Roman"/>
          <w:color w:val="auto"/>
          <w:szCs w:val="24"/>
        </w:rPr>
        <w:t>.</w:t>
      </w:r>
      <w:r w:rsidR="00E41C21" w:rsidRPr="00C15865">
        <w:rPr>
          <w:rFonts w:eastAsia="Calibri" w:cs="Times New Roman"/>
          <w:color w:val="auto"/>
          <w:szCs w:val="24"/>
        </w:rPr>
        <w:t xml:space="preserve">  </w:t>
      </w:r>
    </w:p>
    <w:p w:rsidR="00E41C21" w:rsidRPr="009A7578" w:rsidRDefault="00E41C21" w:rsidP="00E41C21">
      <w:pPr>
        <w:pBdr>
          <w:bottom w:val="single" w:sz="12" w:space="1" w:color="auto"/>
        </w:pBdr>
        <w:tabs>
          <w:tab w:val="left" w:pos="288"/>
          <w:tab w:val="left" w:pos="4752"/>
        </w:tabs>
        <w:jc w:val="both"/>
        <w:rPr>
          <w:color w:val="000000"/>
          <w:highlight w:val="magenta"/>
        </w:rPr>
      </w:pPr>
    </w:p>
    <w:p w:rsidR="00E41C21" w:rsidRPr="009A7578" w:rsidRDefault="00E41C21" w:rsidP="00E41C21">
      <w:pPr>
        <w:jc w:val="left"/>
        <w:rPr>
          <w:color w:val="000000"/>
          <w:highlight w:val="magenta"/>
        </w:rPr>
      </w:pPr>
    </w:p>
    <w:p w:rsidR="00E41C21" w:rsidRPr="009C5B0C" w:rsidRDefault="00E41C21" w:rsidP="00E41C21">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Pr>
          <w:rFonts w:cs="Times New Roman"/>
          <w:color w:val="auto"/>
        </w:rPr>
        <w:t xml:space="preserve"> </w:t>
      </w:r>
      <w:r w:rsidR="00943242" w:rsidRPr="00241B01">
        <w:rPr>
          <w:rFonts w:eastAsia="Calibri" w:cs="Times New Roman"/>
          <w:color w:val="auto"/>
          <w:szCs w:val="24"/>
        </w:rPr>
        <w:t xml:space="preserve">As discussed above, PEB </w:t>
      </w:r>
      <w:r w:rsidR="00943242" w:rsidRPr="00241B01">
        <w:rPr>
          <w:rFonts w:eastAsia="Calibri" w:cs="Times New Roman"/>
          <w:color w:val="auto"/>
          <w:szCs w:val="24"/>
        </w:rPr>
        <w:lastRenderedPageBreak/>
        <w:t xml:space="preserve">reliance on the USAPDA pain policy </w:t>
      </w:r>
      <w:r w:rsidR="003C0BED">
        <w:rPr>
          <w:rFonts w:eastAsia="Calibri" w:cs="Times New Roman"/>
          <w:color w:val="auto"/>
          <w:szCs w:val="24"/>
        </w:rPr>
        <w:t xml:space="preserve">and AR 635-40 </w:t>
      </w:r>
      <w:r w:rsidR="00943242" w:rsidRPr="00241B01">
        <w:rPr>
          <w:rFonts w:eastAsia="Calibri" w:cs="Times New Roman"/>
          <w:color w:val="auto"/>
          <w:szCs w:val="24"/>
        </w:rPr>
        <w:t xml:space="preserve">for rating </w:t>
      </w:r>
      <w:r w:rsidR="003C0BED">
        <w:rPr>
          <w:rFonts w:eastAsia="Calibri" w:cs="Times New Roman"/>
          <w:color w:val="auto"/>
          <w:szCs w:val="24"/>
        </w:rPr>
        <w:t>the chest and extremity pain</w:t>
      </w:r>
      <w:r w:rsidR="003C0BED" w:rsidRPr="00241B01">
        <w:rPr>
          <w:rFonts w:eastAsia="Calibri" w:cs="Times New Roman"/>
          <w:color w:val="auto"/>
          <w:szCs w:val="24"/>
        </w:rPr>
        <w:t xml:space="preserve"> </w:t>
      </w:r>
      <w:r w:rsidR="003C0BED">
        <w:rPr>
          <w:rFonts w:eastAsia="Calibri" w:cs="Times New Roman"/>
          <w:color w:val="auto"/>
          <w:szCs w:val="24"/>
        </w:rPr>
        <w:t xml:space="preserve">condition </w:t>
      </w:r>
      <w:r w:rsidR="00943242" w:rsidRPr="00241B01">
        <w:rPr>
          <w:rFonts w:eastAsia="Calibri" w:cs="Times New Roman"/>
          <w:color w:val="auto"/>
          <w:szCs w:val="24"/>
        </w:rPr>
        <w:t>was operant in this case</w:t>
      </w:r>
      <w:r w:rsidR="000C4FEF">
        <w:rPr>
          <w:rFonts w:eastAsia="Calibri" w:cs="Times New Roman"/>
          <w:color w:val="auto"/>
          <w:szCs w:val="24"/>
        </w:rPr>
        <w:t>;</w:t>
      </w:r>
      <w:r w:rsidR="00943242" w:rsidRPr="00241B01">
        <w:rPr>
          <w:rFonts w:eastAsia="Calibri" w:cs="Times New Roman"/>
          <w:color w:val="auto"/>
          <w:szCs w:val="24"/>
        </w:rPr>
        <w:t xml:space="preserve"> and</w:t>
      </w:r>
      <w:r w:rsidR="000C4FEF">
        <w:rPr>
          <w:rFonts w:eastAsia="Calibri" w:cs="Times New Roman"/>
          <w:color w:val="auto"/>
          <w:szCs w:val="24"/>
        </w:rPr>
        <w:t>,</w:t>
      </w:r>
      <w:r w:rsidR="00943242" w:rsidRPr="00241B01">
        <w:rPr>
          <w:rFonts w:eastAsia="Calibri" w:cs="Times New Roman"/>
          <w:color w:val="auto"/>
          <w:szCs w:val="24"/>
        </w:rPr>
        <w:t xml:space="preserve"> </w:t>
      </w:r>
      <w:r w:rsidR="00943242">
        <w:rPr>
          <w:rFonts w:eastAsia="Calibri" w:cs="Times New Roman"/>
          <w:color w:val="auto"/>
          <w:szCs w:val="24"/>
        </w:rPr>
        <w:t>it</w:t>
      </w:r>
      <w:r w:rsidR="00943242" w:rsidRPr="00241B01">
        <w:rPr>
          <w:rFonts w:eastAsia="Calibri" w:cs="Times New Roman"/>
          <w:color w:val="auto"/>
          <w:szCs w:val="24"/>
        </w:rPr>
        <w:t xml:space="preserve"> was </w:t>
      </w:r>
      <w:r w:rsidR="00943242" w:rsidRPr="009C5B0C">
        <w:rPr>
          <w:rFonts w:eastAsia="Calibri" w:cs="Times New Roman"/>
          <w:color w:val="auto"/>
          <w:szCs w:val="24"/>
        </w:rPr>
        <w:t xml:space="preserve">adjudicated independently of that policy </w:t>
      </w:r>
      <w:r w:rsidR="000C4FEF" w:rsidRPr="009C5B0C">
        <w:rPr>
          <w:rFonts w:eastAsia="Calibri" w:cs="Times New Roman"/>
          <w:color w:val="auto"/>
          <w:szCs w:val="24"/>
        </w:rPr>
        <w:t xml:space="preserve">and regulation </w:t>
      </w:r>
      <w:r w:rsidR="00943242" w:rsidRPr="009C5B0C">
        <w:rPr>
          <w:rFonts w:eastAsia="Calibri" w:cs="Times New Roman"/>
          <w:color w:val="auto"/>
          <w:szCs w:val="24"/>
        </w:rPr>
        <w:t xml:space="preserve">by the Board. </w:t>
      </w:r>
      <w:r w:rsidR="003C0BED" w:rsidRPr="009C5B0C">
        <w:rPr>
          <w:rFonts w:eastAsia="Calibri" w:cs="Times New Roman"/>
          <w:color w:val="auto"/>
          <w:szCs w:val="24"/>
        </w:rPr>
        <w:t xml:space="preserve"> </w:t>
      </w:r>
      <w:r w:rsidRPr="009C5B0C">
        <w:rPr>
          <w:rFonts w:eastAsia="Calibri" w:cs="Times New Roman"/>
          <w:color w:val="auto"/>
          <w:szCs w:val="24"/>
        </w:rPr>
        <w:t xml:space="preserve">In the matter of the </w:t>
      </w:r>
      <w:r w:rsidR="003C0BED" w:rsidRPr="009C5B0C">
        <w:rPr>
          <w:rFonts w:eastAsia="Calibri" w:cs="Times New Roman"/>
          <w:color w:val="auto"/>
          <w:szCs w:val="24"/>
        </w:rPr>
        <w:t xml:space="preserve">chest and extremity pain </w:t>
      </w:r>
      <w:r w:rsidRPr="009C5B0C">
        <w:rPr>
          <w:rFonts w:eastAsia="Calibri" w:cs="Times New Roman"/>
          <w:color w:val="auto"/>
          <w:szCs w:val="24"/>
        </w:rPr>
        <w:t xml:space="preserve">condition, the Board unanimously recommends a disability rating of </w:t>
      </w:r>
      <w:r w:rsidR="003C0BED" w:rsidRPr="009C5B0C">
        <w:rPr>
          <w:rFonts w:eastAsia="Calibri" w:cs="Times New Roman"/>
          <w:color w:val="auto"/>
          <w:szCs w:val="24"/>
        </w:rPr>
        <w:t>20%</w:t>
      </w:r>
      <w:r w:rsidRPr="009C5B0C">
        <w:rPr>
          <w:rFonts w:eastAsia="Calibri" w:cs="Times New Roman"/>
          <w:color w:val="auto"/>
          <w:szCs w:val="24"/>
        </w:rPr>
        <w:t xml:space="preserve">, coded </w:t>
      </w:r>
      <w:r w:rsidR="003C0BED" w:rsidRPr="009C5B0C">
        <w:rPr>
          <w:rFonts w:eastAsia="Calibri" w:cs="Times New Roman"/>
          <w:color w:val="auto"/>
          <w:szCs w:val="24"/>
        </w:rPr>
        <w:t>5099-5025</w:t>
      </w:r>
      <w:r w:rsidRPr="009C5B0C">
        <w:rPr>
          <w:rFonts w:eastAsia="Calibri" w:cs="Times New Roman"/>
          <w:color w:val="auto"/>
          <w:szCs w:val="24"/>
        </w:rPr>
        <w:t>, IAW VASRD §4.71a</w:t>
      </w:r>
      <w:r w:rsidR="003C0BED" w:rsidRPr="009C5B0C">
        <w:rPr>
          <w:rFonts w:eastAsia="Calibri" w:cs="Times New Roman"/>
          <w:color w:val="auto"/>
          <w:szCs w:val="24"/>
        </w:rPr>
        <w:t xml:space="preserve"> and §4.20</w:t>
      </w:r>
      <w:r w:rsidRPr="009C5B0C">
        <w:rPr>
          <w:rFonts w:eastAsia="Calibri" w:cs="Times New Roman"/>
          <w:color w:val="auto"/>
          <w:szCs w:val="24"/>
        </w:rPr>
        <w:t>.</w:t>
      </w:r>
      <w:r w:rsidR="003C0BED" w:rsidRPr="009C5B0C">
        <w:rPr>
          <w:rFonts w:eastAsia="Calibri" w:cs="Times New Roman"/>
          <w:color w:val="auto"/>
          <w:szCs w:val="24"/>
        </w:rPr>
        <w:t xml:space="preserve">  There were no other conditions within the Board’s scope of review for consideration.</w:t>
      </w:r>
      <w:r w:rsidR="003C0BED" w:rsidRPr="009C5B0C">
        <w:rPr>
          <w:rFonts w:eastAsia="Calibri" w:cs="Times New Roman"/>
          <w:color w:val="auto"/>
          <w:szCs w:val="24"/>
        </w:rPr>
        <w:tab/>
      </w:r>
    </w:p>
    <w:p w:rsidR="001E694E" w:rsidRDefault="001E694E">
      <w:pPr>
        <w:spacing w:line="240" w:lineRule="auto"/>
        <w:jc w:val="left"/>
        <w:rPr>
          <w:color w:val="000000"/>
        </w:rPr>
      </w:pPr>
      <w:r>
        <w:rPr>
          <w:color w:val="000000"/>
        </w:rPr>
        <w:br w:type="page"/>
      </w:r>
    </w:p>
    <w:p w:rsidR="003C0BED" w:rsidRPr="009C5B0C" w:rsidRDefault="00E41C21" w:rsidP="003C0BED">
      <w:pPr>
        <w:jc w:val="both"/>
        <w:rPr>
          <w:rFonts w:eastAsia="Calibri" w:cs="Times New Roman"/>
          <w:color w:val="000080"/>
          <w:szCs w:val="24"/>
        </w:rPr>
      </w:pPr>
      <w:r w:rsidRPr="009C5B0C">
        <w:rPr>
          <w:color w:val="000000"/>
          <w:u w:val="single"/>
        </w:rPr>
        <w:lastRenderedPageBreak/>
        <w:t>RECOMMENDATION</w:t>
      </w:r>
      <w:r w:rsidRPr="009C5B0C">
        <w:rPr>
          <w:color w:val="000000"/>
        </w:rPr>
        <w:t xml:space="preserve">: </w:t>
      </w:r>
      <w:r w:rsidR="003C0BED" w:rsidRPr="009C5B0C">
        <w:rPr>
          <w:color w:val="000000"/>
        </w:rPr>
        <w:t xml:space="preserve"> </w:t>
      </w:r>
      <w:r w:rsidR="003C0BED" w:rsidRPr="009C5B0C">
        <w:rPr>
          <w:rFonts w:eastAsia="Calibri" w:cs="Times New Roman"/>
          <w:color w:val="auto"/>
          <w:szCs w:val="24"/>
        </w:rPr>
        <w:t>The Board recommends that the CI’s prior determination be modified as follows, effective as of the date of his prior medical separation:</w:t>
      </w:r>
    </w:p>
    <w:p w:rsidR="00E41C21" w:rsidRPr="009C5B0C" w:rsidRDefault="00E41C21" w:rsidP="00E41C21">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78"/>
        <w:gridCol w:w="1620"/>
        <w:gridCol w:w="1026"/>
      </w:tblGrid>
      <w:tr w:rsidR="00E41C21" w:rsidRPr="009C5B0C" w:rsidTr="00A1717E">
        <w:trPr>
          <w:trHeight w:val="233"/>
          <w:jc w:val="center"/>
        </w:trPr>
        <w:tc>
          <w:tcPr>
            <w:tcW w:w="6678" w:type="dxa"/>
            <w:shd w:val="clear" w:color="auto" w:fill="D9D9D9"/>
            <w:vAlign w:val="center"/>
          </w:tcPr>
          <w:p w:rsidR="00E41C21" w:rsidRPr="009C5B0C" w:rsidRDefault="00E41C21" w:rsidP="00162B2B">
            <w:pPr>
              <w:tabs>
                <w:tab w:val="left" w:pos="288"/>
                <w:tab w:val="left" w:pos="4752"/>
              </w:tabs>
              <w:rPr>
                <w:b/>
                <w:color w:val="000000"/>
              </w:rPr>
            </w:pPr>
            <w:r w:rsidRPr="009C5B0C">
              <w:rPr>
                <w:b/>
                <w:color w:val="000000"/>
              </w:rPr>
              <w:t>UNFITTING CONDITION</w:t>
            </w:r>
          </w:p>
        </w:tc>
        <w:tc>
          <w:tcPr>
            <w:tcW w:w="1620" w:type="dxa"/>
            <w:shd w:val="clear" w:color="auto" w:fill="D9D9D9"/>
            <w:vAlign w:val="center"/>
          </w:tcPr>
          <w:p w:rsidR="00E41C21" w:rsidRPr="009C5B0C" w:rsidRDefault="00E41C21" w:rsidP="00162B2B">
            <w:pPr>
              <w:tabs>
                <w:tab w:val="left" w:pos="288"/>
                <w:tab w:val="left" w:pos="4752"/>
              </w:tabs>
              <w:rPr>
                <w:b/>
                <w:color w:val="000000"/>
              </w:rPr>
            </w:pPr>
            <w:r w:rsidRPr="009C5B0C">
              <w:rPr>
                <w:b/>
                <w:color w:val="000000"/>
              </w:rPr>
              <w:t>VASRD CODE</w:t>
            </w:r>
          </w:p>
        </w:tc>
        <w:tc>
          <w:tcPr>
            <w:tcW w:w="1026" w:type="dxa"/>
            <w:shd w:val="clear" w:color="auto" w:fill="D9D9D9"/>
            <w:vAlign w:val="center"/>
          </w:tcPr>
          <w:p w:rsidR="00E41C21" w:rsidRPr="009C5B0C" w:rsidRDefault="00E41C21" w:rsidP="00162B2B">
            <w:pPr>
              <w:tabs>
                <w:tab w:val="left" w:pos="288"/>
                <w:tab w:val="left" w:pos="4752"/>
              </w:tabs>
              <w:rPr>
                <w:b/>
                <w:color w:val="000000"/>
              </w:rPr>
            </w:pPr>
            <w:r w:rsidRPr="009C5B0C">
              <w:rPr>
                <w:b/>
                <w:color w:val="000000"/>
              </w:rPr>
              <w:t>RATING</w:t>
            </w:r>
          </w:p>
        </w:tc>
      </w:tr>
      <w:tr w:rsidR="00E41C21" w:rsidRPr="000D5DBE" w:rsidTr="00A1717E">
        <w:trPr>
          <w:jc w:val="center"/>
        </w:trPr>
        <w:tc>
          <w:tcPr>
            <w:tcW w:w="6678" w:type="dxa"/>
            <w:vAlign w:val="center"/>
          </w:tcPr>
          <w:p w:rsidR="00E41C21" w:rsidRPr="009C5B0C" w:rsidRDefault="003C0BED" w:rsidP="00162B2B">
            <w:pPr>
              <w:tabs>
                <w:tab w:val="left" w:pos="288"/>
                <w:tab w:val="left" w:pos="4752"/>
              </w:tabs>
              <w:jc w:val="left"/>
              <w:rPr>
                <w:color w:val="000000"/>
              </w:rPr>
            </w:pPr>
            <w:r w:rsidRPr="009C5B0C">
              <w:rPr>
                <w:color w:val="000000"/>
              </w:rPr>
              <w:t>Diffuse Myalgias</w:t>
            </w:r>
            <w:r w:rsidR="00A1717E" w:rsidRPr="009C5B0C">
              <w:rPr>
                <w:color w:val="000000"/>
              </w:rPr>
              <w:t xml:space="preserve"> and Arthralgias with </w:t>
            </w:r>
            <w:r w:rsidRPr="009C5B0C">
              <w:rPr>
                <w:color w:val="000000"/>
              </w:rPr>
              <w:t xml:space="preserve">Atypical Chest Pain </w:t>
            </w:r>
          </w:p>
        </w:tc>
        <w:tc>
          <w:tcPr>
            <w:tcW w:w="1620" w:type="dxa"/>
            <w:vAlign w:val="center"/>
          </w:tcPr>
          <w:p w:rsidR="00E41C21" w:rsidRPr="009C5B0C" w:rsidRDefault="00A1717E" w:rsidP="00162B2B">
            <w:pPr>
              <w:tabs>
                <w:tab w:val="left" w:pos="288"/>
                <w:tab w:val="left" w:pos="4752"/>
              </w:tabs>
              <w:rPr>
                <w:color w:val="000000"/>
              </w:rPr>
            </w:pPr>
            <w:r w:rsidRPr="009C5B0C">
              <w:rPr>
                <w:color w:val="000000"/>
              </w:rPr>
              <w:t>5099-5025</w:t>
            </w:r>
          </w:p>
        </w:tc>
        <w:tc>
          <w:tcPr>
            <w:tcW w:w="1026" w:type="dxa"/>
            <w:vAlign w:val="center"/>
          </w:tcPr>
          <w:p w:rsidR="00E41C21" w:rsidRPr="009C5B0C" w:rsidRDefault="009C5B0C" w:rsidP="00162B2B">
            <w:pPr>
              <w:tabs>
                <w:tab w:val="left" w:pos="288"/>
                <w:tab w:val="left" w:pos="4752"/>
              </w:tabs>
              <w:rPr>
                <w:color w:val="000000"/>
              </w:rPr>
            </w:pPr>
            <w:r w:rsidRPr="009C5B0C">
              <w:rPr>
                <w:color w:val="000000"/>
              </w:rPr>
              <w:t>20</w:t>
            </w:r>
            <w:r w:rsidR="00E41C21" w:rsidRPr="009C5B0C">
              <w:rPr>
                <w:color w:val="000000"/>
              </w:rPr>
              <w:t>%</w:t>
            </w:r>
          </w:p>
        </w:tc>
      </w:tr>
    </w:tbl>
    <w:p w:rsidR="00E41C21" w:rsidRPr="001F29F9" w:rsidRDefault="00E41C21" w:rsidP="00E41C21">
      <w:pPr>
        <w:pBdr>
          <w:bottom w:val="single" w:sz="12" w:space="1" w:color="auto"/>
        </w:pBdr>
        <w:tabs>
          <w:tab w:val="left" w:pos="288"/>
          <w:tab w:val="left" w:pos="4752"/>
        </w:tabs>
        <w:jc w:val="both"/>
        <w:rPr>
          <w:color w:val="000000"/>
        </w:rPr>
      </w:pPr>
    </w:p>
    <w:p w:rsidR="00E41C21" w:rsidRPr="001F29F9" w:rsidRDefault="00E41C21" w:rsidP="00E41C21">
      <w:pPr>
        <w:rPr>
          <w:color w:val="000000"/>
        </w:rPr>
      </w:pPr>
    </w:p>
    <w:p w:rsidR="00E41C21" w:rsidRDefault="00E41C21" w:rsidP="00E41C21">
      <w:pPr>
        <w:tabs>
          <w:tab w:val="left" w:pos="288"/>
          <w:tab w:val="left" w:pos="4752"/>
        </w:tabs>
        <w:jc w:val="both"/>
        <w:rPr>
          <w:color w:val="000000"/>
        </w:rPr>
      </w:pPr>
      <w:r w:rsidRPr="001F29F9">
        <w:rPr>
          <w:color w:val="000000"/>
        </w:rPr>
        <w:t>The following documentary evidence was considered:</w:t>
      </w: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r w:rsidRPr="001F29F9">
        <w:rPr>
          <w:color w:val="000000"/>
        </w:rPr>
        <w:t xml:space="preserve">Exhibit A.  DD Form 294, dated </w:t>
      </w:r>
      <w:r w:rsidR="009E3B18" w:rsidRPr="00FE2C1A">
        <w:rPr>
          <w:color w:val="auto"/>
        </w:rPr>
        <w:t>20120423</w:t>
      </w:r>
      <w:r w:rsidRPr="001F29F9">
        <w:rPr>
          <w:color w:val="000000"/>
        </w:rPr>
        <w:t>, w/atchs.</w:t>
      </w:r>
    </w:p>
    <w:p w:rsidR="00E41C21" w:rsidRPr="001F29F9" w:rsidRDefault="00E41C21" w:rsidP="00E41C21">
      <w:pPr>
        <w:tabs>
          <w:tab w:val="left" w:pos="288"/>
          <w:tab w:val="left" w:pos="4752"/>
        </w:tabs>
        <w:jc w:val="both"/>
        <w:rPr>
          <w:color w:val="000000"/>
        </w:rPr>
      </w:pPr>
      <w:r w:rsidRPr="001F29F9">
        <w:rPr>
          <w:color w:val="000000"/>
        </w:rPr>
        <w:t>Exhibit B.  Service Treatment Record.</w:t>
      </w:r>
    </w:p>
    <w:p w:rsidR="00E41C21" w:rsidRPr="001F29F9" w:rsidRDefault="00E41C21" w:rsidP="00E41C21">
      <w:pPr>
        <w:tabs>
          <w:tab w:val="left" w:pos="288"/>
          <w:tab w:val="left" w:pos="4752"/>
        </w:tabs>
        <w:jc w:val="both"/>
        <w:rPr>
          <w:color w:val="000000"/>
        </w:rPr>
      </w:pPr>
      <w:r w:rsidRPr="001F29F9">
        <w:rPr>
          <w:color w:val="000000"/>
        </w:rPr>
        <w:t>Exhibit C.  Department of Veterans</w:t>
      </w:r>
      <w:r w:rsidR="001E694E">
        <w:rPr>
          <w:color w:val="000000"/>
        </w:rPr>
        <w:t>’</w:t>
      </w:r>
      <w:r w:rsidRPr="001F29F9">
        <w:rPr>
          <w:color w:val="000000"/>
        </w:rPr>
        <w:t xml:space="preserve"> Affairs Treatment Record.</w:t>
      </w: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0"/>
          <w:tab w:val="left" w:pos="4320"/>
        </w:tabs>
        <w:jc w:val="both"/>
        <w:rPr>
          <w:color w:val="000000"/>
        </w:rPr>
      </w:pPr>
      <w:r w:rsidRPr="001F29F9">
        <w:rPr>
          <w:color w:val="000000"/>
        </w:rPr>
        <w:tab/>
        <w:t xml:space="preserve">           </w:t>
      </w:r>
      <w:r w:rsidR="00DE718E">
        <w:rPr>
          <w:color w:val="000000"/>
        </w:rPr>
        <w:t>XXXXXXXXXXXXXXX</w:t>
      </w:r>
    </w:p>
    <w:p w:rsidR="00E41C21" w:rsidRPr="001F29F9" w:rsidRDefault="00E41C21" w:rsidP="00E41C21">
      <w:pPr>
        <w:tabs>
          <w:tab w:val="left" w:pos="0"/>
          <w:tab w:val="left" w:pos="4320"/>
        </w:tabs>
        <w:jc w:val="both"/>
        <w:rPr>
          <w:color w:val="000000"/>
        </w:rPr>
      </w:pPr>
      <w:r w:rsidRPr="001F29F9">
        <w:rPr>
          <w:color w:val="000000"/>
        </w:rPr>
        <w:tab/>
        <w:t xml:space="preserve">           President</w:t>
      </w:r>
    </w:p>
    <w:p w:rsidR="008C405E" w:rsidRPr="008C405E" w:rsidRDefault="00E41C21" w:rsidP="001254AF">
      <w:pPr>
        <w:tabs>
          <w:tab w:val="left" w:pos="0"/>
          <w:tab w:val="left" w:pos="4320"/>
        </w:tabs>
        <w:jc w:val="both"/>
        <w:rPr>
          <w:rFonts w:ascii="Janson Text" w:hAnsi="Janson Text" w:cs="Times New Roman"/>
          <w:color w:val="auto"/>
          <w:szCs w:val="24"/>
        </w:rPr>
      </w:pPr>
      <w:r w:rsidRPr="001F29F9">
        <w:rPr>
          <w:color w:val="000000"/>
        </w:rPr>
        <w:tab/>
        <w:t xml:space="preserve">           Physical Disability Board of Review</w:t>
      </w:r>
    </w:p>
    <w:p w:rsidR="00DE718E" w:rsidRDefault="00DE718E" w:rsidP="00E41C21">
      <w:pPr>
        <w:jc w:val="both"/>
        <w:rPr>
          <w:rFonts w:eastAsia="Calibri" w:cs="Times New Roman"/>
          <w:color w:val="auto"/>
          <w:szCs w:val="24"/>
        </w:rPr>
      </w:pPr>
    </w:p>
    <w:p w:rsidR="00DE718E" w:rsidRDefault="00DE718E">
      <w:pPr>
        <w:spacing w:line="240" w:lineRule="auto"/>
        <w:jc w:val="left"/>
        <w:rPr>
          <w:rFonts w:eastAsia="Calibri" w:cs="Times New Roman"/>
          <w:color w:val="auto"/>
          <w:szCs w:val="24"/>
        </w:rPr>
      </w:pPr>
      <w:r>
        <w:rPr>
          <w:rFonts w:eastAsia="Calibri" w:cs="Times New Roman"/>
          <w:color w:val="auto"/>
          <w:szCs w:val="24"/>
        </w:rPr>
        <w:br w:type="page"/>
      </w:r>
    </w:p>
    <w:p w:rsidR="00DE718E" w:rsidRDefault="00DE718E" w:rsidP="00DE718E">
      <w:pPr>
        <w:sectPr w:rsidR="00DE718E">
          <w:pgSz w:w="12240" w:h="15840"/>
          <w:pgMar w:top="2160" w:right="1440" w:bottom="1440" w:left="1440" w:header="720" w:footer="720" w:gutter="0"/>
          <w:cols w:space="720"/>
        </w:sectPr>
      </w:pPr>
    </w:p>
    <w:p w:rsidR="00DE718E" w:rsidRDefault="00DE718E" w:rsidP="00DE718E">
      <w:pPr>
        <w:pStyle w:val="Header"/>
        <w:tabs>
          <w:tab w:val="left" w:pos="720"/>
        </w:tabs>
        <w:jc w:val="left"/>
      </w:pPr>
      <w:r>
        <w:lastRenderedPageBreak/>
        <w:t>SFMR-RB</w:t>
      </w:r>
      <w:r>
        <w:tab/>
      </w:r>
      <w:r>
        <w:tab/>
      </w:r>
      <w:r>
        <w:tab/>
      </w:r>
      <w:r>
        <w:tab/>
      </w:r>
      <w:r>
        <w:tab/>
      </w:r>
      <w:r>
        <w:tab/>
      </w:r>
      <w:r>
        <w:tab/>
      </w:r>
      <w:r>
        <w:tab/>
      </w:r>
      <w:r>
        <w:tab/>
      </w:r>
    </w:p>
    <w:p w:rsidR="00DE718E" w:rsidRDefault="00DE718E" w:rsidP="00DE718E">
      <w:pPr>
        <w:pStyle w:val="Header"/>
        <w:tabs>
          <w:tab w:val="left" w:pos="720"/>
        </w:tabs>
        <w:jc w:val="left"/>
      </w:pPr>
    </w:p>
    <w:p w:rsidR="00DE718E" w:rsidRDefault="00DE718E" w:rsidP="00DE718E">
      <w:pPr>
        <w:jc w:val="left"/>
      </w:pPr>
    </w:p>
    <w:p w:rsidR="00DE718E" w:rsidRDefault="00DE718E" w:rsidP="00DE718E">
      <w:pPr>
        <w:jc w:val="left"/>
      </w:pPr>
      <w:r>
        <w:t xml:space="preserve">MEMORANDUM FOR Commander, US Army Physical Disability Agency </w:t>
      </w:r>
    </w:p>
    <w:p w:rsidR="00DE718E" w:rsidRDefault="00DE718E" w:rsidP="00DE718E">
      <w:pPr>
        <w:jc w:val="left"/>
      </w:pPr>
      <w:r>
        <w:t xml:space="preserve">(TAPD-ZB </w:t>
      </w:r>
      <w:proofErr w:type="gramStart"/>
      <w:r>
        <w:t>/  )</w:t>
      </w:r>
      <w:proofErr w:type="gramEnd"/>
      <w:r>
        <w:t>, 2900 Crystal Drive, Suite 300, Arlington, VA  22202-3557</w:t>
      </w:r>
    </w:p>
    <w:p w:rsidR="00DE718E" w:rsidRDefault="00DE718E" w:rsidP="00DE718E">
      <w:pPr>
        <w:jc w:val="left"/>
      </w:pPr>
    </w:p>
    <w:p w:rsidR="00DE718E" w:rsidRDefault="00DE718E" w:rsidP="00DE718E">
      <w:pPr>
        <w:jc w:val="left"/>
      </w:pPr>
    </w:p>
    <w:p w:rsidR="00DE718E" w:rsidRDefault="00DE718E" w:rsidP="00DE718E">
      <w:pPr>
        <w:ind w:right="-180"/>
        <w:jc w:val="left"/>
      </w:pPr>
      <w:r>
        <w:t xml:space="preserve">SUBJECT:  Department of Defense Physical Disability Board of Review Recommendation </w:t>
      </w:r>
    </w:p>
    <w:p w:rsidR="00DE718E" w:rsidRDefault="00DE718E" w:rsidP="00DE718E">
      <w:pPr>
        <w:pStyle w:val="Header"/>
        <w:tabs>
          <w:tab w:val="left" w:pos="720"/>
        </w:tabs>
        <w:jc w:val="left"/>
      </w:pPr>
      <w:proofErr w:type="gramStart"/>
      <w:r>
        <w:t>for</w:t>
      </w:r>
      <w:proofErr w:type="gramEnd"/>
      <w:r>
        <w:t xml:space="preserve"> XXXXXXXXXXXXXXXXXXXXXXX, AR20120020019 (PD201200380)</w:t>
      </w:r>
    </w:p>
    <w:p w:rsidR="00DE718E" w:rsidRDefault="00DE718E" w:rsidP="00DE718E">
      <w:pPr>
        <w:pStyle w:val="Header"/>
        <w:tabs>
          <w:tab w:val="left" w:pos="720"/>
        </w:tabs>
        <w:jc w:val="left"/>
      </w:pPr>
    </w:p>
    <w:p w:rsidR="00DE718E" w:rsidRDefault="00DE718E" w:rsidP="00DE718E">
      <w:pPr>
        <w:jc w:val="left"/>
      </w:pPr>
    </w:p>
    <w:p w:rsidR="00DE718E" w:rsidRDefault="00DE718E" w:rsidP="00DE718E">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DE718E" w:rsidRDefault="00DE718E" w:rsidP="00DE718E">
      <w:pPr>
        <w:jc w:val="left"/>
      </w:pPr>
    </w:p>
    <w:p w:rsidR="00DE718E" w:rsidRDefault="00DE718E" w:rsidP="00DE718E">
      <w:pPr>
        <w:jc w:val="left"/>
      </w:pPr>
      <w:r>
        <w:t xml:space="preserve">2.  I direct that all the Department of the Army records of the individual concerned be corrected accordingly no later than 120 days from the date of this memorandum.   </w:t>
      </w:r>
    </w:p>
    <w:p w:rsidR="00DE718E" w:rsidRDefault="00DE718E" w:rsidP="00DE718E">
      <w:pPr>
        <w:jc w:val="left"/>
      </w:pPr>
    </w:p>
    <w:p w:rsidR="00DE718E" w:rsidRDefault="00DE718E" w:rsidP="00DE718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E718E" w:rsidRDefault="00DE718E" w:rsidP="00DE718E">
      <w:pPr>
        <w:jc w:val="left"/>
      </w:pPr>
    </w:p>
    <w:p w:rsidR="00DE718E" w:rsidRDefault="00DE718E" w:rsidP="00DE718E">
      <w:pPr>
        <w:jc w:val="left"/>
      </w:pPr>
      <w:r>
        <w:t xml:space="preserve"> BY ORDER OF THE SECRETARY OF THE ARMY:</w:t>
      </w:r>
    </w:p>
    <w:p w:rsidR="00DE718E" w:rsidRDefault="00DE718E" w:rsidP="00DE718E">
      <w:pPr>
        <w:jc w:val="left"/>
      </w:pPr>
    </w:p>
    <w:p w:rsidR="00DE718E" w:rsidRDefault="00DE718E" w:rsidP="00DE718E">
      <w:pPr>
        <w:jc w:val="left"/>
      </w:pPr>
    </w:p>
    <w:p w:rsidR="00DE718E" w:rsidRDefault="00DE718E" w:rsidP="00DE718E">
      <w:pPr>
        <w:pStyle w:val="Header"/>
        <w:tabs>
          <w:tab w:val="left" w:pos="720"/>
        </w:tabs>
        <w:jc w:val="left"/>
      </w:pPr>
    </w:p>
    <w:p w:rsidR="00DE718E" w:rsidRDefault="00DE718E" w:rsidP="00DE718E">
      <w:pPr>
        <w:jc w:val="left"/>
      </w:pPr>
    </w:p>
    <w:p w:rsidR="00DE718E" w:rsidRDefault="00DE718E" w:rsidP="00DE718E">
      <w:pPr>
        <w:jc w:val="left"/>
      </w:pPr>
      <w:bookmarkStart w:id="0" w:name="OLE_LINK4"/>
      <w:bookmarkStart w:id="1" w:name="OLE_LINK3"/>
      <w:r>
        <w:t>Encl</w:t>
      </w:r>
      <w:r>
        <w:tab/>
      </w:r>
      <w:r>
        <w:tab/>
      </w:r>
      <w:r>
        <w:tab/>
      </w:r>
      <w:r>
        <w:tab/>
      </w:r>
      <w:r>
        <w:tab/>
      </w:r>
      <w:r>
        <w:tab/>
        <w:t xml:space="preserve">     XXXXXXXXXXXXXXXXXXXXXX</w:t>
      </w:r>
    </w:p>
    <w:p w:rsidR="00DE718E" w:rsidRDefault="00DE718E" w:rsidP="00DE718E">
      <w:pPr>
        <w:jc w:val="left"/>
      </w:pPr>
      <w:r>
        <w:tab/>
      </w:r>
      <w:r>
        <w:tab/>
      </w:r>
      <w:r>
        <w:tab/>
      </w:r>
      <w:r>
        <w:tab/>
      </w:r>
      <w:r>
        <w:tab/>
      </w:r>
      <w:r>
        <w:tab/>
        <w:t xml:space="preserve">     Deputy Assistant Secretary</w:t>
      </w:r>
    </w:p>
    <w:p w:rsidR="00DE718E" w:rsidRDefault="00DE718E" w:rsidP="00DE718E">
      <w:pPr>
        <w:jc w:val="left"/>
      </w:pPr>
      <w:r>
        <w:tab/>
      </w:r>
      <w:r>
        <w:tab/>
      </w:r>
      <w:r>
        <w:tab/>
      </w:r>
      <w:r>
        <w:tab/>
      </w:r>
      <w:r>
        <w:tab/>
      </w:r>
      <w:r>
        <w:tab/>
        <w:t xml:space="preserve">         (Army Review Boards)</w:t>
      </w:r>
      <w:bookmarkEnd w:id="0"/>
      <w:bookmarkEnd w:id="1"/>
    </w:p>
    <w:p w:rsidR="00DE718E" w:rsidRDefault="00DE718E" w:rsidP="00DE718E">
      <w:pPr>
        <w:jc w:val="left"/>
      </w:pPr>
    </w:p>
    <w:p w:rsidR="00DE718E" w:rsidRDefault="00DE718E" w:rsidP="00DE718E">
      <w:pPr>
        <w:jc w:val="left"/>
      </w:pPr>
      <w:r>
        <w:t xml:space="preserve">CF: </w:t>
      </w:r>
    </w:p>
    <w:p w:rsidR="00DE718E" w:rsidRDefault="00DE718E" w:rsidP="00DE718E">
      <w:pPr>
        <w:jc w:val="left"/>
      </w:pPr>
      <w:r>
        <w:t xml:space="preserve">(  ) </w:t>
      </w:r>
      <w:proofErr w:type="spellStart"/>
      <w:proofErr w:type="gramStart"/>
      <w:r>
        <w:t>DoD</w:t>
      </w:r>
      <w:proofErr w:type="spellEnd"/>
      <w:proofErr w:type="gramEnd"/>
      <w:r>
        <w:t xml:space="preserve"> PDBR</w:t>
      </w:r>
    </w:p>
    <w:p w:rsidR="00DE718E" w:rsidRDefault="00DE718E" w:rsidP="00DE718E">
      <w:pPr>
        <w:jc w:val="left"/>
      </w:pPr>
      <w:r>
        <w:t>(  ) DVA</w:t>
      </w:r>
    </w:p>
    <w:p w:rsidR="00FE7EB9" w:rsidRPr="006235F5" w:rsidRDefault="00FE7EB9" w:rsidP="00DE718E">
      <w:pPr>
        <w:jc w:val="left"/>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7F3" w:rsidRDefault="00D827F3">
      <w:r>
        <w:separator/>
      </w:r>
    </w:p>
  </w:endnote>
  <w:endnote w:type="continuationSeparator" w:id="0">
    <w:p w:rsidR="00D827F3" w:rsidRDefault="00D827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anson Tex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2B" w:rsidRPr="00374247" w:rsidRDefault="00162B2B" w:rsidP="00726F84">
    <w:pPr>
      <w:pStyle w:val="Footer"/>
      <w:ind w:firstLine="4320"/>
      <w:rPr>
        <w:color w:val="auto"/>
      </w:rPr>
    </w:pPr>
    <w:r w:rsidRPr="00374247">
      <w:rPr>
        <w:color w:val="auto"/>
      </w:rPr>
      <w:t xml:space="preserve">   </w:t>
    </w:r>
    <w:fldSimple w:instr=" PAGE   \* MERGEFORMAT ">
      <w:r w:rsidR="00DE718E" w:rsidRPr="00DE718E">
        <w:rPr>
          <w:noProof/>
          <w:color w:val="auto"/>
        </w:rPr>
        <w:t>6</w:t>
      </w:r>
    </w:fldSimple>
    <w:r w:rsidRPr="00374247">
      <w:rPr>
        <w:color w:val="auto"/>
      </w:rPr>
      <w:t xml:space="preserve">                                                           </w:t>
    </w:r>
    <w:r w:rsidRPr="001D64F3">
      <w:rPr>
        <w:color w:val="auto"/>
      </w:rPr>
      <w:t>PD1</w:t>
    </w:r>
    <w:r>
      <w:rPr>
        <w:color w:val="auto"/>
      </w:rPr>
      <w:t>2</w:t>
    </w:r>
    <w:r w:rsidRPr="009369A6">
      <w:rPr>
        <w:color w:val="auto"/>
      </w:rPr>
      <w:t>00</w:t>
    </w:r>
    <w:r>
      <w:rPr>
        <w:color w:val="auto"/>
      </w:rPr>
      <w:t>380</w:t>
    </w:r>
  </w:p>
  <w:p w:rsidR="00162B2B" w:rsidRPr="00684CE6" w:rsidRDefault="00162B2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7F3" w:rsidRDefault="00D827F3">
      <w:r>
        <w:separator/>
      </w:r>
    </w:p>
  </w:footnote>
  <w:footnote w:type="continuationSeparator" w:id="0">
    <w:p w:rsidR="00D827F3" w:rsidRDefault="00D82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780"/>
    <w:rsid w:val="00014A47"/>
    <w:rsid w:val="00014A9E"/>
    <w:rsid w:val="00017778"/>
    <w:rsid w:val="0002088D"/>
    <w:rsid w:val="00020941"/>
    <w:rsid w:val="00021361"/>
    <w:rsid w:val="00022CF3"/>
    <w:rsid w:val="00023913"/>
    <w:rsid w:val="00023D43"/>
    <w:rsid w:val="00024002"/>
    <w:rsid w:val="00024DE7"/>
    <w:rsid w:val="000250F2"/>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4CB8"/>
    <w:rsid w:val="000652EA"/>
    <w:rsid w:val="00065E21"/>
    <w:rsid w:val="000673ED"/>
    <w:rsid w:val="00067854"/>
    <w:rsid w:val="00070DED"/>
    <w:rsid w:val="00071071"/>
    <w:rsid w:val="00072433"/>
    <w:rsid w:val="00072954"/>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4FE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1CD"/>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2908"/>
    <w:rsid w:val="00113D2A"/>
    <w:rsid w:val="00114F20"/>
    <w:rsid w:val="0011590B"/>
    <w:rsid w:val="0011733D"/>
    <w:rsid w:val="001211AF"/>
    <w:rsid w:val="001215DF"/>
    <w:rsid w:val="001219DF"/>
    <w:rsid w:val="0012220B"/>
    <w:rsid w:val="00122ABE"/>
    <w:rsid w:val="001231DC"/>
    <w:rsid w:val="0012453A"/>
    <w:rsid w:val="0012489B"/>
    <w:rsid w:val="001254AF"/>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1A"/>
    <w:rsid w:val="00152466"/>
    <w:rsid w:val="00153740"/>
    <w:rsid w:val="001537D8"/>
    <w:rsid w:val="00153D88"/>
    <w:rsid w:val="001541C5"/>
    <w:rsid w:val="001554E4"/>
    <w:rsid w:val="0015623F"/>
    <w:rsid w:val="00156496"/>
    <w:rsid w:val="00156585"/>
    <w:rsid w:val="00156BA9"/>
    <w:rsid w:val="00161642"/>
    <w:rsid w:val="00161761"/>
    <w:rsid w:val="00162B2B"/>
    <w:rsid w:val="001635E0"/>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17A1"/>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630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A56"/>
    <w:rsid w:val="001E15C0"/>
    <w:rsid w:val="001E18E0"/>
    <w:rsid w:val="001E18E2"/>
    <w:rsid w:val="001E19D0"/>
    <w:rsid w:val="001E1BD1"/>
    <w:rsid w:val="001E24B4"/>
    <w:rsid w:val="001E2A30"/>
    <w:rsid w:val="001E2FF1"/>
    <w:rsid w:val="001E3FE1"/>
    <w:rsid w:val="001E41FE"/>
    <w:rsid w:val="001E4989"/>
    <w:rsid w:val="001E635C"/>
    <w:rsid w:val="001E694E"/>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010"/>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4B51"/>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2F69"/>
    <w:rsid w:val="0026318D"/>
    <w:rsid w:val="00264148"/>
    <w:rsid w:val="002660AF"/>
    <w:rsid w:val="00270864"/>
    <w:rsid w:val="002712F7"/>
    <w:rsid w:val="0027159C"/>
    <w:rsid w:val="00271871"/>
    <w:rsid w:val="002722F2"/>
    <w:rsid w:val="00273955"/>
    <w:rsid w:val="00274549"/>
    <w:rsid w:val="00274E46"/>
    <w:rsid w:val="002752AE"/>
    <w:rsid w:val="00275AFD"/>
    <w:rsid w:val="002769AF"/>
    <w:rsid w:val="00276C86"/>
    <w:rsid w:val="00276FD0"/>
    <w:rsid w:val="00277217"/>
    <w:rsid w:val="002810A4"/>
    <w:rsid w:val="0028261C"/>
    <w:rsid w:val="00282DB6"/>
    <w:rsid w:val="002833E3"/>
    <w:rsid w:val="002842D8"/>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3B33"/>
    <w:rsid w:val="002D5330"/>
    <w:rsid w:val="002D5F57"/>
    <w:rsid w:val="002D73D4"/>
    <w:rsid w:val="002D7787"/>
    <w:rsid w:val="002D7DF2"/>
    <w:rsid w:val="002E058C"/>
    <w:rsid w:val="002E0AF7"/>
    <w:rsid w:val="002E1873"/>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02BD"/>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43A"/>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0BED"/>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7C4"/>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3DC"/>
    <w:rsid w:val="004435BE"/>
    <w:rsid w:val="0044384F"/>
    <w:rsid w:val="0044411E"/>
    <w:rsid w:val="00444472"/>
    <w:rsid w:val="00444B93"/>
    <w:rsid w:val="00444F80"/>
    <w:rsid w:val="00445599"/>
    <w:rsid w:val="00446018"/>
    <w:rsid w:val="0044769D"/>
    <w:rsid w:val="0045027B"/>
    <w:rsid w:val="004504E7"/>
    <w:rsid w:val="004509E2"/>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6C89"/>
    <w:rsid w:val="004F72FE"/>
    <w:rsid w:val="004F77A3"/>
    <w:rsid w:val="005000AB"/>
    <w:rsid w:val="0050077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75"/>
    <w:rsid w:val="00512484"/>
    <w:rsid w:val="00512E5C"/>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60D57"/>
    <w:rsid w:val="00560F12"/>
    <w:rsid w:val="00561F94"/>
    <w:rsid w:val="00562A94"/>
    <w:rsid w:val="00563FAD"/>
    <w:rsid w:val="00564CFE"/>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5F32"/>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178A"/>
    <w:rsid w:val="005D2306"/>
    <w:rsid w:val="005D2562"/>
    <w:rsid w:val="005D2666"/>
    <w:rsid w:val="005D4548"/>
    <w:rsid w:val="005D4A74"/>
    <w:rsid w:val="005D519F"/>
    <w:rsid w:val="005D5E91"/>
    <w:rsid w:val="005D67EF"/>
    <w:rsid w:val="005E08FE"/>
    <w:rsid w:val="005E1416"/>
    <w:rsid w:val="005E1D67"/>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3E01"/>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1CA1"/>
    <w:rsid w:val="0062359D"/>
    <w:rsid w:val="006235F5"/>
    <w:rsid w:val="00623634"/>
    <w:rsid w:val="00624740"/>
    <w:rsid w:val="00624D0C"/>
    <w:rsid w:val="00626902"/>
    <w:rsid w:val="00626A0F"/>
    <w:rsid w:val="006274B4"/>
    <w:rsid w:val="006307BA"/>
    <w:rsid w:val="006315BA"/>
    <w:rsid w:val="006315CB"/>
    <w:rsid w:val="006335B8"/>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08D"/>
    <w:rsid w:val="00680450"/>
    <w:rsid w:val="006804E5"/>
    <w:rsid w:val="0068098E"/>
    <w:rsid w:val="006810BD"/>
    <w:rsid w:val="00682486"/>
    <w:rsid w:val="006833A7"/>
    <w:rsid w:val="00684CE6"/>
    <w:rsid w:val="00684E2B"/>
    <w:rsid w:val="006857A0"/>
    <w:rsid w:val="00685D0C"/>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5E03"/>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73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6F761B"/>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0FC"/>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BC5"/>
    <w:rsid w:val="007260A9"/>
    <w:rsid w:val="007260DD"/>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1CBE"/>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097"/>
    <w:rsid w:val="007A4B72"/>
    <w:rsid w:val="007A5AD1"/>
    <w:rsid w:val="007A5B7B"/>
    <w:rsid w:val="007A65A9"/>
    <w:rsid w:val="007A7F28"/>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37BA"/>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5DF8"/>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030"/>
    <w:rsid w:val="008C22F3"/>
    <w:rsid w:val="008C3223"/>
    <w:rsid w:val="008C3FD0"/>
    <w:rsid w:val="008C405E"/>
    <w:rsid w:val="008C4F01"/>
    <w:rsid w:val="008C5152"/>
    <w:rsid w:val="008C591C"/>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1731D"/>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3242"/>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003D"/>
    <w:rsid w:val="009B0110"/>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B0C"/>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3B18"/>
    <w:rsid w:val="009E4C9B"/>
    <w:rsid w:val="009E4DFC"/>
    <w:rsid w:val="009E5789"/>
    <w:rsid w:val="009E57B1"/>
    <w:rsid w:val="009E6379"/>
    <w:rsid w:val="009E7F51"/>
    <w:rsid w:val="009F020F"/>
    <w:rsid w:val="009F3B63"/>
    <w:rsid w:val="009F43E2"/>
    <w:rsid w:val="009F491F"/>
    <w:rsid w:val="009F4E25"/>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17E"/>
    <w:rsid w:val="00A200AA"/>
    <w:rsid w:val="00A20558"/>
    <w:rsid w:val="00A211DD"/>
    <w:rsid w:val="00A2186F"/>
    <w:rsid w:val="00A2270B"/>
    <w:rsid w:val="00A22ADD"/>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224"/>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02D8"/>
    <w:rsid w:val="00A82C52"/>
    <w:rsid w:val="00A838E8"/>
    <w:rsid w:val="00A83C15"/>
    <w:rsid w:val="00A84EC4"/>
    <w:rsid w:val="00A8554C"/>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1F6"/>
    <w:rsid w:val="00AA493E"/>
    <w:rsid w:val="00AA73AF"/>
    <w:rsid w:val="00AB0535"/>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45D"/>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206"/>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183B"/>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7891"/>
    <w:rsid w:val="00B91676"/>
    <w:rsid w:val="00B9322B"/>
    <w:rsid w:val="00B93640"/>
    <w:rsid w:val="00B94023"/>
    <w:rsid w:val="00B955D5"/>
    <w:rsid w:val="00B95833"/>
    <w:rsid w:val="00B96610"/>
    <w:rsid w:val="00BA1824"/>
    <w:rsid w:val="00BA2D98"/>
    <w:rsid w:val="00BA2F0C"/>
    <w:rsid w:val="00BA30D1"/>
    <w:rsid w:val="00BA30E1"/>
    <w:rsid w:val="00BA38FA"/>
    <w:rsid w:val="00BA45D5"/>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5903"/>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E7DFC"/>
    <w:rsid w:val="00BF01B7"/>
    <w:rsid w:val="00BF07CB"/>
    <w:rsid w:val="00BF0B7F"/>
    <w:rsid w:val="00BF0E94"/>
    <w:rsid w:val="00BF1681"/>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1632"/>
    <w:rsid w:val="00C127F2"/>
    <w:rsid w:val="00C139F8"/>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CE4"/>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56C7"/>
    <w:rsid w:val="00C36201"/>
    <w:rsid w:val="00C368E8"/>
    <w:rsid w:val="00C36C3D"/>
    <w:rsid w:val="00C372C7"/>
    <w:rsid w:val="00C376A7"/>
    <w:rsid w:val="00C42443"/>
    <w:rsid w:val="00C42AED"/>
    <w:rsid w:val="00C42CBA"/>
    <w:rsid w:val="00C4338C"/>
    <w:rsid w:val="00C43C2B"/>
    <w:rsid w:val="00C44C9B"/>
    <w:rsid w:val="00C45B27"/>
    <w:rsid w:val="00C4652E"/>
    <w:rsid w:val="00C472C7"/>
    <w:rsid w:val="00C5019E"/>
    <w:rsid w:val="00C50C8C"/>
    <w:rsid w:val="00C51962"/>
    <w:rsid w:val="00C52258"/>
    <w:rsid w:val="00C5377C"/>
    <w:rsid w:val="00C53E8A"/>
    <w:rsid w:val="00C54DF3"/>
    <w:rsid w:val="00C560A7"/>
    <w:rsid w:val="00C56FC8"/>
    <w:rsid w:val="00C60F23"/>
    <w:rsid w:val="00C6170B"/>
    <w:rsid w:val="00C62EB2"/>
    <w:rsid w:val="00C63431"/>
    <w:rsid w:val="00C64C87"/>
    <w:rsid w:val="00C65414"/>
    <w:rsid w:val="00C65A75"/>
    <w:rsid w:val="00C65C8D"/>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0285"/>
    <w:rsid w:val="00C910DE"/>
    <w:rsid w:val="00C931FC"/>
    <w:rsid w:val="00C932C5"/>
    <w:rsid w:val="00C94CB6"/>
    <w:rsid w:val="00C95299"/>
    <w:rsid w:val="00C95A72"/>
    <w:rsid w:val="00C9650E"/>
    <w:rsid w:val="00C97000"/>
    <w:rsid w:val="00C975BD"/>
    <w:rsid w:val="00CA068D"/>
    <w:rsid w:val="00CA08DF"/>
    <w:rsid w:val="00CA0C07"/>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5EE"/>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D35"/>
    <w:rsid w:val="00D03EC9"/>
    <w:rsid w:val="00D05669"/>
    <w:rsid w:val="00D061EB"/>
    <w:rsid w:val="00D06952"/>
    <w:rsid w:val="00D07A72"/>
    <w:rsid w:val="00D07ACF"/>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B3F"/>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67D9"/>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7F3"/>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C62F0"/>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18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1C21"/>
    <w:rsid w:val="00E42789"/>
    <w:rsid w:val="00E438A4"/>
    <w:rsid w:val="00E43F59"/>
    <w:rsid w:val="00E464F0"/>
    <w:rsid w:val="00E46EF3"/>
    <w:rsid w:val="00E47370"/>
    <w:rsid w:val="00E473E9"/>
    <w:rsid w:val="00E47B47"/>
    <w:rsid w:val="00E47E08"/>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968"/>
    <w:rsid w:val="00E81A1A"/>
    <w:rsid w:val="00E81C3E"/>
    <w:rsid w:val="00E81E62"/>
    <w:rsid w:val="00E82359"/>
    <w:rsid w:val="00E824DE"/>
    <w:rsid w:val="00E82B6D"/>
    <w:rsid w:val="00E83187"/>
    <w:rsid w:val="00E831E9"/>
    <w:rsid w:val="00E837ED"/>
    <w:rsid w:val="00E84DDA"/>
    <w:rsid w:val="00E84DF2"/>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3E8D"/>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808"/>
    <w:rsid w:val="00ED0BCD"/>
    <w:rsid w:val="00ED12F0"/>
    <w:rsid w:val="00ED2874"/>
    <w:rsid w:val="00ED290C"/>
    <w:rsid w:val="00ED2A6C"/>
    <w:rsid w:val="00ED4773"/>
    <w:rsid w:val="00ED5284"/>
    <w:rsid w:val="00ED577A"/>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5F6E"/>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379D7"/>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5D6A"/>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262"/>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395353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3AB4-C881-495A-B822-68220E0A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2012-11-21T15:14:00Z</dcterms:created>
  <dcterms:modified xsi:type="dcterms:W3CDTF">2012-11-21T15:14:00Z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