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bookmarkStart w:id="0" w:name="_GoBack"/>
      <w:bookmarkEnd w:id="0"/>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BB09CE" w:rsidRDefault="0095270D" w:rsidP="00DD5558">
      <w:pPr>
        <w:tabs>
          <w:tab w:val="right" w:pos="9360"/>
        </w:tabs>
        <w:jc w:val="both"/>
        <w:rPr>
          <w:caps/>
          <w:color w:val="auto"/>
        </w:rPr>
      </w:pPr>
      <w:r w:rsidRPr="00F64312">
        <w:rPr>
          <w:caps/>
          <w:color w:val="auto"/>
        </w:rPr>
        <w:t xml:space="preserve">NAME:  </w:t>
      </w:r>
      <w:r w:rsidR="00DC0643">
        <w:rPr>
          <w:caps/>
          <w:color w:val="auto"/>
        </w:rPr>
        <w:t>XXXXXXXXXXXXXXX</w:t>
      </w:r>
      <w:r w:rsidR="00BB09CE" w:rsidRPr="00BB09CE">
        <w:rPr>
          <w:caps/>
          <w:color w:val="auto"/>
        </w:rPr>
        <w:t xml:space="preserve">                                                                 </w:t>
      </w:r>
      <w:r w:rsidR="000B047E">
        <w:rPr>
          <w:caps/>
          <w:color w:val="auto"/>
        </w:rPr>
        <w:tab/>
      </w:r>
      <w:r w:rsidRPr="00BB09CE">
        <w:rPr>
          <w:caps/>
          <w:color w:val="auto"/>
        </w:rPr>
        <w:t xml:space="preserve">BRANCH OF SERVICE:  </w:t>
      </w:r>
      <w:r w:rsidR="00BB09CE" w:rsidRPr="00BB09CE">
        <w:rPr>
          <w:caps/>
          <w:color w:val="auto"/>
        </w:rPr>
        <w:t>Army</w:t>
      </w:r>
    </w:p>
    <w:p w:rsidR="0095270D" w:rsidRPr="00BB09CE" w:rsidRDefault="0095270D" w:rsidP="00DD5558">
      <w:pPr>
        <w:tabs>
          <w:tab w:val="right" w:pos="9360"/>
        </w:tabs>
        <w:jc w:val="both"/>
        <w:rPr>
          <w:color w:val="auto"/>
        </w:rPr>
      </w:pPr>
      <w:r w:rsidRPr="00BB09CE">
        <w:rPr>
          <w:caps/>
          <w:color w:val="auto"/>
        </w:rPr>
        <w:t>CASE NUMBER:  PD</w:t>
      </w:r>
      <w:r w:rsidR="001657BE" w:rsidRPr="00BB09CE">
        <w:rPr>
          <w:caps/>
          <w:color w:val="auto"/>
        </w:rPr>
        <w:t>12</w:t>
      </w:r>
      <w:r w:rsidRPr="00BB09CE">
        <w:rPr>
          <w:caps/>
          <w:color w:val="auto"/>
        </w:rPr>
        <w:t>00</w:t>
      </w:r>
      <w:r w:rsidR="00BB09CE" w:rsidRPr="00BB09CE">
        <w:rPr>
          <w:caps/>
          <w:color w:val="auto"/>
        </w:rPr>
        <w:t>327</w:t>
      </w:r>
      <w:r w:rsidR="005822BD">
        <w:rPr>
          <w:caps/>
          <w:color w:val="auto"/>
        </w:rPr>
        <w:t xml:space="preserve">                                                             </w:t>
      </w:r>
      <w:r w:rsidR="000B047E">
        <w:rPr>
          <w:caps/>
          <w:color w:val="auto"/>
        </w:rPr>
        <w:tab/>
      </w:r>
      <w:r w:rsidR="0018208F" w:rsidRPr="00BB09CE">
        <w:rPr>
          <w:color w:val="auto"/>
        </w:rPr>
        <w:t>SE</w:t>
      </w:r>
      <w:r w:rsidRPr="00BB09CE">
        <w:rPr>
          <w:color w:val="auto"/>
        </w:rPr>
        <w:t>PARATION DATE:  200</w:t>
      </w:r>
      <w:r w:rsidR="00BB09CE" w:rsidRPr="00BB09CE">
        <w:rPr>
          <w:color w:val="auto"/>
        </w:rPr>
        <w:t>90827</w:t>
      </w:r>
    </w:p>
    <w:p w:rsidR="00AD2379" w:rsidRPr="00F64312" w:rsidRDefault="00837F58" w:rsidP="0095270D">
      <w:pPr>
        <w:pBdr>
          <w:bottom w:val="single" w:sz="12" w:space="1" w:color="auto"/>
        </w:pBdr>
        <w:tabs>
          <w:tab w:val="left" w:pos="288"/>
          <w:tab w:val="left" w:pos="4752"/>
        </w:tabs>
        <w:jc w:val="both"/>
        <w:rPr>
          <w:rFonts w:cs="Times New Roman"/>
          <w:caps/>
          <w:color w:val="auto"/>
        </w:rPr>
      </w:pPr>
      <w:r>
        <w:rPr>
          <w:caps/>
          <w:color w:val="auto"/>
        </w:rPr>
        <w:t>BOARD DATE:  20120918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3C638F">
        <w:rPr>
          <w:color w:val="auto"/>
        </w:rPr>
        <w:t xml:space="preserve">active </w:t>
      </w:r>
      <w:r w:rsidR="00A70270" w:rsidRPr="00F11B83">
        <w:rPr>
          <w:color w:val="auto"/>
        </w:rPr>
        <w:t>duty</w:t>
      </w:r>
      <w:r w:rsidR="0021565F" w:rsidRPr="00F11B83">
        <w:rPr>
          <w:color w:val="auto"/>
        </w:rPr>
        <w:t xml:space="preserve"> </w:t>
      </w:r>
      <w:r w:rsidR="0017172C" w:rsidRPr="00F11B83">
        <w:rPr>
          <w:color w:val="auto"/>
        </w:rPr>
        <w:t>SGT/E-5</w:t>
      </w:r>
      <w:r w:rsidRPr="00F11B83">
        <w:rPr>
          <w:color w:val="auto"/>
        </w:rPr>
        <w:t xml:space="preserve"> (</w:t>
      </w:r>
      <w:r w:rsidR="003A5FF2" w:rsidRPr="00F11B83">
        <w:rPr>
          <w:color w:val="auto"/>
        </w:rPr>
        <w:t>31B2P</w:t>
      </w:r>
      <w:r w:rsidR="000B047E">
        <w:rPr>
          <w:color w:val="auto"/>
        </w:rPr>
        <w:t xml:space="preserve">, </w:t>
      </w:r>
      <w:r w:rsidR="003A5FF2" w:rsidRPr="00F11B83">
        <w:rPr>
          <w:color w:val="auto"/>
        </w:rPr>
        <w:t>Military Police</w:t>
      </w:r>
      <w:r w:rsidR="00A70270" w:rsidRPr="00F11B83">
        <w:rPr>
          <w:color w:val="auto"/>
        </w:rPr>
        <w:t>)</w:t>
      </w:r>
      <w:r w:rsidR="00565636" w:rsidRPr="00F11B83">
        <w:rPr>
          <w:color w:val="auto"/>
        </w:rPr>
        <w:t>,</w:t>
      </w:r>
      <w:r w:rsidR="00A70270" w:rsidRPr="00F11B83">
        <w:rPr>
          <w:color w:val="auto"/>
        </w:rPr>
        <w:t xml:space="preserve"> </w:t>
      </w:r>
      <w:r w:rsidRPr="00F11B83">
        <w:rPr>
          <w:color w:val="auto"/>
        </w:rPr>
        <w:t xml:space="preserve">medically separated for </w:t>
      </w:r>
      <w:r w:rsidR="00024A9D" w:rsidRPr="00F11B83">
        <w:rPr>
          <w:color w:val="auto"/>
        </w:rPr>
        <w:t>back</w:t>
      </w:r>
      <w:r w:rsidR="003A5FF2" w:rsidRPr="00F11B83">
        <w:rPr>
          <w:color w:val="auto"/>
        </w:rPr>
        <w:t xml:space="preserve"> strain related to armor wear in Iraq </w:t>
      </w:r>
      <w:r w:rsidR="00024A9D" w:rsidRPr="00F11B83">
        <w:rPr>
          <w:color w:val="auto"/>
        </w:rPr>
        <w:t>dur</w:t>
      </w:r>
      <w:r w:rsidR="003A5FF2" w:rsidRPr="00F11B83">
        <w:rPr>
          <w:color w:val="auto"/>
        </w:rPr>
        <w:t>in</w:t>
      </w:r>
      <w:r w:rsidR="00024A9D" w:rsidRPr="00F11B83">
        <w:rPr>
          <w:color w:val="auto"/>
        </w:rPr>
        <w:t>g</w:t>
      </w:r>
      <w:r w:rsidR="003A5FF2" w:rsidRPr="00F11B83">
        <w:rPr>
          <w:color w:val="auto"/>
        </w:rPr>
        <w:t xml:space="preserve"> 2007.  The </w:t>
      </w:r>
      <w:r w:rsidR="00024A9D" w:rsidRPr="00F11B83">
        <w:rPr>
          <w:color w:val="auto"/>
        </w:rPr>
        <w:t xml:space="preserve">chronic non-radicular thoracic spine pain with spondylosis </w:t>
      </w:r>
      <w:r w:rsidR="002143E5" w:rsidRPr="00F11B83">
        <w:rPr>
          <w:color w:val="auto"/>
        </w:rPr>
        <w:t>condition</w:t>
      </w:r>
      <w:r w:rsidR="00F566B7" w:rsidRPr="00F11B83">
        <w:rPr>
          <w:color w:val="auto"/>
        </w:rPr>
        <w:t xml:space="preserve"> </w:t>
      </w:r>
      <w:r w:rsidR="00F15483" w:rsidRPr="00F11B83">
        <w:rPr>
          <w:color w:val="auto"/>
        </w:rPr>
        <w:t>did not improve adequately with treatment</w:t>
      </w:r>
      <w:r w:rsidR="00F11B83">
        <w:rPr>
          <w:color w:val="auto"/>
        </w:rPr>
        <w:t xml:space="preserve"> </w:t>
      </w:r>
      <w:r w:rsidR="00F566B7" w:rsidRPr="00F11B83">
        <w:rPr>
          <w:color w:val="auto"/>
        </w:rPr>
        <w:t>to meet the physical requirements of his Military Occupational Specialty (MOS)</w:t>
      </w:r>
      <w:r w:rsidR="006A0909" w:rsidRPr="00F11B83">
        <w:rPr>
          <w:color w:val="auto"/>
        </w:rPr>
        <w:t xml:space="preserve"> </w:t>
      </w:r>
      <w:r w:rsidR="00F566B7" w:rsidRPr="00F11B83">
        <w:rPr>
          <w:color w:val="auto"/>
        </w:rPr>
        <w:t>or satis</w:t>
      </w:r>
      <w:r w:rsidR="009C12A1" w:rsidRPr="00F11B83">
        <w:rPr>
          <w:color w:val="auto"/>
        </w:rPr>
        <w:t>fy physical fitness standards.</w:t>
      </w:r>
      <w:r w:rsidR="00F566B7" w:rsidRPr="00F11B83">
        <w:rPr>
          <w:color w:val="auto"/>
        </w:rPr>
        <w:t xml:space="preserve"> </w:t>
      </w:r>
      <w:r w:rsidR="009C12A1" w:rsidRPr="00F11B83">
        <w:rPr>
          <w:color w:val="auto"/>
        </w:rPr>
        <w:t xml:space="preserve"> He </w:t>
      </w:r>
      <w:r w:rsidR="00F566B7" w:rsidRPr="00F11B83">
        <w:rPr>
          <w:color w:val="auto"/>
        </w:rPr>
        <w:t xml:space="preserve">was issued a permanent </w:t>
      </w:r>
      <w:r w:rsidR="003A5FF2" w:rsidRPr="00F11B83">
        <w:rPr>
          <w:color w:val="auto"/>
        </w:rPr>
        <w:t>U</w:t>
      </w:r>
      <w:r w:rsidR="00F566B7" w:rsidRPr="00F11B83">
        <w:rPr>
          <w:color w:val="auto"/>
        </w:rPr>
        <w:t>3 profile and</w:t>
      </w:r>
      <w:r w:rsidR="009C12A1" w:rsidRPr="00F11B83">
        <w:rPr>
          <w:color w:val="auto"/>
        </w:rPr>
        <w:t xml:space="preserve"> </w:t>
      </w:r>
      <w:r w:rsidR="00F566B7" w:rsidRPr="00F11B83">
        <w:rPr>
          <w:color w:val="auto"/>
        </w:rPr>
        <w:t>referred for a Medical Evaluation</w:t>
      </w:r>
      <w:r w:rsidR="00F566B7" w:rsidRPr="003C638F">
        <w:rPr>
          <w:color w:val="auto"/>
        </w:rPr>
        <w:t xml:space="preserve"> Board (MEB).</w:t>
      </w:r>
      <w:r w:rsidR="006D5E1E" w:rsidRPr="003C638F">
        <w:rPr>
          <w:color w:val="auto"/>
        </w:rPr>
        <w:t xml:space="preserve">  </w:t>
      </w:r>
      <w:r w:rsidR="00024A9D">
        <w:rPr>
          <w:color w:val="auto"/>
        </w:rPr>
        <w:t>A</w:t>
      </w:r>
      <w:r w:rsidR="003A5FF2" w:rsidRPr="003C638F">
        <w:rPr>
          <w:color w:val="auto"/>
        </w:rPr>
        <w:t xml:space="preserve">nxiety, chest pain (non-cardiac), left shoulder pain (intermittent), temporomandibular joint </w:t>
      </w:r>
      <w:r w:rsidR="005822BD">
        <w:rPr>
          <w:color w:val="auto"/>
        </w:rPr>
        <w:t xml:space="preserve">(TMJ) </w:t>
      </w:r>
      <w:r w:rsidR="003A5FF2" w:rsidRPr="003C638F">
        <w:rPr>
          <w:color w:val="auto"/>
        </w:rPr>
        <w:t>dysf</w:t>
      </w:r>
      <w:r w:rsidR="003C638F" w:rsidRPr="003C638F">
        <w:rPr>
          <w:color w:val="auto"/>
        </w:rPr>
        <w:t>unction, and dyspepsia</w:t>
      </w:r>
      <w:r w:rsidR="00071F0D" w:rsidRPr="003C638F">
        <w:rPr>
          <w:color w:val="auto"/>
        </w:rPr>
        <w:t>, identified in the rating chart below, were also identified and forwarded by the MEB</w:t>
      </w:r>
      <w:r w:rsidR="00024A9D">
        <w:rPr>
          <w:color w:val="auto"/>
        </w:rPr>
        <w:t xml:space="preserve"> as meeting retention standards</w:t>
      </w:r>
      <w:r w:rsidR="00F566B7" w:rsidRPr="003C638F">
        <w:rPr>
          <w:color w:val="auto"/>
        </w:rPr>
        <w:t xml:space="preserve">.  </w:t>
      </w:r>
      <w:r w:rsidR="005E1E53">
        <w:rPr>
          <w:color w:val="auto"/>
        </w:rPr>
        <w:t xml:space="preserve">The </w:t>
      </w:r>
      <w:r w:rsidR="000B047E">
        <w:rPr>
          <w:color w:val="auto"/>
        </w:rPr>
        <w:t>Physical Evaluation Board (</w:t>
      </w:r>
      <w:r w:rsidR="005E1E53">
        <w:rPr>
          <w:color w:val="auto"/>
        </w:rPr>
        <w:t>PEB</w:t>
      </w:r>
      <w:r w:rsidR="000B047E">
        <w:rPr>
          <w:color w:val="auto"/>
        </w:rPr>
        <w:t>)</w:t>
      </w:r>
      <w:r w:rsidR="005E1E53">
        <w:rPr>
          <w:color w:val="auto"/>
        </w:rPr>
        <w:t xml:space="preserve"> adjudicated</w:t>
      </w:r>
      <w:r w:rsidRPr="003C638F">
        <w:rPr>
          <w:color w:val="auto"/>
        </w:rPr>
        <w:t xml:space="preserve"> </w:t>
      </w:r>
      <w:r w:rsidR="003A5FF2" w:rsidRPr="003C638F">
        <w:rPr>
          <w:color w:val="auto"/>
        </w:rPr>
        <w:t xml:space="preserve">lumbosacral strain </w:t>
      </w:r>
      <w:r w:rsidR="008530E3" w:rsidRPr="003C638F">
        <w:rPr>
          <w:color w:val="auto"/>
        </w:rPr>
        <w:t xml:space="preserve">as </w:t>
      </w:r>
      <w:proofErr w:type="gramStart"/>
      <w:r w:rsidR="00BA6DD1" w:rsidRPr="00D86733">
        <w:rPr>
          <w:color w:val="auto"/>
        </w:rPr>
        <w:t>unfitting</w:t>
      </w:r>
      <w:r w:rsidR="00BA6DD1">
        <w:rPr>
          <w:color w:val="auto"/>
        </w:rPr>
        <w:t>,</w:t>
      </w:r>
      <w:proofErr w:type="gramEnd"/>
      <w:r w:rsidR="008530E3" w:rsidRPr="00D86733">
        <w:rPr>
          <w:color w:val="auto"/>
        </w:rPr>
        <w:t xml:space="preserve"> rated </w:t>
      </w:r>
      <w:r w:rsidR="003A5FF2" w:rsidRPr="00D86733">
        <w:rPr>
          <w:color w:val="auto"/>
        </w:rPr>
        <w:t>10</w:t>
      </w:r>
      <w:r w:rsidRPr="00D86733">
        <w:rPr>
          <w:color w:val="auto"/>
        </w:rPr>
        <w:t>%</w:t>
      </w:r>
      <w:r w:rsidR="00BA6DD1">
        <w:rPr>
          <w:color w:val="auto"/>
        </w:rPr>
        <w:t>,</w:t>
      </w:r>
      <w:r w:rsidR="000C647D" w:rsidRPr="00D86733">
        <w:rPr>
          <w:color w:val="auto"/>
        </w:rPr>
        <w:t xml:space="preserve"> </w:t>
      </w:r>
      <w:r w:rsidR="005822BD" w:rsidRPr="00D86733">
        <w:rPr>
          <w:color w:val="auto"/>
        </w:rPr>
        <w:t xml:space="preserve">with </w:t>
      </w:r>
      <w:r w:rsidR="00E46D90" w:rsidRPr="00D86733">
        <w:rPr>
          <w:color w:val="auto"/>
        </w:rPr>
        <w:t xml:space="preserve">application of the </w:t>
      </w:r>
      <w:r w:rsidR="00D86733" w:rsidRPr="00D86733">
        <w:rPr>
          <w:color w:val="auto"/>
        </w:rPr>
        <w:t>Veteran</w:t>
      </w:r>
      <w:r w:rsidR="005F2BEC">
        <w:rPr>
          <w:color w:val="auto"/>
        </w:rPr>
        <w:t>’</w:t>
      </w:r>
      <w:r w:rsidR="00D86733" w:rsidRPr="00D86733">
        <w:rPr>
          <w:color w:val="auto"/>
        </w:rPr>
        <w:t xml:space="preserve">s </w:t>
      </w:r>
      <w:r w:rsidR="000B047E">
        <w:rPr>
          <w:color w:val="auto"/>
        </w:rPr>
        <w:t xml:space="preserve">Administration </w:t>
      </w:r>
      <w:r w:rsidR="00D86733" w:rsidRPr="00D86733">
        <w:rPr>
          <w:color w:val="auto"/>
        </w:rPr>
        <w:t>Schedule for Rating Disabilities (VASRD)</w:t>
      </w:r>
      <w:r w:rsidR="00BF72CA" w:rsidRPr="00D86733">
        <w:rPr>
          <w:color w:val="auto"/>
        </w:rPr>
        <w:t>.</w:t>
      </w:r>
      <w:r w:rsidR="00165C7B" w:rsidRPr="00D86733">
        <w:rPr>
          <w:color w:val="auto"/>
        </w:rPr>
        <w:t xml:space="preserve">  </w:t>
      </w:r>
      <w:r w:rsidR="00380601" w:rsidRPr="00D86733">
        <w:rPr>
          <w:color w:val="auto"/>
        </w:rPr>
        <w:t>The remaining conditions were determined to be not unfitting</w:t>
      </w:r>
      <w:r w:rsidR="00DF70F4" w:rsidRPr="00D86733">
        <w:rPr>
          <w:color w:val="auto"/>
        </w:rPr>
        <w:t>.</w:t>
      </w:r>
      <w:r w:rsidR="001726BA" w:rsidRPr="00D86733">
        <w:rPr>
          <w:color w:val="auto"/>
        </w:rPr>
        <w:t xml:space="preserve">  </w:t>
      </w:r>
      <w:r w:rsidRPr="00D86733">
        <w:rPr>
          <w:color w:val="auto"/>
        </w:rPr>
        <w:t>The CI made no appeals</w:t>
      </w:r>
      <w:r w:rsidRPr="003C638F">
        <w:rPr>
          <w:color w:val="auto"/>
        </w:rPr>
        <w:t xml:space="preserve"> and was medically separated with </w:t>
      </w:r>
      <w:r w:rsidR="0066684A" w:rsidRPr="003C638F">
        <w:rPr>
          <w:color w:val="auto"/>
        </w:rPr>
        <w:t xml:space="preserve">a </w:t>
      </w:r>
      <w:r w:rsidR="003A5FF2" w:rsidRPr="003C638F">
        <w:rPr>
          <w:color w:val="auto"/>
        </w:rPr>
        <w:t>10</w:t>
      </w:r>
      <w:r w:rsidR="0066684A" w:rsidRPr="003C638F">
        <w:rPr>
          <w:color w:val="auto"/>
        </w:rPr>
        <w:t xml:space="preserve">% </w:t>
      </w:r>
      <w:r w:rsidRPr="003C638F">
        <w:rPr>
          <w:color w:val="auto"/>
        </w:rPr>
        <w:t>disability rating.</w:t>
      </w:r>
      <w:r w:rsidR="00813B4F">
        <w:rPr>
          <w:color w:val="auto"/>
        </w:rPr>
        <w:t xml:space="preserve">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contention in </w:t>
      </w:r>
      <w:r w:rsidR="00855E73" w:rsidRPr="002B73FB">
        <w:rPr>
          <w:rFonts w:eastAsia="Cambria"/>
          <w:color w:val="auto"/>
          <w:szCs w:val="24"/>
        </w:rPr>
        <w:t>his application</w:t>
      </w:r>
      <w:r w:rsidR="00855E73" w:rsidRPr="00F64312">
        <w:rPr>
          <w:rFonts w:eastAsia="Cambria"/>
          <w:color w:val="auto"/>
          <w:szCs w:val="24"/>
        </w:rPr>
        <w:t>.</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B047E">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024A9D">
        <w:rPr>
          <w:color w:val="auto"/>
        </w:rPr>
        <w:t>Only t</w:t>
      </w:r>
      <w:r w:rsidRPr="006B7D1F">
        <w:rPr>
          <w:color w:val="auto"/>
        </w:rPr>
        <w:t xml:space="preserve">he </w:t>
      </w:r>
      <w:r w:rsidR="00024A9D" w:rsidRPr="003C638F">
        <w:rPr>
          <w:color w:val="auto"/>
        </w:rPr>
        <w:t xml:space="preserve">thoracic spine pain </w:t>
      </w:r>
      <w:r w:rsidRPr="006B7D1F">
        <w:rPr>
          <w:color w:val="auto"/>
        </w:rPr>
        <w:t>condition</w:t>
      </w:r>
      <w:r w:rsidR="006B7D1F" w:rsidRPr="006B7D1F">
        <w:rPr>
          <w:color w:val="auto"/>
        </w:rPr>
        <w:t xml:space="preserve"> </w:t>
      </w:r>
      <w:r w:rsidRPr="006B7D1F">
        <w:rPr>
          <w:color w:val="auto"/>
        </w:rPr>
        <w:t>meet</w:t>
      </w:r>
      <w:r w:rsidR="006B7D1F" w:rsidRPr="006B7D1F">
        <w:rPr>
          <w:color w:val="auto"/>
        </w:rPr>
        <w:t>s</w:t>
      </w:r>
      <w:r w:rsidRPr="006B7D1F">
        <w:rPr>
          <w:color w:val="auto"/>
        </w:rPr>
        <w:t xml:space="preserve"> the criteria prescribed in DoDI 6040.44 for Board purview</w:t>
      </w:r>
      <w:r w:rsidR="006B7D1F" w:rsidRPr="006B7D1F">
        <w:rPr>
          <w:color w:val="auto"/>
        </w:rPr>
        <w:t>.</w:t>
      </w:r>
      <w:r w:rsidRPr="006B7D1F">
        <w:rPr>
          <w:color w:val="auto"/>
        </w:rPr>
        <w:t xml:space="preserve">  Any conditions or contention not requested in this application, or otherwise outside the Board’s defined scope of review, remain eligible for future consideration by the Army Board for Correction of Military Records</w:t>
      </w:r>
      <w:r w:rsidR="000B047E">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6B7D1F">
            <w:pPr>
              <w:spacing w:line="180" w:lineRule="exact"/>
              <w:contextualSpacing/>
              <w:rPr>
                <w:rFonts w:cs="Calibri"/>
                <w:b/>
                <w:color w:val="auto"/>
                <w:sz w:val="18"/>
              </w:rPr>
            </w:pPr>
            <w:r w:rsidRPr="00F64312">
              <w:rPr>
                <w:b/>
                <w:color w:val="auto"/>
                <w:sz w:val="18"/>
              </w:rPr>
              <w:t xml:space="preserve">Service </w:t>
            </w:r>
            <w:r w:rsidR="006B7D1F">
              <w:rPr>
                <w:b/>
                <w:color w:val="auto"/>
                <w:sz w:val="18"/>
              </w:rPr>
              <w:t>I</w:t>
            </w:r>
            <w:r w:rsidRPr="00F64312">
              <w:rPr>
                <w:b/>
                <w:color w:val="auto"/>
                <w:sz w:val="18"/>
              </w:rPr>
              <w:t xml:space="preserve">PEB – </w:t>
            </w:r>
            <w:r w:rsidRPr="007221A5">
              <w:rPr>
                <w:b/>
                <w:color w:val="auto"/>
                <w:sz w:val="18"/>
              </w:rPr>
              <w:t>Dated 200</w:t>
            </w:r>
            <w:r w:rsidR="006B7D1F" w:rsidRPr="007221A5">
              <w:rPr>
                <w:b/>
                <w:color w:val="auto"/>
                <w:sz w:val="18"/>
              </w:rPr>
              <w:t>90521</w:t>
            </w:r>
          </w:p>
        </w:tc>
        <w:tc>
          <w:tcPr>
            <w:tcW w:w="5400" w:type="dxa"/>
            <w:gridSpan w:val="4"/>
            <w:tcBorders>
              <w:left w:val="thinThickThinSmallGap" w:sz="24" w:space="0" w:color="auto"/>
            </w:tcBorders>
            <w:shd w:val="clear" w:color="auto" w:fill="D9D9D9"/>
            <w:vAlign w:val="center"/>
          </w:tcPr>
          <w:p w:rsidR="00F90376" w:rsidRPr="00F64312" w:rsidRDefault="00F90376" w:rsidP="00177471">
            <w:pPr>
              <w:spacing w:line="180" w:lineRule="exact"/>
              <w:contextualSpacing/>
              <w:rPr>
                <w:rFonts w:cs="Calibri"/>
                <w:b/>
                <w:color w:val="auto"/>
                <w:sz w:val="18"/>
              </w:rPr>
            </w:pPr>
            <w:r w:rsidRPr="00F64312">
              <w:rPr>
                <w:b/>
                <w:color w:val="auto"/>
                <w:sz w:val="18"/>
              </w:rPr>
              <w:t>VA (</w:t>
            </w:r>
            <w:r w:rsidR="003B0576">
              <w:rPr>
                <w:b/>
                <w:color w:val="auto"/>
                <w:sz w:val="18"/>
              </w:rPr>
              <w:t>~</w:t>
            </w:r>
            <w:r w:rsidR="00177471">
              <w:rPr>
                <w:b/>
                <w:color w:val="auto"/>
                <w:sz w:val="18"/>
              </w:rPr>
              <w:t>2</w:t>
            </w:r>
            <w:r w:rsidRPr="00F64312">
              <w:rPr>
                <w:b/>
                <w:color w:val="auto"/>
                <w:sz w:val="18"/>
              </w:rPr>
              <w:t xml:space="preserve"> Mos. </w:t>
            </w:r>
            <w:r w:rsidRPr="009858E3">
              <w:rPr>
                <w:b/>
                <w:color w:val="auto"/>
                <w:sz w:val="18"/>
              </w:rPr>
              <w:t>Post</w:t>
            </w:r>
            <w:r w:rsidRPr="00F64312">
              <w:rPr>
                <w:b/>
                <w:color w:val="auto"/>
                <w:sz w:val="18"/>
              </w:rPr>
              <w:t xml:space="preserve">-Separation) – All Effective Date </w:t>
            </w:r>
            <w:r w:rsidRPr="009858E3">
              <w:rPr>
                <w:b/>
                <w:color w:val="auto"/>
                <w:sz w:val="18"/>
              </w:rPr>
              <w:t>200</w:t>
            </w:r>
            <w:r w:rsidR="009858E3" w:rsidRPr="009858E3">
              <w:rPr>
                <w:b/>
                <w:color w:val="auto"/>
                <w:sz w:val="18"/>
              </w:rPr>
              <w:t>90828</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7221A5" w:rsidP="006B690F">
            <w:pPr>
              <w:spacing w:line="180" w:lineRule="exact"/>
              <w:contextualSpacing/>
              <w:jc w:val="left"/>
              <w:rPr>
                <w:rFonts w:cs="Calibri"/>
                <w:color w:val="auto"/>
                <w:sz w:val="18"/>
              </w:rPr>
            </w:pPr>
            <w:r>
              <w:rPr>
                <w:rFonts w:cs="Calibri"/>
                <w:color w:val="auto"/>
                <w:sz w:val="18"/>
              </w:rPr>
              <w:t>Lumbosacral Strain</w:t>
            </w:r>
          </w:p>
        </w:tc>
        <w:tc>
          <w:tcPr>
            <w:tcW w:w="1080" w:type="dxa"/>
            <w:tcBorders>
              <w:left w:val="single" w:sz="4" w:space="0" w:color="auto"/>
            </w:tcBorders>
            <w:shd w:val="clear" w:color="auto" w:fill="FFFFFF"/>
            <w:vAlign w:val="center"/>
          </w:tcPr>
          <w:p w:rsidR="00F90376" w:rsidRPr="00F64312" w:rsidRDefault="007221A5" w:rsidP="006B690F">
            <w:pPr>
              <w:spacing w:line="180" w:lineRule="exact"/>
              <w:contextualSpacing/>
              <w:rPr>
                <w:rFonts w:cs="Calibri"/>
                <w:color w:val="auto"/>
                <w:sz w:val="18"/>
              </w:rPr>
            </w:pPr>
            <w:r>
              <w:rPr>
                <w:rFonts w:cs="Calibri"/>
                <w:color w:val="auto"/>
                <w:sz w:val="18"/>
              </w:rPr>
              <w:t>5237</w:t>
            </w:r>
          </w:p>
        </w:tc>
        <w:tc>
          <w:tcPr>
            <w:tcW w:w="720" w:type="dxa"/>
            <w:tcBorders>
              <w:right w:val="thinThickThinSmallGap" w:sz="24" w:space="0" w:color="auto"/>
            </w:tcBorders>
            <w:shd w:val="clear" w:color="auto" w:fill="FFFFFF"/>
            <w:vAlign w:val="center"/>
          </w:tcPr>
          <w:p w:rsidR="00F90376" w:rsidRPr="00F64312" w:rsidRDefault="007221A5"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E84A69" w:rsidP="0017172C">
            <w:pPr>
              <w:spacing w:line="180" w:lineRule="exact"/>
              <w:contextualSpacing/>
              <w:jc w:val="left"/>
              <w:rPr>
                <w:rFonts w:cs="Calibri"/>
                <w:color w:val="auto"/>
                <w:sz w:val="18"/>
              </w:rPr>
            </w:pPr>
            <w:r>
              <w:rPr>
                <w:rFonts w:cs="Calibri"/>
                <w:color w:val="auto"/>
                <w:sz w:val="18"/>
              </w:rPr>
              <w:t>Thoracic Spine Spondylosis</w:t>
            </w:r>
          </w:p>
        </w:tc>
        <w:tc>
          <w:tcPr>
            <w:tcW w:w="1080" w:type="dxa"/>
            <w:shd w:val="clear" w:color="auto" w:fill="FFFFFF"/>
            <w:vAlign w:val="center"/>
          </w:tcPr>
          <w:p w:rsidR="00F90376" w:rsidRPr="00F64312" w:rsidRDefault="00E84A69" w:rsidP="0017172C">
            <w:pPr>
              <w:spacing w:line="180" w:lineRule="exact"/>
              <w:contextualSpacing/>
              <w:rPr>
                <w:rFonts w:cs="Calibri"/>
                <w:color w:val="auto"/>
                <w:sz w:val="18"/>
              </w:rPr>
            </w:pPr>
            <w:r>
              <w:rPr>
                <w:rFonts w:cs="Calibri"/>
                <w:color w:val="auto"/>
                <w:sz w:val="18"/>
              </w:rPr>
              <w:t>5239</w:t>
            </w:r>
          </w:p>
        </w:tc>
        <w:tc>
          <w:tcPr>
            <w:tcW w:w="720" w:type="dxa"/>
            <w:shd w:val="clear" w:color="auto" w:fill="FFFFFF"/>
            <w:vAlign w:val="center"/>
          </w:tcPr>
          <w:p w:rsidR="00F90376" w:rsidRPr="00F64312" w:rsidRDefault="00E84A69" w:rsidP="0017172C">
            <w:pPr>
              <w:spacing w:line="180" w:lineRule="exact"/>
              <w:contextualSpacing/>
              <w:rPr>
                <w:rFonts w:cs="Calibri"/>
                <w:color w:val="auto"/>
                <w:sz w:val="18"/>
              </w:rPr>
            </w:pPr>
            <w:r>
              <w:rPr>
                <w:rFonts w:cs="Calibri"/>
                <w:color w:val="auto"/>
                <w:sz w:val="18"/>
              </w:rPr>
              <w:t>0%</w:t>
            </w:r>
          </w:p>
        </w:tc>
        <w:tc>
          <w:tcPr>
            <w:tcW w:w="990" w:type="dxa"/>
            <w:shd w:val="clear" w:color="auto" w:fill="FFFFFF"/>
            <w:vAlign w:val="center"/>
          </w:tcPr>
          <w:p w:rsidR="00F90376" w:rsidRPr="00F64312" w:rsidRDefault="00A314B6" w:rsidP="00E84A69">
            <w:pPr>
              <w:spacing w:line="180" w:lineRule="exact"/>
              <w:contextualSpacing/>
              <w:rPr>
                <w:rFonts w:cs="Calibri"/>
                <w:color w:val="auto"/>
                <w:sz w:val="18"/>
              </w:rPr>
            </w:pPr>
            <w:r w:rsidRPr="00FA0083">
              <w:rPr>
                <w:color w:val="auto"/>
                <w:sz w:val="18"/>
              </w:rPr>
              <w:t>200</w:t>
            </w:r>
            <w:r w:rsidR="00E84A69" w:rsidRPr="00FA0083">
              <w:rPr>
                <w:color w:val="auto"/>
                <w:sz w:val="18"/>
              </w:rPr>
              <w:t>91106</w:t>
            </w:r>
          </w:p>
        </w:tc>
      </w:tr>
      <w:tr w:rsidR="007221A5" w:rsidRPr="00F64312" w:rsidTr="00CE343F">
        <w:trPr>
          <w:trHeight w:val="118"/>
          <w:jc w:val="center"/>
        </w:trPr>
        <w:tc>
          <w:tcPr>
            <w:tcW w:w="2169" w:type="dxa"/>
            <w:tcBorders>
              <w:right w:val="single" w:sz="4" w:space="0" w:color="auto"/>
            </w:tcBorders>
            <w:shd w:val="clear" w:color="auto" w:fill="FFFFFF"/>
            <w:vAlign w:val="center"/>
          </w:tcPr>
          <w:p w:rsidR="007221A5" w:rsidRPr="00F64312" w:rsidRDefault="007221A5" w:rsidP="006B690F">
            <w:pPr>
              <w:spacing w:line="180" w:lineRule="exact"/>
              <w:contextualSpacing/>
              <w:jc w:val="left"/>
              <w:rPr>
                <w:color w:val="auto"/>
                <w:sz w:val="18"/>
              </w:rPr>
            </w:pPr>
            <w:r>
              <w:rPr>
                <w:color w:val="auto"/>
                <w:sz w:val="18"/>
              </w:rPr>
              <w:t>Anxiety</w:t>
            </w:r>
          </w:p>
        </w:tc>
        <w:tc>
          <w:tcPr>
            <w:tcW w:w="1800" w:type="dxa"/>
            <w:gridSpan w:val="2"/>
            <w:tcBorders>
              <w:left w:val="single" w:sz="4" w:space="0" w:color="auto"/>
              <w:right w:val="thinThickThinSmallGap" w:sz="24" w:space="0" w:color="auto"/>
            </w:tcBorders>
            <w:shd w:val="clear" w:color="auto" w:fill="FFFFFF"/>
            <w:vAlign w:val="center"/>
          </w:tcPr>
          <w:p w:rsidR="007221A5" w:rsidRPr="00F64312" w:rsidRDefault="007221A5"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7221A5" w:rsidRPr="00F64312" w:rsidRDefault="00E84A69" w:rsidP="0017172C">
            <w:pPr>
              <w:spacing w:line="180" w:lineRule="exact"/>
              <w:contextualSpacing/>
              <w:jc w:val="left"/>
              <w:rPr>
                <w:color w:val="auto"/>
                <w:sz w:val="18"/>
              </w:rPr>
            </w:pPr>
            <w:r>
              <w:rPr>
                <w:color w:val="auto"/>
                <w:sz w:val="18"/>
              </w:rPr>
              <w:t>Anxiety</w:t>
            </w:r>
          </w:p>
        </w:tc>
        <w:tc>
          <w:tcPr>
            <w:tcW w:w="108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9413</w:t>
            </w:r>
          </w:p>
        </w:tc>
        <w:tc>
          <w:tcPr>
            <w:tcW w:w="72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30%</w:t>
            </w:r>
          </w:p>
        </w:tc>
        <w:tc>
          <w:tcPr>
            <w:tcW w:w="990" w:type="dxa"/>
            <w:shd w:val="clear" w:color="auto" w:fill="FFFFFF"/>
            <w:vAlign w:val="center"/>
          </w:tcPr>
          <w:p w:rsidR="007221A5" w:rsidRPr="00F64312" w:rsidRDefault="00FA0083" w:rsidP="0017172C">
            <w:pPr>
              <w:spacing w:line="180" w:lineRule="exact"/>
              <w:contextualSpacing/>
              <w:rPr>
                <w:color w:val="auto"/>
                <w:sz w:val="18"/>
                <w:highlight w:val="yellow"/>
              </w:rPr>
            </w:pPr>
            <w:r w:rsidRPr="00FA0083">
              <w:rPr>
                <w:color w:val="auto"/>
                <w:sz w:val="18"/>
              </w:rPr>
              <w:t>20091106</w:t>
            </w:r>
          </w:p>
        </w:tc>
      </w:tr>
      <w:tr w:rsidR="007221A5" w:rsidRPr="00F64312" w:rsidTr="009B099E">
        <w:trPr>
          <w:trHeight w:val="118"/>
          <w:jc w:val="center"/>
        </w:trPr>
        <w:tc>
          <w:tcPr>
            <w:tcW w:w="2169" w:type="dxa"/>
            <w:tcBorders>
              <w:right w:val="single" w:sz="4" w:space="0" w:color="auto"/>
            </w:tcBorders>
            <w:shd w:val="clear" w:color="auto" w:fill="FFFFFF"/>
            <w:vAlign w:val="center"/>
          </w:tcPr>
          <w:p w:rsidR="007221A5" w:rsidRPr="00F64312" w:rsidRDefault="002C7C95" w:rsidP="006B690F">
            <w:pPr>
              <w:spacing w:line="180" w:lineRule="exact"/>
              <w:contextualSpacing/>
              <w:jc w:val="left"/>
              <w:rPr>
                <w:color w:val="auto"/>
                <w:sz w:val="18"/>
              </w:rPr>
            </w:pPr>
            <w:r>
              <w:rPr>
                <w:color w:val="auto"/>
                <w:sz w:val="18"/>
              </w:rPr>
              <w:t>Chest Pain (non-cardiac)</w:t>
            </w:r>
          </w:p>
        </w:tc>
        <w:tc>
          <w:tcPr>
            <w:tcW w:w="1800" w:type="dxa"/>
            <w:gridSpan w:val="2"/>
            <w:tcBorders>
              <w:left w:val="single" w:sz="4" w:space="0" w:color="auto"/>
              <w:right w:val="thinThickThinSmallGap" w:sz="24" w:space="0" w:color="auto"/>
            </w:tcBorders>
            <w:shd w:val="clear" w:color="auto" w:fill="FFFFFF"/>
            <w:vAlign w:val="center"/>
          </w:tcPr>
          <w:p w:rsidR="007221A5" w:rsidRPr="00F64312" w:rsidRDefault="007221A5"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7221A5" w:rsidRPr="00F64312" w:rsidRDefault="00E84A69" w:rsidP="0017172C">
            <w:pPr>
              <w:spacing w:line="180" w:lineRule="exact"/>
              <w:contextualSpacing/>
              <w:jc w:val="left"/>
              <w:rPr>
                <w:color w:val="auto"/>
                <w:sz w:val="18"/>
              </w:rPr>
            </w:pPr>
            <w:r>
              <w:rPr>
                <w:color w:val="auto"/>
                <w:sz w:val="18"/>
              </w:rPr>
              <w:t>Hear</w:t>
            </w:r>
            <w:r w:rsidR="00E0701B">
              <w:rPr>
                <w:color w:val="auto"/>
                <w:sz w:val="18"/>
              </w:rPr>
              <w:t>t</w:t>
            </w:r>
            <w:r>
              <w:rPr>
                <w:color w:val="auto"/>
                <w:sz w:val="18"/>
              </w:rPr>
              <w:t xml:space="preserve"> Condition</w:t>
            </w:r>
          </w:p>
        </w:tc>
        <w:tc>
          <w:tcPr>
            <w:tcW w:w="108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7015</w:t>
            </w:r>
          </w:p>
        </w:tc>
        <w:tc>
          <w:tcPr>
            <w:tcW w:w="72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0%</w:t>
            </w:r>
          </w:p>
        </w:tc>
        <w:tc>
          <w:tcPr>
            <w:tcW w:w="990" w:type="dxa"/>
            <w:shd w:val="clear" w:color="auto" w:fill="FFFFFF"/>
            <w:vAlign w:val="center"/>
          </w:tcPr>
          <w:p w:rsidR="007221A5" w:rsidRPr="00F64312" w:rsidRDefault="00FA0083" w:rsidP="0017172C">
            <w:pPr>
              <w:spacing w:line="180" w:lineRule="exact"/>
              <w:contextualSpacing/>
              <w:rPr>
                <w:color w:val="auto"/>
                <w:sz w:val="18"/>
                <w:highlight w:val="yellow"/>
              </w:rPr>
            </w:pPr>
            <w:r w:rsidRPr="00FA0083">
              <w:rPr>
                <w:color w:val="auto"/>
                <w:sz w:val="18"/>
              </w:rPr>
              <w:t>20091106</w:t>
            </w:r>
          </w:p>
        </w:tc>
      </w:tr>
      <w:tr w:rsidR="007221A5" w:rsidRPr="00F64312" w:rsidTr="0006542F">
        <w:trPr>
          <w:trHeight w:val="118"/>
          <w:jc w:val="center"/>
        </w:trPr>
        <w:tc>
          <w:tcPr>
            <w:tcW w:w="2169" w:type="dxa"/>
            <w:tcBorders>
              <w:right w:val="single" w:sz="4" w:space="0" w:color="auto"/>
            </w:tcBorders>
            <w:shd w:val="clear" w:color="auto" w:fill="FFFFFF"/>
            <w:vAlign w:val="center"/>
          </w:tcPr>
          <w:p w:rsidR="007221A5" w:rsidRPr="00F64312" w:rsidRDefault="007053EC" w:rsidP="006B690F">
            <w:pPr>
              <w:spacing w:line="180" w:lineRule="exact"/>
              <w:contextualSpacing/>
              <w:jc w:val="left"/>
              <w:rPr>
                <w:color w:val="auto"/>
                <w:sz w:val="18"/>
              </w:rPr>
            </w:pPr>
            <w:r>
              <w:rPr>
                <w:color w:val="auto"/>
                <w:sz w:val="18"/>
              </w:rPr>
              <w:t>L</w:t>
            </w:r>
            <w:r w:rsidR="002C7C95">
              <w:rPr>
                <w:color w:val="auto"/>
                <w:sz w:val="18"/>
              </w:rPr>
              <w:t>eft Shoulder Pain</w:t>
            </w:r>
          </w:p>
        </w:tc>
        <w:tc>
          <w:tcPr>
            <w:tcW w:w="1800" w:type="dxa"/>
            <w:gridSpan w:val="2"/>
            <w:tcBorders>
              <w:left w:val="single" w:sz="4" w:space="0" w:color="auto"/>
              <w:right w:val="thinThickThinSmallGap" w:sz="24" w:space="0" w:color="auto"/>
            </w:tcBorders>
            <w:shd w:val="clear" w:color="auto" w:fill="FFFFFF"/>
            <w:vAlign w:val="center"/>
          </w:tcPr>
          <w:p w:rsidR="007221A5" w:rsidRPr="00F64312" w:rsidRDefault="007221A5"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7221A5" w:rsidRPr="00F64312" w:rsidRDefault="00E84A69" w:rsidP="0017172C">
            <w:pPr>
              <w:spacing w:line="180" w:lineRule="exact"/>
              <w:contextualSpacing/>
              <w:jc w:val="left"/>
              <w:rPr>
                <w:color w:val="auto"/>
                <w:sz w:val="18"/>
              </w:rPr>
            </w:pPr>
            <w:r>
              <w:rPr>
                <w:color w:val="auto"/>
                <w:sz w:val="18"/>
              </w:rPr>
              <w:t>Left Shoulder Strain</w:t>
            </w:r>
          </w:p>
        </w:tc>
        <w:tc>
          <w:tcPr>
            <w:tcW w:w="108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5201</w:t>
            </w:r>
          </w:p>
        </w:tc>
        <w:tc>
          <w:tcPr>
            <w:tcW w:w="720" w:type="dxa"/>
            <w:shd w:val="clear" w:color="auto" w:fill="FFFFFF"/>
            <w:vAlign w:val="center"/>
          </w:tcPr>
          <w:p w:rsidR="007221A5" w:rsidRPr="00F64312" w:rsidRDefault="00E84A69" w:rsidP="0017172C">
            <w:pPr>
              <w:spacing w:line="180" w:lineRule="exact"/>
              <w:contextualSpacing/>
              <w:rPr>
                <w:color w:val="auto"/>
                <w:sz w:val="18"/>
              </w:rPr>
            </w:pPr>
            <w:r>
              <w:rPr>
                <w:color w:val="auto"/>
                <w:sz w:val="18"/>
              </w:rPr>
              <w:t>10%</w:t>
            </w:r>
          </w:p>
        </w:tc>
        <w:tc>
          <w:tcPr>
            <w:tcW w:w="990" w:type="dxa"/>
            <w:shd w:val="clear" w:color="auto" w:fill="FFFFFF"/>
            <w:vAlign w:val="center"/>
          </w:tcPr>
          <w:p w:rsidR="007221A5" w:rsidRPr="00F64312" w:rsidRDefault="00FA0083" w:rsidP="0017172C">
            <w:pPr>
              <w:spacing w:line="180" w:lineRule="exact"/>
              <w:contextualSpacing/>
              <w:rPr>
                <w:color w:val="auto"/>
                <w:sz w:val="18"/>
                <w:highlight w:val="yellow"/>
              </w:rPr>
            </w:pPr>
            <w:r w:rsidRPr="00FA0083">
              <w:rPr>
                <w:color w:val="auto"/>
                <w:sz w:val="18"/>
              </w:rPr>
              <w:t>20091106</w:t>
            </w:r>
          </w:p>
        </w:tc>
      </w:tr>
      <w:tr w:rsidR="00E84A69" w:rsidRPr="00F64312" w:rsidTr="0006542F">
        <w:trPr>
          <w:trHeight w:val="118"/>
          <w:jc w:val="center"/>
        </w:trPr>
        <w:tc>
          <w:tcPr>
            <w:tcW w:w="2169" w:type="dxa"/>
            <w:tcBorders>
              <w:right w:val="single" w:sz="4" w:space="0" w:color="auto"/>
            </w:tcBorders>
            <w:shd w:val="clear" w:color="auto" w:fill="FFFFFF"/>
            <w:vAlign w:val="center"/>
          </w:tcPr>
          <w:p w:rsidR="00E84A69" w:rsidRDefault="00E0701B" w:rsidP="00E0701B">
            <w:pPr>
              <w:spacing w:line="180" w:lineRule="exact"/>
              <w:contextualSpacing/>
              <w:jc w:val="left"/>
              <w:rPr>
                <w:color w:val="auto"/>
                <w:sz w:val="18"/>
              </w:rPr>
            </w:pPr>
            <w:r>
              <w:rPr>
                <w:rFonts w:cs="Calibri"/>
                <w:color w:val="auto"/>
                <w:sz w:val="18"/>
              </w:rPr>
              <w:t xml:space="preserve">TMJ </w:t>
            </w:r>
            <w:r w:rsidR="00E84A69">
              <w:rPr>
                <w:rFonts w:cs="Calibri"/>
                <w:color w:val="auto"/>
                <w:sz w:val="18"/>
              </w:rPr>
              <w:t>Dysfunction</w:t>
            </w:r>
          </w:p>
        </w:tc>
        <w:tc>
          <w:tcPr>
            <w:tcW w:w="1800" w:type="dxa"/>
            <w:gridSpan w:val="2"/>
            <w:tcBorders>
              <w:left w:val="single" w:sz="4" w:space="0" w:color="auto"/>
              <w:right w:val="thinThickThinSmallGap" w:sz="24" w:space="0" w:color="auto"/>
            </w:tcBorders>
            <w:shd w:val="clear" w:color="auto" w:fill="FFFFFF"/>
            <w:vAlign w:val="center"/>
          </w:tcPr>
          <w:p w:rsidR="00E84A69" w:rsidRPr="00F64312" w:rsidRDefault="00E84A69"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E84A69" w:rsidRPr="00F64312" w:rsidRDefault="00E0701B" w:rsidP="00E0701B">
            <w:pPr>
              <w:spacing w:line="180" w:lineRule="exact"/>
              <w:contextualSpacing/>
              <w:jc w:val="left"/>
              <w:rPr>
                <w:color w:val="auto"/>
                <w:sz w:val="18"/>
              </w:rPr>
            </w:pPr>
            <w:r>
              <w:rPr>
                <w:rFonts w:cs="Calibri"/>
                <w:color w:val="auto"/>
                <w:sz w:val="18"/>
              </w:rPr>
              <w:t xml:space="preserve">TMJ </w:t>
            </w:r>
            <w:r w:rsidR="00FA0083">
              <w:rPr>
                <w:rFonts w:cs="Calibri"/>
                <w:color w:val="auto"/>
                <w:sz w:val="18"/>
              </w:rPr>
              <w:t>Condition</w:t>
            </w:r>
          </w:p>
        </w:tc>
        <w:tc>
          <w:tcPr>
            <w:tcW w:w="1080" w:type="dxa"/>
            <w:shd w:val="clear" w:color="auto" w:fill="FFFFFF"/>
            <w:vAlign w:val="center"/>
          </w:tcPr>
          <w:p w:rsidR="00E84A69" w:rsidRPr="00F64312" w:rsidRDefault="00FA0083" w:rsidP="0017172C">
            <w:pPr>
              <w:spacing w:line="180" w:lineRule="exact"/>
              <w:contextualSpacing/>
              <w:rPr>
                <w:color w:val="auto"/>
                <w:sz w:val="18"/>
              </w:rPr>
            </w:pPr>
            <w:r>
              <w:rPr>
                <w:color w:val="auto"/>
                <w:sz w:val="18"/>
              </w:rPr>
              <w:t>9905</w:t>
            </w:r>
          </w:p>
        </w:tc>
        <w:tc>
          <w:tcPr>
            <w:tcW w:w="720" w:type="dxa"/>
            <w:shd w:val="clear" w:color="auto" w:fill="FFFFFF"/>
            <w:vAlign w:val="center"/>
          </w:tcPr>
          <w:p w:rsidR="00E84A69" w:rsidRPr="00F64312" w:rsidRDefault="00FA0083" w:rsidP="0017172C">
            <w:pPr>
              <w:spacing w:line="180" w:lineRule="exact"/>
              <w:contextualSpacing/>
              <w:rPr>
                <w:color w:val="auto"/>
                <w:sz w:val="18"/>
              </w:rPr>
            </w:pPr>
            <w:r>
              <w:rPr>
                <w:color w:val="auto"/>
                <w:sz w:val="18"/>
              </w:rPr>
              <w:t>10%</w:t>
            </w:r>
          </w:p>
        </w:tc>
        <w:tc>
          <w:tcPr>
            <w:tcW w:w="990" w:type="dxa"/>
            <w:shd w:val="clear" w:color="auto" w:fill="FFFFFF"/>
            <w:vAlign w:val="center"/>
          </w:tcPr>
          <w:p w:rsidR="00E84A69" w:rsidRPr="00F64312" w:rsidRDefault="00FA0083" w:rsidP="0017172C">
            <w:pPr>
              <w:spacing w:line="180" w:lineRule="exact"/>
              <w:contextualSpacing/>
              <w:rPr>
                <w:color w:val="auto"/>
                <w:sz w:val="18"/>
                <w:highlight w:val="yellow"/>
              </w:rPr>
            </w:pPr>
            <w:r w:rsidRPr="00FA0083">
              <w:rPr>
                <w:color w:val="auto"/>
                <w:sz w:val="18"/>
              </w:rPr>
              <w:t>20091106</w:t>
            </w:r>
          </w:p>
        </w:tc>
      </w:tr>
      <w:tr w:rsidR="00E84A69" w:rsidRPr="00F64312" w:rsidTr="0006542F">
        <w:trPr>
          <w:trHeight w:val="118"/>
          <w:jc w:val="center"/>
        </w:trPr>
        <w:tc>
          <w:tcPr>
            <w:tcW w:w="2169" w:type="dxa"/>
            <w:tcBorders>
              <w:right w:val="single" w:sz="4" w:space="0" w:color="auto"/>
            </w:tcBorders>
            <w:shd w:val="clear" w:color="auto" w:fill="FFFFFF"/>
            <w:vAlign w:val="center"/>
          </w:tcPr>
          <w:p w:rsidR="00E84A69" w:rsidRDefault="00E84A69" w:rsidP="006B690F">
            <w:pPr>
              <w:spacing w:line="180" w:lineRule="exact"/>
              <w:contextualSpacing/>
              <w:jc w:val="left"/>
              <w:rPr>
                <w:color w:val="auto"/>
                <w:sz w:val="18"/>
              </w:rPr>
            </w:pPr>
            <w:r>
              <w:rPr>
                <w:color w:val="auto"/>
                <w:sz w:val="18"/>
              </w:rPr>
              <w:t>Dyspepsia</w:t>
            </w:r>
          </w:p>
        </w:tc>
        <w:tc>
          <w:tcPr>
            <w:tcW w:w="1800" w:type="dxa"/>
            <w:gridSpan w:val="2"/>
            <w:tcBorders>
              <w:left w:val="single" w:sz="4" w:space="0" w:color="auto"/>
              <w:right w:val="thinThickThinSmallGap" w:sz="24" w:space="0" w:color="auto"/>
            </w:tcBorders>
            <w:shd w:val="clear" w:color="auto" w:fill="FFFFFF"/>
            <w:vAlign w:val="center"/>
          </w:tcPr>
          <w:p w:rsidR="00E84A69" w:rsidRPr="00F64312" w:rsidRDefault="00E84A69"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E84A69" w:rsidRPr="00F64312" w:rsidRDefault="00E84A69" w:rsidP="0017172C">
            <w:pPr>
              <w:spacing w:line="180" w:lineRule="exact"/>
              <w:contextualSpacing/>
              <w:jc w:val="left"/>
              <w:rPr>
                <w:color w:val="auto"/>
                <w:sz w:val="18"/>
              </w:rPr>
            </w:pPr>
            <w:r>
              <w:rPr>
                <w:color w:val="auto"/>
                <w:sz w:val="18"/>
              </w:rPr>
              <w:t>Dyspepsia</w:t>
            </w:r>
          </w:p>
        </w:tc>
        <w:tc>
          <w:tcPr>
            <w:tcW w:w="1080" w:type="dxa"/>
            <w:shd w:val="clear" w:color="auto" w:fill="FFFFFF"/>
            <w:vAlign w:val="center"/>
          </w:tcPr>
          <w:p w:rsidR="00E84A69" w:rsidRPr="00F64312" w:rsidRDefault="00E84A69" w:rsidP="0017172C">
            <w:pPr>
              <w:spacing w:line="180" w:lineRule="exact"/>
              <w:contextualSpacing/>
              <w:rPr>
                <w:color w:val="auto"/>
                <w:sz w:val="18"/>
              </w:rPr>
            </w:pPr>
            <w:r>
              <w:rPr>
                <w:color w:val="auto"/>
                <w:sz w:val="18"/>
              </w:rPr>
              <w:t>7399-7304</w:t>
            </w:r>
          </w:p>
        </w:tc>
        <w:tc>
          <w:tcPr>
            <w:tcW w:w="720" w:type="dxa"/>
            <w:shd w:val="clear" w:color="auto" w:fill="FFFFFF"/>
            <w:vAlign w:val="center"/>
          </w:tcPr>
          <w:p w:rsidR="00E84A69" w:rsidRPr="00F64312" w:rsidRDefault="00E84A69" w:rsidP="0017172C">
            <w:pPr>
              <w:spacing w:line="180" w:lineRule="exact"/>
              <w:contextualSpacing/>
              <w:rPr>
                <w:color w:val="auto"/>
                <w:sz w:val="18"/>
              </w:rPr>
            </w:pPr>
            <w:r>
              <w:rPr>
                <w:color w:val="auto"/>
                <w:sz w:val="18"/>
              </w:rPr>
              <w:t>0%</w:t>
            </w:r>
          </w:p>
        </w:tc>
        <w:tc>
          <w:tcPr>
            <w:tcW w:w="990" w:type="dxa"/>
            <w:shd w:val="clear" w:color="auto" w:fill="FFFFFF"/>
            <w:vAlign w:val="center"/>
          </w:tcPr>
          <w:p w:rsidR="00E84A69" w:rsidRPr="00F64312" w:rsidRDefault="00FA0083" w:rsidP="0017172C">
            <w:pPr>
              <w:spacing w:line="180" w:lineRule="exact"/>
              <w:contextualSpacing/>
              <w:rPr>
                <w:color w:val="auto"/>
                <w:sz w:val="18"/>
                <w:highlight w:val="yellow"/>
              </w:rPr>
            </w:pPr>
            <w:r w:rsidRPr="00FA0083">
              <w:rPr>
                <w:color w:val="auto"/>
                <w:sz w:val="18"/>
              </w:rPr>
              <w:t>20091106</w:t>
            </w:r>
          </w:p>
        </w:tc>
      </w:tr>
      <w:tr w:rsidR="00F90376"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F64312" w:rsidRDefault="00F90376" w:rsidP="005F3910">
            <w:pPr>
              <w:spacing w:line="180" w:lineRule="exact"/>
              <w:contextualSpacing/>
              <w:rPr>
                <w:rFonts w:cs="Calibri"/>
                <w:color w:val="auto"/>
                <w:sz w:val="18"/>
              </w:rPr>
            </w:pPr>
            <w:r w:rsidRPr="00F64312">
              <w:rPr>
                <w:color w:val="auto"/>
                <w:sz w:val="18"/>
              </w:rPr>
              <w:t xml:space="preserve">0% X </w:t>
            </w:r>
            <w:r w:rsidR="00FA0083">
              <w:rPr>
                <w:color w:val="auto"/>
                <w:sz w:val="18"/>
              </w:rPr>
              <w:t>3</w:t>
            </w:r>
            <w:r w:rsidRPr="00F64312">
              <w:rPr>
                <w:color w:val="auto"/>
                <w:sz w:val="18"/>
              </w:rPr>
              <w:t xml:space="preserve"> </w:t>
            </w:r>
            <w:r w:rsidR="00ED7820">
              <w:rPr>
                <w:color w:val="auto"/>
                <w:sz w:val="18"/>
              </w:rPr>
              <w:t>/ Not Service-</w:t>
            </w:r>
            <w:r w:rsidRPr="00F64312">
              <w:rPr>
                <w:color w:val="auto"/>
                <w:sz w:val="18"/>
              </w:rPr>
              <w:t xml:space="preserve">Connected x </w:t>
            </w:r>
            <w:r w:rsidR="005F3910">
              <w:rPr>
                <w:color w:val="auto"/>
                <w:sz w:val="18"/>
              </w:rPr>
              <w:t>4*</w:t>
            </w:r>
          </w:p>
        </w:tc>
        <w:tc>
          <w:tcPr>
            <w:tcW w:w="990" w:type="dxa"/>
            <w:shd w:val="clear" w:color="auto" w:fill="FFFFFF"/>
            <w:vAlign w:val="center"/>
          </w:tcPr>
          <w:p w:rsidR="00F90376" w:rsidRPr="00F64312" w:rsidRDefault="00FA0083" w:rsidP="0017172C">
            <w:pPr>
              <w:spacing w:line="180" w:lineRule="exact"/>
              <w:contextualSpacing/>
              <w:rPr>
                <w:rFonts w:cs="Calibri"/>
                <w:color w:val="auto"/>
                <w:sz w:val="18"/>
              </w:rPr>
            </w:pPr>
            <w:r w:rsidRPr="00FA0083">
              <w:rPr>
                <w:color w:val="auto"/>
                <w:sz w:val="18"/>
              </w:rPr>
              <w:t>20091106</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2C7C95">
            <w:pPr>
              <w:spacing w:line="180" w:lineRule="exact"/>
              <w:contextualSpacing/>
              <w:rPr>
                <w:rFonts w:cs="Calibri"/>
                <w:b/>
                <w:color w:val="auto"/>
                <w:sz w:val="18"/>
              </w:rPr>
            </w:pPr>
            <w:r w:rsidRPr="00F64312">
              <w:rPr>
                <w:b/>
                <w:color w:val="auto"/>
                <w:sz w:val="18"/>
              </w:rPr>
              <w:t xml:space="preserve">Combined:  </w:t>
            </w:r>
            <w:r w:rsidR="002C7C95">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0600B5">
            <w:pPr>
              <w:spacing w:line="180" w:lineRule="exact"/>
              <w:contextualSpacing/>
              <w:rPr>
                <w:rFonts w:cs="Calibri"/>
                <w:b/>
                <w:color w:val="auto"/>
                <w:sz w:val="18"/>
              </w:rPr>
            </w:pPr>
            <w:r w:rsidRPr="00F64312">
              <w:rPr>
                <w:b/>
                <w:color w:val="auto"/>
                <w:sz w:val="18"/>
              </w:rPr>
              <w:t xml:space="preserve">Combined:  </w:t>
            </w:r>
            <w:r w:rsidR="000600B5">
              <w:rPr>
                <w:b/>
                <w:color w:val="auto"/>
                <w:sz w:val="18"/>
              </w:rPr>
              <w:t>40</w:t>
            </w:r>
            <w:r w:rsidRPr="00F64312">
              <w:rPr>
                <w:b/>
                <w:color w:val="auto"/>
                <w:sz w:val="18"/>
              </w:rPr>
              <w:t>%</w:t>
            </w:r>
            <w:r w:rsidR="000600B5">
              <w:rPr>
                <w:b/>
                <w:color w:val="auto"/>
                <w:sz w:val="18"/>
              </w:rPr>
              <w:t>**</w:t>
            </w:r>
          </w:p>
        </w:tc>
      </w:tr>
    </w:tbl>
    <w:p w:rsidR="00F90376" w:rsidRPr="00F64312" w:rsidRDefault="00F90376" w:rsidP="005E256C">
      <w:pPr>
        <w:pBdr>
          <w:bottom w:val="single" w:sz="12" w:space="1" w:color="auto"/>
        </w:pBdr>
        <w:tabs>
          <w:tab w:val="left" w:pos="288"/>
          <w:tab w:val="left" w:pos="4752"/>
        </w:tabs>
        <w:spacing w:line="180" w:lineRule="exact"/>
        <w:jc w:val="both"/>
        <w:rPr>
          <w:color w:val="auto"/>
        </w:rPr>
      </w:pPr>
      <w:r w:rsidRPr="00F64312">
        <w:rPr>
          <w:color w:val="auto"/>
          <w:sz w:val="18"/>
          <w:szCs w:val="18"/>
        </w:rPr>
        <w:t>*</w:t>
      </w:r>
      <w:r w:rsidR="005F3910">
        <w:rPr>
          <w:color w:val="auto"/>
          <w:sz w:val="18"/>
          <w:szCs w:val="18"/>
        </w:rPr>
        <w:t xml:space="preserve">From 20110401 VARD, Tinnitus added at 10% and four other NSC conditions added.  **Total combined overall </w:t>
      </w:r>
      <w:r w:rsidR="00F11B83">
        <w:rPr>
          <w:color w:val="auto"/>
          <w:sz w:val="18"/>
          <w:szCs w:val="18"/>
        </w:rPr>
        <w:t>rating changed to 50% retroa</w:t>
      </w:r>
      <w:r w:rsidR="005F3910">
        <w:rPr>
          <w:color w:val="auto"/>
          <w:sz w:val="18"/>
          <w:szCs w:val="18"/>
        </w:rPr>
        <w:t xml:space="preserve">ctive </w:t>
      </w:r>
      <w:r w:rsidR="00F11B83">
        <w:rPr>
          <w:color w:val="auto"/>
          <w:sz w:val="18"/>
          <w:szCs w:val="18"/>
        </w:rPr>
        <w:t xml:space="preserve">to </w:t>
      </w:r>
      <w:r w:rsidR="005F3910">
        <w:rPr>
          <w:color w:val="auto"/>
          <w:sz w:val="18"/>
          <w:szCs w:val="18"/>
        </w:rPr>
        <w:t>20090828</w:t>
      </w:r>
      <w:r w:rsidR="00F11B83">
        <w:rPr>
          <w:color w:val="auto"/>
          <w:sz w:val="18"/>
          <w:szCs w:val="18"/>
        </w:rPr>
        <w:t xml:space="preserve"> (separation)</w:t>
      </w:r>
      <w:r w:rsidR="005F3910">
        <w:rPr>
          <w:color w:val="auto"/>
          <w:sz w:val="18"/>
          <w:szCs w:val="18"/>
        </w:rPr>
        <w:t>.</w:t>
      </w:r>
    </w:p>
    <w:p w:rsidR="00813B4F" w:rsidRDefault="00813B4F">
      <w:pPr>
        <w:spacing w:line="240" w:lineRule="auto"/>
        <w:jc w:val="left"/>
        <w:rPr>
          <w:color w:val="auto"/>
        </w:rPr>
      </w:pPr>
      <w:r>
        <w:rPr>
          <w:color w:val="auto"/>
        </w:rPr>
        <w:br w:type="page"/>
      </w: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836B7B" w:rsidRPr="00F64312" w:rsidRDefault="006B7D1F" w:rsidP="0069687C">
      <w:pPr>
        <w:jc w:val="both"/>
        <w:rPr>
          <w:color w:val="auto"/>
          <w:szCs w:val="24"/>
        </w:rPr>
      </w:pPr>
      <w:r w:rsidRPr="006B7D1F">
        <w:rPr>
          <w:color w:val="auto"/>
          <w:u w:val="single"/>
        </w:rPr>
        <w:t>Lumbosacral Strain C</w:t>
      </w:r>
      <w:r w:rsidR="00AD2379" w:rsidRPr="006B7D1F">
        <w:rPr>
          <w:color w:val="auto"/>
          <w:u w:val="single"/>
        </w:rPr>
        <w:t>ondition</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Pr>
          <w:color w:val="auto"/>
          <w:szCs w:val="24"/>
        </w:rPr>
        <w:t>two</w:t>
      </w:r>
      <w:r w:rsidR="00001EFC">
        <w:rPr>
          <w:color w:val="auto"/>
          <w:szCs w:val="24"/>
        </w:rPr>
        <w:t xml:space="preserve"> goniometric range</w:t>
      </w:r>
      <w:r w:rsidR="000B047E">
        <w:rPr>
          <w:color w:val="auto"/>
          <w:szCs w:val="24"/>
        </w:rPr>
        <w:t>-</w:t>
      </w:r>
      <w:r w:rsidR="00001EFC">
        <w:rPr>
          <w:color w:val="auto"/>
          <w:szCs w:val="24"/>
        </w:rPr>
        <w:t>of</w:t>
      </w:r>
      <w:r w:rsidR="000B047E">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274901" w:rsidRPr="00F64312" w:rsidRDefault="00274901" w:rsidP="00274901">
      <w:pPr>
        <w:ind w:left="2880" w:firstLine="720"/>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0E03" w:rsidRDefault="00BF0E03" w:rsidP="001A558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Thoracolumbar ROM</w:t>
            </w:r>
          </w:p>
          <w:p w:rsidR="0038422A" w:rsidRPr="00F64312" w:rsidRDefault="0038422A" w:rsidP="001A5585">
            <w:pPr>
              <w:pStyle w:val="ListParagraph"/>
              <w:spacing w:after="0" w:line="200" w:lineRule="exact"/>
              <w:ind w:left="0"/>
              <w:rPr>
                <w:rFonts w:asciiTheme="majorHAnsi" w:eastAsia="Calibri" w:hAnsiTheme="majorHAnsi" w:cstheme="majorHAnsi"/>
                <w:b/>
                <w:sz w:val="18"/>
                <w:szCs w:val="18"/>
              </w:rPr>
            </w:pPr>
            <w:r>
              <w:rPr>
                <w:rFonts w:asciiTheme="majorHAnsi" w:eastAsia="Calibri" w:hAnsiTheme="majorHAnsi" w:cstheme="majorHAnsi"/>
                <w:sz w:val="18"/>
                <w:szCs w:val="18"/>
              </w:rPr>
              <w:t>Degrees</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0E03" w:rsidRPr="00F64312" w:rsidRDefault="00BF0E03" w:rsidP="001A558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7</w:t>
            </w:r>
            <w:r w:rsidRPr="00F64312">
              <w:rPr>
                <w:rFonts w:asciiTheme="majorHAnsi" w:eastAsia="Calibri" w:hAnsiTheme="majorHAnsi" w:cstheme="majorHAnsi"/>
                <w:color w:val="auto"/>
                <w:sz w:val="18"/>
                <w:szCs w:val="18"/>
              </w:rPr>
              <w:t xml:space="preserve"> Mo</w:t>
            </w:r>
            <w:r>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Pre-Sep</w:t>
            </w:r>
          </w:p>
          <w:p w:rsidR="00BF0E03" w:rsidRPr="00F64312" w:rsidRDefault="00BF0E03" w:rsidP="00BF0E03">
            <w:pPr>
              <w:spacing w:line="200" w:lineRule="exact"/>
              <w:contextualSpacing/>
              <w:rPr>
                <w:rFonts w:asciiTheme="majorHAnsi" w:eastAsia="Calibri" w:hAnsiTheme="majorHAnsi" w:cstheme="maj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0E03" w:rsidRPr="00F64312" w:rsidRDefault="00BF0E03" w:rsidP="001A558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6C4A86">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w:t>
            </w:r>
            <w:r w:rsidR="006C4A86">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Post-Sep</w:t>
            </w:r>
          </w:p>
          <w:p w:rsidR="00BF0E03" w:rsidRPr="00F64312" w:rsidRDefault="00BF0E03" w:rsidP="006C4A86">
            <w:pPr>
              <w:spacing w:line="200" w:lineRule="exact"/>
              <w:contextualSpacing/>
              <w:rPr>
                <w:rFonts w:asciiTheme="majorHAnsi" w:eastAsiaTheme="minorHAnsi" w:hAnsiTheme="majorHAnsi" w:cstheme="majorHAnsi"/>
                <w:color w:val="auto"/>
                <w:sz w:val="18"/>
                <w:szCs w:val="18"/>
              </w:rPr>
            </w:pP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F64312" w:rsidRDefault="0038422A" w:rsidP="001A5585">
            <w:pPr>
              <w:pStyle w:val="ListParagraph"/>
              <w:spacing w:after="0" w:line="200" w:lineRule="exact"/>
              <w:ind w:left="0"/>
              <w:rPr>
                <w:rFonts w:asciiTheme="majorHAnsi" w:eastAsia="Calibri" w:hAnsiTheme="majorHAnsi" w:cstheme="majorHAnsi"/>
                <w:sz w:val="18"/>
                <w:szCs w:val="18"/>
              </w:rPr>
            </w:pPr>
            <w:r>
              <w:rPr>
                <w:rFonts w:asciiTheme="majorHAnsi" w:hAnsiTheme="majorHAnsi" w:cstheme="majorHAnsi"/>
                <w:sz w:val="18"/>
                <w:szCs w:val="18"/>
              </w:rPr>
              <w:t>Flexion (90</w:t>
            </w:r>
            <w:r w:rsidR="00BF0E03" w:rsidRPr="00F64312">
              <w:rPr>
                <w:rFonts w:asciiTheme="majorHAnsi" w:hAnsiTheme="majorHAnsi" w:cstheme="majorHAns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BF0E0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90 </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D802C7" w:rsidRDefault="00BF0E03" w:rsidP="001A5585">
            <w:pPr>
              <w:pStyle w:val="ListParagraph"/>
              <w:spacing w:after="0" w:line="200" w:lineRule="exact"/>
              <w:ind w:left="0"/>
              <w:rPr>
                <w:rFonts w:asciiTheme="majorHAnsi" w:eastAsia="Calibri" w:hAnsiTheme="majorHAnsi" w:cstheme="majorHAnsi"/>
                <w:sz w:val="18"/>
                <w:szCs w:val="18"/>
              </w:rPr>
            </w:pPr>
            <w:r w:rsidRPr="00D802C7">
              <w:rPr>
                <w:rFonts w:asciiTheme="majorHAnsi" w:eastAsia="Calibri" w:hAnsiTheme="majorHAnsi" w:cstheme="majorHAnsi"/>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F0E03" w:rsidRPr="00F64312" w:rsidTr="001A5585">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D802C7" w:rsidRDefault="00BF0E03" w:rsidP="001A5585">
            <w:pPr>
              <w:pStyle w:val="ListParagraph"/>
              <w:spacing w:after="0" w:line="200" w:lineRule="exact"/>
              <w:ind w:left="0"/>
              <w:rPr>
                <w:rFonts w:asciiTheme="majorHAnsi" w:eastAsia="Calibri" w:hAnsiTheme="majorHAnsi" w:cstheme="majorHAnsi"/>
                <w:sz w:val="18"/>
                <w:szCs w:val="18"/>
              </w:rPr>
            </w:pPr>
            <w:r w:rsidRPr="00D802C7">
              <w:rPr>
                <w:rFonts w:asciiTheme="majorHAnsi" w:eastAsia="Calibri" w:hAnsiTheme="majorHAnsi" w:cstheme="majorHAnsi"/>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D802C7" w:rsidRDefault="00BF0E03" w:rsidP="001A5585">
            <w:pPr>
              <w:pStyle w:val="ListParagraph"/>
              <w:spacing w:after="0" w:line="200" w:lineRule="exact"/>
              <w:ind w:left="0"/>
              <w:rPr>
                <w:rFonts w:asciiTheme="majorHAnsi" w:eastAsia="Calibri" w:hAnsiTheme="majorHAnsi" w:cstheme="majorHAnsi"/>
                <w:sz w:val="18"/>
                <w:szCs w:val="18"/>
              </w:rPr>
            </w:pPr>
            <w:r w:rsidRPr="00D802C7">
              <w:rPr>
                <w:rFonts w:asciiTheme="majorHAnsi" w:eastAsia="Calibri" w:hAnsiTheme="majorHAnsi" w:cstheme="majorHAnsi"/>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727775">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D802C7" w:rsidRDefault="00BF0E03" w:rsidP="001A5585">
            <w:pPr>
              <w:pStyle w:val="ListParagraph"/>
              <w:spacing w:after="0" w:line="200" w:lineRule="exact"/>
              <w:ind w:left="0"/>
              <w:rPr>
                <w:rFonts w:asciiTheme="majorHAnsi" w:eastAsia="Calibri" w:hAnsiTheme="majorHAnsi" w:cstheme="majorHAnsi"/>
                <w:sz w:val="18"/>
                <w:szCs w:val="18"/>
              </w:rPr>
            </w:pPr>
            <w:r w:rsidRPr="00D802C7">
              <w:rPr>
                <w:rFonts w:asciiTheme="majorHAnsi" w:eastAsia="Calibri" w:hAnsiTheme="majorHAnsi" w:cstheme="majorHAnsi"/>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727775">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D802C7" w:rsidRDefault="00BF0E03" w:rsidP="001A5585">
            <w:pPr>
              <w:pStyle w:val="ListParagraph"/>
              <w:spacing w:after="0" w:line="200" w:lineRule="exact"/>
              <w:ind w:left="0"/>
              <w:rPr>
                <w:rFonts w:asciiTheme="majorHAnsi" w:eastAsia="Calibri" w:hAnsiTheme="majorHAnsi" w:cstheme="majorHAnsi"/>
                <w:sz w:val="18"/>
                <w:szCs w:val="18"/>
              </w:rPr>
            </w:pPr>
            <w:r w:rsidRPr="00D802C7">
              <w:rPr>
                <w:rFonts w:asciiTheme="majorHAnsi" w:eastAsia="Calibri" w:hAnsiTheme="majorHAnsi" w:cstheme="majorHAnsi"/>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BF0E03" w:rsidRDefault="0038422A" w:rsidP="0038422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727775" w:rsidRDefault="0038422A" w:rsidP="00727775">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F64312" w:rsidRDefault="00BF0E03" w:rsidP="001A558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F64312" w:rsidRDefault="0038422A" w:rsidP="001A5585">
            <w:pPr>
              <w:spacing w:line="200" w:lineRule="exact"/>
              <w:rPr>
                <w:rFonts w:asciiTheme="majorHAnsi" w:hAnsiTheme="majorHAnsi" w:cstheme="majorHAnsi"/>
                <w:color w:val="auto"/>
                <w:sz w:val="18"/>
                <w:szCs w:val="18"/>
                <w:highlight w:val="lightGray"/>
              </w:rPr>
            </w:pPr>
            <w:r w:rsidRPr="0038422A">
              <w:rPr>
                <w:rFonts w:asciiTheme="majorHAnsi" w:hAnsiTheme="majorHAnsi" w:cstheme="majorHAnsi"/>
                <w:color w:val="auto"/>
                <w:sz w:val="18"/>
                <w:szCs w:val="18"/>
              </w:rPr>
              <w:t>210</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F64312" w:rsidRDefault="0038422A" w:rsidP="001A5585">
            <w:pPr>
              <w:spacing w:line="200" w:lineRule="exact"/>
              <w:rPr>
                <w:rFonts w:asciiTheme="majorHAnsi" w:hAnsiTheme="majorHAnsi" w:cstheme="majorHAnsi"/>
                <w:color w:val="auto"/>
                <w:sz w:val="18"/>
                <w:szCs w:val="18"/>
                <w:highlight w:val="lightGray"/>
              </w:rPr>
            </w:pPr>
            <w:r w:rsidRPr="0038422A">
              <w:rPr>
                <w:rFonts w:asciiTheme="majorHAnsi" w:hAnsiTheme="majorHAnsi" w:cstheme="majorHAnsi"/>
                <w:color w:val="auto"/>
                <w:sz w:val="18"/>
                <w:szCs w:val="18"/>
              </w:rPr>
              <w:t>240</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F64312" w:rsidRDefault="00BF0E03" w:rsidP="001A558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837F58" w:rsidRDefault="00BF0E03" w:rsidP="00BC25A6">
            <w:pPr>
              <w:pStyle w:val="ListParagraph"/>
              <w:spacing w:after="0" w:line="200" w:lineRule="exact"/>
              <w:ind w:left="0"/>
              <w:rPr>
                <w:rFonts w:asciiTheme="majorHAnsi" w:eastAsia="Calibri" w:hAnsiTheme="majorHAnsi" w:cstheme="majorHAnsi"/>
                <w:sz w:val="18"/>
                <w:szCs w:val="18"/>
              </w:rPr>
            </w:pPr>
            <w:r w:rsidRPr="00837F58">
              <w:rPr>
                <w:rFonts w:asciiTheme="majorHAnsi" w:eastAsia="Calibri" w:hAnsiTheme="majorHAnsi" w:cstheme="majorHAnsi"/>
                <w:sz w:val="18"/>
                <w:szCs w:val="18"/>
              </w:rPr>
              <w:t xml:space="preserve">+ Tenderness; </w:t>
            </w:r>
            <w:r w:rsidR="00BC25A6" w:rsidRPr="00837F58">
              <w:rPr>
                <w:rFonts w:asciiTheme="majorHAnsi" w:eastAsia="Calibri" w:hAnsiTheme="majorHAnsi" w:cstheme="majorHAnsi"/>
                <w:sz w:val="18"/>
                <w:szCs w:val="18"/>
              </w:rPr>
              <w:t xml:space="preserve">DeLuca positive for pain, fatigue, weakness, endurance and in-coordination </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837F58" w:rsidRDefault="00BF0E03" w:rsidP="001A5585">
            <w:pPr>
              <w:pStyle w:val="ListParagraph"/>
              <w:spacing w:after="0" w:line="200" w:lineRule="exact"/>
              <w:ind w:left="0"/>
              <w:rPr>
                <w:rFonts w:asciiTheme="majorHAnsi" w:eastAsia="Calibri" w:hAnsiTheme="majorHAnsi" w:cstheme="majorHAnsi"/>
                <w:sz w:val="18"/>
                <w:szCs w:val="18"/>
              </w:rPr>
            </w:pPr>
            <w:r w:rsidRPr="00837F58">
              <w:rPr>
                <w:rFonts w:asciiTheme="majorHAnsi" w:eastAsia="Calibri" w:hAnsiTheme="majorHAnsi" w:cstheme="majorHAnsi"/>
                <w:sz w:val="18"/>
                <w:szCs w:val="18"/>
              </w:rPr>
              <w:t xml:space="preserve">Tenderness; </w:t>
            </w:r>
            <w:r w:rsidR="004875ED" w:rsidRPr="00837F58">
              <w:rPr>
                <w:rFonts w:asciiTheme="majorHAnsi" w:eastAsia="Calibri" w:hAnsiTheme="majorHAnsi" w:cstheme="majorHAnsi"/>
                <w:sz w:val="18"/>
                <w:szCs w:val="18"/>
              </w:rPr>
              <w:t xml:space="preserve">no </w:t>
            </w:r>
            <w:r w:rsidRPr="00837F58">
              <w:rPr>
                <w:rFonts w:asciiTheme="majorHAnsi" w:eastAsia="Calibri" w:hAnsiTheme="majorHAnsi" w:cstheme="majorHAnsi"/>
                <w:sz w:val="18"/>
                <w:szCs w:val="18"/>
              </w:rPr>
              <w:t>painful motion</w:t>
            </w:r>
          </w:p>
        </w:tc>
      </w:tr>
      <w:tr w:rsidR="00BF0E03" w:rsidRPr="00F64312" w:rsidTr="001A558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0E03" w:rsidRPr="00F64312" w:rsidRDefault="00BF0E03" w:rsidP="001A5585">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BF0E03" w:rsidRPr="00837F58" w:rsidRDefault="0038422A" w:rsidP="00583557">
            <w:pPr>
              <w:pStyle w:val="ListParagraph"/>
              <w:spacing w:after="0" w:line="200" w:lineRule="exact"/>
              <w:ind w:left="0"/>
              <w:rPr>
                <w:rFonts w:asciiTheme="majorHAnsi" w:eastAsia="Calibri" w:hAnsiTheme="majorHAnsi" w:cstheme="majorHAnsi"/>
                <w:sz w:val="18"/>
                <w:szCs w:val="18"/>
              </w:rPr>
            </w:pPr>
            <w:r w:rsidRPr="00837F58">
              <w:rPr>
                <w:rFonts w:asciiTheme="majorHAnsi" w:eastAsia="Calibri" w:hAnsiTheme="majorHAnsi" w:cstheme="majorHAnsi"/>
                <w:sz w:val="18"/>
                <w:szCs w:val="18"/>
              </w:rPr>
              <w:t>1</w:t>
            </w:r>
            <w:r w:rsidR="00BF0E03" w:rsidRPr="00837F58">
              <w:rPr>
                <w:rFonts w:asciiTheme="majorHAnsi" w:eastAsia="Calibri" w:hAnsiTheme="majorHAnsi" w:cstheme="majorHAnsi"/>
                <w:sz w:val="18"/>
                <w:szCs w:val="18"/>
              </w:rPr>
              <w:t>0%</w:t>
            </w:r>
            <w:r w:rsidRPr="00837F58">
              <w:rPr>
                <w:rFonts w:asciiTheme="majorHAnsi" w:eastAsia="Calibri" w:hAnsiTheme="majorHAnsi" w:cstheme="majorHAnsi"/>
                <w:sz w:val="18"/>
                <w:szCs w:val="18"/>
              </w:rPr>
              <w:t xml:space="preserve"> (for </w:t>
            </w:r>
            <w:r w:rsidR="00583557" w:rsidRPr="00837F58">
              <w:rPr>
                <w:rFonts w:asciiTheme="majorHAnsi" w:eastAsia="Calibri" w:hAnsiTheme="majorHAnsi" w:cstheme="majorHAnsi"/>
                <w:sz w:val="18"/>
                <w:szCs w:val="18"/>
              </w:rPr>
              <w:t>combined ROM)</w:t>
            </w:r>
          </w:p>
        </w:tc>
        <w:tc>
          <w:tcPr>
            <w:tcW w:w="2428" w:type="dxa"/>
            <w:tcBorders>
              <w:top w:val="single" w:sz="4" w:space="0" w:color="000000"/>
              <w:left w:val="single" w:sz="4" w:space="0" w:color="000000"/>
              <w:bottom w:val="single" w:sz="4" w:space="0" w:color="000000"/>
              <w:right w:val="single" w:sz="4" w:space="0" w:color="000000"/>
            </w:tcBorders>
            <w:vAlign w:val="center"/>
          </w:tcPr>
          <w:p w:rsidR="00BF0E03" w:rsidRPr="00837F58" w:rsidRDefault="00BF0E03" w:rsidP="0004754F">
            <w:pPr>
              <w:pStyle w:val="ListParagraph"/>
              <w:spacing w:after="0" w:line="200" w:lineRule="exact"/>
              <w:ind w:left="0"/>
              <w:rPr>
                <w:rFonts w:asciiTheme="majorHAnsi" w:eastAsia="Calibri" w:hAnsiTheme="majorHAnsi" w:cstheme="majorHAnsi"/>
                <w:sz w:val="18"/>
                <w:szCs w:val="18"/>
              </w:rPr>
            </w:pPr>
            <w:r w:rsidRPr="00837F58">
              <w:rPr>
                <w:rFonts w:asciiTheme="majorHAnsi" w:eastAsia="Calibri" w:hAnsiTheme="majorHAnsi" w:cstheme="majorHAnsi"/>
                <w:sz w:val="18"/>
                <w:szCs w:val="18"/>
              </w:rPr>
              <w:t>0%</w:t>
            </w:r>
          </w:p>
        </w:tc>
      </w:tr>
    </w:tbl>
    <w:p w:rsidR="0038422A" w:rsidRDefault="0038422A" w:rsidP="0069687C">
      <w:pPr>
        <w:jc w:val="both"/>
        <w:rPr>
          <w:color w:val="auto"/>
          <w:szCs w:val="24"/>
        </w:rPr>
      </w:pPr>
    </w:p>
    <w:p w:rsidR="00813B4F" w:rsidRDefault="0038422A" w:rsidP="00241B01">
      <w:pPr>
        <w:jc w:val="both"/>
        <w:rPr>
          <w:color w:val="auto"/>
          <w:szCs w:val="24"/>
        </w:rPr>
      </w:pPr>
      <w:r w:rsidRPr="0038422A">
        <w:rPr>
          <w:color w:val="auto"/>
        </w:rPr>
        <w:t>Per t</w:t>
      </w:r>
      <w:r w:rsidR="007053EC" w:rsidRPr="0038422A">
        <w:rPr>
          <w:color w:val="auto"/>
        </w:rPr>
        <w:t xml:space="preserve">he </w:t>
      </w:r>
      <w:r w:rsidR="0086040E" w:rsidRPr="005E1E53">
        <w:rPr>
          <w:color w:val="auto"/>
        </w:rPr>
        <w:t xml:space="preserve">MEB </w:t>
      </w:r>
      <w:r w:rsidR="000B047E">
        <w:rPr>
          <w:color w:val="auto"/>
        </w:rPr>
        <w:t>narrative summary (</w:t>
      </w:r>
      <w:r w:rsidR="0086040E" w:rsidRPr="005E1E53">
        <w:rPr>
          <w:color w:val="auto"/>
        </w:rPr>
        <w:t>NARSUM</w:t>
      </w:r>
      <w:r w:rsidR="000B047E">
        <w:rPr>
          <w:color w:val="auto"/>
        </w:rPr>
        <w:t>)</w:t>
      </w:r>
      <w:r w:rsidR="0086040E" w:rsidRPr="005E1E53">
        <w:rPr>
          <w:color w:val="auto"/>
        </w:rPr>
        <w:t xml:space="preserve">, </w:t>
      </w:r>
      <w:r w:rsidR="005F2BEC">
        <w:rPr>
          <w:color w:val="auto"/>
        </w:rPr>
        <w:t xml:space="preserve">dictated </w:t>
      </w:r>
      <w:r w:rsidR="0086040E" w:rsidRPr="005E1E53">
        <w:rPr>
          <w:color w:val="auto"/>
        </w:rPr>
        <w:t>16 March 2009</w:t>
      </w:r>
      <w:r w:rsidR="000B047E">
        <w:rPr>
          <w:color w:val="auto"/>
        </w:rPr>
        <w:t>,</w:t>
      </w:r>
      <w:r w:rsidR="0086040E">
        <w:rPr>
          <w:color w:val="auto"/>
        </w:rPr>
        <w:t xml:space="preserve"> </w:t>
      </w:r>
      <w:r>
        <w:rPr>
          <w:color w:val="auto"/>
        </w:rPr>
        <w:t xml:space="preserve">the CI first noted back pain in 2005 during basic training and thoracic spine pain in 2006 during field training.  He did not seek treatment for these episodes.  He did well afterwards until he deployed </w:t>
      </w:r>
      <w:r w:rsidR="00EC7AEA">
        <w:rPr>
          <w:color w:val="auto"/>
        </w:rPr>
        <w:t xml:space="preserve">in October 2006.  He noted the onset of mid-back pain after carrying the combat load almost immediately, but denied a specific inciting event including trauma.  Despite his pain, he was able to complete his tour and his duties.  He did take non-steroidal anti-inflammatory drugs (NSAIDs) for analgesia.  </w:t>
      </w:r>
      <w:r w:rsidR="005822BD">
        <w:rPr>
          <w:color w:val="auto"/>
        </w:rPr>
        <w:t xml:space="preserve">His pain persisted following his return from deployment </w:t>
      </w:r>
      <w:r w:rsidR="007D5E9E">
        <w:rPr>
          <w:color w:val="auto"/>
        </w:rPr>
        <w:t>leading to further evaluation.  Plain</w:t>
      </w:r>
      <w:r w:rsidR="000B047E">
        <w:rPr>
          <w:color w:val="auto"/>
        </w:rPr>
        <w:t xml:space="preserve"> film imaging was normal, but a</w:t>
      </w:r>
      <w:r w:rsidR="007D5E9E">
        <w:rPr>
          <w:color w:val="auto"/>
        </w:rPr>
        <w:t xml:space="preserve"> </w:t>
      </w:r>
      <w:r w:rsidR="000B047E">
        <w:rPr>
          <w:color w:val="auto"/>
        </w:rPr>
        <w:t xml:space="preserve">magnetic resonance image </w:t>
      </w:r>
      <w:r w:rsidR="007D5E9E">
        <w:rPr>
          <w:color w:val="auto"/>
        </w:rPr>
        <w:t xml:space="preserve">showed slight scoliosis, degenerative disc disease and a small bulging disc at T10-11.  Physical therapy </w:t>
      </w:r>
      <w:r w:rsidR="00D87921">
        <w:rPr>
          <w:color w:val="auto"/>
        </w:rPr>
        <w:t xml:space="preserve">and chiropractic treatment </w:t>
      </w:r>
      <w:r w:rsidR="007D5E9E">
        <w:rPr>
          <w:color w:val="auto"/>
        </w:rPr>
        <w:t>provided minimal improvement as did trials of various NSAIDs</w:t>
      </w:r>
      <w:r w:rsidR="0051101E">
        <w:rPr>
          <w:color w:val="auto"/>
        </w:rPr>
        <w:t xml:space="preserve"> and duty limitation</w:t>
      </w:r>
      <w:r w:rsidR="007D5E9E">
        <w:rPr>
          <w:color w:val="auto"/>
        </w:rPr>
        <w:t xml:space="preserve">.  He remained symptomatic </w:t>
      </w:r>
      <w:r w:rsidR="003A37C3">
        <w:rPr>
          <w:color w:val="auto"/>
        </w:rPr>
        <w:t xml:space="preserve">from </w:t>
      </w:r>
      <w:r w:rsidR="007D5E9E">
        <w:rPr>
          <w:color w:val="auto"/>
        </w:rPr>
        <w:t xml:space="preserve">carrying weight on his back and from lifting and was referred to MEB.  </w:t>
      </w:r>
      <w:r w:rsidR="00CF0280" w:rsidRPr="00F64312">
        <w:rPr>
          <w:color w:val="auto"/>
          <w:szCs w:val="24"/>
        </w:rPr>
        <w:t xml:space="preserve">At the MEB </w:t>
      </w:r>
      <w:r w:rsidR="007D5E9E">
        <w:rPr>
          <w:color w:val="auto"/>
          <w:szCs w:val="24"/>
        </w:rPr>
        <w:t xml:space="preserve">separation </w:t>
      </w:r>
      <w:r w:rsidR="00CF0280" w:rsidRPr="005E1E53">
        <w:rPr>
          <w:color w:val="auto"/>
          <w:szCs w:val="24"/>
        </w:rPr>
        <w:t xml:space="preserve">exam </w:t>
      </w:r>
      <w:r w:rsidR="005F2BEC">
        <w:rPr>
          <w:color w:val="auto"/>
          <w:szCs w:val="24"/>
        </w:rPr>
        <w:t xml:space="preserve">on </w:t>
      </w:r>
      <w:r w:rsidR="0086040E" w:rsidRPr="005E1E53">
        <w:rPr>
          <w:color w:val="auto"/>
          <w:szCs w:val="24"/>
        </w:rPr>
        <w:t xml:space="preserve">26 January 2009, </w:t>
      </w:r>
      <w:r w:rsidR="005F2BEC">
        <w:rPr>
          <w:color w:val="auto"/>
          <w:szCs w:val="24"/>
        </w:rPr>
        <w:t>7</w:t>
      </w:r>
      <w:r w:rsidR="0051101E">
        <w:rPr>
          <w:color w:val="auto"/>
          <w:szCs w:val="24"/>
        </w:rPr>
        <w:t xml:space="preserve"> months prior to separation, </w:t>
      </w:r>
      <w:r w:rsidR="00CF0280" w:rsidRPr="00F64312">
        <w:rPr>
          <w:color w:val="auto"/>
          <w:szCs w:val="24"/>
        </w:rPr>
        <w:t>the CI reported</w:t>
      </w:r>
      <w:r w:rsidR="0051101E">
        <w:rPr>
          <w:color w:val="auto"/>
          <w:szCs w:val="24"/>
        </w:rPr>
        <w:t xml:space="preserve"> back pain without further elaboration.  </w:t>
      </w:r>
      <w:r w:rsidR="00CF0280" w:rsidRPr="00F64312">
        <w:rPr>
          <w:color w:val="auto"/>
          <w:szCs w:val="24"/>
        </w:rPr>
        <w:t>The exam</w:t>
      </w:r>
      <w:r w:rsidR="0051101E">
        <w:rPr>
          <w:color w:val="auto"/>
          <w:szCs w:val="24"/>
        </w:rPr>
        <w:t>iner</w:t>
      </w:r>
      <w:r w:rsidR="00CF0280" w:rsidRPr="00F64312">
        <w:rPr>
          <w:color w:val="auto"/>
          <w:szCs w:val="24"/>
        </w:rPr>
        <w:t xml:space="preserve"> noted</w:t>
      </w:r>
      <w:r w:rsidR="0051101E">
        <w:rPr>
          <w:color w:val="auto"/>
          <w:szCs w:val="24"/>
        </w:rPr>
        <w:t xml:space="preserve"> scoliosis.  </w:t>
      </w:r>
      <w:r w:rsidR="0009100D">
        <w:rPr>
          <w:color w:val="auto"/>
          <w:szCs w:val="24"/>
        </w:rPr>
        <w:t xml:space="preserve">At the time of the NARSUM, </w:t>
      </w:r>
      <w:r w:rsidR="005F2BEC">
        <w:rPr>
          <w:color w:val="auto"/>
          <w:szCs w:val="24"/>
        </w:rPr>
        <w:t xml:space="preserve">5 </w:t>
      </w:r>
      <w:r w:rsidR="0009100D">
        <w:rPr>
          <w:color w:val="auto"/>
          <w:szCs w:val="24"/>
        </w:rPr>
        <w:t xml:space="preserve">months prior to separation, the CI reported daily pain which ranged from 3-7/10 in intensity, the latter occurring </w:t>
      </w:r>
      <w:r w:rsidR="005F2BEC">
        <w:rPr>
          <w:color w:val="auto"/>
          <w:szCs w:val="24"/>
        </w:rPr>
        <w:t>3</w:t>
      </w:r>
      <w:r w:rsidR="0009100D">
        <w:rPr>
          <w:color w:val="auto"/>
          <w:szCs w:val="24"/>
        </w:rPr>
        <w:t xml:space="preserve"> to </w:t>
      </w:r>
      <w:r w:rsidR="005F2BEC">
        <w:rPr>
          <w:color w:val="auto"/>
          <w:szCs w:val="24"/>
        </w:rPr>
        <w:t>4</w:t>
      </w:r>
      <w:r w:rsidR="0009100D">
        <w:rPr>
          <w:color w:val="auto"/>
          <w:szCs w:val="24"/>
        </w:rPr>
        <w:t xml:space="preserve"> times a month.  The pain was described as a dull ache with occasional lateral extension</w:t>
      </w:r>
      <w:r w:rsidR="00BC25A6">
        <w:rPr>
          <w:color w:val="auto"/>
          <w:szCs w:val="24"/>
        </w:rPr>
        <w:t>, but without radicular symptoms</w:t>
      </w:r>
      <w:r w:rsidR="0009100D">
        <w:rPr>
          <w:color w:val="auto"/>
          <w:szCs w:val="24"/>
        </w:rPr>
        <w:t xml:space="preserve">.  </w:t>
      </w:r>
      <w:r w:rsidR="00BC25A6">
        <w:rPr>
          <w:color w:val="auto"/>
          <w:szCs w:val="24"/>
        </w:rPr>
        <w:t>He had recently stopped running.  The pain</w:t>
      </w:r>
      <w:r w:rsidR="0009100D">
        <w:rPr>
          <w:color w:val="auto"/>
          <w:szCs w:val="24"/>
        </w:rPr>
        <w:t xml:space="preserve"> was aggravated by carrying any weight on his back and limited him to lifting 20-30 pounds.  He noted that NSAIDs were no longer beneficial, but that a heating pad did help.  </w:t>
      </w:r>
      <w:r w:rsidR="00BC25A6">
        <w:rPr>
          <w:color w:val="auto"/>
          <w:szCs w:val="24"/>
        </w:rPr>
        <w:t xml:space="preserve">Walking was unrestricted.  He had been limited to administrative duties.  </w:t>
      </w:r>
      <w:r w:rsidR="0051101E">
        <w:rPr>
          <w:color w:val="auto"/>
          <w:szCs w:val="24"/>
        </w:rPr>
        <w:t>The examiner docume</w:t>
      </w:r>
      <w:r w:rsidR="0009100D">
        <w:rPr>
          <w:color w:val="auto"/>
          <w:szCs w:val="24"/>
        </w:rPr>
        <w:t>nted that the CI sat comfortably</w:t>
      </w:r>
      <w:r w:rsidR="0051101E">
        <w:rPr>
          <w:color w:val="auto"/>
          <w:szCs w:val="24"/>
        </w:rPr>
        <w:t xml:space="preserve"> and was able to transition from sitting to the exam table without difficulty or distress.  The gait was antalgic.  Trace scoliosis was noted on examination.  There was no tenderness to palpation or spasm on exam.  </w:t>
      </w:r>
      <w:r w:rsidR="00BC25A6">
        <w:rPr>
          <w:color w:val="auto"/>
          <w:szCs w:val="24"/>
        </w:rPr>
        <w:t xml:space="preserve">He had full ROM with pain at end range especially with rotation.  There were no signs of radiculopathy.  </w:t>
      </w:r>
      <w:r w:rsidR="00CF0280" w:rsidRPr="00F64312">
        <w:rPr>
          <w:color w:val="auto"/>
          <w:szCs w:val="24"/>
        </w:rPr>
        <w:t xml:space="preserve">At the VA Compensation and Pension (C&amp;P) </w:t>
      </w:r>
      <w:r w:rsidR="00CF0280" w:rsidRPr="001C2270">
        <w:rPr>
          <w:color w:val="auto"/>
          <w:szCs w:val="24"/>
        </w:rPr>
        <w:t>exam</w:t>
      </w:r>
      <w:r w:rsidR="00BC25A6">
        <w:rPr>
          <w:color w:val="auto"/>
          <w:szCs w:val="24"/>
        </w:rPr>
        <w:t xml:space="preserve">, </w:t>
      </w:r>
      <w:r w:rsidR="005F2BEC">
        <w:rPr>
          <w:color w:val="auto"/>
          <w:szCs w:val="24"/>
        </w:rPr>
        <w:t>performed 2</w:t>
      </w:r>
      <w:r w:rsidR="00BC25A6">
        <w:rPr>
          <w:color w:val="auto"/>
          <w:szCs w:val="24"/>
        </w:rPr>
        <w:t xml:space="preserve"> months</w:t>
      </w:r>
      <w:r w:rsidR="00ED7820" w:rsidRPr="001C2270">
        <w:rPr>
          <w:color w:val="auto"/>
          <w:szCs w:val="24"/>
        </w:rPr>
        <w:t xml:space="preserve"> after</w:t>
      </w:r>
      <w:r w:rsidR="00ED7820">
        <w:rPr>
          <w:color w:val="auto"/>
          <w:szCs w:val="24"/>
        </w:rPr>
        <w:t xml:space="preserve"> separation</w:t>
      </w:r>
      <w:r w:rsidR="0009100D">
        <w:rPr>
          <w:color w:val="auto"/>
          <w:szCs w:val="24"/>
        </w:rPr>
        <w:t xml:space="preserve">, </w:t>
      </w:r>
      <w:r w:rsidR="00BC25A6">
        <w:rPr>
          <w:color w:val="auto"/>
          <w:szCs w:val="24"/>
        </w:rPr>
        <w:t xml:space="preserve">the CI noted that he had back pain daily since separation.  </w:t>
      </w:r>
      <w:r w:rsidR="00D87921">
        <w:rPr>
          <w:color w:val="auto"/>
          <w:szCs w:val="24"/>
        </w:rPr>
        <w:t xml:space="preserve">He denied any incapacitation in the prior 12 </w:t>
      </w:r>
      <w:r w:rsidR="00D87921" w:rsidRPr="003A37C3">
        <w:rPr>
          <w:color w:val="auto"/>
          <w:szCs w:val="24"/>
        </w:rPr>
        <w:t>months.  Gait was noted to be normal.</w:t>
      </w:r>
      <w:r w:rsidR="00D87921">
        <w:rPr>
          <w:color w:val="auto"/>
          <w:szCs w:val="24"/>
        </w:rPr>
        <w:t xml:space="preserve">  </w:t>
      </w:r>
      <w:r w:rsidR="003A37C3">
        <w:rPr>
          <w:color w:val="auto"/>
          <w:szCs w:val="24"/>
        </w:rPr>
        <w:t xml:space="preserve">There was no spasm, guarding or tenderness.  The sensory, motor and deep tendon reflex exams were normal.  The straight leg raise was normal.  </w:t>
      </w:r>
      <w:r w:rsidR="000B047E">
        <w:rPr>
          <w:color w:val="auto"/>
          <w:szCs w:val="24"/>
        </w:rPr>
        <w:t>ROM</w:t>
      </w:r>
      <w:r w:rsidR="0086040E" w:rsidRPr="005E1E53">
        <w:rPr>
          <w:color w:val="auto"/>
          <w:szCs w:val="24"/>
        </w:rPr>
        <w:t xml:space="preserve"> was normal.</w:t>
      </w:r>
      <w:r w:rsidR="005E1E53">
        <w:rPr>
          <w:color w:val="auto"/>
          <w:szCs w:val="24"/>
        </w:rPr>
        <w:t xml:space="preserve">  There was no pain with motion.  </w:t>
      </w:r>
    </w:p>
    <w:p w:rsidR="005F2BEC" w:rsidRDefault="005F2BEC" w:rsidP="00241B01">
      <w:pPr>
        <w:jc w:val="both"/>
        <w:rPr>
          <w:rFonts w:cs="Times New Roman"/>
          <w:color w:val="auto"/>
        </w:rPr>
      </w:pPr>
    </w:p>
    <w:p w:rsidR="00813B4F" w:rsidRPr="00950914" w:rsidRDefault="00AD2379" w:rsidP="00241B01">
      <w:pPr>
        <w:jc w:val="both"/>
        <w:rPr>
          <w:rFonts w:cs="Times New Roman"/>
          <w:color w:val="auto"/>
        </w:rPr>
      </w:pPr>
      <w:r w:rsidRPr="00F64312">
        <w:rPr>
          <w:rFonts w:cs="Times New Roman"/>
          <w:color w:val="auto"/>
        </w:rPr>
        <w:lastRenderedPageBreak/>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CE7212">
        <w:rPr>
          <w:rFonts w:cs="Times New Roman"/>
          <w:color w:val="auto"/>
        </w:rPr>
        <w:t xml:space="preserve">  </w:t>
      </w:r>
      <w:r w:rsidR="00E220AF">
        <w:rPr>
          <w:rFonts w:cs="Times New Roman"/>
          <w:color w:val="auto"/>
        </w:rPr>
        <w:t xml:space="preserve">Although the PEB </w:t>
      </w:r>
      <w:r w:rsidR="00CE7212">
        <w:rPr>
          <w:rFonts w:cs="Times New Roman"/>
          <w:color w:val="auto"/>
        </w:rPr>
        <w:t xml:space="preserve">DA 199 </w:t>
      </w:r>
      <w:r w:rsidR="00E220AF">
        <w:rPr>
          <w:rFonts w:cs="Times New Roman"/>
          <w:color w:val="auto"/>
        </w:rPr>
        <w:t xml:space="preserve">form described </w:t>
      </w:r>
      <w:r w:rsidR="00E220AF" w:rsidRPr="00950914">
        <w:rPr>
          <w:rFonts w:cs="Times New Roman"/>
          <w:color w:val="auto"/>
        </w:rPr>
        <w:t xml:space="preserve">the back strain as lumbosacral rather than thoracic strain this did not affect the rating determination since </w:t>
      </w:r>
      <w:r w:rsidR="00CE7212">
        <w:rPr>
          <w:rFonts w:cs="Times New Roman"/>
          <w:color w:val="auto"/>
        </w:rPr>
        <w:t xml:space="preserve">the </w:t>
      </w:r>
      <w:r w:rsidR="00E220AF" w:rsidRPr="00950914">
        <w:rPr>
          <w:rFonts w:cs="Times New Roman"/>
          <w:color w:val="auto"/>
        </w:rPr>
        <w:t xml:space="preserve">thoracolumbar spine is rated as a single unit under the </w:t>
      </w:r>
      <w:r w:rsidR="00CE7212">
        <w:rPr>
          <w:rFonts w:cs="Times New Roman"/>
          <w:color w:val="auto"/>
        </w:rPr>
        <w:t xml:space="preserve">VASRD </w:t>
      </w:r>
      <w:r w:rsidR="00E220AF" w:rsidRPr="00950914">
        <w:rPr>
          <w:rFonts w:cs="Times New Roman"/>
          <w:color w:val="auto"/>
        </w:rPr>
        <w:t>general rating formula for diseases and injuries</w:t>
      </w:r>
      <w:r w:rsidR="00E220AF">
        <w:rPr>
          <w:color w:val="auto"/>
        </w:rPr>
        <w:t xml:space="preserve"> of the spine.</w:t>
      </w:r>
      <w:r w:rsidR="00950914">
        <w:rPr>
          <w:color w:val="auto"/>
        </w:rPr>
        <w:t xml:space="preserve">  </w:t>
      </w:r>
      <w:r w:rsidR="003A37C3">
        <w:rPr>
          <w:rFonts w:cs="Times New Roman"/>
          <w:color w:val="auto"/>
        </w:rPr>
        <w:t xml:space="preserve">The PEB rated the </w:t>
      </w:r>
      <w:r w:rsidR="00813B4F">
        <w:rPr>
          <w:rFonts w:cs="Times New Roman"/>
          <w:color w:val="auto"/>
        </w:rPr>
        <w:t xml:space="preserve">thoracic spin pain </w:t>
      </w:r>
      <w:r w:rsidR="003A37C3">
        <w:rPr>
          <w:rFonts w:cs="Times New Roman"/>
          <w:color w:val="auto"/>
        </w:rPr>
        <w:t xml:space="preserve">condition at 10% </w:t>
      </w:r>
      <w:r w:rsidR="00BF0A43">
        <w:rPr>
          <w:rFonts w:cs="Times New Roman"/>
          <w:color w:val="auto"/>
        </w:rPr>
        <w:t>for painful motion</w:t>
      </w:r>
      <w:r w:rsidR="00813B4F">
        <w:rPr>
          <w:rFonts w:cs="Times New Roman"/>
          <w:color w:val="auto"/>
        </w:rPr>
        <w:t xml:space="preserve"> coded 5237 (cervical or lumbosacral strain).</w:t>
      </w:r>
      <w:r w:rsidR="00E220AF">
        <w:rPr>
          <w:rFonts w:cs="Times New Roman"/>
          <w:color w:val="auto"/>
        </w:rPr>
        <w:t xml:space="preserve">  The MEB examination also met the 10% rating based on limited combined ROM.  </w:t>
      </w:r>
      <w:r w:rsidR="004875ED">
        <w:rPr>
          <w:rFonts w:cs="Times New Roman"/>
          <w:color w:val="auto"/>
        </w:rPr>
        <w:t xml:space="preserve">The VA </w:t>
      </w:r>
      <w:r w:rsidR="00950914">
        <w:rPr>
          <w:rFonts w:cs="Times New Roman"/>
          <w:color w:val="auto"/>
        </w:rPr>
        <w:t xml:space="preserve">rated the condition 0% based on the C&amp;P examination showing normal ROM, coded 5239, spondylolisthesis.  </w:t>
      </w:r>
      <w:r w:rsidR="004875ED">
        <w:rPr>
          <w:rFonts w:cs="Times New Roman"/>
          <w:color w:val="auto"/>
        </w:rPr>
        <w:t xml:space="preserve">The Board noted that the rating criteria for the two coding options chosen </w:t>
      </w:r>
      <w:r w:rsidR="004875ED" w:rsidRPr="00C85E02">
        <w:rPr>
          <w:rFonts w:cs="Times New Roman"/>
          <w:color w:val="auto"/>
        </w:rPr>
        <w:t>are identical</w:t>
      </w:r>
      <w:r w:rsidR="00C3016B">
        <w:rPr>
          <w:rFonts w:cs="Times New Roman"/>
          <w:color w:val="auto"/>
        </w:rPr>
        <w:t xml:space="preserve"> and that no other coding option provides an advantage to the CI</w:t>
      </w:r>
      <w:r w:rsidR="00C85E02" w:rsidRPr="00C85E02">
        <w:rPr>
          <w:rFonts w:cs="Times New Roman"/>
          <w:color w:val="auto"/>
        </w:rPr>
        <w:t>.</w:t>
      </w:r>
      <w:r w:rsidR="00CE7212">
        <w:rPr>
          <w:rFonts w:cs="Times New Roman"/>
          <w:color w:val="auto"/>
        </w:rPr>
        <w:t xml:space="preserve">  </w:t>
      </w:r>
      <w:r w:rsidR="00950914">
        <w:rPr>
          <w:rFonts w:cs="Times New Roman"/>
          <w:color w:val="auto"/>
        </w:rPr>
        <w:t>Although the VA C&amp;P examination supporting a 0% rating was considered a thorough examination and was more proximate to separation,</w:t>
      </w:r>
      <w:r w:rsidR="00C85E02" w:rsidRPr="00C85E02">
        <w:rPr>
          <w:rFonts w:cs="Times New Roman"/>
          <w:color w:val="auto"/>
        </w:rPr>
        <w:t xml:space="preserve"> </w:t>
      </w:r>
      <w:r w:rsidR="00950914">
        <w:rPr>
          <w:rFonts w:cs="Times New Roman"/>
          <w:color w:val="auto"/>
        </w:rPr>
        <w:t xml:space="preserve">the Board does not recommend combined ratings less than that of the PEB.  </w:t>
      </w:r>
      <w:r w:rsidR="00626902" w:rsidRPr="00950914">
        <w:rPr>
          <w:rFonts w:cs="Times New Roman"/>
          <w:color w:val="auto"/>
        </w:rPr>
        <w:t>After due deliberation, considering all of the evidence and mindful of VASRD §4.3 (reasonable doubt)</w:t>
      </w:r>
      <w:r w:rsidR="004875ED" w:rsidRPr="00950914">
        <w:rPr>
          <w:rFonts w:cs="Times New Roman"/>
          <w:color w:val="auto"/>
        </w:rPr>
        <w:t xml:space="preserve"> </w:t>
      </w:r>
      <w:r w:rsidR="00626902" w:rsidRPr="00950914">
        <w:rPr>
          <w:rFonts w:cs="Times New Roman"/>
          <w:color w:val="auto"/>
        </w:rPr>
        <w:t xml:space="preserve">the Board concluded that there was insufficient cause to recommend a change in the PEB adjudication for the </w:t>
      </w:r>
      <w:r w:rsidR="004875ED" w:rsidRPr="00950914">
        <w:rPr>
          <w:rFonts w:cs="Times New Roman"/>
          <w:color w:val="auto"/>
        </w:rPr>
        <w:t>back</w:t>
      </w:r>
      <w:r w:rsidR="00077DBB" w:rsidRPr="00950914">
        <w:rPr>
          <w:rFonts w:cs="Times New Roman"/>
          <w:color w:val="auto"/>
        </w:rPr>
        <w:t xml:space="preserve"> </w:t>
      </w:r>
      <w:r w:rsidR="00626902" w:rsidRPr="00950914">
        <w:rPr>
          <w:rFonts w:cs="Times New Roman"/>
          <w:color w:val="auto"/>
        </w:rPr>
        <w:t>condition</w:t>
      </w:r>
      <w:r w:rsidR="00C85E02" w:rsidRPr="00950914">
        <w:rPr>
          <w:rFonts w:cs="Times New Roman"/>
          <w:color w:val="auto"/>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D86733" w:rsidRPr="00F64312">
        <w:rPr>
          <w:rFonts w:eastAsia="Calibri" w:cs="Times New Roman"/>
          <w:color w:val="auto"/>
          <w:szCs w:val="24"/>
        </w:rPr>
        <w:t xml:space="preserve">In the matter of the </w:t>
      </w:r>
      <w:r w:rsidR="00D86733">
        <w:rPr>
          <w:rFonts w:eastAsia="Calibri" w:cs="Times New Roman"/>
          <w:color w:val="auto"/>
          <w:szCs w:val="24"/>
        </w:rPr>
        <w:t>back</w:t>
      </w:r>
      <w:r w:rsidR="00CE7212">
        <w:rPr>
          <w:rFonts w:eastAsia="Calibri" w:cs="Times New Roman"/>
          <w:color w:val="auto"/>
          <w:szCs w:val="24"/>
        </w:rPr>
        <w:t xml:space="preserve"> pain</w:t>
      </w:r>
      <w:r w:rsidR="00D86733" w:rsidRPr="00F64312">
        <w:rPr>
          <w:rFonts w:eastAsia="Calibri" w:cs="Times New Roman"/>
          <w:color w:val="auto"/>
          <w:szCs w:val="24"/>
        </w:rPr>
        <w:t xml:space="preserve"> condition and IAW VASRD §</w:t>
      </w:r>
      <w:r w:rsidR="00D86733" w:rsidRPr="00521C71">
        <w:rPr>
          <w:rFonts w:eastAsia="Calibri" w:cs="Times New Roman"/>
          <w:color w:val="auto"/>
          <w:szCs w:val="24"/>
        </w:rPr>
        <w:t>4.71a, the Board unanimously</w:t>
      </w:r>
      <w:r w:rsidR="00D86733" w:rsidRPr="00F64312">
        <w:rPr>
          <w:rFonts w:eastAsia="Calibri" w:cs="Times New Roman"/>
          <w:color w:val="auto"/>
          <w:szCs w:val="24"/>
        </w:rPr>
        <w:t xml:space="preserve"> recommends no change in the PEB adjudication.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C85E02" w:rsidRPr="00F64312">
        <w:rPr>
          <w:color w:val="auto"/>
        </w:rPr>
        <w:t xml:space="preserve">The Board, therefore, recommends that there be no recharacterization of the CI’s disability and separation determination, as follows: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21C71" w:rsidTr="006B690F">
        <w:trPr>
          <w:trHeight w:val="233"/>
          <w:jc w:val="center"/>
        </w:trPr>
        <w:tc>
          <w:tcPr>
            <w:tcW w:w="6768" w:type="dxa"/>
            <w:shd w:val="clear" w:color="auto" w:fill="D9D9D9"/>
            <w:vAlign w:val="center"/>
          </w:tcPr>
          <w:p w:rsidR="00AD2379" w:rsidRPr="00521C71" w:rsidRDefault="00AD2379" w:rsidP="006B690F">
            <w:pPr>
              <w:tabs>
                <w:tab w:val="left" w:pos="288"/>
                <w:tab w:val="left" w:pos="4752"/>
              </w:tabs>
              <w:rPr>
                <w:b/>
                <w:color w:val="auto"/>
              </w:rPr>
            </w:pPr>
            <w:r w:rsidRPr="00521C71">
              <w:rPr>
                <w:b/>
                <w:color w:val="auto"/>
              </w:rPr>
              <w:t>UNFITTING CONDITION</w:t>
            </w:r>
          </w:p>
        </w:tc>
        <w:tc>
          <w:tcPr>
            <w:tcW w:w="1530" w:type="dxa"/>
            <w:shd w:val="clear" w:color="auto" w:fill="D9D9D9"/>
            <w:vAlign w:val="center"/>
          </w:tcPr>
          <w:p w:rsidR="00AD2379" w:rsidRPr="00521C71" w:rsidRDefault="00AD2379" w:rsidP="006B690F">
            <w:pPr>
              <w:tabs>
                <w:tab w:val="left" w:pos="288"/>
                <w:tab w:val="left" w:pos="4752"/>
              </w:tabs>
              <w:rPr>
                <w:b/>
                <w:color w:val="auto"/>
              </w:rPr>
            </w:pPr>
            <w:r w:rsidRPr="00521C71">
              <w:rPr>
                <w:b/>
                <w:color w:val="auto"/>
              </w:rPr>
              <w:t>VASRD CODE</w:t>
            </w:r>
          </w:p>
        </w:tc>
        <w:tc>
          <w:tcPr>
            <w:tcW w:w="1026" w:type="dxa"/>
            <w:shd w:val="clear" w:color="auto" w:fill="D9D9D9"/>
            <w:vAlign w:val="center"/>
          </w:tcPr>
          <w:p w:rsidR="00AD2379" w:rsidRPr="00521C71" w:rsidRDefault="00AD2379" w:rsidP="006B690F">
            <w:pPr>
              <w:tabs>
                <w:tab w:val="left" w:pos="288"/>
                <w:tab w:val="left" w:pos="4752"/>
              </w:tabs>
              <w:rPr>
                <w:b/>
                <w:color w:val="auto"/>
              </w:rPr>
            </w:pPr>
            <w:r w:rsidRPr="00521C71">
              <w:rPr>
                <w:b/>
                <w:color w:val="auto"/>
              </w:rPr>
              <w:t>RATING</w:t>
            </w:r>
          </w:p>
        </w:tc>
      </w:tr>
      <w:tr w:rsidR="00AD2379" w:rsidRPr="00521C71" w:rsidTr="006B690F">
        <w:trPr>
          <w:jc w:val="center"/>
        </w:trPr>
        <w:tc>
          <w:tcPr>
            <w:tcW w:w="6768" w:type="dxa"/>
            <w:vAlign w:val="center"/>
          </w:tcPr>
          <w:p w:rsidR="00AD2379" w:rsidRPr="00521C71" w:rsidRDefault="00521C71" w:rsidP="00CE7212">
            <w:pPr>
              <w:tabs>
                <w:tab w:val="left" w:pos="288"/>
                <w:tab w:val="left" w:pos="4752"/>
              </w:tabs>
              <w:jc w:val="left"/>
              <w:rPr>
                <w:color w:val="auto"/>
              </w:rPr>
            </w:pPr>
            <w:r w:rsidRPr="00521C71">
              <w:rPr>
                <w:color w:val="auto"/>
              </w:rPr>
              <w:t xml:space="preserve">Lumbosacral </w:t>
            </w:r>
            <w:r w:rsidR="00CE7212">
              <w:rPr>
                <w:color w:val="auto"/>
              </w:rPr>
              <w:t>S</w:t>
            </w:r>
            <w:r w:rsidRPr="00521C71">
              <w:rPr>
                <w:color w:val="auto"/>
              </w:rPr>
              <w:t>train</w:t>
            </w:r>
          </w:p>
        </w:tc>
        <w:tc>
          <w:tcPr>
            <w:tcW w:w="1530" w:type="dxa"/>
            <w:vAlign w:val="center"/>
          </w:tcPr>
          <w:p w:rsidR="00AD2379" w:rsidRPr="00521C71" w:rsidRDefault="00BA6DD1" w:rsidP="00521C71">
            <w:pPr>
              <w:tabs>
                <w:tab w:val="left" w:pos="288"/>
                <w:tab w:val="left" w:pos="4752"/>
              </w:tabs>
              <w:rPr>
                <w:color w:val="auto"/>
              </w:rPr>
            </w:pPr>
            <w:r w:rsidRPr="00521C71">
              <w:rPr>
                <w:color w:val="auto"/>
              </w:rPr>
              <w:t>523</w:t>
            </w:r>
            <w:r w:rsidR="00521C71" w:rsidRPr="00521C71">
              <w:rPr>
                <w:color w:val="auto"/>
              </w:rPr>
              <w:t>7</w:t>
            </w:r>
          </w:p>
        </w:tc>
        <w:tc>
          <w:tcPr>
            <w:tcW w:w="1026" w:type="dxa"/>
            <w:vAlign w:val="center"/>
          </w:tcPr>
          <w:p w:rsidR="00AD2379" w:rsidRPr="00521C71" w:rsidRDefault="00BA6DD1" w:rsidP="006B690F">
            <w:pPr>
              <w:tabs>
                <w:tab w:val="left" w:pos="288"/>
                <w:tab w:val="left" w:pos="4752"/>
              </w:tabs>
              <w:rPr>
                <w:color w:val="auto"/>
              </w:rPr>
            </w:pPr>
            <w:r w:rsidRPr="00521C71">
              <w:rPr>
                <w:color w:val="auto"/>
              </w:rPr>
              <w:t>1</w:t>
            </w:r>
            <w:r w:rsidR="00AD2379" w:rsidRPr="00521C71">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21C71" w:rsidRDefault="00AD2379" w:rsidP="006B690F">
            <w:pPr>
              <w:tabs>
                <w:tab w:val="left" w:pos="288"/>
                <w:tab w:val="left" w:pos="4752"/>
              </w:tabs>
              <w:rPr>
                <w:b/>
                <w:color w:val="auto"/>
              </w:rPr>
            </w:pPr>
            <w:r w:rsidRPr="00521C71">
              <w:rPr>
                <w:b/>
                <w:color w:val="auto"/>
              </w:rPr>
              <w:t>COMBINED</w:t>
            </w:r>
          </w:p>
        </w:tc>
        <w:tc>
          <w:tcPr>
            <w:tcW w:w="1026" w:type="dxa"/>
            <w:shd w:val="clear" w:color="auto" w:fill="D9D9D9"/>
            <w:vAlign w:val="center"/>
          </w:tcPr>
          <w:p w:rsidR="00AD2379" w:rsidRPr="00F64312" w:rsidRDefault="00BA6DD1" w:rsidP="006B690F">
            <w:pPr>
              <w:tabs>
                <w:tab w:val="left" w:pos="288"/>
                <w:tab w:val="left" w:pos="4752"/>
              </w:tabs>
              <w:rPr>
                <w:b/>
                <w:color w:val="auto"/>
              </w:rPr>
            </w:pPr>
            <w:r w:rsidRPr="00521C71">
              <w:rPr>
                <w:b/>
                <w:color w:val="auto"/>
              </w:rPr>
              <w:t>1</w:t>
            </w:r>
            <w:r w:rsidR="00AD2379" w:rsidRPr="00521C71">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A6234">
        <w:rPr>
          <w:color w:val="auto"/>
        </w:rPr>
        <w:t>dated 20</w:t>
      </w:r>
      <w:r w:rsidR="00CA6234" w:rsidRPr="00CA6234">
        <w:rPr>
          <w:color w:val="auto"/>
        </w:rPr>
        <w:t>120315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C0643">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C0643" w:rsidRDefault="00DC0643" w:rsidP="00BF0E94">
      <w:pPr>
        <w:tabs>
          <w:tab w:val="left" w:pos="0"/>
          <w:tab w:val="left" w:pos="4320"/>
        </w:tabs>
        <w:jc w:val="both"/>
        <w:rPr>
          <w:color w:val="auto"/>
        </w:rPr>
      </w:pPr>
    </w:p>
    <w:p w:rsidR="00DC0643" w:rsidRDefault="00DC0643">
      <w:pPr>
        <w:spacing w:line="240" w:lineRule="auto"/>
        <w:jc w:val="left"/>
        <w:rPr>
          <w:color w:val="auto"/>
        </w:rPr>
      </w:pPr>
      <w:r>
        <w:rPr>
          <w:color w:val="auto"/>
        </w:rPr>
        <w:br w:type="page"/>
      </w:r>
    </w:p>
    <w:p w:rsidR="00DC0643" w:rsidRDefault="00DC0643" w:rsidP="00DC0643">
      <w:pPr>
        <w:sectPr w:rsidR="00DC0643">
          <w:pgSz w:w="12240" w:h="15840"/>
          <w:pgMar w:top="2160" w:right="1440" w:bottom="1440" w:left="1440" w:header="720" w:footer="720" w:gutter="0"/>
          <w:cols w:space="720"/>
        </w:sectPr>
      </w:pPr>
    </w:p>
    <w:p w:rsidR="00DC0643" w:rsidRDefault="00DC0643" w:rsidP="00DC0643">
      <w:pPr>
        <w:pStyle w:val="Header"/>
        <w:tabs>
          <w:tab w:val="left" w:pos="720"/>
        </w:tabs>
        <w:jc w:val="left"/>
      </w:pPr>
      <w:r>
        <w:lastRenderedPageBreak/>
        <w:t>SFMR-RB</w:t>
      </w:r>
      <w:r>
        <w:tab/>
      </w:r>
      <w:r>
        <w:tab/>
      </w:r>
      <w:r>
        <w:tab/>
      </w:r>
      <w:r>
        <w:tab/>
      </w:r>
      <w:r>
        <w:tab/>
      </w:r>
      <w:r>
        <w:tab/>
      </w:r>
      <w:r>
        <w:tab/>
      </w:r>
      <w:r>
        <w:tab/>
      </w:r>
      <w:r>
        <w:tab/>
      </w:r>
    </w:p>
    <w:p w:rsidR="00DC0643" w:rsidRDefault="00DC0643" w:rsidP="00DC0643">
      <w:pPr>
        <w:pStyle w:val="Header"/>
        <w:tabs>
          <w:tab w:val="left" w:pos="720"/>
        </w:tabs>
        <w:jc w:val="left"/>
      </w:pPr>
    </w:p>
    <w:p w:rsidR="00DC0643" w:rsidRDefault="00DC0643" w:rsidP="00DC0643">
      <w:pPr>
        <w:jc w:val="left"/>
      </w:pPr>
    </w:p>
    <w:p w:rsidR="00DC0643" w:rsidRDefault="00DC0643" w:rsidP="00DC0643">
      <w:pPr>
        <w:jc w:val="left"/>
      </w:pPr>
      <w:r>
        <w:t xml:space="preserve">MEMORANDUM FOR Commander, US Army Physical Disability Agency </w:t>
      </w:r>
    </w:p>
    <w:p w:rsidR="00DC0643" w:rsidRDefault="00DC0643" w:rsidP="00DC0643">
      <w:pPr>
        <w:jc w:val="left"/>
      </w:pPr>
      <w:r>
        <w:t xml:space="preserve">(TAPD-ZB </w:t>
      </w:r>
      <w:proofErr w:type="gramStart"/>
      <w:r>
        <w:t>/  )</w:t>
      </w:r>
      <w:proofErr w:type="gramEnd"/>
      <w:r>
        <w:t>, 2900 Crystal Drive, Suite 300, Arlington, VA  22202-3557</w:t>
      </w:r>
    </w:p>
    <w:p w:rsidR="00DC0643" w:rsidRDefault="00DC0643" w:rsidP="00DC0643">
      <w:pPr>
        <w:jc w:val="left"/>
      </w:pPr>
    </w:p>
    <w:p w:rsidR="00DC0643" w:rsidRDefault="00DC0643" w:rsidP="00DC0643">
      <w:pPr>
        <w:ind w:right="-180"/>
        <w:jc w:val="left"/>
      </w:pPr>
      <w:r>
        <w:t>SUBJECT:  Department of Defense Physical Disability Board of Review Recommendation for XXXXXXXXXXXXXXXXXXXX, AR20120019972 (PD201200327)\</w:t>
      </w:r>
    </w:p>
    <w:p w:rsidR="00DC0643" w:rsidRDefault="00DC0643" w:rsidP="00DC0643">
      <w:pPr>
        <w:pStyle w:val="Header"/>
        <w:tabs>
          <w:tab w:val="left" w:pos="720"/>
        </w:tabs>
        <w:jc w:val="left"/>
      </w:pPr>
    </w:p>
    <w:p w:rsidR="00DC0643" w:rsidRDefault="00DC0643" w:rsidP="00DC0643">
      <w:pPr>
        <w:jc w:val="left"/>
      </w:pPr>
    </w:p>
    <w:p w:rsidR="00DC0643" w:rsidRDefault="00DC0643" w:rsidP="00DC064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C0643" w:rsidRDefault="00DC0643" w:rsidP="00DC0643">
      <w:pPr>
        <w:jc w:val="left"/>
      </w:pPr>
      <w:r>
        <w:t>This decision is final.  The individual concerned, counsel (if any), and any Members of Congress who have shown interest in this application have been notified of this decision by mail.</w:t>
      </w:r>
    </w:p>
    <w:p w:rsidR="00DC0643" w:rsidRDefault="00DC0643" w:rsidP="00DC0643">
      <w:pPr>
        <w:jc w:val="left"/>
      </w:pPr>
    </w:p>
    <w:p w:rsidR="00DC0643" w:rsidRDefault="00DC0643" w:rsidP="00DC0643">
      <w:pPr>
        <w:jc w:val="left"/>
      </w:pPr>
      <w:r>
        <w:t xml:space="preserve"> BY ORDER OF THE SECRETARY OF THE ARMY:</w:t>
      </w:r>
    </w:p>
    <w:p w:rsidR="00DC0643" w:rsidRDefault="00DC0643" w:rsidP="00DC0643">
      <w:pPr>
        <w:jc w:val="left"/>
      </w:pPr>
    </w:p>
    <w:p w:rsidR="00DC0643" w:rsidRDefault="00DC0643" w:rsidP="00DC0643">
      <w:pPr>
        <w:jc w:val="left"/>
      </w:pPr>
    </w:p>
    <w:p w:rsidR="00DC0643" w:rsidRDefault="00DC0643" w:rsidP="00DC0643">
      <w:pPr>
        <w:pStyle w:val="Header"/>
        <w:tabs>
          <w:tab w:val="left" w:pos="720"/>
        </w:tabs>
        <w:jc w:val="left"/>
      </w:pPr>
    </w:p>
    <w:p w:rsidR="00DC0643" w:rsidRDefault="00DC0643" w:rsidP="00DC0643">
      <w:pPr>
        <w:jc w:val="left"/>
      </w:pPr>
    </w:p>
    <w:p w:rsidR="00DC0643" w:rsidRDefault="00DC0643" w:rsidP="00DC0643">
      <w:pPr>
        <w:jc w:val="left"/>
      </w:pPr>
      <w:bookmarkStart w:id="1" w:name="OLE_LINK4"/>
      <w:bookmarkStart w:id="2" w:name="OLE_LINK3"/>
      <w:r>
        <w:t>Encl</w:t>
      </w:r>
      <w:r>
        <w:tab/>
      </w:r>
      <w:r>
        <w:tab/>
      </w:r>
      <w:r>
        <w:tab/>
      </w:r>
      <w:r>
        <w:tab/>
      </w:r>
      <w:r>
        <w:tab/>
      </w:r>
      <w:r>
        <w:tab/>
        <w:t xml:space="preserve">     XXXXXXXXXXXXXXXXXXXX</w:t>
      </w:r>
    </w:p>
    <w:p w:rsidR="00DC0643" w:rsidRDefault="00DC0643" w:rsidP="00DC0643">
      <w:pPr>
        <w:jc w:val="left"/>
      </w:pPr>
      <w:r>
        <w:tab/>
      </w:r>
      <w:r>
        <w:tab/>
      </w:r>
      <w:r>
        <w:tab/>
      </w:r>
      <w:r>
        <w:tab/>
      </w:r>
      <w:r>
        <w:tab/>
      </w:r>
      <w:r>
        <w:tab/>
        <w:t xml:space="preserve">     Deputy Assistant Secretary</w:t>
      </w:r>
    </w:p>
    <w:p w:rsidR="00DC0643" w:rsidRDefault="00DC0643" w:rsidP="00DC0643">
      <w:pPr>
        <w:jc w:val="left"/>
      </w:pPr>
      <w:r>
        <w:tab/>
      </w:r>
      <w:r>
        <w:tab/>
      </w:r>
      <w:r>
        <w:tab/>
      </w:r>
      <w:r>
        <w:tab/>
      </w:r>
      <w:r>
        <w:tab/>
      </w:r>
      <w:r>
        <w:tab/>
        <w:t xml:space="preserve">         (Army Review Boards)</w:t>
      </w:r>
      <w:bookmarkEnd w:id="1"/>
      <w:bookmarkEnd w:id="2"/>
    </w:p>
    <w:p w:rsidR="00DC0643" w:rsidRDefault="00DC0643" w:rsidP="00DC0643">
      <w:pPr>
        <w:jc w:val="left"/>
      </w:pPr>
    </w:p>
    <w:p w:rsidR="00DC0643" w:rsidRDefault="00DC0643" w:rsidP="00DC0643">
      <w:pPr>
        <w:jc w:val="left"/>
      </w:pPr>
      <w:r>
        <w:t xml:space="preserve">CF: </w:t>
      </w:r>
    </w:p>
    <w:p w:rsidR="00DC0643" w:rsidRDefault="00DC0643" w:rsidP="00DC0643">
      <w:pPr>
        <w:jc w:val="left"/>
      </w:pPr>
      <w:r>
        <w:t xml:space="preserve">(  ) </w:t>
      </w:r>
      <w:proofErr w:type="spellStart"/>
      <w:proofErr w:type="gramStart"/>
      <w:r>
        <w:t>DoD</w:t>
      </w:r>
      <w:proofErr w:type="spellEnd"/>
      <w:proofErr w:type="gramEnd"/>
      <w:r>
        <w:t xml:space="preserve"> PDBR</w:t>
      </w:r>
    </w:p>
    <w:p w:rsidR="00DC0643" w:rsidRDefault="00DC0643" w:rsidP="00DC0643">
      <w:pPr>
        <w:jc w:val="left"/>
      </w:pPr>
      <w:r>
        <w:t>(  ) DVA</w:t>
      </w:r>
    </w:p>
    <w:p w:rsidR="00DC0643" w:rsidRDefault="00DC0643" w:rsidP="00DC0643">
      <w:pPr>
        <w:jc w:val="left"/>
      </w:pPr>
    </w:p>
    <w:p w:rsidR="00DF3B06" w:rsidRDefault="00DF3B06" w:rsidP="00DC0643">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42" w:rsidRDefault="00480842">
      <w:r>
        <w:separator/>
      </w:r>
    </w:p>
  </w:endnote>
  <w:endnote w:type="continuationSeparator" w:id="0">
    <w:p w:rsidR="00480842" w:rsidRDefault="00480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r w:rsidR="00841AC5" w:rsidRPr="00841AC5">
      <w:fldChar w:fldCharType="begin"/>
    </w:r>
    <w:r w:rsidR="00EC7651">
      <w:instrText xml:space="preserve"> PAGE   \* MERGEFORMAT </w:instrText>
    </w:r>
    <w:r w:rsidR="00841AC5" w:rsidRPr="00841AC5">
      <w:fldChar w:fldCharType="separate"/>
    </w:r>
    <w:r w:rsidR="00DC0643" w:rsidRPr="00DC0643">
      <w:rPr>
        <w:noProof/>
        <w:color w:val="auto"/>
      </w:rPr>
      <w:t>4</w:t>
    </w:r>
    <w:r w:rsidR="00841AC5">
      <w:rPr>
        <w:noProof/>
        <w:color w:val="auto"/>
      </w:rPr>
      <w:fldChar w:fldCharType="end"/>
    </w:r>
    <w:r w:rsidRPr="00374247">
      <w:rPr>
        <w:color w:val="auto"/>
      </w:rPr>
      <w:t xml:space="preserve">                                                           </w:t>
    </w:r>
    <w:r w:rsidRPr="00EC18A1">
      <w:rPr>
        <w:color w:val="auto"/>
      </w:rPr>
      <w:t>PD1200</w:t>
    </w:r>
    <w:r w:rsidR="00EC18A1" w:rsidRPr="00EC18A1">
      <w:rPr>
        <w:color w:val="auto"/>
      </w:rPr>
      <w:t>327</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42" w:rsidRDefault="00480842">
      <w:r>
        <w:separator/>
      </w:r>
    </w:p>
  </w:footnote>
  <w:footnote w:type="continuationSeparator" w:id="0">
    <w:p w:rsidR="00480842" w:rsidRDefault="00480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A9D"/>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754F"/>
    <w:rsid w:val="00051622"/>
    <w:rsid w:val="00051A11"/>
    <w:rsid w:val="00051F89"/>
    <w:rsid w:val="00052234"/>
    <w:rsid w:val="00053D7C"/>
    <w:rsid w:val="000575C5"/>
    <w:rsid w:val="000577C9"/>
    <w:rsid w:val="000600B5"/>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4DA"/>
    <w:rsid w:val="000775C2"/>
    <w:rsid w:val="00077835"/>
    <w:rsid w:val="00077DBB"/>
    <w:rsid w:val="000801EF"/>
    <w:rsid w:val="000806AD"/>
    <w:rsid w:val="00080BDF"/>
    <w:rsid w:val="00080C57"/>
    <w:rsid w:val="00082482"/>
    <w:rsid w:val="00082CA0"/>
    <w:rsid w:val="00084CF2"/>
    <w:rsid w:val="00084FE5"/>
    <w:rsid w:val="00085D7B"/>
    <w:rsid w:val="0008708B"/>
    <w:rsid w:val="0009100D"/>
    <w:rsid w:val="00092619"/>
    <w:rsid w:val="00092C66"/>
    <w:rsid w:val="00092CC9"/>
    <w:rsid w:val="0009490E"/>
    <w:rsid w:val="000949DD"/>
    <w:rsid w:val="00094E4F"/>
    <w:rsid w:val="000A2BCE"/>
    <w:rsid w:val="000A31E2"/>
    <w:rsid w:val="000A33C8"/>
    <w:rsid w:val="000A41E3"/>
    <w:rsid w:val="000A4AB4"/>
    <w:rsid w:val="000A4BBA"/>
    <w:rsid w:val="000A5071"/>
    <w:rsid w:val="000B047E"/>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68A"/>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471"/>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270"/>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2D7B"/>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901"/>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2C2C"/>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3FB"/>
    <w:rsid w:val="002B7710"/>
    <w:rsid w:val="002C0910"/>
    <w:rsid w:val="002C0DEA"/>
    <w:rsid w:val="002C34F6"/>
    <w:rsid w:val="002C3B6D"/>
    <w:rsid w:val="002C3F59"/>
    <w:rsid w:val="002C5D9D"/>
    <w:rsid w:val="002C5F10"/>
    <w:rsid w:val="002C6E5B"/>
    <w:rsid w:val="002C7C95"/>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0B19"/>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392"/>
    <w:rsid w:val="00375724"/>
    <w:rsid w:val="00375809"/>
    <w:rsid w:val="00375CF1"/>
    <w:rsid w:val="0037628C"/>
    <w:rsid w:val="00376A07"/>
    <w:rsid w:val="00376B81"/>
    <w:rsid w:val="00376E08"/>
    <w:rsid w:val="00377BD2"/>
    <w:rsid w:val="00380601"/>
    <w:rsid w:val="00380FD4"/>
    <w:rsid w:val="00381E16"/>
    <w:rsid w:val="003821E1"/>
    <w:rsid w:val="003840F6"/>
    <w:rsid w:val="0038422A"/>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7C3"/>
    <w:rsid w:val="003A3F3D"/>
    <w:rsid w:val="003A40B4"/>
    <w:rsid w:val="003A41BA"/>
    <w:rsid w:val="003A4FA3"/>
    <w:rsid w:val="003A5491"/>
    <w:rsid w:val="003A5958"/>
    <w:rsid w:val="003A5FF2"/>
    <w:rsid w:val="003A6A99"/>
    <w:rsid w:val="003A6E60"/>
    <w:rsid w:val="003A76AB"/>
    <w:rsid w:val="003A7FF8"/>
    <w:rsid w:val="003B0576"/>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638F"/>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842"/>
    <w:rsid w:val="00480D4A"/>
    <w:rsid w:val="004815C2"/>
    <w:rsid w:val="00481DA1"/>
    <w:rsid w:val="00483A2B"/>
    <w:rsid w:val="00484212"/>
    <w:rsid w:val="004848C3"/>
    <w:rsid w:val="00484BA9"/>
    <w:rsid w:val="0048599A"/>
    <w:rsid w:val="00486818"/>
    <w:rsid w:val="004875ED"/>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01E"/>
    <w:rsid w:val="0051146C"/>
    <w:rsid w:val="00511881"/>
    <w:rsid w:val="0051220B"/>
    <w:rsid w:val="00512253"/>
    <w:rsid w:val="00512484"/>
    <w:rsid w:val="00514449"/>
    <w:rsid w:val="005144A7"/>
    <w:rsid w:val="00515419"/>
    <w:rsid w:val="005157BD"/>
    <w:rsid w:val="0051594B"/>
    <w:rsid w:val="005214A3"/>
    <w:rsid w:val="00521C71"/>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696"/>
    <w:rsid w:val="0058039C"/>
    <w:rsid w:val="00580A63"/>
    <w:rsid w:val="005822BD"/>
    <w:rsid w:val="00583379"/>
    <w:rsid w:val="00583557"/>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E53"/>
    <w:rsid w:val="005E256C"/>
    <w:rsid w:val="005E3064"/>
    <w:rsid w:val="005E54DC"/>
    <w:rsid w:val="005E65DC"/>
    <w:rsid w:val="005E6AEE"/>
    <w:rsid w:val="005E72B2"/>
    <w:rsid w:val="005E7805"/>
    <w:rsid w:val="005E79A0"/>
    <w:rsid w:val="005F097E"/>
    <w:rsid w:val="005F1115"/>
    <w:rsid w:val="005F1AB6"/>
    <w:rsid w:val="005F27F2"/>
    <w:rsid w:val="005F2B27"/>
    <w:rsid w:val="005F2BEC"/>
    <w:rsid w:val="005F3567"/>
    <w:rsid w:val="005F3910"/>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911"/>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B7D1F"/>
    <w:rsid w:val="006C1D6E"/>
    <w:rsid w:val="006C2EF6"/>
    <w:rsid w:val="006C3A68"/>
    <w:rsid w:val="006C3B08"/>
    <w:rsid w:val="006C4A86"/>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6DB"/>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3EC"/>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1A5"/>
    <w:rsid w:val="007236E0"/>
    <w:rsid w:val="007237CE"/>
    <w:rsid w:val="00724619"/>
    <w:rsid w:val="00724688"/>
    <w:rsid w:val="00725BC5"/>
    <w:rsid w:val="007260A9"/>
    <w:rsid w:val="00726C1D"/>
    <w:rsid w:val="00726F84"/>
    <w:rsid w:val="007272F1"/>
    <w:rsid w:val="00727565"/>
    <w:rsid w:val="00727775"/>
    <w:rsid w:val="007301B1"/>
    <w:rsid w:val="0073062D"/>
    <w:rsid w:val="0073093B"/>
    <w:rsid w:val="0073254D"/>
    <w:rsid w:val="007340F3"/>
    <w:rsid w:val="007347BB"/>
    <w:rsid w:val="00735704"/>
    <w:rsid w:val="00736A49"/>
    <w:rsid w:val="007405C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B9C"/>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E9E"/>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B4F"/>
    <w:rsid w:val="00813C51"/>
    <w:rsid w:val="00814137"/>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37F58"/>
    <w:rsid w:val="0084002E"/>
    <w:rsid w:val="00840159"/>
    <w:rsid w:val="00840621"/>
    <w:rsid w:val="00841243"/>
    <w:rsid w:val="00841457"/>
    <w:rsid w:val="00841AC5"/>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40E"/>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719F"/>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3D3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2C9"/>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914"/>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2B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8E3"/>
    <w:rsid w:val="00985D32"/>
    <w:rsid w:val="00986514"/>
    <w:rsid w:val="00986FCC"/>
    <w:rsid w:val="009878C1"/>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9EA"/>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2D16"/>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E7E"/>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AE8"/>
    <w:rsid w:val="00BA1824"/>
    <w:rsid w:val="00BA2D98"/>
    <w:rsid w:val="00BA2F0C"/>
    <w:rsid w:val="00BA30D1"/>
    <w:rsid w:val="00BA30E1"/>
    <w:rsid w:val="00BA4609"/>
    <w:rsid w:val="00BA5BE2"/>
    <w:rsid w:val="00BA60FC"/>
    <w:rsid w:val="00BA6A9C"/>
    <w:rsid w:val="00BA6DD1"/>
    <w:rsid w:val="00BA7F46"/>
    <w:rsid w:val="00BB0388"/>
    <w:rsid w:val="00BB09CE"/>
    <w:rsid w:val="00BB0A0A"/>
    <w:rsid w:val="00BB133C"/>
    <w:rsid w:val="00BB1F04"/>
    <w:rsid w:val="00BB45B5"/>
    <w:rsid w:val="00BB4DDE"/>
    <w:rsid w:val="00BB6064"/>
    <w:rsid w:val="00BB65CE"/>
    <w:rsid w:val="00BB7012"/>
    <w:rsid w:val="00BC08E4"/>
    <w:rsid w:val="00BC09D1"/>
    <w:rsid w:val="00BC0F5B"/>
    <w:rsid w:val="00BC1CF3"/>
    <w:rsid w:val="00BC25A6"/>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A43"/>
    <w:rsid w:val="00BF0B7F"/>
    <w:rsid w:val="00BF0E03"/>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393"/>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16B"/>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5E02"/>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234"/>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80A"/>
    <w:rsid w:val="00CE7212"/>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2C7"/>
    <w:rsid w:val="00D80490"/>
    <w:rsid w:val="00D828F9"/>
    <w:rsid w:val="00D829AD"/>
    <w:rsid w:val="00D82EE2"/>
    <w:rsid w:val="00D8352E"/>
    <w:rsid w:val="00D83746"/>
    <w:rsid w:val="00D83D1B"/>
    <w:rsid w:val="00D84133"/>
    <w:rsid w:val="00D84B8D"/>
    <w:rsid w:val="00D8545C"/>
    <w:rsid w:val="00D864AF"/>
    <w:rsid w:val="00D86733"/>
    <w:rsid w:val="00D86AB5"/>
    <w:rsid w:val="00D86E57"/>
    <w:rsid w:val="00D876AD"/>
    <w:rsid w:val="00D87788"/>
    <w:rsid w:val="00D877C8"/>
    <w:rsid w:val="00D87921"/>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643"/>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01B"/>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20AF"/>
    <w:rsid w:val="00E2421B"/>
    <w:rsid w:val="00E242AF"/>
    <w:rsid w:val="00E24849"/>
    <w:rsid w:val="00E2536E"/>
    <w:rsid w:val="00E25A99"/>
    <w:rsid w:val="00E25B8A"/>
    <w:rsid w:val="00E25EF8"/>
    <w:rsid w:val="00E2632B"/>
    <w:rsid w:val="00E26F75"/>
    <w:rsid w:val="00E27423"/>
    <w:rsid w:val="00E3077F"/>
    <w:rsid w:val="00E322F7"/>
    <w:rsid w:val="00E3369B"/>
    <w:rsid w:val="00E341F8"/>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A69"/>
    <w:rsid w:val="00E84DDA"/>
    <w:rsid w:val="00E8608F"/>
    <w:rsid w:val="00E86C1D"/>
    <w:rsid w:val="00E90703"/>
    <w:rsid w:val="00E90A62"/>
    <w:rsid w:val="00E90EC6"/>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5EE"/>
    <w:rsid w:val="00EC18A1"/>
    <w:rsid w:val="00EC1E0A"/>
    <w:rsid w:val="00EC2938"/>
    <w:rsid w:val="00EC337D"/>
    <w:rsid w:val="00EC38EF"/>
    <w:rsid w:val="00EC4849"/>
    <w:rsid w:val="00EC50C9"/>
    <w:rsid w:val="00EC58B4"/>
    <w:rsid w:val="00EC5BB2"/>
    <w:rsid w:val="00EC75AF"/>
    <w:rsid w:val="00EC7651"/>
    <w:rsid w:val="00EC7AEA"/>
    <w:rsid w:val="00ED05B1"/>
    <w:rsid w:val="00ED12F0"/>
    <w:rsid w:val="00ED2874"/>
    <w:rsid w:val="00ED290C"/>
    <w:rsid w:val="00ED2A6C"/>
    <w:rsid w:val="00ED4773"/>
    <w:rsid w:val="00ED4FF0"/>
    <w:rsid w:val="00ED5284"/>
    <w:rsid w:val="00ED57F7"/>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4D32"/>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B83"/>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083"/>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61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31BF-192E-48B6-995E-D8DC425A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2012-10-31T11:47:00Z</cp:lastPrinted>
  <dcterms:created xsi:type="dcterms:W3CDTF">2012-11-21T15:56:00Z</dcterms:created>
  <dcterms:modified xsi:type="dcterms:W3CDTF">2012-11-21T15:56:00Z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