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086AE9" w:rsidRDefault="0095270D" w:rsidP="00DD5558">
      <w:pPr>
        <w:tabs>
          <w:tab w:val="right" w:pos="9360"/>
        </w:tabs>
        <w:jc w:val="both"/>
        <w:rPr>
          <w:caps/>
          <w:color w:val="auto"/>
        </w:rPr>
      </w:pPr>
      <w:r w:rsidRPr="00F64312">
        <w:rPr>
          <w:caps/>
          <w:color w:val="auto"/>
        </w:rPr>
        <w:t xml:space="preserve">NAME:  </w:t>
      </w:r>
      <w:r w:rsidR="00A334DF">
        <w:rPr>
          <w:caps/>
          <w:color w:val="auto"/>
        </w:rPr>
        <w:t>XXXXXXXXXXXXXXXXXX</w:t>
      </w:r>
      <w:r w:rsidR="001E6E43">
        <w:rPr>
          <w:caps/>
          <w:color w:val="auto"/>
        </w:rPr>
        <w:tab/>
      </w:r>
      <w:r w:rsidRPr="00F64312">
        <w:rPr>
          <w:caps/>
          <w:color w:val="auto"/>
        </w:rPr>
        <w:t>BRANCH OF SERVICE</w:t>
      </w:r>
      <w:r w:rsidRPr="00086AE9">
        <w:rPr>
          <w:caps/>
          <w:color w:val="auto"/>
        </w:rPr>
        <w:t xml:space="preserve">:  </w:t>
      </w:r>
      <w:r w:rsidR="0018208F" w:rsidRPr="00086AE9">
        <w:rPr>
          <w:caps/>
          <w:color w:val="auto"/>
        </w:rPr>
        <w:t xml:space="preserve"> </w:t>
      </w:r>
      <w:r w:rsidR="00DF70F4" w:rsidRPr="00086AE9">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086AE9">
        <w:rPr>
          <w:caps/>
          <w:color w:val="auto"/>
        </w:rPr>
        <w:t>PD</w:t>
      </w:r>
      <w:r w:rsidR="001657BE" w:rsidRPr="00086AE9">
        <w:rPr>
          <w:caps/>
          <w:color w:val="auto"/>
        </w:rPr>
        <w:t>12</w:t>
      </w:r>
      <w:r w:rsidRPr="00086AE9">
        <w:rPr>
          <w:caps/>
          <w:color w:val="auto"/>
        </w:rPr>
        <w:t>0</w:t>
      </w:r>
      <w:r w:rsidR="00086AE9">
        <w:rPr>
          <w:caps/>
          <w:color w:val="auto"/>
        </w:rPr>
        <w:t>0296</w:t>
      </w:r>
      <w:r w:rsidR="00DD5558">
        <w:rPr>
          <w:color w:val="auto"/>
        </w:rPr>
        <w:tab/>
      </w:r>
      <w:r w:rsidR="0018208F" w:rsidRPr="00F64312">
        <w:rPr>
          <w:color w:val="auto"/>
        </w:rPr>
        <w:t>SE</w:t>
      </w:r>
      <w:r w:rsidRPr="00F64312">
        <w:rPr>
          <w:color w:val="auto"/>
        </w:rPr>
        <w:t>PARATION DATE:  200</w:t>
      </w:r>
      <w:r w:rsidR="00086AE9">
        <w:rPr>
          <w:color w:val="auto"/>
        </w:rPr>
        <w:t>90109</w:t>
      </w:r>
    </w:p>
    <w:p w:rsidR="00AD2379" w:rsidRPr="00616A8C"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2E16DC">
        <w:rPr>
          <w:caps/>
          <w:color w:val="auto"/>
        </w:rPr>
        <w:t>0906</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1F43A4" w:rsidRDefault="00AD2379" w:rsidP="008D0A08">
      <w:pPr>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086AE9">
        <w:rPr>
          <w:color w:val="auto"/>
        </w:rPr>
        <w:t>active duty</w:t>
      </w:r>
      <w:r w:rsidRPr="00086AE9">
        <w:rPr>
          <w:color w:val="auto"/>
        </w:rPr>
        <w:t xml:space="preserve"> </w:t>
      </w:r>
      <w:r w:rsidR="0017172C" w:rsidRPr="00086AE9">
        <w:rPr>
          <w:color w:val="auto"/>
        </w:rPr>
        <w:t>S</w:t>
      </w:r>
      <w:r w:rsidR="00086AE9">
        <w:rPr>
          <w:color w:val="auto"/>
        </w:rPr>
        <w:t>PC/E-4</w:t>
      </w:r>
      <w:r w:rsidRPr="00086AE9">
        <w:rPr>
          <w:color w:val="auto"/>
        </w:rPr>
        <w:t xml:space="preserve"> (</w:t>
      </w:r>
      <w:r w:rsidR="00086AE9">
        <w:rPr>
          <w:color w:val="auto"/>
        </w:rPr>
        <w:t>11B</w:t>
      </w:r>
      <w:r w:rsidR="00112F44" w:rsidRPr="00086AE9">
        <w:rPr>
          <w:color w:val="auto"/>
        </w:rPr>
        <w:t xml:space="preserve">, </w:t>
      </w:r>
      <w:r w:rsidR="00086AE9">
        <w:rPr>
          <w:color w:val="auto"/>
        </w:rPr>
        <w:t>Infantry</w:t>
      </w:r>
      <w:r w:rsidR="00A70270" w:rsidRPr="00086AE9">
        <w:rPr>
          <w:color w:val="auto"/>
        </w:rPr>
        <w:t>)</w:t>
      </w:r>
      <w:r w:rsidR="00565636" w:rsidRPr="00086AE9">
        <w:rPr>
          <w:color w:val="auto"/>
        </w:rPr>
        <w:t>,</w:t>
      </w:r>
      <w:r w:rsidR="00A70270" w:rsidRPr="00086AE9">
        <w:rPr>
          <w:color w:val="auto"/>
        </w:rPr>
        <w:t xml:space="preserve"> </w:t>
      </w:r>
      <w:r w:rsidRPr="00086AE9">
        <w:rPr>
          <w:color w:val="auto"/>
        </w:rPr>
        <w:t>medically separated for</w:t>
      </w:r>
      <w:r w:rsidR="00086AE9">
        <w:rPr>
          <w:color w:val="auto"/>
        </w:rPr>
        <w:t xml:space="preserve"> </w:t>
      </w:r>
      <w:r w:rsidR="001E6E43">
        <w:rPr>
          <w:color w:val="auto"/>
        </w:rPr>
        <w:t xml:space="preserve">left </w:t>
      </w:r>
      <w:r w:rsidR="001E6E43" w:rsidRPr="001E6E43">
        <w:rPr>
          <w:color w:val="auto"/>
        </w:rPr>
        <w:t>knee condition a</w:t>
      </w:r>
      <w:r w:rsidR="002E16DC">
        <w:rPr>
          <w:color w:val="auto"/>
        </w:rPr>
        <w:t>fter</w:t>
      </w:r>
      <w:r w:rsidR="001E6E43" w:rsidRPr="001E6E43">
        <w:rPr>
          <w:color w:val="auto"/>
        </w:rPr>
        <w:t xml:space="preserve"> </w:t>
      </w:r>
      <w:r w:rsidR="00BC325C">
        <w:rPr>
          <w:color w:val="auto"/>
        </w:rPr>
        <w:t xml:space="preserve">incurring a </w:t>
      </w:r>
      <w:r w:rsidR="001E6E43" w:rsidRPr="001E6E43">
        <w:rPr>
          <w:color w:val="auto"/>
        </w:rPr>
        <w:t xml:space="preserve">significant injury </w:t>
      </w:r>
      <w:r w:rsidR="000D2DFA">
        <w:rPr>
          <w:color w:val="auto"/>
        </w:rPr>
        <w:t>while deployed to Iraq in 2006</w:t>
      </w:r>
      <w:r w:rsidR="00F2059D">
        <w:rPr>
          <w:color w:val="auto"/>
        </w:rPr>
        <w:t xml:space="preserve">.  </w:t>
      </w:r>
      <w:r w:rsidR="000D2DFA">
        <w:rPr>
          <w:color w:val="auto"/>
          <w:szCs w:val="24"/>
        </w:rPr>
        <w:t>He</w:t>
      </w:r>
      <w:r w:rsidR="001E6E43" w:rsidRPr="001E6E43">
        <w:rPr>
          <w:color w:val="auto"/>
        </w:rPr>
        <w:t xml:space="preserve"> did not respond adequately to non-operative</w:t>
      </w:r>
      <w:r w:rsidR="008D0A08">
        <w:rPr>
          <w:color w:val="auto"/>
        </w:rPr>
        <w:t>,</w:t>
      </w:r>
      <w:r w:rsidR="001E6E43" w:rsidRPr="001E6E43">
        <w:rPr>
          <w:color w:val="auto"/>
        </w:rPr>
        <w:t xml:space="preserve"> conservative treatment to perform within his Military Occupational Specialty (MOS), meet worldwide deployment standards or meet physical fitness standards.  He was issued a permanent L3 profile and underwent a Medical Evaluation Board (MEB). </w:t>
      </w:r>
      <w:r w:rsidR="008D0A08">
        <w:rPr>
          <w:color w:val="auto"/>
        </w:rPr>
        <w:t xml:space="preserve"> </w:t>
      </w:r>
      <w:r w:rsidR="001E6E43" w:rsidRPr="001E6E43">
        <w:rPr>
          <w:color w:val="auto"/>
        </w:rPr>
        <w:t xml:space="preserve">Four other conditions, as identified in the rating chart below, were </w:t>
      </w:r>
      <w:r w:rsidR="001F43A4">
        <w:rPr>
          <w:color w:val="auto"/>
        </w:rPr>
        <w:t xml:space="preserve">also identified and </w:t>
      </w:r>
      <w:r w:rsidR="001E6E43" w:rsidRPr="001E6E43">
        <w:rPr>
          <w:color w:val="auto"/>
        </w:rPr>
        <w:t xml:space="preserve">forwarded </w:t>
      </w:r>
      <w:r w:rsidR="001F43A4">
        <w:rPr>
          <w:color w:val="auto"/>
        </w:rPr>
        <w:t>by the MEB</w:t>
      </w:r>
      <w:r w:rsidR="001E6E43" w:rsidRPr="001F43A4">
        <w:rPr>
          <w:color w:val="auto"/>
        </w:rPr>
        <w:t>.</w:t>
      </w:r>
      <w:r w:rsidR="008D0A08" w:rsidRPr="001F43A4">
        <w:rPr>
          <w:color w:val="auto"/>
        </w:rPr>
        <w:t xml:space="preserve">  </w:t>
      </w:r>
      <w:r w:rsidRPr="00F64312">
        <w:rPr>
          <w:color w:val="auto"/>
        </w:rPr>
        <w:t xml:space="preserve">The </w:t>
      </w:r>
      <w:r w:rsidR="00115377">
        <w:rPr>
          <w:color w:val="auto"/>
        </w:rPr>
        <w:t>Physical Evaluation Board (</w:t>
      </w:r>
      <w:r w:rsidRPr="00F64312">
        <w:rPr>
          <w:color w:val="auto"/>
        </w:rPr>
        <w:t>PEB</w:t>
      </w:r>
      <w:r w:rsidR="00115377">
        <w:rPr>
          <w:color w:val="auto"/>
        </w:rPr>
        <w:t>)</w:t>
      </w:r>
      <w:r w:rsidRPr="00F64312">
        <w:rPr>
          <w:color w:val="auto"/>
        </w:rPr>
        <w:t xml:space="preserve"> adjudicated the </w:t>
      </w:r>
      <w:r w:rsidR="001E6E43">
        <w:rPr>
          <w:color w:val="auto"/>
        </w:rPr>
        <w:t>left knee</w:t>
      </w:r>
      <w:r w:rsidR="008530E3" w:rsidRPr="00EC518B">
        <w:rPr>
          <w:color w:val="auto"/>
        </w:rPr>
        <w:t xml:space="preserve"> condition</w:t>
      </w:r>
      <w:r w:rsidR="008530E3" w:rsidRPr="00F64312">
        <w:rPr>
          <w:color w:val="auto"/>
        </w:rPr>
        <w:t xml:space="preserve"> as unfitting, rated </w:t>
      </w:r>
      <w:r w:rsidR="00EC518B">
        <w:rPr>
          <w:color w:val="auto"/>
        </w:rPr>
        <w:t>20</w:t>
      </w:r>
      <w:r w:rsidRPr="00EC518B">
        <w:rPr>
          <w:color w:val="auto"/>
        </w:rPr>
        <w:t>%</w:t>
      </w:r>
      <w:r w:rsidRPr="00F64312">
        <w:rPr>
          <w:color w:val="auto"/>
        </w:rPr>
        <w:t xml:space="preserve"> </w:t>
      </w:r>
      <w:r w:rsidR="00E46D90" w:rsidRPr="00F64312">
        <w:rPr>
          <w:color w:val="auto"/>
        </w:rPr>
        <w:t xml:space="preserve">with application of the </w:t>
      </w:r>
      <w:r w:rsidR="00115377" w:rsidRPr="00EC518B">
        <w:rPr>
          <w:color w:val="auto"/>
        </w:rPr>
        <w:t>Veterans</w:t>
      </w:r>
      <w:r w:rsidR="00115377">
        <w:rPr>
          <w:color w:val="auto"/>
        </w:rPr>
        <w:t>’</w:t>
      </w:r>
      <w:r w:rsidRPr="00EC518B">
        <w:rPr>
          <w:color w:val="auto"/>
        </w:rPr>
        <w:t xml:space="preserve"> A</w:t>
      </w:r>
      <w:r w:rsidR="00BF72CA" w:rsidRPr="00EC518B">
        <w:rPr>
          <w:color w:val="auto"/>
        </w:rPr>
        <w:t>ffairs</w:t>
      </w:r>
      <w:r w:rsidR="00115377">
        <w:rPr>
          <w:color w:val="auto"/>
        </w:rPr>
        <w:t xml:space="preserve"> </w:t>
      </w:r>
      <w:r w:rsidRPr="00EC518B">
        <w:rPr>
          <w:color w:val="auto"/>
        </w:rPr>
        <w:t>Schedule for Rating Disabilities (VASRD)</w:t>
      </w:r>
      <w:r w:rsidR="00EC518B">
        <w:rPr>
          <w:color w:val="auto"/>
        </w:rPr>
        <w:t>.</w:t>
      </w:r>
      <w:r w:rsidR="00165C7B" w:rsidRPr="00F64312">
        <w:rPr>
          <w:color w:val="auto"/>
        </w:rPr>
        <w:t xml:space="preserve">  </w:t>
      </w:r>
      <w:r w:rsidR="00380601" w:rsidRPr="00EC518B">
        <w:rPr>
          <w:color w:val="auto"/>
        </w:rPr>
        <w:t xml:space="preserve">The </w:t>
      </w:r>
      <w:r w:rsidR="001F43A4">
        <w:rPr>
          <w:color w:val="auto"/>
        </w:rPr>
        <w:t xml:space="preserve">remaining </w:t>
      </w:r>
      <w:r w:rsidR="00380601" w:rsidRPr="008D0A08">
        <w:rPr>
          <w:color w:val="auto"/>
        </w:rPr>
        <w:t>conditions were determined to be not unfitting</w:t>
      </w:r>
      <w:r w:rsidR="001E6E43" w:rsidRPr="008D0A08">
        <w:rPr>
          <w:color w:val="auto"/>
        </w:rPr>
        <w:t>.</w:t>
      </w:r>
      <w:r w:rsidR="00A61A0A" w:rsidRPr="008D0A08">
        <w:rPr>
          <w:color w:val="auto"/>
        </w:rPr>
        <w:t xml:space="preserve"> </w:t>
      </w:r>
      <w:r w:rsidR="001726BA" w:rsidRPr="008D0A08">
        <w:rPr>
          <w:color w:val="auto"/>
        </w:rPr>
        <w:t xml:space="preserve"> </w:t>
      </w:r>
      <w:r w:rsidRPr="008D0A08">
        <w:rPr>
          <w:color w:val="auto"/>
        </w:rPr>
        <w:t xml:space="preserve">The CI made no appeals, and was medically separated with </w:t>
      </w:r>
      <w:r w:rsidR="0066684A" w:rsidRPr="008D0A08">
        <w:rPr>
          <w:color w:val="auto"/>
        </w:rPr>
        <w:t xml:space="preserve">a </w:t>
      </w:r>
      <w:r w:rsidR="001756A5" w:rsidRPr="008D0A08">
        <w:rPr>
          <w:color w:val="auto"/>
        </w:rPr>
        <w:t>20</w:t>
      </w:r>
      <w:r w:rsidR="0066684A" w:rsidRPr="008D0A08">
        <w:rPr>
          <w:color w:val="auto"/>
        </w:rPr>
        <w:t xml:space="preserve">% </w:t>
      </w:r>
      <w:r w:rsidR="00ED7820" w:rsidRPr="008D0A08">
        <w:rPr>
          <w:color w:val="auto"/>
        </w:rPr>
        <w:t>s</w:t>
      </w:r>
      <w:r w:rsidR="006E154E" w:rsidRPr="008D0A08">
        <w:rPr>
          <w:color w:val="auto"/>
        </w:rPr>
        <w:t xml:space="preserve">ervice </w:t>
      </w:r>
      <w:r w:rsidRPr="008D0A08">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1756A5" w:rsidRDefault="00AD2379" w:rsidP="008D0A08">
      <w:pPr>
        <w:autoSpaceDE w:val="0"/>
        <w:autoSpaceDN w:val="0"/>
        <w:adjustRightInd w:val="0"/>
        <w:jc w:val="both"/>
        <w:rPr>
          <w:rFonts w:asciiTheme="majorHAnsi" w:hAnsiTheme="majorHAnsi" w:cstheme="majorHAnsi"/>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1756A5" w:rsidRPr="001756A5">
        <w:rPr>
          <w:rFonts w:asciiTheme="majorHAnsi" w:hAnsiTheme="majorHAnsi" w:cstheme="majorHAnsi"/>
          <w:color w:val="auto"/>
          <w:szCs w:val="24"/>
        </w:rPr>
        <w:t xml:space="preserve">“During my </w:t>
      </w:r>
      <w:r w:rsidR="001756A5" w:rsidRPr="00616A8C">
        <w:rPr>
          <w:rFonts w:asciiTheme="majorHAnsi" w:hAnsiTheme="majorHAnsi" w:cstheme="majorHAnsi"/>
          <w:color w:val="auto"/>
          <w:szCs w:val="24"/>
        </w:rPr>
        <w:t xml:space="preserve">military service, I was injured in the Iraqi Campaign. </w:t>
      </w:r>
      <w:r w:rsidR="008D0A08" w:rsidRPr="00616A8C">
        <w:rPr>
          <w:rFonts w:asciiTheme="majorHAnsi" w:hAnsiTheme="majorHAnsi" w:cstheme="majorHAnsi"/>
          <w:color w:val="auto"/>
          <w:szCs w:val="24"/>
        </w:rPr>
        <w:t xml:space="preserve"> </w:t>
      </w:r>
      <w:r w:rsidR="001756A5" w:rsidRPr="00616A8C">
        <w:rPr>
          <w:rFonts w:asciiTheme="majorHAnsi" w:hAnsiTheme="majorHAnsi" w:cstheme="majorHAnsi"/>
          <w:color w:val="auto"/>
          <w:szCs w:val="24"/>
        </w:rPr>
        <w:t xml:space="preserve">After a long transition to the Warrior Transition Unit (WTU) at Ft Campbell, KY, I was quickly medically discharged and given a 20% rating. </w:t>
      </w:r>
      <w:r w:rsidR="008D0A08" w:rsidRPr="00616A8C">
        <w:rPr>
          <w:rFonts w:asciiTheme="majorHAnsi" w:hAnsiTheme="majorHAnsi" w:cstheme="majorHAnsi"/>
          <w:color w:val="auto"/>
          <w:szCs w:val="24"/>
        </w:rPr>
        <w:t xml:space="preserve"> </w:t>
      </w:r>
      <w:r w:rsidR="001756A5" w:rsidRPr="00616A8C">
        <w:rPr>
          <w:rFonts w:asciiTheme="majorHAnsi" w:hAnsiTheme="majorHAnsi" w:cstheme="majorHAnsi"/>
          <w:color w:val="auto"/>
          <w:szCs w:val="24"/>
        </w:rPr>
        <w:t xml:space="preserve">The Non-Commissioned Officers that were directly in my chain of command used an incredibly efficient force to have me discharged as quickly as possible. </w:t>
      </w:r>
      <w:r w:rsidR="008D0A08" w:rsidRPr="00616A8C">
        <w:rPr>
          <w:rFonts w:asciiTheme="majorHAnsi" w:hAnsiTheme="majorHAnsi" w:cstheme="majorHAnsi"/>
          <w:color w:val="auto"/>
          <w:szCs w:val="24"/>
        </w:rPr>
        <w:t xml:space="preserve"> </w:t>
      </w:r>
      <w:r w:rsidR="001756A5" w:rsidRPr="00616A8C">
        <w:rPr>
          <w:rFonts w:asciiTheme="majorHAnsi" w:hAnsiTheme="majorHAnsi" w:cstheme="majorHAnsi"/>
          <w:color w:val="auto"/>
          <w:szCs w:val="24"/>
        </w:rPr>
        <w:t xml:space="preserve">This resulted in my discharge for only one of my many ailments. </w:t>
      </w:r>
      <w:r w:rsidR="008D0A08" w:rsidRPr="00616A8C">
        <w:rPr>
          <w:rFonts w:asciiTheme="majorHAnsi" w:hAnsiTheme="majorHAnsi" w:cstheme="majorHAnsi"/>
          <w:color w:val="auto"/>
          <w:szCs w:val="24"/>
        </w:rPr>
        <w:t xml:space="preserve"> </w:t>
      </w:r>
      <w:r w:rsidR="001756A5" w:rsidRPr="00616A8C">
        <w:rPr>
          <w:rFonts w:asciiTheme="majorHAnsi" w:hAnsiTheme="majorHAnsi" w:cstheme="majorHAnsi"/>
          <w:color w:val="auto"/>
          <w:szCs w:val="24"/>
        </w:rPr>
        <w:t xml:space="preserve">After going to the Veterans Administration, I started seeing doctors regularly and many other ailments were discovered that were all directly related to my military service. </w:t>
      </w:r>
      <w:r w:rsidR="008D0A08" w:rsidRPr="00616A8C">
        <w:rPr>
          <w:rFonts w:asciiTheme="majorHAnsi" w:hAnsiTheme="majorHAnsi" w:cstheme="majorHAnsi"/>
          <w:color w:val="auto"/>
          <w:szCs w:val="24"/>
        </w:rPr>
        <w:t xml:space="preserve"> </w:t>
      </w:r>
      <w:r w:rsidR="001756A5" w:rsidRPr="00616A8C">
        <w:rPr>
          <w:rFonts w:asciiTheme="majorHAnsi" w:hAnsiTheme="majorHAnsi" w:cstheme="majorHAnsi"/>
          <w:color w:val="auto"/>
          <w:szCs w:val="24"/>
        </w:rPr>
        <w:t>I feel that if the WTU and the doctors that were seeing me during my medical discharged had taken the time and actually looked at me, I would have been rated higher in my military separation”.</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1F7F" w:rsidRDefault="00921F7F" w:rsidP="00DD5558">
      <w:pPr>
        <w:jc w:val="both"/>
        <w:rPr>
          <w:color w:val="auto"/>
        </w:rPr>
      </w:pPr>
      <w:r w:rsidRPr="00F64312">
        <w:rPr>
          <w:color w:val="auto"/>
          <w:u w:val="single"/>
        </w:rPr>
        <w:t>SCOPE OF REVIEW</w:t>
      </w:r>
      <w:r w:rsidRPr="00F64312">
        <w:rPr>
          <w:color w:val="auto"/>
        </w:rPr>
        <w:t xml:space="preserve">:  </w:t>
      </w:r>
      <w:r w:rsidR="00FD5EB4" w:rsidRPr="00F64312">
        <w:rPr>
          <w:color w:val="auto"/>
        </w:rPr>
        <w:t>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w:t>
      </w:r>
      <w:r w:rsidR="001756A5">
        <w:rPr>
          <w:color w:val="auto"/>
        </w:rPr>
        <w:t>.</w:t>
      </w:r>
      <w:r w:rsidR="00F453CB">
        <w:rPr>
          <w:color w:val="auto"/>
        </w:rPr>
        <w:t>”</w:t>
      </w:r>
      <w:r w:rsidR="001756A5">
        <w:rPr>
          <w:color w:val="auto"/>
        </w:rPr>
        <w:t xml:space="preserve"> </w:t>
      </w:r>
      <w:r w:rsidR="008D0A08">
        <w:rPr>
          <w:color w:val="auto"/>
        </w:rPr>
        <w:t xml:space="preserve"> </w:t>
      </w:r>
      <w:r w:rsidR="00FD5EB4" w:rsidRPr="002232F1">
        <w:rPr>
          <w:color w:val="auto"/>
        </w:rPr>
        <w:t xml:space="preserve">In addition to a review </w:t>
      </w:r>
      <w:r w:rsidR="00165C7B" w:rsidRPr="002232F1">
        <w:rPr>
          <w:color w:val="auto"/>
        </w:rPr>
        <w:t xml:space="preserve">of the </w:t>
      </w:r>
      <w:r w:rsidR="00ED7820" w:rsidRPr="002232F1">
        <w:rPr>
          <w:color w:val="auto"/>
        </w:rPr>
        <w:t>s</w:t>
      </w:r>
      <w:r w:rsidR="00165C7B" w:rsidRPr="002232F1">
        <w:rPr>
          <w:color w:val="auto"/>
        </w:rPr>
        <w:t xml:space="preserve">ervice ratings for the </w:t>
      </w:r>
      <w:r w:rsidR="00FD5EB4" w:rsidRPr="002232F1">
        <w:rPr>
          <w:color w:val="auto"/>
        </w:rPr>
        <w:t xml:space="preserve">unfitting conditions, </w:t>
      </w:r>
      <w:r w:rsidR="00616A8C">
        <w:rPr>
          <w:color w:val="auto"/>
        </w:rPr>
        <w:t>c</w:t>
      </w:r>
      <w:r w:rsidR="00BC325C" w:rsidRPr="002232F1">
        <w:rPr>
          <w:color w:val="auto"/>
        </w:rPr>
        <w:t xml:space="preserve">hronic PTSD, </w:t>
      </w:r>
      <w:r w:rsidR="00616A8C" w:rsidRPr="002232F1">
        <w:rPr>
          <w:color w:val="auto"/>
        </w:rPr>
        <w:t xml:space="preserve">sensorineural hearing loss </w:t>
      </w:r>
      <w:r w:rsidR="00BC325C" w:rsidRPr="002232F1">
        <w:rPr>
          <w:color w:val="auto"/>
        </w:rPr>
        <w:t xml:space="preserve">with </w:t>
      </w:r>
      <w:r w:rsidR="00616A8C" w:rsidRPr="002232F1">
        <w:rPr>
          <w:color w:val="auto"/>
        </w:rPr>
        <w:t>tinnitus</w:t>
      </w:r>
      <w:r w:rsidR="00BC325C" w:rsidRPr="002232F1">
        <w:rPr>
          <w:color w:val="auto"/>
        </w:rPr>
        <w:t xml:space="preserve">, and </w:t>
      </w:r>
      <w:r w:rsidR="00616A8C" w:rsidRPr="002232F1">
        <w:rPr>
          <w:color w:val="auto"/>
        </w:rPr>
        <w:t xml:space="preserve">sleep apnea </w:t>
      </w:r>
      <w:r w:rsidR="001756A5" w:rsidRPr="002232F1">
        <w:rPr>
          <w:color w:val="auto"/>
        </w:rPr>
        <w:t xml:space="preserve">conditions </w:t>
      </w:r>
      <w:r w:rsidR="00BC325C">
        <w:rPr>
          <w:color w:val="auto"/>
        </w:rPr>
        <w:t xml:space="preserve">as </w:t>
      </w:r>
      <w:r w:rsidR="00FD5EB4" w:rsidRPr="002232F1">
        <w:rPr>
          <w:color w:val="auto"/>
        </w:rPr>
        <w:t>requested for consideration meet the criteria prescribed in DoDI 6040.44 for Board purview; and, are addressed below.</w:t>
      </w:r>
      <w:r w:rsidR="00FD5EB4" w:rsidRPr="00F64312">
        <w:rPr>
          <w:color w:val="auto"/>
        </w:rPr>
        <w:t xml:space="preserve">  Any conditions or contention not requested in this application, or otherwise outside the Board’s defined scope of review, remain eligible for future consideration by the </w:t>
      </w:r>
      <w:r w:rsidR="00FD5EB4" w:rsidRPr="002232F1">
        <w:rPr>
          <w:color w:val="auto"/>
        </w:rPr>
        <w:t xml:space="preserve">Army Board for </w:t>
      </w:r>
      <w:r w:rsidR="00F453CB">
        <w:rPr>
          <w:color w:val="auto"/>
        </w:rPr>
        <w:t>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077D13" w:rsidRDefault="00077D13">
      <w:pPr>
        <w:spacing w:line="240" w:lineRule="auto"/>
        <w:jc w:val="left"/>
        <w:rPr>
          <w:color w:val="auto"/>
          <w:u w:val="single"/>
        </w:rPr>
      </w:pPr>
      <w:r>
        <w:rPr>
          <w:color w:val="auto"/>
          <w:u w:val="single"/>
        </w:rPr>
        <w:br w:type="page"/>
      </w:r>
    </w:p>
    <w:p w:rsidR="00AD2379" w:rsidRPr="00F64312" w:rsidRDefault="00AD2379" w:rsidP="00BF0E94">
      <w:pPr>
        <w:jc w:val="left"/>
        <w:rPr>
          <w:color w:val="auto"/>
        </w:rPr>
      </w:pPr>
      <w:r w:rsidRPr="00F64312">
        <w:rPr>
          <w:color w:val="auto"/>
          <w:u w:val="single"/>
        </w:rPr>
        <w:lastRenderedPageBreak/>
        <w:t>RATING COMPARISON</w:t>
      </w:r>
      <w:r w:rsidR="00077D13">
        <w:rPr>
          <w:color w:val="auto"/>
        </w:rPr>
        <w:t>:</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5"/>
        <w:gridCol w:w="1080"/>
        <w:gridCol w:w="720"/>
        <w:gridCol w:w="2608"/>
        <w:gridCol w:w="1083"/>
        <w:gridCol w:w="720"/>
        <w:gridCol w:w="993"/>
      </w:tblGrid>
      <w:tr w:rsidR="00F90376" w:rsidRPr="00F64312" w:rsidTr="00CC102E">
        <w:trPr>
          <w:trHeight w:val="170"/>
          <w:jc w:val="center"/>
        </w:trPr>
        <w:tc>
          <w:tcPr>
            <w:tcW w:w="3965" w:type="dxa"/>
            <w:gridSpan w:val="3"/>
            <w:tcBorders>
              <w:right w:val="thinThickThinSmallGap" w:sz="24" w:space="0" w:color="auto"/>
            </w:tcBorders>
            <w:shd w:val="clear" w:color="auto" w:fill="D9D9D9"/>
            <w:vAlign w:val="center"/>
          </w:tcPr>
          <w:p w:rsidR="00F90376" w:rsidRPr="00F64312" w:rsidRDefault="00F90376" w:rsidP="002232F1">
            <w:pPr>
              <w:spacing w:line="180" w:lineRule="exact"/>
              <w:contextualSpacing/>
              <w:rPr>
                <w:rFonts w:cs="Calibri"/>
                <w:b/>
                <w:color w:val="auto"/>
                <w:sz w:val="18"/>
              </w:rPr>
            </w:pPr>
            <w:r w:rsidRPr="00F64312">
              <w:rPr>
                <w:b/>
                <w:color w:val="auto"/>
                <w:sz w:val="18"/>
              </w:rPr>
              <w:t xml:space="preserve">Service PEB – Dated </w:t>
            </w:r>
            <w:r w:rsidRPr="002232F1">
              <w:rPr>
                <w:b/>
                <w:color w:val="auto"/>
                <w:sz w:val="18"/>
              </w:rPr>
              <w:t>200</w:t>
            </w:r>
            <w:r w:rsidR="002232F1" w:rsidRPr="002232F1">
              <w:rPr>
                <w:b/>
                <w:color w:val="auto"/>
                <w:sz w:val="18"/>
              </w:rPr>
              <w:t>80919</w:t>
            </w:r>
          </w:p>
        </w:tc>
        <w:tc>
          <w:tcPr>
            <w:tcW w:w="5404" w:type="dxa"/>
            <w:gridSpan w:val="4"/>
            <w:tcBorders>
              <w:left w:val="thinThickThinSmallGap" w:sz="24" w:space="0" w:color="auto"/>
            </w:tcBorders>
            <w:shd w:val="clear" w:color="auto" w:fill="D9D9D9"/>
            <w:vAlign w:val="center"/>
          </w:tcPr>
          <w:p w:rsidR="00F90376" w:rsidRPr="00F64312" w:rsidRDefault="00F90376" w:rsidP="002232F1">
            <w:pPr>
              <w:spacing w:line="180" w:lineRule="exact"/>
              <w:contextualSpacing/>
              <w:rPr>
                <w:rFonts w:cs="Calibri"/>
                <w:b/>
                <w:color w:val="auto"/>
                <w:sz w:val="18"/>
              </w:rPr>
            </w:pPr>
            <w:r w:rsidRPr="00F64312">
              <w:rPr>
                <w:b/>
                <w:color w:val="auto"/>
                <w:sz w:val="18"/>
              </w:rPr>
              <w:t>VA (</w:t>
            </w:r>
            <w:r w:rsidR="002232F1">
              <w:rPr>
                <w:b/>
                <w:color w:val="auto"/>
                <w:sz w:val="18"/>
              </w:rPr>
              <w:t>12</w:t>
            </w:r>
            <w:r w:rsidRPr="00F64312">
              <w:rPr>
                <w:b/>
                <w:color w:val="auto"/>
                <w:sz w:val="18"/>
              </w:rPr>
              <w:t xml:space="preserve"> Mos. </w:t>
            </w:r>
            <w:r w:rsidRPr="003F7F9B">
              <w:rPr>
                <w:b/>
                <w:color w:val="auto"/>
                <w:sz w:val="18"/>
              </w:rPr>
              <w:t>Pre</w:t>
            </w:r>
            <w:r w:rsidR="002232F1" w:rsidRPr="003F7F9B">
              <w:rPr>
                <w:b/>
                <w:color w:val="auto"/>
                <w:sz w:val="18"/>
              </w:rPr>
              <w:t>-</w:t>
            </w:r>
            <w:r w:rsidRPr="00F64312">
              <w:rPr>
                <w:b/>
                <w:color w:val="auto"/>
                <w:sz w:val="18"/>
              </w:rPr>
              <w:t xml:space="preserve">Separation) – All Effective Date </w:t>
            </w:r>
            <w:r w:rsidRPr="002232F1">
              <w:rPr>
                <w:b/>
                <w:color w:val="auto"/>
                <w:sz w:val="18"/>
              </w:rPr>
              <w:t>200</w:t>
            </w:r>
            <w:r w:rsidR="002232F1" w:rsidRPr="002232F1">
              <w:rPr>
                <w:b/>
                <w:color w:val="auto"/>
                <w:sz w:val="18"/>
              </w:rPr>
              <w:t>90108</w:t>
            </w:r>
          </w:p>
        </w:tc>
      </w:tr>
      <w:tr w:rsidR="00F90376" w:rsidRPr="00F64312" w:rsidTr="00CC102E">
        <w:trPr>
          <w:trHeight w:val="97"/>
          <w:jc w:val="center"/>
        </w:trPr>
        <w:tc>
          <w:tcPr>
            <w:tcW w:w="216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08"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3"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3"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2232F1" w:rsidRPr="00F64312" w:rsidTr="00CC102E">
        <w:trPr>
          <w:trHeight w:val="118"/>
          <w:jc w:val="center"/>
        </w:trPr>
        <w:tc>
          <w:tcPr>
            <w:tcW w:w="2165" w:type="dxa"/>
            <w:vMerge w:val="restart"/>
            <w:tcBorders>
              <w:right w:val="single" w:sz="4" w:space="0" w:color="auto"/>
            </w:tcBorders>
            <w:shd w:val="clear" w:color="auto" w:fill="FFFFFF"/>
            <w:vAlign w:val="center"/>
          </w:tcPr>
          <w:p w:rsidR="002232F1" w:rsidRPr="00F64312" w:rsidRDefault="002232F1" w:rsidP="006B690F">
            <w:pPr>
              <w:spacing w:line="180" w:lineRule="exact"/>
              <w:contextualSpacing/>
              <w:jc w:val="left"/>
              <w:rPr>
                <w:rFonts w:cs="Calibri"/>
                <w:color w:val="auto"/>
                <w:sz w:val="18"/>
              </w:rPr>
            </w:pPr>
            <w:r>
              <w:rPr>
                <w:rFonts w:cs="Calibri"/>
                <w:color w:val="auto"/>
                <w:sz w:val="18"/>
              </w:rPr>
              <w:t>Chronic Left Knee Pain</w:t>
            </w:r>
          </w:p>
        </w:tc>
        <w:tc>
          <w:tcPr>
            <w:tcW w:w="1080" w:type="dxa"/>
            <w:vMerge w:val="restart"/>
            <w:tcBorders>
              <w:left w:val="single" w:sz="4" w:space="0" w:color="auto"/>
            </w:tcBorders>
            <w:shd w:val="clear" w:color="auto" w:fill="FFFFFF"/>
            <w:vAlign w:val="center"/>
          </w:tcPr>
          <w:p w:rsidR="002232F1" w:rsidRPr="00F64312" w:rsidRDefault="002232F1" w:rsidP="006B690F">
            <w:pPr>
              <w:spacing w:line="180" w:lineRule="exact"/>
              <w:contextualSpacing/>
              <w:rPr>
                <w:rFonts w:cs="Calibri"/>
                <w:color w:val="auto"/>
                <w:sz w:val="18"/>
              </w:rPr>
            </w:pPr>
            <w:r>
              <w:rPr>
                <w:rFonts w:cs="Calibri"/>
                <w:color w:val="auto"/>
                <w:sz w:val="18"/>
              </w:rPr>
              <w:t>5299-5257</w:t>
            </w:r>
          </w:p>
        </w:tc>
        <w:tc>
          <w:tcPr>
            <w:tcW w:w="720" w:type="dxa"/>
            <w:vMerge w:val="restart"/>
            <w:tcBorders>
              <w:right w:val="thinThickThinSmallGap" w:sz="24" w:space="0" w:color="auto"/>
            </w:tcBorders>
            <w:shd w:val="clear" w:color="auto" w:fill="FFFFFF"/>
            <w:vAlign w:val="center"/>
          </w:tcPr>
          <w:p w:rsidR="002232F1" w:rsidRPr="00F64312" w:rsidRDefault="002232F1" w:rsidP="006B690F">
            <w:pPr>
              <w:spacing w:line="180" w:lineRule="exact"/>
              <w:rPr>
                <w:rFonts w:cs="Calibri"/>
                <w:color w:val="auto"/>
                <w:sz w:val="18"/>
              </w:rPr>
            </w:pPr>
            <w:r>
              <w:rPr>
                <w:rFonts w:cs="Calibri"/>
                <w:color w:val="auto"/>
                <w:sz w:val="18"/>
              </w:rPr>
              <w:t>20%</w:t>
            </w:r>
          </w:p>
        </w:tc>
        <w:tc>
          <w:tcPr>
            <w:tcW w:w="2608" w:type="dxa"/>
            <w:tcBorders>
              <w:left w:val="thinThickThinSmallGap" w:sz="24" w:space="0" w:color="auto"/>
            </w:tcBorders>
            <w:shd w:val="clear" w:color="auto" w:fill="FFFFFF"/>
            <w:vAlign w:val="center"/>
          </w:tcPr>
          <w:p w:rsidR="002232F1" w:rsidRPr="00616A8C" w:rsidRDefault="002232F1" w:rsidP="0017172C">
            <w:pPr>
              <w:spacing w:line="180" w:lineRule="exact"/>
              <w:contextualSpacing/>
              <w:jc w:val="left"/>
              <w:rPr>
                <w:rFonts w:cs="Calibri"/>
                <w:color w:val="auto"/>
                <w:sz w:val="18"/>
              </w:rPr>
            </w:pPr>
            <w:r w:rsidRPr="00616A8C">
              <w:rPr>
                <w:rFonts w:cs="Calibri"/>
                <w:color w:val="auto"/>
                <w:sz w:val="18"/>
              </w:rPr>
              <w:t>Status Post  (S/P) Left Knee Patellar Dislocation w/Disruption of Medial Patellar Retinaculum w/Limitation of Flexion</w:t>
            </w:r>
          </w:p>
        </w:tc>
        <w:tc>
          <w:tcPr>
            <w:tcW w:w="1083" w:type="dxa"/>
            <w:shd w:val="clear" w:color="auto" w:fill="FFFFFF"/>
            <w:vAlign w:val="center"/>
          </w:tcPr>
          <w:p w:rsidR="002232F1" w:rsidRPr="00F64312" w:rsidRDefault="002232F1" w:rsidP="0017172C">
            <w:pPr>
              <w:spacing w:line="180" w:lineRule="exact"/>
              <w:contextualSpacing/>
              <w:rPr>
                <w:rFonts w:cs="Calibri"/>
                <w:color w:val="auto"/>
                <w:sz w:val="18"/>
              </w:rPr>
            </w:pPr>
            <w:r>
              <w:rPr>
                <w:rFonts w:cs="Calibri"/>
                <w:color w:val="auto"/>
                <w:sz w:val="18"/>
              </w:rPr>
              <w:t>5299-5260</w:t>
            </w:r>
          </w:p>
        </w:tc>
        <w:tc>
          <w:tcPr>
            <w:tcW w:w="720" w:type="dxa"/>
            <w:shd w:val="clear" w:color="auto" w:fill="FFFFFF"/>
            <w:vAlign w:val="center"/>
          </w:tcPr>
          <w:p w:rsidR="002232F1" w:rsidRPr="00F64312" w:rsidRDefault="002232F1" w:rsidP="0017172C">
            <w:pPr>
              <w:spacing w:line="180" w:lineRule="exact"/>
              <w:contextualSpacing/>
              <w:rPr>
                <w:rFonts w:cs="Calibri"/>
                <w:color w:val="auto"/>
                <w:sz w:val="18"/>
              </w:rPr>
            </w:pPr>
            <w:r>
              <w:rPr>
                <w:rFonts w:cs="Calibri"/>
                <w:color w:val="auto"/>
                <w:sz w:val="18"/>
              </w:rPr>
              <w:t>10%</w:t>
            </w:r>
          </w:p>
        </w:tc>
        <w:tc>
          <w:tcPr>
            <w:tcW w:w="993" w:type="dxa"/>
            <w:shd w:val="clear" w:color="auto" w:fill="FFFFFF"/>
            <w:vAlign w:val="center"/>
          </w:tcPr>
          <w:p w:rsidR="002232F1" w:rsidRPr="00F64312" w:rsidRDefault="002232F1" w:rsidP="002232F1">
            <w:pPr>
              <w:spacing w:line="180" w:lineRule="exact"/>
              <w:contextualSpacing/>
              <w:rPr>
                <w:rFonts w:cs="Calibri"/>
                <w:color w:val="auto"/>
                <w:sz w:val="18"/>
              </w:rPr>
            </w:pPr>
            <w:r w:rsidRPr="002232F1">
              <w:rPr>
                <w:color w:val="auto"/>
                <w:sz w:val="18"/>
              </w:rPr>
              <w:t>20080104</w:t>
            </w:r>
          </w:p>
        </w:tc>
      </w:tr>
      <w:tr w:rsidR="002232F1" w:rsidRPr="00F64312" w:rsidTr="00CC102E">
        <w:trPr>
          <w:trHeight w:val="118"/>
          <w:jc w:val="center"/>
        </w:trPr>
        <w:tc>
          <w:tcPr>
            <w:tcW w:w="2165" w:type="dxa"/>
            <w:vMerge/>
            <w:tcBorders>
              <w:right w:val="single" w:sz="4" w:space="0" w:color="auto"/>
            </w:tcBorders>
            <w:shd w:val="clear" w:color="auto" w:fill="FFFFFF"/>
            <w:vAlign w:val="center"/>
          </w:tcPr>
          <w:p w:rsidR="002232F1" w:rsidRPr="00F64312" w:rsidRDefault="002232F1"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2232F1" w:rsidRPr="00F64312" w:rsidRDefault="002232F1"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2232F1" w:rsidRPr="00F64312" w:rsidRDefault="002232F1" w:rsidP="006B690F">
            <w:pPr>
              <w:spacing w:line="180" w:lineRule="exact"/>
              <w:rPr>
                <w:color w:val="auto"/>
                <w:sz w:val="18"/>
              </w:rPr>
            </w:pPr>
          </w:p>
        </w:tc>
        <w:tc>
          <w:tcPr>
            <w:tcW w:w="2608" w:type="dxa"/>
            <w:tcBorders>
              <w:left w:val="thinThickThinSmallGap" w:sz="24" w:space="0" w:color="auto"/>
            </w:tcBorders>
            <w:shd w:val="clear" w:color="auto" w:fill="FFFFFF"/>
            <w:vAlign w:val="center"/>
          </w:tcPr>
          <w:p w:rsidR="002232F1" w:rsidRPr="00616A8C" w:rsidRDefault="002232F1" w:rsidP="0017172C">
            <w:pPr>
              <w:spacing w:line="180" w:lineRule="exact"/>
              <w:contextualSpacing/>
              <w:jc w:val="left"/>
              <w:rPr>
                <w:color w:val="auto"/>
                <w:sz w:val="18"/>
              </w:rPr>
            </w:pPr>
            <w:r w:rsidRPr="00616A8C">
              <w:rPr>
                <w:color w:val="auto"/>
                <w:sz w:val="18"/>
              </w:rPr>
              <w:t>S/P Left Knee Patellar Dislocation w/Disruption of Extension</w:t>
            </w:r>
          </w:p>
        </w:tc>
        <w:tc>
          <w:tcPr>
            <w:tcW w:w="1083" w:type="dxa"/>
            <w:shd w:val="clear" w:color="auto" w:fill="FFFFFF"/>
            <w:vAlign w:val="center"/>
          </w:tcPr>
          <w:p w:rsidR="002232F1" w:rsidRPr="00F64312" w:rsidRDefault="002232F1" w:rsidP="0017172C">
            <w:pPr>
              <w:spacing w:line="180" w:lineRule="exact"/>
              <w:contextualSpacing/>
              <w:rPr>
                <w:color w:val="auto"/>
                <w:sz w:val="18"/>
              </w:rPr>
            </w:pPr>
            <w:r>
              <w:rPr>
                <w:color w:val="auto"/>
                <w:sz w:val="18"/>
              </w:rPr>
              <w:t>5299-5261</w:t>
            </w:r>
          </w:p>
        </w:tc>
        <w:tc>
          <w:tcPr>
            <w:tcW w:w="720" w:type="dxa"/>
            <w:shd w:val="clear" w:color="auto" w:fill="FFFFFF"/>
            <w:vAlign w:val="center"/>
          </w:tcPr>
          <w:p w:rsidR="002232F1" w:rsidRPr="00F64312" w:rsidRDefault="002232F1" w:rsidP="0017172C">
            <w:pPr>
              <w:spacing w:line="180" w:lineRule="exact"/>
              <w:contextualSpacing/>
              <w:rPr>
                <w:color w:val="auto"/>
                <w:sz w:val="18"/>
              </w:rPr>
            </w:pPr>
            <w:r>
              <w:rPr>
                <w:color w:val="auto"/>
                <w:sz w:val="18"/>
              </w:rPr>
              <w:t>10%</w:t>
            </w:r>
          </w:p>
        </w:tc>
        <w:tc>
          <w:tcPr>
            <w:tcW w:w="993" w:type="dxa"/>
            <w:shd w:val="clear" w:color="auto" w:fill="FFFFFF"/>
            <w:vAlign w:val="center"/>
          </w:tcPr>
          <w:p w:rsidR="002232F1" w:rsidRPr="00F64312" w:rsidRDefault="002232F1" w:rsidP="0017172C">
            <w:pPr>
              <w:spacing w:line="180" w:lineRule="exact"/>
              <w:contextualSpacing/>
              <w:rPr>
                <w:color w:val="auto"/>
                <w:sz w:val="18"/>
                <w:highlight w:val="yellow"/>
              </w:rPr>
            </w:pPr>
            <w:r w:rsidRPr="002232F1">
              <w:rPr>
                <w:color w:val="auto"/>
                <w:sz w:val="18"/>
              </w:rPr>
              <w:t>20080104</w:t>
            </w:r>
          </w:p>
        </w:tc>
      </w:tr>
      <w:tr w:rsidR="003F7F9B" w:rsidRPr="00F64312" w:rsidTr="00CC102E">
        <w:trPr>
          <w:trHeight w:val="118"/>
          <w:jc w:val="center"/>
        </w:trPr>
        <w:tc>
          <w:tcPr>
            <w:tcW w:w="2165" w:type="dxa"/>
            <w:tcBorders>
              <w:right w:val="single" w:sz="4" w:space="0" w:color="auto"/>
            </w:tcBorders>
            <w:shd w:val="clear" w:color="auto" w:fill="FFFFFF"/>
            <w:vAlign w:val="center"/>
          </w:tcPr>
          <w:p w:rsidR="003F7F9B" w:rsidRPr="00F64312" w:rsidRDefault="003F7F9B" w:rsidP="006B690F">
            <w:pPr>
              <w:spacing w:line="180" w:lineRule="exact"/>
              <w:contextualSpacing/>
              <w:jc w:val="left"/>
              <w:rPr>
                <w:color w:val="auto"/>
                <w:sz w:val="18"/>
              </w:rPr>
            </w:pPr>
            <w:r>
              <w:rPr>
                <w:color w:val="auto"/>
                <w:sz w:val="18"/>
              </w:rPr>
              <w:t>Chronic PTSD</w:t>
            </w:r>
          </w:p>
        </w:tc>
        <w:tc>
          <w:tcPr>
            <w:tcW w:w="1800" w:type="dxa"/>
            <w:gridSpan w:val="2"/>
            <w:tcBorders>
              <w:left w:val="single" w:sz="4" w:space="0" w:color="auto"/>
              <w:right w:val="thinThickThinSmallGap" w:sz="24" w:space="0" w:color="auto"/>
            </w:tcBorders>
            <w:shd w:val="clear" w:color="auto" w:fill="FFFFFF"/>
            <w:vAlign w:val="center"/>
          </w:tcPr>
          <w:p w:rsidR="003F7F9B" w:rsidRPr="00F64312" w:rsidRDefault="003F7F9B" w:rsidP="006B690F">
            <w:pPr>
              <w:spacing w:line="180" w:lineRule="exact"/>
              <w:rPr>
                <w:color w:val="auto"/>
                <w:sz w:val="18"/>
              </w:rPr>
            </w:pPr>
            <w:r w:rsidRPr="00F64312">
              <w:rPr>
                <w:color w:val="auto"/>
                <w:sz w:val="18"/>
              </w:rPr>
              <w:t>Not Unfitting</w:t>
            </w:r>
          </w:p>
        </w:tc>
        <w:tc>
          <w:tcPr>
            <w:tcW w:w="2608" w:type="dxa"/>
            <w:tcBorders>
              <w:left w:val="thinThickThinSmallGap" w:sz="24" w:space="0" w:color="auto"/>
            </w:tcBorders>
            <w:shd w:val="clear" w:color="auto" w:fill="FFFFFF"/>
            <w:vAlign w:val="center"/>
          </w:tcPr>
          <w:p w:rsidR="003F7F9B" w:rsidRPr="00F64312" w:rsidRDefault="003F7F9B" w:rsidP="0017172C">
            <w:pPr>
              <w:spacing w:line="180" w:lineRule="exact"/>
              <w:contextualSpacing/>
              <w:jc w:val="left"/>
              <w:rPr>
                <w:color w:val="auto"/>
                <w:sz w:val="18"/>
              </w:rPr>
            </w:pPr>
            <w:r>
              <w:rPr>
                <w:color w:val="auto"/>
                <w:sz w:val="18"/>
              </w:rPr>
              <w:t>PTSD</w:t>
            </w:r>
          </w:p>
        </w:tc>
        <w:tc>
          <w:tcPr>
            <w:tcW w:w="1083" w:type="dxa"/>
            <w:shd w:val="clear" w:color="auto" w:fill="FFFFFF"/>
            <w:vAlign w:val="center"/>
          </w:tcPr>
          <w:p w:rsidR="003F7F9B" w:rsidRPr="00F64312" w:rsidRDefault="003F7F9B" w:rsidP="0017172C">
            <w:pPr>
              <w:spacing w:line="180" w:lineRule="exact"/>
              <w:contextualSpacing/>
              <w:rPr>
                <w:color w:val="auto"/>
                <w:sz w:val="18"/>
              </w:rPr>
            </w:pPr>
            <w:r>
              <w:rPr>
                <w:color w:val="auto"/>
                <w:sz w:val="18"/>
              </w:rPr>
              <w:t>9411</w:t>
            </w:r>
          </w:p>
        </w:tc>
        <w:tc>
          <w:tcPr>
            <w:tcW w:w="720" w:type="dxa"/>
            <w:shd w:val="clear" w:color="auto" w:fill="FFFFFF"/>
            <w:vAlign w:val="center"/>
          </w:tcPr>
          <w:p w:rsidR="003F7F9B" w:rsidRPr="00CC102E" w:rsidRDefault="003F7F9B" w:rsidP="0017172C">
            <w:pPr>
              <w:spacing w:line="180" w:lineRule="exact"/>
              <w:contextualSpacing/>
              <w:rPr>
                <w:color w:val="auto"/>
                <w:sz w:val="18"/>
              </w:rPr>
            </w:pPr>
            <w:r w:rsidRPr="00CC102E">
              <w:rPr>
                <w:color w:val="auto"/>
                <w:sz w:val="18"/>
              </w:rPr>
              <w:t>30%</w:t>
            </w:r>
            <w:r w:rsidR="00F158C2">
              <w:rPr>
                <w:color w:val="auto"/>
                <w:sz w:val="18"/>
              </w:rPr>
              <w:t>**</w:t>
            </w:r>
          </w:p>
        </w:tc>
        <w:tc>
          <w:tcPr>
            <w:tcW w:w="993" w:type="dxa"/>
            <w:shd w:val="clear" w:color="auto" w:fill="FFFFFF"/>
            <w:vAlign w:val="center"/>
          </w:tcPr>
          <w:p w:rsidR="003F7F9B" w:rsidRPr="00CC102E" w:rsidRDefault="00CC102E" w:rsidP="0017172C">
            <w:pPr>
              <w:spacing w:line="180" w:lineRule="exact"/>
              <w:contextualSpacing/>
              <w:rPr>
                <w:color w:val="auto"/>
                <w:sz w:val="18"/>
              </w:rPr>
            </w:pPr>
            <w:r w:rsidRPr="00CC102E">
              <w:rPr>
                <w:color w:val="auto"/>
                <w:sz w:val="18"/>
              </w:rPr>
              <w:t>20081213</w:t>
            </w:r>
          </w:p>
        </w:tc>
      </w:tr>
      <w:tr w:rsidR="007367FC" w:rsidRPr="00F64312" w:rsidTr="00CC102E">
        <w:trPr>
          <w:trHeight w:val="118"/>
          <w:jc w:val="center"/>
        </w:trPr>
        <w:tc>
          <w:tcPr>
            <w:tcW w:w="2165" w:type="dxa"/>
            <w:vMerge w:val="restart"/>
            <w:tcBorders>
              <w:right w:val="single" w:sz="4" w:space="0" w:color="auto"/>
            </w:tcBorders>
            <w:shd w:val="clear" w:color="auto" w:fill="FFFFFF"/>
            <w:vAlign w:val="center"/>
          </w:tcPr>
          <w:p w:rsidR="007367FC" w:rsidRPr="00F64312" w:rsidRDefault="007367FC" w:rsidP="006B690F">
            <w:pPr>
              <w:spacing w:line="180" w:lineRule="exact"/>
              <w:contextualSpacing/>
              <w:jc w:val="left"/>
              <w:rPr>
                <w:color w:val="auto"/>
                <w:sz w:val="18"/>
              </w:rPr>
            </w:pPr>
            <w:r>
              <w:rPr>
                <w:color w:val="auto"/>
                <w:sz w:val="18"/>
              </w:rPr>
              <w:t>Sensorineural Hearing Loss with Tinnitus</w:t>
            </w:r>
          </w:p>
        </w:tc>
        <w:tc>
          <w:tcPr>
            <w:tcW w:w="1800" w:type="dxa"/>
            <w:gridSpan w:val="2"/>
            <w:vMerge w:val="restart"/>
            <w:tcBorders>
              <w:left w:val="single" w:sz="4" w:space="0" w:color="auto"/>
              <w:right w:val="thinThickThinSmallGap" w:sz="24" w:space="0" w:color="auto"/>
            </w:tcBorders>
            <w:shd w:val="clear" w:color="auto" w:fill="FFFFFF"/>
            <w:vAlign w:val="center"/>
          </w:tcPr>
          <w:p w:rsidR="007367FC" w:rsidRPr="00F64312" w:rsidRDefault="007367FC" w:rsidP="006B690F">
            <w:pPr>
              <w:spacing w:line="180" w:lineRule="exact"/>
              <w:rPr>
                <w:color w:val="auto"/>
                <w:sz w:val="18"/>
              </w:rPr>
            </w:pPr>
            <w:r w:rsidRPr="00F64312">
              <w:rPr>
                <w:color w:val="auto"/>
                <w:sz w:val="18"/>
              </w:rPr>
              <w:t>Not Unfitting</w:t>
            </w:r>
          </w:p>
        </w:tc>
        <w:tc>
          <w:tcPr>
            <w:tcW w:w="2608" w:type="dxa"/>
            <w:tcBorders>
              <w:left w:val="thinThickThinSmallGap" w:sz="24" w:space="0" w:color="auto"/>
            </w:tcBorders>
            <w:shd w:val="clear" w:color="auto" w:fill="FFFFFF"/>
            <w:vAlign w:val="center"/>
          </w:tcPr>
          <w:p w:rsidR="007367FC" w:rsidRPr="00F64312" w:rsidRDefault="007367FC" w:rsidP="0017172C">
            <w:pPr>
              <w:spacing w:line="180" w:lineRule="exact"/>
              <w:contextualSpacing/>
              <w:jc w:val="left"/>
              <w:rPr>
                <w:color w:val="auto"/>
                <w:sz w:val="18"/>
              </w:rPr>
            </w:pPr>
            <w:r>
              <w:rPr>
                <w:color w:val="auto"/>
                <w:sz w:val="18"/>
              </w:rPr>
              <w:t>Tinnitus</w:t>
            </w:r>
          </w:p>
        </w:tc>
        <w:tc>
          <w:tcPr>
            <w:tcW w:w="1083" w:type="dxa"/>
            <w:shd w:val="clear" w:color="auto" w:fill="FFFFFF"/>
            <w:vAlign w:val="center"/>
          </w:tcPr>
          <w:p w:rsidR="007367FC" w:rsidRPr="00F64312" w:rsidRDefault="007367FC" w:rsidP="0017172C">
            <w:pPr>
              <w:spacing w:line="180" w:lineRule="exact"/>
              <w:contextualSpacing/>
              <w:rPr>
                <w:color w:val="auto"/>
                <w:sz w:val="18"/>
              </w:rPr>
            </w:pPr>
            <w:r>
              <w:rPr>
                <w:color w:val="auto"/>
                <w:sz w:val="18"/>
              </w:rPr>
              <w:t>6260</w:t>
            </w:r>
          </w:p>
        </w:tc>
        <w:tc>
          <w:tcPr>
            <w:tcW w:w="720" w:type="dxa"/>
            <w:tcBorders>
              <w:right w:val="single" w:sz="4" w:space="0" w:color="auto"/>
            </w:tcBorders>
            <w:shd w:val="clear" w:color="auto" w:fill="FFFFFF"/>
            <w:vAlign w:val="center"/>
          </w:tcPr>
          <w:p w:rsidR="007367FC" w:rsidRPr="00F64312" w:rsidRDefault="007367FC" w:rsidP="0017172C">
            <w:pPr>
              <w:spacing w:line="180" w:lineRule="exact"/>
              <w:contextualSpacing/>
              <w:rPr>
                <w:color w:val="auto"/>
                <w:sz w:val="18"/>
              </w:rPr>
            </w:pPr>
            <w:r>
              <w:rPr>
                <w:color w:val="auto"/>
                <w:sz w:val="18"/>
              </w:rPr>
              <w:t>10%</w:t>
            </w:r>
          </w:p>
        </w:tc>
        <w:tc>
          <w:tcPr>
            <w:tcW w:w="993" w:type="dxa"/>
            <w:tcBorders>
              <w:left w:val="single" w:sz="4" w:space="0" w:color="auto"/>
            </w:tcBorders>
            <w:shd w:val="clear" w:color="auto" w:fill="FFFFFF"/>
            <w:vAlign w:val="center"/>
          </w:tcPr>
          <w:p w:rsidR="007367FC" w:rsidRPr="007367FC" w:rsidRDefault="007367FC" w:rsidP="0017172C">
            <w:pPr>
              <w:spacing w:line="180" w:lineRule="exact"/>
              <w:contextualSpacing/>
              <w:rPr>
                <w:color w:val="auto"/>
                <w:sz w:val="18"/>
                <w:highlight w:val="yellow"/>
              </w:rPr>
            </w:pPr>
            <w:r w:rsidRPr="007367FC">
              <w:rPr>
                <w:color w:val="auto"/>
                <w:sz w:val="18"/>
              </w:rPr>
              <w:t>20080104</w:t>
            </w:r>
          </w:p>
        </w:tc>
      </w:tr>
      <w:tr w:rsidR="007367FC" w:rsidRPr="00F64312" w:rsidTr="00CC102E">
        <w:trPr>
          <w:trHeight w:val="118"/>
          <w:jc w:val="center"/>
        </w:trPr>
        <w:tc>
          <w:tcPr>
            <w:tcW w:w="2165" w:type="dxa"/>
            <w:vMerge/>
            <w:tcBorders>
              <w:right w:val="single" w:sz="4" w:space="0" w:color="auto"/>
            </w:tcBorders>
            <w:shd w:val="clear" w:color="auto" w:fill="FFFFFF"/>
            <w:vAlign w:val="center"/>
          </w:tcPr>
          <w:p w:rsidR="007367FC" w:rsidRDefault="007367FC" w:rsidP="006B690F">
            <w:pPr>
              <w:spacing w:line="180" w:lineRule="exact"/>
              <w:contextualSpacing/>
              <w:jc w:val="left"/>
              <w:rPr>
                <w:color w:val="auto"/>
                <w:sz w:val="18"/>
              </w:rPr>
            </w:pPr>
          </w:p>
        </w:tc>
        <w:tc>
          <w:tcPr>
            <w:tcW w:w="1800" w:type="dxa"/>
            <w:gridSpan w:val="2"/>
            <w:vMerge/>
            <w:tcBorders>
              <w:left w:val="single" w:sz="4" w:space="0" w:color="auto"/>
              <w:right w:val="thinThickThinSmallGap" w:sz="24" w:space="0" w:color="auto"/>
            </w:tcBorders>
            <w:shd w:val="clear" w:color="auto" w:fill="FFFFFF"/>
            <w:vAlign w:val="center"/>
          </w:tcPr>
          <w:p w:rsidR="007367FC" w:rsidRPr="00F64312" w:rsidRDefault="007367FC" w:rsidP="006B690F">
            <w:pPr>
              <w:spacing w:line="180" w:lineRule="exact"/>
              <w:rPr>
                <w:color w:val="auto"/>
                <w:sz w:val="18"/>
              </w:rPr>
            </w:pPr>
          </w:p>
        </w:tc>
        <w:tc>
          <w:tcPr>
            <w:tcW w:w="2608" w:type="dxa"/>
            <w:tcBorders>
              <w:left w:val="thinThickThinSmallGap" w:sz="24" w:space="0" w:color="auto"/>
            </w:tcBorders>
            <w:shd w:val="clear" w:color="auto" w:fill="FFFFFF"/>
            <w:vAlign w:val="center"/>
          </w:tcPr>
          <w:p w:rsidR="007367FC" w:rsidRDefault="007367FC" w:rsidP="0017172C">
            <w:pPr>
              <w:spacing w:line="180" w:lineRule="exact"/>
              <w:contextualSpacing/>
              <w:jc w:val="left"/>
              <w:rPr>
                <w:color w:val="auto"/>
                <w:sz w:val="18"/>
              </w:rPr>
            </w:pPr>
            <w:r>
              <w:rPr>
                <w:color w:val="auto"/>
                <w:sz w:val="18"/>
              </w:rPr>
              <w:t>Right Ear Hearing Loss</w:t>
            </w:r>
          </w:p>
        </w:tc>
        <w:tc>
          <w:tcPr>
            <w:tcW w:w="1083" w:type="dxa"/>
            <w:tcBorders>
              <w:right w:val="single" w:sz="4" w:space="0" w:color="auto"/>
            </w:tcBorders>
            <w:shd w:val="clear" w:color="auto" w:fill="FFFFFF"/>
            <w:vAlign w:val="center"/>
          </w:tcPr>
          <w:p w:rsidR="007367FC" w:rsidRDefault="007367FC" w:rsidP="0017172C">
            <w:pPr>
              <w:spacing w:line="180" w:lineRule="exact"/>
              <w:contextualSpacing/>
              <w:rPr>
                <w:color w:val="auto"/>
                <w:sz w:val="18"/>
              </w:rPr>
            </w:pPr>
            <w:r>
              <w:rPr>
                <w:color w:val="auto"/>
                <w:sz w:val="18"/>
              </w:rPr>
              <w:t>6100</w:t>
            </w:r>
          </w:p>
        </w:tc>
        <w:tc>
          <w:tcPr>
            <w:tcW w:w="720" w:type="dxa"/>
            <w:tcBorders>
              <w:left w:val="single" w:sz="4" w:space="0" w:color="auto"/>
              <w:right w:val="single" w:sz="4" w:space="0" w:color="auto"/>
            </w:tcBorders>
            <w:shd w:val="clear" w:color="auto" w:fill="FFFFFF"/>
            <w:vAlign w:val="center"/>
          </w:tcPr>
          <w:p w:rsidR="007367FC" w:rsidRDefault="007367FC" w:rsidP="0017172C">
            <w:pPr>
              <w:spacing w:line="180" w:lineRule="exact"/>
              <w:contextualSpacing/>
              <w:rPr>
                <w:color w:val="auto"/>
                <w:sz w:val="18"/>
              </w:rPr>
            </w:pPr>
            <w:r>
              <w:rPr>
                <w:color w:val="auto"/>
                <w:sz w:val="18"/>
              </w:rPr>
              <w:t>0%</w:t>
            </w:r>
          </w:p>
        </w:tc>
        <w:tc>
          <w:tcPr>
            <w:tcW w:w="993" w:type="dxa"/>
            <w:tcBorders>
              <w:left w:val="single" w:sz="4" w:space="0" w:color="auto"/>
            </w:tcBorders>
            <w:shd w:val="clear" w:color="auto" w:fill="FFFFFF"/>
            <w:vAlign w:val="center"/>
          </w:tcPr>
          <w:p w:rsidR="007367FC" w:rsidRPr="007367FC" w:rsidRDefault="007367FC" w:rsidP="0017172C">
            <w:pPr>
              <w:spacing w:line="180" w:lineRule="exact"/>
              <w:contextualSpacing/>
              <w:rPr>
                <w:color w:val="auto"/>
                <w:sz w:val="18"/>
              </w:rPr>
            </w:pPr>
            <w:r w:rsidRPr="007367FC">
              <w:rPr>
                <w:color w:val="auto"/>
                <w:sz w:val="18"/>
              </w:rPr>
              <w:t>20080104</w:t>
            </w:r>
          </w:p>
        </w:tc>
      </w:tr>
      <w:tr w:rsidR="00CC102E" w:rsidRPr="00F64312" w:rsidTr="00CC102E">
        <w:trPr>
          <w:trHeight w:val="118"/>
          <w:jc w:val="center"/>
        </w:trPr>
        <w:tc>
          <w:tcPr>
            <w:tcW w:w="2165" w:type="dxa"/>
            <w:vMerge/>
            <w:tcBorders>
              <w:right w:val="single" w:sz="4" w:space="0" w:color="auto"/>
            </w:tcBorders>
            <w:shd w:val="clear" w:color="auto" w:fill="FFFFFF"/>
            <w:vAlign w:val="center"/>
          </w:tcPr>
          <w:p w:rsidR="00CC102E" w:rsidRDefault="00CC102E" w:rsidP="006B690F">
            <w:pPr>
              <w:spacing w:line="180" w:lineRule="exact"/>
              <w:contextualSpacing/>
              <w:jc w:val="left"/>
              <w:rPr>
                <w:color w:val="auto"/>
                <w:sz w:val="18"/>
              </w:rPr>
            </w:pPr>
          </w:p>
        </w:tc>
        <w:tc>
          <w:tcPr>
            <w:tcW w:w="1800" w:type="dxa"/>
            <w:gridSpan w:val="2"/>
            <w:vMerge/>
            <w:tcBorders>
              <w:left w:val="single" w:sz="4" w:space="0" w:color="auto"/>
              <w:right w:val="thinThickThinSmallGap" w:sz="24" w:space="0" w:color="auto"/>
            </w:tcBorders>
            <w:shd w:val="clear" w:color="auto" w:fill="FFFFFF"/>
            <w:vAlign w:val="center"/>
          </w:tcPr>
          <w:p w:rsidR="00CC102E" w:rsidRPr="00F64312" w:rsidRDefault="00CC102E" w:rsidP="006B690F">
            <w:pPr>
              <w:spacing w:line="180" w:lineRule="exact"/>
              <w:rPr>
                <w:color w:val="auto"/>
                <w:sz w:val="18"/>
              </w:rPr>
            </w:pPr>
          </w:p>
        </w:tc>
        <w:tc>
          <w:tcPr>
            <w:tcW w:w="2608" w:type="dxa"/>
            <w:tcBorders>
              <w:left w:val="thinThickThinSmallGap" w:sz="24" w:space="0" w:color="auto"/>
            </w:tcBorders>
            <w:shd w:val="clear" w:color="auto" w:fill="FFFFFF"/>
            <w:vAlign w:val="center"/>
          </w:tcPr>
          <w:p w:rsidR="00CC102E" w:rsidRDefault="00CC102E" w:rsidP="0017172C">
            <w:pPr>
              <w:spacing w:line="180" w:lineRule="exact"/>
              <w:contextualSpacing/>
              <w:jc w:val="left"/>
              <w:rPr>
                <w:color w:val="auto"/>
                <w:sz w:val="18"/>
              </w:rPr>
            </w:pPr>
            <w:r>
              <w:rPr>
                <w:color w:val="auto"/>
                <w:sz w:val="18"/>
              </w:rPr>
              <w:t>Left Ear Hearing Loss</w:t>
            </w:r>
          </w:p>
        </w:tc>
        <w:tc>
          <w:tcPr>
            <w:tcW w:w="1083" w:type="dxa"/>
            <w:tcBorders>
              <w:right w:val="single" w:sz="4" w:space="0" w:color="auto"/>
            </w:tcBorders>
            <w:shd w:val="clear" w:color="auto" w:fill="FFFFFF"/>
            <w:vAlign w:val="center"/>
          </w:tcPr>
          <w:p w:rsidR="00CC102E" w:rsidRPr="007367FC" w:rsidRDefault="00CC102E" w:rsidP="0017172C">
            <w:pPr>
              <w:spacing w:line="180" w:lineRule="exact"/>
              <w:contextualSpacing/>
              <w:rPr>
                <w:color w:val="auto"/>
                <w:sz w:val="18"/>
              </w:rPr>
            </w:pPr>
            <w:r>
              <w:rPr>
                <w:color w:val="auto"/>
                <w:sz w:val="18"/>
              </w:rPr>
              <w:t>6100</w:t>
            </w:r>
          </w:p>
        </w:tc>
        <w:tc>
          <w:tcPr>
            <w:tcW w:w="720" w:type="dxa"/>
            <w:tcBorders>
              <w:left w:val="single" w:sz="4" w:space="0" w:color="auto"/>
              <w:bottom w:val="single" w:sz="4" w:space="0" w:color="auto"/>
              <w:right w:val="single" w:sz="4" w:space="0" w:color="auto"/>
            </w:tcBorders>
            <w:shd w:val="clear" w:color="auto" w:fill="FFFFFF"/>
            <w:vAlign w:val="center"/>
          </w:tcPr>
          <w:p w:rsidR="00CC102E" w:rsidRPr="007367FC" w:rsidRDefault="00CC102E" w:rsidP="0017172C">
            <w:pPr>
              <w:spacing w:line="180" w:lineRule="exact"/>
              <w:contextualSpacing/>
              <w:rPr>
                <w:color w:val="auto"/>
                <w:sz w:val="18"/>
              </w:rPr>
            </w:pPr>
            <w:r>
              <w:rPr>
                <w:color w:val="auto"/>
                <w:sz w:val="18"/>
              </w:rPr>
              <w:t>NSC</w:t>
            </w:r>
          </w:p>
        </w:tc>
        <w:tc>
          <w:tcPr>
            <w:tcW w:w="993" w:type="dxa"/>
            <w:tcBorders>
              <w:left w:val="single" w:sz="4" w:space="0" w:color="auto"/>
            </w:tcBorders>
            <w:shd w:val="clear" w:color="auto" w:fill="FFFFFF"/>
            <w:vAlign w:val="center"/>
          </w:tcPr>
          <w:p w:rsidR="00CC102E" w:rsidRPr="007367FC" w:rsidRDefault="00CC102E" w:rsidP="0017172C">
            <w:pPr>
              <w:spacing w:line="180" w:lineRule="exact"/>
              <w:contextualSpacing/>
              <w:rPr>
                <w:color w:val="auto"/>
                <w:sz w:val="18"/>
              </w:rPr>
            </w:pPr>
            <w:r>
              <w:rPr>
                <w:color w:val="auto"/>
                <w:sz w:val="18"/>
              </w:rPr>
              <w:t>20080104</w:t>
            </w:r>
          </w:p>
        </w:tc>
      </w:tr>
      <w:tr w:rsidR="007367FC" w:rsidRPr="00F64312" w:rsidTr="00CC102E">
        <w:trPr>
          <w:trHeight w:val="118"/>
          <w:jc w:val="center"/>
        </w:trPr>
        <w:tc>
          <w:tcPr>
            <w:tcW w:w="2165" w:type="dxa"/>
            <w:tcBorders>
              <w:right w:val="single" w:sz="4" w:space="0" w:color="auto"/>
            </w:tcBorders>
            <w:shd w:val="clear" w:color="auto" w:fill="FFFFFF"/>
            <w:vAlign w:val="center"/>
          </w:tcPr>
          <w:p w:rsidR="007367FC" w:rsidRDefault="007367FC" w:rsidP="006B690F">
            <w:pPr>
              <w:spacing w:line="180" w:lineRule="exact"/>
              <w:contextualSpacing/>
              <w:jc w:val="left"/>
              <w:rPr>
                <w:color w:val="auto"/>
                <w:sz w:val="18"/>
              </w:rPr>
            </w:pPr>
            <w:r>
              <w:rPr>
                <w:color w:val="auto"/>
                <w:sz w:val="18"/>
              </w:rPr>
              <w:t>Sleep Apnea</w:t>
            </w:r>
          </w:p>
        </w:tc>
        <w:tc>
          <w:tcPr>
            <w:tcW w:w="1800" w:type="dxa"/>
            <w:gridSpan w:val="2"/>
            <w:tcBorders>
              <w:left w:val="single" w:sz="4" w:space="0" w:color="auto"/>
              <w:right w:val="thinThickThinSmallGap" w:sz="24" w:space="0" w:color="auto"/>
            </w:tcBorders>
            <w:shd w:val="clear" w:color="auto" w:fill="FFFFFF"/>
            <w:vAlign w:val="center"/>
          </w:tcPr>
          <w:p w:rsidR="007367FC" w:rsidRPr="00F64312" w:rsidRDefault="007367FC" w:rsidP="006B690F">
            <w:pPr>
              <w:spacing w:line="180" w:lineRule="exact"/>
              <w:rPr>
                <w:color w:val="auto"/>
                <w:sz w:val="18"/>
              </w:rPr>
            </w:pPr>
            <w:r w:rsidRPr="00F64312">
              <w:rPr>
                <w:color w:val="auto"/>
                <w:sz w:val="18"/>
              </w:rPr>
              <w:t>Not Unfitting</w:t>
            </w:r>
          </w:p>
        </w:tc>
        <w:tc>
          <w:tcPr>
            <w:tcW w:w="2608" w:type="dxa"/>
            <w:tcBorders>
              <w:left w:val="thinThickThinSmallGap" w:sz="24" w:space="0" w:color="auto"/>
            </w:tcBorders>
            <w:shd w:val="clear" w:color="auto" w:fill="FFFFFF"/>
            <w:vAlign w:val="center"/>
          </w:tcPr>
          <w:p w:rsidR="007367FC" w:rsidRDefault="007367FC" w:rsidP="0017172C">
            <w:pPr>
              <w:spacing w:line="180" w:lineRule="exact"/>
              <w:contextualSpacing/>
              <w:jc w:val="left"/>
              <w:rPr>
                <w:color w:val="auto"/>
                <w:sz w:val="18"/>
              </w:rPr>
            </w:pPr>
            <w:r>
              <w:rPr>
                <w:color w:val="auto"/>
                <w:sz w:val="18"/>
              </w:rPr>
              <w:t>Sleep Apnea</w:t>
            </w:r>
          </w:p>
        </w:tc>
        <w:tc>
          <w:tcPr>
            <w:tcW w:w="1083" w:type="dxa"/>
            <w:tcBorders>
              <w:right w:val="single" w:sz="4" w:space="0" w:color="auto"/>
            </w:tcBorders>
            <w:shd w:val="clear" w:color="auto" w:fill="FFFFFF"/>
            <w:vAlign w:val="center"/>
          </w:tcPr>
          <w:p w:rsidR="007367FC" w:rsidRDefault="007367FC" w:rsidP="0017172C">
            <w:pPr>
              <w:spacing w:line="180" w:lineRule="exact"/>
              <w:contextualSpacing/>
              <w:rPr>
                <w:color w:val="auto"/>
                <w:sz w:val="18"/>
              </w:rPr>
            </w:pPr>
            <w:r>
              <w:rPr>
                <w:color w:val="auto"/>
                <w:sz w:val="18"/>
              </w:rPr>
              <w:t>6847</w:t>
            </w:r>
          </w:p>
        </w:tc>
        <w:tc>
          <w:tcPr>
            <w:tcW w:w="720" w:type="dxa"/>
            <w:tcBorders>
              <w:top w:val="single" w:sz="4" w:space="0" w:color="auto"/>
              <w:left w:val="single" w:sz="4" w:space="0" w:color="auto"/>
              <w:right w:val="single" w:sz="4" w:space="0" w:color="auto"/>
            </w:tcBorders>
            <w:shd w:val="clear" w:color="auto" w:fill="FFFFFF"/>
            <w:vAlign w:val="center"/>
          </w:tcPr>
          <w:p w:rsidR="007367FC" w:rsidRDefault="007367FC" w:rsidP="0017172C">
            <w:pPr>
              <w:spacing w:line="180" w:lineRule="exact"/>
              <w:contextualSpacing/>
              <w:rPr>
                <w:color w:val="auto"/>
                <w:sz w:val="18"/>
              </w:rPr>
            </w:pPr>
            <w:r>
              <w:rPr>
                <w:color w:val="auto"/>
                <w:sz w:val="18"/>
              </w:rPr>
              <w:t>50%*</w:t>
            </w:r>
          </w:p>
        </w:tc>
        <w:tc>
          <w:tcPr>
            <w:tcW w:w="993" w:type="dxa"/>
            <w:tcBorders>
              <w:left w:val="single" w:sz="4" w:space="0" w:color="auto"/>
            </w:tcBorders>
            <w:shd w:val="clear" w:color="auto" w:fill="FFFFFF"/>
            <w:vAlign w:val="center"/>
          </w:tcPr>
          <w:p w:rsidR="007367FC" w:rsidRDefault="007367FC" w:rsidP="0017172C">
            <w:pPr>
              <w:spacing w:line="180" w:lineRule="exact"/>
              <w:contextualSpacing/>
              <w:rPr>
                <w:color w:val="auto"/>
                <w:sz w:val="18"/>
              </w:rPr>
            </w:pPr>
            <w:r>
              <w:rPr>
                <w:color w:val="auto"/>
                <w:sz w:val="18"/>
              </w:rPr>
              <w:t>STR</w:t>
            </w:r>
          </w:p>
        </w:tc>
      </w:tr>
      <w:tr w:rsidR="00077D13" w:rsidRPr="00F64312" w:rsidTr="00CC102E">
        <w:trPr>
          <w:trHeight w:val="97"/>
          <w:jc w:val="center"/>
        </w:trPr>
        <w:tc>
          <w:tcPr>
            <w:tcW w:w="2165" w:type="dxa"/>
            <w:tcBorders>
              <w:right w:val="single" w:sz="4" w:space="0" w:color="auto"/>
            </w:tcBorders>
            <w:shd w:val="clear" w:color="auto" w:fill="FFFFFF"/>
            <w:vAlign w:val="center"/>
          </w:tcPr>
          <w:p w:rsidR="00077D13" w:rsidRPr="00F64312" w:rsidRDefault="00077D13" w:rsidP="006B690F">
            <w:pPr>
              <w:spacing w:line="180" w:lineRule="exact"/>
              <w:contextualSpacing/>
              <w:jc w:val="left"/>
              <w:rPr>
                <w:rFonts w:cs="Calibri"/>
                <w:color w:val="auto"/>
                <w:sz w:val="18"/>
              </w:rPr>
            </w:pPr>
            <w:r>
              <w:rPr>
                <w:rFonts w:cs="Calibri"/>
                <w:color w:val="auto"/>
                <w:sz w:val="18"/>
              </w:rPr>
              <w:t>Alcohol Dependence</w:t>
            </w:r>
          </w:p>
        </w:tc>
        <w:tc>
          <w:tcPr>
            <w:tcW w:w="1800" w:type="dxa"/>
            <w:gridSpan w:val="2"/>
            <w:tcBorders>
              <w:left w:val="single" w:sz="4" w:space="0" w:color="auto"/>
              <w:right w:val="thinThickThinSmallGap" w:sz="24" w:space="0" w:color="auto"/>
            </w:tcBorders>
            <w:shd w:val="clear" w:color="auto" w:fill="FFFFFF"/>
            <w:vAlign w:val="center"/>
          </w:tcPr>
          <w:p w:rsidR="00077D13" w:rsidRPr="00F64312" w:rsidRDefault="00077D13" w:rsidP="007367FC">
            <w:pPr>
              <w:spacing w:line="180" w:lineRule="exact"/>
              <w:contextualSpacing/>
              <w:rPr>
                <w:rFonts w:cs="Calibri"/>
                <w:color w:val="auto"/>
                <w:sz w:val="18"/>
              </w:rPr>
            </w:pPr>
            <w:r w:rsidRPr="00F64312">
              <w:rPr>
                <w:color w:val="auto"/>
                <w:sz w:val="18"/>
              </w:rPr>
              <w:t xml:space="preserve">Not </w:t>
            </w:r>
            <w:r>
              <w:rPr>
                <w:color w:val="auto"/>
                <w:sz w:val="18"/>
              </w:rPr>
              <w:t>a Ratable Condition</w:t>
            </w:r>
          </w:p>
        </w:tc>
        <w:tc>
          <w:tcPr>
            <w:tcW w:w="4411" w:type="dxa"/>
            <w:gridSpan w:val="3"/>
            <w:tcBorders>
              <w:left w:val="thinThickThinSmallGap" w:sz="24" w:space="0" w:color="auto"/>
              <w:right w:val="single" w:sz="4" w:space="0" w:color="auto"/>
            </w:tcBorders>
            <w:shd w:val="clear" w:color="auto" w:fill="FFFFFF"/>
            <w:vAlign w:val="center"/>
          </w:tcPr>
          <w:p w:rsidR="00077D13" w:rsidRPr="00F64312" w:rsidRDefault="00077D13" w:rsidP="00077D13">
            <w:pPr>
              <w:spacing w:line="180" w:lineRule="exact"/>
              <w:contextualSpacing/>
              <w:jc w:val="left"/>
              <w:rPr>
                <w:rFonts w:cs="Calibri"/>
                <w:color w:val="auto"/>
                <w:sz w:val="18"/>
              </w:rPr>
            </w:pPr>
            <w:r w:rsidRPr="00F64312">
              <w:rPr>
                <w:rFonts w:cs="Calibri"/>
                <w:color w:val="auto"/>
                <w:sz w:val="18"/>
              </w:rPr>
              <w:t>NO VA ENTRY</w:t>
            </w:r>
          </w:p>
        </w:tc>
        <w:tc>
          <w:tcPr>
            <w:tcW w:w="993" w:type="dxa"/>
            <w:tcBorders>
              <w:left w:val="single" w:sz="4" w:space="0" w:color="auto"/>
            </w:tcBorders>
            <w:shd w:val="clear" w:color="auto" w:fill="FFFFFF"/>
            <w:vAlign w:val="center"/>
          </w:tcPr>
          <w:p w:rsidR="00077D13" w:rsidRPr="00F64312" w:rsidRDefault="00077D13" w:rsidP="00077D13">
            <w:pPr>
              <w:spacing w:line="180" w:lineRule="exact"/>
              <w:contextualSpacing/>
              <w:rPr>
                <w:color w:val="auto"/>
                <w:sz w:val="18"/>
              </w:rPr>
            </w:pPr>
            <w:r w:rsidRPr="007367FC">
              <w:rPr>
                <w:color w:val="auto"/>
                <w:sz w:val="18"/>
              </w:rPr>
              <w:t>20080104</w:t>
            </w:r>
          </w:p>
        </w:tc>
      </w:tr>
      <w:tr w:rsidR="00F90376" w:rsidRPr="00F64312" w:rsidTr="00CC102E">
        <w:trPr>
          <w:trHeight w:val="172"/>
          <w:jc w:val="center"/>
        </w:trPr>
        <w:tc>
          <w:tcPr>
            <w:tcW w:w="3965" w:type="dxa"/>
            <w:gridSpan w:val="3"/>
            <w:tcBorders>
              <w:right w:val="thinThickThinSmallGap" w:sz="24" w:space="0" w:color="auto"/>
            </w:tcBorders>
            <w:shd w:val="clear" w:color="auto" w:fill="FFFFFF"/>
            <w:vAlign w:val="center"/>
          </w:tcPr>
          <w:p w:rsidR="00F90376" w:rsidRPr="00F64312" w:rsidRDefault="00905EA6"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411" w:type="dxa"/>
            <w:gridSpan w:val="3"/>
            <w:tcBorders>
              <w:left w:val="thinThickThinSmallGap" w:sz="24" w:space="0" w:color="auto"/>
            </w:tcBorders>
            <w:shd w:val="clear" w:color="auto" w:fill="FFFFFF"/>
            <w:vAlign w:val="center"/>
          </w:tcPr>
          <w:p w:rsidR="00F90376" w:rsidRPr="00F64312" w:rsidRDefault="00F90376" w:rsidP="003F582B">
            <w:pPr>
              <w:spacing w:line="180" w:lineRule="exact"/>
              <w:contextualSpacing/>
              <w:rPr>
                <w:rFonts w:cs="Calibri"/>
                <w:color w:val="auto"/>
                <w:sz w:val="18"/>
              </w:rPr>
            </w:pPr>
            <w:r w:rsidRPr="00F64312">
              <w:rPr>
                <w:color w:val="auto"/>
                <w:sz w:val="18"/>
              </w:rPr>
              <w:t xml:space="preserve">0% X </w:t>
            </w:r>
            <w:r w:rsidR="003F582B">
              <w:rPr>
                <w:color w:val="auto"/>
                <w:sz w:val="18"/>
              </w:rPr>
              <w:t>1</w:t>
            </w:r>
            <w:r w:rsidRPr="00F64312">
              <w:rPr>
                <w:color w:val="auto"/>
                <w:sz w:val="18"/>
              </w:rPr>
              <w:t xml:space="preserve"> </w:t>
            </w:r>
            <w:r w:rsidR="00ED7820">
              <w:rPr>
                <w:color w:val="auto"/>
                <w:sz w:val="18"/>
              </w:rPr>
              <w:t>/ Not Service-</w:t>
            </w:r>
            <w:r w:rsidRPr="00F64312">
              <w:rPr>
                <w:color w:val="auto"/>
                <w:sz w:val="18"/>
              </w:rPr>
              <w:t xml:space="preserve">Connected x </w:t>
            </w:r>
            <w:r w:rsidR="003F582B">
              <w:rPr>
                <w:color w:val="auto"/>
                <w:sz w:val="18"/>
              </w:rPr>
              <w:t>2</w:t>
            </w:r>
          </w:p>
        </w:tc>
        <w:tc>
          <w:tcPr>
            <w:tcW w:w="993" w:type="dxa"/>
            <w:shd w:val="clear" w:color="auto" w:fill="FFFFFF"/>
            <w:vAlign w:val="center"/>
          </w:tcPr>
          <w:p w:rsidR="00F90376" w:rsidRPr="00F64312" w:rsidRDefault="00F90376" w:rsidP="0017172C">
            <w:pPr>
              <w:spacing w:line="180" w:lineRule="exact"/>
              <w:contextualSpacing/>
              <w:rPr>
                <w:rFonts w:cs="Calibri"/>
                <w:color w:val="auto"/>
                <w:sz w:val="18"/>
              </w:rPr>
            </w:pPr>
          </w:p>
        </w:tc>
      </w:tr>
      <w:tr w:rsidR="00F90376" w:rsidRPr="00F64312" w:rsidTr="00CC102E">
        <w:trPr>
          <w:trHeight w:val="124"/>
          <w:jc w:val="center"/>
        </w:trPr>
        <w:tc>
          <w:tcPr>
            <w:tcW w:w="3965" w:type="dxa"/>
            <w:gridSpan w:val="3"/>
            <w:tcBorders>
              <w:right w:val="thinThickThinSmallGap" w:sz="24" w:space="0" w:color="auto"/>
            </w:tcBorders>
            <w:shd w:val="clear" w:color="auto" w:fill="D9D9D9"/>
          </w:tcPr>
          <w:p w:rsidR="00F90376" w:rsidRPr="00F64312" w:rsidRDefault="00F90376" w:rsidP="003F582B">
            <w:pPr>
              <w:spacing w:line="180" w:lineRule="exact"/>
              <w:contextualSpacing/>
              <w:rPr>
                <w:rFonts w:cs="Calibri"/>
                <w:b/>
                <w:color w:val="auto"/>
                <w:sz w:val="18"/>
              </w:rPr>
            </w:pPr>
            <w:r w:rsidRPr="00F64312">
              <w:rPr>
                <w:b/>
                <w:color w:val="auto"/>
                <w:sz w:val="18"/>
              </w:rPr>
              <w:t xml:space="preserve">Combined:  </w:t>
            </w:r>
            <w:r w:rsidR="003F582B">
              <w:rPr>
                <w:b/>
                <w:color w:val="auto"/>
                <w:sz w:val="18"/>
              </w:rPr>
              <w:t>20</w:t>
            </w:r>
            <w:r w:rsidRPr="00F64312">
              <w:rPr>
                <w:b/>
                <w:color w:val="auto"/>
                <w:sz w:val="18"/>
              </w:rPr>
              <w:t>%</w:t>
            </w:r>
          </w:p>
        </w:tc>
        <w:tc>
          <w:tcPr>
            <w:tcW w:w="5404" w:type="dxa"/>
            <w:gridSpan w:val="4"/>
            <w:tcBorders>
              <w:left w:val="thinThickThinSmallGap" w:sz="24" w:space="0" w:color="auto"/>
            </w:tcBorders>
            <w:shd w:val="clear" w:color="auto" w:fill="D9D9D9"/>
          </w:tcPr>
          <w:p w:rsidR="00F90376" w:rsidRPr="00F64312" w:rsidRDefault="00F90376" w:rsidP="003F582B">
            <w:pPr>
              <w:spacing w:line="180" w:lineRule="exact"/>
              <w:contextualSpacing/>
              <w:rPr>
                <w:rFonts w:cs="Calibri"/>
                <w:b/>
                <w:color w:val="auto"/>
                <w:sz w:val="18"/>
              </w:rPr>
            </w:pPr>
            <w:r w:rsidRPr="00F64312">
              <w:rPr>
                <w:b/>
                <w:color w:val="auto"/>
                <w:sz w:val="18"/>
              </w:rPr>
              <w:t xml:space="preserve">Combined:  </w:t>
            </w:r>
            <w:r w:rsidR="003F582B">
              <w:rPr>
                <w:b/>
                <w:color w:val="auto"/>
                <w:sz w:val="18"/>
              </w:rPr>
              <w:t>50% then 80</w:t>
            </w:r>
            <w:r w:rsidRPr="00F64312">
              <w:rPr>
                <w:b/>
                <w:color w:val="auto"/>
                <w:sz w:val="18"/>
              </w:rPr>
              <w:t>%</w:t>
            </w:r>
            <w:r w:rsidR="00F158C2">
              <w:rPr>
                <w:b/>
                <w:color w:val="auto"/>
                <w:sz w:val="18"/>
              </w:rPr>
              <w:t xml:space="preserve"> then 90%</w:t>
            </w:r>
          </w:p>
        </w:tc>
      </w:tr>
    </w:tbl>
    <w:p w:rsidR="00F90376"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CC102E">
        <w:rPr>
          <w:color w:val="auto"/>
          <w:sz w:val="18"/>
          <w:szCs w:val="18"/>
        </w:rPr>
        <w:t xml:space="preserve">Sleep apnea was deferred, </w:t>
      </w:r>
      <w:r w:rsidR="00F158C2">
        <w:rPr>
          <w:color w:val="auto"/>
          <w:sz w:val="18"/>
          <w:szCs w:val="18"/>
        </w:rPr>
        <w:t>and then</w:t>
      </w:r>
      <w:r w:rsidR="00CC102E">
        <w:rPr>
          <w:color w:val="auto"/>
          <w:sz w:val="18"/>
          <w:szCs w:val="18"/>
        </w:rPr>
        <w:t xml:space="preserve"> denied, then service connected and </w:t>
      </w:r>
      <w:r w:rsidR="00F158C2">
        <w:rPr>
          <w:color w:val="auto"/>
          <w:sz w:val="18"/>
          <w:szCs w:val="18"/>
        </w:rPr>
        <w:t xml:space="preserve">rated </w:t>
      </w:r>
      <w:r w:rsidR="007367FC">
        <w:rPr>
          <w:color w:val="auto"/>
          <w:sz w:val="18"/>
          <w:szCs w:val="18"/>
        </w:rPr>
        <w:t xml:space="preserve">50% </w:t>
      </w:r>
      <w:r w:rsidR="00CC102E">
        <w:rPr>
          <w:color w:val="auto"/>
          <w:sz w:val="18"/>
          <w:szCs w:val="18"/>
        </w:rPr>
        <w:t xml:space="preserve">by </w:t>
      </w:r>
      <w:r w:rsidR="007367FC">
        <w:rPr>
          <w:color w:val="auto"/>
          <w:sz w:val="18"/>
          <w:szCs w:val="18"/>
        </w:rPr>
        <w:t>VARD dated 2009223</w:t>
      </w:r>
      <w:r w:rsidR="003F582B">
        <w:rPr>
          <w:color w:val="auto"/>
          <w:sz w:val="18"/>
          <w:szCs w:val="18"/>
        </w:rPr>
        <w:t xml:space="preserve"> which increased combined rating from 50% to 80%</w:t>
      </w:r>
    </w:p>
    <w:p w:rsidR="00F158C2" w:rsidRPr="00F64312" w:rsidRDefault="00F158C2"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 PTSD was increased to 70% by VARD dated 20110207 which increased combined rating from 80% to 90%</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BC325C" w:rsidRDefault="00AD2379" w:rsidP="00726F84">
      <w:pPr>
        <w:jc w:val="both"/>
        <w:rPr>
          <w:color w:val="auto"/>
          <w:szCs w:val="24"/>
        </w:rPr>
      </w:pPr>
      <w:r w:rsidRPr="00BC325C">
        <w:rPr>
          <w:color w:val="auto"/>
          <w:szCs w:val="24"/>
          <w:u w:val="single"/>
        </w:rPr>
        <w:t>ANALYSIS SUMMARY</w:t>
      </w:r>
      <w:r w:rsidRPr="00BC325C">
        <w:rPr>
          <w:color w:val="auto"/>
          <w:szCs w:val="24"/>
        </w:rPr>
        <w:t>:</w:t>
      </w:r>
      <w:r w:rsidR="00896C01" w:rsidRPr="00BC325C">
        <w:rPr>
          <w:color w:val="auto"/>
          <w:szCs w:val="24"/>
        </w:rPr>
        <w:t xml:space="preserve"> </w:t>
      </w:r>
      <w:r w:rsidRPr="00BC325C">
        <w:rPr>
          <w:color w:val="auto"/>
          <w:szCs w:val="24"/>
        </w:rPr>
        <w:t xml:space="preserve"> </w:t>
      </w:r>
      <w:r w:rsidR="00BC325C" w:rsidRPr="00BC325C">
        <w:rPr>
          <w:color w:val="auto"/>
          <w:szCs w:val="24"/>
        </w:rPr>
        <w:t xml:space="preserve">The Board acknowledges the CI’s assertions that he was quickly medically discharged without consideration of his many ailments.  It is noted for the record that the Board has neither the jurisdiction nor authority to scrutinize or render opinions in reference to asserted service improprieties in the disposition of a case. </w:t>
      </w:r>
      <w:r w:rsidR="00BC325C">
        <w:rPr>
          <w:color w:val="auto"/>
          <w:szCs w:val="24"/>
        </w:rPr>
        <w:t xml:space="preserve"> </w:t>
      </w:r>
      <w:r w:rsidR="00BC325C" w:rsidRPr="00BC325C">
        <w:rPr>
          <w:color w:val="auto"/>
          <w:szCs w:val="24"/>
        </w:rPr>
        <w:t xml:space="preserve">The Board’s role is confined to the review of medical records and all evidence at hand to assess the fairness of </w:t>
      </w:r>
      <w:r w:rsidR="00F453CB">
        <w:rPr>
          <w:color w:val="auto"/>
          <w:szCs w:val="24"/>
        </w:rPr>
        <w:t xml:space="preserve">the </w:t>
      </w:r>
      <w:r w:rsidR="00BC325C" w:rsidRPr="00BC325C">
        <w:rPr>
          <w:color w:val="auto"/>
          <w:szCs w:val="24"/>
        </w:rPr>
        <w:t>PEB rating determinations, compared to VASRD standards, based on severity at the time of separation.</w:t>
      </w:r>
      <w:r w:rsidR="00F453CB">
        <w:rPr>
          <w:color w:val="auto"/>
          <w:szCs w:val="24"/>
        </w:rPr>
        <w:t xml:space="preserve"> </w:t>
      </w:r>
      <w:r w:rsidR="00BC325C" w:rsidRPr="00BC325C">
        <w:rPr>
          <w:color w:val="auto"/>
          <w:szCs w:val="24"/>
        </w:rPr>
        <w:t xml:space="preserve"> It must also judge the fairness of PEB fitness adjudications based on the fitness consequences of conditions as they existed at the time of separation.</w:t>
      </w:r>
      <w:r w:rsidR="008D0A08" w:rsidRPr="00BC325C">
        <w:rPr>
          <w:color w:val="auto"/>
          <w:szCs w:val="24"/>
        </w:rPr>
        <w:t xml:space="preserve">  </w:t>
      </w:r>
      <w:r w:rsidR="00BC325C" w:rsidRPr="00BC325C">
        <w:rPr>
          <w:color w:val="auto"/>
          <w:szCs w:val="24"/>
        </w:rPr>
        <w:t>The Board further acknowledges the CI’s contention for ratings for other conditions documented at the time of separation, and notes that its recommendations is subject to the same laws for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 Affairs (DVA), operating under a different set of laws (Title 38, United States Code), is empowered to compensate all service</w:t>
      </w:r>
      <w:r w:rsidR="00280676">
        <w:rPr>
          <w:color w:val="auto"/>
          <w:szCs w:val="24"/>
        </w:rPr>
        <w:t>-</w:t>
      </w:r>
      <w:r w:rsidR="00BC325C" w:rsidRPr="00BC325C">
        <w:rPr>
          <w:color w:val="auto"/>
          <w:szCs w:val="24"/>
        </w:rPr>
        <w:t>connected conditions and to periodically reevaluate said conditions for the purpose of adjusting the veteran’s disability rating should his degre</w:t>
      </w:r>
      <w:r w:rsidR="00577F66">
        <w:rPr>
          <w:color w:val="auto"/>
          <w:szCs w:val="24"/>
        </w:rPr>
        <w:t>e of impairment vary over time.</w:t>
      </w:r>
    </w:p>
    <w:p w:rsidR="00AD2379" w:rsidRPr="00F64312" w:rsidRDefault="00AD2379" w:rsidP="00B22D42">
      <w:pPr>
        <w:jc w:val="both"/>
        <w:rPr>
          <w:color w:val="auto"/>
          <w:highlight w:val="yellow"/>
        </w:rPr>
      </w:pPr>
    </w:p>
    <w:p w:rsidR="0069687C" w:rsidRDefault="00DA0334" w:rsidP="0069687C">
      <w:pPr>
        <w:jc w:val="both"/>
        <w:rPr>
          <w:color w:val="auto"/>
          <w:szCs w:val="24"/>
        </w:rPr>
      </w:pPr>
      <w:r>
        <w:rPr>
          <w:color w:val="auto"/>
          <w:u w:val="single"/>
        </w:rPr>
        <w:t>Left Knee Condition</w:t>
      </w:r>
      <w:r w:rsidR="00AD2379" w:rsidRPr="00F64312">
        <w:rPr>
          <w:color w:val="auto"/>
        </w:rPr>
        <w:t xml:space="preserve">. </w:t>
      </w:r>
      <w:r w:rsidR="00385708" w:rsidRPr="00F64312">
        <w:rPr>
          <w:color w:val="auto"/>
        </w:rPr>
        <w:t xml:space="preserve"> </w:t>
      </w:r>
      <w:r w:rsidR="00BC325C" w:rsidRPr="00A9586C">
        <w:rPr>
          <w:color w:val="auto"/>
        </w:rPr>
        <w:t>The CI injured his left knee when he twisted it attempting to traverse a ravine in the dark</w:t>
      </w:r>
      <w:r w:rsidR="00BC325C" w:rsidRPr="0043463D">
        <w:rPr>
          <w:color w:val="auto"/>
        </w:rPr>
        <w:t xml:space="preserve">.  </w:t>
      </w:r>
      <w:r w:rsidR="00F2059D" w:rsidRPr="0043463D">
        <w:rPr>
          <w:color w:val="auto"/>
          <w:szCs w:val="24"/>
        </w:rPr>
        <w:t xml:space="preserve">He was </w:t>
      </w:r>
      <w:r w:rsidR="002E16DC" w:rsidRPr="0043463D">
        <w:rPr>
          <w:color w:val="auto"/>
          <w:szCs w:val="24"/>
        </w:rPr>
        <w:t>medevac’d</w:t>
      </w:r>
      <w:r w:rsidR="00F2059D" w:rsidRPr="0043463D">
        <w:rPr>
          <w:color w:val="auto"/>
          <w:szCs w:val="24"/>
        </w:rPr>
        <w:t xml:space="preserve"> </w:t>
      </w:r>
      <w:r w:rsidR="00AB1963" w:rsidRPr="0043463D">
        <w:rPr>
          <w:color w:val="auto"/>
          <w:szCs w:val="24"/>
        </w:rPr>
        <w:t xml:space="preserve">from Balad to Landstuhl Regional Medical Center and finally back </w:t>
      </w:r>
      <w:r w:rsidR="00F2059D" w:rsidRPr="0043463D">
        <w:rPr>
          <w:color w:val="auto"/>
          <w:szCs w:val="24"/>
        </w:rPr>
        <w:t>to the States</w:t>
      </w:r>
      <w:r w:rsidR="00AB1963" w:rsidRPr="0043463D">
        <w:rPr>
          <w:color w:val="auto"/>
          <w:szCs w:val="24"/>
        </w:rPr>
        <w:t>.</w:t>
      </w:r>
      <w:r w:rsidR="00F2059D" w:rsidRPr="0043463D">
        <w:rPr>
          <w:color w:val="auto"/>
          <w:szCs w:val="24"/>
        </w:rPr>
        <w:t xml:space="preserve"> </w:t>
      </w:r>
      <w:r w:rsidR="00AB1963" w:rsidRPr="0043463D">
        <w:rPr>
          <w:color w:val="auto"/>
          <w:szCs w:val="24"/>
        </w:rPr>
        <w:t xml:space="preserve"> </w:t>
      </w:r>
      <w:r w:rsidR="00280676">
        <w:rPr>
          <w:color w:val="auto"/>
          <w:szCs w:val="24"/>
        </w:rPr>
        <w:t>Several</w:t>
      </w:r>
      <w:r w:rsidR="00FA5F4E" w:rsidRPr="0043463D">
        <w:rPr>
          <w:color w:val="auto"/>
          <w:szCs w:val="24"/>
        </w:rPr>
        <w:t xml:space="preserve"> </w:t>
      </w:r>
      <w:r w:rsidR="00280676">
        <w:rPr>
          <w:color w:val="auto"/>
          <w:szCs w:val="24"/>
        </w:rPr>
        <w:t>m</w:t>
      </w:r>
      <w:r w:rsidR="00FA5F4E" w:rsidRPr="0043463D">
        <w:rPr>
          <w:color w:val="000000" w:themeColor="text1"/>
        </w:rPr>
        <w:t xml:space="preserve">agnetic </w:t>
      </w:r>
      <w:r w:rsidR="00280676">
        <w:rPr>
          <w:color w:val="000000" w:themeColor="text1"/>
        </w:rPr>
        <w:t>r</w:t>
      </w:r>
      <w:r w:rsidR="00FA5F4E" w:rsidRPr="0043463D">
        <w:rPr>
          <w:color w:val="000000" w:themeColor="text1"/>
        </w:rPr>
        <w:t xml:space="preserve">esonance </w:t>
      </w:r>
      <w:r w:rsidR="00280676">
        <w:rPr>
          <w:color w:val="000000" w:themeColor="text1"/>
        </w:rPr>
        <w:t>i</w:t>
      </w:r>
      <w:r w:rsidR="00FA5F4E" w:rsidRPr="0043463D">
        <w:rPr>
          <w:color w:val="000000" w:themeColor="text1"/>
        </w:rPr>
        <w:t xml:space="preserve">maging (MRI) </w:t>
      </w:r>
      <w:r w:rsidR="00AB1963" w:rsidRPr="00A9586C">
        <w:rPr>
          <w:color w:val="auto"/>
          <w:szCs w:val="24"/>
        </w:rPr>
        <w:t>evaluations revealed a</w:t>
      </w:r>
      <w:r w:rsidR="00F2059D" w:rsidRPr="00A9586C">
        <w:rPr>
          <w:color w:val="auto"/>
          <w:szCs w:val="24"/>
        </w:rPr>
        <w:t xml:space="preserve"> </w:t>
      </w:r>
      <w:r w:rsidR="00AB1963" w:rsidRPr="00A9586C">
        <w:rPr>
          <w:color w:val="auto"/>
          <w:szCs w:val="24"/>
        </w:rPr>
        <w:t xml:space="preserve">left </w:t>
      </w:r>
      <w:r w:rsidR="00F2059D" w:rsidRPr="00A9586C">
        <w:rPr>
          <w:color w:val="auto"/>
          <w:szCs w:val="24"/>
        </w:rPr>
        <w:t>patella</w:t>
      </w:r>
      <w:r w:rsidR="00AB1963" w:rsidRPr="00A9586C">
        <w:rPr>
          <w:color w:val="auto"/>
          <w:szCs w:val="24"/>
        </w:rPr>
        <w:t xml:space="preserve"> (knee cap)</w:t>
      </w:r>
      <w:r w:rsidR="00F2059D" w:rsidRPr="00A9586C">
        <w:rPr>
          <w:color w:val="auto"/>
          <w:szCs w:val="24"/>
        </w:rPr>
        <w:t xml:space="preserve"> dislocation</w:t>
      </w:r>
      <w:r w:rsidR="00AB1963" w:rsidRPr="00A9586C">
        <w:rPr>
          <w:color w:val="auto"/>
          <w:szCs w:val="24"/>
        </w:rPr>
        <w:t>, avulsion fractures of the medial patella, contusions of the lateral tibia and proximal fibula</w:t>
      </w:r>
      <w:r w:rsidR="002E16DC">
        <w:rPr>
          <w:color w:val="auto"/>
          <w:szCs w:val="24"/>
        </w:rPr>
        <w:t xml:space="preserve"> (lower leg bones)</w:t>
      </w:r>
      <w:r w:rsidR="00AB1963" w:rsidRPr="00A9586C">
        <w:rPr>
          <w:color w:val="auto"/>
          <w:szCs w:val="24"/>
        </w:rPr>
        <w:t>, a large joint effusion</w:t>
      </w:r>
      <w:r w:rsidR="00F2059D" w:rsidRPr="00A9586C">
        <w:rPr>
          <w:color w:val="auto"/>
          <w:szCs w:val="24"/>
        </w:rPr>
        <w:t xml:space="preserve"> and </w:t>
      </w:r>
      <w:r w:rsidR="00AB1963" w:rsidRPr="00A9586C">
        <w:rPr>
          <w:color w:val="auto"/>
          <w:szCs w:val="24"/>
        </w:rPr>
        <w:t>full thickness tear of the</w:t>
      </w:r>
      <w:r w:rsidR="002E16DC">
        <w:rPr>
          <w:color w:val="auto"/>
          <w:szCs w:val="24"/>
        </w:rPr>
        <w:t xml:space="preserve"> medial collateral ligament</w:t>
      </w:r>
      <w:r w:rsidR="00F2059D" w:rsidRPr="00A9586C">
        <w:rPr>
          <w:color w:val="auto"/>
          <w:szCs w:val="24"/>
        </w:rPr>
        <w:t xml:space="preserve"> </w:t>
      </w:r>
      <w:r w:rsidR="002E16DC">
        <w:rPr>
          <w:color w:val="auto"/>
          <w:szCs w:val="24"/>
        </w:rPr>
        <w:t>(</w:t>
      </w:r>
      <w:r w:rsidR="00F2059D" w:rsidRPr="00A9586C">
        <w:rPr>
          <w:color w:val="auto"/>
          <w:szCs w:val="24"/>
        </w:rPr>
        <w:t>MCL</w:t>
      </w:r>
      <w:r w:rsidR="002E16DC">
        <w:rPr>
          <w:color w:val="auto"/>
          <w:szCs w:val="24"/>
        </w:rPr>
        <w:t>)</w:t>
      </w:r>
      <w:r w:rsidR="00577F66">
        <w:rPr>
          <w:color w:val="auto"/>
          <w:szCs w:val="24"/>
        </w:rPr>
        <w:t xml:space="preserve"> consistent with a g</w:t>
      </w:r>
      <w:r w:rsidR="00F2059D" w:rsidRPr="00A9586C">
        <w:rPr>
          <w:color w:val="auto"/>
          <w:szCs w:val="24"/>
        </w:rPr>
        <w:t>rade 3 injury</w:t>
      </w:r>
      <w:r w:rsidR="00AB1963" w:rsidRPr="00A9586C">
        <w:rPr>
          <w:color w:val="auto"/>
          <w:szCs w:val="24"/>
        </w:rPr>
        <w:t xml:space="preserve">. </w:t>
      </w:r>
      <w:r w:rsidR="00F2059D" w:rsidRPr="00A9586C">
        <w:rPr>
          <w:color w:val="auto"/>
          <w:szCs w:val="24"/>
        </w:rPr>
        <w:t xml:space="preserve"> </w:t>
      </w:r>
      <w:r w:rsidR="00AB1963" w:rsidRPr="00A9586C">
        <w:rPr>
          <w:color w:val="auto"/>
          <w:szCs w:val="24"/>
        </w:rPr>
        <w:t xml:space="preserve">Orthopedics opted to manage </w:t>
      </w:r>
      <w:r w:rsidR="00AB1963" w:rsidRPr="00A9586C">
        <w:rPr>
          <w:color w:val="auto"/>
        </w:rPr>
        <w:t>nonoperatively and treat</w:t>
      </w:r>
      <w:r w:rsidR="00A9586C" w:rsidRPr="00A9586C">
        <w:rPr>
          <w:color w:val="auto"/>
        </w:rPr>
        <w:t>ed</w:t>
      </w:r>
      <w:r w:rsidR="00AB1963" w:rsidRPr="00A9586C">
        <w:rPr>
          <w:color w:val="auto"/>
        </w:rPr>
        <w:t xml:space="preserve"> </w:t>
      </w:r>
      <w:r w:rsidR="00A9586C" w:rsidRPr="00A9586C">
        <w:rPr>
          <w:color w:val="auto"/>
        </w:rPr>
        <w:t>with</w:t>
      </w:r>
      <w:r w:rsidR="00AB1963" w:rsidRPr="00A9586C">
        <w:rPr>
          <w:color w:val="auto"/>
        </w:rPr>
        <w:t xml:space="preserve"> bracing</w:t>
      </w:r>
      <w:r w:rsidR="00A9586C" w:rsidRPr="00A9586C">
        <w:rPr>
          <w:color w:val="auto"/>
        </w:rPr>
        <w:t>,</w:t>
      </w:r>
      <w:r w:rsidR="00AB1963" w:rsidRPr="00A9586C">
        <w:rPr>
          <w:color w:val="auto"/>
        </w:rPr>
        <w:t xml:space="preserve"> physical therapy</w:t>
      </w:r>
      <w:r w:rsidR="00A9586C" w:rsidRPr="00A9586C">
        <w:rPr>
          <w:color w:val="auto"/>
        </w:rPr>
        <w:t xml:space="preserve"> and</w:t>
      </w:r>
      <w:r w:rsidR="00AB1963" w:rsidRPr="00A9586C">
        <w:rPr>
          <w:color w:val="auto"/>
        </w:rPr>
        <w:t xml:space="preserve"> pain management.</w:t>
      </w:r>
      <w:r w:rsidR="00A9586C" w:rsidRPr="00A9586C">
        <w:rPr>
          <w:color w:val="auto"/>
          <w:szCs w:val="24"/>
        </w:rPr>
        <w:t xml:space="preserve"> </w:t>
      </w:r>
      <w:r w:rsidR="00F2059D" w:rsidRPr="00A9586C">
        <w:rPr>
          <w:color w:val="auto"/>
          <w:szCs w:val="24"/>
        </w:rPr>
        <w:t xml:space="preserve"> </w:t>
      </w:r>
      <w:r w:rsidR="00AB1963" w:rsidRPr="00A9586C">
        <w:rPr>
          <w:color w:val="auto"/>
          <w:szCs w:val="24"/>
        </w:rPr>
        <w:t xml:space="preserve">The CI engaged in over a year of physical therapy with improvement of his knee with </w:t>
      </w:r>
      <w:r w:rsidR="00AB1963" w:rsidRPr="00A9586C">
        <w:rPr>
          <w:color w:val="auto"/>
        </w:rPr>
        <w:t xml:space="preserve">no further episodes of </w:t>
      </w:r>
      <w:r w:rsidR="00A9586C" w:rsidRPr="00A9586C">
        <w:rPr>
          <w:color w:val="auto"/>
        </w:rPr>
        <w:t xml:space="preserve">patellar dislocation and improved </w:t>
      </w:r>
      <w:r w:rsidR="00FA5F4E">
        <w:rPr>
          <w:color w:val="auto"/>
        </w:rPr>
        <w:t>stability</w:t>
      </w:r>
      <w:r w:rsidR="00AB1963" w:rsidRPr="00A9586C">
        <w:rPr>
          <w:color w:val="auto"/>
        </w:rPr>
        <w:t xml:space="preserve"> of the </w:t>
      </w:r>
      <w:r w:rsidR="002E16DC">
        <w:rPr>
          <w:color w:val="auto"/>
        </w:rPr>
        <w:t>MCL</w:t>
      </w:r>
      <w:r w:rsidR="00FA5F4E">
        <w:rPr>
          <w:color w:val="auto"/>
        </w:rPr>
        <w:t>.  H</w:t>
      </w:r>
      <w:r w:rsidR="00A9586C" w:rsidRPr="00A9586C">
        <w:rPr>
          <w:color w:val="auto"/>
        </w:rPr>
        <w:t>owever</w:t>
      </w:r>
      <w:r w:rsidR="002E16DC">
        <w:rPr>
          <w:color w:val="auto"/>
        </w:rPr>
        <w:t>,</w:t>
      </w:r>
      <w:r w:rsidR="00A9586C" w:rsidRPr="00A9586C">
        <w:rPr>
          <w:color w:val="auto"/>
        </w:rPr>
        <w:t xml:space="preserve"> he continued to have pain with</w:t>
      </w:r>
      <w:r w:rsidR="0026086F" w:rsidRPr="00A9586C">
        <w:rPr>
          <w:color w:val="auto"/>
        </w:rPr>
        <w:t xml:space="preserve"> perform</w:t>
      </w:r>
      <w:r w:rsidR="00A9586C" w:rsidRPr="00A9586C">
        <w:rPr>
          <w:color w:val="auto"/>
        </w:rPr>
        <w:t>ing</w:t>
      </w:r>
      <w:r w:rsidR="0026086F" w:rsidRPr="00A9586C">
        <w:rPr>
          <w:color w:val="auto"/>
        </w:rPr>
        <w:t xml:space="preserve"> basic soldiering tasks and</w:t>
      </w:r>
      <w:r w:rsidR="00A9586C" w:rsidRPr="00A9586C">
        <w:rPr>
          <w:color w:val="auto"/>
        </w:rPr>
        <w:t xml:space="preserve"> the </w:t>
      </w:r>
      <w:r w:rsidR="0026086F" w:rsidRPr="00A9586C">
        <w:rPr>
          <w:color w:val="auto"/>
        </w:rPr>
        <w:t>duties of his MOS</w:t>
      </w:r>
      <w:r w:rsidR="00A9586C" w:rsidRPr="00A9586C">
        <w:rPr>
          <w:color w:val="auto"/>
        </w:rPr>
        <w:t xml:space="preserve"> and was referred to </w:t>
      </w:r>
      <w:r w:rsidR="00A9586C" w:rsidRPr="00A9586C">
        <w:rPr>
          <w:color w:val="auto"/>
        </w:rPr>
        <w:lastRenderedPageBreak/>
        <w:t>a MEB.</w:t>
      </w:r>
      <w:r w:rsidR="00A9586C">
        <w:rPr>
          <w:color w:val="auto"/>
        </w:rPr>
        <w:t xml:space="preserve">  </w:t>
      </w:r>
      <w:r w:rsidR="00FA5F4E">
        <w:rPr>
          <w:color w:val="auto"/>
        </w:rPr>
        <w:t>His</w:t>
      </w:r>
      <w:r w:rsidR="00A9586C" w:rsidRPr="00A9586C">
        <w:rPr>
          <w:color w:val="auto"/>
        </w:rPr>
        <w:t xml:space="preserve"> profile limitations included;</w:t>
      </w:r>
      <w:r w:rsidR="0026086F" w:rsidRPr="00A9586C">
        <w:rPr>
          <w:color w:val="auto"/>
        </w:rPr>
        <w:t xml:space="preserve"> unable to run, ruck, march, carry a fighting load, </w:t>
      </w:r>
      <w:proofErr w:type="gramStart"/>
      <w:r w:rsidR="0026086F" w:rsidRPr="00A9586C">
        <w:rPr>
          <w:color w:val="auto"/>
        </w:rPr>
        <w:t>construct</w:t>
      </w:r>
      <w:proofErr w:type="gramEnd"/>
      <w:r w:rsidR="0026086F" w:rsidRPr="00A9586C">
        <w:rPr>
          <w:color w:val="auto"/>
        </w:rPr>
        <w:t xml:space="preserve"> a</w:t>
      </w:r>
      <w:r w:rsidR="00A9586C">
        <w:rPr>
          <w:color w:val="auto"/>
        </w:rPr>
        <w:t xml:space="preserve"> </w:t>
      </w:r>
      <w:r w:rsidR="0026086F" w:rsidRPr="00A9586C">
        <w:rPr>
          <w:color w:val="auto"/>
        </w:rPr>
        <w:t>fighting position or do 3-5 second rushes</w:t>
      </w:r>
      <w:r w:rsidR="00A9586C" w:rsidRPr="00A9586C">
        <w:rPr>
          <w:color w:val="auto"/>
        </w:rPr>
        <w:t>,</w:t>
      </w:r>
      <w:r w:rsidR="0026086F" w:rsidRPr="00A9586C">
        <w:rPr>
          <w:color w:val="auto"/>
        </w:rPr>
        <w:t xml:space="preserve"> wear his </w:t>
      </w:r>
      <w:r w:rsidR="00616A8C">
        <w:rPr>
          <w:color w:val="auto"/>
        </w:rPr>
        <w:t xml:space="preserve">individual body </w:t>
      </w:r>
      <w:r w:rsidR="00890112">
        <w:rPr>
          <w:color w:val="auto"/>
        </w:rPr>
        <w:t>armor</w:t>
      </w:r>
      <w:r w:rsidR="00A9586C" w:rsidRPr="00A9586C">
        <w:rPr>
          <w:color w:val="auto"/>
        </w:rPr>
        <w:t>, do sit-ups</w:t>
      </w:r>
      <w:r w:rsidR="00F453CB">
        <w:rPr>
          <w:color w:val="auto"/>
        </w:rPr>
        <w:t>, and</w:t>
      </w:r>
      <w:r w:rsidR="0026086F" w:rsidRPr="00A9586C">
        <w:rPr>
          <w:color w:val="auto"/>
        </w:rPr>
        <w:t xml:space="preserve"> </w:t>
      </w:r>
      <w:r w:rsidR="00A9586C" w:rsidRPr="00A9586C">
        <w:rPr>
          <w:color w:val="auto"/>
        </w:rPr>
        <w:t>could not</w:t>
      </w:r>
      <w:r w:rsidR="0026086F" w:rsidRPr="00A9586C">
        <w:rPr>
          <w:color w:val="auto"/>
        </w:rPr>
        <w:t xml:space="preserve"> complete</w:t>
      </w:r>
      <w:r w:rsidR="00A9586C" w:rsidRPr="00A9586C">
        <w:rPr>
          <w:color w:val="auto"/>
        </w:rPr>
        <w:t xml:space="preserve"> the Army Physical Fitness Test</w:t>
      </w:r>
      <w:r w:rsidR="00616A8C">
        <w:rPr>
          <w:color w:val="auto"/>
        </w:rPr>
        <w:t xml:space="preserve">.  </w:t>
      </w:r>
      <w:r w:rsidR="0069687C" w:rsidRPr="00F64312">
        <w:rPr>
          <w:color w:val="auto"/>
          <w:szCs w:val="24"/>
        </w:rPr>
        <w:t>There w</w:t>
      </w:r>
      <w:r w:rsidR="009E286D">
        <w:rPr>
          <w:color w:val="auto"/>
          <w:szCs w:val="24"/>
        </w:rPr>
        <w:t>ere</w:t>
      </w:r>
      <w:r w:rsidR="0069687C" w:rsidRPr="00F64312">
        <w:rPr>
          <w:color w:val="auto"/>
          <w:szCs w:val="24"/>
        </w:rPr>
        <w:t xml:space="preserve"> </w:t>
      </w:r>
      <w:r w:rsidR="009E286D">
        <w:rPr>
          <w:color w:val="auto"/>
          <w:szCs w:val="24"/>
        </w:rPr>
        <w:t>two</w:t>
      </w:r>
      <w:r w:rsidR="00001EFC">
        <w:rPr>
          <w:color w:val="auto"/>
          <w:szCs w:val="24"/>
        </w:rPr>
        <w:t xml:space="preserve"> goniometric range of </w:t>
      </w:r>
      <w:r w:rsidR="0069687C" w:rsidRPr="00F64312">
        <w:rPr>
          <w:color w:val="auto"/>
          <w:szCs w:val="24"/>
        </w:rPr>
        <w:t>motion (ROM) evaluation</w:t>
      </w:r>
      <w:r w:rsidR="002C798B">
        <w:rPr>
          <w:color w:val="auto"/>
          <w:szCs w:val="24"/>
        </w:rPr>
        <w:t>s</w:t>
      </w:r>
      <w:r w:rsidR="0069687C" w:rsidRPr="00F64312">
        <w:rPr>
          <w:color w:val="auto"/>
          <w:szCs w:val="24"/>
        </w:rPr>
        <w:t xml:space="preserve">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616A8C" w:rsidRPr="00616A8C" w:rsidRDefault="00616A8C" w:rsidP="0069687C">
      <w:pPr>
        <w:jc w:val="both"/>
        <w:rPr>
          <w:color w:val="auto"/>
        </w:rPr>
      </w:pPr>
    </w:p>
    <w:tbl>
      <w:tblPr>
        <w:tblW w:w="6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1"/>
        <w:gridCol w:w="2170"/>
        <w:gridCol w:w="2170"/>
      </w:tblGrid>
      <w:tr w:rsidR="00616A8C" w:rsidRPr="00F64312" w:rsidTr="00616A8C">
        <w:trPr>
          <w:jc w:val="center"/>
        </w:trPr>
        <w:tc>
          <w:tcPr>
            <w:tcW w:w="2191" w:type="dxa"/>
            <w:shd w:val="clear" w:color="auto" w:fill="D9D9D9"/>
            <w:vAlign w:val="center"/>
          </w:tcPr>
          <w:p w:rsidR="00616A8C" w:rsidRPr="00F64312" w:rsidRDefault="00616A8C" w:rsidP="001E6E43">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Knee ROM</w:t>
            </w:r>
          </w:p>
        </w:tc>
        <w:tc>
          <w:tcPr>
            <w:tcW w:w="2170" w:type="dxa"/>
            <w:shd w:val="clear" w:color="auto" w:fill="D9D9D9"/>
            <w:vAlign w:val="center"/>
          </w:tcPr>
          <w:p w:rsidR="00616A8C" w:rsidRPr="00F64312" w:rsidRDefault="00616A8C" w:rsidP="00A005EF">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VA C&amp;P ~</w:t>
            </w:r>
            <w:r>
              <w:rPr>
                <w:rFonts w:asciiTheme="majorHAnsi" w:hAnsiTheme="majorHAnsi" w:cstheme="majorHAnsi"/>
                <w:color w:val="auto"/>
                <w:sz w:val="18"/>
                <w:szCs w:val="18"/>
              </w:rPr>
              <w:t>12</w:t>
            </w:r>
            <w:r w:rsidRPr="00F64312">
              <w:rPr>
                <w:rFonts w:asciiTheme="majorHAnsi" w:hAnsiTheme="majorHAnsi" w:cstheme="majorHAnsi"/>
                <w:color w:val="auto"/>
                <w:sz w:val="18"/>
                <w:szCs w:val="18"/>
              </w:rPr>
              <w:t xml:space="preserve"> Mo. </w:t>
            </w:r>
            <w:r>
              <w:rPr>
                <w:rFonts w:asciiTheme="majorHAnsi" w:hAnsiTheme="majorHAnsi" w:cstheme="majorHAnsi"/>
                <w:color w:val="auto"/>
                <w:sz w:val="18"/>
                <w:szCs w:val="18"/>
              </w:rPr>
              <w:t>Pre</w:t>
            </w:r>
            <w:r w:rsidRPr="00F64312">
              <w:rPr>
                <w:rFonts w:asciiTheme="majorHAnsi" w:hAnsiTheme="majorHAnsi" w:cstheme="majorHAnsi"/>
                <w:color w:val="auto"/>
                <w:sz w:val="18"/>
                <w:szCs w:val="18"/>
              </w:rPr>
              <w:t>-Sep</w:t>
            </w:r>
          </w:p>
        </w:tc>
        <w:tc>
          <w:tcPr>
            <w:tcW w:w="2170" w:type="dxa"/>
            <w:shd w:val="clear" w:color="auto" w:fill="D9D9D9"/>
            <w:vAlign w:val="center"/>
          </w:tcPr>
          <w:p w:rsidR="00616A8C" w:rsidRPr="00F64312" w:rsidRDefault="00616A8C" w:rsidP="00616A8C">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MEB ~</w:t>
            </w:r>
            <w:r>
              <w:rPr>
                <w:rFonts w:asciiTheme="majorHAnsi" w:hAnsiTheme="majorHAnsi" w:cstheme="majorHAnsi"/>
                <w:color w:val="auto"/>
                <w:sz w:val="18"/>
                <w:szCs w:val="18"/>
              </w:rPr>
              <w:t>8</w:t>
            </w:r>
            <w:r w:rsidRPr="00F64312">
              <w:rPr>
                <w:rFonts w:asciiTheme="majorHAnsi" w:hAnsiTheme="majorHAnsi" w:cstheme="majorHAnsi"/>
                <w:color w:val="auto"/>
                <w:sz w:val="18"/>
                <w:szCs w:val="18"/>
              </w:rPr>
              <w:t xml:space="preserve"> Mo. Pre-Sep</w:t>
            </w:r>
          </w:p>
        </w:tc>
      </w:tr>
      <w:tr w:rsidR="00616A8C" w:rsidRPr="00F64312" w:rsidTr="00616A8C">
        <w:trPr>
          <w:jc w:val="center"/>
        </w:trPr>
        <w:tc>
          <w:tcPr>
            <w:tcW w:w="2191" w:type="dxa"/>
            <w:shd w:val="clear" w:color="auto" w:fill="D9D9D9"/>
            <w:vAlign w:val="center"/>
          </w:tcPr>
          <w:p w:rsidR="00616A8C" w:rsidRPr="00BD6050" w:rsidRDefault="00616A8C" w:rsidP="001E6E43">
            <w:pPr>
              <w:spacing w:line="220" w:lineRule="exact"/>
              <w:contextualSpacing/>
              <w:rPr>
                <w:rFonts w:asciiTheme="majorHAnsi" w:hAnsiTheme="majorHAnsi" w:cstheme="majorHAnsi"/>
                <w:color w:val="auto"/>
                <w:sz w:val="18"/>
                <w:szCs w:val="18"/>
              </w:rPr>
            </w:pPr>
          </w:p>
        </w:tc>
        <w:tc>
          <w:tcPr>
            <w:tcW w:w="2170" w:type="dxa"/>
            <w:shd w:val="clear" w:color="auto" w:fill="D9D9D9"/>
            <w:vAlign w:val="center"/>
          </w:tcPr>
          <w:p w:rsidR="00616A8C" w:rsidRPr="00F64312" w:rsidRDefault="00616A8C" w:rsidP="00A005EF">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Left</w:t>
            </w:r>
          </w:p>
        </w:tc>
        <w:tc>
          <w:tcPr>
            <w:tcW w:w="2170" w:type="dxa"/>
            <w:shd w:val="clear" w:color="auto" w:fill="D9D9D9"/>
            <w:vAlign w:val="center"/>
          </w:tcPr>
          <w:p w:rsidR="00616A8C" w:rsidRPr="00F64312" w:rsidRDefault="00616A8C" w:rsidP="000D2DFA">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Left</w:t>
            </w:r>
          </w:p>
        </w:tc>
      </w:tr>
      <w:tr w:rsidR="00616A8C" w:rsidRPr="00F64312" w:rsidTr="00616A8C">
        <w:trPr>
          <w:jc w:val="center"/>
        </w:trPr>
        <w:tc>
          <w:tcPr>
            <w:tcW w:w="2191" w:type="dxa"/>
            <w:vAlign w:val="center"/>
          </w:tcPr>
          <w:p w:rsidR="00616A8C" w:rsidRPr="00F64312" w:rsidRDefault="00616A8C" w:rsidP="001E6E43">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Flexion (140⁰ Normal)</w:t>
            </w:r>
          </w:p>
        </w:tc>
        <w:tc>
          <w:tcPr>
            <w:tcW w:w="2170" w:type="dxa"/>
            <w:vAlign w:val="center"/>
          </w:tcPr>
          <w:p w:rsidR="00616A8C" w:rsidRPr="009E286D" w:rsidRDefault="00616A8C" w:rsidP="00A005EF">
            <w:pPr>
              <w:spacing w:line="220" w:lineRule="exact"/>
              <w:contextualSpacing/>
              <w:rPr>
                <w:rFonts w:asciiTheme="majorHAnsi" w:hAnsiTheme="majorHAnsi" w:cstheme="majorHAnsi"/>
                <w:color w:val="auto"/>
                <w:sz w:val="18"/>
                <w:szCs w:val="18"/>
              </w:rPr>
            </w:pPr>
            <w:r w:rsidRPr="009E286D">
              <w:rPr>
                <w:rFonts w:asciiTheme="majorHAnsi" w:hAnsiTheme="majorHAnsi" w:cstheme="majorHAnsi"/>
                <w:color w:val="auto"/>
                <w:sz w:val="18"/>
                <w:szCs w:val="18"/>
              </w:rPr>
              <w:t>140⁰</w:t>
            </w:r>
          </w:p>
        </w:tc>
        <w:tc>
          <w:tcPr>
            <w:tcW w:w="2170" w:type="dxa"/>
            <w:vAlign w:val="center"/>
          </w:tcPr>
          <w:p w:rsidR="00616A8C" w:rsidRPr="00BD6050" w:rsidRDefault="00616A8C" w:rsidP="0026086F">
            <w:pPr>
              <w:spacing w:line="220" w:lineRule="exact"/>
              <w:contextualSpacing/>
              <w:rPr>
                <w:rFonts w:asciiTheme="majorHAnsi" w:hAnsiTheme="majorHAnsi" w:cstheme="majorHAnsi"/>
                <w:color w:val="auto"/>
                <w:sz w:val="18"/>
                <w:szCs w:val="18"/>
              </w:rPr>
            </w:pPr>
            <w:r w:rsidRPr="00BD6050">
              <w:rPr>
                <w:rFonts w:asciiTheme="majorHAnsi" w:hAnsiTheme="majorHAnsi" w:cstheme="majorHAnsi"/>
                <w:color w:val="auto"/>
                <w:sz w:val="18"/>
                <w:szCs w:val="18"/>
              </w:rPr>
              <w:t>135⁰</w:t>
            </w:r>
          </w:p>
        </w:tc>
      </w:tr>
      <w:tr w:rsidR="00616A8C" w:rsidRPr="00F64312" w:rsidTr="00616A8C">
        <w:trPr>
          <w:jc w:val="center"/>
        </w:trPr>
        <w:tc>
          <w:tcPr>
            <w:tcW w:w="2191" w:type="dxa"/>
            <w:tcBorders>
              <w:bottom w:val="single" w:sz="4" w:space="0" w:color="auto"/>
            </w:tcBorders>
            <w:vAlign w:val="center"/>
          </w:tcPr>
          <w:p w:rsidR="00616A8C" w:rsidRPr="00F64312" w:rsidRDefault="00616A8C" w:rsidP="001E6E43">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Extension (0⁰ Normal)</w:t>
            </w:r>
          </w:p>
        </w:tc>
        <w:tc>
          <w:tcPr>
            <w:tcW w:w="2170" w:type="dxa"/>
            <w:tcBorders>
              <w:bottom w:val="single" w:sz="4" w:space="0" w:color="auto"/>
            </w:tcBorders>
            <w:vAlign w:val="center"/>
          </w:tcPr>
          <w:p w:rsidR="00616A8C" w:rsidRPr="00616A8C" w:rsidRDefault="00616A8C" w:rsidP="00A005EF">
            <w:pPr>
              <w:spacing w:line="220" w:lineRule="exact"/>
              <w:contextualSpacing/>
              <w:rPr>
                <w:rFonts w:asciiTheme="majorHAnsi" w:hAnsiTheme="majorHAnsi" w:cstheme="majorHAnsi"/>
                <w:color w:val="auto"/>
                <w:sz w:val="18"/>
                <w:szCs w:val="18"/>
              </w:rPr>
            </w:pPr>
            <w:r w:rsidRPr="00616A8C">
              <w:rPr>
                <w:rFonts w:asciiTheme="majorHAnsi" w:hAnsiTheme="majorHAnsi" w:cstheme="majorHAnsi"/>
                <w:color w:val="auto"/>
                <w:sz w:val="18"/>
                <w:szCs w:val="18"/>
              </w:rPr>
              <w:t>0⁰</w:t>
            </w:r>
          </w:p>
        </w:tc>
        <w:tc>
          <w:tcPr>
            <w:tcW w:w="2170" w:type="dxa"/>
            <w:tcBorders>
              <w:bottom w:val="single" w:sz="4" w:space="0" w:color="auto"/>
            </w:tcBorders>
            <w:vAlign w:val="center"/>
          </w:tcPr>
          <w:p w:rsidR="00616A8C" w:rsidRPr="00616A8C" w:rsidRDefault="00616A8C" w:rsidP="0026086F">
            <w:pPr>
              <w:spacing w:line="220" w:lineRule="exact"/>
              <w:contextualSpacing/>
              <w:rPr>
                <w:rFonts w:asciiTheme="majorHAnsi" w:hAnsiTheme="majorHAnsi" w:cstheme="majorHAnsi"/>
                <w:color w:val="auto"/>
                <w:sz w:val="18"/>
                <w:szCs w:val="18"/>
              </w:rPr>
            </w:pPr>
            <w:r w:rsidRPr="00616A8C">
              <w:rPr>
                <w:rFonts w:asciiTheme="majorHAnsi" w:hAnsiTheme="majorHAnsi" w:cstheme="majorHAnsi"/>
                <w:color w:val="auto"/>
                <w:sz w:val="18"/>
                <w:szCs w:val="18"/>
              </w:rPr>
              <w:t>10⁰</w:t>
            </w:r>
          </w:p>
        </w:tc>
      </w:tr>
      <w:tr w:rsidR="00616A8C" w:rsidRPr="00F64312" w:rsidTr="00616A8C">
        <w:trPr>
          <w:jc w:val="center"/>
        </w:trPr>
        <w:tc>
          <w:tcPr>
            <w:tcW w:w="2191" w:type="dxa"/>
            <w:tcBorders>
              <w:top w:val="single" w:sz="4" w:space="0" w:color="auto"/>
              <w:left w:val="single" w:sz="4" w:space="0" w:color="auto"/>
              <w:bottom w:val="single" w:sz="4" w:space="0" w:color="auto"/>
              <w:right w:val="single" w:sz="4" w:space="0" w:color="auto"/>
            </w:tcBorders>
            <w:vAlign w:val="center"/>
          </w:tcPr>
          <w:p w:rsidR="00616A8C" w:rsidRPr="00F64312" w:rsidRDefault="00616A8C" w:rsidP="001E6E43">
            <w:pPr>
              <w:tabs>
                <w:tab w:val="left" w:pos="288"/>
                <w:tab w:val="left" w:pos="4752"/>
              </w:tabs>
              <w:spacing w:line="220" w:lineRule="exact"/>
              <w:rPr>
                <w:rFonts w:asciiTheme="majorHAnsi" w:hAnsiTheme="majorHAnsi" w:cstheme="majorHAnsi"/>
                <w:color w:val="auto"/>
                <w:sz w:val="18"/>
                <w:szCs w:val="18"/>
              </w:rPr>
            </w:pPr>
            <w:r w:rsidRPr="00F64312">
              <w:rPr>
                <w:rFonts w:asciiTheme="majorHAnsi" w:hAnsiTheme="majorHAnsi" w:cstheme="majorHAnsi"/>
                <w:color w:val="auto"/>
                <w:sz w:val="18"/>
                <w:szCs w:val="18"/>
              </w:rPr>
              <w:t>Comment</w:t>
            </w:r>
          </w:p>
        </w:tc>
        <w:tc>
          <w:tcPr>
            <w:tcW w:w="2170" w:type="dxa"/>
            <w:tcBorders>
              <w:top w:val="single" w:sz="4" w:space="0" w:color="auto"/>
              <w:left w:val="single" w:sz="4" w:space="0" w:color="auto"/>
              <w:bottom w:val="single" w:sz="4" w:space="0" w:color="auto"/>
              <w:right w:val="single" w:sz="4" w:space="0" w:color="auto"/>
            </w:tcBorders>
            <w:vAlign w:val="center"/>
          </w:tcPr>
          <w:p w:rsidR="00616A8C" w:rsidRPr="00616A8C" w:rsidRDefault="00616A8C" w:rsidP="00616A8C">
            <w:pPr>
              <w:tabs>
                <w:tab w:val="left" w:pos="288"/>
                <w:tab w:val="left" w:pos="4752"/>
              </w:tabs>
              <w:spacing w:line="220" w:lineRule="exact"/>
              <w:jc w:val="left"/>
              <w:rPr>
                <w:rFonts w:asciiTheme="majorHAnsi" w:hAnsiTheme="majorHAnsi" w:cstheme="majorHAnsi"/>
                <w:color w:val="auto"/>
                <w:sz w:val="18"/>
                <w:szCs w:val="18"/>
              </w:rPr>
            </w:pPr>
            <w:r>
              <w:rPr>
                <w:rFonts w:asciiTheme="majorHAnsi" w:hAnsiTheme="majorHAnsi" w:cstheme="majorHAnsi"/>
                <w:color w:val="auto"/>
                <w:sz w:val="18"/>
                <w:szCs w:val="18"/>
              </w:rPr>
              <w:t>Muscle Strength 5/5</w:t>
            </w:r>
          </w:p>
        </w:tc>
        <w:tc>
          <w:tcPr>
            <w:tcW w:w="2170" w:type="dxa"/>
            <w:tcBorders>
              <w:top w:val="single" w:sz="4" w:space="0" w:color="auto"/>
              <w:left w:val="single" w:sz="4" w:space="0" w:color="auto"/>
              <w:bottom w:val="single" w:sz="4" w:space="0" w:color="auto"/>
              <w:right w:val="single" w:sz="4" w:space="0" w:color="auto"/>
            </w:tcBorders>
            <w:vAlign w:val="center"/>
          </w:tcPr>
          <w:p w:rsidR="00616A8C" w:rsidRPr="00616A8C" w:rsidRDefault="00616A8C" w:rsidP="00616A8C">
            <w:pPr>
              <w:tabs>
                <w:tab w:val="left" w:pos="288"/>
                <w:tab w:val="left" w:pos="4752"/>
              </w:tabs>
              <w:spacing w:line="220" w:lineRule="exact"/>
              <w:jc w:val="left"/>
              <w:rPr>
                <w:rFonts w:asciiTheme="majorHAnsi" w:hAnsiTheme="majorHAnsi" w:cstheme="majorHAnsi"/>
                <w:color w:val="auto"/>
                <w:sz w:val="18"/>
                <w:szCs w:val="18"/>
              </w:rPr>
            </w:pPr>
            <w:r w:rsidRPr="00616A8C">
              <w:rPr>
                <w:rFonts w:asciiTheme="majorHAnsi" w:hAnsiTheme="majorHAnsi" w:cstheme="majorHAnsi"/>
                <w:color w:val="auto"/>
                <w:sz w:val="18"/>
                <w:szCs w:val="18"/>
              </w:rPr>
              <w:t>Muscle atrophy</w:t>
            </w:r>
            <w:r>
              <w:rPr>
                <w:rFonts w:asciiTheme="majorHAnsi" w:hAnsiTheme="majorHAnsi" w:cstheme="majorHAnsi"/>
                <w:color w:val="auto"/>
                <w:sz w:val="18"/>
                <w:szCs w:val="18"/>
              </w:rPr>
              <w:t>,</w:t>
            </w:r>
            <w:r w:rsidRPr="00616A8C">
              <w:rPr>
                <w:rFonts w:asciiTheme="majorHAnsi" w:hAnsiTheme="majorHAnsi" w:cstheme="majorHAnsi"/>
                <w:color w:val="auto"/>
                <w:sz w:val="18"/>
                <w:szCs w:val="18"/>
              </w:rPr>
              <w:t xml:space="preserve"> Painful motion</w:t>
            </w:r>
            <w:r>
              <w:rPr>
                <w:rFonts w:asciiTheme="majorHAnsi" w:hAnsiTheme="majorHAnsi" w:cstheme="majorHAnsi"/>
                <w:color w:val="auto"/>
                <w:sz w:val="18"/>
                <w:szCs w:val="18"/>
              </w:rPr>
              <w:t>,</w:t>
            </w:r>
            <w:r w:rsidRPr="00616A8C">
              <w:rPr>
                <w:rFonts w:asciiTheme="majorHAnsi" w:hAnsiTheme="majorHAnsi" w:cstheme="majorHAnsi"/>
                <w:color w:val="auto"/>
                <w:sz w:val="18"/>
                <w:szCs w:val="18"/>
              </w:rPr>
              <w:t xml:space="preserve"> No swelling is present</w:t>
            </w:r>
          </w:p>
        </w:tc>
      </w:tr>
      <w:tr w:rsidR="00616A8C" w:rsidRPr="00F64312" w:rsidTr="00616A8C">
        <w:trPr>
          <w:jc w:val="center"/>
        </w:trPr>
        <w:tc>
          <w:tcPr>
            <w:tcW w:w="2191" w:type="dxa"/>
            <w:tcBorders>
              <w:top w:val="single" w:sz="4" w:space="0" w:color="auto"/>
              <w:left w:val="single" w:sz="4" w:space="0" w:color="auto"/>
              <w:bottom w:val="single" w:sz="4" w:space="0" w:color="auto"/>
              <w:right w:val="single" w:sz="4" w:space="0" w:color="auto"/>
            </w:tcBorders>
            <w:vAlign w:val="center"/>
          </w:tcPr>
          <w:p w:rsidR="00616A8C" w:rsidRPr="00F64312" w:rsidRDefault="00616A8C" w:rsidP="001E6E43">
            <w:pPr>
              <w:tabs>
                <w:tab w:val="left" w:pos="288"/>
                <w:tab w:val="left" w:pos="4752"/>
              </w:tabs>
              <w:spacing w:line="220" w:lineRule="exact"/>
              <w:rPr>
                <w:rFonts w:asciiTheme="majorHAnsi" w:hAnsiTheme="majorHAnsi" w:cstheme="majorHAnsi"/>
                <w:color w:val="auto"/>
                <w:sz w:val="18"/>
                <w:szCs w:val="18"/>
              </w:rPr>
            </w:pPr>
            <w:r w:rsidRPr="00F64312">
              <w:rPr>
                <w:rFonts w:asciiTheme="majorHAnsi" w:hAnsiTheme="majorHAnsi" w:cstheme="majorHAnsi"/>
                <w:color w:val="auto"/>
                <w:sz w:val="18"/>
                <w:szCs w:val="18"/>
              </w:rPr>
              <w:t>§4.71a Rating</w:t>
            </w:r>
          </w:p>
        </w:tc>
        <w:tc>
          <w:tcPr>
            <w:tcW w:w="2170" w:type="dxa"/>
            <w:tcBorders>
              <w:top w:val="single" w:sz="4" w:space="0" w:color="auto"/>
              <w:left w:val="single" w:sz="4" w:space="0" w:color="auto"/>
              <w:bottom w:val="single" w:sz="4" w:space="0" w:color="auto"/>
              <w:right w:val="single" w:sz="4" w:space="0" w:color="auto"/>
            </w:tcBorders>
            <w:vAlign w:val="center"/>
          </w:tcPr>
          <w:p w:rsidR="00616A8C" w:rsidRPr="00616A8C" w:rsidRDefault="00616A8C" w:rsidP="00A005EF">
            <w:pPr>
              <w:tabs>
                <w:tab w:val="left" w:pos="288"/>
                <w:tab w:val="left" w:pos="4752"/>
              </w:tabs>
              <w:spacing w:line="220" w:lineRule="exact"/>
              <w:rPr>
                <w:rFonts w:asciiTheme="majorHAnsi" w:hAnsiTheme="majorHAnsi" w:cstheme="majorHAnsi"/>
                <w:color w:val="auto"/>
                <w:sz w:val="18"/>
                <w:szCs w:val="18"/>
              </w:rPr>
            </w:pPr>
            <w:r w:rsidRPr="00616A8C">
              <w:rPr>
                <w:rFonts w:asciiTheme="majorHAnsi" w:hAnsiTheme="majorHAnsi" w:cstheme="majorHAnsi"/>
                <w:color w:val="auto"/>
                <w:sz w:val="18"/>
                <w:szCs w:val="18"/>
              </w:rPr>
              <w:t>10%*</w:t>
            </w:r>
          </w:p>
        </w:tc>
        <w:tc>
          <w:tcPr>
            <w:tcW w:w="2170" w:type="dxa"/>
            <w:tcBorders>
              <w:top w:val="single" w:sz="4" w:space="0" w:color="auto"/>
              <w:left w:val="single" w:sz="4" w:space="0" w:color="auto"/>
              <w:bottom w:val="single" w:sz="4" w:space="0" w:color="auto"/>
              <w:right w:val="single" w:sz="4" w:space="0" w:color="auto"/>
            </w:tcBorders>
            <w:vAlign w:val="center"/>
          </w:tcPr>
          <w:p w:rsidR="00616A8C" w:rsidRPr="00616A8C" w:rsidRDefault="00616A8C" w:rsidP="000D2DFA">
            <w:pPr>
              <w:tabs>
                <w:tab w:val="left" w:pos="288"/>
                <w:tab w:val="left" w:pos="4752"/>
              </w:tabs>
              <w:spacing w:line="220" w:lineRule="exact"/>
              <w:rPr>
                <w:rFonts w:asciiTheme="majorHAnsi" w:hAnsiTheme="majorHAnsi" w:cstheme="majorHAnsi"/>
                <w:color w:val="auto"/>
                <w:sz w:val="18"/>
                <w:szCs w:val="18"/>
              </w:rPr>
            </w:pPr>
            <w:r w:rsidRPr="00616A8C">
              <w:rPr>
                <w:rFonts w:asciiTheme="majorHAnsi" w:hAnsiTheme="majorHAnsi" w:cstheme="majorHAnsi"/>
                <w:color w:val="auto"/>
                <w:sz w:val="18"/>
                <w:szCs w:val="18"/>
              </w:rPr>
              <w:t>10%</w:t>
            </w:r>
          </w:p>
        </w:tc>
      </w:tr>
    </w:tbl>
    <w:p w:rsidR="00CF0280" w:rsidRPr="00F64312" w:rsidRDefault="00CF0280" w:rsidP="0069687C">
      <w:pPr>
        <w:jc w:val="both"/>
        <w:rPr>
          <w:color w:val="auto"/>
          <w:szCs w:val="24"/>
        </w:rPr>
      </w:pPr>
    </w:p>
    <w:p w:rsidR="00DA0334" w:rsidRPr="00DF1086" w:rsidRDefault="00CF0280" w:rsidP="00FA5F4E">
      <w:pPr>
        <w:jc w:val="both"/>
        <w:rPr>
          <w:color w:val="auto"/>
          <w:szCs w:val="24"/>
        </w:rPr>
      </w:pPr>
      <w:r w:rsidRPr="00DF1086">
        <w:rPr>
          <w:color w:val="auto"/>
          <w:szCs w:val="24"/>
        </w:rPr>
        <w:t>At the MEB exam, the CI reported</w:t>
      </w:r>
      <w:r w:rsidR="00A9586C" w:rsidRPr="00DF1086">
        <w:rPr>
          <w:color w:val="auto"/>
          <w:szCs w:val="24"/>
        </w:rPr>
        <w:t xml:space="preserve"> a </w:t>
      </w:r>
      <w:r w:rsidR="00A9586C" w:rsidRPr="00DF1086">
        <w:rPr>
          <w:color w:val="auto"/>
        </w:rPr>
        <w:t xml:space="preserve">constant dull ache in his </w:t>
      </w:r>
      <w:r w:rsidR="00DF1086">
        <w:rPr>
          <w:color w:val="auto"/>
        </w:rPr>
        <w:t xml:space="preserve">left knee, </w:t>
      </w:r>
      <w:r w:rsidR="00A9586C" w:rsidRPr="00DF1086">
        <w:rPr>
          <w:color w:val="auto"/>
        </w:rPr>
        <w:t xml:space="preserve">2 of 10 </w:t>
      </w:r>
      <w:r w:rsidR="002E16DC">
        <w:rPr>
          <w:color w:val="auto"/>
        </w:rPr>
        <w:t xml:space="preserve">pain </w:t>
      </w:r>
      <w:r w:rsidR="00A9586C" w:rsidRPr="00DF1086">
        <w:rPr>
          <w:color w:val="auto"/>
        </w:rPr>
        <w:t>intensity</w:t>
      </w:r>
      <w:r w:rsidR="002E16DC">
        <w:rPr>
          <w:color w:val="auto"/>
        </w:rPr>
        <w:t xml:space="preserve"> </w:t>
      </w:r>
      <w:r w:rsidR="00A9586C" w:rsidRPr="00DF1086">
        <w:rPr>
          <w:color w:val="auto"/>
        </w:rPr>
        <w:t>at rest</w:t>
      </w:r>
      <w:r w:rsidR="00DF1086">
        <w:rPr>
          <w:color w:val="auto"/>
        </w:rPr>
        <w:t xml:space="preserve"> and </w:t>
      </w:r>
      <w:r w:rsidR="00A9586C" w:rsidRPr="00DF1086">
        <w:rPr>
          <w:color w:val="auto"/>
        </w:rPr>
        <w:t>increased to a</w:t>
      </w:r>
      <w:r w:rsidR="00DF1086">
        <w:rPr>
          <w:color w:val="auto"/>
        </w:rPr>
        <w:t xml:space="preserve"> sharp pain,</w:t>
      </w:r>
      <w:r w:rsidR="00A9586C" w:rsidRPr="00DF1086">
        <w:rPr>
          <w:color w:val="auto"/>
        </w:rPr>
        <w:t xml:space="preserve"> 7-8 of 10</w:t>
      </w:r>
      <w:r w:rsidR="00DF1086">
        <w:rPr>
          <w:color w:val="auto"/>
        </w:rPr>
        <w:t>,</w:t>
      </w:r>
      <w:r w:rsidR="00A9586C" w:rsidRPr="00DF1086">
        <w:rPr>
          <w:color w:val="auto"/>
        </w:rPr>
        <w:t xml:space="preserve"> with walking fast, prolonged standing and climbing stairs.  The pain improved with rest and medications </w:t>
      </w:r>
      <w:r w:rsidR="00616A8C">
        <w:rPr>
          <w:color w:val="auto"/>
        </w:rPr>
        <w:t>yet</w:t>
      </w:r>
      <w:r w:rsidR="00A9586C" w:rsidRPr="00DF1086">
        <w:rPr>
          <w:color w:val="auto"/>
        </w:rPr>
        <w:t xml:space="preserve"> at the time of the MEB he was not taking </w:t>
      </w:r>
      <w:r w:rsidR="002E16DC">
        <w:rPr>
          <w:color w:val="auto"/>
        </w:rPr>
        <w:t>prescription</w:t>
      </w:r>
      <w:r w:rsidR="00A9586C" w:rsidRPr="00DF1086">
        <w:rPr>
          <w:color w:val="auto"/>
        </w:rPr>
        <w:t xml:space="preserve"> </w:t>
      </w:r>
      <w:r w:rsidR="00DF1086">
        <w:rPr>
          <w:color w:val="auto"/>
        </w:rPr>
        <w:t>or</w:t>
      </w:r>
      <w:r w:rsidR="00A9586C" w:rsidRPr="00DF1086">
        <w:rPr>
          <w:color w:val="auto"/>
        </w:rPr>
        <w:t xml:space="preserve"> over-the-counter pain relievers.  </w:t>
      </w:r>
      <w:r w:rsidRPr="00DF1086">
        <w:rPr>
          <w:color w:val="auto"/>
          <w:szCs w:val="24"/>
        </w:rPr>
        <w:t xml:space="preserve">The MEB physical exam </w:t>
      </w:r>
      <w:r w:rsidR="002E16DC">
        <w:rPr>
          <w:color w:val="auto"/>
          <w:szCs w:val="24"/>
        </w:rPr>
        <w:t xml:space="preserve">of the left knee </w:t>
      </w:r>
      <w:r w:rsidR="00A9586C" w:rsidRPr="00DF1086">
        <w:rPr>
          <w:color w:val="auto"/>
          <w:szCs w:val="24"/>
        </w:rPr>
        <w:t xml:space="preserve">documented </w:t>
      </w:r>
      <w:r w:rsidR="0026086F" w:rsidRPr="00DF1086">
        <w:rPr>
          <w:color w:val="auto"/>
          <w:szCs w:val="24"/>
        </w:rPr>
        <w:t xml:space="preserve">tenderness </w:t>
      </w:r>
      <w:r w:rsidR="00FA5F4E" w:rsidRPr="00DF1086">
        <w:rPr>
          <w:color w:val="auto"/>
          <w:szCs w:val="24"/>
        </w:rPr>
        <w:t xml:space="preserve">of </w:t>
      </w:r>
      <w:r w:rsidR="00A9586C" w:rsidRPr="00DF1086">
        <w:rPr>
          <w:color w:val="auto"/>
          <w:szCs w:val="24"/>
        </w:rPr>
        <w:t xml:space="preserve">the patella, painful </w:t>
      </w:r>
      <w:r w:rsidR="0026086F" w:rsidRPr="00DF1086">
        <w:rPr>
          <w:color w:val="auto"/>
          <w:szCs w:val="24"/>
        </w:rPr>
        <w:t>flexion and extension; however, there was no weakness or laxity noted</w:t>
      </w:r>
      <w:r w:rsidR="002E16DC">
        <w:rPr>
          <w:color w:val="auto"/>
          <w:szCs w:val="24"/>
        </w:rPr>
        <w:t>,</w:t>
      </w:r>
      <w:r w:rsidR="0026086F" w:rsidRPr="00DF1086">
        <w:rPr>
          <w:color w:val="auto"/>
          <w:szCs w:val="24"/>
        </w:rPr>
        <w:t xml:space="preserve"> no tenderness on ambulation</w:t>
      </w:r>
      <w:r w:rsidR="00FA5F4E" w:rsidRPr="00DF1086">
        <w:rPr>
          <w:color w:val="auto"/>
          <w:szCs w:val="24"/>
        </w:rPr>
        <w:t xml:space="preserve"> and he had normal neuromuscular findings.</w:t>
      </w:r>
      <w:r w:rsidR="00DF1086">
        <w:rPr>
          <w:color w:val="auto"/>
          <w:szCs w:val="24"/>
        </w:rPr>
        <w:t xml:space="preserve">  </w:t>
      </w:r>
      <w:r w:rsidRPr="00DF1086">
        <w:rPr>
          <w:color w:val="auto"/>
          <w:szCs w:val="24"/>
        </w:rPr>
        <w:t>At the VA C&amp;P exam</w:t>
      </w:r>
      <w:r w:rsidR="00ED7820" w:rsidRPr="00DF1086">
        <w:rPr>
          <w:color w:val="auto"/>
          <w:szCs w:val="24"/>
        </w:rPr>
        <w:t xml:space="preserve"> </w:t>
      </w:r>
      <w:r w:rsidR="00280676">
        <w:rPr>
          <w:color w:val="auto"/>
          <w:szCs w:val="24"/>
        </w:rPr>
        <w:t xml:space="preserve">performed, </w:t>
      </w:r>
      <w:r w:rsidR="00ED7820" w:rsidRPr="00DF1086">
        <w:rPr>
          <w:color w:val="auto"/>
          <w:szCs w:val="24"/>
        </w:rPr>
        <w:t>prior to separation</w:t>
      </w:r>
      <w:r w:rsidRPr="00DF1086">
        <w:rPr>
          <w:color w:val="auto"/>
          <w:szCs w:val="24"/>
        </w:rPr>
        <w:t>, the CI reported</w:t>
      </w:r>
      <w:r w:rsidR="000D2DFA" w:rsidRPr="00DF1086">
        <w:rPr>
          <w:color w:val="auto"/>
          <w:szCs w:val="24"/>
        </w:rPr>
        <w:t xml:space="preserve"> no </w:t>
      </w:r>
      <w:r w:rsidR="00074C3F">
        <w:rPr>
          <w:color w:val="auto"/>
          <w:szCs w:val="24"/>
        </w:rPr>
        <w:t>additional</w:t>
      </w:r>
      <w:r w:rsidR="000D2DFA" w:rsidRPr="00DF1086">
        <w:rPr>
          <w:color w:val="auto"/>
          <w:szCs w:val="24"/>
        </w:rPr>
        <w:t xml:space="preserve"> historical information.</w:t>
      </w:r>
      <w:r w:rsidR="00FA5F4E" w:rsidRPr="00DF1086">
        <w:rPr>
          <w:color w:val="auto"/>
          <w:szCs w:val="24"/>
        </w:rPr>
        <w:t xml:space="preserve">  </w:t>
      </w:r>
      <w:r w:rsidR="00DA0334" w:rsidRPr="00DF1086">
        <w:rPr>
          <w:color w:val="auto"/>
          <w:szCs w:val="24"/>
        </w:rPr>
        <w:t xml:space="preserve">The </w:t>
      </w:r>
      <w:r w:rsidR="00FA5F4E" w:rsidRPr="00DF1086">
        <w:rPr>
          <w:color w:val="auto"/>
          <w:szCs w:val="24"/>
        </w:rPr>
        <w:t xml:space="preserve">VA (C&amp;P) </w:t>
      </w:r>
      <w:r w:rsidR="00DA0334" w:rsidRPr="00DF1086">
        <w:rPr>
          <w:color w:val="auto"/>
          <w:szCs w:val="24"/>
        </w:rPr>
        <w:t xml:space="preserve">physical exam </w:t>
      </w:r>
      <w:r w:rsidR="00FA5F4E" w:rsidRPr="00DF1086">
        <w:rPr>
          <w:color w:val="auto"/>
          <w:szCs w:val="24"/>
        </w:rPr>
        <w:t xml:space="preserve">documented a </w:t>
      </w:r>
      <w:r w:rsidR="000D2DFA" w:rsidRPr="00DF1086">
        <w:rPr>
          <w:color w:val="auto"/>
          <w:szCs w:val="24"/>
        </w:rPr>
        <w:t>normal gait, no pain, weakness, fatigue, palpable swelling, tenderness</w:t>
      </w:r>
      <w:r w:rsidR="00FA5F4E" w:rsidRPr="00DF1086">
        <w:rPr>
          <w:color w:val="auto"/>
          <w:szCs w:val="24"/>
        </w:rPr>
        <w:t>,</w:t>
      </w:r>
      <w:r w:rsidR="000D2DFA" w:rsidRPr="00DF1086">
        <w:rPr>
          <w:color w:val="auto"/>
          <w:szCs w:val="24"/>
        </w:rPr>
        <w:t xml:space="preserve"> </w:t>
      </w:r>
      <w:r w:rsidR="00890112" w:rsidRPr="00DF1086">
        <w:rPr>
          <w:color w:val="auto"/>
          <w:szCs w:val="24"/>
        </w:rPr>
        <w:t>and joint</w:t>
      </w:r>
      <w:r w:rsidR="000D2DFA" w:rsidRPr="00DF1086">
        <w:rPr>
          <w:color w:val="auto"/>
          <w:szCs w:val="24"/>
        </w:rPr>
        <w:t xml:space="preserve"> effusion</w:t>
      </w:r>
      <w:r w:rsidR="00FA5F4E" w:rsidRPr="00DF1086">
        <w:rPr>
          <w:color w:val="auto"/>
          <w:szCs w:val="24"/>
        </w:rPr>
        <w:t xml:space="preserve"> or</w:t>
      </w:r>
      <w:r w:rsidR="00793005" w:rsidRPr="00DF1086">
        <w:rPr>
          <w:color w:val="auto"/>
          <w:szCs w:val="24"/>
        </w:rPr>
        <w:t xml:space="preserve"> Deluca observations.  X-rays </w:t>
      </w:r>
      <w:r w:rsidR="00FA5F4E" w:rsidRPr="00DF1086">
        <w:rPr>
          <w:color w:val="auto"/>
          <w:szCs w:val="24"/>
        </w:rPr>
        <w:t>revealed m</w:t>
      </w:r>
      <w:r w:rsidR="00793005" w:rsidRPr="00DF1086">
        <w:rPr>
          <w:color w:val="auto"/>
          <w:szCs w:val="24"/>
        </w:rPr>
        <w:t xml:space="preserve">edial patellar fragments and overlying </w:t>
      </w:r>
      <w:r w:rsidR="00FA5F4E" w:rsidRPr="00DF1086">
        <w:rPr>
          <w:color w:val="auto"/>
          <w:szCs w:val="24"/>
        </w:rPr>
        <w:t>soft tissue swelling</w:t>
      </w:r>
      <w:r w:rsidR="00793005" w:rsidRPr="00DF1086">
        <w:rPr>
          <w:color w:val="auto"/>
          <w:szCs w:val="24"/>
        </w:rPr>
        <w:t xml:space="preserve"> consistent with</w:t>
      </w:r>
      <w:r w:rsidR="00FA5F4E" w:rsidRPr="00DF1086">
        <w:rPr>
          <w:color w:val="auto"/>
          <w:szCs w:val="24"/>
        </w:rPr>
        <w:t xml:space="preserve"> </w:t>
      </w:r>
      <w:r w:rsidR="00793005" w:rsidRPr="00DF1086">
        <w:rPr>
          <w:color w:val="auto"/>
          <w:szCs w:val="24"/>
        </w:rPr>
        <w:t>trauma and fracture.</w:t>
      </w:r>
    </w:p>
    <w:p w:rsidR="00CF0280" w:rsidRPr="00DF1086" w:rsidRDefault="00CF0280" w:rsidP="0069687C">
      <w:pPr>
        <w:jc w:val="both"/>
        <w:rPr>
          <w:color w:val="auto"/>
          <w:szCs w:val="24"/>
        </w:rPr>
      </w:pPr>
    </w:p>
    <w:p w:rsidR="00626902" w:rsidRPr="0043463D" w:rsidRDefault="0043463D" w:rsidP="0043463D">
      <w:pPr>
        <w:autoSpaceDE w:val="0"/>
        <w:autoSpaceDN w:val="0"/>
        <w:adjustRightInd w:val="0"/>
        <w:jc w:val="both"/>
        <w:rPr>
          <w:rFonts w:cs="Times New Roman"/>
          <w:color w:val="auto"/>
          <w:u w:val="single"/>
        </w:rPr>
      </w:pPr>
      <w:r w:rsidRPr="00DF1086">
        <w:rPr>
          <w:color w:val="auto"/>
          <w:szCs w:val="24"/>
        </w:rPr>
        <w:t xml:space="preserve">The Board directs attention to its rating recommendations based on the above evidence which includes consideration of functional loss lAW VASRD </w:t>
      </w:r>
      <w:r w:rsidRPr="00DF1086">
        <w:rPr>
          <w:rFonts w:cs="Times New Roman"/>
          <w:color w:val="auto"/>
        </w:rPr>
        <w:t>§</w:t>
      </w:r>
      <w:r w:rsidRPr="00DF1086">
        <w:rPr>
          <w:color w:val="auto"/>
          <w:szCs w:val="24"/>
        </w:rPr>
        <w:t xml:space="preserve">4.10, </w:t>
      </w:r>
      <w:r w:rsidRPr="00DF1086">
        <w:rPr>
          <w:rFonts w:cs="Times New Roman"/>
          <w:color w:val="auto"/>
        </w:rPr>
        <w:t>§</w:t>
      </w:r>
      <w:r w:rsidRPr="00DF1086">
        <w:rPr>
          <w:color w:val="auto"/>
          <w:szCs w:val="24"/>
        </w:rPr>
        <w:t xml:space="preserve">4.40, </w:t>
      </w:r>
      <w:r w:rsidRPr="00DF1086">
        <w:rPr>
          <w:rFonts w:cs="Times New Roman"/>
          <w:color w:val="auto"/>
        </w:rPr>
        <w:t>§</w:t>
      </w:r>
      <w:r w:rsidRPr="00DF1086">
        <w:rPr>
          <w:color w:val="auto"/>
          <w:szCs w:val="24"/>
        </w:rPr>
        <w:t xml:space="preserve">4.45 and </w:t>
      </w:r>
      <w:r w:rsidRPr="00DF1086">
        <w:rPr>
          <w:rFonts w:cs="Times New Roman"/>
          <w:color w:val="auto"/>
        </w:rPr>
        <w:t>§</w:t>
      </w:r>
      <w:r w:rsidRPr="00DF1086">
        <w:rPr>
          <w:color w:val="auto"/>
          <w:szCs w:val="24"/>
        </w:rPr>
        <w:t>4.59.</w:t>
      </w:r>
      <w:r w:rsidRPr="00DF1086">
        <w:rPr>
          <w:rFonts w:cs="Times New Roman"/>
          <w:color w:val="auto"/>
        </w:rPr>
        <w:t xml:space="preserve">  </w:t>
      </w:r>
      <w:r w:rsidR="006F5373" w:rsidRPr="00DF1086">
        <w:rPr>
          <w:rFonts w:cs="Times New Roman"/>
          <w:color w:val="auto"/>
        </w:rPr>
        <w:t xml:space="preserve">The MEB examination was considered more probative due to its proximity to the date of separation.  The PEB rated this case under code 5257 for </w:t>
      </w:r>
      <w:r w:rsidR="006F5373" w:rsidRPr="00DF1086">
        <w:rPr>
          <w:rFonts w:cs="Times New Roman"/>
          <w:bCs/>
          <w:color w:val="auto"/>
        </w:rPr>
        <w:t xml:space="preserve">knee instability; which confers 10% for ‘slight’ instability, 20% for ‘moderate’, and 30% for </w:t>
      </w:r>
      <w:r w:rsidR="00F453CB">
        <w:rPr>
          <w:rFonts w:cs="Times New Roman"/>
          <w:bCs/>
          <w:color w:val="auto"/>
        </w:rPr>
        <w:t>‘</w:t>
      </w:r>
      <w:r w:rsidR="006F5373" w:rsidRPr="00DF1086">
        <w:rPr>
          <w:rFonts w:cs="Times New Roman"/>
          <w:bCs/>
          <w:color w:val="auto"/>
        </w:rPr>
        <w:t>severe’.</w:t>
      </w:r>
      <w:r w:rsidRPr="00DF1086">
        <w:rPr>
          <w:rFonts w:cs="Times New Roman"/>
          <w:bCs/>
          <w:color w:val="auto"/>
        </w:rPr>
        <w:t xml:space="preserve">  The PEB’s 20% rating was generous in the absence of patella </w:t>
      </w:r>
      <w:r w:rsidR="00DF1086" w:rsidRPr="00DF1086">
        <w:rPr>
          <w:rFonts w:cs="Times New Roman"/>
          <w:bCs/>
          <w:color w:val="auto"/>
        </w:rPr>
        <w:t>subluxation</w:t>
      </w:r>
      <w:r w:rsidRPr="00DF1086">
        <w:rPr>
          <w:rFonts w:cs="Times New Roman"/>
          <w:bCs/>
          <w:color w:val="auto"/>
        </w:rPr>
        <w:t xml:space="preserve"> and lateral instability</w:t>
      </w:r>
      <w:r w:rsidR="00074C3F">
        <w:rPr>
          <w:rFonts w:cs="Times New Roman"/>
          <w:bCs/>
          <w:color w:val="auto"/>
        </w:rPr>
        <w:t xml:space="preserve"> and the Board</w:t>
      </w:r>
      <w:r w:rsidRPr="00DF1086">
        <w:rPr>
          <w:rFonts w:cs="Times New Roman"/>
          <w:bCs/>
          <w:color w:val="auto"/>
        </w:rPr>
        <w:t xml:space="preserve"> further agreed the evidence did not support 30% </w:t>
      </w:r>
      <w:r w:rsidRPr="00DF1086">
        <w:rPr>
          <w:bCs/>
          <w:color w:val="auto"/>
          <w:szCs w:val="24"/>
        </w:rPr>
        <w:t xml:space="preserve">since the ‘severe’ rating implies recurrent </w:t>
      </w:r>
      <w:r w:rsidR="00DF1086" w:rsidRPr="00DF1086">
        <w:rPr>
          <w:bCs/>
          <w:color w:val="auto"/>
          <w:szCs w:val="24"/>
        </w:rPr>
        <w:t>subluxation</w:t>
      </w:r>
      <w:r w:rsidRPr="00DF1086">
        <w:rPr>
          <w:bCs/>
          <w:color w:val="auto"/>
          <w:szCs w:val="24"/>
        </w:rPr>
        <w:t xml:space="preserve"> or routine requirement for a rigid brace.  </w:t>
      </w:r>
      <w:r w:rsidR="006F5373" w:rsidRPr="00DF1086">
        <w:rPr>
          <w:rFonts w:cs="Times New Roman"/>
          <w:bCs/>
          <w:color w:val="auto"/>
        </w:rPr>
        <w:t xml:space="preserve">The Board agreed </w:t>
      </w:r>
      <w:r w:rsidRPr="00DF1086">
        <w:rPr>
          <w:rFonts w:cs="Times New Roman"/>
          <w:bCs/>
          <w:color w:val="auto"/>
        </w:rPr>
        <w:t xml:space="preserve">however while </w:t>
      </w:r>
      <w:r w:rsidR="006F5373" w:rsidRPr="00DF1086">
        <w:rPr>
          <w:rFonts w:cs="Times New Roman"/>
          <w:bCs/>
          <w:color w:val="auto"/>
        </w:rPr>
        <w:t xml:space="preserve">the </w:t>
      </w:r>
      <w:r w:rsidR="00074C3F">
        <w:rPr>
          <w:rFonts w:cs="Times New Roman"/>
          <w:bCs/>
          <w:color w:val="auto"/>
        </w:rPr>
        <w:t xml:space="preserve">acute </w:t>
      </w:r>
      <w:r w:rsidR="006F5373" w:rsidRPr="00DF1086">
        <w:rPr>
          <w:rFonts w:cs="Times New Roman"/>
          <w:bCs/>
          <w:color w:val="auto"/>
        </w:rPr>
        <w:t xml:space="preserve">clinical pathology supports </w:t>
      </w:r>
      <w:r w:rsidR="00E10415" w:rsidRPr="00DF1086">
        <w:rPr>
          <w:rFonts w:cs="Times New Roman"/>
          <w:bCs/>
          <w:color w:val="auto"/>
        </w:rPr>
        <w:t xml:space="preserve">the use of code 5257, it was pain that was contributing to the functional impairment of the knee and therefore the Board agreed </w:t>
      </w:r>
      <w:r w:rsidRPr="00DF1086">
        <w:rPr>
          <w:rFonts w:cs="Times New Roman"/>
          <w:bCs/>
          <w:color w:val="auto"/>
        </w:rPr>
        <w:t>to consider the 5257 code as an analogous code.</w:t>
      </w:r>
      <w:r w:rsidR="006F5373" w:rsidRPr="00DF1086">
        <w:rPr>
          <w:rFonts w:cs="Times New Roman"/>
          <w:bCs/>
          <w:color w:val="auto"/>
        </w:rPr>
        <w:t xml:space="preserve"> </w:t>
      </w:r>
      <w:r w:rsidRPr="00DF1086">
        <w:rPr>
          <w:rFonts w:cs="Times New Roman"/>
          <w:bCs/>
          <w:color w:val="auto"/>
        </w:rPr>
        <w:t xml:space="preserve"> </w:t>
      </w:r>
      <w:r w:rsidR="006F5373" w:rsidRPr="00DF1086">
        <w:rPr>
          <w:bCs/>
          <w:color w:val="auto"/>
          <w:szCs w:val="24"/>
        </w:rPr>
        <w:t>The VA relied on the MEB ROM exam for its rating recommendation and cited “</w:t>
      </w:r>
      <w:r w:rsidR="006F5373" w:rsidRPr="00DF1086">
        <w:rPr>
          <w:color w:val="auto"/>
          <w:szCs w:val="24"/>
        </w:rPr>
        <w:t xml:space="preserve">that when a </w:t>
      </w:r>
      <w:r w:rsidR="00280676">
        <w:rPr>
          <w:color w:val="auto"/>
          <w:szCs w:val="24"/>
        </w:rPr>
        <w:t>V</w:t>
      </w:r>
      <w:r w:rsidR="006F5373" w:rsidRPr="00DF1086">
        <w:rPr>
          <w:color w:val="auto"/>
          <w:szCs w:val="24"/>
        </w:rPr>
        <w:t xml:space="preserve">eteran meets the requirements for a 0 percent or higher evaluation under diagnostic code 5260 (limitation of flexion) and under diagnostic code 5261 (limitation of extension), an evaluation under each diagnostic code may be assigned and assigned 10% </w:t>
      </w:r>
      <w:r w:rsidR="00E10415" w:rsidRPr="00DF1086">
        <w:rPr>
          <w:color w:val="auto"/>
          <w:szCs w:val="24"/>
        </w:rPr>
        <w:t xml:space="preserve">for 5260 for painful flexion and 10% for 5261 compensable loss of extension </w:t>
      </w:r>
      <w:r w:rsidR="006F5373" w:rsidRPr="00DF1086">
        <w:rPr>
          <w:color w:val="auto"/>
          <w:szCs w:val="24"/>
        </w:rPr>
        <w:t>for a combined disability rating of 20%.</w:t>
      </w:r>
      <w:r w:rsidR="00F453CB">
        <w:rPr>
          <w:color w:val="auto"/>
          <w:szCs w:val="24"/>
        </w:rPr>
        <w:t>”</w:t>
      </w:r>
      <w:r w:rsidR="00E10415" w:rsidRPr="00DF1086">
        <w:rPr>
          <w:rFonts w:cs="Times New Roman"/>
          <w:bCs/>
          <w:color w:val="auto"/>
        </w:rPr>
        <w:t xml:space="preserve"> </w:t>
      </w:r>
      <w:r w:rsidRPr="00DF1086">
        <w:rPr>
          <w:rFonts w:cs="Times New Roman"/>
          <w:bCs/>
          <w:color w:val="auto"/>
        </w:rPr>
        <w:t xml:space="preserve"> </w:t>
      </w:r>
      <w:r w:rsidR="00E10415" w:rsidRPr="00DF1086">
        <w:rPr>
          <w:rFonts w:cs="Times New Roman"/>
          <w:bCs/>
          <w:color w:val="auto"/>
        </w:rPr>
        <w:t xml:space="preserve">The Board deliberated the application of dual ratings, based on separate ratings for instability and limitation of motion.  This was sanctioned by VA Training Letter TL 04-22; and, by precedent and legal opinion, may be applied by the Board.  Members thus deliberated if a second compensable code could be justified under this sanction. </w:t>
      </w:r>
      <w:r w:rsidR="00890112">
        <w:rPr>
          <w:rFonts w:cs="Times New Roman"/>
          <w:bCs/>
          <w:color w:val="auto"/>
        </w:rPr>
        <w:t xml:space="preserve"> </w:t>
      </w:r>
      <w:r w:rsidR="00E10415" w:rsidRPr="00DF1086">
        <w:rPr>
          <w:rFonts w:cs="Times New Roman"/>
          <w:color w:val="auto"/>
        </w:rPr>
        <w:t xml:space="preserve">The Board agreed no compensable rating is supported under code </w:t>
      </w:r>
      <w:r w:rsidR="00E10415" w:rsidRPr="00DF1086">
        <w:rPr>
          <w:rFonts w:cs="Times New Roman"/>
          <w:bCs/>
          <w:color w:val="auto"/>
        </w:rPr>
        <w:t xml:space="preserve">5260 </w:t>
      </w:r>
      <w:r w:rsidR="00E10415" w:rsidRPr="00DF1086">
        <w:rPr>
          <w:rFonts w:cs="Times New Roman"/>
          <w:color w:val="auto"/>
        </w:rPr>
        <w:t xml:space="preserve">(limitation of flexion); although, application of VASRD §4.59 (painful motion) could be considered in order to achieve the minimal compensable rating of 10% and also agreed with </w:t>
      </w:r>
      <w:r w:rsidR="00074C3F">
        <w:rPr>
          <w:rFonts w:cs="Times New Roman"/>
          <w:color w:val="auto"/>
        </w:rPr>
        <w:t>the</w:t>
      </w:r>
      <w:r w:rsidR="00E10415" w:rsidRPr="00DF1086">
        <w:rPr>
          <w:rFonts w:cs="Times New Roman"/>
          <w:color w:val="auto"/>
        </w:rPr>
        <w:t xml:space="preserve"> 10% rating under 5261 (limitation of extension) </w:t>
      </w:r>
      <w:r w:rsidR="00E10415" w:rsidRPr="00890112">
        <w:rPr>
          <w:rFonts w:cs="Times New Roman"/>
          <w:color w:val="auto"/>
          <w:szCs w:val="24"/>
        </w:rPr>
        <w:t xml:space="preserve">for compensable </w:t>
      </w:r>
      <w:r w:rsidR="00DF1086" w:rsidRPr="00890112">
        <w:rPr>
          <w:rFonts w:cs="Times New Roman"/>
          <w:color w:val="auto"/>
          <w:szCs w:val="24"/>
        </w:rPr>
        <w:t xml:space="preserve">extension loss and this rating approach is consistent with the </w:t>
      </w:r>
      <w:r w:rsidR="00DF1086" w:rsidRPr="00890112">
        <w:rPr>
          <w:rFonts w:cs="Times New Roman"/>
          <w:color w:val="auto"/>
          <w:szCs w:val="24"/>
        </w:rPr>
        <w:lastRenderedPageBreak/>
        <w:t xml:space="preserve">combined 20% VA recommendation. </w:t>
      </w:r>
      <w:r w:rsidR="00E10415" w:rsidRPr="00890112">
        <w:rPr>
          <w:rFonts w:cs="Times New Roman"/>
          <w:color w:val="auto"/>
          <w:szCs w:val="24"/>
        </w:rPr>
        <w:t xml:space="preserve"> </w:t>
      </w:r>
      <w:r w:rsidR="00E10415" w:rsidRPr="00890112">
        <w:rPr>
          <w:rFonts w:cs="Times New Roman"/>
          <w:bCs/>
          <w:color w:val="auto"/>
          <w:szCs w:val="24"/>
        </w:rPr>
        <w:t xml:space="preserve">There </w:t>
      </w:r>
      <w:r w:rsidRPr="00890112">
        <w:rPr>
          <w:rFonts w:cs="Times New Roman"/>
          <w:bCs/>
          <w:color w:val="auto"/>
          <w:szCs w:val="24"/>
        </w:rPr>
        <w:t xml:space="preserve">is </w:t>
      </w:r>
      <w:r w:rsidR="00E10415" w:rsidRPr="00890112">
        <w:rPr>
          <w:rFonts w:cs="Times New Roman"/>
          <w:color w:val="auto"/>
          <w:szCs w:val="24"/>
        </w:rPr>
        <w:t>no evidence of continued dislocation of the patella or instability of the knee by history or exam and therefore the evidence d</w:t>
      </w:r>
      <w:r w:rsidRPr="00890112">
        <w:rPr>
          <w:rFonts w:cs="Times New Roman"/>
          <w:color w:val="auto"/>
          <w:szCs w:val="24"/>
        </w:rPr>
        <w:t>oes</w:t>
      </w:r>
      <w:r w:rsidR="00E10415" w:rsidRPr="00890112">
        <w:rPr>
          <w:rFonts w:cs="Times New Roman"/>
          <w:color w:val="auto"/>
          <w:szCs w:val="24"/>
        </w:rPr>
        <w:t xml:space="preserve"> not support dual coding</w:t>
      </w:r>
      <w:r w:rsidR="00DF1086" w:rsidRPr="00890112">
        <w:rPr>
          <w:rFonts w:cs="Times New Roman"/>
          <w:color w:val="auto"/>
          <w:szCs w:val="24"/>
        </w:rPr>
        <w:t xml:space="preserve"> nor use of 5257 as the </w:t>
      </w:r>
      <w:r w:rsidR="00074C3F" w:rsidRPr="00890112">
        <w:rPr>
          <w:rFonts w:cs="Times New Roman"/>
          <w:color w:val="auto"/>
          <w:szCs w:val="24"/>
        </w:rPr>
        <w:t xml:space="preserve">primary </w:t>
      </w:r>
      <w:r w:rsidR="00DF1086" w:rsidRPr="00890112">
        <w:rPr>
          <w:rFonts w:cs="Times New Roman"/>
          <w:color w:val="auto"/>
          <w:szCs w:val="24"/>
        </w:rPr>
        <w:t>diagnostic code</w:t>
      </w:r>
      <w:r w:rsidR="00E10415" w:rsidRPr="00890112">
        <w:rPr>
          <w:rFonts w:cs="Times New Roman"/>
          <w:color w:val="auto"/>
          <w:szCs w:val="24"/>
        </w:rPr>
        <w:t xml:space="preserve">.  </w:t>
      </w:r>
      <w:r w:rsidR="00890112" w:rsidRPr="00890112">
        <w:rPr>
          <w:rFonts w:cs="Times New Roman"/>
          <w:color w:val="auto"/>
          <w:szCs w:val="24"/>
        </w:rPr>
        <w:t>The Board also considered code 5262 (</w:t>
      </w:r>
      <w:r w:rsidR="00890112" w:rsidRPr="00890112">
        <w:rPr>
          <w:color w:val="auto"/>
          <w:szCs w:val="24"/>
        </w:rPr>
        <w:t xml:space="preserve">Tibia and fibula, impairment of) as the X-ray evidence suggested malunion of the patella and agreed the pain impairment supported the 20% rating of moderate and did not support the 30% </w:t>
      </w:r>
      <w:r w:rsidR="00890112">
        <w:rPr>
          <w:color w:val="auto"/>
          <w:szCs w:val="24"/>
        </w:rPr>
        <w:t xml:space="preserve">rating of </w:t>
      </w:r>
      <w:r w:rsidR="00890112" w:rsidRPr="00890112">
        <w:rPr>
          <w:color w:val="auto"/>
          <w:szCs w:val="24"/>
        </w:rPr>
        <w:t>marked.</w:t>
      </w:r>
      <w:r w:rsidR="00B17DFC">
        <w:rPr>
          <w:color w:val="auto"/>
          <w:szCs w:val="24"/>
        </w:rPr>
        <w:t xml:space="preserve">  </w:t>
      </w:r>
      <w:r w:rsidR="00890112">
        <w:rPr>
          <w:rFonts w:cs="Times New Roman"/>
          <w:color w:val="auto"/>
        </w:rPr>
        <w:t>S</w:t>
      </w:r>
      <w:r w:rsidRPr="00DF1086">
        <w:rPr>
          <w:rFonts w:cs="Times New Roman"/>
          <w:color w:val="auto"/>
        </w:rPr>
        <w:t xml:space="preserve">ince </w:t>
      </w:r>
      <w:r w:rsidR="00890112" w:rsidRPr="00DF1086">
        <w:rPr>
          <w:rFonts w:cs="Times New Roman"/>
          <w:color w:val="auto"/>
        </w:rPr>
        <w:t>alternative VASRD code</w:t>
      </w:r>
      <w:r w:rsidR="00890112">
        <w:rPr>
          <w:rFonts w:cs="Times New Roman"/>
          <w:color w:val="auto"/>
        </w:rPr>
        <w:t xml:space="preserve">s of either 5262 or 5261 with </w:t>
      </w:r>
      <w:r w:rsidR="00890112" w:rsidRPr="00890112">
        <w:rPr>
          <w:rFonts w:cs="Times New Roman"/>
          <w:color w:val="auto"/>
        </w:rPr>
        <w:t>5260 confer</w:t>
      </w:r>
      <w:r w:rsidRPr="00890112">
        <w:rPr>
          <w:rFonts w:cs="Times New Roman"/>
          <w:color w:val="auto"/>
        </w:rPr>
        <w:t xml:space="preserve"> no rating benefit, no change is recommended.  </w:t>
      </w:r>
      <w:r w:rsidR="00626902" w:rsidRPr="008901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Pr="00890112">
        <w:rPr>
          <w:rFonts w:eastAsia="Calibri" w:cs="Times New Roman"/>
          <w:color w:val="auto"/>
          <w:szCs w:val="24"/>
        </w:rPr>
        <w:t xml:space="preserve">left knee </w:t>
      </w:r>
      <w:r w:rsidR="00626902" w:rsidRPr="00890112">
        <w:rPr>
          <w:rFonts w:eastAsia="Calibri" w:cs="Times New Roman"/>
          <w:color w:val="auto"/>
          <w:szCs w:val="24"/>
        </w:rPr>
        <w:t>condition.</w:t>
      </w:r>
    </w:p>
    <w:p w:rsidR="00AD2379" w:rsidRPr="00F64312" w:rsidRDefault="00AD2379" w:rsidP="00BF0E94">
      <w:pPr>
        <w:jc w:val="left"/>
        <w:rPr>
          <w:rFonts w:eastAsia="HiddenHorzOCR"/>
          <w:color w:val="auto"/>
          <w:highlight w:val="magenta"/>
          <w:u w:val="single"/>
        </w:rPr>
      </w:pPr>
    </w:p>
    <w:p w:rsidR="003863E9" w:rsidRPr="00017BCB" w:rsidRDefault="006B690F" w:rsidP="003863E9">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unfitting by the PEB were </w:t>
      </w:r>
      <w:r w:rsidR="00890112">
        <w:rPr>
          <w:rFonts w:eastAsia="Calibri" w:cs="Times New Roman"/>
          <w:color w:val="auto"/>
          <w:szCs w:val="24"/>
        </w:rPr>
        <w:t>c</w:t>
      </w:r>
      <w:r w:rsidR="002C798B">
        <w:rPr>
          <w:rFonts w:eastAsia="Calibri" w:cs="Times New Roman"/>
          <w:color w:val="auto"/>
          <w:szCs w:val="24"/>
        </w:rPr>
        <w:t>hronic PTSD</w:t>
      </w:r>
      <w:r w:rsidR="003863E9" w:rsidRPr="00792790">
        <w:rPr>
          <w:rFonts w:eastAsia="Calibri" w:cs="Times New Roman"/>
          <w:color w:val="auto"/>
          <w:szCs w:val="24"/>
        </w:rPr>
        <w:t xml:space="preserve">, </w:t>
      </w:r>
      <w:r w:rsidR="00890112">
        <w:rPr>
          <w:rFonts w:eastAsia="Calibri" w:cs="Times New Roman"/>
          <w:color w:val="auto"/>
          <w:szCs w:val="24"/>
        </w:rPr>
        <w:t>sensorineural hearing loss with tinnitus</w:t>
      </w:r>
      <w:r w:rsidR="00890112" w:rsidRPr="00792790">
        <w:rPr>
          <w:rFonts w:eastAsia="Calibri" w:cs="Times New Roman"/>
          <w:color w:val="auto"/>
          <w:szCs w:val="24"/>
        </w:rPr>
        <w:t xml:space="preserve"> and </w:t>
      </w:r>
      <w:r w:rsidR="00890112">
        <w:rPr>
          <w:rFonts w:eastAsia="Calibri" w:cs="Times New Roman"/>
          <w:color w:val="auto"/>
          <w:szCs w:val="24"/>
        </w:rPr>
        <w:t>sleep apnea</w:t>
      </w:r>
      <w:r w:rsidR="003863E9" w:rsidRPr="00792790">
        <w:rPr>
          <w:rFonts w:eastAsia="Calibri" w:cs="Times New Roman"/>
          <w:color w:val="auto"/>
          <w:szCs w:val="24"/>
        </w:rPr>
        <w:t xml:space="preserve">.  The Board’s first charge with respect to these conditions is an assessment of the appropriateness of the PEB’s fitness adjudications.  The Board’s threshold for countering </w:t>
      </w:r>
      <w:r w:rsidR="00280676">
        <w:rPr>
          <w:rFonts w:eastAsia="Calibri" w:cs="Times New Roman"/>
          <w:color w:val="auto"/>
          <w:szCs w:val="24"/>
        </w:rPr>
        <w:t>s</w:t>
      </w:r>
      <w:r w:rsidR="003863E9" w:rsidRPr="00792790">
        <w:rPr>
          <w:rFonts w:eastAsia="Calibri" w:cs="Times New Roman"/>
          <w:color w:val="auto"/>
          <w:szCs w:val="24"/>
        </w:rPr>
        <w:t xml:space="preserve">ervice fitness determinations is higher than the VASRD §4.3 (reasonable doubt) standard used for its rating recommendations, but remains adherent to the DoDI 6040.44 “fair and equitable” standard.  </w:t>
      </w:r>
      <w:r w:rsidR="003863E9" w:rsidRPr="001F29F9">
        <w:rPr>
          <w:color w:val="000000"/>
        </w:rPr>
        <w:t xml:space="preserve">None of these </w:t>
      </w:r>
      <w:r w:rsidR="003863E9" w:rsidRPr="00244791">
        <w:rPr>
          <w:color w:val="000000"/>
        </w:rPr>
        <w:t xml:space="preserve">conditions were </w:t>
      </w:r>
      <w:r w:rsidR="003863E9">
        <w:rPr>
          <w:color w:val="000000"/>
        </w:rPr>
        <w:t xml:space="preserve">profiled; none were </w:t>
      </w:r>
      <w:r w:rsidR="003863E9" w:rsidRPr="00244791">
        <w:rPr>
          <w:color w:val="000000"/>
        </w:rPr>
        <w:t>implicated in the commander’s statement</w:t>
      </w:r>
      <w:r w:rsidR="003863E9">
        <w:rPr>
          <w:color w:val="000000"/>
        </w:rPr>
        <w:t>; and, none were 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3863E9" w:rsidRPr="001F29F9">
        <w:rPr>
          <w:color w:val="000000"/>
        </w:rPr>
        <w:t xml:space="preserve">All were reviewed by the </w:t>
      </w:r>
      <w:r w:rsidR="00280676">
        <w:rPr>
          <w:color w:val="000000"/>
        </w:rPr>
        <w:t>a</w:t>
      </w:r>
      <w:r w:rsidR="003863E9" w:rsidRPr="001F29F9">
        <w:rPr>
          <w:color w:val="000000"/>
        </w:rPr>
        <w:t xml:space="preserve">ction </w:t>
      </w:r>
      <w:r w:rsidR="0028067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There was no indication from the record that any of these conditions significantly interfered with satisfactory duty performance.</w:t>
      </w:r>
      <w:r w:rsidR="00B17DFC">
        <w:rPr>
          <w:color w:val="000000"/>
        </w:rPr>
        <w:t xml:space="preserv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w:t>
      </w:r>
      <w:r w:rsidR="003863E9">
        <w:rPr>
          <w:rFonts w:eastAsia="Calibri" w:cs="Times New Roman"/>
          <w:color w:val="auto"/>
          <w:szCs w:val="24"/>
        </w:rPr>
        <w:t xml:space="preserve"> </w:t>
      </w:r>
      <w:r w:rsidR="003863E9"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017BCB" w:rsidRDefault="00AD2379" w:rsidP="00417BED">
      <w:pPr>
        <w:jc w:val="both"/>
        <w:rPr>
          <w:rFonts w:cs="Times New Roman"/>
          <w:color w:val="auto"/>
        </w:rPr>
      </w:pPr>
      <w:r w:rsidRPr="00A064AA">
        <w:rPr>
          <w:color w:val="auto"/>
          <w:u w:val="single"/>
        </w:rPr>
        <w:t>BOARD FINDINGS</w:t>
      </w:r>
      <w:r w:rsidRPr="00A064AA">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A064AA">
        <w:rPr>
          <w:rFonts w:cs="Times New Roman"/>
          <w:color w:val="auto"/>
        </w:rPr>
        <w:t>.</w:t>
      </w:r>
      <w:r w:rsidR="006B690F" w:rsidRPr="00A064AA">
        <w:rPr>
          <w:rFonts w:cs="Times New Roman"/>
          <w:color w:val="auto"/>
        </w:rPr>
        <w:t xml:space="preserve">  </w:t>
      </w:r>
      <w:r w:rsidRPr="00A064AA">
        <w:rPr>
          <w:rFonts w:cs="Times New Roman"/>
          <w:color w:val="auto"/>
        </w:rPr>
        <w:t>The Board did not surmise from the record or PEB ruling in this case that any prerogatives outside the VASRD were exercised.</w:t>
      </w:r>
      <w:r w:rsidR="006B690F" w:rsidRPr="00A064AA">
        <w:rPr>
          <w:rFonts w:cs="Times New Roman"/>
          <w:color w:val="auto"/>
        </w:rPr>
        <w:t xml:space="preserve">  </w:t>
      </w:r>
      <w:r w:rsidR="00560F12" w:rsidRPr="00A064AA">
        <w:rPr>
          <w:rFonts w:eastAsia="Calibri" w:cs="Times New Roman"/>
          <w:color w:val="auto"/>
          <w:szCs w:val="24"/>
        </w:rPr>
        <w:t xml:space="preserve">In the matter of the </w:t>
      </w:r>
      <w:r w:rsidR="00017BCB" w:rsidRPr="00A064AA">
        <w:rPr>
          <w:rFonts w:eastAsia="Calibri" w:cs="Times New Roman"/>
          <w:color w:val="auto"/>
          <w:szCs w:val="24"/>
        </w:rPr>
        <w:t>left knee</w:t>
      </w:r>
      <w:r w:rsidR="00560F12" w:rsidRPr="00A064AA">
        <w:rPr>
          <w:rFonts w:eastAsia="Calibri" w:cs="Times New Roman"/>
          <w:color w:val="auto"/>
          <w:szCs w:val="24"/>
        </w:rPr>
        <w:t xml:space="preserve"> condition and IAW VASRD §4.71a, the Board unanimously recommends no change in the PEB adjudication.</w:t>
      </w:r>
      <w:r w:rsidR="006B690F" w:rsidRPr="00A064AA">
        <w:rPr>
          <w:rFonts w:eastAsia="Calibri" w:cs="Times New Roman"/>
          <w:color w:val="auto"/>
          <w:szCs w:val="24"/>
        </w:rPr>
        <w:t xml:space="preserve">  </w:t>
      </w:r>
      <w:r w:rsidR="00560F12" w:rsidRPr="00A064AA">
        <w:rPr>
          <w:rFonts w:eastAsia="Calibri" w:cs="Times New Roman"/>
          <w:color w:val="auto"/>
          <w:szCs w:val="24"/>
        </w:rPr>
        <w:t xml:space="preserve">In the matter of the contended </w:t>
      </w:r>
      <w:r w:rsidR="00A064AA" w:rsidRPr="00A064AA">
        <w:rPr>
          <w:rFonts w:eastAsia="Calibri" w:cs="Times New Roman"/>
          <w:color w:val="auto"/>
          <w:szCs w:val="24"/>
        </w:rPr>
        <w:t>chronic</w:t>
      </w:r>
      <w:r w:rsidR="00017BCB" w:rsidRPr="00A064AA">
        <w:rPr>
          <w:rFonts w:eastAsia="Calibri" w:cs="Times New Roman"/>
          <w:color w:val="auto"/>
          <w:szCs w:val="24"/>
        </w:rPr>
        <w:t xml:space="preserve"> PTSD, </w:t>
      </w:r>
      <w:r w:rsidR="00A064AA" w:rsidRPr="00A064AA">
        <w:rPr>
          <w:rFonts w:eastAsia="Calibri" w:cs="Times New Roman"/>
          <w:color w:val="auto"/>
          <w:szCs w:val="24"/>
        </w:rPr>
        <w:t xml:space="preserve">sensorineural hearing loss </w:t>
      </w:r>
      <w:r w:rsidR="00017BCB" w:rsidRPr="00A064AA">
        <w:rPr>
          <w:rFonts w:eastAsia="Calibri" w:cs="Times New Roman"/>
          <w:color w:val="auto"/>
          <w:szCs w:val="24"/>
        </w:rPr>
        <w:t xml:space="preserve">with </w:t>
      </w:r>
      <w:r w:rsidR="00A064AA" w:rsidRPr="00A064AA">
        <w:rPr>
          <w:rFonts w:eastAsia="Calibri" w:cs="Times New Roman"/>
          <w:color w:val="auto"/>
          <w:szCs w:val="24"/>
        </w:rPr>
        <w:t>tinnitus</w:t>
      </w:r>
      <w:r w:rsidR="00017BCB" w:rsidRPr="00A064AA">
        <w:rPr>
          <w:rFonts w:eastAsia="Calibri" w:cs="Times New Roman"/>
          <w:color w:val="auto"/>
          <w:szCs w:val="24"/>
        </w:rPr>
        <w:t xml:space="preserve"> and </w:t>
      </w:r>
      <w:r w:rsidR="00A064AA" w:rsidRPr="00A064AA">
        <w:rPr>
          <w:rFonts w:eastAsia="Calibri" w:cs="Times New Roman"/>
          <w:color w:val="auto"/>
          <w:szCs w:val="24"/>
        </w:rPr>
        <w:t xml:space="preserve">sleep apnea </w:t>
      </w:r>
      <w:r w:rsidR="00560F12" w:rsidRPr="00A064AA">
        <w:rPr>
          <w:rFonts w:eastAsia="Calibri" w:cs="Times New Roman"/>
          <w:color w:val="auto"/>
          <w:szCs w:val="24"/>
        </w:rPr>
        <w:t xml:space="preserve">conditions, the Board unanimously </w:t>
      </w:r>
      <w:r w:rsidR="00417BED" w:rsidRPr="00A064AA">
        <w:rPr>
          <w:rFonts w:eastAsia="Calibri" w:cs="Times New Roman"/>
          <w:color w:val="auto"/>
          <w:szCs w:val="24"/>
        </w:rPr>
        <w:t>recommends no change from the PEB determinations as not unfitting.</w:t>
      </w:r>
      <w:r w:rsidR="00165C7B" w:rsidRPr="00A064AA">
        <w:rPr>
          <w:rFonts w:eastAsia="Calibri" w:cs="Times New Roman"/>
          <w:color w:val="auto"/>
          <w:szCs w:val="24"/>
        </w:rPr>
        <w:t xml:space="preserve">  </w:t>
      </w:r>
      <w:r w:rsidR="00417BED" w:rsidRPr="00A064AA">
        <w:rPr>
          <w:rFonts w:eastAsia="Calibri" w:cs="Times New Roman"/>
          <w:color w:val="auto"/>
          <w:szCs w:val="24"/>
        </w:rPr>
        <w:t>There were no other conditions within the Board’s scope of review for consideration.</w:t>
      </w:r>
    </w:p>
    <w:p w:rsidR="00AD2379" w:rsidRPr="00890112" w:rsidRDefault="00AD2379" w:rsidP="00BF0E94">
      <w:pPr>
        <w:pBdr>
          <w:bottom w:val="single" w:sz="12" w:space="1" w:color="auto"/>
        </w:pBdr>
        <w:tabs>
          <w:tab w:val="left" w:pos="288"/>
          <w:tab w:val="left" w:pos="4752"/>
        </w:tabs>
        <w:jc w:val="both"/>
        <w:rPr>
          <w:color w:val="auto"/>
        </w:rPr>
      </w:pPr>
    </w:p>
    <w:p w:rsidR="00AD2379" w:rsidRPr="00890112" w:rsidRDefault="00AD2379" w:rsidP="006364ED">
      <w:pPr>
        <w:jc w:val="left"/>
        <w:rPr>
          <w:color w:val="auto"/>
        </w:rPr>
      </w:pPr>
    </w:p>
    <w:p w:rsidR="00AD2379" w:rsidRPr="00890112" w:rsidRDefault="00AD2379" w:rsidP="00B22D42">
      <w:pPr>
        <w:jc w:val="left"/>
        <w:rPr>
          <w:color w:val="auto"/>
        </w:rPr>
      </w:pPr>
      <w:r w:rsidRPr="00890112">
        <w:rPr>
          <w:color w:val="auto"/>
          <w:u w:val="single"/>
        </w:rPr>
        <w:t>RECOMMENDATION</w:t>
      </w:r>
      <w:r w:rsidRPr="00890112">
        <w:rPr>
          <w:color w:val="auto"/>
        </w:rPr>
        <w:t xml:space="preserve">: </w:t>
      </w:r>
      <w:r w:rsidR="006B690F" w:rsidRPr="00890112">
        <w:rPr>
          <w:color w:val="auto"/>
        </w:rPr>
        <w:t xml:space="preserve"> </w:t>
      </w:r>
      <w:r w:rsidRPr="00890112">
        <w:rPr>
          <w:color w:val="auto"/>
        </w:rPr>
        <w:t>The Board, therefore, recommends that there be no recharacterization of the CI’s disability and separation determination, as follows:</w:t>
      </w:r>
    </w:p>
    <w:p w:rsidR="00AD2379" w:rsidRPr="008901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890112" w:rsidTr="006B690F">
        <w:trPr>
          <w:trHeight w:val="233"/>
          <w:jc w:val="center"/>
        </w:trPr>
        <w:tc>
          <w:tcPr>
            <w:tcW w:w="6768" w:type="dxa"/>
            <w:shd w:val="clear" w:color="auto" w:fill="D9D9D9"/>
            <w:vAlign w:val="center"/>
          </w:tcPr>
          <w:p w:rsidR="00AD2379" w:rsidRPr="00890112" w:rsidRDefault="00AD2379" w:rsidP="006B690F">
            <w:pPr>
              <w:tabs>
                <w:tab w:val="left" w:pos="288"/>
                <w:tab w:val="left" w:pos="4752"/>
              </w:tabs>
              <w:rPr>
                <w:b/>
                <w:color w:val="auto"/>
              </w:rPr>
            </w:pPr>
            <w:r w:rsidRPr="00890112">
              <w:rPr>
                <w:b/>
                <w:color w:val="auto"/>
              </w:rPr>
              <w:t>UNFITTING CONDITION</w:t>
            </w:r>
          </w:p>
        </w:tc>
        <w:tc>
          <w:tcPr>
            <w:tcW w:w="1530" w:type="dxa"/>
            <w:shd w:val="clear" w:color="auto" w:fill="D9D9D9"/>
            <w:vAlign w:val="center"/>
          </w:tcPr>
          <w:p w:rsidR="00AD2379" w:rsidRPr="00890112" w:rsidRDefault="00AD2379" w:rsidP="006B690F">
            <w:pPr>
              <w:tabs>
                <w:tab w:val="left" w:pos="288"/>
                <w:tab w:val="left" w:pos="4752"/>
              </w:tabs>
              <w:rPr>
                <w:b/>
                <w:color w:val="auto"/>
              </w:rPr>
            </w:pPr>
            <w:r w:rsidRPr="00890112">
              <w:rPr>
                <w:b/>
                <w:color w:val="auto"/>
              </w:rPr>
              <w:t>VASRD CODE</w:t>
            </w:r>
          </w:p>
        </w:tc>
        <w:tc>
          <w:tcPr>
            <w:tcW w:w="1026" w:type="dxa"/>
            <w:shd w:val="clear" w:color="auto" w:fill="D9D9D9"/>
            <w:vAlign w:val="center"/>
          </w:tcPr>
          <w:p w:rsidR="00AD2379" w:rsidRPr="00890112" w:rsidRDefault="00AD2379" w:rsidP="006B690F">
            <w:pPr>
              <w:tabs>
                <w:tab w:val="left" w:pos="288"/>
                <w:tab w:val="left" w:pos="4752"/>
              </w:tabs>
              <w:rPr>
                <w:b/>
                <w:color w:val="auto"/>
              </w:rPr>
            </w:pPr>
            <w:r w:rsidRPr="00890112">
              <w:rPr>
                <w:b/>
                <w:color w:val="auto"/>
              </w:rPr>
              <w:t>RATING</w:t>
            </w:r>
          </w:p>
        </w:tc>
      </w:tr>
      <w:tr w:rsidR="00AD2379" w:rsidRPr="00890112" w:rsidTr="006B690F">
        <w:trPr>
          <w:jc w:val="center"/>
        </w:trPr>
        <w:tc>
          <w:tcPr>
            <w:tcW w:w="6768" w:type="dxa"/>
            <w:vAlign w:val="center"/>
          </w:tcPr>
          <w:p w:rsidR="00AD2379" w:rsidRPr="00890112" w:rsidRDefault="00017BCB" w:rsidP="006B690F">
            <w:pPr>
              <w:tabs>
                <w:tab w:val="left" w:pos="288"/>
                <w:tab w:val="left" w:pos="4752"/>
              </w:tabs>
              <w:jc w:val="left"/>
              <w:rPr>
                <w:color w:val="auto"/>
              </w:rPr>
            </w:pPr>
            <w:r w:rsidRPr="00890112">
              <w:rPr>
                <w:color w:val="auto"/>
              </w:rPr>
              <w:t>Chronic Left Knee Pain</w:t>
            </w:r>
          </w:p>
        </w:tc>
        <w:tc>
          <w:tcPr>
            <w:tcW w:w="1530" w:type="dxa"/>
            <w:vAlign w:val="center"/>
          </w:tcPr>
          <w:p w:rsidR="00AD2379" w:rsidRPr="00890112" w:rsidRDefault="00017BCB" w:rsidP="006B690F">
            <w:pPr>
              <w:tabs>
                <w:tab w:val="left" w:pos="288"/>
                <w:tab w:val="left" w:pos="4752"/>
              </w:tabs>
              <w:rPr>
                <w:color w:val="auto"/>
              </w:rPr>
            </w:pPr>
            <w:r w:rsidRPr="00890112">
              <w:rPr>
                <w:color w:val="auto"/>
              </w:rPr>
              <w:t>5299-5257</w:t>
            </w:r>
          </w:p>
        </w:tc>
        <w:tc>
          <w:tcPr>
            <w:tcW w:w="1026" w:type="dxa"/>
            <w:vAlign w:val="center"/>
          </w:tcPr>
          <w:p w:rsidR="00AD2379" w:rsidRPr="00890112" w:rsidRDefault="00017BCB" w:rsidP="006B690F">
            <w:pPr>
              <w:tabs>
                <w:tab w:val="left" w:pos="288"/>
                <w:tab w:val="left" w:pos="4752"/>
              </w:tabs>
              <w:rPr>
                <w:color w:val="auto"/>
              </w:rPr>
            </w:pPr>
            <w:r w:rsidRPr="00890112">
              <w:rPr>
                <w:color w:val="auto"/>
              </w:rPr>
              <w:t>2</w:t>
            </w:r>
            <w:r w:rsidR="00AD2379" w:rsidRPr="00890112">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890112" w:rsidRDefault="00AD2379" w:rsidP="006B690F">
            <w:pPr>
              <w:tabs>
                <w:tab w:val="left" w:pos="288"/>
                <w:tab w:val="left" w:pos="4752"/>
              </w:tabs>
              <w:rPr>
                <w:b/>
                <w:color w:val="auto"/>
              </w:rPr>
            </w:pPr>
            <w:r w:rsidRPr="00890112">
              <w:rPr>
                <w:b/>
                <w:color w:val="auto"/>
              </w:rPr>
              <w:t>COMBINED</w:t>
            </w:r>
          </w:p>
        </w:tc>
        <w:tc>
          <w:tcPr>
            <w:tcW w:w="1026" w:type="dxa"/>
            <w:shd w:val="clear" w:color="auto" w:fill="D9D9D9"/>
            <w:vAlign w:val="center"/>
          </w:tcPr>
          <w:p w:rsidR="00AD2379" w:rsidRPr="00F64312" w:rsidRDefault="00017BCB" w:rsidP="006B690F">
            <w:pPr>
              <w:tabs>
                <w:tab w:val="left" w:pos="288"/>
                <w:tab w:val="left" w:pos="4752"/>
              </w:tabs>
              <w:rPr>
                <w:b/>
                <w:color w:val="auto"/>
              </w:rPr>
            </w:pPr>
            <w:r w:rsidRPr="00890112">
              <w:rPr>
                <w:b/>
                <w:color w:val="auto"/>
              </w:rPr>
              <w:t>2</w:t>
            </w:r>
            <w:r w:rsidR="00AD2379" w:rsidRPr="00890112">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2C798B">
        <w:rPr>
          <w:color w:val="auto"/>
        </w:rPr>
        <w:t>20</w:t>
      </w:r>
      <w:r w:rsidR="002C798B">
        <w:rPr>
          <w:color w:val="auto"/>
        </w:rPr>
        <w:t>120322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A334DF">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Pr="00F64312" w:rsidRDefault="00AD2379" w:rsidP="00BF0E94">
      <w:pPr>
        <w:tabs>
          <w:tab w:val="left" w:pos="0"/>
          <w:tab w:val="left" w:pos="4320"/>
        </w:tabs>
        <w:jc w:val="both"/>
        <w:rPr>
          <w:color w:val="auto"/>
        </w:rPr>
      </w:pPr>
      <w:r w:rsidRPr="00F64312">
        <w:rPr>
          <w:color w:val="auto"/>
        </w:rPr>
        <w:tab/>
        <w:t xml:space="preserve">           Physical Disability Board of Review</w:t>
      </w:r>
    </w:p>
    <w:p w:rsidR="00A334DF" w:rsidRDefault="00A334DF" w:rsidP="00216FCB">
      <w:pPr>
        <w:tabs>
          <w:tab w:val="left" w:pos="288"/>
          <w:tab w:val="left" w:pos="4752"/>
        </w:tabs>
        <w:jc w:val="both"/>
        <w:rPr>
          <w:rFonts w:asciiTheme="majorHAnsi" w:eastAsia="Calibri" w:hAnsiTheme="majorHAnsi" w:cstheme="majorHAnsi"/>
          <w:color w:val="auto"/>
          <w:sz w:val="18"/>
          <w:szCs w:val="18"/>
        </w:rPr>
      </w:pPr>
    </w:p>
    <w:p w:rsidR="00A334DF" w:rsidRDefault="00A334DF">
      <w:pPr>
        <w:spacing w:line="240" w:lineRule="auto"/>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br w:type="page"/>
      </w:r>
    </w:p>
    <w:p w:rsidR="00A334DF" w:rsidRDefault="00A334DF" w:rsidP="00A334DF">
      <w:pPr>
        <w:sectPr w:rsidR="00A334DF">
          <w:pgSz w:w="12240" w:h="15840"/>
          <w:pgMar w:top="2160" w:right="1440" w:bottom="1440" w:left="1440" w:header="720" w:footer="720" w:gutter="0"/>
          <w:cols w:space="720"/>
        </w:sectPr>
      </w:pPr>
    </w:p>
    <w:p w:rsidR="00A334DF" w:rsidRDefault="00A334DF" w:rsidP="00A334DF">
      <w:pPr>
        <w:pStyle w:val="Header"/>
        <w:tabs>
          <w:tab w:val="left" w:pos="720"/>
        </w:tabs>
        <w:jc w:val="left"/>
      </w:pPr>
      <w:r>
        <w:lastRenderedPageBreak/>
        <w:t>SFMR-RB</w:t>
      </w:r>
      <w:r>
        <w:tab/>
      </w:r>
      <w:r>
        <w:tab/>
      </w:r>
      <w:r>
        <w:tab/>
      </w:r>
      <w:r>
        <w:tab/>
      </w:r>
      <w:r>
        <w:tab/>
      </w:r>
      <w:r>
        <w:tab/>
      </w:r>
      <w:r>
        <w:tab/>
      </w:r>
      <w:r>
        <w:tab/>
      </w:r>
      <w:r>
        <w:tab/>
      </w:r>
    </w:p>
    <w:p w:rsidR="00A334DF" w:rsidRDefault="00A334DF" w:rsidP="00A334DF">
      <w:pPr>
        <w:pStyle w:val="Header"/>
        <w:tabs>
          <w:tab w:val="left" w:pos="720"/>
        </w:tabs>
        <w:jc w:val="left"/>
      </w:pPr>
    </w:p>
    <w:p w:rsidR="00A334DF" w:rsidRDefault="00A334DF" w:rsidP="00A334DF">
      <w:pPr>
        <w:jc w:val="left"/>
      </w:pPr>
    </w:p>
    <w:p w:rsidR="00A334DF" w:rsidRDefault="00A334DF" w:rsidP="00A334DF">
      <w:pPr>
        <w:jc w:val="left"/>
      </w:pPr>
      <w:r>
        <w:t xml:space="preserve">MEMORANDUM FOR Commander, US Army Physical Disability Agency </w:t>
      </w:r>
    </w:p>
    <w:p w:rsidR="00A334DF" w:rsidRDefault="00A334DF" w:rsidP="00A334DF">
      <w:pPr>
        <w:jc w:val="left"/>
      </w:pPr>
      <w:r>
        <w:t xml:space="preserve">(TAPD-ZB </w:t>
      </w:r>
      <w:proofErr w:type="gramStart"/>
      <w:r>
        <w:t>/  )</w:t>
      </w:r>
      <w:proofErr w:type="gramEnd"/>
      <w:r>
        <w:t>, 2900 Crystal Drive, Suite 300, Arlington, VA  22202</w:t>
      </w:r>
    </w:p>
    <w:p w:rsidR="00A334DF" w:rsidRDefault="00A334DF" w:rsidP="00A334DF">
      <w:pPr>
        <w:jc w:val="left"/>
      </w:pPr>
    </w:p>
    <w:p w:rsidR="00A334DF" w:rsidRDefault="00A334DF" w:rsidP="00A334DF">
      <w:pPr>
        <w:ind w:right="-180"/>
        <w:jc w:val="left"/>
      </w:pPr>
      <w:r>
        <w:t>SUBJECT:  Department of Defense Physical Disability Board of Review Recommendation for XXXXXXXXXXXXXXXXXX, AR20120016884 (PD201200296)</w:t>
      </w:r>
    </w:p>
    <w:p w:rsidR="00A334DF" w:rsidRDefault="00A334DF" w:rsidP="00A334DF">
      <w:pPr>
        <w:pStyle w:val="Header"/>
        <w:tabs>
          <w:tab w:val="left" w:pos="720"/>
        </w:tabs>
        <w:jc w:val="left"/>
      </w:pPr>
    </w:p>
    <w:p w:rsidR="00A334DF" w:rsidRDefault="00A334DF" w:rsidP="00A334DF">
      <w:pPr>
        <w:jc w:val="left"/>
      </w:pPr>
    </w:p>
    <w:p w:rsidR="00A334DF" w:rsidRDefault="00A334DF" w:rsidP="00A334D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A334DF" w:rsidRDefault="00A334DF" w:rsidP="00A334DF">
      <w:pPr>
        <w:jc w:val="left"/>
      </w:pPr>
      <w:r>
        <w:t>This decision is final.  The individual concerned, counsel (if any), and any Members of Congress who have shown interest in this application have been notified of this decision by mail.</w:t>
      </w:r>
    </w:p>
    <w:p w:rsidR="00A334DF" w:rsidRDefault="00A334DF" w:rsidP="00A334DF">
      <w:pPr>
        <w:jc w:val="left"/>
      </w:pPr>
    </w:p>
    <w:p w:rsidR="00A334DF" w:rsidRDefault="00A334DF" w:rsidP="00A334DF">
      <w:pPr>
        <w:jc w:val="left"/>
      </w:pPr>
      <w:r>
        <w:t xml:space="preserve"> BY ORDER OF THE SECRETARY OF THE ARMY:</w:t>
      </w:r>
    </w:p>
    <w:p w:rsidR="00A334DF" w:rsidRDefault="00A334DF" w:rsidP="00A334DF">
      <w:pPr>
        <w:jc w:val="left"/>
      </w:pPr>
    </w:p>
    <w:p w:rsidR="00A334DF" w:rsidRDefault="00A334DF" w:rsidP="00A334DF">
      <w:pPr>
        <w:jc w:val="left"/>
      </w:pPr>
    </w:p>
    <w:p w:rsidR="00A334DF" w:rsidRDefault="00A334DF" w:rsidP="00A334DF">
      <w:pPr>
        <w:pStyle w:val="Header"/>
        <w:tabs>
          <w:tab w:val="left" w:pos="720"/>
        </w:tabs>
        <w:jc w:val="left"/>
      </w:pPr>
    </w:p>
    <w:p w:rsidR="00A334DF" w:rsidRDefault="00A334DF" w:rsidP="00A334DF">
      <w:pPr>
        <w:jc w:val="left"/>
      </w:pPr>
    </w:p>
    <w:p w:rsidR="00A334DF" w:rsidRDefault="00A334DF" w:rsidP="00A334DF">
      <w:pPr>
        <w:jc w:val="left"/>
      </w:pPr>
      <w:bookmarkStart w:id="0" w:name="OLE_LINK4"/>
      <w:bookmarkStart w:id="1" w:name="OLE_LINK3"/>
      <w:r>
        <w:t>Encl</w:t>
      </w:r>
      <w:r>
        <w:tab/>
      </w:r>
      <w:r>
        <w:tab/>
      </w:r>
      <w:r>
        <w:tab/>
      </w:r>
      <w:r>
        <w:tab/>
      </w:r>
      <w:r>
        <w:tab/>
      </w:r>
      <w:r>
        <w:tab/>
        <w:t xml:space="preserve">     XXXXXXXXXXXXXXXX</w:t>
      </w:r>
    </w:p>
    <w:p w:rsidR="00A334DF" w:rsidRDefault="00A334DF" w:rsidP="00A334DF">
      <w:pPr>
        <w:jc w:val="left"/>
      </w:pPr>
      <w:r>
        <w:tab/>
      </w:r>
      <w:r>
        <w:tab/>
      </w:r>
      <w:r>
        <w:tab/>
      </w:r>
      <w:r>
        <w:tab/>
      </w:r>
      <w:r>
        <w:tab/>
      </w:r>
      <w:r>
        <w:tab/>
        <w:t xml:space="preserve">     Deputy Assistant Secretary</w:t>
      </w:r>
    </w:p>
    <w:p w:rsidR="00A334DF" w:rsidRDefault="00A334DF" w:rsidP="00A334DF">
      <w:pPr>
        <w:jc w:val="left"/>
      </w:pPr>
      <w:r>
        <w:tab/>
      </w:r>
      <w:r>
        <w:tab/>
      </w:r>
      <w:r>
        <w:tab/>
      </w:r>
      <w:r>
        <w:tab/>
      </w:r>
      <w:r>
        <w:tab/>
      </w:r>
      <w:r>
        <w:tab/>
        <w:t xml:space="preserve">         (Army Review Boards)</w:t>
      </w:r>
      <w:bookmarkEnd w:id="0"/>
      <w:bookmarkEnd w:id="1"/>
    </w:p>
    <w:p w:rsidR="00A334DF" w:rsidRDefault="00A334DF" w:rsidP="00A334DF">
      <w:pPr>
        <w:jc w:val="left"/>
      </w:pPr>
    </w:p>
    <w:p w:rsidR="00A334DF" w:rsidRDefault="00A334DF" w:rsidP="00A334DF">
      <w:pPr>
        <w:jc w:val="left"/>
      </w:pPr>
      <w:r>
        <w:t xml:space="preserve">CF: </w:t>
      </w:r>
    </w:p>
    <w:p w:rsidR="00A334DF" w:rsidRDefault="00A334DF" w:rsidP="00A334DF">
      <w:pPr>
        <w:jc w:val="left"/>
      </w:pPr>
      <w:r>
        <w:t xml:space="preserve">(  ) </w:t>
      </w:r>
      <w:proofErr w:type="spellStart"/>
      <w:proofErr w:type="gramStart"/>
      <w:r>
        <w:t>DoD</w:t>
      </w:r>
      <w:proofErr w:type="spellEnd"/>
      <w:proofErr w:type="gramEnd"/>
      <w:r>
        <w:t xml:space="preserve"> PDBR</w:t>
      </w:r>
    </w:p>
    <w:p w:rsidR="00A334DF" w:rsidRDefault="00A334DF" w:rsidP="00A334DF">
      <w:pPr>
        <w:jc w:val="left"/>
      </w:pPr>
      <w:r>
        <w:t>(  ) DVA</w:t>
      </w:r>
    </w:p>
    <w:p w:rsidR="00A334DF" w:rsidRDefault="00A334DF" w:rsidP="00A334DF">
      <w:pPr>
        <w:jc w:val="left"/>
      </w:pPr>
    </w:p>
    <w:p w:rsidR="00836B7B" w:rsidRPr="00F64312" w:rsidRDefault="00836B7B" w:rsidP="00A334DF">
      <w:pPr>
        <w:tabs>
          <w:tab w:val="left" w:pos="288"/>
          <w:tab w:val="left" w:pos="4752"/>
        </w:tabs>
        <w:jc w:val="left"/>
        <w:rPr>
          <w:rFonts w:asciiTheme="majorHAnsi" w:eastAsia="Calibri" w:hAnsiTheme="majorHAnsi" w:cstheme="majorHAnsi"/>
          <w:color w:val="auto"/>
          <w:sz w:val="18"/>
          <w:szCs w:val="18"/>
        </w:rPr>
      </w:pPr>
    </w:p>
    <w:sectPr w:rsidR="00836B7B" w:rsidRPr="00F64312" w:rsidSect="00726F84">
      <w:footerReference w:type="default" r:id="rId7"/>
      <w:footerReference w:type="firs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29" w:rsidRDefault="00E22C29">
      <w:r>
        <w:separator/>
      </w:r>
    </w:p>
  </w:endnote>
  <w:endnote w:type="continuationSeparator" w:id="0">
    <w:p w:rsidR="00E22C29" w:rsidRDefault="00E22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DC" w:rsidRPr="00374247" w:rsidRDefault="002E16DC" w:rsidP="00726F84">
    <w:pPr>
      <w:pStyle w:val="Footer"/>
      <w:ind w:firstLine="4320"/>
      <w:rPr>
        <w:color w:val="auto"/>
      </w:rPr>
    </w:pPr>
    <w:r w:rsidRPr="00374247">
      <w:rPr>
        <w:color w:val="auto"/>
      </w:rPr>
      <w:t xml:space="preserve">   </w:t>
    </w:r>
    <w:fldSimple w:instr=" PAGE   \* MERGEFORMAT ">
      <w:r w:rsidR="00A334DF" w:rsidRPr="00A334DF">
        <w:rPr>
          <w:noProof/>
          <w:color w:val="auto"/>
        </w:rPr>
        <w:t>5</w:t>
      </w:r>
    </w:fldSimple>
    <w:r w:rsidRPr="00374247">
      <w:rPr>
        <w:color w:val="auto"/>
      </w:rPr>
      <w:t xml:space="preserve">                                                           </w:t>
    </w:r>
    <w:r w:rsidRPr="009E286D">
      <w:rPr>
        <w:color w:val="auto"/>
      </w:rPr>
      <w:t>PD12-00296</w:t>
    </w:r>
  </w:p>
  <w:p w:rsidR="002E16DC" w:rsidRPr="00684CE6" w:rsidRDefault="002E16DC">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E16DC" w:rsidRPr="00374247" w:rsidRDefault="002E16DC" w:rsidP="00C31BDD">
        <w:pPr>
          <w:pStyle w:val="Footer"/>
          <w:ind w:firstLine="4320"/>
          <w:rPr>
            <w:color w:val="auto"/>
            <w:szCs w:val="24"/>
          </w:rPr>
        </w:pPr>
        <w:r w:rsidRPr="00374247">
          <w:rPr>
            <w:color w:val="auto"/>
            <w:szCs w:val="24"/>
          </w:rPr>
          <w:t xml:space="preserve">   </w:t>
        </w:r>
        <w:r w:rsidR="00FF3D37" w:rsidRPr="00374247">
          <w:rPr>
            <w:color w:val="auto"/>
            <w:szCs w:val="24"/>
          </w:rPr>
          <w:fldChar w:fldCharType="begin"/>
        </w:r>
        <w:r w:rsidRPr="00374247">
          <w:rPr>
            <w:color w:val="auto"/>
            <w:szCs w:val="24"/>
          </w:rPr>
          <w:instrText xml:space="preserve"> PAGE   \* MERGEFORMAT </w:instrText>
        </w:r>
        <w:r w:rsidR="00FF3D37" w:rsidRPr="00374247">
          <w:rPr>
            <w:color w:val="auto"/>
            <w:szCs w:val="24"/>
          </w:rPr>
          <w:fldChar w:fldCharType="separate"/>
        </w:r>
        <w:r w:rsidR="00A334DF" w:rsidRPr="00A334DF">
          <w:rPr>
            <w:noProof/>
            <w:color w:val="auto"/>
          </w:rPr>
          <w:t>6</w:t>
        </w:r>
        <w:r w:rsidR="00FF3D37" w:rsidRPr="00374247">
          <w:rPr>
            <w:color w:val="auto"/>
            <w:szCs w:val="24"/>
          </w:rPr>
          <w:fldChar w:fldCharType="end"/>
        </w:r>
        <w:r w:rsidRPr="00374247">
          <w:rPr>
            <w:color w:val="auto"/>
            <w:szCs w:val="24"/>
          </w:rPr>
          <w:t xml:space="preserve">                                                           </w:t>
        </w:r>
        <w:r w:rsidRPr="001756A5">
          <w:rPr>
            <w:color w:val="auto"/>
          </w:rPr>
          <w:t>PD12-00296</w:t>
        </w:r>
      </w:p>
    </w:sdtContent>
  </w:sdt>
  <w:p w:rsidR="002E16DC" w:rsidRDefault="002E16DC">
    <w:pPr>
      <w:pStyle w:val="Footer"/>
    </w:pPr>
  </w:p>
  <w:p w:rsidR="002E16DC" w:rsidRDefault="002E1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29" w:rsidRDefault="00E22C29">
      <w:r>
        <w:separator/>
      </w:r>
    </w:p>
  </w:footnote>
  <w:footnote w:type="continuationSeparator" w:id="0">
    <w:p w:rsidR="00E22C29" w:rsidRDefault="00E22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1FC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17BCB"/>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4C3F"/>
    <w:rsid w:val="00075702"/>
    <w:rsid w:val="00075A0C"/>
    <w:rsid w:val="000775C2"/>
    <w:rsid w:val="00077835"/>
    <w:rsid w:val="00077D13"/>
    <w:rsid w:val="000801EF"/>
    <w:rsid w:val="000806AD"/>
    <w:rsid w:val="00080BDF"/>
    <w:rsid w:val="00080C57"/>
    <w:rsid w:val="00082482"/>
    <w:rsid w:val="00082CA0"/>
    <w:rsid w:val="00084CF2"/>
    <w:rsid w:val="00085D7B"/>
    <w:rsid w:val="00086AE9"/>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2DFA"/>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377"/>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B12"/>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AC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56A5"/>
    <w:rsid w:val="00176D63"/>
    <w:rsid w:val="00177659"/>
    <w:rsid w:val="001779E5"/>
    <w:rsid w:val="00180826"/>
    <w:rsid w:val="00181240"/>
    <w:rsid w:val="00181FCF"/>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E43"/>
    <w:rsid w:val="001F0297"/>
    <w:rsid w:val="001F29F9"/>
    <w:rsid w:val="001F43A4"/>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2F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86F"/>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0676"/>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1F8B"/>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C798B"/>
    <w:rsid w:val="002D08F3"/>
    <w:rsid w:val="002D18B4"/>
    <w:rsid w:val="002D2058"/>
    <w:rsid w:val="002D231A"/>
    <w:rsid w:val="002D5330"/>
    <w:rsid w:val="002D5F57"/>
    <w:rsid w:val="002D73D4"/>
    <w:rsid w:val="002D7787"/>
    <w:rsid w:val="002E058C"/>
    <w:rsid w:val="002E16D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DC1"/>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2B"/>
    <w:rsid w:val="003F58B0"/>
    <w:rsid w:val="003F776F"/>
    <w:rsid w:val="003F7F9B"/>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3D"/>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952"/>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5CDD"/>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2E17"/>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ABB"/>
    <w:rsid w:val="00575EBE"/>
    <w:rsid w:val="00577F66"/>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16A8C"/>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6E11"/>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E3D"/>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EC7"/>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4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4F8D"/>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373"/>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7FC"/>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02"/>
    <w:rsid w:val="007927BE"/>
    <w:rsid w:val="00793005"/>
    <w:rsid w:val="007935B8"/>
    <w:rsid w:val="00794ADE"/>
    <w:rsid w:val="00794F3D"/>
    <w:rsid w:val="00795CE9"/>
    <w:rsid w:val="00796045"/>
    <w:rsid w:val="007968AC"/>
    <w:rsid w:val="007969AB"/>
    <w:rsid w:val="007973D8"/>
    <w:rsid w:val="00797801"/>
    <w:rsid w:val="007A0861"/>
    <w:rsid w:val="007A0B38"/>
    <w:rsid w:val="007A0B39"/>
    <w:rsid w:val="007A14A4"/>
    <w:rsid w:val="007A168F"/>
    <w:rsid w:val="007A2346"/>
    <w:rsid w:val="007A28E4"/>
    <w:rsid w:val="007A3BB3"/>
    <w:rsid w:val="007A3F0D"/>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112"/>
    <w:rsid w:val="008902BE"/>
    <w:rsid w:val="0089038F"/>
    <w:rsid w:val="00890CDA"/>
    <w:rsid w:val="00891BBA"/>
    <w:rsid w:val="00891BD9"/>
    <w:rsid w:val="00891C9A"/>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0A08"/>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21D"/>
    <w:rsid w:val="008F4332"/>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286D"/>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4AA"/>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34DF"/>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F9B"/>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32B"/>
    <w:rsid w:val="00A84EC4"/>
    <w:rsid w:val="00A86530"/>
    <w:rsid w:val="00A86CB6"/>
    <w:rsid w:val="00A90D55"/>
    <w:rsid w:val="00A91E6C"/>
    <w:rsid w:val="00A9225E"/>
    <w:rsid w:val="00A944D8"/>
    <w:rsid w:val="00A9586C"/>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963"/>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367"/>
    <w:rsid w:val="00AE4624"/>
    <w:rsid w:val="00AE4B3E"/>
    <w:rsid w:val="00AE4B90"/>
    <w:rsid w:val="00AE5E14"/>
    <w:rsid w:val="00AE6115"/>
    <w:rsid w:val="00AE625B"/>
    <w:rsid w:val="00AF01B2"/>
    <w:rsid w:val="00AF0AD1"/>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17DFC"/>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25C"/>
    <w:rsid w:val="00BC3573"/>
    <w:rsid w:val="00BC5860"/>
    <w:rsid w:val="00BC6051"/>
    <w:rsid w:val="00BC60A5"/>
    <w:rsid w:val="00BC7F82"/>
    <w:rsid w:val="00BD1844"/>
    <w:rsid w:val="00BD2A49"/>
    <w:rsid w:val="00BD3683"/>
    <w:rsid w:val="00BD40AB"/>
    <w:rsid w:val="00BD40DE"/>
    <w:rsid w:val="00BD6050"/>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6F8"/>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02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39C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F33"/>
    <w:rsid w:val="00D05669"/>
    <w:rsid w:val="00D061EB"/>
    <w:rsid w:val="00D06952"/>
    <w:rsid w:val="00D06AA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33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108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415"/>
    <w:rsid w:val="00E1085B"/>
    <w:rsid w:val="00E10FA5"/>
    <w:rsid w:val="00E1308B"/>
    <w:rsid w:val="00E14581"/>
    <w:rsid w:val="00E14623"/>
    <w:rsid w:val="00E15539"/>
    <w:rsid w:val="00E16541"/>
    <w:rsid w:val="00E17EC9"/>
    <w:rsid w:val="00E202F4"/>
    <w:rsid w:val="00E207C3"/>
    <w:rsid w:val="00E20C7C"/>
    <w:rsid w:val="00E212DF"/>
    <w:rsid w:val="00E21386"/>
    <w:rsid w:val="00E22C29"/>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244"/>
    <w:rsid w:val="00EA2DD8"/>
    <w:rsid w:val="00EA30FC"/>
    <w:rsid w:val="00EA4475"/>
    <w:rsid w:val="00EA52FE"/>
    <w:rsid w:val="00EA681F"/>
    <w:rsid w:val="00EB04C6"/>
    <w:rsid w:val="00EB06A6"/>
    <w:rsid w:val="00EB29EA"/>
    <w:rsid w:val="00EB3307"/>
    <w:rsid w:val="00EB3823"/>
    <w:rsid w:val="00EB3CBB"/>
    <w:rsid w:val="00EB47D8"/>
    <w:rsid w:val="00EB4B8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18B"/>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8C2"/>
    <w:rsid w:val="00F15EE5"/>
    <w:rsid w:val="00F171F9"/>
    <w:rsid w:val="00F1737C"/>
    <w:rsid w:val="00F173AA"/>
    <w:rsid w:val="00F2059D"/>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D6C"/>
    <w:rsid w:val="00F453CB"/>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48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408"/>
    <w:rsid w:val="00F908D5"/>
    <w:rsid w:val="00F912A0"/>
    <w:rsid w:val="00F913B9"/>
    <w:rsid w:val="00F91B14"/>
    <w:rsid w:val="00F93C74"/>
    <w:rsid w:val="00F93DCC"/>
    <w:rsid w:val="00F93EA6"/>
    <w:rsid w:val="00F9435D"/>
    <w:rsid w:val="00F95B6D"/>
    <w:rsid w:val="00F966F9"/>
    <w:rsid w:val="00F96F61"/>
    <w:rsid w:val="00F97740"/>
    <w:rsid w:val="00FA0C8F"/>
    <w:rsid w:val="00FA24F2"/>
    <w:rsid w:val="00FA2DEF"/>
    <w:rsid w:val="00FA2F7B"/>
    <w:rsid w:val="00FA3C90"/>
    <w:rsid w:val="00FA3C97"/>
    <w:rsid w:val="00FA3D30"/>
    <w:rsid w:val="00FA4B49"/>
    <w:rsid w:val="00FA54F8"/>
    <w:rsid w:val="00FA5F4E"/>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3D37"/>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4304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2012-09-17T16:34:00Z</cp:lastPrinted>
  <dcterms:created xsi:type="dcterms:W3CDTF">2012-10-05T18:27:00Z</dcterms:created>
  <dcterms:modified xsi:type="dcterms:W3CDTF">2012-10-05T18:27:00Z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