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34123" w:rsidP="00BF0E94">
      <w:pPr>
        <w:tabs>
          <w:tab w:val="left" w:pos="288"/>
          <w:tab w:val="left" w:pos="4752"/>
        </w:tabs>
        <w:rPr>
          <w:color w:val="000000"/>
        </w:rPr>
      </w:pPr>
      <w:r>
        <w:rPr>
          <w:color w:val="000000"/>
        </w:rPr>
        <w:t xml:space="preserve"> </w:t>
      </w:r>
      <w:r w:rsidR="00AD2379"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5E2F89" w:rsidP="0095270D">
      <w:pPr>
        <w:tabs>
          <w:tab w:val="left" w:pos="288"/>
          <w:tab w:val="left" w:pos="4752"/>
          <w:tab w:val="left" w:pos="6390"/>
          <w:tab w:val="left" w:pos="9270"/>
        </w:tabs>
        <w:jc w:val="both"/>
        <w:rPr>
          <w:caps/>
          <w:color w:val="000000" w:themeColor="text1"/>
        </w:rPr>
      </w:pPr>
      <w:r w:rsidRPr="00F64312">
        <w:rPr>
          <w:caps/>
          <w:color w:val="auto"/>
        </w:rPr>
        <w:t xml:space="preserve">NAME:  </w:t>
      </w:r>
      <w:r w:rsidR="00F50484">
        <w:rPr>
          <w:caps/>
          <w:color w:val="auto"/>
        </w:rPr>
        <w:t>XXXXXXXXXXXXXXXXXXXXX</w:t>
      </w:r>
      <w:r w:rsidR="0095270D">
        <w:rPr>
          <w:caps/>
          <w:color w:val="000000" w:themeColor="text1"/>
        </w:rPr>
        <w:tab/>
        <w:t xml:space="preserve">                           </w:t>
      </w:r>
      <w:r w:rsidR="00C17AD8">
        <w:rPr>
          <w:caps/>
          <w:color w:val="000000" w:themeColor="text1"/>
        </w:rPr>
        <w:t xml:space="preserve">  </w:t>
      </w:r>
      <w:r w:rsidR="00A34123">
        <w:rPr>
          <w:caps/>
          <w:color w:val="000000" w:themeColor="text1"/>
        </w:rPr>
        <w:t xml:space="preserve">  </w:t>
      </w:r>
      <w:r w:rsidR="0095270D">
        <w:rPr>
          <w:caps/>
          <w:color w:val="000000" w:themeColor="text1"/>
        </w:rPr>
        <w:t xml:space="preserve">  </w:t>
      </w:r>
      <w:r w:rsidR="0095270D" w:rsidRPr="001F29F9">
        <w:rPr>
          <w:caps/>
          <w:color w:val="000000" w:themeColor="text1"/>
        </w:rPr>
        <w:t xml:space="preserve">BRANCH OF </w:t>
      </w:r>
      <w:r w:rsidR="0095270D" w:rsidRPr="005E2F89">
        <w:rPr>
          <w:caps/>
          <w:color w:val="000000" w:themeColor="text1"/>
        </w:rPr>
        <w:t>SERVICE:  Army</w:t>
      </w:r>
    </w:p>
    <w:p w:rsidR="0095270D" w:rsidRDefault="005E2F89" w:rsidP="0095270D">
      <w:pPr>
        <w:tabs>
          <w:tab w:val="left" w:pos="288"/>
          <w:tab w:val="left" w:pos="5130"/>
        </w:tabs>
        <w:jc w:val="both"/>
        <w:rPr>
          <w:color w:val="000000" w:themeColor="text1"/>
        </w:rPr>
      </w:pPr>
      <w:r>
        <w:rPr>
          <w:caps/>
          <w:color w:val="000000" w:themeColor="text1"/>
        </w:rPr>
        <w:t>CASE NUMBER:  PD12</w:t>
      </w:r>
      <w:r w:rsidR="0095270D">
        <w:rPr>
          <w:caps/>
          <w:color w:val="000000" w:themeColor="text1"/>
        </w:rPr>
        <w:t>00</w:t>
      </w:r>
      <w:r>
        <w:rPr>
          <w:caps/>
          <w:color w:val="000000" w:themeColor="text1"/>
        </w:rPr>
        <w:t>295</w:t>
      </w:r>
      <w:r w:rsidR="0095270D" w:rsidRPr="001F29F9">
        <w:rPr>
          <w:color w:val="000000" w:themeColor="text1"/>
        </w:rPr>
        <w:t xml:space="preserve">                            </w:t>
      </w:r>
      <w:r w:rsidR="0095270D">
        <w:rPr>
          <w:color w:val="000000" w:themeColor="text1"/>
        </w:rPr>
        <w:tab/>
      </w:r>
      <w:r w:rsidR="0095270D">
        <w:rPr>
          <w:color w:val="000000" w:themeColor="text1"/>
        </w:rPr>
        <w:tab/>
        <w:t xml:space="preserve">          </w:t>
      </w:r>
      <w:r w:rsidR="0095270D" w:rsidRPr="001F29F9">
        <w:rPr>
          <w:color w:val="000000" w:themeColor="text1"/>
        </w:rPr>
        <w:t xml:space="preserve"> SEPARATION DATE:  </w:t>
      </w:r>
      <w:r w:rsidRPr="00F64312">
        <w:rPr>
          <w:color w:val="auto"/>
        </w:rPr>
        <w:t>200</w:t>
      </w:r>
      <w:r>
        <w:rPr>
          <w:color w:val="auto"/>
        </w:rPr>
        <w:t>80520</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0E1B2D">
        <w:rPr>
          <w:caps/>
          <w:color w:val="000000"/>
        </w:rPr>
        <w:t>1024</w:t>
      </w:r>
      <w:r w:rsidRPr="001F29F9">
        <w:rPr>
          <w:caps/>
          <w:color w:val="000000"/>
        </w:rPr>
        <w:t xml:space="preserve">         </w:t>
      </w:r>
    </w:p>
    <w:p w:rsidR="00CA26A5" w:rsidRPr="001F29F9" w:rsidRDefault="00CA26A5"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50B3F" w:rsidRPr="00760279" w:rsidRDefault="00D50B3F" w:rsidP="00A06C7E">
      <w:pPr>
        <w:jc w:val="both"/>
        <w:rPr>
          <w:rFonts w:cstheme="minorHAnsi"/>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Pr>
          <w:color w:val="000000"/>
        </w:rPr>
        <w:t xml:space="preserve">an active duty </w:t>
      </w:r>
      <w:r w:rsidR="005E2F89" w:rsidRPr="00D238B7">
        <w:rPr>
          <w:color w:val="auto"/>
        </w:rPr>
        <w:t>SSG/E-6</w:t>
      </w:r>
      <w:r w:rsidRPr="001F29F9">
        <w:rPr>
          <w:color w:val="000000"/>
        </w:rPr>
        <w:t xml:space="preserve"> (</w:t>
      </w:r>
      <w:r w:rsidR="005E2F89" w:rsidRPr="00D238B7">
        <w:rPr>
          <w:color w:val="auto"/>
        </w:rPr>
        <w:t>11B, Infantry</w:t>
      </w:r>
      <w:r w:rsidR="005E2F89">
        <w:rPr>
          <w:color w:val="000000"/>
        </w:rPr>
        <w:t>)</w:t>
      </w:r>
      <w:r>
        <w:rPr>
          <w:color w:val="000000"/>
        </w:rPr>
        <w:t xml:space="preserve"> </w:t>
      </w:r>
      <w:r w:rsidRPr="001F29F9">
        <w:rPr>
          <w:color w:val="000000"/>
        </w:rPr>
        <w:t xml:space="preserve">medically separated for </w:t>
      </w:r>
      <w:r>
        <w:rPr>
          <w:color w:val="000000"/>
        </w:rPr>
        <w:t xml:space="preserve">a </w:t>
      </w:r>
      <w:r w:rsidR="005E2F89">
        <w:rPr>
          <w:color w:val="auto"/>
        </w:rPr>
        <w:t xml:space="preserve">right great toe </w:t>
      </w:r>
      <w:r>
        <w:rPr>
          <w:color w:val="000000"/>
        </w:rPr>
        <w:t>condition</w:t>
      </w:r>
      <w:r w:rsidRPr="001F29F9">
        <w:rPr>
          <w:color w:val="000000"/>
        </w:rPr>
        <w:t xml:space="preserve">. </w:t>
      </w:r>
      <w:r>
        <w:rPr>
          <w:color w:val="000000"/>
        </w:rPr>
        <w:t xml:space="preserve"> </w:t>
      </w:r>
      <w:r w:rsidR="00A06C7E">
        <w:rPr>
          <w:color w:val="000000"/>
        </w:rPr>
        <w:t>He fractured the toe in 2006 and underwent a surgical arthrodesis (fusion) in 2007 for persistent pain.  He did not improve</w:t>
      </w:r>
      <w:r w:rsidR="00355049" w:rsidRPr="00192A48">
        <w:rPr>
          <w:rFonts w:cstheme="minorHAnsi"/>
          <w:color w:val="000000"/>
          <w:szCs w:val="24"/>
        </w:rPr>
        <w:t xml:space="preserve"> adequately to meet the physical requirements of </w:t>
      </w:r>
      <w:r w:rsidR="00355049" w:rsidRPr="00D43C62">
        <w:rPr>
          <w:rFonts w:cstheme="minorHAnsi"/>
          <w:color w:val="000000"/>
          <w:szCs w:val="24"/>
        </w:rPr>
        <w:t>his</w:t>
      </w:r>
      <w:r w:rsidR="00355049" w:rsidRPr="00192A48">
        <w:rPr>
          <w:rFonts w:cstheme="minorHAnsi"/>
          <w:color w:val="000000"/>
          <w:szCs w:val="24"/>
        </w:rPr>
        <w:t xml:space="preserve"> Military Occupational Specialty (MOS) or satisfy</w:t>
      </w:r>
      <w:r w:rsidR="00355049" w:rsidRPr="00D43C62">
        <w:rPr>
          <w:rFonts w:cstheme="minorHAnsi"/>
          <w:color w:val="000000"/>
          <w:szCs w:val="24"/>
        </w:rPr>
        <w:t xml:space="preserve"> physical fitness standards.  H</w:t>
      </w:r>
      <w:r w:rsidR="00355049" w:rsidRPr="00192A48">
        <w:rPr>
          <w:rFonts w:cstheme="minorHAnsi"/>
          <w:color w:val="000000"/>
          <w:szCs w:val="24"/>
        </w:rPr>
        <w:t xml:space="preserve">e was </w:t>
      </w:r>
      <w:r w:rsidR="00355049">
        <w:rPr>
          <w:rFonts w:cstheme="minorHAnsi"/>
          <w:color w:val="000000"/>
          <w:szCs w:val="24"/>
        </w:rPr>
        <w:t>issued a permanent L</w:t>
      </w:r>
      <w:r w:rsidR="00355049" w:rsidRPr="00192A48">
        <w:rPr>
          <w:rFonts w:cstheme="minorHAnsi"/>
          <w:color w:val="000000"/>
          <w:szCs w:val="24"/>
        </w:rPr>
        <w:t xml:space="preserve">3 profile and referred for a Medical Evaluation Board (MEB).  </w:t>
      </w:r>
      <w:r w:rsidR="00355049" w:rsidRPr="00355049">
        <w:rPr>
          <w:rFonts w:cstheme="minorHAnsi"/>
          <w:color w:val="000000"/>
          <w:szCs w:val="24"/>
        </w:rPr>
        <w:t xml:space="preserve">The </w:t>
      </w:r>
      <w:r w:rsidR="00355049">
        <w:rPr>
          <w:color w:val="auto"/>
        </w:rPr>
        <w:t xml:space="preserve">right great toe </w:t>
      </w:r>
      <w:r w:rsidR="00355049" w:rsidRPr="00355049">
        <w:rPr>
          <w:rFonts w:cstheme="minorHAnsi"/>
          <w:color w:val="000000"/>
          <w:szCs w:val="24"/>
        </w:rPr>
        <w:t>condition was forwarded to the Physical Evaluation Board (PEB) as two diagnoses (“</w:t>
      </w:r>
      <w:r w:rsidR="00355049">
        <w:rPr>
          <w:rFonts w:cstheme="minorHAnsi"/>
          <w:color w:val="000000"/>
          <w:szCs w:val="24"/>
        </w:rPr>
        <w:t>joint pain, localized right 1</w:t>
      </w:r>
      <w:r w:rsidR="00C17AD8">
        <w:rPr>
          <w:rFonts w:cstheme="minorHAnsi"/>
          <w:color w:val="000000"/>
          <w:szCs w:val="24"/>
        </w:rPr>
        <w:t>st</w:t>
      </w:r>
      <w:r w:rsidR="00355049">
        <w:rPr>
          <w:rFonts w:cstheme="minorHAnsi"/>
          <w:color w:val="000000"/>
          <w:szCs w:val="24"/>
        </w:rPr>
        <w:t xml:space="preserve"> MTP [metatarsal-</w:t>
      </w:r>
      <w:proofErr w:type="spellStart"/>
      <w:r w:rsidR="00355049">
        <w:rPr>
          <w:rFonts w:cstheme="minorHAnsi"/>
          <w:color w:val="000000"/>
          <w:szCs w:val="24"/>
        </w:rPr>
        <w:t>phalangeal</w:t>
      </w:r>
      <w:proofErr w:type="spellEnd"/>
      <w:r w:rsidR="00355049">
        <w:rPr>
          <w:rFonts w:cstheme="minorHAnsi"/>
          <w:color w:val="000000"/>
          <w:szCs w:val="24"/>
        </w:rPr>
        <w:t>] joint</w:t>
      </w:r>
      <w:r w:rsidR="00355049" w:rsidRPr="00355049">
        <w:rPr>
          <w:rFonts w:cstheme="minorHAnsi"/>
          <w:color w:val="000000"/>
          <w:szCs w:val="24"/>
        </w:rPr>
        <w:t>” and “</w:t>
      </w:r>
      <w:proofErr w:type="spellStart"/>
      <w:r w:rsidR="00355049">
        <w:rPr>
          <w:color w:val="auto"/>
        </w:rPr>
        <w:t>hallux</w:t>
      </w:r>
      <w:proofErr w:type="spellEnd"/>
      <w:r w:rsidR="00355049">
        <w:rPr>
          <w:color w:val="auto"/>
        </w:rPr>
        <w:t xml:space="preserve"> limitus of the right great toe</w:t>
      </w:r>
      <w:r w:rsidR="00355049" w:rsidRPr="00355049">
        <w:rPr>
          <w:rFonts w:cstheme="minorHAnsi"/>
          <w:color w:val="000000"/>
          <w:szCs w:val="24"/>
        </w:rPr>
        <w:t>”) characterized as separate medically unacceptable conditions IAW AR 40-501.  Three additional conditions (</w:t>
      </w:r>
      <w:r w:rsidR="00355049">
        <w:rPr>
          <w:color w:val="auto"/>
        </w:rPr>
        <w:t>m</w:t>
      </w:r>
      <w:r w:rsidR="00355049" w:rsidRPr="004918DD">
        <w:rPr>
          <w:color w:val="auto"/>
        </w:rPr>
        <w:t xml:space="preserve">etatarsalgia, right knee </w:t>
      </w:r>
      <w:r w:rsidR="0073427A">
        <w:rPr>
          <w:color w:val="auto"/>
        </w:rPr>
        <w:t xml:space="preserve">joint </w:t>
      </w:r>
      <w:r w:rsidR="00355049" w:rsidRPr="004918DD">
        <w:rPr>
          <w:color w:val="auto"/>
        </w:rPr>
        <w:t>pain</w:t>
      </w:r>
      <w:r w:rsidR="0073427A">
        <w:rPr>
          <w:color w:val="auto"/>
        </w:rPr>
        <w:t>,</w:t>
      </w:r>
      <w:r w:rsidR="00355049" w:rsidRPr="004918DD">
        <w:rPr>
          <w:color w:val="auto"/>
        </w:rPr>
        <w:t xml:space="preserve"> </w:t>
      </w:r>
      <w:r w:rsidR="0073427A">
        <w:rPr>
          <w:color w:val="auto"/>
        </w:rPr>
        <w:t>“</w:t>
      </w:r>
      <w:r w:rsidR="00355049" w:rsidRPr="004918DD">
        <w:rPr>
          <w:color w:val="auto"/>
        </w:rPr>
        <w:t>occupational problem</w:t>
      </w:r>
      <w:r w:rsidR="0073427A">
        <w:rPr>
          <w:color w:val="auto"/>
        </w:rPr>
        <w:t>”</w:t>
      </w:r>
      <w:r w:rsidR="00355049" w:rsidRPr="00355049">
        <w:rPr>
          <w:rFonts w:cstheme="minorHAnsi"/>
          <w:color w:val="000000"/>
          <w:szCs w:val="24"/>
        </w:rPr>
        <w:t>) were forwarded by the MEB and judged to meet retention standards.  The PEB</w:t>
      </w:r>
      <w:r w:rsidR="008D6305">
        <w:rPr>
          <w:rFonts w:cstheme="minorHAnsi"/>
          <w:color w:val="000000"/>
          <w:szCs w:val="24"/>
        </w:rPr>
        <w:t xml:space="preserve"> </w:t>
      </w:r>
      <w:r w:rsidR="00355049" w:rsidRPr="00355049">
        <w:rPr>
          <w:rFonts w:cstheme="minorHAnsi"/>
          <w:color w:val="000000"/>
          <w:szCs w:val="24"/>
        </w:rPr>
        <w:t xml:space="preserve">appropriately combined the </w:t>
      </w:r>
      <w:r w:rsidR="00355049">
        <w:rPr>
          <w:rFonts w:cstheme="minorHAnsi"/>
          <w:color w:val="000000"/>
          <w:szCs w:val="24"/>
        </w:rPr>
        <w:t>MTP joint pain</w:t>
      </w:r>
      <w:r w:rsidR="00355049" w:rsidRPr="00355049">
        <w:rPr>
          <w:rFonts w:cstheme="minorHAnsi"/>
          <w:color w:val="000000"/>
          <w:szCs w:val="24"/>
        </w:rPr>
        <w:t xml:space="preserve"> and </w:t>
      </w:r>
      <w:r w:rsidR="00355049">
        <w:rPr>
          <w:color w:val="auto"/>
        </w:rPr>
        <w:t xml:space="preserve">hallux limitus </w:t>
      </w:r>
      <w:r w:rsidR="00355049" w:rsidRPr="00355049">
        <w:rPr>
          <w:rFonts w:cstheme="minorHAnsi"/>
          <w:color w:val="000000"/>
          <w:szCs w:val="24"/>
        </w:rPr>
        <w:t xml:space="preserve">diagnoses as a single unfitting condition, rated 10%, citing criteria of the Veterans Administration Schedule for Rating Disabilities (VASRD).  The remaining conditions were determined to be not unfitting.  The CI made no appeals, and was </w:t>
      </w:r>
      <w:r w:rsidR="00C17AD8">
        <w:rPr>
          <w:rFonts w:cstheme="minorHAnsi"/>
          <w:color w:val="000000"/>
          <w:szCs w:val="24"/>
        </w:rPr>
        <w:t xml:space="preserve">medically separated with a 10% </w:t>
      </w:r>
      <w:r w:rsidR="00355049" w:rsidRPr="00355049">
        <w:rPr>
          <w:rFonts w:cstheme="minorHAnsi"/>
          <w:color w:val="000000"/>
          <w:szCs w:val="24"/>
        </w:rPr>
        <w:t>disability rating.</w:t>
      </w:r>
    </w:p>
    <w:p w:rsidR="00D50B3F" w:rsidRPr="001F29F9" w:rsidRDefault="00D50B3F" w:rsidP="00D50B3F">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D50B3F" w:rsidRPr="00C246EE" w:rsidRDefault="00D50B3F" w:rsidP="00D50B3F">
      <w:pPr>
        <w:tabs>
          <w:tab w:val="left" w:pos="288"/>
          <w:tab w:val="left" w:pos="4752"/>
        </w:tabs>
        <w:jc w:val="both"/>
        <w:rPr>
          <w:i/>
          <w:color w:val="000000" w:themeColor="text1"/>
          <w:highlight w:val="cyan"/>
        </w:rPr>
      </w:pPr>
      <w:r w:rsidRPr="001F29F9">
        <w:rPr>
          <w:color w:val="000000"/>
          <w:u w:val="single"/>
        </w:rPr>
        <w:t>CI CONTENTION</w:t>
      </w:r>
      <w:r w:rsidRPr="001F29F9">
        <w:rPr>
          <w:color w:val="000000"/>
        </w:rPr>
        <w:t>:</w:t>
      </w:r>
      <w:r w:rsidRPr="00726F84">
        <w:rPr>
          <w:color w:val="000000"/>
        </w:rPr>
        <w:t xml:space="preserve"> </w:t>
      </w:r>
      <w:r w:rsidRPr="00760279">
        <w:rPr>
          <w:color w:val="000000"/>
        </w:rPr>
        <w:t xml:space="preserve">The application states </w:t>
      </w:r>
      <w:r w:rsidR="0073427A">
        <w:rPr>
          <w:color w:val="000000"/>
        </w:rPr>
        <w:t>(r</w:t>
      </w:r>
      <w:r w:rsidRPr="00760279">
        <w:rPr>
          <w:color w:val="000000"/>
        </w:rPr>
        <w:t>edacted for brevity, with preservation of content relevant to the Boar</w:t>
      </w:r>
      <w:r w:rsidR="0073427A">
        <w:rPr>
          <w:color w:val="000000"/>
        </w:rPr>
        <w:t>d’s scope and recommendations.):</w:t>
      </w:r>
      <w:r w:rsidRPr="00760279">
        <w:rPr>
          <w:color w:val="000000"/>
        </w:rPr>
        <w:t xml:space="preserve"> “</w:t>
      </w:r>
      <w:r w:rsidR="005E2F89" w:rsidRPr="00760279">
        <w:rPr>
          <w:color w:val="000000"/>
        </w:rPr>
        <w:t>My</w:t>
      </w:r>
      <w:r w:rsidR="005E2F89" w:rsidRPr="005E2F89">
        <w:rPr>
          <w:color w:val="000000"/>
        </w:rPr>
        <w:t xml:space="preserve"> great right toe was originally fractured &amp; my right knee was badly brui</w:t>
      </w:r>
      <w:r w:rsidR="00A06C7E">
        <w:rPr>
          <w:color w:val="000000"/>
        </w:rPr>
        <w:t>sed on the bone during an airborn</w:t>
      </w:r>
      <w:r w:rsidR="005E2F89" w:rsidRPr="005E2F89">
        <w:rPr>
          <w:color w:val="000000"/>
        </w:rPr>
        <w:t>e operation (2006).</w:t>
      </w:r>
      <w:r w:rsidR="00760279">
        <w:rPr>
          <w:color w:val="000000"/>
        </w:rPr>
        <w:t xml:space="preserve"> ... [Details clinical course and </w:t>
      </w:r>
      <w:r w:rsidR="000E1B2D">
        <w:rPr>
          <w:color w:val="000000"/>
        </w:rPr>
        <w:t>his attempt</w:t>
      </w:r>
      <w:r w:rsidR="00760279">
        <w:rPr>
          <w:color w:val="000000"/>
        </w:rPr>
        <w:t xml:space="preserve"> to reclassify into a different MOS.] ... </w:t>
      </w:r>
      <w:r w:rsidR="005E2F89" w:rsidRPr="005E2F89">
        <w:rPr>
          <w:color w:val="000000"/>
        </w:rPr>
        <w:t xml:space="preserve"> The physician who conducted my toe fusion explained that I would 95 percent recover within three months after surgery and that I would be able to do everything that I had been able to do prior to the accident </w:t>
      </w:r>
      <w:r w:rsidR="00760279">
        <w:rPr>
          <w:color w:val="000000"/>
        </w:rPr>
        <w:t>..</w:t>
      </w:r>
      <w:r w:rsidR="005E2F89" w:rsidRPr="005E2F89">
        <w:rPr>
          <w:color w:val="000000"/>
        </w:rPr>
        <w:t xml:space="preserve">. </w:t>
      </w:r>
      <w:r w:rsidR="00760279">
        <w:rPr>
          <w:color w:val="000000"/>
        </w:rPr>
        <w:t xml:space="preserve"> </w:t>
      </w:r>
      <w:r w:rsidR="005E2F89" w:rsidRPr="005E2F89">
        <w:rPr>
          <w:color w:val="000000"/>
        </w:rPr>
        <w:t xml:space="preserve">After the surgery I received a new doctor who told me that I never should have received the surgery and that the doctor no longer worked in </w:t>
      </w:r>
      <w:r w:rsidR="00760279">
        <w:rPr>
          <w:color w:val="000000"/>
        </w:rPr>
        <w:t>[</w:t>
      </w:r>
      <w:r w:rsidR="000E1B2D">
        <w:rPr>
          <w:color w:val="000000"/>
        </w:rPr>
        <w:t xml:space="preserve">name of </w:t>
      </w:r>
      <w:r w:rsidR="00760279">
        <w:rPr>
          <w:color w:val="000000"/>
        </w:rPr>
        <w:t>military facility]</w:t>
      </w:r>
      <w:r w:rsidR="005E2F89" w:rsidRPr="005E2F89">
        <w:rPr>
          <w:color w:val="000000"/>
        </w:rPr>
        <w:t xml:space="preserve">. The new doctor explained that I should not run, stand for more than 10 minutes at a time, or perform any other strenuous activities </w:t>
      </w:r>
      <w:r w:rsidR="0073427A">
        <w:rPr>
          <w:color w:val="000000"/>
        </w:rPr>
        <w:t>..</w:t>
      </w:r>
      <w:r w:rsidR="005E2F89" w:rsidRPr="005E2F89">
        <w:rPr>
          <w:color w:val="000000"/>
        </w:rPr>
        <w:t xml:space="preserve">. </w:t>
      </w:r>
      <w:r w:rsidR="00760279">
        <w:rPr>
          <w:color w:val="000000"/>
        </w:rPr>
        <w:t xml:space="preserve"> </w:t>
      </w:r>
      <w:r w:rsidR="005E2F89" w:rsidRPr="005E2F89">
        <w:rPr>
          <w:color w:val="000000"/>
        </w:rPr>
        <w:t xml:space="preserve">the VA contracted physician who examined me did not take the time to properly review or examine my military records during my physical. </w:t>
      </w:r>
      <w:r w:rsidR="00760279">
        <w:rPr>
          <w:color w:val="000000"/>
        </w:rPr>
        <w:t xml:space="preserve"> </w:t>
      </w:r>
      <w:r w:rsidR="005E2F89" w:rsidRPr="005E2F89">
        <w:rPr>
          <w:color w:val="000000"/>
        </w:rPr>
        <w:t>I've been separated from the military for four years and continue to have chronic pain radiating thro</w:t>
      </w:r>
      <w:r w:rsidR="0079601E">
        <w:rPr>
          <w:color w:val="000000"/>
        </w:rPr>
        <w:t xml:space="preserve">ugh those aforementioned areas ... </w:t>
      </w:r>
      <w:r w:rsidR="005E2F89" w:rsidRPr="005E2F89">
        <w:rPr>
          <w:color w:val="000000"/>
        </w:rPr>
        <w:t>I cannot accept a myriad of jobs due to the fact that I am not able to stand for prolonged periods of time, and I'm not even entitled to any benefits (MWR, PX, Commissary, etc) from the organization that I devoted my life to.</w:t>
      </w:r>
      <w:r>
        <w:rPr>
          <w:color w:val="000000"/>
        </w:rPr>
        <w:t>”</w:t>
      </w:r>
      <w:r w:rsidR="0079601E">
        <w:rPr>
          <w:color w:val="000000"/>
        </w:rPr>
        <w:t xml:space="preserve"> </w:t>
      </w:r>
      <w:r>
        <w:rPr>
          <w:color w:val="000000"/>
        </w:rPr>
        <w:t xml:space="preserve"> </w:t>
      </w:r>
      <w:r w:rsidRPr="00F72DEB">
        <w:rPr>
          <w:rFonts w:eastAsiaTheme="minorHAnsi"/>
          <w:color w:val="000000" w:themeColor="text1"/>
          <w:szCs w:val="24"/>
        </w:rPr>
        <w:t xml:space="preserve">He </w:t>
      </w:r>
      <w:r w:rsidR="0079601E" w:rsidRPr="00F72DEB">
        <w:rPr>
          <w:rFonts w:eastAsiaTheme="minorHAnsi"/>
          <w:color w:val="000000" w:themeColor="text1"/>
          <w:szCs w:val="24"/>
        </w:rPr>
        <w:t>further elaborate</w:t>
      </w:r>
      <w:r w:rsidR="0079601E">
        <w:rPr>
          <w:rFonts w:eastAsiaTheme="minorHAnsi"/>
          <w:color w:val="000000" w:themeColor="text1"/>
          <w:szCs w:val="24"/>
        </w:rPr>
        <w:t>s that the disability from his toe condition and associated knee pain are often underestimated, emphasizing the true limitations which he experiences</w:t>
      </w:r>
      <w:r w:rsidRPr="00F72DEB">
        <w:rPr>
          <w:rFonts w:eastAsiaTheme="minorHAnsi"/>
          <w:color w:val="000000" w:themeColor="text1"/>
          <w:szCs w:val="24"/>
        </w:rPr>
        <w:t>.</w:t>
      </w:r>
      <w:r>
        <w:rPr>
          <w:color w:val="000000" w:themeColor="text1"/>
        </w:rPr>
        <w:t xml:space="preserve"> </w:t>
      </w:r>
    </w:p>
    <w:p w:rsidR="00D50B3F" w:rsidRPr="001F29F9" w:rsidRDefault="00D50B3F" w:rsidP="00D50B3F">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F14638" w:rsidRDefault="00D50B3F" w:rsidP="00D50B3F">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Pr="00C246EE">
        <w:rPr>
          <w:color w:val="000000"/>
        </w:rPr>
        <w:t>Department of Defense Instruction (DoDI)</w:t>
      </w:r>
      <w:r>
        <w:rPr>
          <w:color w:val="000000"/>
        </w:rPr>
        <w:t xml:space="preserve"> </w:t>
      </w:r>
      <w:r w:rsidR="0079601E">
        <w:rPr>
          <w:color w:val="auto"/>
        </w:rPr>
        <w:t xml:space="preserve">6040.44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D6305">
        <w:rPr>
          <w:color w:val="auto"/>
        </w:rPr>
        <w:t>”</w:t>
      </w:r>
      <w:r>
        <w:rPr>
          <w:color w:val="auto"/>
        </w:rPr>
        <w:t xml:space="preserve"> </w:t>
      </w:r>
      <w:r w:rsidR="0079601E">
        <w:rPr>
          <w:color w:val="auto"/>
        </w:rPr>
        <w:t xml:space="preserve"> </w:t>
      </w:r>
      <w:r w:rsidRPr="009239C0">
        <w:rPr>
          <w:color w:val="auto"/>
        </w:rPr>
        <w:t xml:space="preserve">The rating for </w:t>
      </w:r>
      <w:r>
        <w:rPr>
          <w:color w:val="auto"/>
        </w:rPr>
        <w:t xml:space="preserve">the </w:t>
      </w:r>
      <w:r w:rsidRPr="009239C0">
        <w:rPr>
          <w:color w:val="auto"/>
        </w:rPr>
        <w:t xml:space="preserve">unfitting </w:t>
      </w:r>
      <w:r w:rsidR="0079601E">
        <w:rPr>
          <w:color w:val="auto"/>
        </w:rPr>
        <w:t>right great toe</w:t>
      </w:r>
      <w:r w:rsidR="0079601E" w:rsidRPr="009239C0">
        <w:rPr>
          <w:color w:val="auto"/>
        </w:rPr>
        <w:t xml:space="preserve"> </w:t>
      </w:r>
      <w:r w:rsidRPr="009239C0">
        <w:rPr>
          <w:color w:val="auto"/>
        </w:rPr>
        <w:t xml:space="preserve">condition </w:t>
      </w:r>
      <w:r>
        <w:rPr>
          <w:color w:val="auto"/>
        </w:rPr>
        <w:t>is addressed below</w:t>
      </w:r>
      <w:r w:rsidRPr="009239C0">
        <w:rPr>
          <w:color w:val="auto"/>
        </w:rPr>
        <w:t>.</w:t>
      </w:r>
      <w:r w:rsidR="00C153F8">
        <w:rPr>
          <w:color w:val="auto"/>
        </w:rPr>
        <w:t xml:space="preserve"> </w:t>
      </w:r>
      <w:r>
        <w:rPr>
          <w:rFonts w:eastAsia="Calibri" w:cs="Times New Roman"/>
          <w:color w:val="auto"/>
          <w:szCs w:val="24"/>
        </w:rPr>
        <w:t xml:space="preserve"> The </w:t>
      </w:r>
      <w:r w:rsidR="0079601E">
        <w:rPr>
          <w:rFonts w:eastAsia="Calibri" w:cs="Times New Roman"/>
          <w:color w:val="auto"/>
          <w:szCs w:val="24"/>
        </w:rPr>
        <w:t>specified right knee</w:t>
      </w:r>
      <w:r>
        <w:rPr>
          <w:rFonts w:eastAsia="Calibri" w:cs="Times New Roman"/>
          <w:color w:val="auto"/>
          <w:szCs w:val="24"/>
        </w:rPr>
        <w:t xml:space="preserve"> </w:t>
      </w:r>
      <w:r w:rsidR="0079601E">
        <w:rPr>
          <w:rFonts w:eastAsia="Calibri" w:cs="Times New Roman"/>
          <w:color w:val="auto"/>
          <w:szCs w:val="24"/>
        </w:rPr>
        <w:t>pain</w:t>
      </w:r>
      <w:r>
        <w:rPr>
          <w:rFonts w:eastAsia="Calibri" w:cs="Times New Roman"/>
          <w:color w:val="auto"/>
          <w:szCs w:val="24"/>
        </w:rPr>
        <w:t xml:space="preserve">, which </w:t>
      </w:r>
      <w:r w:rsidR="0079601E">
        <w:rPr>
          <w:rFonts w:eastAsia="Calibri" w:cs="Times New Roman"/>
          <w:color w:val="auto"/>
          <w:szCs w:val="24"/>
        </w:rPr>
        <w:t>was</w:t>
      </w:r>
      <w:r>
        <w:rPr>
          <w:rFonts w:eastAsia="Calibri" w:cs="Times New Roman"/>
          <w:color w:val="auto"/>
          <w:szCs w:val="24"/>
        </w:rPr>
        <w:t xml:space="preserve"> determined to be not unfitting by the PEB, </w:t>
      </w:r>
      <w:r w:rsidR="0079601E">
        <w:rPr>
          <w:rFonts w:eastAsia="Calibri" w:cs="Times New Roman"/>
          <w:color w:val="auto"/>
          <w:szCs w:val="24"/>
        </w:rPr>
        <w:t>is</w:t>
      </w:r>
      <w:r>
        <w:rPr>
          <w:rFonts w:eastAsia="Calibri" w:cs="Times New Roman"/>
          <w:color w:val="auto"/>
          <w:szCs w:val="24"/>
        </w:rPr>
        <w:t xml:space="preserve"> likewise addressed </w:t>
      </w:r>
      <w:r>
        <w:rPr>
          <w:rFonts w:eastAsia="Calibri" w:cs="Times New Roman"/>
          <w:color w:val="auto"/>
          <w:szCs w:val="24"/>
        </w:rPr>
        <w:lastRenderedPageBreak/>
        <w:t>below</w:t>
      </w:r>
      <w:r w:rsidR="0079601E">
        <w:rPr>
          <w:rFonts w:eastAsia="Calibri" w:cs="Times New Roman"/>
          <w:color w:val="auto"/>
          <w:szCs w:val="24"/>
        </w:rPr>
        <w:t>.</w:t>
      </w:r>
      <w:r>
        <w:rPr>
          <w:color w:val="auto"/>
        </w:rPr>
        <w:t xml:space="preserve"> </w:t>
      </w:r>
      <w:r w:rsidR="0079601E">
        <w:rPr>
          <w:color w:val="auto"/>
        </w:rPr>
        <w:t xml:space="preserve"> </w:t>
      </w:r>
      <w:r w:rsidRPr="007A2B9A">
        <w:rPr>
          <w:color w:val="auto"/>
        </w:rPr>
        <w:t xml:space="preserve">The </w:t>
      </w:r>
      <w:r w:rsidR="00C153F8">
        <w:rPr>
          <w:color w:val="auto"/>
        </w:rPr>
        <w:t xml:space="preserve">other two conditions identified and adjudicated not unfitting by the PEB </w:t>
      </w:r>
      <w:r w:rsidRPr="007A2B9A">
        <w:rPr>
          <w:color w:val="auto"/>
        </w:rPr>
        <w:t xml:space="preserve">were not alluded to in the application and </w:t>
      </w:r>
      <w:r w:rsidR="00C153F8">
        <w:rPr>
          <w:color w:val="auto"/>
        </w:rPr>
        <w:t>therefore</w:t>
      </w:r>
      <w:r w:rsidRPr="007A2B9A">
        <w:rPr>
          <w:color w:val="auto"/>
        </w:rPr>
        <w:t xml:space="preserve"> do not satisfy scope requirements</w:t>
      </w:r>
      <w:r w:rsidR="00C153F8">
        <w:rPr>
          <w:color w:val="auto"/>
        </w:rPr>
        <w:t xml:space="preserve">; although, metatarsalgia is not separately ratable IAW VASRD </w:t>
      </w:r>
      <w:r w:rsidR="00C153F8" w:rsidRPr="00C153F8">
        <w:rPr>
          <w:color w:val="auto"/>
        </w:rPr>
        <w:t>§4.14 (avoidance of pyramiding)</w:t>
      </w:r>
      <w:r w:rsidR="00C153F8">
        <w:rPr>
          <w:color w:val="auto"/>
        </w:rPr>
        <w:t xml:space="preserve"> and “</w:t>
      </w:r>
      <w:r w:rsidR="00C153F8" w:rsidRPr="004918DD">
        <w:rPr>
          <w:color w:val="auto"/>
        </w:rPr>
        <w:t>occupational problem</w:t>
      </w:r>
      <w:r w:rsidR="00C153F8">
        <w:rPr>
          <w:color w:val="auto"/>
        </w:rPr>
        <w:t>” does not constitute a ratable condition</w:t>
      </w:r>
      <w:r w:rsidRPr="007A2B9A">
        <w:rPr>
          <w:color w:val="auto"/>
        </w:rPr>
        <w:t xml:space="preserve">.  </w:t>
      </w:r>
      <w:r w:rsidR="00C153F8" w:rsidRPr="00C566C9">
        <w:rPr>
          <w:color w:val="auto"/>
        </w:rPr>
        <w:t>Any condition</w:t>
      </w:r>
      <w:r w:rsidR="00C153F8">
        <w:rPr>
          <w:color w:val="auto"/>
        </w:rPr>
        <w:t>s</w:t>
      </w:r>
      <w:r w:rsidR="00C153F8" w:rsidRPr="00C566C9">
        <w:rPr>
          <w:color w:val="auto"/>
        </w:rPr>
        <w:t xml:space="preserve"> or contention not requested in this application</w:t>
      </w:r>
      <w:r w:rsidR="00C153F8">
        <w:rPr>
          <w:color w:val="auto"/>
        </w:rPr>
        <w:t>, or</w:t>
      </w:r>
      <w:r w:rsidR="00C153F8" w:rsidRPr="00C566C9">
        <w:rPr>
          <w:color w:val="auto"/>
        </w:rPr>
        <w:t xml:space="preserve"> otherwise outside the Board’s defined scope of review</w:t>
      </w:r>
      <w:r w:rsidR="00C153F8">
        <w:rPr>
          <w:color w:val="auto"/>
        </w:rPr>
        <w:t>, remain</w:t>
      </w:r>
      <w:r w:rsidR="00C153F8" w:rsidRPr="00C566C9">
        <w:rPr>
          <w:color w:val="auto"/>
        </w:rPr>
        <w:t xml:space="preserve"> eligible for future </w:t>
      </w:r>
      <w:r w:rsidR="00C153F8" w:rsidRPr="00C153F8">
        <w:rPr>
          <w:color w:val="auto"/>
        </w:rPr>
        <w:t>consideration by the Army Board for Correction of Military Records</w:t>
      </w:r>
      <w:r w:rsidR="00C17AD8">
        <w:rPr>
          <w:color w:val="auto"/>
        </w:rPr>
        <w:t xml:space="preserve"> (ABCMR).</w:t>
      </w:r>
    </w:p>
    <w:p w:rsidR="000E1B2D" w:rsidRDefault="000E1B2D" w:rsidP="00D50B3F">
      <w:pPr>
        <w:jc w:val="both"/>
        <w:rPr>
          <w:color w:val="auto"/>
        </w:rPr>
      </w:pPr>
    </w:p>
    <w:p w:rsidR="000E1B2D" w:rsidRDefault="000E1B2D" w:rsidP="000E1B2D">
      <w:pPr>
        <w:tabs>
          <w:tab w:val="left" w:pos="288"/>
          <w:tab w:val="left" w:pos="4752"/>
        </w:tabs>
        <w:jc w:val="both"/>
        <w:rPr>
          <w:color w:val="000000"/>
        </w:rPr>
      </w:pPr>
      <w:r w:rsidRPr="00CC3EDB">
        <w:rPr>
          <w:color w:val="000000"/>
        </w:rPr>
        <w:t xml:space="preserve">IAW DoDI 6040.44, the Board’s authority is limited to making recommendations on correcting disability determinations.  The Board’s role is thus confined to the review of medical records and all evidence at hand to assess the fairness of PEB rating determinations, compared to VASRD standards, based on ratable severity at the time of separation; and, to review those fitness determinations within its scope (as elaborated above) based on MOS </w:t>
      </w:r>
      <w:r w:rsidRPr="005C4CBA">
        <w:rPr>
          <w:color w:val="000000"/>
        </w:rPr>
        <w:t xml:space="preserve">performance limitations in evidence at separation.  </w:t>
      </w:r>
      <w:r w:rsidRPr="005C4CBA">
        <w:rPr>
          <w:rFonts w:eastAsia="Calibri"/>
          <w:color w:val="auto"/>
          <w:szCs w:val="24"/>
        </w:rPr>
        <w:t>The Board acknowledges the CI’s information regarding the significant impairment with which his service-connected condition continues to burden him; but, must emphasize that the Disability Evaluation System</w:t>
      </w:r>
      <w:r w:rsidR="008D6305">
        <w:rPr>
          <w:rFonts w:eastAsia="Calibri"/>
          <w:color w:val="auto"/>
          <w:szCs w:val="24"/>
        </w:rPr>
        <w:t xml:space="preserve"> </w:t>
      </w:r>
      <w:r w:rsidRPr="005C4CBA">
        <w:rPr>
          <w:rFonts w:eastAsia="Calibri"/>
          <w:color w:val="auto"/>
          <w:szCs w:val="24"/>
        </w:rPr>
        <w:t>has neither the role nor the authority to compensate members for anticipated future severity or potential complications of conditions resulting in medical separation.  That role and authority is granted by Congress to the Department of Veteran</w:t>
      </w:r>
      <w:r w:rsidR="008D6305">
        <w:rPr>
          <w:rFonts w:eastAsia="Calibri"/>
          <w:color w:val="auto"/>
          <w:szCs w:val="24"/>
        </w:rPr>
        <w:t>s’</w:t>
      </w:r>
      <w:r w:rsidRPr="005C4CBA">
        <w:rPr>
          <w:rFonts w:eastAsia="Calibri"/>
          <w:color w:val="auto"/>
          <w:szCs w:val="24"/>
        </w:rPr>
        <w:t xml:space="preserve"> Affairs, operating under a different set of laws.  The Board likewise acknowledges the CI’s contention for rating of his right knee condition which was determined to be not unfitting by the PEB; and, emphasizes that disability compensation may only be offered for those conditions that cut short the member’s career.  </w:t>
      </w:r>
      <w:r w:rsidRPr="005C4CBA">
        <w:rPr>
          <w:color w:val="000000"/>
        </w:rPr>
        <w:t>Should the Board judge that the contested condition was most likely incompatible with MOS requirements; a</w:t>
      </w:r>
      <w:r w:rsidRPr="00CC3EDB">
        <w:rPr>
          <w:color w:val="000000"/>
        </w:rPr>
        <w:t xml:space="preserve"> disability rating IAW the VASRD</w:t>
      </w:r>
      <w:r>
        <w:rPr>
          <w:color w:val="000000"/>
        </w:rPr>
        <w:t>,</w:t>
      </w:r>
      <w:r w:rsidRPr="00CC3EDB">
        <w:rPr>
          <w:color w:val="000000"/>
        </w:rPr>
        <w:t xml:space="preserve"> and based on the severity at separation, will be recommended.</w:t>
      </w:r>
    </w:p>
    <w:p w:rsidR="000E1B2D" w:rsidRDefault="000E1B2D" w:rsidP="000E1B2D">
      <w:pPr>
        <w:tabs>
          <w:tab w:val="left" w:pos="288"/>
          <w:tab w:val="left" w:pos="4752"/>
        </w:tabs>
        <w:jc w:val="both"/>
        <w:rPr>
          <w:color w:val="000000"/>
        </w:rPr>
      </w:pPr>
    </w:p>
    <w:p w:rsidR="000E1B2D" w:rsidRPr="00C566C9" w:rsidRDefault="000E1B2D" w:rsidP="000E1B2D">
      <w:pPr>
        <w:jc w:val="both"/>
        <w:rPr>
          <w:color w:val="auto"/>
        </w:rPr>
      </w:pPr>
      <w:r w:rsidRPr="005C4CBA">
        <w:rPr>
          <w:color w:val="000000"/>
        </w:rPr>
        <w:t xml:space="preserve">The Board </w:t>
      </w:r>
      <w:r>
        <w:rPr>
          <w:color w:val="000000"/>
        </w:rPr>
        <w:t xml:space="preserve">further </w:t>
      </w:r>
      <w:r w:rsidRPr="005C4CBA">
        <w:rPr>
          <w:color w:val="000000"/>
        </w:rPr>
        <w:t xml:space="preserve">acknowledges the CI’s opinion that </w:t>
      </w:r>
      <w:r>
        <w:rPr>
          <w:color w:val="000000"/>
        </w:rPr>
        <w:t xml:space="preserve">faulty medical care in </w:t>
      </w:r>
      <w:r w:rsidR="008D6305">
        <w:rPr>
          <w:color w:val="000000"/>
        </w:rPr>
        <w:t>the Army</w:t>
      </w:r>
      <w:r w:rsidRPr="005C4CBA">
        <w:rPr>
          <w:color w:val="000000"/>
        </w:rPr>
        <w:t xml:space="preserve"> contributed to </w:t>
      </w:r>
      <w:r>
        <w:rPr>
          <w:color w:val="000000"/>
        </w:rPr>
        <w:t>his disability and that he was denied the opportunity to reclassify to a different MOS</w:t>
      </w:r>
      <w:r w:rsidRPr="005C4CBA">
        <w:rPr>
          <w:color w:val="000000"/>
        </w:rPr>
        <w:t>.  It is noted for the record that the Board has no jurisdiction to investigate or render opinions in reference to allegations</w:t>
      </w:r>
      <w:r>
        <w:rPr>
          <w:color w:val="000000"/>
        </w:rPr>
        <w:t xml:space="preserve"> of medical error, nor</w:t>
      </w:r>
      <w:r w:rsidRPr="005C4CBA">
        <w:rPr>
          <w:color w:val="000000"/>
        </w:rPr>
        <w:t xml:space="preserve"> </w:t>
      </w:r>
      <w:r w:rsidRPr="009C1462">
        <w:rPr>
          <w:color w:val="000000"/>
        </w:rPr>
        <w:t xml:space="preserve">the jurisdiction to offer remedy in reference to </w:t>
      </w:r>
      <w:r>
        <w:rPr>
          <w:color w:val="000000"/>
        </w:rPr>
        <w:t xml:space="preserve">administrative </w:t>
      </w:r>
      <w:r w:rsidRPr="009C1462">
        <w:rPr>
          <w:color w:val="000000"/>
        </w:rPr>
        <w:t>decisions</w:t>
      </w:r>
      <w:r>
        <w:rPr>
          <w:color w:val="000000"/>
        </w:rPr>
        <w:t>.</w:t>
      </w:r>
      <w:r w:rsidRPr="005C4CBA">
        <w:rPr>
          <w:color w:val="000000"/>
        </w:rPr>
        <w:t xml:space="preserve"> </w:t>
      </w:r>
      <w:r>
        <w:rPr>
          <w:color w:val="000000"/>
        </w:rPr>
        <w:t xml:space="preserve"> </w:t>
      </w:r>
      <w:r w:rsidRPr="005C4CBA">
        <w:rPr>
          <w:color w:val="000000"/>
        </w:rPr>
        <w:t xml:space="preserve">Redress in excess of the Board’s scope of </w:t>
      </w:r>
      <w:r>
        <w:rPr>
          <w:color w:val="000000"/>
        </w:rPr>
        <w:t>authority</w:t>
      </w:r>
      <w:r w:rsidRPr="005C4CBA">
        <w:rPr>
          <w:color w:val="000000"/>
        </w:rPr>
        <w:t xml:space="preserve"> must be addressed by the </w:t>
      </w:r>
      <w:r w:rsidR="008D6305">
        <w:rPr>
          <w:color w:val="000000"/>
        </w:rPr>
        <w:t>ABCMR.</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237C39" w:rsidRDefault="00237C39" w:rsidP="00BF0E94">
      <w:pPr>
        <w:jc w:val="left"/>
        <w:rPr>
          <w:color w:val="000000"/>
        </w:rPr>
      </w:pPr>
    </w:p>
    <w:tbl>
      <w:tblPr>
        <w:tblStyle w:val="TableGrid"/>
        <w:tblW w:w="9369" w:type="dxa"/>
        <w:jc w:val="center"/>
        <w:tblInd w:w="9" w:type="dxa"/>
        <w:tblLayout w:type="fixed"/>
        <w:tblLook w:val="00A0"/>
      </w:tblPr>
      <w:tblGrid>
        <w:gridCol w:w="2169"/>
        <w:gridCol w:w="1076"/>
        <w:gridCol w:w="724"/>
        <w:gridCol w:w="2610"/>
        <w:gridCol w:w="1080"/>
        <w:gridCol w:w="720"/>
        <w:gridCol w:w="990"/>
      </w:tblGrid>
      <w:tr w:rsidR="00237C39" w:rsidRPr="00F64312" w:rsidTr="00624CDA">
        <w:trPr>
          <w:trHeight w:val="170"/>
          <w:jc w:val="center"/>
        </w:trPr>
        <w:tc>
          <w:tcPr>
            <w:tcW w:w="3969" w:type="dxa"/>
            <w:gridSpan w:val="3"/>
            <w:tcBorders>
              <w:right w:val="thinThickThinSmallGap" w:sz="24" w:space="0" w:color="auto"/>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 xml:space="preserve">Service PEB – Dated </w:t>
            </w:r>
            <w:r w:rsidRPr="004918DD">
              <w:rPr>
                <w:b/>
                <w:color w:val="auto"/>
                <w:sz w:val="18"/>
              </w:rPr>
              <w:t>20080321</w:t>
            </w:r>
          </w:p>
        </w:tc>
        <w:tc>
          <w:tcPr>
            <w:tcW w:w="5400" w:type="dxa"/>
            <w:gridSpan w:val="4"/>
            <w:tcBorders>
              <w:left w:val="thinThickThinSmallGap" w:sz="24" w:space="0" w:color="auto"/>
            </w:tcBorders>
            <w:shd w:val="clear" w:color="auto" w:fill="D9D9D9"/>
            <w:vAlign w:val="center"/>
          </w:tcPr>
          <w:p w:rsidR="00237C39" w:rsidRPr="00F64312" w:rsidRDefault="00237C39" w:rsidP="007340B1">
            <w:pPr>
              <w:contextualSpacing/>
              <w:rPr>
                <w:rFonts w:cs="Calibri"/>
                <w:b/>
                <w:color w:val="auto"/>
                <w:sz w:val="18"/>
              </w:rPr>
            </w:pPr>
            <w:r w:rsidRPr="00F64312">
              <w:rPr>
                <w:b/>
                <w:color w:val="auto"/>
                <w:sz w:val="18"/>
              </w:rPr>
              <w:t>VA (</w:t>
            </w:r>
            <w:r w:rsidR="007340B1">
              <w:rPr>
                <w:b/>
                <w:color w:val="auto"/>
                <w:sz w:val="18"/>
              </w:rPr>
              <w:t>10 Wks</w:t>
            </w:r>
            <w:r w:rsidRPr="00F64312">
              <w:rPr>
                <w:b/>
                <w:color w:val="auto"/>
                <w:sz w:val="18"/>
              </w:rPr>
              <w:t xml:space="preserve">. </w:t>
            </w:r>
            <w:r w:rsidRPr="00EC4B38">
              <w:rPr>
                <w:b/>
                <w:color w:val="auto"/>
                <w:sz w:val="18"/>
              </w:rPr>
              <w:t>Post</w:t>
            </w:r>
            <w:r w:rsidRPr="00F64312">
              <w:rPr>
                <w:b/>
                <w:color w:val="auto"/>
                <w:sz w:val="18"/>
              </w:rPr>
              <w:t>-Separation) –</w:t>
            </w:r>
            <w:r>
              <w:rPr>
                <w:b/>
                <w:color w:val="auto"/>
                <w:sz w:val="18"/>
              </w:rPr>
              <w:t xml:space="preserve"> </w:t>
            </w:r>
            <w:r w:rsidRPr="00F64312">
              <w:rPr>
                <w:b/>
                <w:color w:val="auto"/>
                <w:sz w:val="18"/>
              </w:rPr>
              <w:t xml:space="preserve">Effective </w:t>
            </w:r>
            <w:r w:rsidRPr="00EC4B38">
              <w:rPr>
                <w:b/>
                <w:color w:val="auto"/>
                <w:sz w:val="18"/>
              </w:rPr>
              <w:t>20080521</w:t>
            </w:r>
          </w:p>
        </w:tc>
      </w:tr>
      <w:tr w:rsidR="00237C39" w:rsidRPr="00F64312" w:rsidTr="00624CDA">
        <w:trPr>
          <w:trHeight w:val="97"/>
          <w:jc w:val="center"/>
        </w:trPr>
        <w:tc>
          <w:tcPr>
            <w:tcW w:w="2169" w:type="dxa"/>
            <w:tcBorders>
              <w:bottom w:val="single" w:sz="4" w:space="0" w:color="000000"/>
              <w:right w:val="single" w:sz="4" w:space="0" w:color="auto"/>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Condition</w:t>
            </w:r>
          </w:p>
        </w:tc>
        <w:tc>
          <w:tcPr>
            <w:tcW w:w="1076" w:type="dxa"/>
            <w:tcBorders>
              <w:left w:val="single" w:sz="4" w:space="0" w:color="auto"/>
              <w:bottom w:val="single" w:sz="4" w:space="0" w:color="000000"/>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Code</w:t>
            </w:r>
          </w:p>
        </w:tc>
        <w:tc>
          <w:tcPr>
            <w:tcW w:w="724" w:type="dxa"/>
            <w:tcBorders>
              <w:bottom w:val="single" w:sz="4" w:space="0" w:color="000000"/>
              <w:right w:val="thinThickThinSmallGap" w:sz="24" w:space="0" w:color="auto"/>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237C39" w:rsidRPr="00F64312" w:rsidRDefault="00237C39" w:rsidP="00624CDA">
            <w:pPr>
              <w:contextualSpacing/>
              <w:rPr>
                <w:rFonts w:cs="Calibri"/>
                <w:b/>
                <w:color w:val="auto"/>
                <w:sz w:val="18"/>
              </w:rPr>
            </w:pPr>
            <w:r w:rsidRPr="00F64312">
              <w:rPr>
                <w:b/>
                <w:color w:val="auto"/>
                <w:sz w:val="18"/>
              </w:rPr>
              <w:t>Exam</w:t>
            </w:r>
          </w:p>
        </w:tc>
      </w:tr>
      <w:tr w:rsidR="00237C39" w:rsidRPr="00F64312" w:rsidTr="00624CDA">
        <w:trPr>
          <w:trHeight w:val="118"/>
          <w:jc w:val="center"/>
        </w:trPr>
        <w:tc>
          <w:tcPr>
            <w:tcW w:w="2169" w:type="dxa"/>
            <w:vMerge w:val="restart"/>
            <w:tcBorders>
              <w:right w:val="single" w:sz="4" w:space="0" w:color="auto"/>
            </w:tcBorders>
            <w:shd w:val="clear" w:color="auto" w:fill="FFFFFF"/>
            <w:vAlign w:val="center"/>
          </w:tcPr>
          <w:p w:rsidR="00237C39" w:rsidRPr="00F64312" w:rsidRDefault="00237C39" w:rsidP="00624CDA">
            <w:pPr>
              <w:spacing w:line="180" w:lineRule="exact"/>
              <w:contextualSpacing/>
              <w:jc w:val="left"/>
              <w:rPr>
                <w:rFonts w:cs="Calibri"/>
                <w:color w:val="auto"/>
                <w:sz w:val="18"/>
              </w:rPr>
            </w:pPr>
            <w:r>
              <w:rPr>
                <w:rFonts w:cs="Calibri"/>
                <w:color w:val="auto"/>
                <w:sz w:val="18"/>
              </w:rPr>
              <w:t>Hallux Rigidus s/p Arthrodesis, R Great Toe</w:t>
            </w:r>
          </w:p>
        </w:tc>
        <w:tc>
          <w:tcPr>
            <w:tcW w:w="1076" w:type="dxa"/>
            <w:vMerge w:val="restart"/>
            <w:tcBorders>
              <w:left w:val="single" w:sz="4" w:space="0" w:color="auto"/>
            </w:tcBorders>
            <w:shd w:val="clear" w:color="auto" w:fill="FFFFFF"/>
            <w:vAlign w:val="center"/>
          </w:tcPr>
          <w:p w:rsidR="00237C39" w:rsidRPr="00F64312" w:rsidRDefault="00237C39" w:rsidP="00624CDA">
            <w:pPr>
              <w:spacing w:line="220" w:lineRule="exact"/>
              <w:contextualSpacing/>
              <w:rPr>
                <w:rFonts w:cs="Calibri"/>
                <w:color w:val="auto"/>
                <w:sz w:val="18"/>
              </w:rPr>
            </w:pPr>
            <w:r>
              <w:rPr>
                <w:rFonts w:cs="Calibri"/>
                <w:color w:val="auto"/>
                <w:sz w:val="18"/>
              </w:rPr>
              <w:t>5003-5281</w:t>
            </w:r>
          </w:p>
        </w:tc>
        <w:tc>
          <w:tcPr>
            <w:tcW w:w="724" w:type="dxa"/>
            <w:vMerge w:val="restart"/>
            <w:tcBorders>
              <w:right w:val="thinThickThinSmallGap" w:sz="24" w:space="0" w:color="auto"/>
            </w:tcBorders>
            <w:shd w:val="clear" w:color="auto" w:fill="FFFFFF"/>
            <w:vAlign w:val="center"/>
          </w:tcPr>
          <w:p w:rsidR="00237C39" w:rsidRPr="00F64312" w:rsidRDefault="00237C39" w:rsidP="00624CDA">
            <w:pPr>
              <w:spacing w:line="22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237C39" w:rsidRPr="00F64312" w:rsidRDefault="00237C39" w:rsidP="00624CDA">
            <w:pPr>
              <w:spacing w:line="220" w:lineRule="exact"/>
              <w:contextualSpacing/>
              <w:jc w:val="left"/>
              <w:rPr>
                <w:rFonts w:cs="Calibri"/>
                <w:color w:val="auto"/>
                <w:sz w:val="18"/>
              </w:rPr>
            </w:pPr>
            <w:r>
              <w:rPr>
                <w:rFonts w:cs="Calibri"/>
                <w:color w:val="auto"/>
                <w:sz w:val="18"/>
              </w:rPr>
              <w:t>Osteoarthritis Hallux ... R Foot</w:t>
            </w:r>
          </w:p>
        </w:tc>
        <w:tc>
          <w:tcPr>
            <w:tcW w:w="1080" w:type="dxa"/>
            <w:shd w:val="clear" w:color="auto" w:fill="FFFFFF"/>
            <w:vAlign w:val="center"/>
          </w:tcPr>
          <w:p w:rsidR="00237C39" w:rsidRPr="00F64312" w:rsidRDefault="00237C39" w:rsidP="00624CDA">
            <w:pPr>
              <w:spacing w:line="220" w:lineRule="exact"/>
              <w:contextualSpacing/>
              <w:rPr>
                <w:rFonts w:cs="Calibri"/>
                <w:color w:val="auto"/>
                <w:sz w:val="18"/>
              </w:rPr>
            </w:pPr>
            <w:r>
              <w:rPr>
                <w:rFonts w:cs="Calibri"/>
                <w:color w:val="auto"/>
                <w:sz w:val="18"/>
              </w:rPr>
              <w:t>5278-5284</w:t>
            </w:r>
          </w:p>
        </w:tc>
        <w:tc>
          <w:tcPr>
            <w:tcW w:w="720" w:type="dxa"/>
            <w:shd w:val="clear" w:color="auto" w:fill="FFFFFF"/>
            <w:vAlign w:val="center"/>
          </w:tcPr>
          <w:p w:rsidR="00237C39" w:rsidRPr="00F64312" w:rsidRDefault="00237C39" w:rsidP="00624CDA">
            <w:pPr>
              <w:spacing w:line="220" w:lineRule="exact"/>
              <w:contextualSpacing/>
              <w:rPr>
                <w:rFonts w:cs="Calibri"/>
                <w:color w:val="auto"/>
                <w:sz w:val="18"/>
              </w:rPr>
            </w:pPr>
            <w:r>
              <w:rPr>
                <w:rFonts w:cs="Calibri"/>
                <w:color w:val="auto"/>
                <w:sz w:val="18"/>
              </w:rPr>
              <w:t>20%</w:t>
            </w:r>
          </w:p>
        </w:tc>
        <w:tc>
          <w:tcPr>
            <w:tcW w:w="990" w:type="dxa"/>
            <w:shd w:val="clear" w:color="auto" w:fill="FFFFFF"/>
            <w:vAlign w:val="center"/>
          </w:tcPr>
          <w:p w:rsidR="00237C39" w:rsidRPr="00EC4B38" w:rsidRDefault="00237C39" w:rsidP="00624CDA">
            <w:pPr>
              <w:spacing w:line="220" w:lineRule="exact"/>
              <w:contextualSpacing/>
              <w:rPr>
                <w:rFonts w:cs="Calibri"/>
                <w:color w:val="auto"/>
                <w:sz w:val="18"/>
              </w:rPr>
            </w:pPr>
            <w:r w:rsidRPr="00EC4B38">
              <w:rPr>
                <w:color w:val="auto"/>
                <w:sz w:val="18"/>
              </w:rPr>
              <w:t>20080807</w:t>
            </w:r>
          </w:p>
        </w:tc>
      </w:tr>
      <w:tr w:rsidR="00237C39" w:rsidRPr="00F64312" w:rsidTr="00624CDA">
        <w:trPr>
          <w:trHeight w:val="118"/>
          <w:jc w:val="center"/>
        </w:trPr>
        <w:tc>
          <w:tcPr>
            <w:tcW w:w="2169" w:type="dxa"/>
            <w:vMerge/>
            <w:tcBorders>
              <w:right w:val="single" w:sz="4" w:space="0" w:color="auto"/>
            </w:tcBorders>
            <w:shd w:val="clear" w:color="auto" w:fill="FFFFFF"/>
            <w:vAlign w:val="center"/>
          </w:tcPr>
          <w:p w:rsidR="00237C39" w:rsidRPr="00F64312" w:rsidRDefault="00237C39" w:rsidP="00624CDA">
            <w:pPr>
              <w:spacing w:line="220" w:lineRule="exact"/>
              <w:contextualSpacing/>
              <w:jc w:val="left"/>
              <w:rPr>
                <w:color w:val="auto"/>
                <w:sz w:val="18"/>
              </w:rPr>
            </w:pPr>
          </w:p>
        </w:tc>
        <w:tc>
          <w:tcPr>
            <w:tcW w:w="1076" w:type="dxa"/>
            <w:vMerge/>
            <w:tcBorders>
              <w:left w:val="single" w:sz="4" w:space="0" w:color="auto"/>
            </w:tcBorders>
            <w:shd w:val="clear" w:color="auto" w:fill="FFFFFF"/>
            <w:vAlign w:val="center"/>
          </w:tcPr>
          <w:p w:rsidR="00237C39" w:rsidRPr="00F64312" w:rsidRDefault="00237C39" w:rsidP="00624CDA">
            <w:pPr>
              <w:spacing w:line="220" w:lineRule="exact"/>
              <w:contextualSpacing/>
              <w:rPr>
                <w:color w:val="auto"/>
                <w:sz w:val="18"/>
              </w:rPr>
            </w:pPr>
          </w:p>
        </w:tc>
        <w:tc>
          <w:tcPr>
            <w:tcW w:w="724" w:type="dxa"/>
            <w:vMerge/>
            <w:tcBorders>
              <w:right w:val="thinThickThinSmallGap" w:sz="24" w:space="0" w:color="auto"/>
            </w:tcBorders>
            <w:shd w:val="clear" w:color="auto" w:fill="FFFFFF"/>
            <w:vAlign w:val="center"/>
          </w:tcPr>
          <w:p w:rsidR="00237C39" w:rsidRPr="00F64312" w:rsidRDefault="00237C39" w:rsidP="00624CDA">
            <w:pPr>
              <w:spacing w:line="220" w:lineRule="exact"/>
              <w:rPr>
                <w:color w:val="auto"/>
                <w:sz w:val="18"/>
              </w:rPr>
            </w:pPr>
          </w:p>
        </w:tc>
        <w:tc>
          <w:tcPr>
            <w:tcW w:w="2610" w:type="dxa"/>
            <w:tcBorders>
              <w:left w:val="thinThickThinSmallGap" w:sz="24" w:space="0" w:color="auto"/>
            </w:tcBorders>
            <w:shd w:val="clear" w:color="auto" w:fill="FFFFFF"/>
            <w:vAlign w:val="center"/>
          </w:tcPr>
          <w:p w:rsidR="00237C39" w:rsidRPr="00F64312" w:rsidRDefault="00237C39" w:rsidP="00624CDA">
            <w:pPr>
              <w:spacing w:line="220" w:lineRule="exact"/>
              <w:contextualSpacing/>
              <w:jc w:val="left"/>
              <w:rPr>
                <w:color w:val="auto"/>
                <w:sz w:val="18"/>
              </w:rPr>
            </w:pPr>
            <w:r>
              <w:rPr>
                <w:color w:val="auto"/>
                <w:sz w:val="18"/>
              </w:rPr>
              <w:t>Scars, R Great Toe</w:t>
            </w:r>
          </w:p>
        </w:tc>
        <w:tc>
          <w:tcPr>
            <w:tcW w:w="1080" w:type="dxa"/>
            <w:shd w:val="clear" w:color="auto" w:fill="FFFFFF"/>
            <w:vAlign w:val="center"/>
          </w:tcPr>
          <w:p w:rsidR="00237C39" w:rsidRPr="00F64312" w:rsidRDefault="00237C39" w:rsidP="00624CDA">
            <w:pPr>
              <w:spacing w:line="220" w:lineRule="exact"/>
              <w:contextualSpacing/>
              <w:rPr>
                <w:color w:val="auto"/>
                <w:sz w:val="18"/>
              </w:rPr>
            </w:pPr>
            <w:r>
              <w:rPr>
                <w:color w:val="auto"/>
                <w:sz w:val="18"/>
              </w:rPr>
              <w:t>7805</w:t>
            </w:r>
          </w:p>
        </w:tc>
        <w:tc>
          <w:tcPr>
            <w:tcW w:w="720" w:type="dxa"/>
            <w:shd w:val="clear" w:color="auto" w:fill="FFFFFF"/>
            <w:vAlign w:val="center"/>
          </w:tcPr>
          <w:p w:rsidR="00237C39" w:rsidRPr="00F64312" w:rsidRDefault="00237C39" w:rsidP="00624CDA">
            <w:pPr>
              <w:spacing w:line="220" w:lineRule="exact"/>
              <w:contextualSpacing/>
              <w:rPr>
                <w:color w:val="auto"/>
                <w:sz w:val="18"/>
              </w:rPr>
            </w:pPr>
            <w:r>
              <w:rPr>
                <w:color w:val="auto"/>
                <w:sz w:val="18"/>
              </w:rPr>
              <w:t>0%</w:t>
            </w:r>
          </w:p>
        </w:tc>
        <w:tc>
          <w:tcPr>
            <w:tcW w:w="990" w:type="dxa"/>
            <w:shd w:val="clear" w:color="auto" w:fill="FFFFFF"/>
            <w:vAlign w:val="center"/>
          </w:tcPr>
          <w:p w:rsidR="00237C39" w:rsidRPr="00F740AE" w:rsidRDefault="00237C39" w:rsidP="00624CDA">
            <w:pPr>
              <w:spacing w:line="220" w:lineRule="exact"/>
              <w:contextualSpacing/>
              <w:rPr>
                <w:color w:val="auto"/>
                <w:sz w:val="18"/>
              </w:rPr>
            </w:pPr>
            <w:r w:rsidRPr="00F740AE">
              <w:rPr>
                <w:color w:val="auto"/>
                <w:sz w:val="18"/>
              </w:rPr>
              <w:t>20080807</w:t>
            </w:r>
          </w:p>
        </w:tc>
      </w:tr>
      <w:tr w:rsidR="00237C39" w:rsidRPr="00F64312" w:rsidTr="00624CDA">
        <w:trPr>
          <w:trHeight w:val="97"/>
          <w:jc w:val="center"/>
        </w:trPr>
        <w:tc>
          <w:tcPr>
            <w:tcW w:w="2169" w:type="dxa"/>
            <w:tcBorders>
              <w:right w:val="single" w:sz="4" w:space="0" w:color="auto"/>
            </w:tcBorders>
            <w:shd w:val="clear" w:color="auto" w:fill="FFFFFF"/>
            <w:vAlign w:val="center"/>
          </w:tcPr>
          <w:p w:rsidR="00237C39" w:rsidRPr="00F64312" w:rsidRDefault="00237C39" w:rsidP="00624CDA">
            <w:pPr>
              <w:spacing w:line="220" w:lineRule="exact"/>
              <w:contextualSpacing/>
              <w:jc w:val="left"/>
              <w:rPr>
                <w:rFonts w:cs="Calibri"/>
                <w:color w:val="auto"/>
                <w:sz w:val="18"/>
              </w:rPr>
            </w:pPr>
            <w:r>
              <w:rPr>
                <w:rFonts w:cs="Calibri"/>
                <w:color w:val="auto"/>
                <w:sz w:val="18"/>
              </w:rPr>
              <w:t>Metatarsalgia</w:t>
            </w:r>
          </w:p>
        </w:tc>
        <w:tc>
          <w:tcPr>
            <w:tcW w:w="1800" w:type="dxa"/>
            <w:gridSpan w:val="2"/>
            <w:tcBorders>
              <w:left w:val="single" w:sz="4" w:space="0" w:color="auto"/>
              <w:right w:val="thinThickThinSmallGap" w:sz="24" w:space="0" w:color="auto"/>
            </w:tcBorders>
            <w:shd w:val="clear" w:color="auto" w:fill="FFFFFF"/>
            <w:vAlign w:val="center"/>
          </w:tcPr>
          <w:p w:rsidR="00237C39" w:rsidRPr="00F64312" w:rsidRDefault="00237C39" w:rsidP="00624CDA">
            <w:pPr>
              <w:spacing w:line="220" w:lineRule="exact"/>
              <w:contextualSpacing/>
              <w:rPr>
                <w:rFonts w:cs="Calibri"/>
                <w:color w:val="auto"/>
                <w:sz w:val="18"/>
              </w:rPr>
            </w:pPr>
            <w:r w:rsidRPr="00F64312">
              <w:rPr>
                <w:color w:val="auto"/>
                <w:sz w:val="18"/>
              </w:rPr>
              <w:t>Not Unfitting</w:t>
            </w:r>
          </w:p>
        </w:tc>
        <w:tc>
          <w:tcPr>
            <w:tcW w:w="4410" w:type="dxa"/>
            <w:gridSpan w:val="3"/>
            <w:tcBorders>
              <w:left w:val="thinThickThinSmallGap" w:sz="24" w:space="0" w:color="auto"/>
            </w:tcBorders>
            <w:shd w:val="clear" w:color="auto" w:fill="FFFFFF"/>
            <w:vAlign w:val="center"/>
          </w:tcPr>
          <w:p w:rsidR="00237C39" w:rsidRPr="00F64312" w:rsidRDefault="00237C39" w:rsidP="00624CDA">
            <w:pPr>
              <w:spacing w:line="220" w:lineRule="exact"/>
              <w:contextualSpacing/>
              <w:rPr>
                <w:rFonts w:cs="Calibri"/>
                <w:color w:val="auto"/>
                <w:sz w:val="18"/>
              </w:rPr>
            </w:pPr>
            <w:r>
              <w:rPr>
                <w:rFonts w:cs="Calibri"/>
                <w:color w:val="auto"/>
                <w:sz w:val="18"/>
              </w:rPr>
              <w:t>No VA Entry</w:t>
            </w:r>
          </w:p>
        </w:tc>
        <w:tc>
          <w:tcPr>
            <w:tcW w:w="990" w:type="dxa"/>
            <w:shd w:val="clear" w:color="auto" w:fill="FFFFFF"/>
            <w:vAlign w:val="center"/>
          </w:tcPr>
          <w:p w:rsidR="00237C39" w:rsidRPr="00F64312" w:rsidRDefault="00237C39" w:rsidP="00624CDA">
            <w:pPr>
              <w:spacing w:line="220" w:lineRule="exact"/>
              <w:contextualSpacing/>
              <w:rPr>
                <w:rFonts w:cs="Calibri"/>
                <w:color w:val="auto"/>
                <w:sz w:val="18"/>
              </w:rPr>
            </w:pPr>
            <w:r w:rsidRPr="00F740AE">
              <w:rPr>
                <w:color w:val="auto"/>
                <w:sz w:val="18"/>
              </w:rPr>
              <w:t>20080807</w:t>
            </w:r>
          </w:p>
        </w:tc>
      </w:tr>
      <w:tr w:rsidR="00237C39" w:rsidRPr="00F64312" w:rsidTr="00624CDA">
        <w:trPr>
          <w:trHeight w:val="97"/>
          <w:jc w:val="center"/>
        </w:trPr>
        <w:tc>
          <w:tcPr>
            <w:tcW w:w="2169" w:type="dxa"/>
            <w:tcBorders>
              <w:right w:val="single" w:sz="4" w:space="0" w:color="auto"/>
            </w:tcBorders>
            <w:shd w:val="clear" w:color="auto" w:fill="FFFFFF"/>
            <w:vAlign w:val="center"/>
          </w:tcPr>
          <w:p w:rsidR="00237C39" w:rsidRPr="00F64312" w:rsidRDefault="00237C39" w:rsidP="00624CDA">
            <w:pPr>
              <w:spacing w:line="220" w:lineRule="exact"/>
              <w:contextualSpacing/>
              <w:jc w:val="left"/>
              <w:rPr>
                <w:color w:val="auto"/>
                <w:sz w:val="18"/>
              </w:rPr>
            </w:pPr>
            <w:r>
              <w:rPr>
                <w:color w:val="auto"/>
                <w:sz w:val="18"/>
              </w:rPr>
              <w:t>Joint Pain, Right Knee</w:t>
            </w:r>
          </w:p>
        </w:tc>
        <w:tc>
          <w:tcPr>
            <w:tcW w:w="1800" w:type="dxa"/>
            <w:gridSpan w:val="2"/>
            <w:tcBorders>
              <w:left w:val="single" w:sz="4" w:space="0" w:color="auto"/>
              <w:right w:val="thinThickThinSmallGap" w:sz="24" w:space="0" w:color="auto"/>
            </w:tcBorders>
            <w:shd w:val="clear" w:color="auto" w:fill="FFFFFF"/>
            <w:vAlign w:val="center"/>
          </w:tcPr>
          <w:p w:rsidR="00237C39" w:rsidRPr="00F64312" w:rsidRDefault="00237C39" w:rsidP="00624CDA">
            <w:pPr>
              <w:spacing w:line="220" w:lineRule="exact"/>
              <w:contextualSpacing/>
              <w:rPr>
                <w:color w:val="auto"/>
                <w:sz w:val="18"/>
              </w:rPr>
            </w:pPr>
            <w:r>
              <w:rPr>
                <w:color w:val="auto"/>
                <w:sz w:val="18"/>
              </w:rPr>
              <w:t>Not Unfitting</w:t>
            </w:r>
          </w:p>
        </w:tc>
        <w:tc>
          <w:tcPr>
            <w:tcW w:w="2610" w:type="dxa"/>
            <w:tcBorders>
              <w:left w:val="thinThickThinSmallGap" w:sz="24" w:space="0" w:color="auto"/>
              <w:right w:val="single" w:sz="4" w:space="0" w:color="auto"/>
            </w:tcBorders>
            <w:shd w:val="clear" w:color="auto" w:fill="FFFFFF"/>
            <w:vAlign w:val="center"/>
          </w:tcPr>
          <w:p w:rsidR="00237C39" w:rsidRPr="00F64312" w:rsidRDefault="00237C39" w:rsidP="00624CDA">
            <w:pPr>
              <w:spacing w:line="220" w:lineRule="exact"/>
              <w:contextualSpacing/>
              <w:jc w:val="left"/>
              <w:rPr>
                <w:color w:val="auto"/>
                <w:sz w:val="18"/>
              </w:rPr>
            </w:pPr>
            <w:r>
              <w:rPr>
                <w:color w:val="auto"/>
                <w:sz w:val="18"/>
              </w:rPr>
              <w:t>Right Knee Pain</w:t>
            </w:r>
          </w:p>
        </w:tc>
        <w:tc>
          <w:tcPr>
            <w:tcW w:w="1080" w:type="dxa"/>
            <w:tcBorders>
              <w:left w:val="single" w:sz="4" w:space="0" w:color="auto"/>
            </w:tcBorders>
            <w:shd w:val="clear" w:color="auto" w:fill="FFFFFF"/>
            <w:vAlign w:val="center"/>
          </w:tcPr>
          <w:p w:rsidR="00237C39" w:rsidRPr="00F64312" w:rsidRDefault="00237C39" w:rsidP="00624CDA">
            <w:pPr>
              <w:spacing w:line="220" w:lineRule="exact"/>
              <w:contextualSpacing/>
              <w:rPr>
                <w:color w:val="auto"/>
                <w:sz w:val="18"/>
              </w:rPr>
            </w:pPr>
            <w:r>
              <w:rPr>
                <w:color w:val="auto"/>
                <w:sz w:val="18"/>
              </w:rPr>
              <w:t>5260</w:t>
            </w:r>
          </w:p>
        </w:tc>
        <w:tc>
          <w:tcPr>
            <w:tcW w:w="720" w:type="dxa"/>
            <w:shd w:val="clear" w:color="auto" w:fill="FFFFFF"/>
            <w:vAlign w:val="center"/>
          </w:tcPr>
          <w:p w:rsidR="00237C39" w:rsidRPr="00F64312" w:rsidRDefault="00237C39" w:rsidP="00624CDA">
            <w:pPr>
              <w:spacing w:line="220" w:lineRule="exact"/>
              <w:contextualSpacing/>
              <w:rPr>
                <w:color w:val="auto"/>
                <w:sz w:val="18"/>
              </w:rPr>
            </w:pPr>
            <w:r>
              <w:rPr>
                <w:color w:val="auto"/>
                <w:sz w:val="18"/>
              </w:rPr>
              <w:t>NSC</w:t>
            </w:r>
          </w:p>
        </w:tc>
        <w:tc>
          <w:tcPr>
            <w:tcW w:w="990" w:type="dxa"/>
            <w:shd w:val="clear" w:color="auto" w:fill="FFFFFF"/>
            <w:vAlign w:val="center"/>
          </w:tcPr>
          <w:p w:rsidR="00237C39" w:rsidRPr="00F64312" w:rsidRDefault="00237C39" w:rsidP="00624CDA">
            <w:pPr>
              <w:spacing w:line="220" w:lineRule="exact"/>
              <w:contextualSpacing/>
              <w:rPr>
                <w:color w:val="auto"/>
                <w:sz w:val="18"/>
              </w:rPr>
            </w:pPr>
            <w:r w:rsidRPr="00F740AE">
              <w:rPr>
                <w:color w:val="auto"/>
                <w:sz w:val="18"/>
              </w:rPr>
              <w:t>20080807</w:t>
            </w:r>
          </w:p>
        </w:tc>
      </w:tr>
      <w:tr w:rsidR="00237C39" w:rsidRPr="00F64312" w:rsidTr="00624CDA">
        <w:trPr>
          <w:trHeight w:val="97"/>
          <w:jc w:val="center"/>
        </w:trPr>
        <w:tc>
          <w:tcPr>
            <w:tcW w:w="2169" w:type="dxa"/>
            <w:tcBorders>
              <w:right w:val="single" w:sz="4" w:space="0" w:color="auto"/>
            </w:tcBorders>
            <w:shd w:val="clear" w:color="auto" w:fill="FFFFFF"/>
            <w:vAlign w:val="center"/>
          </w:tcPr>
          <w:p w:rsidR="00237C39" w:rsidRDefault="00237C39" w:rsidP="00624CDA">
            <w:pPr>
              <w:spacing w:line="220" w:lineRule="exact"/>
              <w:contextualSpacing/>
              <w:jc w:val="left"/>
              <w:rPr>
                <w:color w:val="auto"/>
                <w:sz w:val="18"/>
              </w:rPr>
            </w:pPr>
            <w:r>
              <w:rPr>
                <w:color w:val="auto"/>
                <w:sz w:val="18"/>
              </w:rPr>
              <w:t>Occupational Problems</w:t>
            </w:r>
          </w:p>
        </w:tc>
        <w:tc>
          <w:tcPr>
            <w:tcW w:w="1800" w:type="dxa"/>
            <w:gridSpan w:val="2"/>
            <w:tcBorders>
              <w:left w:val="single" w:sz="4" w:space="0" w:color="auto"/>
              <w:right w:val="thinThickThinSmallGap" w:sz="24" w:space="0" w:color="auto"/>
            </w:tcBorders>
            <w:shd w:val="clear" w:color="auto" w:fill="FFFFFF"/>
            <w:vAlign w:val="center"/>
          </w:tcPr>
          <w:p w:rsidR="00237C39" w:rsidRPr="00F64312" w:rsidRDefault="00237C39" w:rsidP="00624CDA">
            <w:pPr>
              <w:spacing w:line="220" w:lineRule="exact"/>
              <w:contextualSpacing/>
              <w:rPr>
                <w:color w:val="auto"/>
                <w:sz w:val="18"/>
              </w:rPr>
            </w:pPr>
            <w:r>
              <w:rPr>
                <w:color w:val="auto"/>
                <w:sz w:val="18"/>
              </w:rPr>
              <w:t>Not Unfitting</w:t>
            </w:r>
          </w:p>
        </w:tc>
        <w:tc>
          <w:tcPr>
            <w:tcW w:w="4410" w:type="dxa"/>
            <w:gridSpan w:val="3"/>
            <w:tcBorders>
              <w:left w:val="thinThickThinSmallGap" w:sz="24" w:space="0" w:color="auto"/>
            </w:tcBorders>
            <w:shd w:val="clear" w:color="auto" w:fill="FFFFFF"/>
            <w:vAlign w:val="center"/>
          </w:tcPr>
          <w:p w:rsidR="00237C39" w:rsidRPr="00F64312" w:rsidRDefault="00237C39" w:rsidP="00624CDA">
            <w:pPr>
              <w:spacing w:line="220" w:lineRule="exact"/>
              <w:contextualSpacing/>
              <w:rPr>
                <w:color w:val="auto"/>
                <w:sz w:val="18"/>
              </w:rPr>
            </w:pPr>
            <w:r>
              <w:rPr>
                <w:rFonts w:cs="Calibri"/>
                <w:color w:val="auto"/>
                <w:sz w:val="18"/>
              </w:rPr>
              <w:t>No VA Entry</w:t>
            </w:r>
          </w:p>
        </w:tc>
        <w:tc>
          <w:tcPr>
            <w:tcW w:w="990" w:type="dxa"/>
            <w:shd w:val="clear" w:color="auto" w:fill="FFFFFF"/>
            <w:vAlign w:val="center"/>
          </w:tcPr>
          <w:p w:rsidR="00237C39" w:rsidRPr="00F64312" w:rsidRDefault="00237C39" w:rsidP="00624CDA">
            <w:pPr>
              <w:spacing w:line="220" w:lineRule="exact"/>
              <w:contextualSpacing/>
              <w:rPr>
                <w:color w:val="auto"/>
                <w:sz w:val="18"/>
              </w:rPr>
            </w:pPr>
            <w:r w:rsidRPr="00F740AE">
              <w:rPr>
                <w:color w:val="auto"/>
                <w:sz w:val="18"/>
              </w:rPr>
              <w:t>20080807</w:t>
            </w:r>
          </w:p>
        </w:tc>
      </w:tr>
      <w:tr w:rsidR="00237C39" w:rsidRPr="00F64312" w:rsidTr="00624CDA">
        <w:trPr>
          <w:trHeight w:val="172"/>
          <w:jc w:val="center"/>
        </w:trPr>
        <w:tc>
          <w:tcPr>
            <w:tcW w:w="3969" w:type="dxa"/>
            <w:gridSpan w:val="3"/>
            <w:tcBorders>
              <w:right w:val="thinThickThinSmallGap" w:sz="24" w:space="0" w:color="auto"/>
            </w:tcBorders>
            <w:shd w:val="clear" w:color="auto" w:fill="FFFFFF"/>
            <w:vAlign w:val="center"/>
          </w:tcPr>
          <w:p w:rsidR="00237C39" w:rsidRPr="00F64312" w:rsidRDefault="00237C39" w:rsidP="00624CDA">
            <w:pPr>
              <w:spacing w:line="22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237C39" w:rsidRPr="00F64312" w:rsidRDefault="00237C39" w:rsidP="00624CDA">
            <w:pPr>
              <w:spacing w:line="220" w:lineRule="exact"/>
              <w:contextualSpacing/>
              <w:rPr>
                <w:rFonts w:cs="Calibri"/>
                <w:color w:val="auto"/>
                <w:sz w:val="18"/>
              </w:rPr>
            </w:pPr>
            <w:r>
              <w:rPr>
                <w:color w:val="auto"/>
                <w:sz w:val="18"/>
              </w:rPr>
              <w:t>Not Service-</w:t>
            </w:r>
            <w:r w:rsidRPr="00F64312">
              <w:rPr>
                <w:color w:val="auto"/>
                <w:sz w:val="18"/>
              </w:rPr>
              <w:t xml:space="preserve">Connected </w:t>
            </w:r>
            <w:r>
              <w:rPr>
                <w:color w:val="auto"/>
                <w:sz w:val="18"/>
              </w:rPr>
              <w:t xml:space="preserve">(NSC) </w:t>
            </w:r>
            <w:r w:rsidRPr="00F64312">
              <w:rPr>
                <w:color w:val="auto"/>
                <w:sz w:val="18"/>
              </w:rPr>
              <w:t xml:space="preserve">x </w:t>
            </w:r>
            <w:r>
              <w:rPr>
                <w:color w:val="auto"/>
                <w:sz w:val="18"/>
              </w:rPr>
              <w:t>1 Additional</w:t>
            </w:r>
          </w:p>
        </w:tc>
        <w:tc>
          <w:tcPr>
            <w:tcW w:w="990" w:type="dxa"/>
            <w:shd w:val="clear" w:color="auto" w:fill="FFFFFF"/>
            <w:vAlign w:val="center"/>
          </w:tcPr>
          <w:p w:rsidR="00237C39" w:rsidRPr="00F64312" w:rsidRDefault="00237C39" w:rsidP="00624CDA">
            <w:pPr>
              <w:spacing w:line="220" w:lineRule="exact"/>
              <w:contextualSpacing/>
              <w:rPr>
                <w:rFonts w:cs="Calibri"/>
                <w:color w:val="auto"/>
                <w:sz w:val="18"/>
              </w:rPr>
            </w:pPr>
            <w:r>
              <w:rPr>
                <w:rFonts w:cs="Calibri"/>
                <w:color w:val="auto"/>
                <w:sz w:val="18"/>
              </w:rPr>
              <w:t>20080807</w:t>
            </w:r>
          </w:p>
        </w:tc>
      </w:tr>
      <w:tr w:rsidR="00237C39" w:rsidRPr="00F64312" w:rsidTr="00624CDA">
        <w:trPr>
          <w:trHeight w:val="124"/>
          <w:jc w:val="center"/>
        </w:trPr>
        <w:tc>
          <w:tcPr>
            <w:tcW w:w="3969" w:type="dxa"/>
            <w:gridSpan w:val="3"/>
            <w:tcBorders>
              <w:right w:val="thinThickThinSmallGap" w:sz="24" w:space="0" w:color="auto"/>
            </w:tcBorders>
            <w:shd w:val="clear" w:color="auto" w:fill="D9D9D9"/>
          </w:tcPr>
          <w:p w:rsidR="00237C39" w:rsidRPr="00F64312" w:rsidRDefault="00237C39" w:rsidP="00624CDA">
            <w:pPr>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237C39" w:rsidRPr="00F64312" w:rsidRDefault="00237C39" w:rsidP="00624CDA">
            <w:pPr>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0E1B2D" w:rsidRPr="005C4CBA" w:rsidRDefault="00E41C21" w:rsidP="000E1B2D">
      <w:pPr>
        <w:tabs>
          <w:tab w:val="left" w:pos="288"/>
          <w:tab w:val="left" w:pos="4752"/>
        </w:tabs>
        <w:jc w:val="both"/>
        <w:rPr>
          <w:color w:val="000000"/>
        </w:rPr>
      </w:pPr>
      <w:r w:rsidRPr="001F29F9">
        <w:rPr>
          <w:color w:val="000000"/>
          <w:u w:val="single"/>
        </w:rPr>
        <w:t>ANALYSIS SUMMARY</w:t>
      </w:r>
      <w:r w:rsidRPr="001F29F9">
        <w:rPr>
          <w:color w:val="000000"/>
        </w:rPr>
        <w:t>:</w:t>
      </w:r>
      <w:r>
        <w:rPr>
          <w:color w:val="000000"/>
        </w:rPr>
        <w:t xml:space="preserve"> </w:t>
      </w:r>
      <w:r w:rsidR="00CC3EDB">
        <w:rPr>
          <w:color w:val="000000"/>
        </w:rPr>
        <w:t xml:space="preserve"> </w:t>
      </w:r>
    </w:p>
    <w:p w:rsidR="005C4CBA" w:rsidRPr="005C4CBA" w:rsidRDefault="005C4CBA" w:rsidP="005C4CBA">
      <w:pPr>
        <w:tabs>
          <w:tab w:val="left" w:pos="288"/>
          <w:tab w:val="left" w:pos="4752"/>
        </w:tabs>
        <w:jc w:val="both"/>
        <w:rPr>
          <w:color w:val="000000"/>
        </w:rPr>
      </w:pPr>
    </w:p>
    <w:p w:rsidR="00E41C21" w:rsidRDefault="005C4CBA" w:rsidP="00E41C21">
      <w:pPr>
        <w:jc w:val="both"/>
        <w:rPr>
          <w:color w:val="000000"/>
          <w:szCs w:val="24"/>
        </w:rPr>
      </w:pPr>
      <w:r>
        <w:rPr>
          <w:color w:val="000000"/>
          <w:u w:val="single"/>
        </w:rPr>
        <w:t>Right Great Toe</w:t>
      </w:r>
      <w:r w:rsidR="00E41C21" w:rsidRPr="009A7578">
        <w:rPr>
          <w:color w:val="000000"/>
          <w:u w:val="single"/>
        </w:rPr>
        <w:t xml:space="preserve"> Condition</w:t>
      </w:r>
      <w:r w:rsidR="00E41C21" w:rsidRPr="009A7578">
        <w:rPr>
          <w:color w:val="000000"/>
        </w:rPr>
        <w:t xml:space="preserve">. </w:t>
      </w:r>
      <w:r w:rsidR="00E41C21">
        <w:rPr>
          <w:color w:val="000000"/>
        </w:rPr>
        <w:t xml:space="preserve"> </w:t>
      </w:r>
      <w:r w:rsidR="005F4D97">
        <w:rPr>
          <w:color w:val="000000"/>
        </w:rPr>
        <w:t xml:space="preserve">The initial injury in May 2006 resulted from a parachute landing and was diagnosed by </w:t>
      </w:r>
      <w:r w:rsidR="006A589C">
        <w:rPr>
          <w:color w:val="000000"/>
        </w:rPr>
        <w:t>X</w:t>
      </w:r>
      <w:r w:rsidR="005F4D97">
        <w:rPr>
          <w:color w:val="000000"/>
        </w:rPr>
        <w:t>-ray</w:t>
      </w:r>
      <w:r w:rsidR="006A589C">
        <w:rPr>
          <w:color w:val="000000"/>
        </w:rPr>
        <w:t>s</w:t>
      </w:r>
      <w:r w:rsidR="005F4D97">
        <w:rPr>
          <w:color w:val="000000"/>
        </w:rPr>
        <w:t xml:space="preserve"> as an avulsion fracture at the base of the proximal phalanx.  Pain </w:t>
      </w:r>
      <w:r w:rsidR="005F4D97">
        <w:rPr>
          <w:color w:val="000000"/>
        </w:rPr>
        <w:lastRenderedPageBreak/>
        <w:t xml:space="preserve">persisted through conservative management, and follow-up </w:t>
      </w:r>
      <w:r w:rsidR="006A589C">
        <w:rPr>
          <w:color w:val="000000"/>
        </w:rPr>
        <w:t>X</w:t>
      </w:r>
      <w:r w:rsidR="005F4D97">
        <w:rPr>
          <w:color w:val="000000"/>
        </w:rPr>
        <w:t>-ray</w:t>
      </w:r>
      <w:r w:rsidR="006A589C">
        <w:rPr>
          <w:color w:val="000000"/>
        </w:rPr>
        <w:t>s</w:t>
      </w:r>
      <w:r w:rsidR="005F4D97">
        <w:rPr>
          <w:color w:val="000000"/>
        </w:rPr>
        <w:t xml:space="preserve"> demonstrated </w:t>
      </w:r>
      <w:proofErr w:type="spellStart"/>
      <w:r w:rsidR="005F4D97">
        <w:rPr>
          <w:color w:val="000000"/>
        </w:rPr>
        <w:t>osteophyte</w:t>
      </w:r>
      <w:proofErr w:type="spellEnd"/>
      <w:r w:rsidR="005F4D97">
        <w:rPr>
          <w:color w:val="000000"/>
        </w:rPr>
        <w:t xml:space="preserve"> formation and some flattening of the metatarsal head.  The pain remained unresolved with a further podiatric management including custom orthotics and steroid injections.  In May 2007 </w:t>
      </w:r>
      <w:r w:rsidR="007A5AA6">
        <w:rPr>
          <w:color w:val="000000"/>
        </w:rPr>
        <w:t xml:space="preserve">surgical arthrodesis was performed which was complicated by wound dehiscence and infection, requiring further surgical measures.  </w:t>
      </w:r>
      <w:r w:rsidR="00A10B6C">
        <w:rPr>
          <w:color w:val="000000"/>
        </w:rPr>
        <w:t xml:space="preserve">Post-operative </w:t>
      </w:r>
      <w:r w:rsidR="006A589C">
        <w:rPr>
          <w:color w:val="000000"/>
        </w:rPr>
        <w:t>X</w:t>
      </w:r>
      <w:r w:rsidR="00A10B6C">
        <w:rPr>
          <w:color w:val="000000"/>
        </w:rPr>
        <w:t xml:space="preserve">-rays demonstrated solid union of the </w:t>
      </w:r>
      <w:r w:rsidR="00A10B6C" w:rsidRPr="006A589C">
        <w:rPr>
          <w:color w:val="000000"/>
        </w:rPr>
        <w:t>MTP</w:t>
      </w:r>
      <w:r w:rsidR="00A10B6C">
        <w:rPr>
          <w:color w:val="000000"/>
        </w:rPr>
        <w:t xml:space="preserve"> joint and intact hardware with disuse osteoporosis of the metatarsal heads.</w:t>
      </w:r>
      <w:r w:rsidR="00CA26A5">
        <w:rPr>
          <w:color w:val="000000"/>
        </w:rPr>
        <w:t xml:space="preserve"> </w:t>
      </w:r>
      <w:r w:rsidR="00A10B6C">
        <w:rPr>
          <w:color w:val="000000"/>
        </w:rPr>
        <w:t xml:space="preserve"> </w:t>
      </w:r>
      <w:r w:rsidR="007A5AA6">
        <w:rPr>
          <w:color w:val="000000"/>
        </w:rPr>
        <w:t>Persistent pain restricted the CI from required infantry duties</w:t>
      </w:r>
      <w:r w:rsidR="000E1B2D">
        <w:rPr>
          <w:color w:val="000000"/>
        </w:rPr>
        <w:t>;</w:t>
      </w:r>
      <w:r w:rsidR="007A5AA6">
        <w:rPr>
          <w:color w:val="000000"/>
        </w:rPr>
        <w:t xml:space="preserve"> and</w:t>
      </w:r>
      <w:r w:rsidR="000E1B2D">
        <w:rPr>
          <w:color w:val="000000"/>
        </w:rPr>
        <w:t>,</w:t>
      </w:r>
      <w:r w:rsidR="007A5AA6">
        <w:rPr>
          <w:color w:val="000000"/>
        </w:rPr>
        <w:t xml:space="preserve"> in November 2007 he underwent an </w:t>
      </w:r>
      <w:r w:rsidR="007A5AA6" w:rsidRPr="007A5AA6">
        <w:rPr>
          <w:color w:val="000000"/>
        </w:rPr>
        <w:t>MOS Medical Review Board (MMRB)</w:t>
      </w:r>
      <w:r w:rsidR="000E1B2D">
        <w:rPr>
          <w:color w:val="000000"/>
        </w:rPr>
        <w:t>,</w:t>
      </w:r>
      <w:r w:rsidR="007A5AA6">
        <w:rPr>
          <w:color w:val="000000"/>
        </w:rPr>
        <w:t xml:space="preserve"> which recommended the MEB.  The </w:t>
      </w:r>
      <w:r w:rsidR="00E41C21">
        <w:rPr>
          <w:color w:val="000000"/>
        </w:rPr>
        <w:t>narrative summary (NARSUM)</w:t>
      </w:r>
      <w:r w:rsidR="007A5AA6">
        <w:rPr>
          <w:color w:val="000000"/>
        </w:rPr>
        <w:t xml:space="preserve"> rated the pain as “4/10 on most days”</w:t>
      </w:r>
      <w:r w:rsidR="00A10B6C">
        <w:rPr>
          <w:color w:val="000000"/>
        </w:rPr>
        <w:t xml:space="preserve">; </w:t>
      </w:r>
      <w:r w:rsidR="007340B1">
        <w:rPr>
          <w:color w:val="000000"/>
        </w:rPr>
        <w:t xml:space="preserve">stating that he was “unable to run at all, or engage in any impact type activities.”  The physical exam noted “mild valgus rotation” at the MTP joint with the right great toe not touching the ground with standing; stating that he “demonstrated incoordination, instability with right foot as he attempts to keep weight off of his great toe.”  The </w:t>
      </w:r>
      <w:r w:rsidR="00E41C21">
        <w:rPr>
          <w:color w:val="000000"/>
          <w:szCs w:val="24"/>
        </w:rPr>
        <w:t xml:space="preserve">VA </w:t>
      </w:r>
      <w:r w:rsidR="00E41C21" w:rsidRPr="00CF0280">
        <w:rPr>
          <w:color w:val="000000"/>
          <w:szCs w:val="24"/>
        </w:rPr>
        <w:t>Compensation and Pension (C&amp;P)</w:t>
      </w:r>
      <w:r w:rsidR="00E41C21">
        <w:rPr>
          <w:color w:val="000000"/>
          <w:szCs w:val="24"/>
        </w:rPr>
        <w:t xml:space="preserve"> </w:t>
      </w:r>
      <w:r w:rsidR="00E41C21" w:rsidRPr="00704463">
        <w:rPr>
          <w:color w:val="000000"/>
          <w:szCs w:val="24"/>
        </w:rPr>
        <w:t xml:space="preserve">exam </w:t>
      </w:r>
      <w:r w:rsidR="006A589C">
        <w:rPr>
          <w:color w:val="000000"/>
          <w:szCs w:val="24"/>
        </w:rPr>
        <w:t xml:space="preserve">performed </w:t>
      </w:r>
      <w:r w:rsidR="007340B1" w:rsidRPr="007340B1">
        <w:rPr>
          <w:color w:val="000000"/>
          <w:szCs w:val="24"/>
        </w:rPr>
        <w:t>10 weeks</w:t>
      </w:r>
      <w:r w:rsidR="00E41C21" w:rsidRPr="007340B1">
        <w:rPr>
          <w:color w:val="000000"/>
          <w:szCs w:val="24"/>
        </w:rPr>
        <w:t xml:space="preserve"> </w:t>
      </w:r>
      <w:r w:rsidR="006A589C">
        <w:rPr>
          <w:color w:val="000000"/>
          <w:szCs w:val="24"/>
        </w:rPr>
        <w:t xml:space="preserve">after </w:t>
      </w:r>
      <w:r w:rsidR="00E41C21" w:rsidRPr="00704463">
        <w:rPr>
          <w:color w:val="000000"/>
          <w:szCs w:val="24"/>
        </w:rPr>
        <w:t>separation</w:t>
      </w:r>
      <w:r w:rsidR="00E41C21">
        <w:rPr>
          <w:color w:val="000000"/>
          <w:szCs w:val="24"/>
        </w:rPr>
        <w:t xml:space="preserve"> </w:t>
      </w:r>
      <w:r w:rsidR="007340B1">
        <w:rPr>
          <w:color w:val="000000"/>
          <w:szCs w:val="24"/>
        </w:rPr>
        <w:t>noted pain localized to the MTP joint starting “after no more than 10 minutes of walking or standing</w:t>
      </w:r>
      <w:r w:rsidR="00C17AD8">
        <w:rPr>
          <w:color w:val="000000"/>
          <w:szCs w:val="24"/>
        </w:rPr>
        <w:t>;</w:t>
      </w:r>
      <w:r w:rsidR="007340B1">
        <w:rPr>
          <w:color w:val="000000"/>
          <w:szCs w:val="24"/>
        </w:rPr>
        <w:t>”</w:t>
      </w:r>
      <w:r w:rsidR="002F5969">
        <w:rPr>
          <w:color w:val="000000"/>
          <w:szCs w:val="24"/>
        </w:rPr>
        <w:t xml:space="preserve"> stating further that, “His overall gait has changed as a result and he tends to roll onto the outside of his foot during the painful phases.”  The VA physical exam noted a tender surgical scar over the MTP with no comment on deformity, and commented that “he took normal size steps and did not appear to limp</w:t>
      </w:r>
      <w:r w:rsidR="00C17AD8">
        <w:rPr>
          <w:color w:val="000000"/>
          <w:szCs w:val="24"/>
        </w:rPr>
        <w:t>.</w:t>
      </w:r>
      <w:r w:rsidR="002F5969">
        <w:rPr>
          <w:color w:val="000000"/>
          <w:szCs w:val="24"/>
        </w:rPr>
        <w:t>”  Ankle range</w:t>
      </w:r>
      <w:r w:rsidR="006A589C">
        <w:rPr>
          <w:color w:val="000000"/>
          <w:szCs w:val="24"/>
        </w:rPr>
        <w:t>-</w:t>
      </w:r>
      <w:r w:rsidR="002F5969">
        <w:rPr>
          <w:color w:val="000000"/>
          <w:szCs w:val="24"/>
        </w:rPr>
        <w:t>of</w:t>
      </w:r>
      <w:r w:rsidR="006A589C">
        <w:rPr>
          <w:color w:val="000000"/>
          <w:szCs w:val="24"/>
        </w:rPr>
        <w:t>-</w:t>
      </w:r>
      <w:r w:rsidR="002F5969">
        <w:rPr>
          <w:color w:val="000000"/>
          <w:szCs w:val="24"/>
        </w:rPr>
        <w:t xml:space="preserve">motion </w:t>
      </w:r>
      <w:r w:rsidR="00E0698A">
        <w:rPr>
          <w:color w:val="000000"/>
          <w:szCs w:val="24"/>
        </w:rPr>
        <w:t xml:space="preserve">(ROM) </w:t>
      </w:r>
      <w:r w:rsidR="002F5969">
        <w:rPr>
          <w:color w:val="000000"/>
          <w:szCs w:val="24"/>
        </w:rPr>
        <w:t xml:space="preserve">was normal.  </w:t>
      </w:r>
    </w:p>
    <w:p w:rsidR="002F5969" w:rsidRDefault="002F5969" w:rsidP="00E41C21">
      <w:pPr>
        <w:jc w:val="both"/>
        <w:rPr>
          <w:color w:val="000000"/>
          <w:szCs w:val="24"/>
        </w:rPr>
      </w:pPr>
    </w:p>
    <w:p w:rsidR="00E41C21" w:rsidRPr="00972FE6" w:rsidRDefault="002F5969" w:rsidP="00972FE6">
      <w:pPr>
        <w:tabs>
          <w:tab w:val="left" w:pos="288"/>
          <w:tab w:val="left" w:pos="4752"/>
        </w:tabs>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The PEB applied code 5281 (hallux rigidus)</w:t>
      </w:r>
      <w:r w:rsidR="000E1B2D">
        <w:rPr>
          <w:rFonts w:cs="Times New Roman"/>
          <w:color w:val="auto"/>
        </w:rPr>
        <w:t>,</w:t>
      </w:r>
      <w:r>
        <w:rPr>
          <w:rFonts w:cs="Times New Roman"/>
          <w:color w:val="auto"/>
        </w:rPr>
        <w:t xml:space="preserve"> which yields a maximum rating of 10% and is a good clinical fit with the pathology.  The VA applied the hyphenated code 5278 (claw foot) rated as 5284 (foot injuries, other).  The latter rates ‘</w:t>
      </w:r>
      <w:r w:rsidR="000E1B2D">
        <w:rPr>
          <w:rFonts w:cs="Times New Roman"/>
          <w:color w:val="auto"/>
        </w:rPr>
        <w:t>moderately severe’ disability at</w:t>
      </w:r>
      <w:r>
        <w:rPr>
          <w:rFonts w:cs="Times New Roman"/>
          <w:color w:val="auto"/>
        </w:rPr>
        <w:t xml:space="preserve"> </w:t>
      </w:r>
      <w:r w:rsidR="00A34123">
        <w:rPr>
          <w:rFonts w:cs="Times New Roman"/>
          <w:color w:val="auto"/>
        </w:rPr>
        <w:t>20%</w:t>
      </w:r>
      <w:r w:rsidR="00972FE6">
        <w:rPr>
          <w:rFonts w:cs="Times New Roman"/>
          <w:color w:val="auto"/>
        </w:rPr>
        <w:t xml:space="preserve"> and even the 10% rating under 5278 requires “some limitation of dorsiflexion” at the ankle which was not present.  Although 5284 is generically applicable to the clinical pathology and ‘moderately severe’ is not an unreasonable characterization of the fairly significant disability described by both the MEB and VA examiners, the Board considered that the foot pathology was confined specifically to the great toe (hallux) and contiguous joint (MTP).  This localization brings into play VASRD </w:t>
      </w:r>
      <w:r w:rsidR="00972FE6" w:rsidRPr="00972FE6">
        <w:rPr>
          <w:rFonts w:cs="Times New Roman"/>
          <w:color w:val="auto"/>
        </w:rPr>
        <w:t>§4.68 (amputation rule)</w:t>
      </w:r>
      <w:r w:rsidR="00972FE6">
        <w:rPr>
          <w:rFonts w:cs="Times New Roman"/>
          <w:color w:val="auto"/>
        </w:rPr>
        <w:t>; and, amputation of the great toe (metatarsal</w:t>
      </w:r>
      <w:r w:rsidR="000E1B2D">
        <w:rPr>
          <w:rFonts w:cs="Times New Roman"/>
          <w:color w:val="auto"/>
        </w:rPr>
        <w:t xml:space="preserve"> </w:t>
      </w:r>
      <w:r w:rsidR="002977DF">
        <w:rPr>
          <w:rFonts w:cs="Times New Roman"/>
          <w:color w:val="auto"/>
        </w:rPr>
        <w:t xml:space="preserve">head </w:t>
      </w:r>
      <w:r w:rsidR="000E1B2D">
        <w:rPr>
          <w:rFonts w:cs="Times New Roman"/>
          <w:color w:val="auto"/>
        </w:rPr>
        <w:t>intact</w:t>
      </w:r>
      <w:r w:rsidR="00972FE6">
        <w:rPr>
          <w:rFonts w:cs="Times New Roman"/>
          <w:color w:val="auto"/>
        </w:rPr>
        <w:t>) is rated 10% under code 5171.  Members agreed, therefore, that §4.</w:t>
      </w:r>
      <w:r w:rsidR="00456A1D">
        <w:rPr>
          <w:rFonts w:cs="Times New Roman"/>
          <w:color w:val="auto"/>
        </w:rPr>
        <w:t xml:space="preserve">68 </w:t>
      </w:r>
      <w:r w:rsidR="00972FE6">
        <w:rPr>
          <w:rFonts w:cs="Times New Roman"/>
          <w:color w:val="auto"/>
        </w:rPr>
        <w:t xml:space="preserve">does not offer the latitude in this case for a rating higher than 10%.  </w:t>
      </w:r>
      <w:r w:rsidR="00E41C21"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E41C21">
        <w:rPr>
          <w:rFonts w:eastAsia="Calibri" w:cs="Times New Roman"/>
          <w:color w:val="auto"/>
          <w:szCs w:val="24"/>
        </w:rPr>
        <w:t>of</w:t>
      </w:r>
      <w:r w:rsidR="00E41C21" w:rsidRPr="00626902">
        <w:rPr>
          <w:rFonts w:eastAsia="Calibri" w:cs="Times New Roman"/>
          <w:color w:val="auto"/>
          <w:szCs w:val="24"/>
        </w:rPr>
        <w:t xml:space="preserve"> the </w:t>
      </w:r>
      <w:r w:rsidR="00456A1D">
        <w:rPr>
          <w:rFonts w:eastAsia="Calibri" w:cs="Times New Roman"/>
          <w:color w:val="auto"/>
          <w:szCs w:val="24"/>
        </w:rPr>
        <w:t>right great toe</w:t>
      </w:r>
      <w:r w:rsidR="00E41C21" w:rsidRPr="00626902">
        <w:rPr>
          <w:rFonts w:eastAsia="Calibri" w:cs="Times New Roman"/>
          <w:color w:val="auto"/>
          <w:szCs w:val="24"/>
        </w:rPr>
        <w:t xml:space="preserve"> condition.</w:t>
      </w:r>
      <w:r w:rsidR="00456A1D">
        <w:rPr>
          <w:rFonts w:eastAsia="Calibri" w:cs="Times New Roman"/>
          <w:color w:val="auto"/>
          <w:szCs w:val="24"/>
        </w:rPr>
        <w:t xml:space="preserve">  </w:t>
      </w:r>
    </w:p>
    <w:p w:rsidR="00E41C21" w:rsidRDefault="00E41C21" w:rsidP="00E41C21">
      <w:pPr>
        <w:tabs>
          <w:tab w:val="left" w:pos="288"/>
          <w:tab w:val="left" w:pos="4752"/>
        </w:tabs>
        <w:jc w:val="left"/>
        <w:rPr>
          <w:rFonts w:cs="Times New Roman"/>
          <w:color w:val="auto"/>
          <w:highlight w:val="magenta"/>
        </w:rPr>
      </w:pPr>
    </w:p>
    <w:p w:rsidR="00E41C21" w:rsidRDefault="00E41C21" w:rsidP="00E41C21">
      <w:pPr>
        <w:jc w:val="both"/>
        <w:rPr>
          <w:rFonts w:eastAsia="Calibri" w:cs="Times New Roman"/>
          <w:color w:val="auto"/>
          <w:szCs w:val="24"/>
        </w:rPr>
      </w:pPr>
      <w:r w:rsidRPr="00792790">
        <w:rPr>
          <w:rFonts w:eastAsia="Calibri" w:cs="Times New Roman"/>
          <w:color w:val="auto"/>
          <w:szCs w:val="24"/>
          <w:u w:val="single"/>
        </w:rPr>
        <w:t xml:space="preserve">Contended </w:t>
      </w:r>
      <w:r w:rsidR="00456A1D">
        <w:rPr>
          <w:rFonts w:eastAsia="Calibri" w:cs="Times New Roman"/>
          <w:color w:val="auto"/>
          <w:szCs w:val="24"/>
          <w:u w:val="single"/>
        </w:rPr>
        <w:t>Right Knee</w:t>
      </w:r>
      <w:r w:rsidRPr="00792790">
        <w:rPr>
          <w:rFonts w:eastAsia="Calibri" w:cs="Times New Roman"/>
          <w:color w:val="auto"/>
          <w:szCs w:val="24"/>
          <w:u w:val="single"/>
        </w:rPr>
        <w:t xml:space="preserve"> Condition</w:t>
      </w:r>
      <w:r>
        <w:rPr>
          <w:rFonts w:eastAsia="Calibri" w:cs="Times New Roman"/>
          <w:color w:val="auto"/>
          <w:szCs w:val="24"/>
        </w:rPr>
        <w:t xml:space="preserve">.  </w:t>
      </w:r>
      <w:r w:rsidR="00E0698A">
        <w:rPr>
          <w:rFonts w:eastAsia="Calibri" w:cs="Times New Roman"/>
          <w:color w:val="auto"/>
          <w:szCs w:val="24"/>
        </w:rPr>
        <w:t>The knee was injured in the same accident as the toe fracture, and was associated with persistent joint pain.  Various ancillary studies eventually yielded a diagnosis of bone contusion.  There was no ligamental or meniscal injury</w:t>
      </w:r>
      <w:r w:rsidR="000E1B2D">
        <w:rPr>
          <w:rFonts w:eastAsia="Calibri" w:cs="Times New Roman"/>
          <w:color w:val="auto"/>
          <w:szCs w:val="24"/>
        </w:rPr>
        <w:t xml:space="preserve"> by imaging</w:t>
      </w:r>
      <w:r w:rsidR="00E0698A">
        <w:rPr>
          <w:rFonts w:eastAsia="Calibri" w:cs="Times New Roman"/>
          <w:color w:val="auto"/>
          <w:szCs w:val="24"/>
        </w:rPr>
        <w:t xml:space="preserve">.  </w:t>
      </w:r>
      <w:r w:rsidR="003D3AFA">
        <w:rPr>
          <w:rFonts w:eastAsia="Calibri" w:cs="Times New Roman"/>
          <w:color w:val="auto"/>
          <w:szCs w:val="24"/>
        </w:rPr>
        <w:t>The NARSUM stated that “right knee pain is negligible on most days unless exacerbated by activity.”  The post-separation C&amp;P examiner stated, “The knee tends to swell since that incident [parachute injury], but otherwise patient has no problems or functional limitations in his everyday life.”  Both the MEB and VA physical exam noted a stable joint with normal ROM.  The VA did not</w:t>
      </w:r>
      <w:r w:rsidR="006A589C">
        <w:rPr>
          <w:rFonts w:eastAsia="Calibri" w:cs="Times New Roman"/>
          <w:color w:val="auto"/>
          <w:szCs w:val="24"/>
        </w:rPr>
        <w:t>e</w:t>
      </w:r>
      <w:r w:rsidR="003D3AFA">
        <w:rPr>
          <w:rFonts w:eastAsia="Calibri" w:cs="Times New Roman"/>
          <w:color w:val="auto"/>
          <w:szCs w:val="24"/>
        </w:rPr>
        <w:t xml:space="preserve"> service</w:t>
      </w:r>
      <w:r w:rsidR="006A589C">
        <w:rPr>
          <w:rFonts w:eastAsia="Calibri" w:cs="Times New Roman"/>
          <w:color w:val="auto"/>
          <w:szCs w:val="24"/>
        </w:rPr>
        <w:t>-</w:t>
      </w:r>
      <w:r w:rsidR="003D3AFA">
        <w:rPr>
          <w:rFonts w:eastAsia="Calibri" w:cs="Times New Roman"/>
          <w:color w:val="auto"/>
          <w:szCs w:val="24"/>
        </w:rPr>
        <w:t xml:space="preserve">connect the condition because of the absence of any diagnostic findings.  </w:t>
      </w:r>
      <w:r w:rsidRPr="009A1F3B">
        <w:rPr>
          <w:rFonts w:eastAsia="Calibri" w:cs="Times New Roman"/>
          <w:color w:val="auto"/>
          <w:szCs w:val="24"/>
        </w:rPr>
        <w:t>The</w:t>
      </w:r>
      <w:r w:rsidRPr="00F74399">
        <w:rPr>
          <w:rFonts w:eastAsia="Calibri" w:cs="Times New Roman"/>
          <w:color w:val="auto"/>
          <w:szCs w:val="24"/>
        </w:rPr>
        <w:t xml:space="preserve"> Board’s main charge with respect to </w:t>
      </w:r>
      <w:r>
        <w:rPr>
          <w:rFonts w:eastAsia="Calibri" w:cs="Times New Roman"/>
          <w:color w:val="auto"/>
          <w:szCs w:val="24"/>
        </w:rPr>
        <w:t>this condition</w:t>
      </w:r>
      <w:r w:rsidRPr="00F74399">
        <w:rPr>
          <w:rFonts w:eastAsia="Calibri" w:cs="Times New Roman"/>
          <w:color w:val="auto"/>
          <w:szCs w:val="24"/>
        </w:rPr>
        <w:t xml:space="preserve"> is an assessment of the fairness of the </w:t>
      </w:r>
      <w:r>
        <w:rPr>
          <w:rFonts w:eastAsia="Calibri" w:cs="Times New Roman"/>
          <w:color w:val="auto"/>
          <w:szCs w:val="24"/>
        </w:rPr>
        <w:t xml:space="preserve">PEB’s </w:t>
      </w:r>
      <w:r w:rsidRPr="00F74399">
        <w:rPr>
          <w:rFonts w:eastAsia="Calibri" w:cs="Times New Roman"/>
          <w:color w:val="auto"/>
          <w:szCs w:val="24"/>
        </w:rPr>
        <w:t xml:space="preserve">determination that </w:t>
      </w:r>
      <w:r>
        <w:rPr>
          <w:rFonts w:eastAsia="Calibri" w:cs="Times New Roman"/>
          <w:color w:val="auto"/>
          <w:szCs w:val="24"/>
        </w:rPr>
        <w:t>it was</w:t>
      </w:r>
      <w:r w:rsidRPr="00F74399">
        <w:rPr>
          <w:rFonts w:eastAsia="Calibri" w:cs="Times New Roman"/>
          <w:color w:val="auto"/>
          <w:szCs w:val="24"/>
        </w:rPr>
        <w:t xml:space="preserve"> not unfitting.  The Board’s threshold for countering fitness determinations is higher than the VASRD §4.3 (reasonable doubt) standard used for its rating recommendations, but remains adherent to the DoDI 6040.44 “fair and equitable” standard.</w:t>
      </w:r>
      <w:r>
        <w:rPr>
          <w:rFonts w:eastAsia="Calibri" w:cs="Times New Roman"/>
          <w:color w:val="auto"/>
          <w:szCs w:val="24"/>
        </w:rPr>
        <w:t xml:space="preserve"> </w:t>
      </w:r>
      <w:r w:rsidR="00901EB6">
        <w:rPr>
          <w:rFonts w:eastAsia="Calibri" w:cs="Times New Roman"/>
          <w:color w:val="auto"/>
          <w:szCs w:val="24"/>
        </w:rPr>
        <w:t xml:space="preserve"> The condition was never profiled and it was judged to meet retention standards by the MEB examiner.  It was mentioned in the commander’s statement (which recommended MOS reclassification), but no limitations specific to the knee were elaborated.  </w:t>
      </w:r>
      <w:r w:rsidRPr="001F29F9">
        <w:rPr>
          <w:color w:val="000000"/>
        </w:rPr>
        <w:t xml:space="preserve">There was no </w:t>
      </w:r>
      <w:r>
        <w:rPr>
          <w:color w:val="000000"/>
        </w:rPr>
        <w:t>performance based evidence</w:t>
      </w:r>
      <w:r w:rsidRPr="001F29F9">
        <w:rPr>
          <w:color w:val="000000"/>
        </w:rPr>
        <w:t xml:space="preserve"> from the record that </w:t>
      </w:r>
      <w:r>
        <w:rPr>
          <w:rFonts w:eastAsia="Calibri" w:cs="Times New Roman"/>
          <w:color w:val="auto"/>
          <w:szCs w:val="24"/>
        </w:rPr>
        <w:t xml:space="preserve">the condition </w:t>
      </w:r>
      <w:r w:rsidRPr="001F29F9">
        <w:rPr>
          <w:color w:val="000000"/>
        </w:rPr>
        <w:t xml:space="preserve">interfered with </w:t>
      </w:r>
      <w:r w:rsidRPr="001F29F9">
        <w:rPr>
          <w:color w:val="000000"/>
        </w:rPr>
        <w:lastRenderedPageBreak/>
        <w:t>satisfactory duty performance</w:t>
      </w:r>
      <w:r w:rsidR="00901EB6">
        <w:rPr>
          <w:color w:val="000000"/>
        </w:rPr>
        <w:t xml:space="preserve"> to the extent that it would have independently prevented continuance of service in the MOS</w:t>
      </w:r>
      <w:r>
        <w:rPr>
          <w:color w:val="000000"/>
        </w:rPr>
        <w:t xml:space="preserv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901EB6">
        <w:rPr>
          <w:rFonts w:eastAsia="Calibri" w:cs="Times New Roman"/>
          <w:color w:val="auto"/>
          <w:szCs w:val="24"/>
        </w:rPr>
        <w:t>right knee</w:t>
      </w:r>
      <w:r>
        <w:rPr>
          <w:rFonts w:eastAsia="Calibri" w:cs="Times New Roman"/>
          <w:color w:val="auto"/>
          <w:szCs w:val="24"/>
        </w:rPr>
        <w:t xml:space="preserve"> condition</w:t>
      </w:r>
      <w:r w:rsidRPr="00792790">
        <w:rPr>
          <w:rFonts w:eastAsia="Calibri" w:cs="Times New Roman"/>
          <w:color w:val="auto"/>
          <w:szCs w:val="24"/>
        </w:rPr>
        <w:t xml:space="preserve">; </w:t>
      </w:r>
      <w:r>
        <w:rPr>
          <w:rFonts w:eastAsia="Calibri" w:cs="Times New Roman"/>
          <w:color w:val="auto"/>
          <w:szCs w:val="24"/>
        </w:rPr>
        <w:t>thus</w:t>
      </w:r>
      <w:r w:rsidRPr="00792790">
        <w:rPr>
          <w:rFonts w:eastAsia="Calibri" w:cs="Times New Roman"/>
          <w:color w:val="auto"/>
          <w:szCs w:val="24"/>
        </w:rPr>
        <w:t xml:space="preserve"> no additional disability rating can be recommended.</w:t>
      </w:r>
    </w:p>
    <w:p w:rsidR="006A589C" w:rsidRPr="009A7578" w:rsidRDefault="006A589C" w:rsidP="00E41C21">
      <w:pPr>
        <w:jc w:val="left"/>
        <w:rPr>
          <w:color w:val="000000"/>
          <w:highlight w:val="magenta"/>
        </w:rPr>
      </w:pPr>
    </w:p>
    <w:p w:rsidR="00E41C21" w:rsidRPr="00560F12" w:rsidRDefault="00E41C21" w:rsidP="00E41C21">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Pr>
          <w:rFonts w:cs="Times New Roman"/>
          <w:color w:val="auto"/>
        </w:rPr>
        <w:t xml:space="preserve"> </w:t>
      </w:r>
      <w:r w:rsidRPr="00D8352E">
        <w:rPr>
          <w:rFonts w:cs="Times New Roman"/>
          <w:color w:val="auto"/>
        </w:rPr>
        <w:t>The Board did not surmise from the record or PEB ruling in this case that any prerogatives outside the VASRD were exercised</w:t>
      </w:r>
      <w:r w:rsidRPr="00725D51">
        <w:rPr>
          <w:rFonts w:cs="Times New Roman"/>
          <w:color w:val="auto"/>
        </w:rPr>
        <w:t xml:space="preserve">.  </w:t>
      </w:r>
      <w:r w:rsidR="00901EB6" w:rsidRPr="00725D51">
        <w:rPr>
          <w:rFonts w:eastAsia="Calibri" w:cs="Times New Roman"/>
          <w:color w:val="auto"/>
          <w:szCs w:val="24"/>
        </w:rPr>
        <w:t>In the matter of the right great toe condition and IAW VASRD §4.71a, the Board unanimously recommends no change in the PEB adjudication.  In the matter of the right knee condition, the Board unanimously</w:t>
      </w:r>
      <w:r w:rsidR="00901EB6" w:rsidRPr="00901EB6">
        <w:rPr>
          <w:rFonts w:eastAsia="Calibri" w:cs="Times New Roman"/>
          <w:color w:val="auto"/>
          <w:szCs w:val="24"/>
        </w:rPr>
        <w:t xml:space="preserve"> reco</w:t>
      </w:r>
      <w:r w:rsidR="00901EB6" w:rsidRPr="00560F12">
        <w:rPr>
          <w:rFonts w:eastAsia="Calibri" w:cs="Times New Roman"/>
          <w:color w:val="auto"/>
          <w:szCs w:val="24"/>
        </w:rPr>
        <w:t xml:space="preserve">mmends no change from the PEB </w:t>
      </w:r>
      <w:r w:rsidR="00901EB6">
        <w:rPr>
          <w:rFonts w:eastAsia="Calibri" w:cs="Times New Roman"/>
          <w:color w:val="auto"/>
          <w:szCs w:val="24"/>
        </w:rPr>
        <w:t>determination</w:t>
      </w:r>
      <w:r w:rsidR="00901EB6" w:rsidRPr="00560F12">
        <w:rPr>
          <w:rFonts w:eastAsia="Calibri" w:cs="Times New Roman"/>
          <w:color w:val="auto"/>
          <w:szCs w:val="24"/>
        </w:rPr>
        <w:t xml:space="preserve"> as not unfitting.</w:t>
      </w:r>
      <w:r w:rsidR="00901EB6" w:rsidRPr="00901EB6">
        <w:rPr>
          <w:rFonts w:eastAsia="Calibri" w:cs="Times New Roman"/>
          <w:color w:val="auto"/>
          <w:szCs w:val="24"/>
        </w:rPr>
        <w:t xml:space="preserve"> </w:t>
      </w:r>
      <w:r w:rsidR="00901EB6">
        <w:rPr>
          <w:rFonts w:eastAsia="Calibri" w:cs="Times New Roman"/>
          <w:color w:val="auto"/>
          <w:szCs w:val="24"/>
        </w:rPr>
        <w:t xml:space="preserve"> </w:t>
      </w:r>
      <w:r w:rsidR="00901EB6" w:rsidRPr="003471C5">
        <w:rPr>
          <w:rFonts w:eastAsia="Calibri" w:cs="Times New Roman"/>
          <w:color w:val="auto"/>
          <w:szCs w:val="24"/>
        </w:rPr>
        <w:t>There were no other conditions within the Board’s scope of review for consideration.</w:t>
      </w:r>
      <w:r>
        <w:rPr>
          <w:rFonts w:eastAsia="Calibri" w:cs="Times New Roman"/>
          <w:color w:val="auto"/>
          <w:szCs w:val="24"/>
        </w:rPr>
        <w:tab/>
      </w:r>
    </w:p>
    <w:p w:rsidR="00E41C21" w:rsidRPr="009A7578" w:rsidRDefault="00E41C21" w:rsidP="00E41C21">
      <w:pPr>
        <w:pBdr>
          <w:bottom w:val="single" w:sz="12" w:space="1" w:color="auto"/>
        </w:pBdr>
        <w:tabs>
          <w:tab w:val="left" w:pos="288"/>
          <w:tab w:val="left" w:pos="4752"/>
        </w:tabs>
        <w:jc w:val="both"/>
        <w:rPr>
          <w:color w:val="000000"/>
          <w:highlight w:val="magenta"/>
        </w:rPr>
      </w:pPr>
    </w:p>
    <w:p w:rsidR="00E41C21" w:rsidRPr="009A7578" w:rsidRDefault="00E41C21" w:rsidP="00E41C21">
      <w:pPr>
        <w:jc w:val="left"/>
        <w:rPr>
          <w:color w:val="000000"/>
          <w:highlight w:val="magenta"/>
        </w:rPr>
      </w:pPr>
    </w:p>
    <w:p w:rsidR="00E41C21" w:rsidRDefault="00E41C21" w:rsidP="00E41C21">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E41C21" w:rsidRPr="001F29F9" w:rsidRDefault="00E41C21" w:rsidP="00E41C21">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E41C21" w:rsidRPr="000D5DBE" w:rsidTr="00D64A61">
        <w:trPr>
          <w:trHeight w:val="233"/>
          <w:jc w:val="center"/>
        </w:trPr>
        <w:tc>
          <w:tcPr>
            <w:tcW w:w="6768" w:type="dxa"/>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CONDITION</w:t>
            </w:r>
          </w:p>
        </w:tc>
        <w:tc>
          <w:tcPr>
            <w:tcW w:w="1530" w:type="dxa"/>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RATING</w:t>
            </w:r>
          </w:p>
        </w:tc>
      </w:tr>
      <w:tr w:rsidR="00E41C21" w:rsidRPr="000D5DBE" w:rsidTr="00D64A61">
        <w:trPr>
          <w:jc w:val="center"/>
        </w:trPr>
        <w:tc>
          <w:tcPr>
            <w:tcW w:w="6768" w:type="dxa"/>
            <w:vAlign w:val="center"/>
          </w:tcPr>
          <w:p w:rsidR="00E41C21" w:rsidRPr="000D5DBE" w:rsidRDefault="007443EA" w:rsidP="007443EA">
            <w:pPr>
              <w:tabs>
                <w:tab w:val="left" w:pos="288"/>
                <w:tab w:val="left" w:pos="4752"/>
              </w:tabs>
              <w:jc w:val="left"/>
              <w:rPr>
                <w:color w:val="000000"/>
              </w:rPr>
            </w:pPr>
            <w:r>
              <w:rPr>
                <w:color w:val="000000"/>
              </w:rPr>
              <w:t>Hallux Rigidus Secondary to Arthrodesis Right Great Toe</w:t>
            </w:r>
          </w:p>
        </w:tc>
        <w:tc>
          <w:tcPr>
            <w:tcW w:w="1530" w:type="dxa"/>
            <w:vAlign w:val="center"/>
          </w:tcPr>
          <w:p w:rsidR="00E41C21" w:rsidRPr="000D5DBE" w:rsidRDefault="007443EA" w:rsidP="00D64A61">
            <w:pPr>
              <w:tabs>
                <w:tab w:val="left" w:pos="288"/>
                <w:tab w:val="left" w:pos="4752"/>
              </w:tabs>
              <w:rPr>
                <w:color w:val="000000"/>
              </w:rPr>
            </w:pPr>
            <w:r>
              <w:rPr>
                <w:color w:val="000000"/>
              </w:rPr>
              <w:t>5003-5281</w:t>
            </w:r>
          </w:p>
        </w:tc>
        <w:tc>
          <w:tcPr>
            <w:tcW w:w="1026" w:type="dxa"/>
            <w:vAlign w:val="center"/>
          </w:tcPr>
          <w:p w:rsidR="00E41C21" w:rsidRPr="000D5DBE" w:rsidRDefault="007443EA" w:rsidP="00D64A61">
            <w:pPr>
              <w:tabs>
                <w:tab w:val="left" w:pos="288"/>
                <w:tab w:val="left" w:pos="4752"/>
              </w:tabs>
              <w:rPr>
                <w:color w:val="000000"/>
              </w:rPr>
            </w:pPr>
            <w:r>
              <w:rPr>
                <w:color w:val="000000"/>
              </w:rPr>
              <w:t>1</w:t>
            </w:r>
            <w:r w:rsidR="00E41C21" w:rsidRPr="000D5DBE">
              <w:rPr>
                <w:color w:val="000000"/>
              </w:rPr>
              <w:t>0%</w:t>
            </w:r>
          </w:p>
        </w:tc>
      </w:tr>
      <w:tr w:rsidR="007443EA" w:rsidRPr="000D5DBE" w:rsidTr="00CE5AF1">
        <w:trPr>
          <w:jc w:val="center"/>
        </w:trPr>
        <w:tc>
          <w:tcPr>
            <w:tcW w:w="6768" w:type="dxa"/>
            <w:vAlign w:val="center"/>
          </w:tcPr>
          <w:p w:rsidR="007443EA" w:rsidRDefault="007443EA" w:rsidP="007443EA">
            <w:pPr>
              <w:tabs>
                <w:tab w:val="left" w:pos="288"/>
                <w:tab w:val="left" w:pos="4752"/>
              </w:tabs>
              <w:jc w:val="left"/>
              <w:rPr>
                <w:color w:val="000000"/>
              </w:rPr>
            </w:pPr>
            <w:r>
              <w:rPr>
                <w:color w:val="000000"/>
              </w:rPr>
              <w:t>Chronic Pain Secondary to Bone Contusion, Right Knee</w:t>
            </w:r>
          </w:p>
        </w:tc>
        <w:tc>
          <w:tcPr>
            <w:tcW w:w="2556" w:type="dxa"/>
            <w:gridSpan w:val="2"/>
            <w:vAlign w:val="center"/>
          </w:tcPr>
          <w:p w:rsidR="007443EA" w:rsidRDefault="007443EA" w:rsidP="00D64A61">
            <w:pPr>
              <w:tabs>
                <w:tab w:val="left" w:pos="288"/>
                <w:tab w:val="left" w:pos="4752"/>
              </w:tabs>
              <w:rPr>
                <w:color w:val="000000"/>
              </w:rPr>
            </w:pPr>
            <w:r>
              <w:rPr>
                <w:color w:val="000000"/>
              </w:rPr>
              <w:t>Not Unfitting</w:t>
            </w:r>
          </w:p>
        </w:tc>
      </w:tr>
      <w:tr w:rsidR="00E41C21" w:rsidRPr="000D5DBE" w:rsidTr="00D64A61">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E41C21" w:rsidRPr="000D5DBE" w:rsidRDefault="00E41C21" w:rsidP="00D64A61">
            <w:pPr>
              <w:tabs>
                <w:tab w:val="left" w:pos="288"/>
                <w:tab w:val="left" w:pos="4752"/>
              </w:tabs>
              <w:rPr>
                <w:b/>
                <w:color w:val="000000"/>
              </w:rPr>
            </w:pPr>
            <w:r w:rsidRPr="000D5DBE">
              <w:rPr>
                <w:b/>
                <w:color w:val="000000"/>
              </w:rPr>
              <w:t>COMBINED</w:t>
            </w:r>
          </w:p>
        </w:tc>
        <w:tc>
          <w:tcPr>
            <w:tcW w:w="1026" w:type="dxa"/>
            <w:shd w:val="clear" w:color="auto" w:fill="D9D9D9"/>
            <w:vAlign w:val="center"/>
          </w:tcPr>
          <w:p w:rsidR="00E41C21" w:rsidRPr="000D5DBE" w:rsidRDefault="007443EA" w:rsidP="00D64A61">
            <w:pPr>
              <w:tabs>
                <w:tab w:val="left" w:pos="288"/>
                <w:tab w:val="left" w:pos="4752"/>
              </w:tabs>
              <w:rPr>
                <w:b/>
                <w:color w:val="000000"/>
              </w:rPr>
            </w:pPr>
            <w:r>
              <w:rPr>
                <w:b/>
                <w:color w:val="000000"/>
              </w:rPr>
              <w:t>1</w:t>
            </w:r>
            <w:r w:rsidR="00E41C21" w:rsidRPr="000D5DBE">
              <w:rPr>
                <w:b/>
                <w:color w:val="000000"/>
              </w:rPr>
              <w:t>0%</w:t>
            </w:r>
          </w:p>
        </w:tc>
      </w:tr>
    </w:tbl>
    <w:p w:rsidR="00E41C21" w:rsidRPr="001F29F9" w:rsidRDefault="00E41C21" w:rsidP="00E41C21">
      <w:pPr>
        <w:pBdr>
          <w:bottom w:val="single" w:sz="12" w:space="1" w:color="auto"/>
        </w:pBdr>
        <w:tabs>
          <w:tab w:val="left" w:pos="288"/>
          <w:tab w:val="left" w:pos="4752"/>
        </w:tabs>
        <w:jc w:val="both"/>
        <w:rPr>
          <w:color w:val="000000"/>
        </w:rPr>
      </w:pPr>
    </w:p>
    <w:p w:rsidR="00E41C21" w:rsidRPr="001F29F9" w:rsidRDefault="00E41C21" w:rsidP="00E41C21">
      <w:pPr>
        <w:rPr>
          <w:color w:val="000000"/>
        </w:rPr>
      </w:pPr>
    </w:p>
    <w:p w:rsidR="00E41C21" w:rsidRDefault="00E41C21" w:rsidP="00E41C21">
      <w:pPr>
        <w:tabs>
          <w:tab w:val="left" w:pos="288"/>
          <w:tab w:val="left" w:pos="4752"/>
        </w:tabs>
        <w:jc w:val="both"/>
        <w:rPr>
          <w:color w:val="000000"/>
        </w:rPr>
      </w:pPr>
      <w:r w:rsidRPr="001F29F9">
        <w:rPr>
          <w:color w:val="000000"/>
        </w:rPr>
        <w:t>The following documentary evidence was considered: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r w:rsidRPr="001F29F9">
        <w:rPr>
          <w:color w:val="000000"/>
        </w:rPr>
        <w:t xml:space="preserve">Exhibit A.  DD Form 294, dated </w:t>
      </w:r>
      <w:r w:rsidR="005E2F89" w:rsidRPr="00FF513C">
        <w:rPr>
          <w:color w:val="auto"/>
        </w:rPr>
        <w:t>20120307</w:t>
      </w:r>
      <w:r w:rsidRPr="001F29F9">
        <w:rPr>
          <w:color w:val="000000"/>
        </w:rPr>
        <w:t>, w/atchs.</w:t>
      </w:r>
    </w:p>
    <w:p w:rsidR="00E41C21" w:rsidRPr="001F29F9" w:rsidRDefault="00E41C21" w:rsidP="00E41C21">
      <w:pPr>
        <w:tabs>
          <w:tab w:val="left" w:pos="288"/>
          <w:tab w:val="left" w:pos="4752"/>
        </w:tabs>
        <w:jc w:val="both"/>
        <w:rPr>
          <w:color w:val="000000"/>
        </w:rPr>
      </w:pPr>
      <w:r w:rsidRPr="001F29F9">
        <w:rPr>
          <w:color w:val="000000"/>
        </w:rPr>
        <w:t>Exhibit B.  Service Treatment Record.</w:t>
      </w:r>
    </w:p>
    <w:p w:rsidR="00E41C21" w:rsidRPr="001F29F9" w:rsidRDefault="00E41C21" w:rsidP="00E41C21">
      <w:pPr>
        <w:tabs>
          <w:tab w:val="left" w:pos="288"/>
          <w:tab w:val="left" w:pos="4752"/>
        </w:tabs>
        <w:jc w:val="both"/>
        <w:rPr>
          <w:color w:val="000000"/>
        </w:rPr>
      </w:pPr>
      <w:r w:rsidRPr="001F29F9">
        <w:rPr>
          <w:color w:val="000000"/>
        </w:rPr>
        <w:t>Exhibit C.  Department of Veterans</w:t>
      </w:r>
      <w:r w:rsidR="00C17AD8">
        <w:rPr>
          <w:color w:val="000000"/>
        </w:rPr>
        <w:t>’</w:t>
      </w:r>
      <w:r w:rsidRPr="001F29F9">
        <w:rPr>
          <w:color w:val="000000"/>
        </w:rPr>
        <w:t xml:space="preserve"> Affairs Treatment Record.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0"/>
          <w:tab w:val="left" w:pos="4320"/>
        </w:tabs>
        <w:jc w:val="both"/>
        <w:rPr>
          <w:color w:val="000000"/>
        </w:rPr>
      </w:pPr>
      <w:r w:rsidRPr="001F29F9">
        <w:rPr>
          <w:color w:val="000000"/>
        </w:rPr>
        <w:tab/>
        <w:t xml:space="preserve">           </w:t>
      </w:r>
      <w:r w:rsidR="00F50484">
        <w:rPr>
          <w:color w:val="000000"/>
        </w:rPr>
        <w:t>XXXXXXXXXXXXXXXXXXXX</w:t>
      </w:r>
    </w:p>
    <w:p w:rsidR="00E41C21" w:rsidRPr="001F29F9" w:rsidRDefault="00E41C21" w:rsidP="00E41C21">
      <w:pPr>
        <w:tabs>
          <w:tab w:val="left" w:pos="0"/>
          <w:tab w:val="left" w:pos="4320"/>
        </w:tabs>
        <w:jc w:val="both"/>
        <w:rPr>
          <w:color w:val="000000"/>
        </w:rPr>
      </w:pPr>
      <w:r w:rsidRPr="001F29F9">
        <w:rPr>
          <w:color w:val="000000"/>
        </w:rPr>
        <w:tab/>
        <w:t xml:space="preserve">           President</w:t>
      </w:r>
    </w:p>
    <w:p w:rsidR="00990EAF" w:rsidRPr="00990EAF" w:rsidRDefault="00E41C21" w:rsidP="00CA26A5">
      <w:pPr>
        <w:tabs>
          <w:tab w:val="left" w:pos="0"/>
          <w:tab w:val="left" w:pos="4320"/>
        </w:tabs>
        <w:jc w:val="both"/>
        <w:rPr>
          <w:rFonts w:ascii="Janson Text" w:hAnsi="Janson Text" w:cs="Times New Roman"/>
          <w:color w:val="auto"/>
          <w:szCs w:val="24"/>
        </w:rPr>
      </w:pPr>
      <w:r w:rsidRPr="001F29F9">
        <w:rPr>
          <w:color w:val="000000"/>
        </w:rPr>
        <w:tab/>
        <w:t xml:space="preserve">           Physical Disability Board of Review</w:t>
      </w:r>
    </w:p>
    <w:p w:rsidR="00F50484" w:rsidRDefault="00F50484" w:rsidP="00990EAF">
      <w:pPr>
        <w:jc w:val="both"/>
        <w:rPr>
          <w:rFonts w:eastAsia="Calibri" w:cs="Times New Roman"/>
          <w:color w:val="auto"/>
          <w:szCs w:val="24"/>
        </w:rPr>
      </w:pPr>
    </w:p>
    <w:p w:rsidR="00F50484" w:rsidRDefault="00F50484">
      <w:pPr>
        <w:spacing w:line="240" w:lineRule="auto"/>
        <w:jc w:val="left"/>
        <w:rPr>
          <w:rFonts w:eastAsia="Calibri" w:cs="Times New Roman"/>
          <w:color w:val="auto"/>
          <w:szCs w:val="24"/>
        </w:rPr>
      </w:pPr>
      <w:r>
        <w:rPr>
          <w:rFonts w:eastAsia="Calibri" w:cs="Times New Roman"/>
          <w:color w:val="auto"/>
          <w:szCs w:val="24"/>
        </w:rPr>
        <w:br w:type="page"/>
      </w:r>
    </w:p>
    <w:p w:rsidR="00F50484" w:rsidRDefault="00F50484" w:rsidP="00F50484">
      <w:pPr>
        <w:sectPr w:rsidR="00F50484">
          <w:pgSz w:w="12240" w:h="15840"/>
          <w:pgMar w:top="2160" w:right="1440" w:bottom="1440" w:left="1440" w:header="720" w:footer="720" w:gutter="0"/>
          <w:cols w:space="720"/>
        </w:sectPr>
      </w:pPr>
    </w:p>
    <w:p w:rsidR="00F50484" w:rsidRDefault="00F50484" w:rsidP="00F50484">
      <w:pPr>
        <w:pStyle w:val="Header"/>
        <w:tabs>
          <w:tab w:val="left" w:pos="720"/>
        </w:tabs>
        <w:jc w:val="left"/>
      </w:pPr>
      <w:r>
        <w:lastRenderedPageBreak/>
        <w:t>SFMR-RB</w:t>
      </w:r>
      <w:r>
        <w:tab/>
      </w:r>
      <w:r>
        <w:tab/>
      </w:r>
      <w:r>
        <w:tab/>
      </w:r>
      <w:r>
        <w:tab/>
      </w:r>
      <w:r>
        <w:tab/>
      </w:r>
      <w:r>
        <w:tab/>
      </w:r>
      <w:r>
        <w:tab/>
      </w:r>
      <w:r>
        <w:tab/>
      </w:r>
      <w:r>
        <w:tab/>
      </w:r>
    </w:p>
    <w:p w:rsidR="00F50484" w:rsidRDefault="00F50484" w:rsidP="00F50484">
      <w:pPr>
        <w:pStyle w:val="Header"/>
        <w:tabs>
          <w:tab w:val="left" w:pos="720"/>
        </w:tabs>
        <w:jc w:val="left"/>
      </w:pPr>
    </w:p>
    <w:p w:rsidR="00F50484" w:rsidRDefault="00F50484" w:rsidP="00F50484">
      <w:pPr>
        <w:jc w:val="left"/>
      </w:pPr>
    </w:p>
    <w:p w:rsidR="00F50484" w:rsidRDefault="00F50484" w:rsidP="00F50484">
      <w:pPr>
        <w:jc w:val="left"/>
      </w:pPr>
      <w:r>
        <w:t xml:space="preserve">MEMORANDUM FOR Commander, US Army Physical Disability Agency </w:t>
      </w:r>
    </w:p>
    <w:p w:rsidR="00F50484" w:rsidRDefault="00F50484" w:rsidP="00F50484">
      <w:pPr>
        <w:jc w:val="left"/>
      </w:pPr>
      <w:r>
        <w:t xml:space="preserve">(TAPD-ZB </w:t>
      </w:r>
      <w:proofErr w:type="gramStart"/>
      <w:r>
        <w:t>/  )</w:t>
      </w:r>
      <w:proofErr w:type="gramEnd"/>
      <w:r>
        <w:t>, 2900 Crystal Drive, Suite 300, Arlington, VA  22202-3557</w:t>
      </w:r>
    </w:p>
    <w:p w:rsidR="00F50484" w:rsidRDefault="00F50484" w:rsidP="00F50484">
      <w:pPr>
        <w:jc w:val="left"/>
      </w:pPr>
    </w:p>
    <w:p w:rsidR="00F50484" w:rsidRDefault="00F50484" w:rsidP="00F50484">
      <w:pPr>
        <w:ind w:right="-180"/>
        <w:jc w:val="left"/>
      </w:pPr>
      <w:r>
        <w:t>SUBJECT:  Department of Defense Physical Disability Board of Review Recommendation for XXXXXXXXXXXXXXXXXXXXXXX, AR20120020025 (PD201200295)</w:t>
      </w:r>
    </w:p>
    <w:p w:rsidR="00F50484" w:rsidRDefault="00F50484" w:rsidP="00F50484">
      <w:pPr>
        <w:pStyle w:val="Header"/>
        <w:tabs>
          <w:tab w:val="left" w:pos="720"/>
        </w:tabs>
        <w:jc w:val="left"/>
      </w:pPr>
    </w:p>
    <w:p w:rsidR="00F50484" w:rsidRDefault="00F50484" w:rsidP="00F50484">
      <w:pPr>
        <w:jc w:val="left"/>
      </w:pPr>
    </w:p>
    <w:p w:rsidR="00F50484" w:rsidRDefault="00F50484" w:rsidP="00F50484">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F50484" w:rsidRDefault="00F50484" w:rsidP="00F50484">
      <w:pPr>
        <w:jc w:val="left"/>
      </w:pPr>
      <w:r>
        <w:t>This decision is final.  The individual concerned, counsel (if any), and any Members of Congress who have shown interest in this application have been notified of this decision by mail.</w:t>
      </w:r>
    </w:p>
    <w:p w:rsidR="00F50484" w:rsidRDefault="00F50484" w:rsidP="00F50484">
      <w:pPr>
        <w:jc w:val="left"/>
      </w:pPr>
    </w:p>
    <w:p w:rsidR="00F50484" w:rsidRDefault="00F50484" w:rsidP="00F50484">
      <w:pPr>
        <w:jc w:val="left"/>
      </w:pPr>
      <w:r>
        <w:t xml:space="preserve"> BY ORDER OF THE SECRETARY OF THE ARMY:</w:t>
      </w:r>
    </w:p>
    <w:p w:rsidR="00F50484" w:rsidRDefault="00F50484" w:rsidP="00F50484">
      <w:pPr>
        <w:jc w:val="left"/>
      </w:pPr>
    </w:p>
    <w:p w:rsidR="00F50484" w:rsidRDefault="00F50484" w:rsidP="00F50484">
      <w:pPr>
        <w:jc w:val="left"/>
      </w:pPr>
    </w:p>
    <w:p w:rsidR="00F50484" w:rsidRDefault="00F50484" w:rsidP="00F50484">
      <w:pPr>
        <w:pStyle w:val="Header"/>
        <w:tabs>
          <w:tab w:val="left" w:pos="720"/>
        </w:tabs>
        <w:jc w:val="left"/>
      </w:pPr>
    </w:p>
    <w:p w:rsidR="00F50484" w:rsidRDefault="00F50484" w:rsidP="00F50484">
      <w:pPr>
        <w:jc w:val="left"/>
      </w:pPr>
    </w:p>
    <w:p w:rsidR="00F50484" w:rsidRDefault="00F50484" w:rsidP="00F50484">
      <w:pPr>
        <w:jc w:val="left"/>
      </w:pPr>
      <w:bookmarkStart w:id="0" w:name="OLE_LINK4"/>
      <w:bookmarkStart w:id="1" w:name="OLE_LINK3"/>
      <w:r>
        <w:t>Encl</w:t>
      </w:r>
      <w:r>
        <w:tab/>
      </w:r>
      <w:r>
        <w:tab/>
      </w:r>
      <w:r>
        <w:tab/>
      </w:r>
      <w:r>
        <w:tab/>
      </w:r>
      <w:r>
        <w:tab/>
      </w:r>
      <w:r>
        <w:tab/>
        <w:t xml:space="preserve">     XXXXXXXXXXXXXXXXXXXXXX</w:t>
      </w:r>
    </w:p>
    <w:p w:rsidR="00F50484" w:rsidRDefault="00F50484" w:rsidP="00F50484">
      <w:pPr>
        <w:jc w:val="left"/>
      </w:pPr>
      <w:r>
        <w:tab/>
      </w:r>
      <w:r>
        <w:tab/>
      </w:r>
      <w:r>
        <w:tab/>
      </w:r>
      <w:r>
        <w:tab/>
      </w:r>
      <w:r>
        <w:tab/>
      </w:r>
      <w:r>
        <w:tab/>
        <w:t xml:space="preserve">     Deputy Assistant Secretary</w:t>
      </w:r>
    </w:p>
    <w:p w:rsidR="00F50484" w:rsidRDefault="00F50484" w:rsidP="00F50484">
      <w:pPr>
        <w:jc w:val="left"/>
      </w:pPr>
      <w:r>
        <w:tab/>
      </w:r>
      <w:r>
        <w:tab/>
      </w:r>
      <w:r>
        <w:tab/>
      </w:r>
      <w:r>
        <w:tab/>
      </w:r>
      <w:r>
        <w:tab/>
      </w:r>
      <w:r>
        <w:tab/>
        <w:t xml:space="preserve">         (Army Review Boards)</w:t>
      </w:r>
      <w:bookmarkEnd w:id="0"/>
      <w:bookmarkEnd w:id="1"/>
    </w:p>
    <w:p w:rsidR="00F50484" w:rsidRDefault="00F50484" w:rsidP="00F50484">
      <w:pPr>
        <w:jc w:val="left"/>
      </w:pPr>
    </w:p>
    <w:p w:rsidR="00F50484" w:rsidRDefault="00F50484" w:rsidP="00F50484">
      <w:pPr>
        <w:jc w:val="left"/>
      </w:pPr>
      <w:r>
        <w:t xml:space="preserve">CF: </w:t>
      </w:r>
    </w:p>
    <w:p w:rsidR="00F50484" w:rsidRDefault="00F50484" w:rsidP="00F50484">
      <w:pPr>
        <w:jc w:val="left"/>
      </w:pPr>
      <w:r>
        <w:t xml:space="preserve">(  ) </w:t>
      </w:r>
      <w:proofErr w:type="spellStart"/>
      <w:proofErr w:type="gramStart"/>
      <w:r>
        <w:t>DoD</w:t>
      </w:r>
      <w:proofErr w:type="spellEnd"/>
      <w:proofErr w:type="gramEnd"/>
      <w:r>
        <w:t xml:space="preserve"> PDBR</w:t>
      </w:r>
    </w:p>
    <w:p w:rsidR="00F50484" w:rsidRDefault="00F50484" w:rsidP="00F50484">
      <w:pPr>
        <w:jc w:val="left"/>
      </w:pPr>
      <w:r>
        <w:t>(  ) DVA</w:t>
      </w:r>
    </w:p>
    <w:p w:rsidR="00F50484" w:rsidRDefault="00F50484" w:rsidP="00F50484">
      <w:pPr>
        <w:jc w:val="left"/>
      </w:pPr>
    </w:p>
    <w:p w:rsidR="00FE7EB9" w:rsidRPr="006235F5" w:rsidRDefault="00FE7EB9" w:rsidP="00990EAF">
      <w:pPr>
        <w:jc w:val="both"/>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E0" w:rsidRDefault="00A07CE0">
      <w:r>
        <w:separator/>
      </w:r>
    </w:p>
  </w:endnote>
  <w:endnote w:type="continuationSeparator" w:id="0">
    <w:p w:rsidR="00A07CE0" w:rsidRDefault="00A07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F50484" w:rsidRPr="00F50484">
        <w:rPr>
          <w:noProof/>
          <w:color w:val="auto"/>
        </w:rPr>
        <w:t>5</w:t>
      </w:r>
    </w:fldSimple>
    <w:r w:rsidRPr="00374247">
      <w:rPr>
        <w:color w:val="auto"/>
      </w:rPr>
      <w:t xml:space="preserve">                                                           </w:t>
    </w:r>
    <w:r w:rsidRPr="001D64F3">
      <w:rPr>
        <w:color w:val="auto"/>
      </w:rPr>
      <w:t>PD1</w:t>
    </w:r>
    <w:r w:rsidR="00E824DE">
      <w:rPr>
        <w:color w:val="auto"/>
      </w:rPr>
      <w:t>2</w:t>
    </w:r>
    <w:r w:rsidRPr="009369A6">
      <w:rPr>
        <w:color w:val="auto"/>
      </w:rPr>
      <w:t>00</w:t>
    </w:r>
    <w:r w:rsidR="005E2F89">
      <w:rPr>
        <w:color w:val="auto"/>
      </w:rPr>
      <w:t>295</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E0" w:rsidRDefault="00A07CE0">
      <w:r>
        <w:separator/>
      </w:r>
    </w:p>
  </w:footnote>
  <w:footnote w:type="continuationSeparator" w:id="0">
    <w:p w:rsidR="00A07CE0" w:rsidRDefault="00A07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183"/>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0C5E"/>
    <w:rsid w:val="00082482"/>
    <w:rsid w:val="00082CA0"/>
    <w:rsid w:val="00083F73"/>
    <w:rsid w:val="00084CF2"/>
    <w:rsid w:val="00085D7B"/>
    <w:rsid w:val="0008708B"/>
    <w:rsid w:val="00092619"/>
    <w:rsid w:val="00092C66"/>
    <w:rsid w:val="00092CC9"/>
    <w:rsid w:val="000949DD"/>
    <w:rsid w:val="00094E4F"/>
    <w:rsid w:val="00097B9B"/>
    <w:rsid w:val="000A1EB3"/>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1B2D"/>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3B34"/>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45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C3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2D8"/>
    <w:rsid w:val="00284A26"/>
    <w:rsid w:val="00285095"/>
    <w:rsid w:val="00287006"/>
    <w:rsid w:val="00287122"/>
    <w:rsid w:val="0029030A"/>
    <w:rsid w:val="00292397"/>
    <w:rsid w:val="00292AB2"/>
    <w:rsid w:val="00292B82"/>
    <w:rsid w:val="00293DB6"/>
    <w:rsid w:val="00293FE8"/>
    <w:rsid w:val="00294437"/>
    <w:rsid w:val="00295929"/>
    <w:rsid w:val="00296686"/>
    <w:rsid w:val="002977DF"/>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5969"/>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049"/>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AFA"/>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786"/>
    <w:rsid w:val="00441D99"/>
    <w:rsid w:val="004429D9"/>
    <w:rsid w:val="004435BE"/>
    <w:rsid w:val="0044384F"/>
    <w:rsid w:val="0044411E"/>
    <w:rsid w:val="00444472"/>
    <w:rsid w:val="00444B93"/>
    <w:rsid w:val="00444F80"/>
    <w:rsid w:val="00445599"/>
    <w:rsid w:val="00446018"/>
    <w:rsid w:val="0044769D"/>
    <w:rsid w:val="0045027B"/>
    <w:rsid w:val="004504E7"/>
    <w:rsid w:val="004509E2"/>
    <w:rsid w:val="00451F9D"/>
    <w:rsid w:val="00453167"/>
    <w:rsid w:val="0045361D"/>
    <w:rsid w:val="004543BC"/>
    <w:rsid w:val="00454F28"/>
    <w:rsid w:val="0045645D"/>
    <w:rsid w:val="00456A1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0E45"/>
    <w:rsid w:val="004C1EF8"/>
    <w:rsid w:val="004C2063"/>
    <w:rsid w:val="004C24C5"/>
    <w:rsid w:val="004C2645"/>
    <w:rsid w:val="004C44E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CBA"/>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2F89"/>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D97"/>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89C"/>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73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5D51"/>
    <w:rsid w:val="007260A9"/>
    <w:rsid w:val="00726C1D"/>
    <w:rsid w:val="00726F84"/>
    <w:rsid w:val="007272F1"/>
    <w:rsid w:val="00727565"/>
    <w:rsid w:val="007301B1"/>
    <w:rsid w:val="0073062D"/>
    <w:rsid w:val="0073093B"/>
    <w:rsid w:val="0073254D"/>
    <w:rsid w:val="007340B1"/>
    <w:rsid w:val="007340F3"/>
    <w:rsid w:val="0073427A"/>
    <w:rsid w:val="007347BB"/>
    <w:rsid w:val="00735704"/>
    <w:rsid w:val="00736A49"/>
    <w:rsid w:val="007419A1"/>
    <w:rsid w:val="00743B71"/>
    <w:rsid w:val="00743C2D"/>
    <w:rsid w:val="00743C3A"/>
    <w:rsid w:val="00743E36"/>
    <w:rsid w:val="00743F05"/>
    <w:rsid w:val="007441C1"/>
    <w:rsid w:val="007443EA"/>
    <w:rsid w:val="007446F7"/>
    <w:rsid w:val="00744C68"/>
    <w:rsid w:val="00744EBB"/>
    <w:rsid w:val="00745B0A"/>
    <w:rsid w:val="00745DBE"/>
    <w:rsid w:val="007468AC"/>
    <w:rsid w:val="00746AE2"/>
    <w:rsid w:val="00750C82"/>
    <w:rsid w:val="00750E3A"/>
    <w:rsid w:val="00752035"/>
    <w:rsid w:val="00760279"/>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1E"/>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A6"/>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427"/>
    <w:rsid w:val="00853718"/>
    <w:rsid w:val="008541EF"/>
    <w:rsid w:val="0085485F"/>
    <w:rsid w:val="00856428"/>
    <w:rsid w:val="00856AC7"/>
    <w:rsid w:val="00856FA4"/>
    <w:rsid w:val="00857666"/>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86175"/>
    <w:rsid w:val="008902BE"/>
    <w:rsid w:val="0089038F"/>
    <w:rsid w:val="00890CDA"/>
    <w:rsid w:val="00891BBA"/>
    <w:rsid w:val="00892079"/>
    <w:rsid w:val="00892B90"/>
    <w:rsid w:val="00895DF8"/>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6305"/>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1EB6"/>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2FE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0C1"/>
    <w:rsid w:val="00990EAF"/>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462"/>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C7E"/>
    <w:rsid w:val="00A06F66"/>
    <w:rsid w:val="00A0798C"/>
    <w:rsid w:val="00A07BDD"/>
    <w:rsid w:val="00A07CE0"/>
    <w:rsid w:val="00A07F12"/>
    <w:rsid w:val="00A10B6C"/>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412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20E"/>
    <w:rsid w:val="00A97B11"/>
    <w:rsid w:val="00A97CD9"/>
    <w:rsid w:val="00AA020A"/>
    <w:rsid w:val="00AA04B3"/>
    <w:rsid w:val="00AA088E"/>
    <w:rsid w:val="00AA1253"/>
    <w:rsid w:val="00AA1ED0"/>
    <w:rsid w:val="00AA1F5B"/>
    <w:rsid w:val="00AA28EF"/>
    <w:rsid w:val="00AA3593"/>
    <w:rsid w:val="00AA38CA"/>
    <w:rsid w:val="00AA493E"/>
    <w:rsid w:val="00AA4AEC"/>
    <w:rsid w:val="00AA73AF"/>
    <w:rsid w:val="00AB0535"/>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2B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06"/>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2BD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4883"/>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3F8"/>
    <w:rsid w:val="00C15735"/>
    <w:rsid w:val="00C157AA"/>
    <w:rsid w:val="00C162E1"/>
    <w:rsid w:val="00C16BE4"/>
    <w:rsid w:val="00C16E9F"/>
    <w:rsid w:val="00C1713D"/>
    <w:rsid w:val="00C17523"/>
    <w:rsid w:val="00C177F1"/>
    <w:rsid w:val="00C17AD8"/>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6A5"/>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3EDB"/>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475E3"/>
    <w:rsid w:val="00D5062C"/>
    <w:rsid w:val="00D50B3F"/>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0881"/>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98A"/>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1C21"/>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4DE"/>
    <w:rsid w:val="00E82B6D"/>
    <w:rsid w:val="00E83187"/>
    <w:rsid w:val="00E831E9"/>
    <w:rsid w:val="00E84DDA"/>
    <w:rsid w:val="00E84DF2"/>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E7EAC"/>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79D7"/>
    <w:rsid w:val="00F41399"/>
    <w:rsid w:val="00F41D91"/>
    <w:rsid w:val="00F41F52"/>
    <w:rsid w:val="00F41FA1"/>
    <w:rsid w:val="00F42363"/>
    <w:rsid w:val="00F427C4"/>
    <w:rsid w:val="00F43D6C"/>
    <w:rsid w:val="00F46964"/>
    <w:rsid w:val="00F46F9A"/>
    <w:rsid w:val="00F470FD"/>
    <w:rsid w:val="00F50484"/>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4AD6"/>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36622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3E66-A910-4598-B342-838CEA6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2012-11-20T17:57:00Z</dcterms:created>
  <dcterms:modified xsi:type="dcterms:W3CDTF">2012-11-20T17:57:00Z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