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80374C">
        <w:rPr>
          <w:caps/>
          <w:color w:val="auto"/>
        </w:rPr>
        <w:t>XXXXXXXXXXXXXX</w:t>
      </w:r>
      <w:r w:rsidR="00A42123">
        <w:rPr>
          <w:caps/>
          <w:color w:val="auto"/>
        </w:rPr>
        <w:t xml:space="preserve">                                                           </w:t>
      </w:r>
      <w:r w:rsidR="009B4DB8">
        <w:rPr>
          <w:caps/>
          <w:color w:val="auto"/>
        </w:rPr>
        <w:tab/>
      </w:r>
      <w:r w:rsidR="00A42123">
        <w:rPr>
          <w:caps/>
          <w:color w:val="auto"/>
        </w:rPr>
        <w:t xml:space="preserve">  </w:t>
      </w:r>
      <w:r w:rsidRPr="00F64312">
        <w:rPr>
          <w:caps/>
          <w:color w:val="auto"/>
        </w:rPr>
        <w:t>BRANCH OF SERVICE</w:t>
      </w:r>
      <w:r w:rsidRPr="00A42123">
        <w:rPr>
          <w:caps/>
          <w:color w:val="auto"/>
        </w:rPr>
        <w:t xml:space="preserve">: </w:t>
      </w:r>
      <w:r w:rsidR="0018208F" w:rsidRPr="00A42123">
        <w:rPr>
          <w:caps/>
          <w:color w:val="auto"/>
        </w:rPr>
        <w:t xml:space="preserve"> </w:t>
      </w:r>
      <w:r w:rsidR="00DF70F4" w:rsidRPr="00A42123">
        <w:rPr>
          <w:caps/>
          <w:color w:val="auto"/>
        </w:rPr>
        <w:t>Army</w:t>
      </w:r>
    </w:p>
    <w:p w:rsidR="0095270D" w:rsidRPr="00F64312" w:rsidRDefault="0095270D" w:rsidP="00DD5558">
      <w:pPr>
        <w:tabs>
          <w:tab w:val="right" w:pos="9360"/>
        </w:tabs>
        <w:jc w:val="both"/>
        <w:rPr>
          <w:color w:val="auto"/>
        </w:rPr>
      </w:pPr>
      <w:r w:rsidRPr="00F64312">
        <w:rPr>
          <w:caps/>
          <w:color w:val="auto"/>
        </w:rPr>
        <w:t>CASE NUMBER:  PD</w:t>
      </w:r>
      <w:r w:rsidR="001657BE" w:rsidRPr="00A42123">
        <w:rPr>
          <w:caps/>
          <w:color w:val="auto"/>
        </w:rPr>
        <w:t>12</w:t>
      </w:r>
      <w:r w:rsidRPr="00A42123">
        <w:rPr>
          <w:caps/>
          <w:color w:val="auto"/>
        </w:rPr>
        <w:t>00</w:t>
      </w:r>
      <w:r w:rsidR="00A42123">
        <w:rPr>
          <w:caps/>
          <w:color w:val="auto"/>
        </w:rPr>
        <w:t>238</w:t>
      </w:r>
      <w:r w:rsidR="008F4072">
        <w:rPr>
          <w:caps/>
          <w:color w:val="auto"/>
        </w:rPr>
        <w:t xml:space="preserve">                                           </w:t>
      </w:r>
      <w:r w:rsidR="00A42123">
        <w:rPr>
          <w:caps/>
          <w:color w:val="auto"/>
        </w:rPr>
        <w:tab/>
      </w:r>
      <w:r w:rsidR="0018208F" w:rsidRPr="00F64312">
        <w:rPr>
          <w:color w:val="auto"/>
        </w:rPr>
        <w:t>SE</w:t>
      </w:r>
      <w:r w:rsidRPr="00F64312">
        <w:rPr>
          <w:color w:val="auto"/>
        </w:rPr>
        <w:t>PARATION DATE:  200</w:t>
      </w:r>
      <w:r w:rsidR="00A42123">
        <w:rPr>
          <w:color w:val="auto"/>
        </w:rPr>
        <w:t>21207</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1C58B4">
        <w:rPr>
          <w:caps/>
          <w:color w:val="auto"/>
        </w:rPr>
        <w:t>1003</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591722">
        <w:rPr>
          <w:color w:val="auto"/>
        </w:rPr>
        <w:t>active duty</w:t>
      </w:r>
      <w:r w:rsidR="00591722" w:rsidRPr="00591722">
        <w:rPr>
          <w:color w:val="auto"/>
        </w:rPr>
        <w:t xml:space="preserve"> 1L</w:t>
      </w:r>
      <w:r w:rsidR="0017172C" w:rsidRPr="00591722">
        <w:rPr>
          <w:color w:val="auto"/>
        </w:rPr>
        <w:t>T/</w:t>
      </w:r>
      <w:r w:rsidR="00591722" w:rsidRPr="00591722">
        <w:rPr>
          <w:color w:val="auto"/>
        </w:rPr>
        <w:t>O</w:t>
      </w:r>
      <w:r w:rsidR="0017172C" w:rsidRPr="00591722">
        <w:rPr>
          <w:color w:val="auto"/>
        </w:rPr>
        <w:t>-</w:t>
      </w:r>
      <w:r w:rsidR="00591722" w:rsidRPr="00591722">
        <w:rPr>
          <w:color w:val="auto"/>
        </w:rPr>
        <w:t>2</w:t>
      </w:r>
      <w:r w:rsidRPr="00591722">
        <w:rPr>
          <w:color w:val="auto"/>
        </w:rPr>
        <w:t xml:space="preserve"> (</w:t>
      </w:r>
      <w:r w:rsidR="00591722" w:rsidRPr="00591722">
        <w:rPr>
          <w:color w:val="auto"/>
        </w:rPr>
        <w:t>13A</w:t>
      </w:r>
      <w:r w:rsidR="00112F44" w:rsidRPr="00591722">
        <w:rPr>
          <w:color w:val="auto"/>
        </w:rPr>
        <w:t>/</w:t>
      </w:r>
      <w:r w:rsidR="00591722" w:rsidRPr="00591722">
        <w:rPr>
          <w:color w:val="auto"/>
        </w:rPr>
        <w:t>Field Artillery</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591722">
        <w:rPr>
          <w:color w:val="auto"/>
        </w:rPr>
        <w:t>recurrent left shoulder dislocation.</w:t>
      </w:r>
      <w:r w:rsidR="00753BB0">
        <w:rPr>
          <w:color w:val="auto"/>
        </w:rPr>
        <w:t xml:space="preserve">  An injury in 1998</w:t>
      </w:r>
      <w:r w:rsidR="006D5E1E" w:rsidRPr="00F64312">
        <w:rPr>
          <w:color w:val="auto"/>
          <w:szCs w:val="24"/>
        </w:rPr>
        <w:t xml:space="preserve"> </w:t>
      </w:r>
      <w:r w:rsidR="00753BB0">
        <w:rPr>
          <w:color w:val="auto"/>
          <w:szCs w:val="24"/>
        </w:rPr>
        <w:t>while at West Point led to instability that required two surgeries</w:t>
      </w:r>
      <w:r w:rsidR="00753BB0" w:rsidRPr="00753BB0">
        <w:rPr>
          <w:color w:val="auto"/>
          <w:szCs w:val="24"/>
        </w:rPr>
        <w:t xml:space="preserve">. </w:t>
      </w:r>
      <w:r w:rsidR="006D5E1E" w:rsidRPr="00753BB0">
        <w:rPr>
          <w:color w:val="auto"/>
          <w:szCs w:val="24"/>
        </w:rPr>
        <w:t xml:space="preserve"> </w:t>
      </w:r>
      <w:r w:rsidR="00895FCB" w:rsidRPr="00753BB0">
        <w:rPr>
          <w:color w:val="auto"/>
          <w:szCs w:val="24"/>
        </w:rPr>
        <w:t>He did not respond adequately to operative and rehabilitative treatment and was unable t</w:t>
      </w:r>
      <w:r w:rsidR="00895FCB" w:rsidRPr="00753BB0">
        <w:rPr>
          <w:color w:val="auto"/>
        </w:rPr>
        <w:t xml:space="preserve">o meet the physical requirements of his Military Occupational Specialty (MOS) or satisfy physical fitness standards.  </w:t>
      </w:r>
      <w:r w:rsidR="009C12A1" w:rsidRPr="00753BB0">
        <w:rPr>
          <w:color w:val="auto"/>
        </w:rPr>
        <w:t xml:space="preserve">He </w:t>
      </w:r>
      <w:r w:rsidR="00F566B7" w:rsidRPr="00753BB0">
        <w:rPr>
          <w:color w:val="auto"/>
        </w:rPr>
        <w:t xml:space="preserve">was issued a permanent </w:t>
      </w:r>
      <w:r w:rsidR="00753BB0" w:rsidRPr="00753BB0">
        <w:rPr>
          <w:color w:val="auto"/>
        </w:rPr>
        <w:t>U</w:t>
      </w:r>
      <w:r w:rsidR="00F566B7" w:rsidRPr="00753BB0">
        <w:rPr>
          <w:color w:val="auto"/>
        </w:rPr>
        <w:t>3 profile and</w:t>
      </w:r>
      <w:r w:rsidR="009C12A1" w:rsidRPr="00753BB0">
        <w:rPr>
          <w:color w:val="auto"/>
        </w:rPr>
        <w:t xml:space="preserve"> </w:t>
      </w:r>
      <w:r w:rsidR="00F566B7" w:rsidRPr="00753BB0">
        <w:rPr>
          <w:color w:val="auto"/>
        </w:rPr>
        <w:t>referred for a Medical Evaluation Board (MEB).</w:t>
      </w:r>
      <w:r w:rsidR="00F63517">
        <w:rPr>
          <w:color w:val="auto"/>
        </w:rPr>
        <w:t xml:space="preserve">  </w:t>
      </w:r>
      <w:r w:rsidR="009F44A2">
        <w:rPr>
          <w:color w:val="auto"/>
        </w:rPr>
        <w:t xml:space="preserve">The MEB forwarded </w:t>
      </w:r>
      <w:r w:rsidR="007913BE">
        <w:rPr>
          <w:color w:val="auto"/>
        </w:rPr>
        <w:t>recurrent left shoulder dislocations and left ulnar nerve neuropathy</w:t>
      </w:r>
      <w:r w:rsidR="009F44A2">
        <w:rPr>
          <w:color w:val="auto"/>
        </w:rPr>
        <w:t xml:space="preserve"> to the Physical Evaluation Board (PEB) as medically unacceptable </w:t>
      </w:r>
      <w:r w:rsidR="009F44A2" w:rsidRPr="007913BE">
        <w:rPr>
          <w:color w:val="auto"/>
        </w:rPr>
        <w:t>IAW AR 40-501</w:t>
      </w:r>
      <w:r w:rsidR="009F44A2" w:rsidRPr="00BA5DBD">
        <w:rPr>
          <w:color w:val="auto"/>
        </w:rPr>
        <w:t>.</w:t>
      </w:r>
      <w:r w:rsidR="007A4E77" w:rsidRPr="00BA5DBD">
        <w:rPr>
          <w:color w:val="auto"/>
        </w:rPr>
        <w:t xml:space="preserve"> </w:t>
      </w:r>
      <w:r w:rsidR="00BA5DBD" w:rsidRPr="00BA5DBD">
        <w:rPr>
          <w:color w:val="auto"/>
        </w:rPr>
        <w:t xml:space="preserve"> </w:t>
      </w:r>
      <w:r w:rsidR="007A4E77" w:rsidRPr="00BA5DBD">
        <w:rPr>
          <w:color w:val="auto"/>
        </w:rPr>
        <w:t>No other conditions appeared on the MEB’s submission.</w:t>
      </w:r>
      <w:r w:rsidR="00F63517">
        <w:rPr>
          <w:color w:val="auto"/>
        </w:rPr>
        <w:t xml:space="preserve">  </w:t>
      </w:r>
      <w:r w:rsidRPr="00F64312">
        <w:rPr>
          <w:color w:val="auto"/>
        </w:rPr>
        <w:t xml:space="preserve">The PEB adjudicated the </w:t>
      </w:r>
      <w:r w:rsidR="009952C9">
        <w:rPr>
          <w:color w:val="auto"/>
        </w:rPr>
        <w:t xml:space="preserve">recurrent dislocation of left (minor) </w:t>
      </w:r>
      <w:r w:rsidR="009952C9" w:rsidRPr="009952C9">
        <w:rPr>
          <w:color w:val="auto"/>
        </w:rPr>
        <w:t>shoulder</w:t>
      </w:r>
      <w:r w:rsidR="008530E3" w:rsidRPr="009952C9">
        <w:rPr>
          <w:color w:val="auto"/>
        </w:rPr>
        <w:t xml:space="preserve"> condition</w:t>
      </w:r>
      <w:r w:rsidR="008530E3" w:rsidRPr="00F64312">
        <w:rPr>
          <w:color w:val="auto"/>
        </w:rPr>
        <w:t xml:space="preserve"> as unfitting, rated </w:t>
      </w:r>
      <w:r w:rsidR="009952C9">
        <w:rPr>
          <w:color w:val="auto"/>
        </w:rPr>
        <w:t>20</w:t>
      </w:r>
      <w:r w:rsidRPr="009952C9">
        <w:rPr>
          <w:color w:val="auto"/>
        </w:rPr>
        <w:t>%</w:t>
      </w:r>
      <w:r w:rsidRPr="00F64312">
        <w:rPr>
          <w:color w:val="auto"/>
        </w:rPr>
        <w:t xml:space="preserve"> </w:t>
      </w:r>
      <w:r w:rsidR="00E46D90" w:rsidRPr="00F64312">
        <w:rPr>
          <w:color w:val="auto"/>
        </w:rPr>
        <w:t xml:space="preserve">with application of the </w:t>
      </w:r>
      <w:r w:rsidRPr="009952C9">
        <w:rPr>
          <w:color w:val="auto"/>
        </w:rPr>
        <w:t>Veteran</w:t>
      </w:r>
      <w:r w:rsidR="00BF72CA" w:rsidRPr="009952C9">
        <w:rPr>
          <w:color w:val="auto"/>
        </w:rPr>
        <w:t>’</w:t>
      </w:r>
      <w:r w:rsidRPr="009952C9">
        <w:rPr>
          <w:color w:val="auto"/>
        </w:rPr>
        <w:t>s A</w:t>
      </w:r>
      <w:r w:rsidR="00BF72CA" w:rsidRPr="009952C9">
        <w:rPr>
          <w:color w:val="auto"/>
        </w:rPr>
        <w:t>ffairs</w:t>
      </w:r>
      <w:r w:rsidRPr="009952C9">
        <w:rPr>
          <w:color w:val="auto"/>
        </w:rPr>
        <w:t xml:space="preserve"> Schedule for Rating Disabilities (VASRD)</w:t>
      </w:r>
      <w:r w:rsidR="00BF72CA" w:rsidRPr="009952C9">
        <w:rPr>
          <w:color w:val="auto"/>
        </w:rPr>
        <w:t>.</w:t>
      </w:r>
      <w:r w:rsidR="00165C7B" w:rsidRPr="00F64312">
        <w:rPr>
          <w:color w:val="auto"/>
        </w:rPr>
        <w:t xml:space="preserve">  </w:t>
      </w:r>
      <w:r w:rsidR="003639C9" w:rsidRPr="00F63517">
        <w:rPr>
          <w:color w:val="auto"/>
        </w:rPr>
        <w:t xml:space="preserve">The </w:t>
      </w:r>
      <w:r w:rsidR="00F63517" w:rsidRPr="00F63517">
        <w:rPr>
          <w:color w:val="auto"/>
        </w:rPr>
        <w:t xml:space="preserve">left </w:t>
      </w:r>
      <w:r w:rsidR="003639C9" w:rsidRPr="00F63517">
        <w:rPr>
          <w:color w:val="auto"/>
        </w:rPr>
        <w:t xml:space="preserve">ulnar neuropathy was </w:t>
      </w:r>
      <w:r w:rsidR="009952C9" w:rsidRPr="00F63517">
        <w:rPr>
          <w:color w:val="auto"/>
        </w:rPr>
        <w:t>determined to be an associated condition</w:t>
      </w:r>
      <w:r w:rsidR="00F63517">
        <w:rPr>
          <w:color w:val="auto"/>
        </w:rPr>
        <w:t>,</w:t>
      </w:r>
      <w:r w:rsidR="009952C9" w:rsidRPr="00F63517">
        <w:rPr>
          <w:color w:val="auto"/>
        </w:rPr>
        <w:t xml:space="preserve"> but was not further categorized.</w:t>
      </w:r>
      <w:r w:rsidR="00F63517" w:rsidRPr="00F63517">
        <w:rPr>
          <w:color w:val="auto"/>
        </w:rPr>
        <w:t xml:space="preserve">  </w:t>
      </w:r>
      <w:r w:rsidRPr="00F63517">
        <w:rPr>
          <w:color w:val="auto"/>
        </w:rPr>
        <w:t xml:space="preserve">The CI made no appeals, and was medically separated with </w:t>
      </w:r>
      <w:r w:rsidR="0066684A" w:rsidRPr="00F63517">
        <w:rPr>
          <w:color w:val="auto"/>
        </w:rPr>
        <w:t xml:space="preserve">a </w:t>
      </w:r>
      <w:r w:rsidR="00F63517" w:rsidRPr="00F63517">
        <w:rPr>
          <w:color w:val="auto"/>
        </w:rPr>
        <w:t>20</w:t>
      </w:r>
      <w:r w:rsidR="0066684A" w:rsidRPr="00F63517">
        <w:rPr>
          <w:color w:val="auto"/>
        </w:rPr>
        <w:t xml:space="preserve">% </w:t>
      </w:r>
      <w:r w:rsidRPr="00F63517">
        <w:rPr>
          <w:color w:val="auto"/>
        </w:rPr>
        <w:t>disability rating.</w:t>
      </w:r>
    </w:p>
    <w:p w:rsidR="00042978" w:rsidRPr="00F64312" w:rsidRDefault="00042978" w:rsidP="00042978">
      <w:pPr>
        <w:pBdr>
          <w:bottom w:val="single" w:sz="12" w:space="1" w:color="auto"/>
        </w:pBdr>
        <w:tabs>
          <w:tab w:val="left" w:pos="288"/>
          <w:tab w:val="left" w:pos="4752"/>
        </w:tabs>
        <w:jc w:val="both"/>
        <w:rPr>
          <w:color w:val="auto"/>
        </w:rPr>
      </w:pPr>
    </w:p>
    <w:p w:rsidR="00A42123" w:rsidRDefault="00A42123" w:rsidP="00E212DF">
      <w:pPr>
        <w:tabs>
          <w:tab w:val="left" w:pos="288"/>
          <w:tab w:val="left" w:pos="4752"/>
        </w:tabs>
        <w:jc w:val="both"/>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B690F" w:rsidRPr="00F64312">
        <w:rPr>
          <w:rFonts w:eastAsia="Cambria"/>
          <w:color w:val="auto"/>
          <w:szCs w:val="24"/>
        </w:rPr>
        <w:t xml:space="preserve">  </w:t>
      </w:r>
      <w:r w:rsidR="00A42123" w:rsidRPr="00A42123">
        <w:rPr>
          <w:rFonts w:eastAsia="Cambria"/>
          <w:color w:val="auto"/>
          <w:szCs w:val="24"/>
        </w:rPr>
        <w:t>“My military discharge did not rate a service connected disability which I identified when I submitted my MEB paperwork.  An additional 10% disability rating was granted by the VA for my left ulnar nerve neuropathy but was not rated by the Army.”</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8E1037">
        <w:rPr>
          <w:color w:val="auto"/>
        </w:rPr>
        <w:t>the Department of Defense Instruction (</w:t>
      </w:r>
      <w:proofErr w:type="spellStart"/>
      <w:r w:rsidR="00AE2B85">
        <w:rPr>
          <w:color w:val="auto"/>
        </w:rPr>
        <w:t>DoDI</w:t>
      </w:r>
      <w:proofErr w:type="spellEnd"/>
      <w:r w:rsidR="008E1037">
        <w:rPr>
          <w:color w:val="auto"/>
        </w:rPr>
        <w:t>)</w:t>
      </w:r>
      <w:r w:rsidR="00AE2B85">
        <w:rPr>
          <w:color w:val="auto"/>
        </w:rPr>
        <w:t xml:space="preserve"> 6040.44, Enclosure 3, paragraph 5.e</w:t>
      </w:r>
      <w:r w:rsidR="009B4DB8">
        <w:rPr>
          <w:color w:val="auto"/>
        </w:rPr>
        <w:t>.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6742A8">
        <w:rPr>
          <w:color w:val="auto"/>
        </w:rPr>
        <w:t>”</w:t>
      </w:r>
      <w:r>
        <w:rPr>
          <w:color w:val="auto"/>
        </w:rPr>
        <w:t xml:space="preserve">  </w:t>
      </w:r>
      <w:r w:rsidR="00186671">
        <w:rPr>
          <w:color w:val="auto"/>
        </w:rPr>
        <w:t xml:space="preserve">The </w:t>
      </w:r>
      <w:r w:rsidRPr="009239C0">
        <w:rPr>
          <w:color w:val="auto"/>
        </w:rPr>
        <w:t>ratings for unfitting conditions will be reviewed in all cases</w:t>
      </w:r>
      <w:r w:rsidRPr="00F63517">
        <w:rPr>
          <w:color w:val="auto"/>
        </w:rPr>
        <w:t xml:space="preserve">.  The </w:t>
      </w:r>
      <w:r w:rsidR="00A004BE" w:rsidRPr="00F63517">
        <w:rPr>
          <w:color w:val="auto"/>
        </w:rPr>
        <w:t>ulnar neuropathy</w:t>
      </w:r>
      <w:r w:rsidRPr="00F63517">
        <w:rPr>
          <w:color w:val="auto"/>
        </w:rPr>
        <w:t xml:space="preserve"> condition requested for consideration and the unfitting </w:t>
      </w:r>
      <w:r w:rsidR="00A004BE" w:rsidRPr="00F63517">
        <w:rPr>
          <w:color w:val="auto"/>
        </w:rPr>
        <w:t>recurrent left shoulder dislocation</w:t>
      </w:r>
      <w:r w:rsidRPr="00F63517">
        <w:rPr>
          <w:color w:val="auto"/>
        </w:rPr>
        <w:t xml:space="preserve"> condition meet the criteria prescribed in DoDI 6040.44 for Board purview, and are accordingly addressed below.  Any conditions or contention not requested in this application, or otherwise outside the Board’s defin</w:t>
      </w:r>
      <w:r w:rsidRPr="00C566C9">
        <w:rPr>
          <w:color w:val="auto"/>
        </w:rPr>
        <w:t>ed scope of review</w:t>
      </w:r>
      <w:r>
        <w:rPr>
          <w:color w:val="auto"/>
        </w:rPr>
        <w:t>, remain</w:t>
      </w:r>
      <w:r w:rsidRPr="00C566C9">
        <w:rPr>
          <w:color w:val="auto"/>
        </w:rPr>
        <w:t xml:space="preserve"> eligible for future consideration </w:t>
      </w:r>
      <w:r w:rsidRPr="00A004BE">
        <w:rPr>
          <w:color w:val="auto"/>
        </w:rPr>
        <w:t>by the Army Board for Correction of Military Records.</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w:t>
      </w:r>
    </w:p>
    <w:p w:rsidR="00F90376" w:rsidRDefault="00F90376" w:rsidP="00F90376">
      <w:pPr>
        <w:jc w:val="both"/>
        <w:rPr>
          <w:color w:val="auto"/>
        </w:rPr>
      </w:pPr>
    </w:p>
    <w:tbl>
      <w:tblPr>
        <w:tblStyle w:val="TableGrid1"/>
        <w:tblpPr w:leftFromText="187" w:rightFromText="187" w:vertAnchor="text" w:tblpXSpec="center" w:tblpY="1"/>
        <w:tblOverlap w:val="never"/>
        <w:tblW w:w="9468" w:type="dxa"/>
        <w:tblLayout w:type="fixed"/>
        <w:tblLook w:val="04A0"/>
      </w:tblPr>
      <w:tblGrid>
        <w:gridCol w:w="2806"/>
        <w:gridCol w:w="630"/>
        <w:gridCol w:w="723"/>
        <w:gridCol w:w="2879"/>
        <w:gridCol w:w="720"/>
        <w:gridCol w:w="720"/>
        <w:gridCol w:w="990"/>
      </w:tblGrid>
      <w:tr w:rsidR="00A42123" w:rsidRPr="00A42123" w:rsidTr="00F63517">
        <w:trPr>
          <w:trHeight w:val="233"/>
        </w:trPr>
        <w:tc>
          <w:tcPr>
            <w:tcW w:w="4158" w:type="dxa"/>
            <w:gridSpan w:val="3"/>
            <w:tcBorders>
              <w:top w:val="single" w:sz="4" w:space="0" w:color="000000"/>
              <w:left w:val="single" w:sz="4" w:space="0" w:color="000000"/>
              <w:bottom w:val="single" w:sz="4" w:space="0" w:color="000000"/>
              <w:right w:val="thinThickThinSmallGap" w:sz="24" w:space="0" w:color="000000"/>
            </w:tcBorders>
            <w:shd w:val="clear" w:color="auto" w:fill="D9D9D9"/>
            <w:vAlign w:val="center"/>
            <w:hideMark/>
          </w:tcPr>
          <w:p w:rsidR="00A42123" w:rsidRPr="00A42123" w:rsidRDefault="00A42123" w:rsidP="00F63517">
            <w:pPr>
              <w:rPr>
                <w:b/>
                <w:color w:val="auto"/>
                <w:sz w:val="18"/>
                <w:szCs w:val="18"/>
              </w:rPr>
            </w:pPr>
            <w:r w:rsidRPr="00A42123">
              <w:rPr>
                <w:b/>
                <w:color w:val="auto"/>
                <w:sz w:val="18"/>
                <w:szCs w:val="18"/>
              </w:rPr>
              <w:t>Service IPEB – Dated 20020918</w:t>
            </w:r>
          </w:p>
        </w:tc>
        <w:tc>
          <w:tcPr>
            <w:tcW w:w="5310" w:type="dxa"/>
            <w:gridSpan w:val="4"/>
            <w:tcBorders>
              <w:top w:val="single" w:sz="4" w:space="0" w:color="000000"/>
              <w:left w:val="thinThickThinSmallGap" w:sz="24" w:space="0" w:color="000000"/>
              <w:bottom w:val="single" w:sz="4" w:space="0" w:color="000000"/>
              <w:right w:val="single" w:sz="4" w:space="0" w:color="000000"/>
            </w:tcBorders>
            <w:shd w:val="clear" w:color="auto" w:fill="D9D9D9"/>
            <w:vAlign w:val="center"/>
            <w:hideMark/>
          </w:tcPr>
          <w:p w:rsidR="00A42123" w:rsidRPr="00A42123" w:rsidRDefault="00A42123" w:rsidP="00F63517">
            <w:pPr>
              <w:rPr>
                <w:b/>
                <w:color w:val="auto"/>
                <w:sz w:val="18"/>
                <w:szCs w:val="18"/>
              </w:rPr>
            </w:pPr>
            <w:r w:rsidRPr="00A42123">
              <w:rPr>
                <w:b/>
                <w:color w:val="auto"/>
                <w:sz w:val="18"/>
                <w:szCs w:val="18"/>
              </w:rPr>
              <w:t>VA (</w:t>
            </w:r>
            <w:r w:rsidR="00F63517">
              <w:rPr>
                <w:b/>
                <w:color w:val="auto"/>
                <w:sz w:val="18"/>
                <w:szCs w:val="18"/>
              </w:rPr>
              <w:t>5</w:t>
            </w:r>
            <w:r w:rsidRPr="00A42123">
              <w:rPr>
                <w:b/>
                <w:color w:val="auto"/>
                <w:sz w:val="18"/>
                <w:szCs w:val="18"/>
              </w:rPr>
              <w:t xml:space="preserve"> Mo. </w:t>
            </w:r>
            <w:r w:rsidR="001D3895">
              <w:rPr>
                <w:b/>
                <w:color w:val="auto"/>
                <w:sz w:val="18"/>
                <w:szCs w:val="18"/>
              </w:rPr>
              <w:t>Before</w:t>
            </w:r>
            <w:r w:rsidRPr="00A42123">
              <w:rPr>
                <w:b/>
                <w:color w:val="auto"/>
                <w:sz w:val="18"/>
                <w:szCs w:val="18"/>
              </w:rPr>
              <w:t xml:space="preserve"> Separation) – All Effective Date 20021208</w:t>
            </w:r>
          </w:p>
        </w:tc>
      </w:tr>
      <w:tr w:rsidR="00DD181E" w:rsidRPr="00A42123" w:rsidTr="00F63517">
        <w:trPr>
          <w:trHeight w:val="278"/>
        </w:trPr>
        <w:tc>
          <w:tcPr>
            <w:tcW w:w="280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42123" w:rsidRPr="00A42123" w:rsidRDefault="00A42123" w:rsidP="00F63517">
            <w:pPr>
              <w:rPr>
                <w:b/>
                <w:color w:val="auto"/>
                <w:sz w:val="18"/>
                <w:szCs w:val="18"/>
              </w:rPr>
            </w:pPr>
            <w:r w:rsidRPr="00A42123">
              <w:rPr>
                <w:b/>
                <w:color w:val="auto"/>
                <w:sz w:val="18"/>
                <w:szCs w:val="18"/>
              </w:rPr>
              <w:t>Condition</w:t>
            </w:r>
          </w:p>
        </w:tc>
        <w:tc>
          <w:tcPr>
            <w:tcW w:w="6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42123" w:rsidRPr="00A42123" w:rsidRDefault="00A42123" w:rsidP="00F63517">
            <w:pPr>
              <w:rPr>
                <w:b/>
                <w:color w:val="auto"/>
                <w:sz w:val="18"/>
                <w:szCs w:val="18"/>
              </w:rPr>
            </w:pPr>
            <w:r w:rsidRPr="00A42123">
              <w:rPr>
                <w:b/>
                <w:color w:val="auto"/>
                <w:sz w:val="18"/>
                <w:szCs w:val="18"/>
              </w:rPr>
              <w:t>Code</w:t>
            </w:r>
          </w:p>
        </w:tc>
        <w:tc>
          <w:tcPr>
            <w:tcW w:w="720" w:type="dxa"/>
            <w:tcBorders>
              <w:top w:val="single" w:sz="4" w:space="0" w:color="000000"/>
              <w:left w:val="single" w:sz="4" w:space="0" w:color="000000"/>
              <w:bottom w:val="single" w:sz="4" w:space="0" w:color="000000"/>
              <w:right w:val="thinThickThinSmallGap" w:sz="24" w:space="0" w:color="000000"/>
            </w:tcBorders>
            <w:shd w:val="clear" w:color="auto" w:fill="D9D9D9"/>
            <w:vAlign w:val="center"/>
            <w:hideMark/>
          </w:tcPr>
          <w:p w:rsidR="00A42123" w:rsidRPr="00A42123" w:rsidRDefault="00A42123" w:rsidP="00F63517">
            <w:pPr>
              <w:rPr>
                <w:b/>
                <w:color w:val="auto"/>
                <w:sz w:val="18"/>
                <w:szCs w:val="18"/>
              </w:rPr>
            </w:pPr>
            <w:r w:rsidRPr="00A42123">
              <w:rPr>
                <w:b/>
                <w:color w:val="auto"/>
                <w:sz w:val="18"/>
                <w:szCs w:val="18"/>
              </w:rPr>
              <w:t>Rating</w:t>
            </w:r>
          </w:p>
        </w:tc>
        <w:tc>
          <w:tcPr>
            <w:tcW w:w="2880" w:type="dxa"/>
            <w:tcBorders>
              <w:top w:val="single" w:sz="4" w:space="0" w:color="000000"/>
              <w:left w:val="thinThickThinSmallGap" w:sz="24" w:space="0" w:color="000000"/>
              <w:bottom w:val="single" w:sz="4" w:space="0" w:color="000000"/>
              <w:right w:val="single" w:sz="4" w:space="0" w:color="000000"/>
            </w:tcBorders>
            <w:shd w:val="clear" w:color="auto" w:fill="D9D9D9"/>
            <w:vAlign w:val="center"/>
            <w:hideMark/>
          </w:tcPr>
          <w:p w:rsidR="00A42123" w:rsidRPr="00A42123" w:rsidRDefault="00A42123" w:rsidP="00F63517">
            <w:pPr>
              <w:rPr>
                <w:b/>
                <w:color w:val="auto"/>
                <w:sz w:val="18"/>
                <w:szCs w:val="18"/>
              </w:rPr>
            </w:pPr>
            <w:r w:rsidRPr="00A42123">
              <w:rPr>
                <w:b/>
                <w:color w:val="auto"/>
                <w:sz w:val="18"/>
                <w:szCs w:val="18"/>
              </w:rPr>
              <w:t>Condition</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42123" w:rsidRPr="00A42123" w:rsidRDefault="00A42123" w:rsidP="00F63517">
            <w:pPr>
              <w:rPr>
                <w:b/>
                <w:color w:val="auto"/>
                <w:sz w:val="18"/>
                <w:szCs w:val="18"/>
              </w:rPr>
            </w:pPr>
            <w:r w:rsidRPr="00A42123">
              <w:rPr>
                <w:b/>
                <w:color w:val="auto"/>
                <w:sz w:val="18"/>
                <w:szCs w:val="18"/>
              </w:rPr>
              <w:t>Code</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42123" w:rsidRPr="00A42123" w:rsidRDefault="00A42123" w:rsidP="00F63517">
            <w:pPr>
              <w:rPr>
                <w:b/>
                <w:color w:val="auto"/>
                <w:sz w:val="18"/>
                <w:szCs w:val="18"/>
              </w:rPr>
            </w:pPr>
            <w:r w:rsidRPr="00A42123">
              <w:rPr>
                <w:b/>
                <w:color w:val="auto"/>
                <w:sz w:val="18"/>
                <w:szCs w:val="18"/>
              </w:rPr>
              <w:t>Rating</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42123" w:rsidRPr="00A42123" w:rsidRDefault="00A42123" w:rsidP="00F63517">
            <w:pPr>
              <w:rPr>
                <w:b/>
                <w:color w:val="auto"/>
                <w:sz w:val="18"/>
                <w:szCs w:val="18"/>
              </w:rPr>
            </w:pPr>
            <w:r w:rsidRPr="00A42123">
              <w:rPr>
                <w:b/>
                <w:color w:val="auto"/>
                <w:sz w:val="18"/>
                <w:szCs w:val="18"/>
              </w:rPr>
              <w:t>Exam</w:t>
            </w:r>
          </w:p>
        </w:tc>
      </w:tr>
      <w:tr w:rsidR="00E307B1" w:rsidRPr="00A42123" w:rsidTr="00F63517">
        <w:trPr>
          <w:trHeight w:val="287"/>
        </w:trPr>
        <w:tc>
          <w:tcPr>
            <w:tcW w:w="2808"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42123" w:rsidRPr="00A42123" w:rsidRDefault="00A42123" w:rsidP="00F63517">
            <w:pPr>
              <w:spacing w:line="180" w:lineRule="exact"/>
              <w:jc w:val="left"/>
              <w:rPr>
                <w:color w:val="auto"/>
                <w:sz w:val="18"/>
                <w:szCs w:val="18"/>
              </w:rPr>
            </w:pPr>
            <w:r w:rsidRPr="00A42123">
              <w:rPr>
                <w:color w:val="auto"/>
                <w:sz w:val="18"/>
                <w:szCs w:val="18"/>
              </w:rPr>
              <w:t xml:space="preserve">Recurrent </w:t>
            </w:r>
            <w:r w:rsidR="00E307B1">
              <w:rPr>
                <w:color w:val="auto"/>
                <w:sz w:val="18"/>
                <w:szCs w:val="18"/>
              </w:rPr>
              <w:t>Lt</w:t>
            </w:r>
            <w:r w:rsidR="00DD181E">
              <w:rPr>
                <w:color w:val="auto"/>
                <w:sz w:val="18"/>
                <w:szCs w:val="18"/>
              </w:rPr>
              <w:t>.</w:t>
            </w:r>
            <w:r w:rsidR="00E307B1">
              <w:rPr>
                <w:color w:val="auto"/>
                <w:sz w:val="18"/>
                <w:szCs w:val="18"/>
              </w:rPr>
              <w:t xml:space="preserve"> Shoulder Dislocation</w:t>
            </w:r>
          </w:p>
        </w:tc>
        <w:tc>
          <w:tcPr>
            <w:tcW w:w="63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A42123" w:rsidRPr="00A42123" w:rsidRDefault="00A42123" w:rsidP="00F63517">
            <w:pPr>
              <w:spacing w:line="180" w:lineRule="exact"/>
              <w:rPr>
                <w:color w:val="auto"/>
                <w:sz w:val="18"/>
                <w:szCs w:val="18"/>
              </w:rPr>
            </w:pPr>
            <w:r w:rsidRPr="00A42123">
              <w:rPr>
                <w:color w:val="auto"/>
                <w:sz w:val="18"/>
                <w:szCs w:val="18"/>
              </w:rPr>
              <w:t>5202</w:t>
            </w:r>
          </w:p>
        </w:tc>
        <w:tc>
          <w:tcPr>
            <w:tcW w:w="720" w:type="dxa"/>
            <w:tcBorders>
              <w:top w:val="single" w:sz="4" w:space="0" w:color="000000"/>
              <w:left w:val="single" w:sz="4" w:space="0" w:color="000000"/>
              <w:bottom w:val="single" w:sz="4" w:space="0" w:color="auto"/>
              <w:right w:val="thinThickThinSmallGap" w:sz="24" w:space="0" w:color="000000"/>
            </w:tcBorders>
            <w:shd w:val="clear" w:color="auto" w:fill="FFFFFF"/>
            <w:vAlign w:val="center"/>
            <w:hideMark/>
          </w:tcPr>
          <w:p w:rsidR="00A42123" w:rsidRPr="00A42123" w:rsidRDefault="00A42123" w:rsidP="00F63517">
            <w:pPr>
              <w:spacing w:line="180" w:lineRule="exact"/>
              <w:rPr>
                <w:color w:val="auto"/>
                <w:sz w:val="18"/>
                <w:szCs w:val="18"/>
              </w:rPr>
            </w:pPr>
            <w:r w:rsidRPr="00A42123">
              <w:rPr>
                <w:color w:val="auto"/>
                <w:sz w:val="18"/>
                <w:szCs w:val="18"/>
              </w:rPr>
              <w:t>20%</w:t>
            </w:r>
          </w:p>
        </w:tc>
        <w:tc>
          <w:tcPr>
            <w:tcW w:w="2880" w:type="dxa"/>
            <w:tcBorders>
              <w:top w:val="single" w:sz="4" w:space="0" w:color="000000"/>
              <w:left w:val="thinThickThinSmallGap" w:sz="24" w:space="0" w:color="000000"/>
              <w:bottom w:val="single" w:sz="4" w:space="0" w:color="000000"/>
              <w:right w:val="single" w:sz="4" w:space="0" w:color="000000"/>
            </w:tcBorders>
            <w:shd w:val="clear" w:color="auto" w:fill="FFFFFF"/>
            <w:vAlign w:val="center"/>
            <w:hideMark/>
          </w:tcPr>
          <w:p w:rsidR="00A42123" w:rsidRPr="00A42123" w:rsidRDefault="00A42123" w:rsidP="00F63517">
            <w:pPr>
              <w:spacing w:line="180" w:lineRule="exact"/>
              <w:jc w:val="left"/>
              <w:rPr>
                <w:color w:val="auto"/>
                <w:sz w:val="18"/>
                <w:szCs w:val="18"/>
              </w:rPr>
            </w:pPr>
            <w:r w:rsidRPr="00A42123">
              <w:rPr>
                <w:color w:val="auto"/>
                <w:sz w:val="18"/>
                <w:szCs w:val="18"/>
              </w:rPr>
              <w:t xml:space="preserve">Recurrent </w:t>
            </w:r>
            <w:r w:rsidR="00E307B1">
              <w:rPr>
                <w:color w:val="auto"/>
                <w:sz w:val="18"/>
                <w:szCs w:val="18"/>
              </w:rPr>
              <w:t xml:space="preserve">Left </w:t>
            </w:r>
            <w:r w:rsidRPr="00A42123">
              <w:rPr>
                <w:color w:val="auto"/>
                <w:sz w:val="18"/>
                <w:szCs w:val="18"/>
              </w:rPr>
              <w:t xml:space="preserve">Shoulder </w:t>
            </w:r>
            <w:r w:rsidR="00E307B1">
              <w:rPr>
                <w:color w:val="auto"/>
                <w:sz w:val="18"/>
                <w:szCs w:val="18"/>
              </w:rPr>
              <w:t>Dislocation</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2123" w:rsidRPr="00A42123" w:rsidRDefault="00A42123" w:rsidP="00F63517">
            <w:pPr>
              <w:spacing w:line="180" w:lineRule="exact"/>
              <w:rPr>
                <w:color w:val="auto"/>
                <w:sz w:val="18"/>
                <w:szCs w:val="18"/>
              </w:rPr>
            </w:pPr>
            <w:r w:rsidRPr="00A42123">
              <w:rPr>
                <w:color w:val="auto"/>
                <w:sz w:val="18"/>
                <w:szCs w:val="18"/>
              </w:rPr>
              <w:t>5202</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2123" w:rsidRPr="00A42123" w:rsidRDefault="00A42123" w:rsidP="00F63517">
            <w:pPr>
              <w:spacing w:line="180" w:lineRule="exact"/>
              <w:rPr>
                <w:color w:val="auto"/>
                <w:sz w:val="18"/>
                <w:szCs w:val="18"/>
              </w:rPr>
            </w:pPr>
            <w:r w:rsidRPr="00A42123">
              <w:rPr>
                <w:color w:val="auto"/>
                <w:sz w:val="18"/>
                <w:szCs w:val="18"/>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42123" w:rsidRPr="00A42123" w:rsidRDefault="00A42123" w:rsidP="00F63517">
            <w:pPr>
              <w:spacing w:line="180" w:lineRule="exact"/>
              <w:rPr>
                <w:color w:val="auto"/>
                <w:sz w:val="18"/>
                <w:szCs w:val="18"/>
              </w:rPr>
            </w:pPr>
            <w:r w:rsidRPr="00A42123">
              <w:rPr>
                <w:color w:val="auto"/>
                <w:sz w:val="18"/>
                <w:szCs w:val="18"/>
              </w:rPr>
              <w:t>20020626</w:t>
            </w:r>
          </w:p>
        </w:tc>
      </w:tr>
      <w:tr w:rsidR="00F63517" w:rsidRPr="00A42123" w:rsidTr="001D3895">
        <w:trPr>
          <w:trHeight w:val="287"/>
        </w:trPr>
        <w:tc>
          <w:tcPr>
            <w:tcW w:w="2805" w:type="dxa"/>
            <w:tcBorders>
              <w:top w:val="single" w:sz="4" w:space="0" w:color="auto"/>
              <w:left w:val="single" w:sz="4" w:space="0" w:color="000000"/>
              <w:bottom w:val="single" w:sz="4" w:space="0" w:color="auto"/>
              <w:right w:val="single" w:sz="4" w:space="0" w:color="auto"/>
            </w:tcBorders>
            <w:vAlign w:val="center"/>
            <w:hideMark/>
          </w:tcPr>
          <w:p w:rsidR="00F63517" w:rsidRPr="00A42123" w:rsidRDefault="001D3895" w:rsidP="001D3895">
            <w:pPr>
              <w:spacing w:line="180" w:lineRule="exact"/>
              <w:jc w:val="left"/>
              <w:rPr>
                <w:color w:val="auto"/>
                <w:sz w:val="18"/>
                <w:szCs w:val="18"/>
              </w:rPr>
            </w:pPr>
            <w:r>
              <w:rPr>
                <w:color w:val="auto"/>
                <w:sz w:val="18"/>
                <w:szCs w:val="18"/>
              </w:rPr>
              <w:t>Ulnar Neuropathy</w:t>
            </w:r>
          </w:p>
        </w:tc>
        <w:tc>
          <w:tcPr>
            <w:tcW w:w="1353" w:type="dxa"/>
            <w:gridSpan w:val="2"/>
            <w:tcBorders>
              <w:top w:val="single" w:sz="4" w:space="0" w:color="auto"/>
              <w:left w:val="single" w:sz="4" w:space="0" w:color="auto"/>
              <w:bottom w:val="single" w:sz="4" w:space="0" w:color="auto"/>
              <w:right w:val="thinThickThinSmallGap" w:sz="24" w:space="0" w:color="000000"/>
            </w:tcBorders>
            <w:vAlign w:val="center"/>
          </w:tcPr>
          <w:p w:rsidR="00F63517" w:rsidRPr="00A42123" w:rsidRDefault="001D3895" w:rsidP="00F63517">
            <w:pPr>
              <w:spacing w:line="180" w:lineRule="exact"/>
              <w:rPr>
                <w:color w:val="auto"/>
                <w:sz w:val="18"/>
                <w:szCs w:val="18"/>
              </w:rPr>
            </w:pPr>
            <w:r w:rsidRPr="00534319">
              <w:rPr>
                <w:color w:val="auto"/>
                <w:sz w:val="18"/>
                <w:szCs w:val="18"/>
              </w:rPr>
              <w:t>Associated</w:t>
            </w:r>
          </w:p>
        </w:tc>
        <w:tc>
          <w:tcPr>
            <w:tcW w:w="2880" w:type="dxa"/>
            <w:tcBorders>
              <w:top w:val="single" w:sz="4" w:space="0" w:color="000000"/>
              <w:left w:val="thinThickThinSmallGap" w:sz="24" w:space="0" w:color="auto"/>
              <w:bottom w:val="single" w:sz="4" w:space="0" w:color="000000"/>
              <w:right w:val="single" w:sz="4" w:space="0" w:color="auto"/>
            </w:tcBorders>
            <w:shd w:val="clear" w:color="auto" w:fill="FFFFFF"/>
            <w:vAlign w:val="center"/>
            <w:hideMark/>
          </w:tcPr>
          <w:p w:rsidR="00F63517" w:rsidRPr="00A42123" w:rsidRDefault="00F63517" w:rsidP="00F63517">
            <w:pPr>
              <w:spacing w:line="180" w:lineRule="exact"/>
              <w:jc w:val="left"/>
              <w:rPr>
                <w:color w:val="auto"/>
                <w:sz w:val="18"/>
                <w:szCs w:val="18"/>
              </w:rPr>
            </w:pPr>
            <w:r>
              <w:rPr>
                <w:color w:val="auto"/>
                <w:sz w:val="18"/>
                <w:szCs w:val="18"/>
              </w:rPr>
              <w:t>Ulnar Neuropathy, Left Hand</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63517" w:rsidRPr="00A42123" w:rsidRDefault="00F63517" w:rsidP="00F63517">
            <w:pPr>
              <w:spacing w:line="180" w:lineRule="exact"/>
              <w:rPr>
                <w:color w:val="auto"/>
                <w:sz w:val="18"/>
                <w:szCs w:val="18"/>
              </w:rPr>
            </w:pPr>
            <w:r w:rsidRPr="00A42123">
              <w:rPr>
                <w:color w:val="auto"/>
                <w:sz w:val="18"/>
                <w:szCs w:val="18"/>
              </w:rPr>
              <w:t>8616</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63517" w:rsidRPr="00A42123" w:rsidRDefault="00F63517" w:rsidP="00F63517">
            <w:pPr>
              <w:spacing w:line="180" w:lineRule="exact"/>
              <w:rPr>
                <w:color w:val="auto"/>
                <w:sz w:val="18"/>
                <w:szCs w:val="18"/>
              </w:rPr>
            </w:pPr>
            <w:r w:rsidRPr="00A42123">
              <w:rPr>
                <w:color w:val="auto"/>
                <w:sz w:val="18"/>
                <w:szCs w:val="18"/>
              </w:rPr>
              <w:t>10%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63517" w:rsidRPr="00A42123" w:rsidRDefault="00F63517" w:rsidP="00F63517">
            <w:pPr>
              <w:spacing w:line="180" w:lineRule="exact"/>
              <w:rPr>
                <w:color w:val="auto"/>
                <w:sz w:val="18"/>
                <w:szCs w:val="18"/>
              </w:rPr>
            </w:pPr>
            <w:r w:rsidRPr="00A42123">
              <w:rPr>
                <w:color w:val="auto"/>
                <w:sz w:val="18"/>
                <w:szCs w:val="18"/>
              </w:rPr>
              <w:t>20020626</w:t>
            </w:r>
          </w:p>
        </w:tc>
      </w:tr>
      <w:tr w:rsidR="00E307B1" w:rsidRPr="00A42123" w:rsidTr="001D3895">
        <w:trPr>
          <w:trHeight w:val="260"/>
        </w:trPr>
        <w:tc>
          <w:tcPr>
            <w:tcW w:w="4158" w:type="dxa"/>
            <w:gridSpan w:val="3"/>
            <w:tcBorders>
              <w:top w:val="single" w:sz="4" w:space="0" w:color="auto"/>
              <w:left w:val="single" w:sz="4" w:space="0" w:color="000000"/>
              <w:bottom w:val="single" w:sz="4" w:space="0" w:color="000000"/>
              <w:right w:val="thinThickThinSmallGap" w:sz="24" w:space="0" w:color="000000"/>
            </w:tcBorders>
            <w:shd w:val="clear" w:color="auto" w:fill="FFFFFF"/>
            <w:vAlign w:val="center"/>
            <w:hideMark/>
          </w:tcPr>
          <w:p w:rsidR="00E307B1" w:rsidRPr="00A42123" w:rsidRDefault="00F63517" w:rsidP="001D3895">
            <w:pPr>
              <w:spacing w:line="180" w:lineRule="exact"/>
              <w:rPr>
                <w:color w:val="auto"/>
                <w:sz w:val="18"/>
                <w:szCs w:val="18"/>
              </w:rPr>
            </w:pPr>
            <w:r w:rsidRPr="00A42123">
              <w:rPr>
                <w:color w:val="auto"/>
                <w:sz w:val="18"/>
                <w:szCs w:val="18"/>
              </w:rPr>
              <w:t>↓No Additional MEB/PEB Entries↓</w:t>
            </w:r>
          </w:p>
        </w:tc>
        <w:tc>
          <w:tcPr>
            <w:tcW w:w="4320" w:type="dxa"/>
            <w:gridSpan w:val="3"/>
            <w:tcBorders>
              <w:top w:val="single" w:sz="4" w:space="0" w:color="000000"/>
              <w:left w:val="thinThickThinSmallGap" w:sz="24" w:space="0" w:color="000000"/>
              <w:bottom w:val="single" w:sz="4" w:space="0" w:color="000000"/>
              <w:right w:val="single" w:sz="4" w:space="0" w:color="000000"/>
            </w:tcBorders>
            <w:shd w:val="clear" w:color="auto" w:fill="FFFFFF"/>
            <w:vAlign w:val="center"/>
            <w:hideMark/>
          </w:tcPr>
          <w:p w:rsidR="00E307B1" w:rsidRPr="00A42123" w:rsidRDefault="00E307B1" w:rsidP="00F63517">
            <w:pPr>
              <w:spacing w:line="180" w:lineRule="exact"/>
              <w:rPr>
                <w:color w:val="auto"/>
                <w:sz w:val="18"/>
                <w:szCs w:val="18"/>
              </w:rPr>
            </w:pPr>
            <w:r w:rsidRPr="00A42123">
              <w:rPr>
                <w:color w:val="auto"/>
                <w:sz w:val="18"/>
                <w:szCs w:val="18"/>
              </w:rPr>
              <w:t>Not Service Connected x 1</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307B1" w:rsidRPr="00A42123" w:rsidRDefault="00E307B1" w:rsidP="00F63517">
            <w:pPr>
              <w:spacing w:line="180" w:lineRule="exact"/>
              <w:rPr>
                <w:color w:val="auto"/>
                <w:sz w:val="18"/>
                <w:szCs w:val="18"/>
              </w:rPr>
            </w:pPr>
            <w:r w:rsidRPr="00A42123">
              <w:rPr>
                <w:color w:val="auto"/>
                <w:sz w:val="18"/>
                <w:szCs w:val="18"/>
              </w:rPr>
              <w:t>20020626</w:t>
            </w:r>
          </w:p>
        </w:tc>
      </w:tr>
      <w:tr w:rsidR="00A42123" w:rsidRPr="00A42123" w:rsidTr="00F63517">
        <w:trPr>
          <w:trHeight w:val="242"/>
        </w:trPr>
        <w:tc>
          <w:tcPr>
            <w:tcW w:w="4158" w:type="dxa"/>
            <w:gridSpan w:val="3"/>
            <w:tcBorders>
              <w:top w:val="single" w:sz="4" w:space="0" w:color="000000"/>
              <w:left w:val="single" w:sz="4" w:space="0" w:color="000000"/>
              <w:bottom w:val="single" w:sz="4" w:space="0" w:color="000000"/>
              <w:right w:val="thinThickThinSmallGap" w:sz="24" w:space="0" w:color="000000"/>
            </w:tcBorders>
            <w:shd w:val="clear" w:color="auto" w:fill="D9D9D9"/>
            <w:vAlign w:val="center"/>
            <w:hideMark/>
          </w:tcPr>
          <w:p w:rsidR="00A42123" w:rsidRPr="00A42123" w:rsidRDefault="00A42123" w:rsidP="00F63517">
            <w:pPr>
              <w:rPr>
                <w:b/>
                <w:color w:val="auto"/>
                <w:sz w:val="18"/>
                <w:szCs w:val="18"/>
              </w:rPr>
            </w:pPr>
            <w:r w:rsidRPr="00A42123">
              <w:rPr>
                <w:b/>
                <w:color w:val="auto"/>
                <w:sz w:val="18"/>
                <w:szCs w:val="18"/>
              </w:rPr>
              <w:t>Combined:  20%</w:t>
            </w:r>
          </w:p>
        </w:tc>
        <w:tc>
          <w:tcPr>
            <w:tcW w:w="5310" w:type="dxa"/>
            <w:gridSpan w:val="4"/>
            <w:tcBorders>
              <w:top w:val="single" w:sz="4" w:space="0" w:color="000000"/>
              <w:left w:val="thinThickThinSmallGap" w:sz="24" w:space="0" w:color="000000"/>
              <w:bottom w:val="single" w:sz="4" w:space="0" w:color="000000"/>
              <w:right w:val="single" w:sz="4" w:space="0" w:color="000000"/>
            </w:tcBorders>
            <w:shd w:val="clear" w:color="auto" w:fill="D9D9D9"/>
            <w:vAlign w:val="center"/>
            <w:hideMark/>
          </w:tcPr>
          <w:p w:rsidR="00A42123" w:rsidRPr="00A42123" w:rsidRDefault="00A42123" w:rsidP="00F63517">
            <w:pPr>
              <w:rPr>
                <w:b/>
                <w:color w:val="auto"/>
                <w:sz w:val="18"/>
                <w:szCs w:val="18"/>
              </w:rPr>
            </w:pPr>
            <w:r w:rsidRPr="00A42123">
              <w:rPr>
                <w:b/>
                <w:color w:val="auto"/>
                <w:sz w:val="18"/>
                <w:szCs w:val="18"/>
              </w:rPr>
              <w:t>Combined:  30%</w:t>
            </w:r>
          </w:p>
        </w:tc>
      </w:tr>
    </w:tbl>
    <w:p w:rsidR="00AD2379" w:rsidRDefault="00AD2379" w:rsidP="00165C7B">
      <w:pPr>
        <w:jc w:val="both"/>
        <w:rPr>
          <w:color w:val="auto"/>
        </w:rPr>
      </w:pPr>
    </w:p>
    <w:p w:rsidR="008E1037" w:rsidRDefault="008E1037" w:rsidP="00165C7B">
      <w:pPr>
        <w:jc w:val="both"/>
        <w:rPr>
          <w:color w:val="auto"/>
        </w:rPr>
      </w:pPr>
    </w:p>
    <w:p w:rsidR="008E1037" w:rsidRPr="00F64312" w:rsidRDefault="008E1037" w:rsidP="00165C7B">
      <w:pPr>
        <w:jc w:val="both"/>
        <w:rPr>
          <w:color w:val="auto"/>
        </w:rPr>
      </w:pPr>
    </w:p>
    <w:p w:rsidR="00AD2379" w:rsidRPr="00591722" w:rsidRDefault="00AD2379" w:rsidP="00DA57FE">
      <w:pPr>
        <w:tabs>
          <w:tab w:val="left" w:pos="288"/>
          <w:tab w:val="left" w:pos="4752"/>
        </w:tabs>
        <w:jc w:val="both"/>
        <w:rPr>
          <w:color w:val="auto"/>
        </w:rPr>
      </w:pPr>
      <w:r w:rsidRPr="00F64312">
        <w:rPr>
          <w:color w:val="auto"/>
          <w:u w:val="single"/>
        </w:rPr>
        <w:lastRenderedPageBreak/>
        <w:t>ANALYSIS SUMMARY</w:t>
      </w:r>
      <w:r w:rsidRPr="00F64312">
        <w:rPr>
          <w:color w:val="auto"/>
        </w:rPr>
        <w:t>:</w:t>
      </w:r>
      <w:r w:rsidR="00896C01" w:rsidRPr="00F64312">
        <w:rPr>
          <w:color w:val="auto"/>
        </w:rPr>
        <w:t xml:space="preserve"> </w:t>
      </w:r>
      <w:r w:rsidRPr="00F64312">
        <w:rPr>
          <w:color w:val="auto"/>
        </w:rPr>
        <w:t xml:space="preserve"> </w:t>
      </w:r>
      <w:r w:rsidR="00DA57FE" w:rsidRPr="00591722">
        <w:rPr>
          <w:color w:val="auto"/>
          <w:szCs w:val="24"/>
        </w:rPr>
        <w:t>The Board acknowledges the CI’s contention that suggests ratings should have been conferred for other conditions documented at the time of separation.  The Board wishes to clarify that it i</w:t>
      </w:r>
      <w:r w:rsidR="00186671" w:rsidRPr="00591722">
        <w:rPr>
          <w:color w:val="auto"/>
          <w:szCs w:val="24"/>
        </w:rPr>
        <w:t>s subject to the same laws for s</w:t>
      </w:r>
      <w:r w:rsidR="00DA57FE" w:rsidRPr="00591722">
        <w:rPr>
          <w:color w:val="auto"/>
          <w:szCs w:val="24"/>
        </w:rPr>
        <w:t xml:space="preserve">ervice disability entitlements as those under which the Disability Evaluation System (DES) operates.  While the DES considers all of the member's medical conditions, compensation can only be offered for those medical conditions that cut short a member’s career, and then only to the degree of severity present at the time of final disposition.  However the Department of Veteran Affairs (DVA), operating under a different set of laws (Title 38, United States Code), is empowered to compensate all service connected conditions and to periodically reevaluate said conditions for the purpose of adjusting the </w:t>
      </w:r>
      <w:r w:rsidR="009471B2">
        <w:rPr>
          <w:color w:val="auto"/>
          <w:szCs w:val="24"/>
        </w:rPr>
        <w:t>V</w:t>
      </w:r>
      <w:r w:rsidR="00DA57FE" w:rsidRPr="00591722">
        <w:rPr>
          <w:color w:val="auto"/>
          <w:szCs w:val="24"/>
        </w:rPr>
        <w:t xml:space="preserve">eteran’s disability rating should </w:t>
      </w:r>
      <w:r w:rsidR="00B64238">
        <w:rPr>
          <w:color w:val="auto"/>
          <w:szCs w:val="24"/>
        </w:rPr>
        <w:t>the</w:t>
      </w:r>
      <w:r w:rsidR="00DA57FE" w:rsidRPr="00591722">
        <w:rPr>
          <w:color w:val="auto"/>
          <w:szCs w:val="24"/>
        </w:rPr>
        <w:t xml:space="preserve"> degree of impairment vary over time.</w:t>
      </w:r>
    </w:p>
    <w:p w:rsidR="00AD2379" w:rsidRPr="00F64312" w:rsidRDefault="00AD2379" w:rsidP="00B22D42">
      <w:pPr>
        <w:jc w:val="both"/>
        <w:rPr>
          <w:color w:val="auto"/>
          <w:highlight w:val="yellow"/>
        </w:rPr>
      </w:pPr>
    </w:p>
    <w:p w:rsidR="0069687C" w:rsidRPr="00F64312" w:rsidRDefault="00DD181E" w:rsidP="0069687C">
      <w:pPr>
        <w:jc w:val="both"/>
        <w:rPr>
          <w:color w:val="auto"/>
          <w:szCs w:val="24"/>
        </w:rPr>
      </w:pPr>
      <w:r w:rsidRPr="00767D82">
        <w:rPr>
          <w:color w:val="auto"/>
          <w:u w:val="single"/>
        </w:rPr>
        <w:t>Left Shoulder</w:t>
      </w:r>
      <w:r w:rsidR="00AD2379" w:rsidRPr="00767D82">
        <w:rPr>
          <w:color w:val="auto"/>
          <w:u w:val="single"/>
        </w:rPr>
        <w:t xml:space="preserve"> Condition</w:t>
      </w:r>
      <w:r w:rsidR="00767D82">
        <w:rPr>
          <w:color w:val="auto"/>
        </w:rPr>
        <w:t xml:space="preserve">.  </w:t>
      </w:r>
      <w:r w:rsidR="0075373B" w:rsidRPr="00767D82">
        <w:rPr>
          <w:color w:val="auto"/>
        </w:rPr>
        <w:t>The</w:t>
      </w:r>
      <w:r w:rsidR="0075373B">
        <w:rPr>
          <w:color w:val="auto"/>
        </w:rPr>
        <w:t xml:space="preserve"> first </w:t>
      </w:r>
      <w:r w:rsidR="00396468">
        <w:rPr>
          <w:color w:val="auto"/>
        </w:rPr>
        <w:t xml:space="preserve">non-dominant left shoulder </w:t>
      </w:r>
      <w:r w:rsidR="0075373B">
        <w:rPr>
          <w:color w:val="auto"/>
        </w:rPr>
        <w:t xml:space="preserve">dislocation occurred while lifting weights.  </w:t>
      </w:r>
      <w:r w:rsidR="00F16FA1">
        <w:rPr>
          <w:color w:val="auto"/>
        </w:rPr>
        <w:t>Recurrent dislocations required an</w:t>
      </w:r>
      <w:r w:rsidR="0075373B">
        <w:rPr>
          <w:color w:val="auto"/>
        </w:rPr>
        <w:t xml:space="preserve"> open inferior capsular shift </w:t>
      </w:r>
      <w:r w:rsidR="00F16FA1">
        <w:rPr>
          <w:color w:val="auto"/>
        </w:rPr>
        <w:t xml:space="preserve">procedure, which </w:t>
      </w:r>
      <w:r w:rsidR="0075373B">
        <w:rPr>
          <w:color w:val="auto"/>
        </w:rPr>
        <w:t xml:space="preserve">was performed on </w:t>
      </w:r>
      <w:r w:rsidR="00847A2D">
        <w:rPr>
          <w:color w:val="auto"/>
        </w:rPr>
        <w:t xml:space="preserve">2 November </w:t>
      </w:r>
      <w:r w:rsidR="0075373B">
        <w:rPr>
          <w:color w:val="auto"/>
        </w:rPr>
        <w:t>1999</w:t>
      </w:r>
      <w:r w:rsidR="00F16FA1">
        <w:rPr>
          <w:color w:val="auto"/>
        </w:rPr>
        <w:t xml:space="preserve">.  </w:t>
      </w:r>
      <w:r w:rsidR="009B7CAC">
        <w:rPr>
          <w:color w:val="auto"/>
        </w:rPr>
        <w:t xml:space="preserve">Instability recurred a year later, necessitating a second surgery (arthroscopic electrothermal capsular shrinkage, posterior labrum debridement) </w:t>
      </w:r>
      <w:r w:rsidR="009471B2">
        <w:rPr>
          <w:color w:val="auto"/>
        </w:rPr>
        <w:t xml:space="preserve">performed </w:t>
      </w:r>
      <w:r w:rsidR="009B7CAC">
        <w:rPr>
          <w:color w:val="auto"/>
        </w:rPr>
        <w:t xml:space="preserve">on </w:t>
      </w:r>
      <w:r w:rsidR="00847A2D">
        <w:rPr>
          <w:color w:val="auto"/>
        </w:rPr>
        <w:t xml:space="preserve">29 March </w:t>
      </w:r>
      <w:r w:rsidR="009B7CAC">
        <w:rPr>
          <w:color w:val="auto"/>
        </w:rPr>
        <w:t xml:space="preserve">2001.  </w:t>
      </w:r>
      <w:r w:rsidR="003972E3">
        <w:rPr>
          <w:color w:val="auto"/>
        </w:rPr>
        <w:t>Shoulder d</w:t>
      </w:r>
      <w:r w:rsidR="009B7CAC">
        <w:rPr>
          <w:color w:val="auto"/>
        </w:rPr>
        <w:t xml:space="preserve">islocations began again </w:t>
      </w:r>
      <w:r w:rsidR="009471B2">
        <w:rPr>
          <w:color w:val="auto"/>
        </w:rPr>
        <w:t>2</w:t>
      </w:r>
      <w:r w:rsidR="009B7CAC">
        <w:rPr>
          <w:color w:val="auto"/>
        </w:rPr>
        <w:t xml:space="preserve"> months post-operatively.</w:t>
      </w:r>
      <w:r w:rsidR="004F68D7">
        <w:rPr>
          <w:color w:val="auto"/>
        </w:rPr>
        <w:t xml:space="preserve"> </w:t>
      </w:r>
      <w:r w:rsidR="009471B2">
        <w:rPr>
          <w:color w:val="auto"/>
        </w:rPr>
        <w:t xml:space="preserve"> </w:t>
      </w:r>
      <w:r w:rsidR="004F68D7">
        <w:rPr>
          <w:color w:val="000000"/>
        </w:rPr>
        <w:t xml:space="preserve">The CI </w:t>
      </w:r>
      <w:r w:rsidR="00767D82">
        <w:rPr>
          <w:color w:val="000000"/>
        </w:rPr>
        <w:t xml:space="preserve">also </w:t>
      </w:r>
      <w:r w:rsidR="004F68D7">
        <w:rPr>
          <w:color w:val="000000"/>
        </w:rPr>
        <w:t xml:space="preserve">experienced symptoms suggestive of </w:t>
      </w:r>
      <w:r w:rsidR="00767D82">
        <w:rPr>
          <w:color w:val="000000"/>
        </w:rPr>
        <w:t xml:space="preserve">left </w:t>
      </w:r>
      <w:r w:rsidR="004F68D7">
        <w:rPr>
          <w:color w:val="000000"/>
        </w:rPr>
        <w:t xml:space="preserve">ulnar neuropathy, </w:t>
      </w:r>
      <w:r w:rsidR="00767D82">
        <w:rPr>
          <w:color w:val="000000"/>
        </w:rPr>
        <w:t>which</w:t>
      </w:r>
      <w:r w:rsidR="004F68D7">
        <w:rPr>
          <w:color w:val="000000"/>
        </w:rPr>
        <w:t xml:space="preserve"> was manifested by numbness of the left ring and little finger</w:t>
      </w:r>
      <w:r w:rsidR="00676A0D">
        <w:rPr>
          <w:color w:val="000000"/>
        </w:rPr>
        <w:t>s</w:t>
      </w:r>
      <w:r w:rsidR="00767D82">
        <w:rPr>
          <w:color w:val="000000"/>
        </w:rPr>
        <w:t>.  This</w:t>
      </w:r>
      <w:r w:rsidR="004F68D7">
        <w:rPr>
          <w:color w:val="000000"/>
        </w:rPr>
        <w:t xml:space="preserve"> was initially intermittent, but became more constant over time.</w:t>
      </w:r>
      <w:r w:rsidR="009B6356">
        <w:rPr>
          <w:color w:val="000000"/>
        </w:rPr>
        <w:t xml:space="preserve">  </w:t>
      </w:r>
      <w:r w:rsidR="0069687C" w:rsidRPr="00F64312">
        <w:rPr>
          <w:color w:val="auto"/>
          <w:szCs w:val="24"/>
        </w:rPr>
        <w:t xml:space="preserve">There were </w:t>
      </w:r>
      <w:r w:rsidR="009B7CAC">
        <w:rPr>
          <w:color w:val="auto"/>
          <w:szCs w:val="24"/>
        </w:rPr>
        <w:t>two</w:t>
      </w:r>
      <w:r w:rsidR="00001EFC">
        <w:rPr>
          <w:color w:val="auto"/>
          <w:szCs w:val="24"/>
        </w:rPr>
        <w:t xml:space="preserve"> goniometric range</w:t>
      </w:r>
      <w:r w:rsidR="009471B2">
        <w:rPr>
          <w:color w:val="auto"/>
          <w:szCs w:val="24"/>
        </w:rPr>
        <w:t>-</w:t>
      </w:r>
      <w:r w:rsidR="00001EFC">
        <w:rPr>
          <w:color w:val="auto"/>
          <w:szCs w:val="24"/>
        </w:rPr>
        <w:t>of</w:t>
      </w:r>
      <w:r w:rsidR="009471B2">
        <w:rPr>
          <w:color w:val="auto"/>
          <w:szCs w:val="24"/>
        </w:rPr>
        <w:t>-</w:t>
      </w:r>
      <w:r w:rsidR="0069687C" w:rsidRPr="00F64312">
        <w:rPr>
          <w:color w:val="auto"/>
          <w:szCs w:val="24"/>
        </w:rPr>
        <w:t>motion (ROM) evaluations in evidence, with documentation of additional ratable criteria, which the Board weighed in arrivi</w:t>
      </w:r>
      <w:r w:rsidR="00A04F23">
        <w:rPr>
          <w:color w:val="auto"/>
          <w:szCs w:val="24"/>
        </w:rPr>
        <w:t>ng at its rating recommendation,</w:t>
      </w:r>
      <w:r w:rsidR="0069687C" w:rsidRPr="00F64312">
        <w:rPr>
          <w:color w:val="auto"/>
          <w:szCs w:val="24"/>
        </w:rPr>
        <w:t xml:space="preserve"> as summarized in the chart below.</w:t>
      </w:r>
    </w:p>
    <w:p w:rsidR="009B7CAC" w:rsidRDefault="009B7CAC" w:rsidP="0069687C">
      <w:pPr>
        <w:jc w:val="both"/>
        <w:rPr>
          <w:color w:val="auto"/>
          <w:szCs w:val="24"/>
        </w:rPr>
      </w:pPr>
    </w:p>
    <w:tbl>
      <w:tblPr>
        <w:tblW w:w="7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15"/>
        <w:gridCol w:w="2312"/>
        <w:gridCol w:w="2827"/>
      </w:tblGrid>
      <w:tr w:rsidR="00186671" w:rsidRPr="00F64312" w:rsidTr="00C126A5">
        <w:trPr>
          <w:jc w:val="center"/>
        </w:trPr>
        <w:tc>
          <w:tcPr>
            <w:tcW w:w="2115" w:type="dxa"/>
            <w:shd w:val="clear" w:color="auto" w:fill="D9D9D9"/>
            <w:vAlign w:val="center"/>
          </w:tcPr>
          <w:p w:rsidR="00186671" w:rsidRPr="00847A2D" w:rsidRDefault="00186671" w:rsidP="00B8183F">
            <w:pPr>
              <w:contextualSpacing/>
              <w:rPr>
                <w:rFonts w:eastAsia="Calibri"/>
                <w:color w:val="auto"/>
                <w:sz w:val="18"/>
                <w:szCs w:val="18"/>
              </w:rPr>
            </w:pPr>
            <w:r w:rsidRPr="00847A2D">
              <w:rPr>
                <w:rFonts w:eastAsia="Calibri"/>
                <w:color w:val="auto"/>
                <w:sz w:val="18"/>
                <w:szCs w:val="18"/>
              </w:rPr>
              <w:t>Left Shoulder ROM</w:t>
            </w:r>
          </w:p>
        </w:tc>
        <w:tc>
          <w:tcPr>
            <w:tcW w:w="2312" w:type="dxa"/>
            <w:shd w:val="clear" w:color="auto" w:fill="D9D9D9"/>
            <w:vAlign w:val="center"/>
          </w:tcPr>
          <w:p w:rsidR="00186671" w:rsidRPr="00847A2D" w:rsidRDefault="00C126A5" w:rsidP="001C58B4">
            <w:pPr>
              <w:contextualSpacing/>
              <w:rPr>
                <w:rFonts w:eastAsia="Cambria"/>
                <w:color w:val="auto"/>
                <w:sz w:val="18"/>
                <w:szCs w:val="18"/>
              </w:rPr>
            </w:pPr>
            <w:r w:rsidRPr="00847A2D">
              <w:rPr>
                <w:rFonts w:eastAsia="Calibri"/>
                <w:color w:val="auto"/>
                <w:sz w:val="18"/>
                <w:szCs w:val="18"/>
              </w:rPr>
              <w:t>VA</w:t>
            </w:r>
            <w:r w:rsidRPr="00847A2D">
              <w:rPr>
                <w:rFonts w:eastAsia="Cambria"/>
                <w:color w:val="auto"/>
                <w:sz w:val="18"/>
                <w:szCs w:val="18"/>
              </w:rPr>
              <w:t xml:space="preserve"> C&amp;P ~</w:t>
            </w:r>
            <w:r w:rsidR="009A4252" w:rsidRPr="00847A2D">
              <w:rPr>
                <w:rFonts w:eastAsia="Cambria"/>
                <w:color w:val="auto"/>
                <w:sz w:val="18"/>
                <w:szCs w:val="18"/>
              </w:rPr>
              <w:t>5.5</w:t>
            </w:r>
            <w:r w:rsidRPr="00847A2D">
              <w:rPr>
                <w:rFonts w:eastAsia="Cambria"/>
                <w:color w:val="auto"/>
                <w:sz w:val="18"/>
                <w:szCs w:val="18"/>
              </w:rPr>
              <w:t xml:space="preserve"> Mo. Pre-Sep</w:t>
            </w:r>
          </w:p>
        </w:tc>
        <w:tc>
          <w:tcPr>
            <w:tcW w:w="2827" w:type="dxa"/>
            <w:shd w:val="clear" w:color="auto" w:fill="D9D9D9"/>
            <w:vAlign w:val="center"/>
          </w:tcPr>
          <w:p w:rsidR="00186671" w:rsidRPr="00847A2D" w:rsidRDefault="00C126A5" w:rsidP="001C58B4">
            <w:pPr>
              <w:contextualSpacing/>
              <w:rPr>
                <w:rFonts w:eastAsia="Calibri"/>
                <w:color w:val="auto"/>
                <w:sz w:val="18"/>
                <w:szCs w:val="18"/>
              </w:rPr>
            </w:pPr>
            <w:r w:rsidRPr="00847A2D">
              <w:rPr>
                <w:rFonts w:eastAsia="Calibri"/>
                <w:color w:val="auto"/>
                <w:sz w:val="18"/>
                <w:szCs w:val="18"/>
              </w:rPr>
              <w:t>NARSUM ~5 Mo. Pre-Sep</w:t>
            </w:r>
          </w:p>
        </w:tc>
      </w:tr>
      <w:tr w:rsidR="00186671" w:rsidRPr="00F64312" w:rsidTr="00B8183F">
        <w:trPr>
          <w:jc w:val="center"/>
        </w:trPr>
        <w:tc>
          <w:tcPr>
            <w:tcW w:w="2115" w:type="dxa"/>
            <w:vAlign w:val="center"/>
          </w:tcPr>
          <w:p w:rsidR="00186671" w:rsidRPr="00847A2D" w:rsidRDefault="00186671" w:rsidP="00B8183F">
            <w:pPr>
              <w:contextualSpacing/>
              <w:rPr>
                <w:rFonts w:eastAsia="Calibri"/>
                <w:color w:val="auto"/>
                <w:sz w:val="18"/>
                <w:szCs w:val="18"/>
              </w:rPr>
            </w:pPr>
            <w:r w:rsidRPr="00847A2D">
              <w:rPr>
                <w:rFonts w:eastAsia="Calibri"/>
                <w:color w:val="auto"/>
                <w:sz w:val="18"/>
                <w:szCs w:val="18"/>
              </w:rPr>
              <w:t>Flexion (0-180⁰)</w:t>
            </w:r>
          </w:p>
        </w:tc>
        <w:tc>
          <w:tcPr>
            <w:tcW w:w="2312" w:type="dxa"/>
            <w:vAlign w:val="center"/>
          </w:tcPr>
          <w:p w:rsidR="00186671" w:rsidRPr="00847A2D" w:rsidRDefault="00C126A5" w:rsidP="00B8183F">
            <w:pPr>
              <w:contextualSpacing/>
              <w:rPr>
                <w:rFonts w:eastAsia="Calibri"/>
                <w:color w:val="auto"/>
                <w:sz w:val="18"/>
                <w:szCs w:val="18"/>
              </w:rPr>
            </w:pPr>
            <w:r w:rsidRPr="00847A2D">
              <w:rPr>
                <w:rFonts w:eastAsia="Calibri"/>
                <w:color w:val="auto"/>
                <w:sz w:val="18"/>
                <w:szCs w:val="18"/>
              </w:rPr>
              <w:t>112</w:t>
            </w:r>
            <w:r w:rsidR="00186671" w:rsidRPr="00847A2D">
              <w:rPr>
                <w:rFonts w:eastAsia="Calibri"/>
                <w:color w:val="auto"/>
                <w:sz w:val="18"/>
                <w:szCs w:val="18"/>
              </w:rPr>
              <w:t>⁰</w:t>
            </w:r>
          </w:p>
        </w:tc>
        <w:tc>
          <w:tcPr>
            <w:tcW w:w="2827" w:type="dxa"/>
            <w:vAlign w:val="center"/>
          </w:tcPr>
          <w:p w:rsidR="00186671" w:rsidRPr="00847A2D" w:rsidRDefault="00C126A5" w:rsidP="00B8183F">
            <w:pPr>
              <w:contextualSpacing/>
              <w:rPr>
                <w:rFonts w:eastAsia="Calibri"/>
                <w:color w:val="auto"/>
                <w:sz w:val="18"/>
                <w:szCs w:val="18"/>
              </w:rPr>
            </w:pPr>
            <w:r w:rsidRPr="00847A2D">
              <w:rPr>
                <w:rFonts w:eastAsia="Calibri"/>
                <w:color w:val="auto"/>
                <w:sz w:val="18"/>
                <w:szCs w:val="18"/>
              </w:rPr>
              <w:t>150</w:t>
            </w:r>
            <w:r w:rsidR="00186671" w:rsidRPr="00847A2D">
              <w:rPr>
                <w:rFonts w:eastAsia="Calibri"/>
                <w:color w:val="auto"/>
                <w:sz w:val="18"/>
                <w:szCs w:val="18"/>
              </w:rPr>
              <w:t>⁰</w:t>
            </w:r>
          </w:p>
        </w:tc>
      </w:tr>
      <w:tr w:rsidR="00186671" w:rsidRPr="00F64312" w:rsidTr="00B8183F">
        <w:trPr>
          <w:jc w:val="center"/>
        </w:trPr>
        <w:tc>
          <w:tcPr>
            <w:tcW w:w="2115" w:type="dxa"/>
            <w:vAlign w:val="center"/>
          </w:tcPr>
          <w:p w:rsidR="00186671" w:rsidRPr="00847A2D" w:rsidRDefault="00186671" w:rsidP="00B8183F">
            <w:pPr>
              <w:contextualSpacing/>
              <w:rPr>
                <w:rFonts w:eastAsia="Calibri"/>
                <w:color w:val="auto"/>
                <w:sz w:val="18"/>
                <w:szCs w:val="18"/>
              </w:rPr>
            </w:pPr>
            <w:r w:rsidRPr="00847A2D">
              <w:rPr>
                <w:rFonts w:eastAsia="Calibri"/>
                <w:color w:val="auto"/>
                <w:sz w:val="18"/>
                <w:szCs w:val="18"/>
              </w:rPr>
              <w:t>Abduction (0-180⁰)</w:t>
            </w:r>
          </w:p>
        </w:tc>
        <w:tc>
          <w:tcPr>
            <w:tcW w:w="2312" w:type="dxa"/>
            <w:vAlign w:val="center"/>
          </w:tcPr>
          <w:p w:rsidR="00186671" w:rsidRPr="00847A2D" w:rsidRDefault="00C126A5" w:rsidP="00B8183F">
            <w:pPr>
              <w:contextualSpacing/>
              <w:rPr>
                <w:rFonts w:eastAsia="Calibri"/>
                <w:color w:val="auto"/>
                <w:sz w:val="18"/>
                <w:szCs w:val="18"/>
              </w:rPr>
            </w:pPr>
            <w:r w:rsidRPr="00847A2D">
              <w:rPr>
                <w:rFonts w:eastAsia="Calibri"/>
                <w:color w:val="auto"/>
                <w:sz w:val="18"/>
                <w:szCs w:val="18"/>
              </w:rPr>
              <w:t>99</w:t>
            </w:r>
            <w:r w:rsidR="00186671" w:rsidRPr="00847A2D">
              <w:rPr>
                <w:rFonts w:eastAsia="Calibri"/>
                <w:color w:val="auto"/>
                <w:sz w:val="18"/>
                <w:szCs w:val="18"/>
              </w:rPr>
              <w:t>⁰</w:t>
            </w:r>
          </w:p>
        </w:tc>
        <w:tc>
          <w:tcPr>
            <w:tcW w:w="2827" w:type="dxa"/>
            <w:vAlign w:val="center"/>
          </w:tcPr>
          <w:p w:rsidR="00186671" w:rsidRPr="00847A2D" w:rsidRDefault="00C126A5" w:rsidP="00B8183F">
            <w:pPr>
              <w:contextualSpacing/>
              <w:rPr>
                <w:rFonts w:eastAsia="Calibri"/>
                <w:color w:val="auto"/>
                <w:sz w:val="18"/>
                <w:szCs w:val="18"/>
              </w:rPr>
            </w:pPr>
            <w:r w:rsidRPr="00847A2D">
              <w:rPr>
                <w:rFonts w:eastAsia="Calibri"/>
                <w:color w:val="auto"/>
                <w:sz w:val="18"/>
                <w:szCs w:val="18"/>
              </w:rPr>
              <w:t>150</w:t>
            </w:r>
            <w:r w:rsidR="00186671" w:rsidRPr="00847A2D">
              <w:rPr>
                <w:rFonts w:eastAsia="Calibri"/>
                <w:color w:val="auto"/>
                <w:sz w:val="18"/>
                <w:szCs w:val="18"/>
              </w:rPr>
              <w:t>⁰</w:t>
            </w:r>
          </w:p>
        </w:tc>
      </w:tr>
      <w:tr w:rsidR="00186671" w:rsidRPr="00F64312" w:rsidTr="00B8183F">
        <w:trPr>
          <w:jc w:val="center"/>
        </w:trPr>
        <w:tc>
          <w:tcPr>
            <w:tcW w:w="2115" w:type="dxa"/>
            <w:vAlign w:val="center"/>
          </w:tcPr>
          <w:p w:rsidR="00186671" w:rsidRPr="00847A2D" w:rsidRDefault="00186671" w:rsidP="00B8183F">
            <w:pPr>
              <w:tabs>
                <w:tab w:val="left" w:pos="288"/>
                <w:tab w:val="left" w:pos="4752"/>
              </w:tabs>
              <w:rPr>
                <w:rFonts w:eastAsia="Cambria"/>
                <w:color w:val="auto"/>
                <w:sz w:val="18"/>
                <w:szCs w:val="18"/>
              </w:rPr>
            </w:pPr>
            <w:r w:rsidRPr="00847A2D">
              <w:rPr>
                <w:rFonts w:eastAsia="Cambria"/>
                <w:color w:val="auto"/>
                <w:sz w:val="18"/>
                <w:szCs w:val="18"/>
              </w:rPr>
              <w:t>Comments</w:t>
            </w:r>
          </w:p>
        </w:tc>
        <w:tc>
          <w:tcPr>
            <w:tcW w:w="2312" w:type="dxa"/>
            <w:vAlign w:val="center"/>
          </w:tcPr>
          <w:p w:rsidR="00186671" w:rsidRPr="00847A2D" w:rsidRDefault="00121CB1" w:rsidP="00B8183F">
            <w:pPr>
              <w:tabs>
                <w:tab w:val="left" w:pos="288"/>
                <w:tab w:val="left" w:pos="4752"/>
              </w:tabs>
              <w:rPr>
                <w:rFonts w:eastAsia="Cambria"/>
                <w:color w:val="auto"/>
                <w:sz w:val="18"/>
                <w:szCs w:val="18"/>
                <w:highlight w:val="lightGray"/>
              </w:rPr>
            </w:pPr>
            <w:r w:rsidRPr="00847A2D">
              <w:rPr>
                <w:rFonts w:eastAsia="Cambria"/>
                <w:color w:val="auto"/>
                <w:sz w:val="18"/>
                <w:szCs w:val="18"/>
              </w:rPr>
              <w:t>Frequent</w:t>
            </w:r>
            <w:r w:rsidR="00F94449" w:rsidRPr="00847A2D">
              <w:rPr>
                <w:rFonts w:eastAsia="Cambria"/>
                <w:color w:val="auto"/>
                <w:sz w:val="18"/>
                <w:szCs w:val="18"/>
              </w:rPr>
              <w:t xml:space="preserve"> dislocation</w:t>
            </w:r>
          </w:p>
        </w:tc>
        <w:tc>
          <w:tcPr>
            <w:tcW w:w="2827" w:type="dxa"/>
            <w:vAlign w:val="center"/>
          </w:tcPr>
          <w:p w:rsidR="00186671" w:rsidRPr="00847A2D" w:rsidRDefault="00F94449" w:rsidP="00F94449">
            <w:pPr>
              <w:tabs>
                <w:tab w:val="left" w:pos="288"/>
                <w:tab w:val="left" w:pos="4752"/>
              </w:tabs>
              <w:rPr>
                <w:rFonts w:eastAsia="Cambria"/>
                <w:color w:val="auto"/>
                <w:sz w:val="18"/>
                <w:szCs w:val="18"/>
                <w:highlight w:val="lightGray"/>
              </w:rPr>
            </w:pPr>
            <w:r w:rsidRPr="00847A2D">
              <w:rPr>
                <w:rFonts w:eastAsia="Cambria"/>
                <w:color w:val="auto"/>
                <w:sz w:val="18"/>
                <w:szCs w:val="18"/>
              </w:rPr>
              <w:t>Recurrent dislocation; t</w:t>
            </w:r>
            <w:r w:rsidR="00C126A5" w:rsidRPr="00847A2D">
              <w:rPr>
                <w:rFonts w:eastAsia="Cambria"/>
                <w:color w:val="auto"/>
                <w:sz w:val="18"/>
                <w:szCs w:val="18"/>
              </w:rPr>
              <w:t>enderness</w:t>
            </w:r>
          </w:p>
        </w:tc>
      </w:tr>
      <w:tr w:rsidR="00186671" w:rsidRPr="00F64312" w:rsidTr="00B8183F">
        <w:trPr>
          <w:trHeight w:val="70"/>
          <w:jc w:val="center"/>
        </w:trPr>
        <w:tc>
          <w:tcPr>
            <w:tcW w:w="2115" w:type="dxa"/>
            <w:vAlign w:val="center"/>
          </w:tcPr>
          <w:p w:rsidR="00186671" w:rsidRPr="00847A2D" w:rsidRDefault="00186671" w:rsidP="00B8183F">
            <w:pPr>
              <w:tabs>
                <w:tab w:val="left" w:pos="288"/>
                <w:tab w:val="left" w:pos="4752"/>
              </w:tabs>
              <w:rPr>
                <w:rFonts w:eastAsia="Cambria"/>
                <w:color w:val="auto"/>
                <w:sz w:val="18"/>
                <w:szCs w:val="18"/>
              </w:rPr>
            </w:pPr>
            <w:r w:rsidRPr="00847A2D">
              <w:rPr>
                <w:rFonts w:eastAsia="Cambria"/>
                <w:color w:val="auto"/>
                <w:sz w:val="18"/>
                <w:szCs w:val="18"/>
              </w:rPr>
              <w:t>§4.71a Rating</w:t>
            </w:r>
          </w:p>
        </w:tc>
        <w:tc>
          <w:tcPr>
            <w:tcW w:w="2312" w:type="dxa"/>
            <w:vAlign w:val="center"/>
          </w:tcPr>
          <w:p w:rsidR="00186671" w:rsidRPr="00847A2D" w:rsidRDefault="00121CB1" w:rsidP="00B8183F">
            <w:pPr>
              <w:tabs>
                <w:tab w:val="left" w:pos="288"/>
                <w:tab w:val="left" w:pos="4752"/>
              </w:tabs>
              <w:rPr>
                <w:rFonts w:eastAsia="Cambria"/>
                <w:color w:val="auto"/>
                <w:sz w:val="18"/>
                <w:szCs w:val="18"/>
                <w:highlight w:val="lightGray"/>
              </w:rPr>
            </w:pPr>
            <w:r w:rsidRPr="00847A2D">
              <w:rPr>
                <w:rFonts w:eastAsia="Cambria"/>
                <w:color w:val="auto"/>
                <w:sz w:val="18"/>
                <w:szCs w:val="18"/>
              </w:rPr>
              <w:t>20%</w:t>
            </w:r>
          </w:p>
        </w:tc>
        <w:tc>
          <w:tcPr>
            <w:tcW w:w="2827" w:type="dxa"/>
            <w:vAlign w:val="center"/>
          </w:tcPr>
          <w:p w:rsidR="00186671" w:rsidRPr="00847A2D" w:rsidRDefault="00121CB1" w:rsidP="00B8183F">
            <w:pPr>
              <w:tabs>
                <w:tab w:val="left" w:pos="288"/>
                <w:tab w:val="left" w:pos="4752"/>
              </w:tabs>
              <w:rPr>
                <w:rFonts w:eastAsia="Cambria"/>
                <w:color w:val="auto"/>
                <w:sz w:val="18"/>
                <w:szCs w:val="18"/>
                <w:highlight w:val="lightGray"/>
              </w:rPr>
            </w:pPr>
            <w:r w:rsidRPr="00847A2D">
              <w:rPr>
                <w:rFonts w:eastAsia="Cambria"/>
                <w:color w:val="auto"/>
                <w:sz w:val="18"/>
                <w:szCs w:val="18"/>
              </w:rPr>
              <w:t>20%</w:t>
            </w:r>
          </w:p>
        </w:tc>
      </w:tr>
    </w:tbl>
    <w:p w:rsidR="00CF0280" w:rsidRDefault="00CF0280" w:rsidP="0069687C">
      <w:pPr>
        <w:jc w:val="both"/>
        <w:rPr>
          <w:color w:val="auto"/>
          <w:szCs w:val="24"/>
        </w:rPr>
      </w:pPr>
    </w:p>
    <w:p w:rsidR="00646387" w:rsidRDefault="00DD4D6D" w:rsidP="001C58B4">
      <w:pPr>
        <w:jc w:val="both"/>
        <w:rPr>
          <w:rFonts w:cs="Times New Roman"/>
          <w:color w:val="auto"/>
        </w:rPr>
      </w:pPr>
      <w:r w:rsidRPr="00F64312">
        <w:rPr>
          <w:color w:val="auto"/>
          <w:szCs w:val="24"/>
        </w:rPr>
        <w:t>At the VA Compensation and Pension (C&amp;P) exam</w:t>
      </w:r>
      <w:r>
        <w:rPr>
          <w:color w:val="auto"/>
          <w:szCs w:val="24"/>
        </w:rPr>
        <w:t xml:space="preserve"> </w:t>
      </w:r>
      <w:r w:rsidR="00B64238">
        <w:rPr>
          <w:color w:val="auto"/>
          <w:szCs w:val="24"/>
        </w:rPr>
        <w:t>performed 5 1/2</w:t>
      </w:r>
      <w:r>
        <w:rPr>
          <w:color w:val="auto"/>
          <w:szCs w:val="24"/>
        </w:rPr>
        <w:t xml:space="preserve"> months </w:t>
      </w:r>
      <w:r w:rsidRPr="00DD4D6D">
        <w:rPr>
          <w:color w:val="auto"/>
          <w:szCs w:val="24"/>
        </w:rPr>
        <w:t>prior to separation</w:t>
      </w:r>
      <w:r w:rsidR="00F50C31">
        <w:rPr>
          <w:color w:val="auto"/>
          <w:szCs w:val="24"/>
        </w:rPr>
        <w:t>,</w:t>
      </w:r>
      <w:r w:rsidR="00646387">
        <w:rPr>
          <w:color w:val="auto"/>
          <w:szCs w:val="24"/>
        </w:rPr>
        <w:t xml:space="preserve"> </w:t>
      </w:r>
      <w:r w:rsidRPr="00F64312">
        <w:rPr>
          <w:color w:val="auto"/>
          <w:szCs w:val="24"/>
        </w:rPr>
        <w:t>the CI reported</w:t>
      </w:r>
      <w:r w:rsidR="00F94449">
        <w:rPr>
          <w:color w:val="auto"/>
          <w:szCs w:val="24"/>
        </w:rPr>
        <w:t xml:space="preserve"> that the shoulder dislocated easily and frequently since May 2001.  He experienced constant pain and difficulty reaching for things.  </w:t>
      </w:r>
      <w:r w:rsidR="00E5633D">
        <w:rPr>
          <w:color w:val="auto"/>
          <w:szCs w:val="24"/>
        </w:rPr>
        <w:t xml:space="preserve">He also reported numbness of the left fourth and fifth fingers.  </w:t>
      </w:r>
      <w:r w:rsidR="00F94449">
        <w:rPr>
          <w:color w:val="auto"/>
          <w:szCs w:val="24"/>
        </w:rPr>
        <w:t>Examination revealed no tenderness</w:t>
      </w:r>
      <w:r w:rsidR="00E5633D">
        <w:rPr>
          <w:color w:val="auto"/>
          <w:szCs w:val="24"/>
        </w:rPr>
        <w:t xml:space="preserve"> of the shoulder and diminished sensation of the left fourth and fifth fingers.</w:t>
      </w:r>
      <w:r w:rsidR="0054618A">
        <w:rPr>
          <w:color w:val="auto"/>
          <w:szCs w:val="24"/>
        </w:rPr>
        <w:t xml:space="preserve">  Shoulder X-ray showed a subtle Hill-Sachs lesion (damage to the head of the humerus, a consequence of dislocation).</w:t>
      </w:r>
      <w:r w:rsidR="001C58B4">
        <w:rPr>
          <w:color w:val="auto"/>
          <w:szCs w:val="24"/>
        </w:rPr>
        <w:t xml:space="preserve">  </w:t>
      </w:r>
      <w:r w:rsidR="00396468">
        <w:rPr>
          <w:color w:val="auto"/>
          <w:szCs w:val="24"/>
        </w:rPr>
        <w:t xml:space="preserve">The </w:t>
      </w:r>
      <w:r w:rsidR="00F50C31">
        <w:rPr>
          <w:color w:val="auto"/>
          <w:szCs w:val="24"/>
        </w:rPr>
        <w:t>narrative summary (</w:t>
      </w:r>
      <w:r w:rsidR="00396468">
        <w:rPr>
          <w:color w:val="auto"/>
          <w:szCs w:val="24"/>
        </w:rPr>
        <w:t>NARSUM</w:t>
      </w:r>
      <w:r w:rsidR="00F50C31">
        <w:rPr>
          <w:color w:val="auto"/>
          <w:szCs w:val="24"/>
        </w:rPr>
        <w:t>)</w:t>
      </w:r>
      <w:r w:rsidR="00396468">
        <w:rPr>
          <w:color w:val="auto"/>
          <w:szCs w:val="24"/>
        </w:rPr>
        <w:t xml:space="preserve"> examiner </w:t>
      </w:r>
      <w:r w:rsidR="00F50C31">
        <w:rPr>
          <w:color w:val="auto"/>
          <w:szCs w:val="24"/>
        </w:rPr>
        <w:t>5</w:t>
      </w:r>
      <w:r w:rsidR="00396468">
        <w:rPr>
          <w:color w:val="auto"/>
          <w:szCs w:val="24"/>
        </w:rPr>
        <w:t xml:space="preserve"> months prior to separation reported that the CI experienced problems sleeping due to severe</w:t>
      </w:r>
      <w:r w:rsidR="009A2F9E">
        <w:rPr>
          <w:color w:val="auto"/>
          <w:szCs w:val="24"/>
        </w:rPr>
        <w:t xml:space="preserve"> pain in his left shoulder.</w:t>
      </w:r>
      <w:r w:rsidR="00396468">
        <w:rPr>
          <w:color w:val="auto"/>
          <w:szCs w:val="24"/>
        </w:rPr>
        <w:t xml:space="preserve"> </w:t>
      </w:r>
      <w:r w:rsidR="009A2F9E">
        <w:rPr>
          <w:color w:val="auto"/>
          <w:szCs w:val="24"/>
        </w:rPr>
        <w:t xml:space="preserve"> N</w:t>
      </w:r>
      <w:r w:rsidR="009A2F9E">
        <w:rPr>
          <w:color w:val="000000"/>
        </w:rPr>
        <w:t xml:space="preserve">umbness and tingling along the left </w:t>
      </w:r>
      <w:r w:rsidR="009A2F9E" w:rsidRPr="00F50C31">
        <w:rPr>
          <w:color w:val="auto"/>
          <w:szCs w:val="24"/>
        </w:rPr>
        <w:t>ring</w:t>
      </w:r>
      <w:r w:rsidR="00F50C31" w:rsidRPr="00F50C31">
        <w:rPr>
          <w:color w:val="auto"/>
          <w:szCs w:val="24"/>
        </w:rPr>
        <w:t xml:space="preserve"> </w:t>
      </w:r>
      <w:r w:rsidR="009A2F9E" w:rsidRPr="00F50C31">
        <w:rPr>
          <w:color w:val="auto"/>
          <w:szCs w:val="24"/>
        </w:rPr>
        <w:t>and small fingers was also reported.</w:t>
      </w:r>
      <w:r w:rsidR="00F50C31" w:rsidRPr="00F50C31">
        <w:rPr>
          <w:color w:val="auto"/>
          <w:szCs w:val="24"/>
        </w:rPr>
        <w:t xml:space="preserve">  </w:t>
      </w:r>
      <w:r w:rsidR="00396468">
        <w:rPr>
          <w:color w:val="auto"/>
          <w:szCs w:val="24"/>
        </w:rPr>
        <w:t xml:space="preserve">Examination revealed </w:t>
      </w:r>
      <w:r w:rsidR="009A2F9E">
        <w:rPr>
          <w:color w:val="auto"/>
          <w:szCs w:val="24"/>
        </w:rPr>
        <w:t>positive</w:t>
      </w:r>
      <w:r w:rsidR="00396468">
        <w:rPr>
          <w:color w:val="auto"/>
          <w:szCs w:val="24"/>
        </w:rPr>
        <w:t xml:space="preserve"> apprehension/relocation and load shift tests </w:t>
      </w:r>
      <w:r w:rsidR="009A2F9E">
        <w:rPr>
          <w:color w:val="auto"/>
          <w:szCs w:val="24"/>
        </w:rPr>
        <w:t xml:space="preserve">of the shoulder </w:t>
      </w:r>
      <w:r w:rsidR="00396468">
        <w:rPr>
          <w:color w:val="auto"/>
          <w:szCs w:val="24"/>
        </w:rPr>
        <w:t xml:space="preserve">(indicators of instability).  </w:t>
      </w:r>
      <w:r w:rsidR="009A2F9E">
        <w:rPr>
          <w:color w:val="auto"/>
          <w:szCs w:val="24"/>
        </w:rPr>
        <w:t xml:space="preserve">Motor strength was intact, but decreased sensation of the ring and small fingers was noted.  </w:t>
      </w:r>
      <w:r w:rsidR="0054618A">
        <w:rPr>
          <w:color w:val="auto"/>
          <w:szCs w:val="24"/>
        </w:rPr>
        <w:t>M</w:t>
      </w:r>
      <w:r w:rsidR="00396468">
        <w:rPr>
          <w:color w:val="auto"/>
          <w:szCs w:val="24"/>
        </w:rPr>
        <w:t>agnetic resonance imaging (MRI) showed a patulous anterior capsule wit</w:t>
      </w:r>
      <w:r w:rsidR="001C58B4">
        <w:rPr>
          <w:color w:val="auto"/>
          <w:szCs w:val="24"/>
        </w:rPr>
        <w:t xml:space="preserve">h an atrophic anterior labrum.  </w:t>
      </w:r>
      <w:r w:rsidR="00646387">
        <w:rPr>
          <w:rFonts w:cs="Times New Roman"/>
          <w:color w:val="auto"/>
        </w:rPr>
        <w:t xml:space="preserve">The symptoms of ulnar neuropathy were formally evaluated </w:t>
      </w:r>
      <w:r w:rsidR="009A4252">
        <w:rPr>
          <w:rFonts w:cs="Times New Roman"/>
          <w:color w:val="auto"/>
        </w:rPr>
        <w:t>five and one-half</w:t>
      </w:r>
      <w:r w:rsidR="00F50C31">
        <w:rPr>
          <w:rFonts w:cs="Times New Roman"/>
          <w:color w:val="auto"/>
        </w:rPr>
        <w:t xml:space="preserve"> months prior to separation</w:t>
      </w:r>
      <w:r w:rsidR="00646387">
        <w:rPr>
          <w:rFonts w:cs="Times New Roman"/>
          <w:color w:val="auto"/>
        </w:rPr>
        <w:t xml:space="preserve">.  </w:t>
      </w:r>
      <w:r w:rsidR="00676A0D">
        <w:rPr>
          <w:rFonts w:cs="Times New Roman"/>
          <w:color w:val="auto"/>
        </w:rPr>
        <w:t xml:space="preserve">The examiner noted that symptoms began after the second surgery.  </w:t>
      </w:r>
      <w:r w:rsidR="00646387">
        <w:rPr>
          <w:rFonts w:cs="Times New Roman"/>
          <w:color w:val="auto"/>
        </w:rPr>
        <w:t xml:space="preserve">An examination revealed normal strength and deep tendon reflexes.  Electrodiagnostic studies </w:t>
      </w:r>
      <w:r w:rsidR="004F3B27">
        <w:rPr>
          <w:rFonts w:cs="Times New Roman"/>
          <w:color w:val="auto"/>
        </w:rPr>
        <w:t xml:space="preserve">of the left upper extremity </w:t>
      </w:r>
      <w:r w:rsidR="00646387">
        <w:rPr>
          <w:rFonts w:cs="Times New Roman"/>
          <w:color w:val="auto"/>
        </w:rPr>
        <w:t>were negative for ulnar n</w:t>
      </w:r>
      <w:r w:rsidR="001C58B4">
        <w:rPr>
          <w:rFonts w:cs="Times New Roman"/>
          <w:color w:val="auto"/>
        </w:rPr>
        <w:t>europathy or for radiculopathy.</w:t>
      </w:r>
    </w:p>
    <w:p w:rsidR="00646387" w:rsidRDefault="00646387" w:rsidP="00B459CA">
      <w:pPr>
        <w:tabs>
          <w:tab w:val="left" w:pos="288"/>
          <w:tab w:val="left" w:pos="4752"/>
        </w:tabs>
        <w:jc w:val="both"/>
        <w:rPr>
          <w:rFonts w:cs="Times New Roman"/>
          <w:color w:val="auto"/>
        </w:rPr>
      </w:pPr>
    </w:p>
    <w:p w:rsidR="00676A0D" w:rsidRPr="00676A0D" w:rsidRDefault="00AD2379" w:rsidP="00676A0D">
      <w:pPr>
        <w:tabs>
          <w:tab w:val="left" w:pos="288"/>
          <w:tab w:val="left" w:pos="4752"/>
        </w:tabs>
        <w:jc w:val="both"/>
        <w:rPr>
          <w:rFonts w:eastAsia="Calibri" w:cs="Times New Roman"/>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1D3895" w:rsidRPr="001D3895">
        <w:rPr>
          <w:rFonts w:cs="Times New Roman"/>
          <w:color w:val="auto"/>
        </w:rPr>
        <w:t>T</w:t>
      </w:r>
      <w:r w:rsidR="001D3895" w:rsidRPr="001D3895">
        <w:rPr>
          <w:color w:val="auto"/>
          <w:szCs w:val="24"/>
        </w:rPr>
        <w:t>he unfitting shoulder condition was designated as existing prior to service (EPTS) by the PEB, but no deduction was applied.</w:t>
      </w:r>
      <w:r w:rsidR="001D3895">
        <w:rPr>
          <w:color w:val="auto"/>
          <w:szCs w:val="24"/>
        </w:rPr>
        <w:t xml:space="preserve"> </w:t>
      </w:r>
      <w:r w:rsidR="001D3895" w:rsidRPr="001D3895">
        <w:rPr>
          <w:color w:val="auto"/>
          <w:szCs w:val="24"/>
        </w:rPr>
        <w:t xml:space="preserve"> </w:t>
      </w:r>
      <w:r w:rsidR="00121CB1" w:rsidRPr="00121CB1">
        <w:rPr>
          <w:rFonts w:cs="Times New Roman"/>
          <w:color w:val="auto"/>
        </w:rPr>
        <w:t>The VASRD §4.71a threshold for compensable ROM impairment is “shoulder level”, i.e., 90</w:t>
      </w:r>
      <w:r w:rsidR="00121CB1">
        <w:rPr>
          <w:rFonts w:cs="Times New Roman"/>
          <w:color w:val="auto"/>
        </w:rPr>
        <w:t xml:space="preserve"> degrees, and the examinations demonstrated motion above this level.</w:t>
      </w:r>
      <w:r w:rsidR="00121CB1" w:rsidRPr="00121CB1">
        <w:rPr>
          <w:rFonts w:cs="Times New Roman"/>
          <w:color w:val="auto"/>
        </w:rPr>
        <w:t xml:space="preserve">  </w:t>
      </w:r>
      <w:r w:rsidR="00121CB1">
        <w:rPr>
          <w:rFonts w:cs="Times New Roman"/>
          <w:color w:val="auto"/>
        </w:rPr>
        <w:t xml:space="preserve">The PEB and VA </w:t>
      </w:r>
      <w:r w:rsidR="00B459CA">
        <w:rPr>
          <w:rFonts w:cs="Times New Roman"/>
          <w:color w:val="auto"/>
        </w:rPr>
        <w:t xml:space="preserve">appropriately </w:t>
      </w:r>
      <w:r w:rsidR="00121CB1">
        <w:rPr>
          <w:rFonts w:cs="Times New Roman"/>
          <w:color w:val="auto"/>
        </w:rPr>
        <w:t xml:space="preserve">assigned a 20% rating under the </w:t>
      </w:r>
      <w:r w:rsidR="00F50C31">
        <w:rPr>
          <w:rFonts w:cs="Times New Roman"/>
          <w:color w:val="auto"/>
        </w:rPr>
        <w:t xml:space="preserve">VASRD </w:t>
      </w:r>
      <w:r w:rsidR="00121CB1">
        <w:rPr>
          <w:rFonts w:cs="Times New Roman"/>
          <w:color w:val="auto"/>
        </w:rPr>
        <w:t>5202 code (</w:t>
      </w:r>
      <w:proofErr w:type="spellStart"/>
      <w:r w:rsidR="00121CB1">
        <w:rPr>
          <w:rFonts w:cs="Times New Roman"/>
          <w:color w:val="auto"/>
        </w:rPr>
        <w:t>humerus</w:t>
      </w:r>
      <w:proofErr w:type="spellEnd"/>
      <w:r w:rsidR="00121CB1">
        <w:rPr>
          <w:rFonts w:cs="Times New Roman"/>
          <w:color w:val="auto"/>
        </w:rPr>
        <w:t>, other impairment of: recurrent dislocation of at scapulohumeral joint).</w:t>
      </w:r>
      <w:r w:rsidR="00B459CA">
        <w:rPr>
          <w:rFonts w:cs="Times New Roman"/>
          <w:color w:val="auto"/>
        </w:rPr>
        <w:t xml:space="preserve">  The Board agreed that there was no avenue to a higher rating under </w:t>
      </w:r>
      <w:r w:rsidR="00646387">
        <w:rPr>
          <w:rFonts w:cs="Times New Roman"/>
          <w:color w:val="auto"/>
        </w:rPr>
        <w:t xml:space="preserve">the </w:t>
      </w:r>
      <w:r w:rsidR="00B459CA">
        <w:rPr>
          <w:rFonts w:cs="Times New Roman"/>
          <w:color w:val="auto"/>
        </w:rPr>
        <w:t xml:space="preserve">5201, </w:t>
      </w:r>
      <w:r w:rsidR="00530493">
        <w:rPr>
          <w:rFonts w:cs="Times New Roman"/>
          <w:color w:val="auto"/>
        </w:rPr>
        <w:t>5203 or 53</w:t>
      </w:r>
      <w:r w:rsidR="00B459CA">
        <w:rPr>
          <w:rFonts w:cs="Times New Roman"/>
          <w:color w:val="auto"/>
        </w:rPr>
        <w:t>04</w:t>
      </w:r>
      <w:r w:rsidR="00646387">
        <w:rPr>
          <w:rFonts w:cs="Times New Roman"/>
          <w:color w:val="auto"/>
        </w:rPr>
        <w:t xml:space="preserve"> codes</w:t>
      </w:r>
      <w:r w:rsidR="00B459CA">
        <w:rPr>
          <w:rFonts w:cs="Times New Roman"/>
          <w:color w:val="auto"/>
        </w:rPr>
        <w:t xml:space="preserve">.  </w:t>
      </w:r>
      <w:r w:rsidR="00EE7648" w:rsidRPr="00F64312">
        <w:rPr>
          <w:rFonts w:eastAsia="Calibri" w:cs="Times New Roman"/>
          <w:color w:val="auto"/>
          <w:szCs w:val="24"/>
        </w:rPr>
        <w:t xml:space="preserve">After due deliberation, considering all of the evidence and mindful of VASRD §4.3 (reasonable doubt), the </w:t>
      </w:r>
      <w:r w:rsidR="00EE7648" w:rsidRPr="00F64312">
        <w:rPr>
          <w:rFonts w:eastAsia="Calibri" w:cs="Times New Roman"/>
          <w:color w:val="auto"/>
          <w:szCs w:val="24"/>
        </w:rPr>
        <w:lastRenderedPageBreak/>
        <w:t xml:space="preserve">Board concluded that there was insufficient cause to recommend a change in the PEB adjudication for the </w:t>
      </w:r>
      <w:r w:rsidR="00EE7648">
        <w:rPr>
          <w:rFonts w:eastAsia="Calibri" w:cs="Times New Roman"/>
          <w:color w:val="auto"/>
          <w:szCs w:val="24"/>
        </w:rPr>
        <w:t>left shoulder</w:t>
      </w:r>
      <w:r w:rsidR="00EE7648" w:rsidRPr="00F64312">
        <w:rPr>
          <w:rFonts w:eastAsia="Calibri" w:cs="Times New Roman"/>
          <w:color w:val="auto"/>
          <w:szCs w:val="24"/>
        </w:rPr>
        <w:t xml:space="preserve"> condition.</w:t>
      </w:r>
      <w:r w:rsidR="001C58B4">
        <w:rPr>
          <w:rFonts w:eastAsia="Calibri" w:cs="Times New Roman"/>
          <w:color w:val="auto"/>
          <w:szCs w:val="24"/>
        </w:rPr>
        <w:t xml:space="preserve">  </w:t>
      </w:r>
      <w:r w:rsidR="004F3B27" w:rsidRPr="004F3B27">
        <w:rPr>
          <w:rFonts w:eastAsia="Calibri" w:cs="Times New Roman"/>
          <w:color w:val="auto"/>
          <w:szCs w:val="24"/>
        </w:rPr>
        <w:t xml:space="preserve">The Board also considered if additional disability was justified for </w:t>
      </w:r>
      <w:r w:rsidR="004F3B27">
        <w:rPr>
          <w:rFonts w:eastAsia="Calibri" w:cs="Times New Roman"/>
          <w:color w:val="auto"/>
          <w:szCs w:val="24"/>
        </w:rPr>
        <w:t>symptoms of left ulnar neuropathy</w:t>
      </w:r>
      <w:r w:rsidR="004F3B27" w:rsidRPr="004F3B27">
        <w:rPr>
          <w:rFonts w:eastAsia="Calibri" w:cs="Times New Roman"/>
          <w:color w:val="auto"/>
          <w:szCs w:val="24"/>
        </w:rPr>
        <w:t>, which the PEB characterized as a</w:t>
      </w:r>
      <w:r w:rsidR="004F3B27">
        <w:rPr>
          <w:rFonts w:eastAsia="Calibri" w:cs="Times New Roman"/>
          <w:color w:val="auto"/>
          <w:szCs w:val="24"/>
        </w:rPr>
        <w:t>n associated</w:t>
      </w:r>
      <w:r w:rsidR="004F3B27" w:rsidRPr="004F3B27">
        <w:rPr>
          <w:rFonts w:eastAsia="Calibri" w:cs="Times New Roman"/>
          <w:color w:val="auto"/>
          <w:szCs w:val="24"/>
        </w:rPr>
        <w:t xml:space="preserve"> condition. </w:t>
      </w:r>
      <w:r w:rsidR="001C58B4">
        <w:rPr>
          <w:rFonts w:eastAsia="Calibri" w:cs="Times New Roman"/>
          <w:color w:val="auto"/>
          <w:szCs w:val="24"/>
        </w:rPr>
        <w:t xml:space="preserve"> </w:t>
      </w:r>
      <w:r w:rsidR="004F3B27" w:rsidRPr="004F3B27">
        <w:rPr>
          <w:rFonts w:eastAsia="Calibri" w:cs="Times New Roman"/>
          <w:color w:val="auto"/>
          <w:szCs w:val="24"/>
        </w:rPr>
        <w:t xml:space="preserve">The CI </w:t>
      </w:r>
      <w:r w:rsidR="004F3B27">
        <w:rPr>
          <w:rFonts w:eastAsia="Calibri" w:cs="Times New Roman"/>
          <w:color w:val="auto"/>
          <w:szCs w:val="24"/>
        </w:rPr>
        <w:t xml:space="preserve">only </w:t>
      </w:r>
      <w:r w:rsidR="004F3B27" w:rsidRPr="004F3B27">
        <w:rPr>
          <w:rFonts w:eastAsia="Calibri" w:cs="Times New Roman"/>
          <w:color w:val="auto"/>
          <w:szCs w:val="24"/>
        </w:rPr>
        <w:t>complained of</w:t>
      </w:r>
      <w:r w:rsidR="004F3B27">
        <w:rPr>
          <w:rFonts w:eastAsia="Calibri" w:cs="Times New Roman"/>
          <w:color w:val="auto"/>
          <w:szCs w:val="24"/>
        </w:rPr>
        <w:t xml:space="preserve"> numbness of the fourth and fifth fingers.  The Board considered that there was no complaint of weakness, no examination evidence of diminished strength and normal electrodiagnostic studies.  </w:t>
      </w:r>
      <w:r w:rsidR="004F3B27" w:rsidRPr="004F3B27">
        <w:rPr>
          <w:rFonts w:eastAsia="Calibri" w:cs="Times New Roman"/>
          <w:color w:val="auto"/>
          <w:szCs w:val="24"/>
        </w:rPr>
        <w:t>The presence of functional impairment with a direct impact on fitness is the key determinant in the Board’s decision to recommend any condition for rating as additionally unfitting.</w:t>
      </w:r>
      <w:r w:rsidR="004F3B27">
        <w:rPr>
          <w:rFonts w:eastAsia="Calibri" w:cs="Times New Roman"/>
          <w:color w:val="auto"/>
          <w:szCs w:val="24"/>
        </w:rPr>
        <w:t xml:space="preserve">  </w:t>
      </w:r>
      <w:r w:rsidR="004F3B27" w:rsidRPr="004F3B27">
        <w:rPr>
          <w:rFonts w:eastAsia="Calibri" w:cs="Times New Roman"/>
          <w:color w:val="auto"/>
          <w:szCs w:val="24"/>
        </w:rPr>
        <w:t>There is no evidence in this case of functional impairment attributable to peripheral neuropathy.  The Board therefore concludes that additional disability rating was not justified on this basis.</w:t>
      </w:r>
      <w:r w:rsidR="00676A0D">
        <w:rPr>
          <w:rFonts w:eastAsia="Calibri" w:cs="Times New Roman"/>
          <w:color w:val="auto"/>
          <w:szCs w:val="24"/>
        </w:rPr>
        <w:t xml:space="preserve">  </w:t>
      </w:r>
      <w:r w:rsidR="00676A0D" w:rsidRPr="00676A0D">
        <w:rPr>
          <w:rFonts w:eastAsia="Calibri" w:cs="Times New Roman"/>
          <w:color w:val="auto"/>
          <w:szCs w:val="24"/>
        </w:rPr>
        <w:t xml:space="preserve">All evidence considered, there is not reasonable doubt in the CI’s favor supporting addition of </w:t>
      </w:r>
      <w:r w:rsidR="00676A0D">
        <w:rPr>
          <w:rFonts w:eastAsia="Calibri" w:cs="Times New Roman"/>
          <w:color w:val="auto"/>
          <w:szCs w:val="24"/>
        </w:rPr>
        <w:t>ulnar neuropathy</w:t>
      </w:r>
      <w:r w:rsidR="00676A0D" w:rsidRPr="00676A0D">
        <w:rPr>
          <w:rFonts w:eastAsia="Calibri" w:cs="Times New Roman"/>
          <w:color w:val="auto"/>
          <w:szCs w:val="24"/>
        </w:rPr>
        <w:t xml:space="preserve"> as an unfitting condition for separation rating.</w:t>
      </w:r>
    </w:p>
    <w:p w:rsidR="00EE7648" w:rsidRPr="00F64312" w:rsidRDefault="00EE7648"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76A0D">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E0780B">
        <w:rPr>
          <w:rFonts w:cs="Times New Roman"/>
          <w:color w:val="auto"/>
        </w:rPr>
        <w:t xml:space="preserve">  </w:t>
      </w:r>
      <w:r w:rsidR="00560F12" w:rsidRPr="00F64312">
        <w:rPr>
          <w:rFonts w:eastAsia="Calibri" w:cs="Times New Roman"/>
          <w:color w:val="auto"/>
          <w:szCs w:val="24"/>
        </w:rPr>
        <w:t xml:space="preserve">In the matter of the </w:t>
      </w:r>
      <w:r w:rsidR="00676A0D">
        <w:rPr>
          <w:rFonts w:eastAsia="Calibri" w:cs="Times New Roman"/>
          <w:color w:val="auto"/>
          <w:szCs w:val="24"/>
        </w:rPr>
        <w:t>recurrent left shoulder dislocation</w:t>
      </w:r>
      <w:r w:rsidR="00560F12" w:rsidRPr="00F64312">
        <w:rPr>
          <w:rFonts w:eastAsia="Calibri" w:cs="Times New Roman"/>
          <w:color w:val="auto"/>
          <w:szCs w:val="24"/>
        </w:rPr>
        <w:t xml:space="preserve"> condition and IAW VASRD §</w:t>
      </w:r>
      <w:r w:rsidR="00560F12" w:rsidRPr="00676A0D">
        <w:rPr>
          <w:rFonts w:eastAsia="Calibri" w:cs="Times New Roman"/>
          <w:color w:val="auto"/>
          <w:szCs w:val="24"/>
        </w:rPr>
        <w:t>4.71a</w:t>
      </w:r>
      <w:r w:rsidR="00560F12" w:rsidRPr="00F64312">
        <w:rPr>
          <w:rFonts w:eastAsia="Calibri" w:cs="Times New Roman"/>
          <w:color w:val="auto"/>
          <w:szCs w:val="24"/>
        </w:rPr>
        <w:t xml:space="preserve">, the Board </w:t>
      </w:r>
      <w:r w:rsidR="00560F12" w:rsidRPr="009B6356">
        <w:rPr>
          <w:rFonts w:eastAsia="Calibri" w:cs="Times New Roman"/>
          <w:color w:val="auto"/>
          <w:szCs w:val="24"/>
        </w:rPr>
        <w:t>unanimously</w:t>
      </w:r>
      <w:r w:rsidR="00560F12" w:rsidRPr="00F64312">
        <w:rPr>
          <w:rFonts w:eastAsia="Calibri" w:cs="Times New Roman"/>
          <w:color w:val="auto"/>
          <w:szCs w:val="24"/>
        </w:rPr>
        <w:t xml:space="preserve"> recommends no</w:t>
      </w:r>
      <w:r w:rsidR="00A37AA6">
        <w:rPr>
          <w:rFonts w:eastAsia="Calibri" w:cs="Times New Roman"/>
          <w:color w:val="auto"/>
          <w:szCs w:val="24"/>
        </w:rPr>
        <w:t xml:space="preserve"> change in the PEB adjudication</w:t>
      </w:r>
      <w:r w:rsidR="00D472F1">
        <w:rPr>
          <w:rFonts w:eastAsia="Calibri" w:cs="Times New Roman"/>
          <w:color w:val="auto"/>
          <w:szCs w:val="24"/>
        </w:rPr>
        <w:t>.</w:t>
      </w:r>
      <w:r w:rsidR="00E0780B">
        <w:rPr>
          <w:rFonts w:eastAsia="Calibri" w:cs="Times New Roman"/>
          <w:color w:val="auto"/>
          <w:szCs w:val="24"/>
        </w:rPr>
        <w:t xml:space="preserve">  </w:t>
      </w:r>
      <w:r w:rsidR="00A37AA6" w:rsidRPr="00D472F1">
        <w:rPr>
          <w:rFonts w:eastAsia="Calibri" w:cs="Times New Roman"/>
          <w:color w:val="auto"/>
          <w:szCs w:val="24"/>
        </w:rPr>
        <w:t>In the matter of the contended ulnar neuropathy condition, the Board unanimously agrees that it cannot recommend a finding of unfit for additional rating at separation.</w:t>
      </w:r>
      <w:r w:rsidR="00E0780B">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A37AA6" w:rsidRDefault="00AD2379" w:rsidP="00A37AA6">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A37AA6" w:rsidP="00891947">
            <w:pPr>
              <w:tabs>
                <w:tab w:val="left" w:pos="288"/>
                <w:tab w:val="left" w:pos="4752"/>
              </w:tabs>
              <w:jc w:val="left"/>
              <w:rPr>
                <w:color w:val="auto"/>
              </w:rPr>
            </w:pPr>
            <w:r>
              <w:rPr>
                <w:color w:val="auto"/>
              </w:rPr>
              <w:t xml:space="preserve">Recurrent Left Shoulder Dislocation </w:t>
            </w:r>
          </w:p>
        </w:tc>
        <w:tc>
          <w:tcPr>
            <w:tcW w:w="1530" w:type="dxa"/>
            <w:vAlign w:val="center"/>
          </w:tcPr>
          <w:p w:rsidR="00AD2379" w:rsidRPr="00F64312" w:rsidRDefault="00A37AA6" w:rsidP="006B690F">
            <w:pPr>
              <w:tabs>
                <w:tab w:val="left" w:pos="288"/>
                <w:tab w:val="left" w:pos="4752"/>
              </w:tabs>
              <w:rPr>
                <w:color w:val="auto"/>
                <w:highlight w:val="lightGray"/>
              </w:rPr>
            </w:pPr>
            <w:r w:rsidRPr="00A37AA6">
              <w:rPr>
                <w:color w:val="auto"/>
              </w:rPr>
              <w:t>5202</w:t>
            </w:r>
          </w:p>
        </w:tc>
        <w:tc>
          <w:tcPr>
            <w:tcW w:w="1026" w:type="dxa"/>
            <w:vAlign w:val="center"/>
          </w:tcPr>
          <w:p w:rsidR="00AD2379" w:rsidRPr="00F64312" w:rsidRDefault="00A37AA6" w:rsidP="006B690F">
            <w:pPr>
              <w:tabs>
                <w:tab w:val="left" w:pos="288"/>
                <w:tab w:val="left" w:pos="4752"/>
              </w:tabs>
              <w:rPr>
                <w:color w:val="auto"/>
                <w:highlight w:val="lightGray"/>
              </w:rPr>
            </w:pPr>
            <w:r w:rsidRPr="00A37AA6">
              <w:rPr>
                <w:color w:val="auto"/>
              </w:rPr>
              <w:t>2</w:t>
            </w:r>
            <w:r w:rsidR="00AD2379" w:rsidRPr="00A37AA6">
              <w:rPr>
                <w:color w:val="auto"/>
              </w:rPr>
              <w:t>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COMBINED</w:t>
            </w:r>
          </w:p>
        </w:tc>
        <w:tc>
          <w:tcPr>
            <w:tcW w:w="1026" w:type="dxa"/>
            <w:shd w:val="clear" w:color="auto" w:fill="D9D9D9"/>
            <w:vAlign w:val="center"/>
          </w:tcPr>
          <w:p w:rsidR="00AD2379" w:rsidRPr="00F64312" w:rsidRDefault="00A37AA6" w:rsidP="006B690F">
            <w:pPr>
              <w:tabs>
                <w:tab w:val="left" w:pos="288"/>
                <w:tab w:val="left" w:pos="4752"/>
              </w:tabs>
              <w:rPr>
                <w:b/>
                <w:color w:val="auto"/>
              </w:rPr>
            </w:pPr>
            <w:r w:rsidRPr="00A37AA6">
              <w:rPr>
                <w:b/>
                <w:color w:val="auto"/>
              </w:rPr>
              <w:t>2</w:t>
            </w:r>
            <w:r w:rsidR="00AD2379" w:rsidRPr="00A37AA6">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A42123">
        <w:rPr>
          <w:color w:val="auto"/>
        </w:rPr>
        <w:t>20</w:t>
      </w:r>
      <w:r w:rsidR="00A42123" w:rsidRPr="00A42123">
        <w:rPr>
          <w:color w:val="auto"/>
        </w:rPr>
        <w:t>12022</w:t>
      </w:r>
      <w:r w:rsidR="00A42123">
        <w:rPr>
          <w:color w:val="auto"/>
        </w:rPr>
        <w:t>8</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80374C">
        <w:rPr>
          <w:color w:val="auto"/>
        </w:rPr>
        <w:t>XXXXXXXXXXXXXXXXXXXXXXXX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80374C" w:rsidRDefault="0080374C" w:rsidP="00BF0E94">
      <w:pPr>
        <w:tabs>
          <w:tab w:val="left" w:pos="0"/>
          <w:tab w:val="left" w:pos="4320"/>
        </w:tabs>
        <w:jc w:val="both"/>
        <w:rPr>
          <w:color w:val="auto"/>
        </w:rPr>
      </w:pPr>
    </w:p>
    <w:p w:rsidR="0080374C" w:rsidRDefault="0080374C" w:rsidP="0080374C">
      <w:pPr>
        <w:spacing w:line="240" w:lineRule="auto"/>
        <w:jc w:val="left"/>
      </w:pPr>
      <w:r>
        <w:rPr>
          <w:color w:val="auto"/>
        </w:rPr>
        <w:br w:type="page"/>
      </w:r>
      <w:r>
        <w:lastRenderedPageBreak/>
        <w:t>SFMR-RB</w:t>
      </w:r>
      <w:r>
        <w:tab/>
      </w:r>
      <w:r>
        <w:tab/>
      </w:r>
      <w:r>
        <w:tab/>
      </w:r>
      <w:r>
        <w:tab/>
      </w:r>
      <w:r>
        <w:tab/>
      </w:r>
      <w:r>
        <w:tab/>
      </w:r>
      <w:r>
        <w:tab/>
      </w:r>
      <w:r>
        <w:tab/>
      </w:r>
      <w:r>
        <w:tab/>
      </w:r>
    </w:p>
    <w:p w:rsidR="0080374C" w:rsidRDefault="0080374C" w:rsidP="0080374C">
      <w:pPr>
        <w:pStyle w:val="Header"/>
        <w:tabs>
          <w:tab w:val="left" w:pos="720"/>
        </w:tabs>
        <w:jc w:val="left"/>
      </w:pPr>
    </w:p>
    <w:p w:rsidR="0080374C" w:rsidRDefault="0080374C" w:rsidP="0080374C">
      <w:pPr>
        <w:jc w:val="left"/>
      </w:pPr>
    </w:p>
    <w:p w:rsidR="0080374C" w:rsidRDefault="0080374C" w:rsidP="0080374C">
      <w:pPr>
        <w:jc w:val="left"/>
      </w:pPr>
      <w:r>
        <w:t xml:space="preserve">MEMORANDUM FOR Commander, US Army Physical Disability Agency </w:t>
      </w:r>
    </w:p>
    <w:p w:rsidR="0080374C" w:rsidRDefault="0080374C" w:rsidP="0080374C">
      <w:pPr>
        <w:jc w:val="left"/>
      </w:pPr>
      <w:r>
        <w:t xml:space="preserve">(TAPD-ZB </w:t>
      </w:r>
      <w:proofErr w:type="gramStart"/>
      <w:r>
        <w:t>/  )</w:t>
      </w:r>
      <w:proofErr w:type="gramEnd"/>
      <w:r>
        <w:t>, 2900 Crystal Drive, Suite 300, Arlington, VA  22202-3557</w:t>
      </w:r>
    </w:p>
    <w:p w:rsidR="0080374C" w:rsidRDefault="0080374C" w:rsidP="0080374C">
      <w:pPr>
        <w:jc w:val="left"/>
      </w:pPr>
    </w:p>
    <w:p w:rsidR="0080374C" w:rsidRDefault="0080374C" w:rsidP="0080374C">
      <w:pPr>
        <w:ind w:right="-180"/>
        <w:jc w:val="left"/>
      </w:pPr>
      <w:r>
        <w:t>SUBJECT:  Department of Defense Physical Disability Board of Review Recommendation for XXXXXXXXXXXXXXXXXXX, AR20120019332 (PD201200238)</w:t>
      </w:r>
    </w:p>
    <w:p w:rsidR="0080374C" w:rsidRDefault="0080374C" w:rsidP="0080374C">
      <w:pPr>
        <w:pStyle w:val="Header"/>
        <w:tabs>
          <w:tab w:val="left" w:pos="720"/>
        </w:tabs>
        <w:jc w:val="left"/>
      </w:pPr>
    </w:p>
    <w:p w:rsidR="0080374C" w:rsidRDefault="0080374C" w:rsidP="0080374C">
      <w:pPr>
        <w:jc w:val="left"/>
      </w:pPr>
    </w:p>
    <w:p w:rsidR="0080374C" w:rsidRDefault="0080374C" w:rsidP="0080374C">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80374C" w:rsidRDefault="0080374C" w:rsidP="0080374C">
      <w:pPr>
        <w:jc w:val="left"/>
      </w:pPr>
      <w:r>
        <w:t>This decision is final.  The individual concerned, counsel (if any), and any Members of Congress who have shown interest in this application have been notified of this decision by mail.</w:t>
      </w:r>
    </w:p>
    <w:p w:rsidR="0080374C" w:rsidRDefault="0080374C" w:rsidP="0080374C">
      <w:pPr>
        <w:jc w:val="left"/>
      </w:pPr>
    </w:p>
    <w:p w:rsidR="0080374C" w:rsidRDefault="0080374C" w:rsidP="0080374C">
      <w:pPr>
        <w:jc w:val="left"/>
      </w:pPr>
      <w:r>
        <w:t>BY ORDER OF THE SECRETARY OF THE ARMY:</w:t>
      </w:r>
    </w:p>
    <w:p w:rsidR="0080374C" w:rsidRDefault="0080374C" w:rsidP="0080374C">
      <w:pPr>
        <w:jc w:val="left"/>
      </w:pPr>
    </w:p>
    <w:p w:rsidR="0080374C" w:rsidRDefault="0080374C" w:rsidP="0080374C">
      <w:pPr>
        <w:jc w:val="left"/>
      </w:pPr>
    </w:p>
    <w:p w:rsidR="0080374C" w:rsidRDefault="0080374C" w:rsidP="0080374C">
      <w:pPr>
        <w:pStyle w:val="Header"/>
        <w:tabs>
          <w:tab w:val="left" w:pos="720"/>
        </w:tabs>
        <w:jc w:val="left"/>
      </w:pPr>
    </w:p>
    <w:p w:rsidR="0080374C" w:rsidRDefault="0080374C" w:rsidP="0080374C">
      <w:pPr>
        <w:jc w:val="left"/>
      </w:pPr>
    </w:p>
    <w:p w:rsidR="0080374C" w:rsidRDefault="0080374C" w:rsidP="0080374C">
      <w:pPr>
        <w:jc w:val="left"/>
      </w:pPr>
      <w:bookmarkStart w:id="0" w:name="OLE_LINK4"/>
      <w:bookmarkStart w:id="1" w:name="OLE_LINK3"/>
      <w:r>
        <w:t>Encl</w:t>
      </w:r>
      <w:r>
        <w:tab/>
      </w:r>
      <w:r>
        <w:tab/>
      </w:r>
      <w:r>
        <w:tab/>
      </w:r>
      <w:r>
        <w:tab/>
      </w:r>
      <w:r>
        <w:tab/>
      </w:r>
      <w:r>
        <w:tab/>
        <w:t xml:space="preserve">     XXXXXXXXXXXXXXXXXXX</w:t>
      </w:r>
    </w:p>
    <w:p w:rsidR="0080374C" w:rsidRDefault="0080374C" w:rsidP="0080374C">
      <w:pPr>
        <w:jc w:val="left"/>
      </w:pPr>
      <w:r>
        <w:tab/>
      </w:r>
      <w:r>
        <w:tab/>
      </w:r>
      <w:r>
        <w:tab/>
      </w:r>
      <w:r>
        <w:tab/>
      </w:r>
      <w:r>
        <w:tab/>
      </w:r>
      <w:r>
        <w:tab/>
        <w:t xml:space="preserve">     Deputy Assistant Secretary</w:t>
      </w:r>
    </w:p>
    <w:p w:rsidR="0080374C" w:rsidRDefault="0080374C" w:rsidP="0080374C">
      <w:pPr>
        <w:jc w:val="left"/>
      </w:pPr>
      <w:r>
        <w:tab/>
      </w:r>
      <w:r>
        <w:tab/>
      </w:r>
      <w:r>
        <w:tab/>
      </w:r>
      <w:r>
        <w:tab/>
      </w:r>
      <w:r>
        <w:tab/>
      </w:r>
      <w:r>
        <w:tab/>
        <w:t xml:space="preserve">         (Army Review Boards)</w:t>
      </w:r>
      <w:bookmarkEnd w:id="0"/>
      <w:bookmarkEnd w:id="1"/>
    </w:p>
    <w:p w:rsidR="0080374C" w:rsidRDefault="0080374C" w:rsidP="0080374C">
      <w:pPr>
        <w:jc w:val="left"/>
      </w:pPr>
    </w:p>
    <w:p w:rsidR="0080374C" w:rsidRDefault="0080374C" w:rsidP="0080374C">
      <w:pPr>
        <w:jc w:val="left"/>
      </w:pPr>
      <w:r>
        <w:t xml:space="preserve">CF: </w:t>
      </w:r>
    </w:p>
    <w:p w:rsidR="0080374C" w:rsidRDefault="0080374C" w:rsidP="0080374C">
      <w:pPr>
        <w:jc w:val="left"/>
      </w:pPr>
      <w:r>
        <w:t xml:space="preserve">(  ) </w:t>
      </w:r>
      <w:proofErr w:type="spellStart"/>
      <w:proofErr w:type="gramStart"/>
      <w:r>
        <w:t>DoD</w:t>
      </w:r>
      <w:proofErr w:type="spellEnd"/>
      <w:proofErr w:type="gramEnd"/>
      <w:r>
        <w:t xml:space="preserve"> PDBR</w:t>
      </w:r>
    </w:p>
    <w:p w:rsidR="0080374C" w:rsidRDefault="0080374C" w:rsidP="0080374C">
      <w:pPr>
        <w:jc w:val="left"/>
      </w:pPr>
      <w:r>
        <w:t>(  ) DVA</w:t>
      </w:r>
    </w:p>
    <w:p w:rsidR="0080374C" w:rsidRDefault="0080374C" w:rsidP="0080374C">
      <w:pPr>
        <w:jc w:val="left"/>
      </w:pPr>
    </w:p>
    <w:p w:rsidR="00DF3B06" w:rsidRDefault="00DF3B06" w:rsidP="00BF0E94">
      <w:pPr>
        <w:tabs>
          <w:tab w:val="left" w:pos="0"/>
          <w:tab w:val="left" w:pos="4320"/>
        </w:tabs>
        <w:jc w:val="both"/>
        <w:rPr>
          <w:color w:val="auto"/>
        </w:rPr>
      </w:pPr>
    </w:p>
    <w:sectPr w:rsidR="00DF3B06"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97D" w:rsidRDefault="00E9097D">
      <w:r>
        <w:separator/>
      </w:r>
    </w:p>
  </w:endnote>
  <w:endnote w:type="continuationSeparator" w:id="0">
    <w:p w:rsidR="00E9097D" w:rsidRDefault="00E909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23" w:rsidRPr="00374247" w:rsidRDefault="00A42123" w:rsidP="00726F84">
    <w:pPr>
      <w:pStyle w:val="Footer"/>
      <w:ind w:firstLine="4320"/>
      <w:rPr>
        <w:color w:val="auto"/>
      </w:rPr>
    </w:pPr>
    <w:r w:rsidRPr="00374247">
      <w:rPr>
        <w:color w:val="auto"/>
      </w:rPr>
      <w:t xml:space="preserve">   </w:t>
    </w:r>
    <w:fldSimple w:instr=" PAGE   \* MERGEFORMAT ">
      <w:r w:rsidR="0080374C" w:rsidRPr="0080374C">
        <w:rPr>
          <w:noProof/>
          <w:color w:val="auto"/>
        </w:rPr>
        <w:t>4</w:t>
      </w:r>
    </w:fldSimple>
    <w:r w:rsidRPr="00374247">
      <w:rPr>
        <w:color w:val="auto"/>
      </w:rPr>
      <w:t xml:space="preserve">                                                           </w:t>
    </w:r>
    <w:r w:rsidRPr="00A42123">
      <w:rPr>
        <w:color w:val="auto"/>
      </w:rPr>
      <w:t>PD1200238</w:t>
    </w:r>
  </w:p>
  <w:p w:rsidR="00A42123" w:rsidRPr="00684CE6" w:rsidRDefault="00A4212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97D" w:rsidRDefault="00E9097D">
      <w:r>
        <w:separator/>
      </w:r>
    </w:p>
  </w:footnote>
  <w:footnote w:type="continuationSeparator" w:id="0">
    <w:p w:rsidR="00E9097D" w:rsidRDefault="00E90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35E4048"/>
    <w:multiLevelType w:val="multilevel"/>
    <w:tmpl w:val="95AC5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1"/>
  </w:num>
  <w:num w:numId="4">
    <w:abstractNumId w:val="8"/>
  </w:num>
  <w:num w:numId="5">
    <w:abstractNumId w:val="4"/>
  </w:num>
  <w:num w:numId="6">
    <w:abstractNumId w:val="10"/>
  </w:num>
  <w:num w:numId="7">
    <w:abstractNumId w:val="0"/>
  </w:num>
  <w:num w:numId="8">
    <w:abstractNumId w:val="7"/>
  </w:num>
  <w:num w:numId="9">
    <w:abstractNumId w:val="18"/>
  </w:num>
  <w:num w:numId="10">
    <w:abstractNumId w:val="12"/>
  </w:num>
  <w:num w:numId="11">
    <w:abstractNumId w:val="5"/>
  </w:num>
  <w:num w:numId="12">
    <w:abstractNumId w:val="15"/>
  </w:num>
  <w:num w:numId="13">
    <w:abstractNumId w:val="9"/>
  </w:num>
  <w:num w:numId="14">
    <w:abstractNumId w:val="17"/>
  </w:num>
  <w:num w:numId="15">
    <w:abstractNumId w:val="22"/>
  </w:num>
  <w:num w:numId="16">
    <w:abstractNumId w:val="1"/>
  </w:num>
  <w:num w:numId="17">
    <w:abstractNumId w:val="20"/>
  </w:num>
  <w:num w:numId="18">
    <w:abstractNumId w:val="11"/>
  </w:num>
  <w:num w:numId="19">
    <w:abstractNumId w:val="14"/>
  </w:num>
  <w:num w:numId="20">
    <w:abstractNumId w:val="19"/>
  </w:num>
  <w:num w:numId="21">
    <w:abstractNumId w:val="16"/>
  </w:num>
  <w:num w:numId="22">
    <w:abstractNumId w:val="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6180"/>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6423"/>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11AA"/>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1CB1"/>
    <w:rsid w:val="0012220B"/>
    <w:rsid w:val="00122ABE"/>
    <w:rsid w:val="00122FC5"/>
    <w:rsid w:val="001231DC"/>
    <w:rsid w:val="0012453A"/>
    <w:rsid w:val="0012489B"/>
    <w:rsid w:val="0012712C"/>
    <w:rsid w:val="001272AE"/>
    <w:rsid w:val="00127C15"/>
    <w:rsid w:val="00130756"/>
    <w:rsid w:val="001315DD"/>
    <w:rsid w:val="00134959"/>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6671"/>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2107"/>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8B4"/>
    <w:rsid w:val="001C5BDA"/>
    <w:rsid w:val="001C5CFC"/>
    <w:rsid w:val="001C68B2"/>
    <w:rsid w:val="001C7231"/>
    <w:rsid w:val="001C7418"/>
    <w:rsid w:val="001C7EBE"/>
    <w:rsid w:val="001D0051"/>
    <w:rsid w:val="001D150B"/>
    <w:rsid w:val="001D169A"/>
    <w:rsid w:val="001D2224"/>
    <w:rsid w:val="001D31AA"/>
    <w:rsid w:val="001D37B9"/>
    <w:rsid w:val="001D3895"/>
    <w:rsid w:val="001D3DC0"/>
    <w:rsid w:val="001D4F88"/>
    <w:rsid w:val="001D64F3"/>
    <w:rsid w:val="001D68CF"/>
    <w:rsid w:val="001D6A8C"/>
    <w:rsid w:val="001D7A56"/>
    <w:rsid w:val="001E0291"/>
    <w:rsid w:val="001E15C0"/>
    <w:rsid w:val="001E16D9"/>
    <w:rsid w:val="001E18E0"/>
    <w:rsid w:val="001E18E2"/>
    <w:rsid w:val="001E19D0"/>
    <w:rsid w:val="001E2A30"/>
    <w:rsid w:val="001E2FF1"/>
    <w:rsid w:val="001E3FE1"/>
    <w:rsid w:val="001E41FE"/>
    <w:rsid w:val="001E4989"/>
    <w:rsid w:val="001E635C"/>
    <w:rsid w:val="001F0297"/>
    <w:rsid w:val="001F29F9"/>
    <w:rsid w:val="001F3A51"/>
    <w:rsid w:val="001F6E0B"/>
    <w:rsid w:val="00200AA0"/>
    <w:rsid w:val="00200F21"/>
    <w:rsid w:val="002015D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412"/>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1308"/>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281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39C9"/>
    <w:rsid w:val="00364CAB"/>
    <w:rsid w:val="00365767"/>
    <w:rsid w:val="003659C0"/>
    <w:rsid w:val="003660DF"/>
    <w:rsid w:val="003674A9"/>
    <w:rsid w:val="00367904"/>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468"/>
    <w:rsid w:val="00396779"/>
    <w:rsid w:val="003972E3"/>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8E1"/>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714"/>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384"/>
    <w:rsid w:val="004E3517"/>
    <w:rsid w:val="004E6866"/>
    <w:rsid w:val="004F0C58"/>
    <w:rsid w:val="004F10EB"/>
    <w:rsid w:val="004F3222"/>
    <w:rsid w:val="004F3639"/>
    <w:rsid w:val="004F3B27"/>
    <w:rsid w:val="004F3BFA"/>
    <w:rsid w:val="004F4E3C"/>
    <w:rsid w:val="004F5A1A"/>
    <w:rsid w:val="004F675A"/>
    <w:rsid w:val="004F68D7"/>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0493"/>
    <w:rsid w:val="00531DA0"/>
    <w:rsid w:val="00532B33"/>
    <w:rsid w:val="00532E9D"/>
    <w:rsid w:val="00533075"/>
    <w:rsid w:val="005334B4"/>
    <w:rsid w:val="00534319"/>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18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1722"/>
    <w:rsid w:val="00593043"/>
    <w:rsid w:val="00595B60"/>
    <w:rsid w:val="00595B63"/>
    <w:rsid w:val="00595BF0"/>
    <w:rsid w:val="00597E16"/>
    <w:rsid w:val="005A0901"/>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397A"/>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46387"/>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2A8"/>
    <w:rsid w:val="0067443B"/>
    <w:rsid w:val="00676A0D"/>
    <w:rsid w:val="006770AA"/>
    <w:rsid w:val="00680450"/>
    <w:rsid w:val="0068098E"/>
    <w:rsid w:val="006810BD"/>
    <w:rsid w:val="00681350"/>
    <w:rsid w:val="0068160C"/>
    <w:rsid w:val="00681A55"/>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4ED"/>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373B"/>
    <w:rsid w:val="00753BB0"/>
    <w:rsid w:val="0076100C"/>
    <w:rsid w:val="00761127"/>
    <w:rsid w:val="007612A5"/>
    <w:rsid w:val="007635A8"/>
    <w:rsid w:val="00763CAE"/>
    <w:rsid w:val="00763F95"/>
    <w:rsid w:val="007651ED"/>
    <w:rsid w:val="00766C87"/>
    <w:rsid w:val="00767D82"/>
    <w:rsid w:val="00771043"/>
    <w:rsid w:val="0077272B"/>
    <w:rsid w:val="00773AF7"/>
    <w:rsid w:val="00773C45"/>
    <w:rsid w:val="00774FFD"/>
    <w:rsid w:val="00780378"/>
    <w:rsid w:val="0078085E"/>
    <w:rsid w:val="00781BD4"/>
    <w:rsid w:val="00782562"/>
    <w:rsid w:val="007828B4"/>
    <w:rsid w:val="00782CC1"/>
    <w:rsid w:val="0078466F"/>
    <w:rsid w:val="00784832"/>
    <w:rsid w:val="00784EA0"/>
    <w:rsid w:val="00785C75"/>
    <w:rsid w:val="00785D77"/>
    <w:rsid w:val="00786111"/>
    <w:rsid w:val="00790963"/>
    <w:rsid w:val="007913BE"/>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E77"/>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74C"/>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8CF"/>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47A2D"/>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38AC"/>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947"/>
    <w:rsid w:val="00891BBA"/>
    <w:rsid w:val="00891BD9"/>
    <w:rsid w:val="00892079"/>
    <w:rsid w:val="00892B90"/>
    <w:rsid w:val="00895FCB"/>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B684A"/>
    <w:rsid w:val="008C22F3"/>
    <w:rsid w:val="008C3223"/>
    <w:rsid w:val="008C3FD0"/>
    <w:rsid w:val="008C4F01"/>
    <w:rsid w:val="008C5152"/>
    <w:rsid w:val="008C710E"/>
    <w:rsid w:val="008D0940"/>
    <w:rsid w:val="008D1484"/>
    <w:rsid w:val="008D29E7"/>
    <w:rsid w:val="008D5104"/>
    <w:rsid w:val="008D75F4"/>
    <w:rsid w:val="008D795D"/>
    <w:rsid w:val="008D7B07"/>
    <w:rsid w:val="008E0D8F"/>
    <w:rsid w:val="008E0F4E"/>
    <w:rsid w:val="008E1037"/>
    <w:rsid w:val="008E1E94"/>
    <w:rsid w:val="008E2D99"/>
    <w:rsid w:val="008E30D4"/>
    <w:rsid w:val="008E38B0"/>
    <w:rsid w:val="008E3C90"/>
    <w:rsid w:val="008E4A60"/>
    <w:rsid w:val="008E744D"/>
    <w:rsid w:val="008F1E08"/>
    <w:rsid w:val="008F30F4"/>
    <w:rsid w:val="008F4072"/>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471B2"/>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9EF"/>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952C9"/>
    <w:rsid w:val="009A0346"/>
    <w:rsid w:val="009A0DE3"/>
    <w:rsid w:val="009A1643"/>
    <w:rsid w:val="009A215A"/>
    <w:rsid w:val="009A26B9"/>
    <w:rsid w:val="009A2F9E"/>
    <w:rsid w:val="009A4252"/>
    <w:rsid w:val="009A49D3"/>
    <w:rsid w:val="009A4F1B"/>
    <w:rsid w:val="009A66C5"/>
    <w:rsid w:val="009A66E7"/>
    <w:rsid w:val="009A7578"/>
    <w:rsid w:val="009A79BA"/>
    <w:rsid w:val="009B10F9"/>
    <w:rsid w:val="009B14D1"/>
    <w:rsid w:val="009B1534"/>
    <w:rsid w:val="009B4963"/>
    <w:rsid w:val="009B4A3B"/>
    <w:rsid w:val="009B4DB8"/>
    <w:rsid w:val="009B5902"/>
    <w:rsid w:val="009B6023"/>
    <w:rsid w:val="009B6356"/>
    <w:rsid w:val="009B69D3"/>
    <w:rsid w:val="009B721E"/>
    <w:rsid w:val="009B7BA7"/>
    <w:rsid w:val="009B7C01"/>
    <w:rsid w:val="009B7CAC"/>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4A2"/>
    <w:rsid w:val="009F491F"/>
    <w:rsid w:val="009F6292"/>
    <w:rsid w:val="009F6EC5"/>
    <w:rsid w:val="009F7809"/>
    <w:rsid w:val="009F7822"/>
    <w:rsid w:val="009F7AF5"/>
    <w:rsid w:val="00A004BE"/>
    <w:rsid w:val="00A00613"/>
    <w:rsid w:val="00A006F1"/>
    <w:rsid w:val="00A007A7"/>
    <w:rsid w:val="00A00D14"/>
    <w:rsid w:val="00A01408"/>
    <w:rsid w:val="00A02457"/>
    <w:rsid w:val="00A02AA8"/>
    <w:rsid w:val="00A03190"/>
    <w:rsid w:val="00A03A9E"/>
    <w:rsid w:val="00A0404B"/>
    <w:rsid w:val="00A04F23"/>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373"/>
    <w:rsid w:val="00A36444"/>
    <w:rsid w:val="00A36CD4"/>
    <w:rsid w:val="00A37AA6"/>
    <w:rsid w:val="00A40356"/>
    <w:rsid w:val="00A40FFB"/>
    <w:rsid w:val="00A41468"/>
    <w:rsid w:val="00A414A9"/>
    <w:rsid w:val="00A42123"/>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5B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1E59"/>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4E9"/>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505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59CA"/>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3429"/>
    <w:rsid w:val="00B64238"/>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7B19"/>
    <w:rsid w:val="00BA115D"/>
    <w:rsid w:val="00BA1824"/>
    <w:rsid w:val="00BA2D98"/>
    <w:rsid w:val="00BA2F0C"/>
    <w:rsid w:val="00BA30D1"/>
    <w:rsid w:val="00BA30E1"/>
    <w:rsid w:val="00BA4609"/>
    <w:rsid w:val="00BA5BE2"/>
    <w:rsid w:val="00BA5DBD"/>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1EEC"/>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6A5"/>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5DCC"/>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1C3"/>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1D0"/>
    <w:rsid w:val="00CC69EC"/>
    <w:rsid w:val="00CC78A2"/>
    <w:rsid w:val="00CC7DF8"/>
    <w:rsid w:val="00CD15BE"/>
    <w:rsid w:val="00CD1EF2"/>
    <w:rsid w:val="00CD20CB"/>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366"/>
    <w:rsid w:val="00CE449C"/>
    <w:rsid w:val="00CF0280"/>
    <w:rsid w:val="00CF095C"/>
    <w:rsid w:val="00CF158D"/>
    <w:rsid w:val="00CF2166"/>
    <w:rsid w:val="00CF3EB2"/>
    <w:rsid w:val="00CF4340"/>
    <w:rsid w:val="00CF4394"/>
    <w:rsid w:val="00CF48B4"/>
    <w:rsid w:val="00CF5C12"/>
    <w:rsid w:val="00CF7B72"/>
    <w:rsid w:val="00CF7FC0"/>
    <w:rsid w:val="00D000A9"/>
    <w:rsid w:val="00D00384"/>
    <w:rsid w:val="00D005DB"/>
    <w:rsid w:val="00D0064E"/>
    <w:rsid w:val="00D006D7"/>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B5C"/>
    <w:rsid w:val="00D33FDD"/>
    <w:rsid w:val="00D3654A"/>
    <w:rsid w:val="00D3662E"/>
    <w:rsid w:val="00D366FF"/>
    <w:rsid w:val="00D373F1"/>
    <w:rsid w:val="00D37567"/>
    <w:rsid w:val="00D377A3"/>
    <w:rsid w:val="00D37D36"/>
    <w:rsid w:val="00D40B1F"/>
    <w:rsid w:val="00D40D75"/>
    <w:rsid w:val="00D43978"/>
    <w:rsid w:val="00D43CBD"/>
    <w:rsid w:val="00D441F1"/>
    <w:rsid w:val="00D449F0"/>
    <w:rsid w:val="00D45319"/>
    <w:rsid w:val="00D462D7"/>
    <w:rsid w:val="00D46A33"/>
    <w:rsid w:val="00D472F1"/>
    <w:rsid w:val="00D47690"/>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57FE"/>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181E"/>
    <w:rsid w:val="00DD286D"/>
    <w:rsid w:val="00DD2CAF"/>
    <w:rsid w:val="00DD3593"/>
    <w:rsid w:val="00DD462A"/>
    <w:rsid w:val="00DD4D6D"/>
    <w:rsid w:val="00DD501D"/>
    <w:rsid w:val="00DD5558"/>
    <w:rsid w:val="00DD6465"/>
    <w:rsid w:val="00DD64E0"/>
    <w:rsid w:val="00DD775C"/>
    <w:rsid w:val="00DD79D0"/>
    <w:rsid w:val="00DD7BE0"/>
    <w:rsid w:val="00DE0C67"/>
    <w:rsid w:val="00DE1551"/>
    <w:rsid w:val="00DE3555"/>
    <w:rsid w:val="00DE3AAD"/>
    <w:rsid w:val="00DE48AB"/>
    <w:rsid w:val="00DE598A"/>
    <w:rsid w:val="00DE5A80"/>
    <w:rsid w:val="00DE5EB5"/>
    <w:rsid w:val="00DE6952"/>
    <w:rsid w:val="00DE6FBE"/>
    <w:rsid w:val="00DE720C"/>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0780B"/>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07B1"/>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633D"/>
    <w:rsid w:val="00E57703"/>
    <w:rsid w:val="00E57ED4"/>
    <w:rsid w:val="00E57FED"/>
    <w:rsid w:val="00E6092F"/>
    <w:rsid w:val="00E61EE9"/>
    <w:rsid w:val="00E62049"/>
    <w:rsid w:val="00E629DA"/>
    <w:rsid w:val="00E64374"/>
    <w:rsid w:val="00E6451F"/>
    <w:rsid w:val="00E6469F"/>
    <w:rsid w:val="00E6546A"/>
    <w:rsid w:val="00E65C05"/>
    <w:rsid w:val="00E65D39"/>
    <w:rsid w:val="00E65F6F"/>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97D"/>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003"/>
    <w:rsid w:val="00EB76E4"/>
    <w:rsid w:val="00EB77B1"/>
    <w:rsid w:val="00EC0E65"/>
    <w:rsid w:val="00EC1251"/>
    <w:rsid w:val="00EC1E0A"/>
    <w:rsid w:val="00EC2938"/>
    <w:rsid w:val="00EC337D"/>
    <w:rsid w:val="00EC38EF"/>
    <w:rsid w:val="00EC4849"/>
    <w:rsid w:val="00EC50C9"/>
    <w:rsid w:val="00EC58B4"/>
    <w:rsid w:val="00EC5BB2"/>
    <w:rsid w:val="00EC6436"/>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648"/>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6FA1"/>
    <w:rsid w:val="00F171F9"/>
    <w:rsid w:val="00F1737C"/>
    <w:rsid w:val="00F173AA"/>
    <w:rsid w:val="00F20DA4"/>
    <w:rsid w:val="00F22A26"/>
    <w:rsid w:val="00F2361E"/>
    <w:rsid w:val="00F236DD"/>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C31"/>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517"/>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2B0"/>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4449"/>
    <w:rsid w:val="00F966F9"/>
    <w:rsid w:val="00F96F61"/>
    <w:rsid w:val="00F9765C"/>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table" w:customStyle="1" w:styleId="TableGrid1">
    <w:name w:val="Table Grid1"/>
    <w:basedOn w:val="TableNormal"/>
    <w:next w:val="TableGrid"/>
    <w:uiPriority w:val="59"/>
    <w:rsid w:val="00A42123"/>
    <w:pPr>
      <w:spacing w:line="240" w:lineRule="exact"/>
      <w:jc w:val="center"/>
    </w:pPr>
    <w:rPr>
      <w:rFonts w:eastAsia="Calibri" w:cs="Times New Roman"/>
      <w:color w:val="000000"/>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174772">
      <w:bodyDiv w:val="1"/>
      <w:marLeft w:val="0"/>
      <w:marRight w:val="0"/>
      <w:marTop w:val="0"/>
      <w:marBottom w:val="0"/>
      <w:divBdr>
        <w:top w:val="none" w:sz="0" w:space="0" w:color="auto"/>
        <w:left w:val="none" w:sz="0" w:space="0" w:color="auto"/>
        <w:bottom w:val="none" w:sz="0" w:space="0" w:color="auto"/>
        <w:right w:val="none" w:sz="0" w:space="0" w:color="auto"/>
      </w:divBdr>
    </w:div>
    <w:div w:id="193815679">
      <w:bodyDiv w:val="1"/>
      <w:marLeft w:val="0"/>
      <w:marRight w:val="0"/>
      <w:marTop w:val="0"/>
      <w:marBottom w:val="0"/>
      <w:divBdr>
        <w:top w:val="none" w:sz="0" w:space="0" w:color="auto"/>
        <w:left w:val="none" w:sz="0" w:space="0" w:color="auto"/>
        <w:bottom w:val="none" w:sz="0" w:space="0" w:color="auto"/>
        <w:right w:val="none" w:sz="0" w:space="0" w:color="auto"/>
      </w:divBdr>
    </w:div>
    <w:div w:id="343748844">
      <w:bodyDiv w:val="1"/>
      <w:marLeft w:val="0"/>
      <w:marRight w:val="0"/>
      <w:marTop w:val="0"/>
      <w:marBottom w:val="0"/>
      <w:divBdr>
        <w:top w:val="none" w:sz="0" w:space="0" w:color="auto"/>
        <w:left w:val="none" w:sz="0" w:space="0" w:color="auto"/>
        <w:bottom w:val="none" w:sz="0" w:space="0" w:color="auto"/>
        <w:right w:val="none" w:sz="0" w:space="0" w:color="auto"/>
      </w:divBdr>
    </w:div>
    <w:div w:id="440341027">
      <w:bodyDiv w:val="1"/>
      <w:marLeft w:val="0"/>
      <w:marRight w:val="0"/>
      <w:marTop w:val="0"/>
      <w:marBottom w:val="0"/>
      <w:divBdr>
        <w:top w:val="none" w:sz="0" w:space="0" w:color="auto"/>
        <w:left w:val="none" w:sz="0" w:space="0" w:color="auto"/>
        <w:bottom w:val="none" w:sz="0" w:space="0" w:color="auto"/>
        <w:right w:val="none" w:sz="0" w:space="0" w:color="auto"/>
      </w:divBdr>
    </w:div>
    <w:div w:id="649603620">
      <w:bodyDiv w:val="1"/>
      <w:marLeft w:val="300"/>
      <w:marRight w:val="300"/>
      <w:marTop w:val="0"/>
      <w:marBottom w:val="300"/>
      <w:divBdr>
        <w:top w:val="none" w:sz="0" w:space="0" w:color="auto"/>
        <w:left w:val="none" w:sz="0" w:space="0" w:color="auto"/>
        <w:bottom w:val="none" w:sz="0" w:space="0" w:color="auto"/>
        <w:right w:val="none" w:sz="0" w:space="0" w:color="auto"/>
      </w:divBdr>
      <w:divsChild>
        <w:div w:id="2025131337">
          <w:marLeft w:val="0"/>
          <w:marRight w:val="0"/>
          <w:marTop w:val="0"/>
          <w:marBottom w:val="0"/>
          <w:divBdr>
            <w:top w:val="none" w:sz="0" w:space="0" w:color="auto"/>
            <w:left w:val="none" w:sz="0" w:space="0" w:color="auto"/>
            <w:bottom w:val="none" w:sz="0" w:space="0" w:color="auto"/>
            <w:right w:val="none" w:sz="0" w:space="0" w:color="auto"/>
          </w:divBdr>
          <w:divsChild>
            <w:div w:id="2103447272">
              <w:marLeft w:val="0"/>
              <w:marRight w:val="0"/>
              <w:marTop w:val="0"/>
              <w:marBottom w:val="0"/>
              <w:divBdr>
                <w:top w:val="none" w:sz="0" w:space="0" w:color="auto"/>
                <w:left w:val="none" w:sz="0" w:space="0" w:color="auto"/>
                <w:bottom w:val="none" w:sz="0" w:space="0" w:color="auto"/>
                <w:right w:val="none" w:sz="0" w:space="0" w:color="auto"/>
              </w:divBdr>
              <w:divsChild>
                <w:div w:id="7457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9228816">
      <w:bodyDiv w:val="1"/>
      <w:marLeft w:val="0"/>
      <w:marRight w:val="0"/>
      <w:marTop w:val="0"/>
      <w:marBottom w:val="0"/>
      <w:divBdr>
        <w:top w:val="none" w:sz="0" w:space="0" w:color="auto"/>
        <w:left w:val="none" w:sz="0" w:space="0" w:color="auto"/>
        <w:bottom w:val="none" w:sz="0" w:space="0" w:color="auto"/>
        <w:right w:val="none" w:sz="0" w:space="0" w:color="auto"/>
      </w:divBdr>
    </w:div>
    <w:div w:id="1087729721">
      <w:bodyDiv w:val="1"/>
      <w:marLeft w:val="0"/>
      <w:marRight w:val="0"/>
      <w:marTop w:val="0"/>
      <w:marBottom w:val="0"/>
      <w:divBdr>
        <w:top w:val="none" w:sz="0" w:space="0" w:color="auto"/>
        <w:left w:val="none" w:sz="0" w:space="0" w:color="auto"/>
        <w:bottom w:val="none" w:sz="0" w:space="0" w:color="auto"/>
        <w:right w:val="none" w:sz="0" w:space="0" w:color="auto"/>
      </w:divBdr>
    </w:div>
    <w:div w:id="2053923186">
      <w:bodyDiv w:val="1"/>
      <w:marLeft w:val="269"/>
      <w:marRight w:val="269"/>
      <w:marTop w:val="0"/>
      <w:marBottom w:val="269"/>
      <w:divBdr>
        <w:top w:val="none" w:sz="0" w:space="0" w:color="auto"/>
        <w:left w:val="none" w:sz="0" w:space="0" w:color="auto"/>
        <w:bottom w:val="none" w:sz="0" w:space="0" w:color="auto"/>
        <w:right w:val="none" w:sz="0" w:space="0" w:color="auto"/>
      </w:divBdr>
      <w:divsChild>
        <w:div w:id="1396274050">
          <w:marLeft w:val="0"/>
          <w:marRight w:val="0"/>
          <w:marTop w:val="0"/>
          <w:marBottom w:val="0"/>
          <w:divBdr>
            <w:top w:val="none" w:sz="0" w:space="0" w:color="auto"/>
            <w:left w:val="none" w:sz="0" w:space="0" w:color="auto"/>
            <w:bottom w:val="none" w:sz="0" w:space="0" w:color="auto"/>
            <w:right w:val="none" w:sz="0" w:space="0" w:color="auto"/>
          </w:divBdr>
          <w:divsChild>
            <w:div w:id="528109092">
              <w:marLeft w:val="0"/>
              <w:marRight w:val="0"/>
              <w:marTop w:val="0"/>
              <w:marBottom w:val="0"/>
              <w:divBdr>
                <w:top w:val="none" w:sz="0" w:space="0" w:color="auto"/>
                <w:left w:val="none" w:sz="0" w:space="0" w:color="auto"/>
                <w:bottom w:val="none" w:sz="0" w:space="0" w:color="auto"/>
                <w:right w:val="none" w:sz="0" w:space="0" w:color="auto"/>
              </w:divBdr>
              <w:divsChild>
                <w:div w:id="64867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2012-10-12T15:20:00Z</cp:lastPrinted>
  <dcterms:created xsi:type="dcterms:W3CDTF">2012-11-05T17:15:00Z</dcterms:created>
  <dcterms:modified xsi:type="dcterms:W3CDTF">2012-11-05T17:15:00Z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