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C84AD8">
        <w:rPr>
          <w:caps/>
          <w:color w:val="auto"/>
        </w:rPr>
        <w:t xml:space="preserve">NAME:  </w:t>
      </w:r>
      <w:r w:rsidR="005D40EC">
        <w:rPr>
          <w:caps/>
          <w:color w:val="auto"/>
        </w:rPr>
        <w:t xml:space="preserve"> </w:t>
      </w:r>
      <w:r w:rsidR="005D40EC">
        <w:rPr>
          <w:caps/>
          <w:color w:val="auto"/>
        </w:rPr>
        <w:tab/>
      </w:r>
      <w:r w:rsidRPr="00C84AD8">
        <w:rPr>
          <w:caps/>
          <w:color w:val="auto"/>
        </w:rPr>
        <w:t xml:space="preserve">BRANCH OF SERVICE:  </w:t>
      </w:r>
      <w:r w:rsidR="0018208F" w:rsidRPr="00C84AD8">
        <w:rPr>
          <w:caps/>
          <w:color w:val="auto"/>
        </w:rPr>
        <w:t xml:space="preserve"> </w:t>
      </w:r>
      <w:r w:rsidR="00DF70F4" w:rsidRPr="00C84AD8">
        <w:rPr>
          <w:caps/>
          <w:color w:val="auto"/>
        </w:rPr>
        <w:t xml:space="preserve">NAVY </w:t>
      </w:r>
    </w:p>
    <w:p w:rsidR="0095270D" w:rsidRPr="00F64312" w:rsidRDefault="0095270D" w:rsidP="00DD5558">
      <w:pPr>
        <w:tabs>
          <w:tab w:val="right" w:pos="9360"/>
        </w:tabs>
        <w:jc w:val="both"/>
        <w:rPr>
          <w:color w:val="auto"/>
        </w:rPr>
      </w:pPr>
      <w:r w:rsidRPr="00F64312">
        <w:rPr>
          <w:caps/>
          <w:color w:val="auto"/>
        </w:rPr>
        <w:t xml:space="preserve">CASE NUMBER:  </w:t>
      </w:r>
      <w:r w:rsidRPr="00C84AD8">
        <w:rPr>
          <w:caps/>
          <w:color w:val="auto"/>
        </w:rPr>
        <w:t>PD</w:t>
      </w:r>
      <w:r w:rsidR="001657BE" w:rsidRPr="00C84AD8">
        <w:rPr>
          <w:caps/>
          <w:color w:val="auto"/>
        </w:rPr>
        <w:t>12</w:t>
      </w:r>
      <w:r w:rsidRPr="00C84AD8">
        <w:rPr>
          <w:caps/>
          <w:color w:val="auto"/>
        </w:rPr>
        <w:t>00</w:t>
      </w:r>
      <w:r w:rsidR="00C84AD8" w:rsidRPr="00C84AD8">
        <w:rPr>
          <w:caps/>
          <w:color w:val="auto"/>
        </w:rPr>
        <w:t>226</w:t>
      </w:r>
      <w:r w:rsidR="00DD5558">
        <w:rPr>
          <w:color w:val="auto"/>
        </w:rPr>
        <w:tab/>
      </w:r>
      <w:r w:rsidR="0018208F" w:rsidRPr="00F64312">
        <w:rPr>
          <w:color w:val="auto"/>
        </w:rPr>
        <w:t>SE</w:t>
      </w:r>
      <w:r w:rsidRPr="00F64312">
        <w:rPr>
          <w:color w:val="auto"/>
        </w:rPr>
        <w:t>PARATION DATE:  200</w:t>
      </w:r>
      <w:r w:rsidR="00C84AD8">
        <w:rPr>
          <w:color w:val="auto"/>
        </w:rPr>
        <w:t>70614</w:t>
      </w:r>
    </w:p>
    <w:p w:rsidR="00AD2379" w:rsidRDefault="0095270D" w:rsidP="001531D9">
      <w:pPr>
        <w:pBdr>
          <w:bottom w:val="single" w:sz="12" w:space="1" w:color="auto"/>
        </w:pBdr>
        <w:tabs>
          <w:tab w:val="left" w:pos="288"/>
          <w:tab w:val="left" w:pos="4752"/>
        </w:tabs>
        <w:jc w:val="both"/>
        <w:rPr>
          <w:caps/>
          <w:color w:val="auto"/>
        </w:rPr>
      </w:pPr>
      <w:r w:rsidRPr="00F64312">
        <w:rPr>
          <w:caps/>
          <w:color w:val="auto"/>
        </w:rPr>
        <w:t>BOARD DATE:  2012</w:t>
      </w:r>
      <w:r w:rsidR="001531D9">
        <w:rPr>
          <w:caps/>
          <w:color w:val="auto"/>
        </w:rPr>
        <w:t>0801</w:t>
      </w:r>
    </w:p>
    <w:p w:rsidR="001531D9" w:rsidRPr="00F64312" w:rsidRDefault="001531D9" w:rsidP="001531D9">
      <w:pPr>
        <w:pBdr>
          <w:bottom w:val="single" w:sz="12" w:space="1" w:color="auto"/>
        </w:pBdr>
        <w:tabs>
          <w:tab w:val="left" w:pos="288"/>
          <w:tab w:val="left" w:pos="4752"/>
        </w:tabs>
        <w:jc w:val="both"/>
        <w:rPr>
          <w:color w:val="auto"/>
        </w:rPr>
      </w:pPr>
    </w:p>
    <w:p w:rsidR="001531D9" w:rsidRDefault="001531D9" w:rsidP="00BF0E94">
      <w:pPr>
        <w:tabs>
          <w:tab w:val="left" w:pos="288"/>
          <w:tab w:val="left" w:pos="4752"/>
        </w:tabs>
        <w:jc w:val="both"/>
        <w:rPr>
          <w:color w:val="auto"/>
          <w:u w:val="single"/>
        </w:rPr>
      </w:pPr>
    </w:p>
    <w:p w:rsidR="000B1C9E" w:rsidRDefault="00AD2379" w:rsidP="00AC3462">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A743C">
        <w:rPr>
          <w:color w:val="auto"/>
        </w:rPr>
        <w:t>an active duty</w:t>
      </w:r>
      <w:r w:rsidR="0021565F" w:rsidRPr="00FA743C">
        <w:rPr>
          <w:color w:val="auto"/>
        </w:rPr>
        <w:t xml:space="preserve"> </w:t>
      </w:r>
      <w:r w:rsidR="00793BFB" w:rsidRPr="00FA743C">
        <w:rPr>
          <w:color w:val="auto"/>
        </w:rPr>
        <w:t>Petty Officer Second Class</w:t>
      </w:r>
      <w:r w:rsidR="0017172C" w:rsidRPr="00FA743C">
        <w:rPr>
          <w:color w:val="auto"/>
        </w:rPr>
        <w:t>/E-5</w:t>
      </w:r>
      <w:r w:rsidRPr="00FA743C">
        <w:rPr>
          <w:color w:val="auto"/>
        </w:rPr>
        <w:t xml:space="preserve"> (</w:t>
      </w:r>
      <w:r w:rsidR="00793BFB" w:rsidRPr="00FA743C">
        <w:rPr>
          <w:color w:val="auto"/>
        </w:rPr>
        <w:t>6418</w:t>
      </w:r>
      <w:r w:rsidR="00AC3462">
        <w:rPr>
          <w:color w:val="auto"/>
        </w:rPr>
        <w:t>/</w:t>
      </w:r>
      <w:r w:rsidR="00793BFB" w:rsidRPr="00FA743C">
        <w:rPr>
          <w:color w:val="auto"/>
        </w:rPr>
        <w:t>Aviation</w:t>
      </w:r>
      <w:r w:rsidR="00793BFB">
        <w:rPr>
          <w:color w:val="auto"/>
        </w:rPr>
        <w:t xml:space="preserve"> Machinist Mate</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FA743C" w:rsidRPr="003B55F2">
        <w:rPr>
          <w:color w:val="auto"/>
        </w:rPr>
        <w:t>lumbar fusion L2-L4</w:t>
      </w:r>
      <w:r w:rsidR="0021565F" w:rsidRPr="003B55F2">
        <w:rPr>
          <w:color w:val="auto"/>
        </w:rPr>
        <w:t>.</w:t>
      </w:r>
      <w:r w:rsidR="003B55F2" w:rsidRPr="003B55F2">
        <w:rPr>
          <w:color w:val="auto"/>
        </w:rPr>
        <w:t xml:space="preserve">  </w:t>
      </w:r>
      <w:r w:rsidR="00752ABF" w:rsidRPr="003B55F2">
        <w:rPr>
          <w:color w:val="auto"/>
        </w:rPr>
        <w:t>The CI did not improve adequately with treatment</w:t>
      </w:r>
      <w:r w:rsidR="00752ABF">
        <w:rPr>
          <w:color w:val="auto"/>
        </w:rPr>
        <w:t xml:space="preserve"> </w:t>
      </w:r>
      <w:r w:rsidR="00752ABF" w:rsidRPr="00F64312">
        <w:rPr>
          <w:color w:val="auto"/>
        </w:rPr>
        <w:t xml:space="preserve">to meet the physical requirements of </w:t>
      </w:r>
      <w:r w:rsidR="00752ABF" w:rsidRPr="003B55F2">
        <w:rPr>
          <w:color w:val="auto"/>
        </w:rPr>
        <w:t xml:space="preserve">his Rating </w:t>
      </w:r>
      <w:r w:rsidR="00752ABF" w:rsidRPr="00F64312">
        <w:rPr>
          <w:color w:val="auto"/>
        </w:rPr>
        <w:t>or satisfy physical fitness standards.</w:t>
      </w:r>
      <w:r w:rsidR="003B55F2">
        <w:rPr>
          <w:color w:val="auto"/>
        </w:rPr>
        <w:t xml:space="preserve">  </w:t>
      </w:r>
      <w:r w:rsidR="009C12A1" w:rsidRPr="008F219A">
        <w:rPr>
          <w:color w:val="auto"/>
        </w:rPr>
        <w:t xml:space="preserve">He </w:t>
      </w:r>
      <w:r w:rsidR="00FA743C" w:rsidRPr="008F219A">
        <w:rPr>
          <w:color w:val="auto"/>
        </w:rPr>
        <w:t xml:space="preserve">was </w:t>
      </w:r>
      <w:r w:rsidR="0021565F" w:rsidRPr="008F219A">
        <w:rPr>
          <w:color w:val="auto"/>
        </w:rPr>
        <w:t xml:space="preserve">placed on limited duty </w:t>
      </w:r>
      <w:r w:rsidR="00AC3462">
        <w:rPr>
          <w:color w:val="auto"/>
        </w:rPr>
        <w:t>(</w:t>
      </w:r>
      <w:r w:rsidR="00252A84" w:rsidRPr="008F219A">
        <w:rPr>
          <w:color w:val="auto"/>
        </w:rPr>
        <w:t>LIMDU</w:t>
      </w:r>
      <w:r w:rsidR="00AC3462">
        <w:rPr>
          <w:color w:val="auto"/>
        </w:rPr>
        <w:t>)</w:t>
      </w:r>
      <w:r w:rsidR="003E5E8F">
        <w:rPr>
          <w:color w:val="auto"/>
        </w:rPr>
        <w:t xml:space="preserve"> </w:t>
      </w:r>
      <w:r w:rsidR="00752ABF" w:rsidRPr="003B55F2">
        <w:rPr>
          <w:color w:val="auto"/>
        </w:rPr>
        <w:t>three</w:t>
      </w:r>
      <w:r w:rsidR="00752ABF">
        <w:rPr>
          <w:color w:val="auto"/>
        </w:rPr>
        <w:t xml:space="preserve"> </w:t>
      </w:r>
      <w:r w:rsidR="003E5E8F">
        <w:rPr>
          <w:color w:val="auto"/>
        </w:rPr>
        <w:t xml:space="preserve">times then </w:t>
      </w:r>
      <w:r w:rsidR="00F566B7" w:rsidRPr="008F219A">
        <w:rPr>
          <w:color w:val="auto"/>
        </w:rPr>
        <w:t>referred for a Medical Evaluation Board (MEB)</w:t>
      </w:r>
      <w:r w:rsidR="00752ABF">
        <w:rPr>
          <w:color w:val="auto"/>
        </w:rPr>
        <w:t>.  D</w:t>
      </w:r>
      <w:r w:rsidR="0047695C" w:rsidRPr="008F219A">
        <w:rPr>
          <w:color w:val="auto"/>
        </w:rPr>
        <w:t xml:space="preserve">egeneration of lumbar or lumbosacral intervertebral disc and lumbosacral </w:t>
      </w:r>
      <w:proofErr w:type="spellStart"/>
      <w:r w:rsidR="0047695C" w:rsidRPr="008F219A">
        <w:rPr>
          <w:color w:val="auto"/>
        </w:rPr>
        <w:t>spondylosis</w:t>
      </w:r>
      <w:proofErr w:type="spellEnd"/>
      <w:r w:rsidR="0047695C" w:rsidRPr="008F219A">
        <w:rPr>
          <w:color w:val="auto"/>
        </w:rPr>
        <w:t xml:space="preserve"> without myelopathy</w:t>
      </w:r>
      <w:r w:rsidR="00F566B7" w:rsidRPr="008F219A">
        <w:rPr>
          <w:color w:val="auto"/>
        </w:rPr>
        <w:t xml:space="preserve"> </w:t>
      </w:r>
      <w:r w:rsidR="0047695C" w:rsidRPr="008F219A">
        <w:rPr>
          <w:color w:val="auto"/>
        </w:rPr>
        <w:t>condition</w:t>
      </w:r>
      <w:r w:rsidR="00071F0D" w:rsidRPr="008F219A">
        <w:rPr>
          <w:color w:val="auto"/>
        </w:rPr>
        <w:t>s, identified in the rating chart below, were identified and forwarded by the MEB</w:t>
      </w:r>
      <w:r w:rsidR="00F566B7" w:rsidRPr="008F219A">
        <w:rPr>
          <w:color w:val="auto"/>
        </w:rPr>
        <w:t>.</w:t>
      </w:r>
      <w:r w:rsidR="0016219F">
        <w:rPr>
          <w:color w:val="auto"/>
        </w:rPr>
        <w:t xml:space="preserve">  </w:t>
      </w:r>
      <w:r w:rsidR="00752ABF">
        <w:rPr>
          <w:color w:val="auto"/>
        </w:rPr>
        <w:t>T</w:t>
      </w:r>
      <w:r w:rsidRPr="008F219A">
        <w:rPr>
          <w:color w:val="auto"/>
        </w:rPr>
        <w:t xml:space="preserve">he </w:t>
      </w:r>
      <w:r w:rsidR="00B71945">
        <w:rPr>
          <w:color w:val="auto"/>
        </w:rPr>
        <w:t>Physical Evaluation Board (</w:t>
      </w:r>
      <w:r w:rsidRPr="008F219A">
        <w:rPr>
          <w:color w:val="auto"/>
        </w:rPr>
        <w:t>PEB</w:t>
      </w:r>
      <w:r w:rsidR="00B71945">
        <w:rPr>
          <w:color w:val="auto"/>
        </w:rPr>
        <w:t>)</w:t>
      </w:r>
      <w:r w:rsidRPr="008F219A">
        <w:rPr>
          <w:color w:val="auto"/>
        </w:rPr>
        <w:t xml:space="preserve"> adjudicated the </w:t>
      </w:r>
      <w:r w:rsidR="002C6D96" w:rsidRPr="003B55F2">
        <w:rPr>
          <w:color w:val="auto"/>
        </w:rPr>
        <w:t>lumbar fusion L2-L</w:t>
      </w:r>
      <w:r w:rsidR="008335BE" w:rsidRPr="003B55F2">
        <w:rPr>
          <w:color w:val="auto"/>
        </w:rPr>
        <w:t>3</w:t>
      </w:r>
      <w:r w:rsidR="002C6D96" w:rsidRPr="003B55F2">
        <w:rPr>
          <w:color w:val="auto"/>
        </w:rPr>
        <w:t xml:space="preserve"> </w:t>
      </w:r>
      <w:r w:rsidR="008530E3" w:rsidRPr="008F219A">
        <w:rPr>
          <w:color w:val="auto"/>
        </w:rPr>
        <w:t xml:space="preserve">condition as unfitting, rated </w:t>
      </w:r>
      <w:r w:rsidR="002C6D96" w:rsidRPr="008F219A">
        <w:rPr>
          <w:color w:val="auto"/>
        </w:rPr>
        <w:t>20</w:t>
      </w:r>
      <w:r w:rsidR="000C647D" w:rsidRPr="008F219A">
        <w:rPr>
          <w:color w:val="auto"/>
        </w:rPr>
        <w:t>%</w:t>
      </w:r>
      <w:r w:rsidRPr="008F219A">
        <w:rPr>
          <w:color w:val="auto"/>
        </w:rPr>
        <w:t xml:space="preserve">, </w:t>
      </w:r>
      <w:r w:rsidR="00E46D90" w:rsidRPr="008F219A">
        <w:rPr>
          <w:color w:val="auto"/>
        </w:rPr>
        <w:t xml:space="preserve">with application of the </w:t>
      </w:r>
      <w:r w:rsidRPr="008F219A">
        <w:rPr>
          <w:color w:val="auto"/>
        </w:rPr>
        <w:t>Veteran</w:t>
      </w:r>
      <w:r w:rsidR="00BF72CA" w:rsidRPr="008F219A">
        <w:rPr>
          <w:color w:val="auto"/>
        </w:rPr>
        <w:t>’</w:t>
      </w:r>
      <w:r w:rsidRPr="008F219A">
        <w:rPr>
          <w:color w:val="auto"/>
        </w:rPr>
        <w:t>s A</w:t>
      </w:r>
      <w:r w:rsidR="00BF72CA" w:rsidRPr="008F219A">
        <w:rPr>
          <w:color w:val="auto"/>
        </w:rPr>
        <w:t>ffairs</w:t>
      </w:r>
      <w:r w:rsidRPr="008F219A">
        <w:rPr>
          <w:color w:val="auto"/>
        </w:rPr>
        <w:t xml:space="preserve"> Schedule for Rating Disabilities (VASRD)</w:t>
      </w:r>
      <w:r w:rsidR="00752ABF">
        <w:rPr>
          <w:color w:val="auto"/>
        </w:rPr>
        <w:t>.</w:t>
      </w:r>
      <w:r w:rsidR="003B55F2">
        <w:rPr>
          <w:color w:val="auto"/>
        </w:rPr>
        <w:t xml:space="preserve"> </w:t>
      </w:r>
      <w:r w:rsidR="00E31E05">
        <w:rPr>
          <w:color w:val="auto"/>
        </w:rPr>
        <w:t xml:space="preserve"> </w:t>
      </w:r>
      <w:r w:rsidR="003B55F2">
        <w:rPr>
          <w:color w:val="auto"/>
        </w:rPr>
        <w:t>L</w:t>
      </w:r>
      <w:r w:rsidR="002C6D96" w:rsidRPr="008F219A">
        <w:rPr>
          <w:color w:val="auto"/>
        </w:rPr>
        <w:t xml:space="preserve">umbosacral </w:t>
      </w:r>
      <w:proofErr w:type="spellStart"/>
      <w:r w:rsidR="002C6D96" w:rsidRPr="008F219A">
        <w:rPr>
          <w:color w:val="auto"/>
        </w:rPr>
        <w:t>spondylosis</w:t>
      </w:r>
      <w:proofErr w:type="spellEnd"/>
      <w:r w:rsidR="003B55F2">
        <w:rPr>
          <w:color w:val="auto"/>
        </w:rPr>
        <w:t xml:space="preserve"> </w:t>
      </w:r>
      <w:r w:rsidR="00FA1012">
        <w:rPr>
          <w:color w:val="auto"/>
        </w:rPr>
        <w:t xml:space="preserve">and </w:t>
      </w:r>
      <w:r w:rsidR="008F219A" w:rsidRPr="008F219A">
        <w:rPr>
          <w:color w:val="auto"/>
        </w:rPr>
        <w:t>degenerative disk disease</w:t>
      </w:r>
      <w:r w:rsidR="00525B20">
        <w:rPr>
          <w:color w:val="auto"/>
        </w:rPr>
        <w:t xml:space="preserve"> </w:t>
      </w:r>
      <w:r w:rsidR="00AC3462">
        <w:rPr>
          <w:color w:val="auto"/>
        </w:rPr>
        <w:t xml:space="preserve">(DDD) </w:t>
      </w:r>
      <w:r w:rsidR="003B55F2">
        <w:rPr>
          <w:color w:val="auto"/>
        </w:rPr>
        <w:t>w</w:t>
      </w:r>
      <w:r w:rsidR="00FA1012">
        <w:rPr>
          <w:color w:val="auto"/>
        </w:rPr>
        <w:t>ere</w:t>
      </w:r>
      <w:r w:rsidR="00525B20">
        <w:rPr>
          <w:color w:val="auto"/>
        </w:rPr>
        <w:t xml:space="preserve"> </w:t>
      </w:r>
      <w:r w:rsidR="003B55F2">
        <w:rPr>
          <w:color w:val="auto"/>
        </w:rPr>
        <w:t xml:space="preserve">determined to be </w:t>
      </w:r>
      <w:r w:rsidR="00E31E05">
        <w:rPr>
          <w:color w:val="auto"/>
        </w:rPr>
        <w:t xml:space="preserve">a </w:t>
      </w:r>
      <w:r w:rsidR="00AC3462">
        <w:rPr>
          <w:color w:val="auto"/>
        </w:rPr>
        <w:t>C</w:t>
      </w:r>
      <w:r w:rsidR="003B55F2">
        <w:rPr>
          <w:color w:val="auto"/>
        </w:rPr>
        <w:t>ategory II condition</w:t>
      </w:r>
      <w:r w:rsidR="00FA1012">
        <w:rPr>
          <w:color w:val="auto"/>
        </w:rPr>
        <w:t>s</w:t>
      </w:r>
      <w:r w:rsidR="00E31E05">
        <w:rPr>
          <w:color w:val="auto"/>
        </w:rPr>
        <w:t>,</w:t>
      </w:r>
      <w:r w:rsidR="003B55F2">
        <w:rPr>
          <w:color w:val="auto"/>
        </w:rPr>
        <w:t xml:space="preserve"> contributing to the primary unfitting condition but not separately ratable.  </w:t>
      </w:r>
      <w:r w:rsidRPr="002D56AA">
        <w:rPr>
          <w:color w:val="auto"/>
        </w:rPr>
        <w:t xml:space="preserve">The CI </w:t>
      </w:r>
      <w:r w:rsidR="001531D9">
        <w:rPr>
          <w:color w:val="auto"/>
        </w:rPr>
        <w:t xml:space="preserve">initially </w:t>
      </w:r>
      <w:r w:rsidR="00525B20">
        <w:rPr>
          <w:color w:val="auto"/>
        </w:rPr>
        <w:t xml:space="preserve">requested a formal board, </w:t>
      </w:r>
      <w:r w:rsidR="001531D9">
        <w:rPr>
          <w:color w:val="auto"/>
        </w:rPr>
        <w:t xml:space="preserve">but </w:t>
      </w:r>
      <w:r w:rsidR="00AC3462">
        <w:rPr>
          <w:color w:val="auto"/>
        </w:rPr>
        <w:t>2</w:t>
      </w:r>
      <w:r w:rsidR="00525B20">
        <w:rPr>
          <w:color w:val="auto"/>
        </w:rPr>
        <w:t xml:space="preserve"> </w:t>
      </w:r>
      <w:r w:rsidR="001531D9">
        <w:rPr>
          <w:color w:val="auto"/>
        </w:rPr>
        <w:t xml:space="preserve">months later accepted the decision </w:t>
      </w:r>
      <w:r w:rsidR="00AC3462">
        <w:rPr>
          <w:color w:val="auto"/>
        </w:rPr>
        <w:t xml:space="preserve">of the </w:t>
      </w:r>
      <w:r w:rsidR="00525B20">
        <w:rPr>
          <w:color w:val="auto"/>
        </w:rPr>
        <w:t xml:space="preserve">PEB </w:t>
      </w:r>
      <w:r w:rsidRPr="002D56AA">
        <w:rPr>
          <w:color w:val="auto"/>
        </w:rPr>
        <w:t xml:space="preserve">and was medically separated with </w:t>
      </w:r>
      <w:r w:rsidR="002D56AA" w:rsidRPr="002D56AA">
        <w:rPr>
          <w:color w:val="auto"/>
        </w:rPr>
        <w:t>a 20</w:t>
      </w:r>
      <w:r w:rsidR="0066684A" w:rsidRPr="002D56AA">
        <w:rPr>
          <w:color w:val="auto"/>
        </w:rPr>
        <w:t xml:space="preserve">% </w:t>
      </w:r>
      <w:r w:rsidRPr="002D56AA">
        <w:rPr>
          <w:color w:val="auto"/>
        </w:rPr>
        <w:t>disability rating.</w:t>
      </w:r>
      <w:r w:rsidR="00165C7B" w:rsidRPr="002D56AA">
        <w:rPr>
          <w:color w:val="auto"/>
        </w:rPr>
        <w:t xml:space="preserve">  </w:t>
      </w:r>
    </w:p>
    <w:p w:rsidR="00042978" w:rsidRPr="00F64312" w:rsidRDefault="00042978" w:rsidP="00532187">
      <w:pPr>
        <w:pBdr>
          <w:bottom w:val="single" w:sz="12" w:space="0" w:color="auto"/>
        </w:pBdr>
        <w:tabs>
          <w:tab w:val="left" w:pos="288"/>
          <w:tab w:val="left" w:pos="4752"/>
        </w:tabs>
        <w:jc w:val="both"/>
        <w:rPr>
          <w:color w:val="auto"/>
        </w:rPr>
      </w:pPr>
    </w:p>
    <w:p w:rsidR="00042978" w:rsidRPr="00F64312" w:rsidRDefault="00042978" w:rsidP="00042978">
      <w:pPr>
        <w:jc w:val="left"/>
        <w:rPr>
          <w:color w:val="auto"/>
          <w:u w:val="single"/>
        </w:rPr>
      </w:pPr>
    </w:p>
    <w:p w:rsidR="001531D9" w:rsidRDefault="00AD2379" w:rsidP="001531D9">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C3BD3">
        <w:rPr>
          <w:color w:val="auto"/>
        </w:rPr>
        <w:t>The CI contends for addition of post traumatic stress disorder (PTSD), depression, and right shoulder conditions added as unfitting conditions for rating at separation.  He states, “</w:t>
      </w:r>
      <w:r w:rsidR="005C3BD3" w:rsidRPr="00E228F6">
        <w:rPr>
          <w:color w:val="auto"/>
        </w:rPr>
        <w:t>I feel that had all my medical issues were truly considered that I would have been granted medical</w:t>
      </w:r>
      <w:r w:rsidR="005C3BD3">
        <w:rPr>
          <w:color w:val="auto"/>
        </w:rPr>
        <w:t xml:space="preserve"> </w:t>
      </w:r>
      <w:r w:rsidR="005C3BD3" w:rsidRPr="00E228F6">
        <w:rPr>
          <w:color w:val="auto"/>
        </w:rPr>
        <w:t>retirement instead of medical separation. I was at 20% with my back issues alone. I feel a great</w:t>
      </w:r>
      <w:r w:rsidR="005C3BD3">
        <w:rPr>
          <w:color w:val="auto"/>
        </w:rPr>
        <w:t xml:space="preserve"> </w:t>
      </w:r>
      <w:r w:rsidR="005C3BD3" w:rsidRPr="00E228F6">
        <w:rPr>
          <w:color w:val="auto"/>
        </w:rPr>
        <w:t>disservice from that Navy doctor who refused to include the PTSD, as this is a service connected issue</w:t>
      </w:r>
      <w:r w:rsidR="005C3BD3">
        <w:rPr>
          <w:color w:val="auto"/>
        </w:rPr>
        <w:t xml:space="preserve"> </w:t>
      </w:r>
      <w:r w:rsidR="005C3BD3" w:rsidRPr="00E228F6">
        <w:rPr>
          <w:color w:val="auto"/>
        </w:rPr>
        <w:t>along with other mental and physical problems I incurred while serving my country. The Navy was well</w:t>
      </w:r>
      <w:r w:rsidR="005C3BD3">
        <w:rPr>
          <w:color w:val="auto"/>
        </w:rPr>
        <w:t xml:space="preserve"> </w:t>
      </w:r>
      <w:r w:rsidR="005C3BD3" w:rsidRPr="00E228F6">
        <w:rPr>
          <w:color w:val="auto"/>
        </w:rPr>
        <w:t>aware that I suffered from PTSD and depression along with my shoulder issues as they were treating me</w:t>
      </w:r>
      <w:r w:rsidR="005C3BD3">
        <w:rPr>
          <w:color w:val="auto"/>
        </w:rPr>
        <w:t xml:space="preserve"> </w:t>
      </w:r>
      <w:r w:rsidR="005C3BD3" w:rsidRPr="00E228F6">
        <w:rPr>
          <w:color w:val="auto"/>
        </w:rPr>
        <w:t>for both prior to my separation. I am including the medical documents from the Navy doctors</w:t>
      </w:r>
      <w:r w:rsidR="005C3BD3">
        <w:rPr>
          <w:color w:val="auto"/>
        </w:rPr>
        <w:t xml:space="preserve"> </w:t>
      </w:r>
      <w:r w:rsidR="005C3BD3" w:rsidRPr="00E228F6">
        <w:rPr>
          <w:color w:val="auto"/>
        </w:rPr>
        <w:t>themselves supporting my statement.</w:t>
      </w:r>
      <w:r w:rsidR="005C3BD3">
        <w:rPr>
          <w:color w:val="auto"/>
        </w:rPr>
        <w:t>”</w:t>
      </w:r>
      <w:r w:rsidR="001531D9" w:rsidRPr="001531D9">
        <w:rPr>
          <w:color w:val="auto"/>
        </w:rPr>
        <w:t xml:space="preserve"> </w:t>
      </w:r>
    </w:p>
    <w:p w:rsidR="00525B20" w:rsidRPr="00F64312" w:rsidRDefault="00525B20" w:rsidP="00525B20">
      <w:pPr>
        <w:pBdr>
          <w:bottom w:val="single" w:sz="12" w:space="0" w:color="auto"/>
        </w:pBdr>
        <w:tabs>
          <w:tab w:val="left" w:pos="288"/>
          <w:tab w:val="left" w:pos="4752"/>
        </w:tabs>
        <w:jc w:val="both"/>
        <w:rPr>
          <w:color w:val="auto"/>
        </w:rPr>
      </w:pPr>
    </w:p>
    <w:p w:rsidR="00525B20" w:rsidRPr="00F64312" w:rsidRDefault="00525B20" w:rsidP="00525B20">
      <w:pPr>
        <w:jc w:val="left"/>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conditions “identified but not determined to be </w:t>
      </w:r>
      <w:r w:rsidRPr="00241D96">
        <w:rPr>
          <w:color w:val="auto"/>
        </w:rPr>
        <w:t>unfitting by the PEB</w:t>
      </w:r>
      <w:r w:rsidR="00AC3462">
        <w:rPr>
          <w:color w:val="auto"/>
        </w:rPr>
        <w:t>.</w:t>
      </w:r>
      <w:r w:rsidRPr="00241D96">
        <w:rPr>
          <w:color w:val="auto"/>
        </w:rPr>
        <w:t>”  The ratings for unfitting conditions will be reviewed in all cases</w:t>
      </w:r>
      <w:r w:rsidR="00241D96" w:rsidRPr="00241D96">
        <w:rPr>
          <w:color w:val="auto"/>
        </w:rPr>
        <w:t xml:space="preserve">.  </w:t>
      </w:r>
      <w:r w:rsidRPr="00241D96">
        <w:rPr>
          <w:color w:val="auto"/>
        </w:rPr>
        <w:t xml:space="preserve">The </w:t>
      </w:r>
      <w:r w:rsidR="00B572F0" w:rsidRPr="003B55F2">
        <w:rPr>
          <w:color w:val="auto"/>
        </w:rPr>
        <w:t>lumbar fusion L2-L4</w:t>
      </w:r>
      <w:r w:rsidRPr="00241D96">
        <w:rPr>
          <w:color w:val="auto"/>
        </w:rPr>
        <w:t xml:space="preserve"> condition requested for consideration</w:t>
      </w:r>
      <w:r w:rsidR="00A04C9D">
        <w:rPr>
          <w:color w:val="auto"/>
        </w:rPr>
        <w:t xml:space="preserve"> </w:t>
      </w:r>
      <w:r w:rsidR="00A04C9D" w:rsidRPr="00241D96">
        <w:rPr>
          <w:color w:val="auto"/>
        </w:rPr>
        <w:t>a</w:t>
      </w:r>
      <w:r w:rsidR="00A04C9D" w:rsidRPr="003B55F2">
        <w:rPr>
          <w:color w:val="auto"/>
        </w:rPr>
        <w:t xml:space="preserve">nd the related </w:t>
      </w:r>
      <w:r w:rsidR="00AC3462">
        <w:rPr>
          <w:color w:val="auto"/>
        </w:rPr>
        <w:t>C</w:t>
      </w:r>
      <w:r w:rsidR="00A04C9D" w:rsidRPr="003B55F2">
        <w:rPr>
          <w:color w:val="auto"/>
        </w:rPr>
        <w:t xml:space="preserve">ategory II diagnoses lumbosacral </w:t>
      </w:r>
      <w:proofErr w:type="spellStart"/>
      <w:r w:rsidR="00A04C9D" w:rsidRPr="003B55F2">
        <w:rPr>
          <w:color w:val="auto"/>
        </w:rPr>
        <w:t>spondylosis</w:t>
      </w:r>
      <w:proofErr w:type="spellEnd"/>
      <w:r w:rsidR="00A04C9D" w:rsidRPr="003B55F2">
        <w:rPr>
          <w:color w:val="auto"/>
        </w:rPr>
        <w:t xml:space="preserve"> and degenerative disk disease</w:t>
      </w:r>
      <w:r w:rsidR="004860A0">
        <w:rPr>
          <w:color w:val="auto"/>
        </w:rPr>
        <w:t xml:space="preserve"> </w:t>
      </w:r>
      <w:r w:rsidRPr="00241D96">
        <w:rPr>
          <w:color w:val="auto"/>
        </w:rPr>
        <w:t xml:space="preserve">meet the criteria prescribed in DoDI 6040.44 for Board purview, and are accordingly addressed below.  The other requested conditions </w:t>
      </w:r>
      <w:r w:rsidR="00AC3462">
        <w:rPr>
          <w:color w:val="auto"/>
        </w:rPr>
        <w:t>posttraumatic stress disorder (</w:t>
      </w:r>
      <w:r w:rsidR="00241D96" w:rsidRPr="00241D96">
        <w:rPr>
          <w:color w:val="auto"/>
        </w:rPr>
        <w:t>PTSD</w:t>
      </w:r>
      <w:r w:rsidR="00AC3462">
        <w:rPr>
          <w:color w:val="auto"/>
        </w:rPr>
        <w:t>)</w:t>
      </w:r>
      <w:r w:rsidR="00241D96" w:rsidRPr="00241D96">
        <w:rPr>
          <w:color w:val="auto"/>
        </w:rPr>
        <w:t>, depression</w:t>
      </w:r>
      <w:r w:rsidR="006F6572">
        <w:rPr>
          <w:color w:val="auto"/>
        </w:rPr>
        <w:t xml:space="preserve">, </w:t>
      </w:r>
      <w:r w:rsidR="00241D96" w:rsidRPr="00241D96">
        <w:rPr>
          <w:color w:val="auto"/>
        </w:rPr>
        <w:t>rotator cuff tear and bone spur in right shoulder</w:t>
      </w:r>
      <w:r w:rsidRPr="00241D96">
        <w:rPr>
          <w:color w:val="auto"/>
        </w:rPr>
        <w:t xml:space="preserve"> are not within the Board’s purview.  The remaining conditions rated by the </w:t>
      </w:r>
      <w:r w:rsidR="00AC3462">
        <w:rPr>
          <w:color w:val="auto"/>
        </w:rPr>
        <w:t>Department of Veterans’ Affairs (D</w:t>
      </w:r>
      <w:r w:rsidRPr="00241D96">
        <w:rPr>
          <w:color w:val="auto"/>
        </w:rPr>
        <w:t>VA</w:t>
      </w:r>
      <w:r w:rsidR="00AC3462">
        <w:rPr>
          <w:color w:val="auto"/>
        </w:rPr>
        <w:t>)</w:t>
      </w:r>
      <w:r w:rsidRPr="00241D96">
        <w:rPr>
          <w:color w:val="auto"/>
        </w:rPr>
        <w:t xml:space="preserve"> at separation and listed</w:t>
      </w:r>
      <w:r w:rsidR="00AC3462">
        <w:rPr>
          <w:color w:val="auto"/>
        </w:rPr>
        <w:t xml:space="preserve"> on the DD</w:t>
      </w:r>
      <w:r w:rsidRPr="00241D96">
        <w:rPr>
          <w:color w:val="auto"/>
        </w:rPr>
        <w:t xml:space="preserve"> Form 294 are not within the Board’s purview.</w:t>
      </w:r>
      <w:r w:rsidR="00241D96">
        <w:rPr>
          <w:color w:val="auto"/>
        </w:rPr>
        <w:t xml:space="preserve"> </w:t>
      </w:r>
      <w:r w:rsidRPr="00241D96">
        <w:rPr>
          <w:color w:val="auto"/>
        </w:rPr>
        <w:t xml:space="preserve"> Any conditions or contention not requested in this application, or otherwise outside the Board’s defined scope of review, remain eligible for future consideration by 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Default="00921F7F" w:rsidP="00BF0E94">
      <w:pPr>
        <w:tabs>
          <w:tab w:val="left" w:pos="288"/>
          <w:tab w:val="left" w:pos="4752"/>
        </w:tabs>
        <w:jc w:val="both"/>
        <w:rPr>
          <w:color w:val="auto"/>
        </w:rPr>
      </w:pPr>
    </w:p>
    <w:p w:rsidR="005C3BD3" w:rsidRDefault="005C3BD3">
      <w:pPr>
        <w:spacing w:line="240" w:lineRule="auto"/>
        <w:jc w:val="left"/>
        <w:rPr>
          <w:color w:val="auto"/>
        </w:rPr>
      </w:pPr>
      <w:r>
        <w:rPr>
          <w:color w:val="auto"/>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W w:w="9608"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3"/>
        <w:gridCol w:w="1077"/>
        <w:gridCol w:w="718"/>
        <w:gridCol w:w="2826"/>
        <w:gridCol w:w="1080"/>
        <w:gridCol w:w="756"/>
        <w:gridCol w:w="988"/>
      </w:tblGrid>
      <w:tr w:rsidR="00F90376" w:rsidRPr="00F64312" w:rsidTr="00525B20">
        <w:trPr>
          <w:trHeight w:val="130"/>
          <w:jc w:val="center"/>
        </w:trPr>
        <w:tc>
          <w:tcPr>
            <w:tcW w:w="3958" w:type="dxa"/>
            <w:gridSpan w:val="3"/>
            <w:tcBorders>
              <w:right w:val="thinThickThinSmallGap" w:sz="24" w:space="0" w:color="auto"/>
            </w:tcBorders>
            <w:shd w:val="clear" w:color="auto" w:fill="D9D9D9"/>
            <w:vAlign w:val="center"/>
          </w:tcPr>
          <w:p w:rsidR="00F90376" w:rsidRPr="00472D4A" w:rsidRDefault="00F90376" w:rsidP="00665220">
            <w:pPr>
              <w:spacing w:line="180" w:lineRule="exact"/>
              <w:contextualSpacing/>
              <w:rPr>
                <w:b/>
                <w:color w:val="auto"/>
                <w:sz w:val="18"/>
                <w:szCs w:val="22"/>
              </w:rPr>
            </w:pPr>
            <w:r w:rsidRPr="00472D4A">
              <w:rPr>
                <w:rFonts w:cs="Times New Roman"/>
                <w:b/>
                <w:color w:val="auto"/>
                <w:sz w:val="18"/>
                <w:szCs w:val="22"/>
              </w:rPr>
              <w:t xml:space="preserve">Service PEB – Dated </w:t>
            </w:r>
            <w:r w:rsidRPr="00665220">
              <w:rPr>
                <w:rFonts w:cs="Times New Roman"/>
                <w:b/>
                <w:color w:val="auto"/>
                <w:sz w:val="18"/>
                <w:szCs w:val="22"/>
              </w:rPr>
              <w:t>200</w:t>
            </w:r>
            <w:r w:rsidR="00665220" w:rsidRPr="00665220">
              <w:rPr>
                <w:rFonts w:cs="Times New Roman"/>
                <w:b/>
                <w:color w:val="auto"/>
                <w:sz w:val="18"/>
                <w:szCs w:val="22"/>
              </w:rPr>
              <w:t>61220</w:t>
            </w:r>
          </w:p>
        </w:tc>
        <w:tc>
          <w:tcPr>
            <w:tcW w:w="5650" w:type="dxa"/>
            <w:gridSpan w:val="4"/>
            <w:tcBorders>
              <w:left w:val="thinThickThinSmallGap" w:sz="24" w:space="0" w:color="auto"/>
            </w:tcBorders>
            <w:shd w:val="clear" w:color="auto" w:fill="D9D9D9"/>
            <w:vAlign w:val="center"/>
          </w:tcPr>
          <w:p w:rsidR="00F90376" w:rsidRPr="00472D4A" w:rsidRDefault="00F90376" w:rsidP="008A2FAF">
            <w:pPr>
              <w:spacing w:line="180" w:lineRule="exact"/>
              <w:contextualSpacing/>
              <w:rPr>
                <w:b/>
                <w:color w:val="auto"/>
                <w:sz w:val="18"/>
                <w:szCs w:val="22"/>
              </w:rPr>
            </w:pPr>
            <w:r w:rsidRPr="00472D4A">
              <w:rPr>
                <w:rFonts w:cs="Times New Roman"/>
                <w:b/>
                <w:color w:val="auto"/>
                <w:sz w:val="18"/>
                <w:szCs w:val="22"/>
              </w:rPr>
              <w:t>VA (</w:t>
            </w:r>
            <w:r w:rsidR="008A2FAF">
              <w:rPr>
                <w:rFonts w:cs="Times New Roman"/>
                <w:b/>
                <w:color w:val="auto"/>
                <w:sz w:val="18"/>
                <w:szCs w:val="22"/>
              </w:rPr>
              <w:t>~1</w:t>
            </w:r>
            <w:r w:rsidRPr="00472D4A">
              <w:rPr>
                <w:rFonts w:cs="Times New Roman"/>
                <w:b/>
                <w:color w:val="auto"/>
                <w:sz w:val="18"/>
                <w:szCs w:val="22"/>
              </w:rPr>
              <w:t xml:space="preserve"> </w:t>
            </w:r>
            <w:r w:rsidRPr="008A2FAF">
              <w:rPr>
                <w:rFonts w:cs="Times New Roman"/>
                <w:b/>
                <w:color w:val="auto"/>
                <w:sz w:val="18"/>
                <w:szCs w:val="22"/>
              </w:rPr>
              <w:t>Mo. Post-Separation) – All Effective Date 200</w:t>
            </w:r>
            <w:r w:rsidR="008A2FAF" w:rsidRPr="008A2FAF">
              <w:rPr>
                <w:rFonts w:cs="Times New Roman"/>
                <w:b/>
                <w:color w:val="auto"/>
                <w:sz w:val="18"/>
                <w:szCs w:val="22"/>
              </w:rPr>
              <w:t>70615</w:t>
            </w:r>
          </w:p>
        </w:tc>
      </w:tr>
      <w:tr w:rsidR="00D26276" w:rsidRPr="00F64312" w:rsidTr="00525B20">
        <w:trPr>
          <w:trHeight w:val="75"/>
          <w:jc w:val="center"/>
        </w:trPr>
        <w:tc>
          <w:tcPr>
            <w:tcW w:w="2163" w:type="dxa"/>
            <w:tcBorders>
              <w:bottom w:val="single" w:sz="4" w:space="0" w:color="000000"/>
              <w:right w:val="single" w:sz="4" w:space="0" w:color="auto"/>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Condition</w:t>
            </w:r>
          </w:p>
        </w:tc>
        <w:tc>
          <w:tcPr>
            <w:tcW w:w="1077" w:type="dxa"/>
            <w:tcBorders>
              <w:left w:val="single" w:sz="4" w:space="0" w:color="auto"/>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Code</w:t>
            </w:r>
          </w:p>
        </w:tc>
        <w:tc>
          <w:tcPr>
            <w:tcW w:w="718" w:type="dxa"/>
            <w:tcBorders>
              <w:bottom w:val="single" w:sz="4" w:space="0" w:color="000000"/>
              <w:right w:val="thinThickThinSmallGap" w:sz="24" w:space="0" w:color="auto"/>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Rating</w:t>
            </w:r>
          </w:p>
        </w:tc>
        <w:tc>
          <w:tcPr>
            <w:tcW w:w="2826" w:type="dxa"/>
            <w:tcBorders>
              <w:left w:val="thinThickThinSmallGap" w:sz="24" w:space="0" w:color="auto"/>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Condition</w:t>
            </w:r>
          </w:p>
        </w:tc>
        <w:tc>
          <w:tcPr>
            <w:tcW w:w="1080"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Code</w:t>
            </w:r>
          </w:p>
        </w:tc>
        <w:tc>
          <w:tcPr>
            <w:tcW w:w="756"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Rating</w:t>
            </w:r>
          </w:p>
        </w:tc>
        <w:tc>
          <w:tcPr>
            <w:tcW w:w="988"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Exam</w:t>
            </w:r>
          </w:p>
        </w:tc>
      </w:tr>
      <w:tr w:rsidR="00F955FB" w:rsidRPr="00F64312" w:rsidTr="00525B20">
        <w:trPr>
          <w:trHeight w:val="241"/>
          <w:jc w:val="center"/>
        </w:trPr>
        <w:tc>
          <w:tcPr>
            <w:tcW w:w="2163" w:type="dxa"/>
            <w:tcBorders>
              <w:right w:val="single" w:sz="4" w:space="0" w:color="auto"/>
            </w:tcBorders>
            <w:shd w:val="clear" w:color="auto" w:fill="FFFFFF"/>
            <w:vAlign w:val="center"/>
          </w:tcPr>
          <w:p w:rsidR="00F955FB" w:rsidRPr="00472D4A" w:rsidRDefault="00F955FB" w:rsidP="00ED5108">
            <w:pPr>
              <w:spacing w:line="180" w:lineRule="exact"/>
              <w:contextualSpacing/>
              <w:jc w:val="left"/>
              <w:rPr>
                <w:color w:val="auto"/>
                <w:sz w:val="18"/>
                <w:szCs w:val="22"/>
              </w:rPr>
            </w:pPr>
            <w:r w:rsidRPr="00F56BE9">
              <w:rPr>
                <w:color w:val="auto"/>
                <w:sz w:val="18"/>
                <w:szCs w:val="22"/>
              </w:rPr>
              <w:t>Lumbar Fusion L2-L</w:t>
            </w:r>
            <w:r w:rsidR="00ED5108">
              <w:rPr>
                <w:color w:val="auto"/>
                <w:sz w:val="18"/>
                <w:szCs w:val="22"/>
              </w:rPr>
              <w:t>3</w:t>
            </w:r>
          </w:p>
        </w:tc>
        <w:tc>
          <w:tcPr>
            <w:tcW w:w="1077" w:type="dxa"/>
            <w:tcBorders>
              <w:left w:val="single" w:sz="4" w:space="0" w:color="auto"/>
            </w:tcBorders>
            <w:shd w:val="clear" w:color="auto" w:fill="FFFFFF"/>
            <w:vAlign w:val="center"/>
          </w:tcPr>
          <w:p w:rsidR="00F955FB" w:rsidRPr="00472D4A" w:rsidRDefault="00F955FB" w:rsidP="00472D4A">
            <w:pPr>
              <w:spacing w:line="180" w:lineRule="exact"/>
              <w:contextualSpacing/>
              <w:rPr>
                <w:color w:val="auto"/>
                <w:sz w:val="18"/>
                <w:szCs w:val="22"/>
              </w:rPr>
            </w:pPr>
            <w:r w:rsidRPr="00F56BE9">
              <w:rPr>
                <w:color w:val="auto"/>
                <w:sz w:val="18"/>
                <w:szCs w:val="22"/>
              </w:rPr>
              <w:t>5242-5241</w:t>
            </w:r>
          </w:p>
        </w:tc>
        <w:tc>
          <w:tcPr>
            <w:tcW w:w="718" w:type="dxa"/>
            <w:tcBorders>
              <w:right w:val="thinThickThinSmallGap" w:sz="24" w:space="0" w:color="auto"/>
            </w:tcBorders>
            <w:shd w:val="clear" w:color="auto" w:fill="FFFFFF"/>
            <w:vAlign w:val="center"/>
          </w:tcPr>
          <w:p w:rsidR="00F955FB" w:rsidRPr="00472D4A" w:rsidRDefault="00F955FB" w:rsidP="00472D4A">
            <w:pPr>
              <w:spacing w:line="180" w:lineRule="exact"/>
              <w:rPr>
                <w:color w:val="auto"/>
                <w:sz w:val="18"/>
                <w:szCs w:val="22"/>
              </w:rPr>
            </w:pPr>
            <w:r w:rsidRPr="000E5ADF">
              <w:rPr>
                <w:color w:val="auto"/>
                <w:sz w:val="18"/>
                <w:szCs w:val="22"/>
              </w:rPr>
              <w:t>20%</w:t>
            </w:r>
          </w:p>
        </w:tc>
        <w:tc>
          <w:tcPr>
            <w:tcW w:w="2826" w:type="dxa"/>
            <w:vMerge w:val="restart"/>
            <w:tcBorders>
              <w:left w:val="thinThickThinSmallGap" w:sz="24" w:space="0" w:color="auto"/>
            </w:tcBorders>
            <w:shd w:val="clear" w:color="auto" w:fill="FFFFFF"/>
            <w:vAlign w:val="center"/>
          </w:tcPr>
          <w:p w:rsidR="00F955FB" w:rsidRPr="00F444FA" w:rsidRDefault="00F955FB" w:rsidP="00F444FA">
            <w:pPr>
              <w:spacing w:line="180" w:lineRule="exact"/>
              <w:contextualSpacing/>
              <w:jc w:val="left"/>
              <w:rPr>
                <w:color w:val="auto"/>
                <w:sz w:val="18"/>
                <w:szCs w:val="22"/>
              </w:rPr>
            </w:pPr>
            <w:r w:rsidRPr="00F444FA">
              <w:rPr>
                <w:color w:val="auto"/>
                <w:sz w:val="18"/>
                <w:szCs w:val="22"/>
              </w:rPr>
              <w:t xml:space="preserve">Degenerative Changes, </w:t>
            </w:r>
            <w:r w:rsidR="00525B20">
              <w:rPr>
                <w:color w:val="auto"/>
                <w:sz w:val="18"/>
                <w:szCs w:val="22"/>
              </w:rPr>
              <w:t>s/p</w:t>
            </w:r>
            <w:r>
              <w:rPr>
                <w:color w:val="auto"/>
                <w:sz w:val="18"/>
                <w:szCs w:val="22"/>
              </w:rPr>
              <w:t xml:space="preserve"> Lumbar Laminectomy w</w:t>
            </w:r>
            <w:r w:rsidRPr="00F444FA">
              <w:rPr>
                <w:color w:val="auto"/>
                <w:sz w:val="18"/>
                <w:szCs w:val="22"/>
              </w:rPr>
              <w:t>ith Scar</w:t>
            </w:r>
          </w:p>
          <w:p w:rsidR="00F955FB" w:rsidRPr="00472D4A" w:rsidRDefault="00F955FB" w:rsidP="00525B20">
            <w:pPr>
              <w:spacing w:line="180" w:lineRule="exact"/>
              <w:contextualSpacing/>
              <w:jc w:val="left"/>
              <w:rPr>
                <w:color w:val="auto"/>
                <w:sz w:val="18"/>
                <w:szCs w:val="22"/>
              </w:rPr>
            </w:pPr>
            <w:r>
              <w:rPr>
                <w:color w:val="auto"/>
                <w:sz w:val="18"/>
                <w:szCs w:val="22"/>
              </w:rPr>
              <w:t>(</w:t>
            </w:r>
            <w:r w:rsidR="00525B20">
              <w:rPr>
                <w:color w:val="auto"/>
                <w:sz w:val="18"/>
                <w:szCs w:val="22"/>
              </w:rPr>
              <w:t>p</w:t>
            </w:r>
            <w:r>
              <w:rPr>
                <w:color w:val="auto"/>
                <w:sz w:val="18"/>
                <w:szCs w:val="22"/>
              </w:rPr>
              <w:t xml:space="preserve">reviously </w:t>
            </w:r>
            <w:r w:rsidR="00525B20">
              <w:rPr>
                <w:color w:val="auto"/>
                <w:sz w:val="18"/>
                <w:szCs w:val="22"/>
              </w:rPr>
              <w:t>r</w:t>
            </w:r>
            <w:r>
              <w:rPr>
                <w:color w:val="auto"/>
                <w:sz w:val="18"/>
                <w:szCs w:val="22"/>
              </w:rPr>
              <w:t>ated a</w:t>
            </w:r>
            <w:r w:rsidRPr="00F444FA">
              <w:rPr>
                <w:color w:val="auto"/>
                <w:sz w:val="18"/>
                <w:szCs w:val="22"/>
              </w:rPr>
              <w:t xml:space="preserve">s Lumbosacral </w:t>
            </w:r>
            <w:r>
              <w:rPr>
                <w:color w:val="auto"/>
                <w:sz w:val="18"/>
                <w:szCs w:val="22"/>
              </w:rPr>
              <w:t>a</w:t>
            </w:r>
            <w:r w:rsidRPr="00F444FA">
              <w:rPr>
                <w:color w:val="auto"/>
                <w:sz w:val="18"/>
                <w:szCs w:val="22"/>
              </w:rPr>
              <w:t>nd Thoracic Strain)</w:t>
            </w:r>
          </w:p>
        </w:tc>
        <w:tc>
          <w:tcPr>
            <w:tcW w:w="1080" w:type="dxa"/>
            <w:vMerge w:val="restart"/>
            <w:shd w:val="clear" w:color="auto" w:fill="FFFFFF"/>
            <w:vAlign w:val="center"/>
          </w:tcPr>
          <w:p w:rsidR="00F955FB" w:rsidRPr="00472D4A" w:rsidRDefault="00F955FB" w:rsidP="00472D4A">
            <w:pPr>
              <w:spacing w:line="180" w:lineRule="exact"/>
              <w:contextualSpacing/>
              <w:rPr>
                <w:color w:val="auto"/>
                <w:sz w:val="18"/>
                <w:szCs w:val="22"/>
              </w:rPr>
            </w:pPr>
            <w:r w:rsidRPr="008A2FAF">
              <w:rPr>
                <w:color w:val="auto"/>
                <w:sz w:val="18"/>
                <w:szCs w:val="22"/>
              </w:rPr>
              <w:t>5237</w:t>
            </w:r>
          </w:p>
        </w:tc>
        <w:tc>
          <w:tcPr>
            <w:tcW w:w="756" w:type="dxa"/>
            <w:vMerge w:val="restart"/>
            <w:shd w:val="clear" w:color="auto" w:fill="FFFFFF"/>
            <w:vAlign w:val="center"/>
          </w:tcPr>
          <w:p w:rsidR="00F955FB" w:rsidRPr="00472D4A" w:rsidRDefault="00F955FB" w:rsidP="00472D4A">
            <w:pPr>
              <w:spacing w:line="180" w:lineRule="exact"/>
              <w:contextualSpacing/>
              <w:rPr>
                <w:color w:val="auto"/>
                <w:sz w:val="18"/>
                <w:szCs w:val="22"/>
              </w:rPr>
            </w:pPr>
            <w:r w:rsidRPr="008A2FAF">
              <w:rPr>
                <w:color w:val="auto"/>
                <w:sz w:val="18"/>
                <w:szCs w:val="22"/>
              </w:rPr>
              <w:t>20%</w:t>
            </w:r>
            <w:r>
              <w:rPr>
                <w:color w:val="auto"/>
                <w:sz w:val="18"/>
                <w:szCs w:val="22"/>
              </w:rPr>
              <w:t>*</w:t>
            </w:r>
          </w:p>
        </w:tc>
        <w:tc>
          <w:tcPr>
            <w:tcW w:w="988" w:type="dxa"/>
            <w:vMerge w:val="restart"/>
            <w:shd w:val="clear" w:color="auto" w:fill="FFFFFF"/>
            <w:vAlign w:val="center"/>
          </w:tcPr>
          <w:p w:rsidR="00F955FB" w:rsidRPr="00065814" w:rsidRDefault="00F955FB" w:rsidP="002C7D22">
            <w:pPr>
              <w:spacing w:line="180" w:lineRule="exact"/>
              <w:contextualSpacing/>
              <w:rPr>
                <w:color w:val="auto"/>
                <w:sz w:val="18"/>
                <w:szCs w:val="22"/>
              </w:rPr>
            </w:pPr>
            <w:r w:rsidRPr="0092769E">
              <w:rPr>
                <w:color w:val="auto"/>
                <w:sz w:val="18"/>
                <w:szCs w:val="22"/>
              </w:rPr>
              <w:t>200</w:t>
            </w:r>
            <w:r w:rsidR="002C7D22" w:rsidRPr="0092769E">
              <w:rPr>
                <w:color w:val="auto"/>
                <w:sz w:val="18"/>
                <w:szCs w:val="22"/>
              </w:rPr>
              <w:t>70720</w:t>
            </w:r>
          </w:p>
        </w:tc>
      </w:tr>
      <w:tr w:rsidR="00F955FB" w:rsidRPr="00F64312" w:rsidTr="00525B20">
        <w:trPr>
          <w:trHeight w:val="199"/>
          <w:jc w:val="center"/>
        </w:trPr>
        <w:tc>
          <w:tcPr>
            <w:tcW w:w="2163" w:type="dxa"/>
            <w:tcBorders>
              <w:right w:val="single" w:sz="4" w:space="0" w:color="auto"/>
            </w:tcBorders>
            <w:shd w:val="clear" w:color="auto" w:fill="FFFFFF"/>
            <w:vAlign w:val="center"/>
          </w:tcPr>
          <w:p w:rsidR="00F955FB" w:rsidRPr="00472D4A" w:rsidRDefault="00F955FB" w:rsidP="00472D4A">
            <w:pPr>
              <w:spacing w:line="180" w:lineRule="exact"/>
              <w:contextualSpacing/>
              <w:jc w:val="left"/>
              <w:rPr>
                <w:rFonts w:cs="Times New Roman"/>
                <w:color w:val="auto"/>
                <w:sz w:val="18"/>
                <w:szCs w:val="22"/>
              </w:rPr>
            </w:pPr>
            <w:r w:rsidRPr="00F56BE9">
              <w:rPr>
                <w:rFonts w:cs="Times New Roman"/>
                <w:color w:val="auto"/>
                <w:sz w:val="18"/>
                <w:szCs w:val="22"/>
              </w:rPr>
              <w:t>Lumbosacral Spondylosis</w:t>
            </w:r>
          </w:p>
        </w:tc>
        <w:tc>
          <w:tcPr>
            <w:tcW w:w="1795" w:type="dxa"/>
            <w:gridSpan w:val="2"/>
            <w:tcBorders>
              <w:left w:val="single" w:sz="4" w:space="0" w:color="auto"/>
              <w:right w:val="thinThickThinSmallGap" w:sz="24" w:space="0" w:color="auto"/>
            </w:tcBorders>
            <w:shd w:val="clear" w:color="auto" w:fill="FFFFFF"/>
            <w:vAlign w:val="center"/>
          </w:tcPr>
          <w:p w:rsidR="00F955FB" w:rsidRPr="003B55F2" w:rsidRDefault="00A04C9D" w:rsidP="00472D4A">
            <w:pPr>
              <w:spacing w:line="180" w:lineRule="exact"/>
              <w:rPr>
                <w:rFonts w:cs="Times New Roman"/>
                <w:color w:val="auto"/>
                <w:sz w:val="18"/>
                <w:szCs w:val="22"/>
              </w:rPr>
            </w:pPr>
            <w:r w:rsidRPr="003B55F2">
              <w:rPr>
                <w:rFonts w:cs="Times New Roman"/>
                <w:color w:val="auto"/>
                <w:sz w:val="18"/>
                <w:szCs w:val="22"/>
              </w:rPr>
              <w:t xml:space="preserve">Related </w:t>
            </w:r>
            <w:r w:rsidR="00F955FB" w:rsidRPr="003B55F2">
              <w:rPr>
                <w:rFonts w:cs="Times New Roman"/>
                <w:color w:val="auto"/>
                <w:sz w:val="18"/>
                <w:szCs w:val="22"/>
              </w:rPr>
              <w:t>CAT II</w:t>
            </w:r>
          </w:p>
        </w:tc>
        <w:tc>
          <w:tcPr>
            <w:tcW w:w="2826" w:type="dxa"/>
            <w:vMerge/>
            <w:tcBorders>
              <w:left w:val="thinThickThinSmallGap" w:sz="24" w:space="0" w:color="auto"/>
            </w:tcBorders>
            <w:shd w:val="clear" w:color="auto" w:fill="FFFFFF"/>
            <w:vAlign w:val="center"/>
          </w:tcPr>
          <w:p w:rsidR="00F955FB" w:rsidRPr="0092769E" w:rsidRDefault="00F955FB" w:rsidP="00472D4A">
            <w:pPr>
              <w:spacing w:line="180" w:lineRule="exact"/>
              <w:contextualSpacing/>
              <w:jc w:val="left"/>
              <w:rPr>
                <w:color w:val="auto"/>
                <w:sz w:val="18"/>
                <w:szCs w:val="22"/>
              </w:rPr>
            </w:pPr>
          </w:p>
        </w:tc>
        <w:tc>
          <w:tcPr>
            <w:tcW w:w="1080" w:type="dxa"/>
            <w:vMerge/>
            <w:shd w:val="clear" w:color="auto" w:fill="FFFFFF"/>
            <w:vAlign w:val="center"/>
          </w:tcPr>
          <w:p w:rsidR="00F955FB" w:rsidRPr="0092769E" w:rsidRDefault="00F955FB" w:rsidP="00472D4A">
            <w:pPr>
              <w:spacing w:line="180" w:lineRule="exact"/>
              <w:contextualSpacing/>
              <w:rPr>
                <w:color w:val="auto"/>
                <w:sz w:val="18"/>
                <w:szCs w:val="22"/>
              </w:rPr>
            </w:pPr>
          </w:p>
        </w:tc>
        <w:tc>
          <w:tcPr>
            <w:tcW w:w="756" w:type="dxa"/>
            <w:vMerge/>
            <w:shd w:val="clear" w:color="auto" w:fill="FFFFFF"/>
            <w:vAlign w:val="center"/>
          </w:tcPr>
          <w:p w:rsidR="00F955FB" w:rsidRPr="0092769E" w:rsidRDefault="00F955FB" w:rsidP="00472D4A">
            <w:pPr>
              <w:spacing w:line="180" w:lineRule="exact"/>
              <w:contextualSpacing/>
              <w:rPr>
                <w:color w:val="auto"/>
                <w:sz w:val="18"/>
                <w:szCs w:val="22"/>
              </w:rPr>
            </w:pPr>
          </w:p>
        </w:tc>
        <w:tc>
          <w:tcPr>
            <w:tcW w:w="988" w:type="dxa"/>
            <w:vMerge/>
            <w:shd w:val="clear" w:color="auto" w:fill="FFFFFF"/>
            <w:vAlign w:val="center"/>
          </w:tcPr>
          <w:p w:rsidR="00F955FB" w:rsidRPr="0092769E" w:rsidRDefault="00F955FB" w:rsidP="00472D4A">
            <w:pPr>
              <w:spacing w:line="180" w:lineRule="exact"/>
              <w:contextualSpacing/>
              <w:rPr>
                <w:color w:val="auto"/>
                <w:sz w:val="18"/>
                <w:szCs w:val="22"/>
              </w:rPr>
            </w:pPr>
          </w:p>
        </w:tc>
      </w:tr>
      <w:tr w:rsidR="00F955FB" w:rsidRPr="00F64312" w:rsidTr="00525B20">
        <w:trPr>
          <w:trHeight w:val="90"/>
          <w:jc w:val="center"/>
        </w:trPr>
        <w:tc>
          <w:tcPr>
            <w:tcW w:w="2163" w:type="dxa"/>
            <w:tcBorders>
              <w:right w:val="single" w:sz="4" w:space="0" w:color="auto"/>
            </w:tcBorders>
            <w:shd w:val="clear" w:color="auto" w:fill="FFFFFF"/>
            <w:vAlign w:val="center"/>
          </w:tcPr>
          <w:p w:rsidR="00F955FB" w:rsidRPr="00472D4A" w:rsidRDefault="00F955FB" w:rsidP="00472D4A">
            <w:pPr>
              <w:spacing w:line="180" w:lineRule="exact"/>
              <w:contextualSpacing/>
              <w:jc w:val="left"/>
              <w:rPr>
                <w:rFonts w:cs="Times New Roman"/>
                <w:color w:val="auto"/>
                <w:sz w:val="18"/>
                <w:szCs w:val="22"/>
              </w:rPr>
            </w:pPr>
            <w:r w:rsidRPr="00F56BE9">
              <w:rPr>
                <w:rFonts w:cs="Times New Roman"/>
                <w:color w:val="auto"/>
                <w:sz w:val="18"/>
                <w:szCs w:val="22"/>
              </w:rPr>
              <w:t>Degenerative Disk Disease</w:t>
            </w:r>
          </w:p>
        </w:tc>
        <w:tc>
          <w:tcPr>
            <w:tcW w:w="1795" w:type="dxa"/>
            <w:gridSpan w:val="2"/>
            <w:tcBorders>
              <w:left w:val="single" w:sz="4" w:space="0" w:color="auto"/>
              <w:right w:val="thinThickThinSmallGap" w:sz="24" w:space="0" w:color="auto"/>
            </w:tcBorders>
            <w:shd w:val="clear" w:color="auto" w:fill="FFFFFF"/>
            <w:vAlign w:val="center"/>
          </w:tcPr>
          <w:p w:rsidR="00F955FB" w:rsidRPr="003B55F2" w:rsidRDefault="00F955FB" w:rsidP="00A04C9D">
            <w:pPr>
              <w:spacing w:line="180" w:lineRule="exact"/>
              <w:rPr>
                <w:rFonts w:cs="Times New Roman"/>
                <w:color w:val="auto"/>
                <w:sz w:val="18"/>
                <w:szCs w:val="22"/>
              </w:rPr>
            </w:pPr>
            <w:r w:rsidRPr="003B55F2">
              <w:rPr>
                <w:rFonts w:cs="Times New Roman"/>
                <w:color w:val="auto"/>
                <w:sz w:val="18"/>
                <w:szCs w:val="22"/>
              </w:rPr>
              <w:t>R</w:t>
            </w:r>
            <w:r w:rsidR="00A04C9D" w:rsidRPr="003B55F2">
              <w:rPr>
                <w:rFonts w:cs="Times New Roman"/>
                <w:color w:val="auto"/>
                <w:sz w:val="18"/>
                <w:szCs w:val="22"/>
              </w:rPr>
              <w:t xml:space="preserve">elated </w:t>
            </w:r>
            <w:r w:rsidRPr="003B55F2">
              <w:rPr>
                <w:rFonts w:cs="Times New Roman"/>
                <w:color w:val="auto"/>
                <w:sz w:val="18"/>
                <w:szCs w:val="22"/>
              </w:rPr>
              <w:t>CAT II</w:t>
            </w:r>
          </w:p>
        </w:tc>
        <w:tc>
          <w:tcPr>
            <w:tcW w:w="2826" w:type="dxa"/>
            <w:vMerge/>
            <w:tcBorders>
              <w:left w:val="thinThickThinSmallGap" w:sz="24" w:space="0" w:color="auto"/>
            </w:tcBorders>
            <w:shd w:val="clear" w:color="auto" w:fill="FFFFFF"/>
            <w:vAlign w:val="center"/>
          </w:tcPr>
          <w:p w:rsidR="00F955FB" w:rsidRPr="0092769E" w:rsidRDefault="00F955FB" w:rsidP="00472D4A">
            <w:pPr>
              <w:spacing w:line="180" w:lineRule="exact"/>
              <w:contextualSpacing/>
              <w:jc w:val="left"/>
              <w:rPr>
                <w:color w:val="auto"/>
                <w:sz w:val="18"/>
                <w:szCs w:val="22"/>
              </w:rPr>
            </w:pPr>
          </w:p>
        </w:tc>
        <w:tc>
          <w:tcPr>
            <w:tcW w:w="1080" w:type="dxa"/>
            <w:vMerge/>
            <w:shd w:val="clear" w:color="auto" w:fill="FFFFFF"/>
            <w:vAlign w:val="center"/>
          </w:tcPr>
          <w:p w:rsidR="00F955FB" w:rsidRPr="0092769E" w:rsidRDefault="00F955FB" w:rsidP="00472D4A">
            <w:pPr>
              <w:spacing w:line="180" w:lineRule="exact"/>
              <w:contextualSpacing/>
              <w:rPr>
                <w:color w:val="auto"/>
                <w:sz w:val="18"/>
                <w:szCs w:val="22"/>
              </w:rPr>
            </w:pPr>
          </w:p>
        </w:tc>
        <w:tc>
          <w:tcPr>
            <w:tcW w:w="756" w:type="dxa"/>
            <w:vMerge/>
            <w:shd w:val="clear" w:color="auto" w:fill="FFFFFF"/>
            <w:vAlign w:val="center"/>
          </w:tcPr>
          <w:p w:rsidR="00F955FB" w:rsidRPr="0092769E" w:rsidRDefault="00F955FB" w:rsidP="00472D4A">
            <w:pPr>
              <w:spacing w:line="180" w:lineRule="exact"/>
              <w:contextualSpacing/>
              <w:rPr>
                <w:color w:val="auto"/>
                <w:sz w:val="18"/>
                <w:szCs w:val="22"/>
              </w:rPr>
            </w:pPr>
          </w:p>
        </w:tc>
        <w:tc>
          <w:tcPr>
            <w:tcW w:w="988" w:type="dxa"/>
            <w:vMerge/>
            <w:shd w:val="clear" w:color="auto" w:fill="FFFFFF"/>
            <w:vAlign w:val="center"/>
          </w:tcPr>
          <w:p w:rsidR="00F955FB" w:rsidRPr="0092769E" w:rsidRDefault="00F955FB" w:rsidP="00472D4A">
            <w:pPr>
              <w:spacing w:line="180" w:lineRule="exact"/>
              <w:contextualSpacing/>
              <w:rPr>
                <w:color w:val="auto"/>
                <w:sz w:val="18"/>
                <w:szCs w:val="22"/>
              </w:rPr>
            </w:pPr>
          </w:p>
        </w:tc>
      </w:tr>
      <w:tr w:rsidR="00A81A4A" w:rsidRPr="00F64312" w:rsidTr="00525B20">
        <w:trPr>
          <w:trHeight w:val="90"/>
          <w:jc w:val="center"/>
        </w:trPr>
        <w:tc>
          <w:tcPr>
            <w:tcW w:w="3958" w:type="dxa"/>
            <w:gridSpan w:val="3"/>
            <w:vMerge w:val="restart"/>
            <w:tcBorders>
              <w:right w:val="thinThickThinSmallGap" w:sz="24" w:space="0" w:color="auto"/>
            </w:tcBorders>
            <w:shd w:val="clear" w:color="auto" w:fill="FFFFFF"/>
            <w:vAlign w:val="center"/>
          </w:tcPr>
          <w:p w:rsidR="00A81A4A" w:rsidRPr="00472D4A" w:rsidRDefault="00A81A4A" w:rsidP="00472D4A">
            <w:pPr>
              <w:spacing w:line="180" w:lineRule="exact"/>
              <w:contextualSpacing/>
              <w:rPr>
                <w:rFonts w:cs="Times New Roman"/>
                <w:color w:val="auto"/>
                <w:sz w:val="18"/>
                <w:szCs w:val="22"/>
              </w:rPr>
            </w:pPr>
            <w:r w:rsidRPr="00472D4A">
              <w:rPr>
                <w:color w:val="auto"/>
                <w:sz w:val="18"/>
                <w:szCs w:val="18"/>
              </w:rPr>
              <w:t>↓No Additional MEB/PEB Entries↓</w:t>
            </w:r>
          </w:p>
        </w:tc>
        <w:tc>
          <w:tcPr>
            <w:tcW w:w="2826" w:type="dxa"/>
            <w:tcBorders>
              <w:left w:val="thinThickThinSmallGap" w:sz="24" w:space="0" w:color="auto"/>
            </w:tcBorders>
            <w:shd w:val="clear" w:color="auto" w:fill="FFFFFF"/>
            <w:vAlign w:val="center"/>
          </w:tcPr>
          <w:p w:rsidR="00A81A4A" w:rsidRPr="0092769E" w:rsidRDefault="00A81A4A" w:rsidP="00472D4A">
            <w:pPr>
              <w:spacing w:line="180" w:lineRule="exact"/>
              <w:contextualSpacing/>
              <w:jc w:val="left"/>
              <w:rPr>
                <w:color w:val="auto"/>
                <w:sz w:val="18"/>
                <w:szCs w:val="22"/>
              </w:rPr>
            </w:pPr>
            <w:r w:rsidRPr="0092769E">
              <w:rPr>
                <w:color w:val="auto"/>
                <w:sz w:val="18"/>
                <w:szCs w:val="22"/>
              </w:rPr>
              <w:t>Hypertension</w:t>
            </w:r>
          </w:p>
        </w:tc>
        <w:tc>
          <w:tcPr>
            <w:tcW w:w="1080" w:type="dxa"/>
            <w:shd w:val="clear" w:color="auto" w:fill="FFFFFF"/>
            <w:vAlign w:val="center"/>
          </w:tcPr>
          <w:p w:rsidR="00A81A4A" w:rsidRPr="0092769E" w:rsidRDefault="00A81A4A" w:rsidP="00472D4A">
            <w:pPr>
              <w:spacing w:line="180" w:lineRule="exact"/>
              <w:contextualSpacing/>
              <w:rPr>
                <w:color w:val="auto"/>
                <w:sz w:val="18"/>
                <w:szCs w:val="22"/>
              </w:rPr>
            </w:pPr>
            <w:r w:rsidRPr="0092769E">
              <w:rPr>
                <w:color w:val="auto"/>
                <w:sz w:val="18"/>
                <w:szCs w:val="22"/>
              </w:rPr>
              <w:t>7101</w:t>
            </w:r>
          </w:p>
        </w:tc>
        <w:tc>
          <w:tcPr>
            <w:tcW w:w="756" w:type="dxa"/>
            <w:shd w:val="clear" w:color="auto" w:fill="FFFFFF"/>
            <w:vAlign w:val="center"/>
          </w:tcPr>
          <w:p w:rsidR="00A81A4A" w:rsidRPr="0092769E" w:rsidRDefault="00A81A4A" w:rsidP="00472D4A">
            <w:pPr>
              <w:spacing w:line="180" w:lineRule="exact"/>
              <w:contextualSpacing/>
              <w:rPr>
                <w:color w:val="auto"/>
                <w:sz w:val="18"/>
                <w:szCs w:val="22"/>
              </w:rPr>
            </w:pPr>
            <w:r w:rsidRPr="0092769E">
              <w:rPr>
                <w:color w:val="auto"/>
                <w:sz w:val="18"/>
                <w:szCs w:val="22"/>
              </w:rPr>
              <w:t>10%</w:t>
            </w:r>
          </w:p>
        </w:tc>
        <w:tc>
          <w:tcPr>
            <w:tcW w:w="988" w:type="dxa"/>
            <w:shd w:val="clear" w:color="auto" w:fill="FFFFFF"/>
            <w:vAlign w:val="center"/>
          </w:tcPr>
          <w:p w:rsidR="00A81A4A" w:rsidRPr="0092769E" w:rsidRDefault="002C7D22" w:rsidP="00472D4A">
            <w:pPr>
              <w:spacing w:line="180" w:lineRule="exact"/>
              <w:contextualSpacing/>
              <w:rPr>
                <w:color w:val="auto"/>
                <w:sz w:val="18"/>
                <w:szCs w:val="22"/>
              </w:rPr>
            </w:pPr>
            <w:r w:rsidRPr="0092769E">
              <w:rPr>
                <w:color w:val="auto"/>
                <w:sz w:val="18"/>
                <w:szCs w:val="22"/>
              </w:rPr>
              <w:t>20070720</w:t>
            </w:r>
          </w:p>
        </w:tc>
      </w:tr>
      <w:tr w:rsidR="00A81A4A" w:rsidRPr="00F64312" w:rsidTr="00525B20">
        <w:trPr>
          <w:trHeight w:val="90"/>
          <w:jc w:val="center"/>
        </w:trPr>
        <w:tc>
          <w:tcPr>
            <w:tcW w:w="3958" w:type="dxa"/>
            <w:gridSpan w:val="3"/>
            <w:vMerge/>
            <w:tcBorders>
              <w:right w:val="thinThickThinSmallGap" w:sz="24" w:space="0" w:color="auto"/>
            </w:tcBorders>
            <w:shd w:val="clear" w:color="auto" w:fill="FFFFFF"/>
            <w:vAlign w:val="center"/>
          </w:tcPr>
          <w:p w:rsidR="00A81A4A" w:rsidRPr="00472D4A" w:rsidRDefault="00A81A4A" w:rsidP="00472D4A">
            <w:pPr>
              <w:spacing w:line="180" w:lineRule="exact"/>
              <w:contextualSpacing/>
              <w:rPr>
                <w:rFonts w:cs="Times New Roman"/>
                <w:color w:val="auto"/>
                <w:sz w:val="18"/>
                <w:szCs w:val="22"/>
              </w:rPr>
            </w:pPr>
          </w:p>
        </w:tc>
        <w:tc>
          <w:tcPr>
            <w:tcW w:w="2826" w:type="dxa"/>
            <w:tcBorders>
              <w:left w:val="thinThickThinSmallGap" w:sz="24" w:space="0" w:color="auto"/>
            </w:tcBorders>
            <w:shd w:val="clear" w:color="auto" w:fill="FFFFFF"/>
            <w:vAlign w:val="center"/>
          </w:tcPr>
          <w:p w:rsidR="00A81A4A" w:rsidRPr="0092769E" w:rsidRDefault="00A81A4A" w:rsidP="00472D4A">
            <w:pPr>
              <w:spacing w:line="180" w:lineRule="exact"/>
              <w:contextualSpacing/>
              <w:jc w:val="left"/>
              <w:rPr>
                <w:color w:val="auto"/>
                <w:sz w:val="18"/>
                <w:szCs w:val="22"/>
              </w:rPr>
            </w:pPr>
            <w:r w:rsidRPr="0092769E">
              <w:rPr>
                <w:color w:val="auto"/>
                <w:sz w:val="18"/>
                <w:szCs w:val="22"/>
              </w:rPr>
              <w:t>Major Depressive Disorder</w:t>
            </w:r>
          </w:p>
        </w:tc>
        <w:tc>
          <w:tcPr>
            <w:tcW w:w="1080" w:type="dxa"/>
            <w:shd w:val="clear" w:color="auto" w:fill="FFFFFF"/>
            <w:vAlign w:val="center"/>
          </w:tcPr>
          <w:p w:rsidR="00A81A4A" w:rsidRPr="0092769E" w:rsidRDefault="00A81A4A" w:rsidP="00472D4A">
            <w:pPr>
              <w:spacing w:line="180" w:lineRule="exact"/>
              <w:contextualSpacing/>
              <w:rPr>
                <w:color w:val="auto"/>
                <w:sz w:val="18"/>
                <w:szCs w:val="22"/>
              </w:rPr>
            </w:pPr>
            <w:r w:rsidRPr="0092769E">
              <w:rPr>
                <w:color w:val="auto"/>
                <w:sz w:val="18"/>
                <w:szCs w:val="22"/>
              </w:rPr>
              <w:t>9434</w:t>
            </w:r>
          </w:p>
        </w:tc>
        <w:tc>
          <w:tcPr>
            <w:tcW w:w="756" w:type="dxa"/>
            <w:shd w:val="clear" w:color="auto" w:fill="FFFFFF"/>
            <w:vAlign w:val="center"/>
          </w:tcPr>
          <w:p w:rsidR="00A81A4A" w:rsidRPr="0092769E" w:rsidRDefault="00315A1E" w:rsidP="00315A1E">
            <w:pPr>
              <w:spacing w:line="180" w:lineRule="exact"/>
              <w:contextualSpacing/>
              <w:rPr>
                <w:color w:val="auto"/>
                <w:sz w:val="18"/>
                <w:szCs w:val="22"/>
              </w:rPr>
            </w:pPr>
            <w:r w:rsidRPr="0092769E">
              <w:rPr>
                <w:color w:val="auto"/>
                <w:sz w:val="18"/>
                <w:szCs w:val="22"/>
              </w:rPr>
              <w:t>3</w:t>
            </w:r>
            <w:r w:rsidR="00A81A4A" w:rsidRPr="0092769E">
              <w:rPr>
                <w:color w:val="auto"/>
                <w:sz w:val="18"/>
                <w:szCs w:val="22"/>
              </w:rPr>
              <w:t>0%</w:t>
            </w:r>
          </w:p>
        </w:tc>
        <w:tc>
          <w:tcPr>
            <w:tcW w:w="988" w:type="dxa"/>
            <w:shd w:val="clear" w:color="auto" w:fill="FFFFFF"/>
            <w:vAlign w:val="center"/>
          </w:tcPr>
          <w:p w:rsidR="00A81A4A" w:rsidRPr="0092769E" w:rsidRDefault="002C7D22" w:rsidP="00472D4A">
            <w:pPr>
              <w:spacing w:line="180" w:lineRule="exact"/>
              <w:contextualSpacing/>
              <w:rPr>
                <w:color w:val="auto"/>
                <w:sz w:val="18"/>
                <w:szCs w:val="22"/>
              </w:rPr>
            </w:pPr>
            <w:r w:rsidRPr="0092769E">
              <w:rPr>
                <w:color w:val="auto"/>
                <w:sz w:val="18"/>
                <w:szCs w:val="22"/>
              </w:rPr>
              <w:t>20070827</w:t>
            </w:r>
          </w:p>
        </w:tc>
      </w:tr>
      <w:tr w:rsidR="00065814" w:rsidRPr="00F64312" w:rsidTr="00525B20">
        <w:trPr>
          <w:trHeight w:val="66"/>
          <w:jc w:val="center"/>
        </w:trPr>
        <w:tc>
          <w:tcPr>
            <w:tcW w:w="3958" w:type="dxa"/>
            <w:gridSpan w:val="3"/>
            <w:vMerge/>
            <w:tcBorders>
              <w:right w:val="thinThickThinSmallGap" w:sz="24" w:space="0" w:color="auto"/>
            </w:tcBorders>
            <w:shd w:val="clear" w:color="auto" w:fill="FFFFFF"/>
            <w:vAlign w:val="center"/>
          </w:tcPr>
          <w:p w:rsidR="00065814" w:rsidRPr="00472D4A" w:rsidRDefault="00065814" w:rsidP="00472D4A">
            <w:pPr>
              <w:spacing w:line="180" w:lineRule="exact"/>
              <w:contextualSpacing/>
              <w:rPr>
                <w:rFonts w:cs="Times New Roman"/>
                <w:color w:val="auto"/>
                <w:sz w:val="18"/>
                <w:szCs w:val="22"/>
              </w:rPr>
            </w:pPr>
          </w:p>
        </w:tc>
        <w:tc>
          <w:tcPr>
            <w:tcW w:w="2826" w:type="dxa"/>
            <w:tcBorders>
              <w:left w:val="thinThickThinSmallGap" w:sz="24" w:space="0" w:color="auto"/>
            </w:tcBorders>
            <w:shd w:val="clear" w:color="auto" w:fill="FFFFFF"/>
            <w:vAlign w:val="center"/>
          </w:tcPr>
          <w:p w:rsidR="00065814" w:rsidRPr="0092769E" w:rsidRDefault="00065814" w:rsidP="00472D4A">
            <w:pPr>
              <w:spacing w:line="180" w:lineRule="exact"/>
              <w:contextualSpacing/>
              <w:jc w:val="left"/>
              <w:rPr>
                <w:color w:val="auto"/>
                <w:sz w:val="18"/>
                <w:szCs w:val="22"/>
              </w:rPr>
            </w:pPr>
            <w:r w:rsidRPr="0092769E">
              <w:rPr>
                <w:color w:val="auto"/>
                <w:sz w:val="18"/>
                <w:szCs w:val="22"/>
              </w:rPr>
              <w:t>Right Shoulder Bursitis</w:t>
            </w:r>
          </w:p>
        </w:tc>
        <w:tc>
          <w:tcPr>
            <w:tcW w:w="1080" w:type="dxa"/>
            <w:shd w:val="clear" w:color="auto" w:fill="FFFFFF"/>
            <w:vAlign w:val="center"/>
          </w:tcPr>
          <w:p w:rsidR="00065814" w:rsidRPr="0092769E" w:rsidRDefault="00065814" w:rsidP="00472D4A">
            <w:pPr>
              <w:spacing w:line="180" w:lineRule="exact"/>
              <w:contextualSpacing/>
              <w:rPr>
                <w:color w:val="auto"/>
                <w:sz w:val="18"/>
                <w:szCs w:val="22"/>
              </w:rPr>
            </w:pPr>
            <w:r w:rsidRPr="0092769E">
              <w:rPr>
                <w:color w:val="auto"/>
                <w:sz w:val="18"/>
                <w:szCs w:val="22"/>
              </w:rPr>
              <w:t>5201-5019</w:t>
            </w:r>
          </w:p>
        </w:tc>
        <w:tc>
          <w:tcPr>
            <w:tcW w:w="756" w:type="dxa"/>
            <w:shd w:val="clear" w:color="auto" w:fill="FFFFFF"/>
            <w:vAlign w:val="center"/>
          </w:tcPr>
          <w:p w:rsidR="00065814" w:rsidRPr="0092769E" w:rsidRDefault="00065814" w:rsidP="00315A1E">
            <w:pPr>
              <w:spacing w:line="180" w:lineRule="exact"/>
              <w:contextualSpacing/>
              <w:rPr>
                <w:color w:val="auto"/>
                <w:sz w:val="18"/>
                <w:szCs w:val="22"/>
              </w:rPr>
            </w:pPr>
            <w:r w:rsidRPr="0092769E">
              <w:rPr>
                <w:color w:val="auto"/>
                <w:sz w:val="18"/>
                <w:szCs w:val="22"/>
              </w:rPr>
              <w:t>10%</w:t>
            </w:r>
          </w:p>
        </w:tc>
        <w:tc>
          <w:tcPr>
            <w:tcW w:w="988" w:type="dxa"/>
            <w:shd w:val="clear" w:color="auto" w:fill="FFFFFF"/>
          </w:tcPr>
          <w:p w:rsidR="00065814" w:rsidRPr="0092769E" w:rsidRDefault="00065814">
            <w:pPr>
              <w:rPr>
                <w:color w:val="auto"/>
                <w:sz w:val="18"/>
                <w:szCs w:val="22"/>
              </w:rPr>
            </w:pPr>
            <w:r w:rsidRPr="0092769E">
              <w:rPr>
                <w:color w:val="auto"/>
                <w:sz w:val="18"/>
                <w:szCs w:val="22"/>
              </w:rPr>
              <w:t>20070720</w:t>
            </w:r>
          </w:p>
        </w:tc>
      </w:tr>
      <w:tr w:rsidR="00065814" w:rsidRPr="00F64312" w:rsidTr="00525B20">
        <w:trPr>
          <w:trHeight w:val="90"/>
          <w:jc w:val="center"/>
        </w:trPr>
        <w:tc>
          <w:tcPr>
            <w:tcW w:w="3958" w:type="dxa"/>
            <w:gridSpan w:val="3"/>
            <w:vMerge/>
            <w:tcBorders>
              <w:right w:val="thinThickThinSmallGap" w:sz="24" w:space="0" w:color="auto"/>
            </w:tcBorders>
            <w:shd w:val="clear" w:color="auto" w:fill="FFFFFF"/>
            <w:vAlign w:val="center"/>
          </w:tcPr>
          <w:p w:rsidR="00065814" w:rsidRPr="00472D4A" w:rsidRDefault="00065814" w:rsidP="00472D4A">
            <w:pPr>
              <w:spacing w:line="180" w:lineRule="exact"/>
              <w:contextualSpacing/>
              <w:rPr>
                <w:rFonts w:cs="Times New Roman"/>
                <w:color w:val="auto"/>
                <w:sz w:val="18"/>
                <w:szCs w:val="22"/>
              </w:rPr>
            </w:pPr>
          </w:p>
        </w:tc>
        <w:tc>
          <w:tcPr>
            <w:tcW w:w="2826" w:type="dxa"/>
            <w:tcBorders>
              <w:left w:val="thinThickThinSmallGap" w:sz="24" w:space="0" w:color="auto"/>
            </w:tcBorders>
            <w:shd w:val="clear" w:color="auto" w:fill="FFFFFF"/>
            <w:vAlign w:val="center"/>
          </w:tcPr>
          <w:p w:rsidR="00065814" w:rsidRPr="0092769E" w:rsidRDefault="00065814" w:rsidP="00472D4A">
            <w:pPr>
              <w:spacing w:line="180" w:lineRule="exact"/>
              <w:contextualSpacing/>
              <w:jc w:val="left"/>
              <w:rPr>
                <w:color w:val="auto"/>
                <w:sz w:val="18"/>
                <w:szCs w:val="22"/>
              </w:rPr>
            </w:pPr>
            <w:r w:rsidRPr="0092769E">
              <w:rPr>
                <w:color w:val="auto"/>
                <w:sz w:val="18"/>
                <w:szCs w:val="22"/>
              </w:rPr>
              <w:t>Left Knee Strain</w:t>
            </w:r>
          </w:p>
        </w:tc>
        <w:tc>
          <w:tcPr>
            <w:tcW w:w="1080" w:type="dxa"/>
            <w:shd w:val="clear" w:color="auto" w:fill="FFFFFF"/>
            <w:vAlign w:val="center"/>
          </w:tcPr>
          <w:p w:rsidR="00065814" w:rsidRPr="0092769E" w:rsidRDefault="00065814" w:rsidP="00472D4A">
            <w:pPr>
              <w:spacing w:line="180" w:lineRule="exact"/>
              <w:contextualSpacing/>
              <w:rPr>
                <w:color w:val="auto"/>
                <w:sz w:val="18"/>
                <w:szCs w:val="22"/>
              </w:rPr>
            </w:pPr>
            <w:r w:rsidRPr="0092769E">
              <w:rPr>
                <w:color w:val="auto"/>
                <w:sz w:val="18"/>
                <w:szCs w:val="22"/>
              </w:rPr>
              <w:t>5019-5260</w:t>
            </w:r>
          </w:p>
        </w:tc>
        <w:tc>
          <w:tcPr>
            <w:tcW w:w="756" w:type="dxa"/>
            <w:shd w:val="clear" w:color="auto" w:fill="FFFFFF"/>
            <w:vAlign w:val="center"/>
          </w:tcPr>
          <w:p w:rsidR="00065814" w:rsidRPr="0092769E" w:rsidRDefault="00065814" w:rsidP="00315A1E">
            <w:pPr>
              <w:spacing w:line="180" w:lineRule="exact"/>
              <w:contextualSpacing/>
              <w:rPr>
                <w:color w:val="auto"/>
                <w:sz w:val="18"/>
                <w:szCs w:val="22"/>
              </w:rPr>
            </w:pPr>
            <w:r w:rsidRPr="0092769E">
              <w:rPr>
                <w:color w:val="auto"/>
                <w:sz w:val="18"/>
                <w:szCs w:val="22"/>
              </w:rPr>
              <w:t>10%</w:t>
            </w:r>
          </w:p>
        </w:tc>
        <w:tc>
          <w:tcPr>
            <w:tcW w:w="988" w:type="dxa"/>
            <w:shd w:val="clear" w:color="auto" w:fill="FFFFFF"/>
          </w:tcPr>
          <w:p w:rsidR="00065814" w:rsidRPr="0092769E" w:rsidRDefault="00065814">
            <w:pPr>
              <w:rPr>
                <w:color w:val="auto"/>
                <w:sz w:val="18"/>
                <w:szCs w:val="22"/>
              </w:rPr>
            </w:pPr>
            <w:r w:rsidRPr="0092769E">
              <w:rPr>
                <w:color w:val="auto"/>
                <w:sz w:val="18"/>
                <w:szCs w:val="22"/>
              </w:rPr>
              <w:t>20070720</w:t>
            </w:r>
          </w:p>
        </w:tc>
      </w:tr>
      <w:tr w:rsidR="00065814" w:rsidRPr="00F64312" w:rsidTr="00525B20">
        <w:trPr>
          <w:trHeight w:val="90"/>
          <w:jc w:val="center"/>
        </w:trPr>
        <w:tc>
          <w:tcPr>
            <w:tcW w:w="3958" w:type="dxa"/>
            <w:gridSpan w:val="3"/>
            <w:vMerge/>
            <w:tcBorders>
              <w:right w:val="thinThickThinSmallGap" w:sz="24" w:space="0" w:color="auto"/>
            </w:tcBorders>
            <w:shd w:val="clear" w:color="auto" w:fill="FFFFFF"/>
            <w:vAlign w:val="center"/>
          </w:tcPr>
          <w:p w:rsidR="00065814" w:rsidRPr="00472D4A" w:rsidRDefault="00065814" w:rsidP="00472D4A">
            <w:pPr>
              <w:spacing w:line="180" w:lineRule="exact"/>
              <w:contextualSpacing/>
              <w:rPr>
                <w:rFonts w:cs="Times New Roman"/>
                <w:color w:val="auto"/>
                <w:sz w:val="18"/>
                <w:szCs w:val="22"/>
              </w:rPr>
            </w:pPr>
          </w:p>
        </w:tc>
        <w:tc>
          <w:tcPr>
            <w:tcW w:w="2826" w:type="dxa"/>
            <w:tcBorders>
              <w:left w:val="thinThickThinSmallGap" w:sz="24" w:space="0" w:color="auto"/>
            </w:tcBorders>
            <w:shd w:val="clear" w:color="auto" w:fill="FFFFFF"/>
            <w:vAlign w:val="center"/>
          </w:tcPr>
          <w:p w:rsidR="00065814" w:rsidRPr="0092769E" w:rsidRDefault="00065814" w:rsidP="00472D4A">
            <w:pPr>
              <w:spacing w:line="180" w:lineRule="exact"/>
              <w:contextualSpacing/>
              <w:jc w:val="left"/>
              <w:rPr>
                <w:color w:val="auto"/>
                <w:sz w:val="18"/>
                <w:szCs w:val="22"/>
              </w:rPr>
            </w:pPr>
            <w:r w:rsidRPr="0092769E">
              <w:rPr>
                <w:color w:val="auto"/>
                <w:sz w:val="18"/>
                <w:szCs w:val="22"/>
              </w:rPr>
              <w:t>Right Ankle Strain</w:t>
            </w:r>
          </w:p>
        </w:tc>
        <w:tc>
          <w:tcPr>
            <w:tcW w:w="1080" w:type="dxa"/>
            <w:shd w:val="clear" w:color="auto" w:fill="FFFFFF"/>
            <w:vAlign w:val="center"/>
          </w:tcPr>
          <w:p w:rsidR="00065814" w:rsidRPr="0092769E" w:rsidRDefault="00065814" w:rsidP="00472D4A">
            <w:pPr>
              <w:spacing w:line="180" w:lineRule="exact"/>
              <w:contextualSpacing/>
              <w:rPr>
                <w:color w:val="auto"/>
                <w:sz w:val="18"/>
                <w:szCs w:val="22"/>
              </w:rPr>
            </w:pPr>
            <w:r w:rsidRPr="0092769E">
              <w:rPr>
                <w:color w:val="auto"/>
                <w:sz w:val="18"/>
                <w:szCs w:val="22"/>
              </w:rPr>
              <w:t>5019-5271</w:t>
            </w:r>
          </w:p>
        </w:tc>
        <w:tc>
          <w:tcPr>
            <w:tcW w:w="756" w:type="dxa"/>
            <w:shd w:val="clear" w:color="auto" w:fill="FFFFFF"/>
            <w:vAlign w:val="center"/>
          </w:tcPr>
          <w:p w:rsidR="00065814" w:rsidRPr="0092769E" w:rsidRDefault="00065814" w:rsidP="00315A1E">
            <w:pPr>
              <w:spacing w:line="180" w:lineRule="exact"/>
              <w:contextualSpacing/>
              <w:rPr>
                <w:color w:val="auto"/>
                <w:sz w:val="18"/>
                <w:szCs w:val="22"/>
              </w:rPr>
            </w:pPr>
            <w:r w:rsidRPr="0092769E">
              <w:rPr>
                <w:color w:val="auto"/>
                <w:sz w:val="18"/>
                <w:szCs w:val="22"/>
              </w:rPr>
              <w:t>10%</w:t>
            </w:r>
          </w:p>
        </w:tc>
        <w:tc>
          <w:tcPr>
            <w:tcW w:w="988" w:type="dxa"/>
            <w:shd w:val="clear" w:color="auto" w:fill="FFFFFF"/>
          </w:tcPr>
          <w:p w:rsidR="00065814" w:rsidRPr="0092769E" w:rsidRDefault="00065814">
            <w:pPr>
              <w:rPr>
                <w:color w:val="auto"/>
                <w:sz w:val="18"/>
                <w:szCs w:val="22"/>
              </w:rPr>
            </w:pPr>
            <w:r w:rsidRPr="0092769E">
              <w:rPr>
                <w:color w:val="auto"/>
                <w:sz w:val="18"/>
                <w:szCs w:val="22"/>
              </w:rPr>
              <w:t>20070720</w:t>
            </w:r>
          </w:p>
        </w:tc>
      </w:tr>
      <w:tr w:rsidR="001531D9" w:rsidRPr="00F64312" w:rsidTr="00525B20">
        <w:trPr>
          <w:trHeight w:val="278"/>
          <w:jc w:val="center"/>
        </w:trPr>
        <w:tc>
          <w:tcPr>
            <w:tcW w:w="3958" w:type="dxa"/>
            <w:gridSpan w:val="3"/>
            <w:vMerge/>
            <w:tcBorders>
              <w:right w:val="thinThickThinSmallGap" w:sz="24" w:space="0" w:color="auto"/>
            </w:tcBorders>
            <w:shd w:val="clear" w:color="auto" w:fill="FFFFFF"/>
            <w:vAlign w:val="center"/>
          </w:tcPr>
          <w:p w:rsidR="001531D9" w:rsidRPr="00472D4A" w:rsidRDefault="001531D9" w:rsidP="00472D4A">
            <w:pPr>
              <w:spacing w:line="180" w:lineRule="exact"/>
              <w:contextualSpacing/>
              <w:rPr>
                <w:rFonts w:cs="Times New Roman"/>
                <w:color w:val="auto"/>
                <w:sz w:val="18"/>
                <w:szCs w:val="22"/>
              </w:rPr>
            </w:pPr>
          </w:p>
        </w:tc>
        <w:tc>
          <w:tcPr>
            <w:tcW w:w="5650" w:type="dxa"/>
            <w:gridSpan w:val="4"/>
            <w:tcBorders>
              <w:left w:val="thinThickThinSmallGap" w:sz="24" w:space="0" w:color="auto"/>
            </w:tcBorders>
            <w:shd w:val="clear" w:color="auto" w:fill="FFFFFF"/>
            <w:vAlign w:val="center"/>
          </w:tcPr>
          <w:p w:rsidR="001531D9" w:rsidRPr="00762131" w:rsidRDefault="001531D9">
            <w:pPr>
              <w:rPr>
                <w:color w:val="auto"/>
                <w:sz w:val="18"/>
                <w:szCs w:val="22"/>
                <w:highlight w:val="yellow"/>
              </w:rPr>
            </w:pPr>
            <w:r w:rsidRPr="00472D4A">
              <w:rPr>
                <w:rFonts w:cs="Times New Roman"/>
                <w:color w:val="auto"/>
                <w:sz w:val="18"/>
                <w:szCs w:val="22"/>
              </w:rPr>
              <w:t xml:space="preserve">0% X </w:t>
            </w:r>
            <w:r>
              <w:rPr>
                <w:rFonts w:cs="Times New Roman"/>
                <w:color w:val="auto"/>
                <w:sz w:val="18"/>
                <w:szCs w:val="22"/>
              </w:rPr>
              <w:t>2</w:t>
            </w:r>
            <w:r w:rsidRPr="00472D4A">
              <w:rPr>
                <w:rFonts w:cs="Times New Roman"/>
                <w:color w:val="auto"/>
                <w:sz w:val="18"/>
                <w:szCs w:val="22"/>
              </w:rPr>
              <w:t xml:space="preserve"> / Not Service-Connected x </w:t>
            </w:r>
            <w:r>
              <w:rPr>
                <w:rFonts w:cs="Times New Roman"/>
                <w:color w:val="auto"/>
                <w:sz w:val="18"/>
                <w:szCs w:val="22"/>
              </w:rPr>
              <w:t>3</w:t>
            </w:r>
          </w:p>
        </w:tc>
      </w:tr>
      <w:tr w:rsidR="001531D9" w:rsidRPr="00F64312" w:rsidTr="00525B20">
        <w:trPr>
          <w:trHeight w:val="29"/>
          <w:jc w:val="center"/>
        </w:trPr>
        <w:tc>
          <w:tcPr>
            <w:tcW w:w="3958" w:type="dxa"/>
            <w:gridSpan w:val="3"/>
            <w:tcBorders>
              <w:right w:val="thinThickThinSmallGap" w:sz="24" w:space="0" w:color="auto"/>
            </w:tcBorders>
            <w:shd w:val="clear" w:color="auto" w:fill="D9D9D9"/>
          </w:tcPr>
          <w:p w:rsidR="001531D9" w:rsidRPr="00472D4A" w:rsidRDefault="001531D9" w:rsidP="00472D4A">
            <w:pPr>
              <w:spacing w:line="180" w:lineRule="exact"/>
              <w:contextualSpacing/>
              <w:rPr>
                <w:b/>
                <w:color w:val="auto"/>
                <w:sz w:val="18"/>
                <w:szCs w:val="22"/>
              </w:rPr>
            </w:pPr>
            <w:r w:rsidRPr="00472D4A">
              <w:rPr>
                <w:rFonts w:cs="Times New Roman"/>
                <w:b/>
                <w:color w:val="auto"/>
                <w:sz w:val="18"/>
                <w:szCs w:val="22"/>
              </w:rPr>
              <w:t xml:space="preserve">Combined:  </w:t>
            </w:r>
            <w:r>
              <w:rPr>
                <w:rFonts w:cs="Times New Roman"/>
                <w:b/>
                <w:color w:val="auto"/>
                <w:sz w:val="18"/>
                <w:szCs w:val="22"/>
              </w:rPr>
              <w:t>20</w:t>
            </w:r>
            <w:r w:rsidRPr="00472D4A">
              <w:rPr>
                <w:rFonts w:cs="Times New Roman"/>
                <w:b/>
                <w:color w:val="auto"/>
                <w:sz w:val="18"/>
                <w:szCs w:val="22"/>
              </w:rPr>
              <w:t>%</w:t>
            </w:r>
          </w:p>
        </w:tc>
        <w:tc>
          <w:tcPr>
            <w:tcW w:w="5650" w:type="dxa"/>
            <w:gridSpan w:val="4"/>
            <w:tcBorders>
              <w:left w:val="thinThickThinSmallGap" w:sz="24" w:space="0" w:color="auto"/>
            </w:tcBorders>
            <w:shd w:val="clear" w:color="auto" w:fill="D9D9D9"/>
          </w:tcPr>
          <w:p w:rsidR="001531D9" w:rsidRPr="00472D4A" w:rsidRDefault="001531D9" w:rsidP="0092769E">
            <w:pPr>
              <w:spacing w:line="180" w:lineRule="exact"/>
              <w:contextualSpacing/>
              <w:rPr>
                <w:b/>
                <w:color w:val="auto"/>
                <w:sz w:val="18"/>
                <w:szCs w:val="22"/>
              </w:rPr>
            </w:pPr>
            <w:r w:rsidRPr="00472D4A">
              <w:rPr>
                <w:rFonts w:cs="Times New Roman"/>
                <w:b/>
                <w:color w:val="auto"/>
                <w:sz w:val="18"/>
                <w:szCs w:val="22"/>
              </w:rPr>
              <w:t xml:space="preserve">Combined:  </w:t>
            </w:r>
            <w:r>
              <w:rPr>
                <w:rFonts w:cs="Times New Roman"/>
                <w:b/>
                <w:color w:val="auto"/>
                <w:sz w:val="18"/>
                <w:szCs w:val="22"/>
              </w:rPr>
              <w:t>60</w:t>
            </w:r>
            <w:r w:rsidRPr="00472D4A">
              <w:rPr>
                <w:rFonts w:cs="Times New Roman"/>
                <w:b/>
                <w:color w:val="auto"/>
                <w:sz w:val="18"/>
                <w:szCs w:val="22"/>
              </w:rPr>
              <w:t>%</w:t>
            </w:r>
          </w:p>
        </w:tc>
      </w:tr>
    </w:tbl>
    <w:p w:rsidR="00A04C9D" w:rsidRDefault="00F90376" w:rsidP="00464A4E">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F444FA">
        <w:rPr>
          <w:color w:val="auto"/>
          <w:sz w:val="18"/>
          <w:szCs w:val="18"/>
        </w:rPr>
        <w:t xml:space="preserve">Rated name change only; rating percentage (20%) stated the same. </w:t>
      </w:r>
    </w:p>
    <w:p w:rsidR="00F90376" w:rsidRPr="00464A4E" w:rsidRDefault="00F90376" w:rsidP="00464A4E">
      <w:pPr>
        <w:pBdr>
          <w:bottom w:val="single" w:sz="12" w:space="1" w:color="auto"/>
        </w:pBdr>
        <w:tabs>
          <w:tab w:val="left" w:pos="288"/>
          <w:tab w:val="left" w:pos="4752"/>
        </w:tabs>
        <w:spacing w:line="180" w:lineRule="exact"/>
        <w:jc w:val="both"/>
        <w:rPr>
          <w:color w:val="auto"/>
          <w:sz w:val="18"/>
          <w:szCs w:val="18"/>
        </w:rPr>
      </w:pPr>
    </w:p>
    <w:p w:rsidR="00AD2379" w:rsidRPr="00F64312" w:rsidRDefault="00AD2379" w:rsidP="00165C7B">
      <w:pPr>
        <w:jc w:val="both"/>
        <w:rPr>
          <w:color w:val="auto"/>
        </w:rPr>
      </w:pPr>
    </w:p>
    <w:p w:rsidR="00752ABF" w:rsidRPr="007C3350" w:rsidRDefault="00AD2379" w:rsidP="004860A0">
      <w:pPr>
        <w:tabs>
          <w:tab w:val="left" w:pos="288"/>
          <w:tab w:val="left" w:pos="4752"/>
        </w:tabs>
        <w:jc w:val="both"/>
        <w:rPr>
          <w:rFonts w:cs="Times New Roman"/>
          <w:color w:val="auto"/>
          <w:szCs w:val="24"/>
        </w:rPr>
      </w:pPr>
      <w:r w:rsidRPr="00720623">
        <w:rPr>
          <w:color w:val="auto"/>
          <w:u w:val="single"/>
        </w:rPr>
        <w:t>ANALYSIS SUMMARY</w:t>
      </w:r>
      <w:r w:rsidRPr="00720623">
        <w:rPr>
          <w:color w:val="auto"/>
        </w:rPr>
        <w:t>:</w:t>
      </w:r>
      <w:r w:rsidR="003B55F2">
        <w:rPr>
          <w:color w:val="auto"/>
        </w:rPr>
        <w:t xml:space="preserve">  </w:t>
      </w:r>
      <w:r w:rsidR="00752ABF" w:rsidRPr="007C3350">
        <w:rPr>
          <w:rFonts w:cs="Times New Roman"/>
          <w:color w:val="auto"/>
          <w:szCs w:val="24"/>
        </w:rPr>
        <w:t>The</w:t>
      </w:r>
      <w:r w:rsidR="00AC3462">
        <w:rPr>
          <w:rFonts w:cs="Times New Roman"/>
          <w:color w:val="auto"/>
          <w:szCs w:val="24"/>
        </w:rPr>
        <w:t xml:space="preserve"> Disability Evaluation System (</w:t>
      </w:r>
      <w:r w:rsidR="00752ABF" w:rsidRPr="007C3350">
        <w:rPr>
          <w:rFonts w:cs="Times New Roman"/>
          <w:color w:val="auto"/>
          <w:szCs w:val="24"/>
        </w:rPr>
        <w:t>DES) is responsible for maintaining a fit and v</w:t>
      </w:r>
      <w:r w:rsidR="00AC3462">
        <w:rPr>
          <w:rFonts w:cs="Times New Roman"/>
          <w:color w:val="auto"/>
          <w:szCs w:val="24"/>
        </w:rPr>
        <w:t xml:space="preserve">ital fighting force. While the </w:t>
      </w:r>
      <w:r w:rsidR="00752ABF" w:rsidRPr="007C3350">
        <w:rPr>
          <w:rFonts w:cs="Times New Roman"/>
          <w:color w:val="auto"/>
          <w:szCs w:val="24"/>
        </w:rPr>
        <w:t>DES considers all of the service member</w:t>
      </w:r>
      <w:r w:rsidR="00AC3462">
        <w:rPr>
          <w:rFonts w:cs="Times New Roman"/>
          <w:color w:val="auto"/>
          <w:szCs w:val="24"/>
        </w:rPr>
        <w:t>’</w:t>
      </w:r>
      <w:r w:rsidR="00752ABF" w:rsidRPr="007C3350">
        <w:rPr>
          <w:rFonts w:cs="Times New Roman"/>
          <w:color w:val="auto"/>
          <w:szCs w:val="24"/>
        </w:rPr>
        <w:t>s medical conditions, compensation can only be offered for those medical conditions that cut short a service member’s career, and then only to the degree of severity present at the t</w:t>
      </w:r>
      <w:r w:rsidR="00AC3462">
        <w:rPr>
          <w:rFonts w:cs="Times New Roman"/>
          <w:color w:val="auto"/>
          <w:szCs w:val="24"/>
        </w:rPr>
        <w:t xml:space="preserve">ime of final disposition.  The </w:t>
      </w:r>
      <w:r w:rsidR="00752ABF"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AC3462">
        <w:rPr>
          <w:rFonts w:cs="Times New Roman"/>
          <w:color w:val="auto"/>
          <w:szCs w:val="24"/>
        </w:rPr>
        <w:t>itions determined to be service-</w:t>
      </w:r>
      <w:r w:rsidR="00752ABF" w:rsidRPr="007C3350">
        <w:rPr>
          <w:rFonts w:cs="Times New Roman"/>
          <w:color w:val="auto"/>
          <w:szCs w:val="24"/>
        </w:rPr>
        <w:t xml:space="preserve">connected by the </w:t>
      </w:r>
      <w:r w:rsidR="00AC3462">
        <w:rPr>
          <w:rFonts w:cs="Times New Roman"/>
          <w:color w:val="auto"/>
          <w:szCs w:val="24"/>
        </w:rPr>
        <w:t>D</w:t>
      </w:r>
      <w:r w:rsidR="00752ABF" w:rsidRPr="007C3350">
        <w:rPr>
          <w:rFonts w:cs="Times New Roman"/>
          <w:color w:val="auto"/>
          <w:szCs w:val="24"/>
        </w:rPr>
        <w:t xml:space="preserve">VA but not determined to be unfitting by the PEB.  However the </w:t>
      </w:r>
      <w:r w:rsidR="00AC3462">
        <w:rPr>
          <w:rFonts w:cs="Times New Roman"/>
          <w:color w:val="auto"/>
          <w:szCs w:val="24"/>
        </w:rPr>
        <w:t>DVA,</w:t>
      </w:r>
      <w:r w:rsidR="00752ABF" w:rsidRPr="007C3350">
        <w:rPr>
          <w:rFonts w:cs="Times New Roman"/>
          <w:color w:val="auto"/>
          <w:szCs w:val="24"/>
        </w:rPr>
        <w:t xml:space="preserve"> operating under a different set of laws (Title 38, United States Code), is empo</w:t>
      </w:r>
      <w:r w:rsidR="00AC3462">
        <w:rPr>
          <w:rFonts w:cs="Times New Roman"/>
          <w:color w:val="auto"/>
          <w:szCs w:val="24"/>
        </w:rPr>
        <w:t>wered to compensate all service-</w:t>
      </w:r>
      <w:r w:rsidR="00752ABF" w:rsidRPr="007C3350">
        <w:rPr>
          <w:rFonts w:cs="Times New Roman"/>
          <w:color w:val="auto"/>
          <w:szCs w:val="24"/>
        </w:rPr>
        <w:t xml:space="preserve">connected conditions and to periodically re-evaluate said conditions for the purpose of adjusting the </w:t>
      </w:r>
      <w:r w:rsidR="00AC3462">
        <w:rPr>
          <w:rFonts w:cs="Times New Roman"/>
          <w:color w:val="auto"/>
          <w:szCs w:val="24"/>
        </w:rPr>
        <w:t>V</w:t>
      </w:r>
      <w:r w:rsidR="00752ABF" w:rsidRPr="007C3350">
        <w:rPr>
          <w:rFonts w:cs="Times New Roman"/>
          <w:color w:val="auto"/>
          <w:szCs w:val="24"/>
        </w:rPr>
        <w:t xml:space="preserve">eteran’s disability rating should </w:t>
      </w:r>
      <w:r w:rsidR="00AC3462">
        <w:rPr>
          <w:rFonts w:cs="Times New Roman"/>
          <w:color w:val="auto"/>
          <w:szCs w:val="24"/>
        </w:rPr>
        <w:t>the</w:t>
      </w:r>
      <w:r w:rsidR="00752ABF"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r w:rsidR="003B55F2">
        <w:rPr>
          <w:rFonts w:cs="Times New Roman"/>
          <w:color w:val="auto"/>
          <w:szCs w:val="24"/>
        </w:rPr>
        <w:t xml:space="preserve">  </w:t>
      </w:r>
      <w:r w:rsidR="00752ABF" w:rsidRPr="007C3350">
        <w:rPr>
          <w:rFonts w:cs="Times New Roman"/>
          <w:color w:val="auto"/>
          <w:szCs w:val="24"/>
        </w:rPr>
        <w:t>The Board has neither the jurisdiction nor authority to scrutinize or render opinions in</w:t>
      </w:r>
      <w:r w:rsidR="004860A0">
        <w:rPr>
          <w:rFonts w:cs="Times New Roman"/>
          <w:color w:val="auto"/>
          <w:szCs w:val="24"/>
        </w:rPr>
        <w:t xml:space="preserve"> </w:t>
      </w:r>
      <w:r w:rsidR="00752ABF" w:rsidRPr="007C3350">
        <w:rPr>
          <w:rFonts w:cs="Times New Roman"/>
          <w:color w:val="auto"/>
          <w:szCs w:val="24"/>
        </w:rPr>
        <w:t xml:space="preserve">reference to the CI’s statements in the application regarding suspected DES improprieties in the processing of his case.   </w:t>
      </w:r>
    </w:p>
    <w:p w:rsidR="003B55F2" w:rsidRDefault="003B55F2">
      <w:pPr>
        <w:spacing w:line="240" w:lineRule="auto"/>
        <w:jc w:val="left"/>
        <w:rPr>
          <w:color w:val="auto"/>
          <w:szCs w:val="24"/>
          <w:u w:val="single"/>
        </w:rPr>
      </w:pPr>
    </w:p>
    <w:p w:rsidR="00F16978" w:rsidRPr="00347754" w:rsidRDefault="00A81A4A" w:rsidP="00F16978">
      <w:pPr>
        <w:tabs>
          <w:tab w:val="left" w:pos="288"/>
          <w:tab w:val="left" w:pos="4752"/>
        </w:tabs>
        <w:jc w:val="both"/>
        <w:rPr>
          <w:color w:val="auto"/>
          <w:szCs w:val="24"/>
        </w:rPr>
      </w:pPr>
      <w:proofErr w:type="gramStart"/>
      <w:r w:rsidRPr="00A04C9D">
        <w:rPr>
          <w:color w:val="auto"/>
          <w:szCs w:val="24"/>
          <w:u w:val="single"/>
        </w:rPr>
        <w:t>Lumbar Fusion L2-L</w:t>
      </w:r>
      <w:r w:rsidR="004407B1" w:rsidRPr="00A04C9D">
        <w:rPr>
          <w:color w:val="auto"/>
          <w:szCs w:val="24"/>
          <w:u w:val="single"/>
        </w:rPr>
        <w:t>3</w:t>
      </w:r>
      <w:r w:rsidR="00AD2379" w:rsidRPr="00A04C9D">
        <w:rPr>
          <w:color w:val="auto"/>
          <w:szCs w:val="24"/>
          <w:u w:val="single"/>
        </w:rPr>
        <w:t xml:space="preserve"> Condition</w:t>
      </w:r>
      <w:r w:rsidR="00AD2379" w:rsidRPr="009A5868">
        <w:rPr>
          <w:color w:val="auto"/>
          <w:szCs w:val="24"/>
        </w:rPr>
        <w:t>.</w:t>
      </w:r>
      <w:proofErr w:type="gramEnd"/>
      <w:r w:rsidR="00AD2379" w:rsidRPr="009A5868">
        <w:rPr>
          <w:color w:val="auto"/>
          <w:szCs w:val="24"/>
        </w:rPr>
        <w:t xml:space="preserve"> </w:t>
      </w:r>
      <w:r w:rsidR="00385708" w:rsidRPr="009A5868">
        <w:rPr>
          <w:color w:val="auto"/>
          <w:szCs w:val="24"/>
        </w:rPr>
        <w:t xml:space="preserve"> </w:t>
      </w:r>
      <w:r w:rsidR="004471E8">
        <w:rPr>
          <w:color w:val="auto"/>
          <w:szCs w:val="24"/>
        </w:rPr>
        <w:t xml:space="preserve">The CI developed chronic back pain with radiating pain associated with </w:t>
      </w:r>
      <w:r w:rsidR="00AC3462">
        <w:rPr>
          <w:color w:val="auto"/>
          <w:szCs w:val="24"/>
        </w:rPr>
        <w:t>DDD</w:t>
      </w:r>
      <w:r w:rsidR="004471E8">
        <w:rPr>
          <w:color w:val="auto"/>
          <w:szCs w:val="24"/>
        </w:rPr>
        <w:t xml:space="preserve"> beginning in 2004.  Magnetic resonance imaging </w:t>
      </w:r>
      <w:r w:rsidR="00AC3462">
        <w:rPr>
          <w:color w:val="auto"/>
          <w:szCs w:val="24"/>
        </w:rPr>
        <w:t xml:space="preserve">(MRI) </w:t>
      </w:r>
      <w:r w:rsidR="004471E8">
        <w:rPr>
          <w:color w:val="auto"/>
          <w:szCs w:val="24"/>
        </w:rPr>
        <w:t xml:space="preserve">in December 2004 demonstrated </w:t>
      </w:r>
      <w:r w:rsidR="00AC3462">
        <w:rPr>
          <w:color w:val="auto"/>
          <w:szCs w:val="24"/>
        </w:rPr>
        <w:t>DDD</w:t>
      </w:r>
      <w:r w:rsidR="004471E8">
        <w:rPr>
          <w:color w:val="auto"/>
          <w:szCs w:val="24"/>
        </w:rPr>
        <w:t xml:space="preserve"> at T11-12, L1-2 and L5-S1 with disc herniation at T11-12 and L1-2.  Evaluation by a neurosurgeon in March 2005 concluded his symptoms were consistent with </w:t>
      </w:r>
      <w:r w:rsidR="00B71945">
        <w:rPr>
          <w:color w:val="auto"/>
          <w:szCs w:val="24"/>
        </w:rPr>
        <w:t>DDD</w:t>
      </w:r>
      <w:r w:rsidR="004471E8">
        <w:rPr>
          <w:color w:val="auto"/>
          <w:szCs w:val="24"/>
        </w:rPr>
        <w:t xml:space="preserve"> but that there was no clinical evidence for radiculopathy.  Non-surgical treatment including a series of epidural injections was recommended</w:t>
      </w:r>
      <w:r w:rsidR="003353A3">
        <w:rPr>
          <w:color w:val="auto"/>
          <w:szCs w:val="24"/>
        </w:rPr>
        <w:t>;</w:t>
      </w:r>
      <w:r w:rsidR="004471E8">
        <w:rPr>
          <w:color w:val="auto"/>
          <w:szCs w:val="24"/>
        </w:rPr>
        <w:t xml:space="preserve"> however</w:t>
      </w:r>
      <w:r w:rsidR="003353A3">
        <w:rPr>
          <w:color w:val="auto"/>
          <w:szCs w:val="24"/>
        </w:rPr>
        <w:t>,</w:t>
      </w:r>
      <w:r w:rsidR="004471E8">
        <w:rPr>
          <w:color w:val="auto"/>
          <w:szCs w:val="24"/>
        </w:rPr>
        <w:t xml:space="preserve"> no significant benefit resulted.  </w:t>
      </w:r>
      <w:proofErr w:type="spellStart"/>
      <w:r w:rsidR="004471E8">
        <w:rPr>
          <w:color w:val="auto"/>
          <w:szCs w:val="24"/>
        </w:rPr>
        <w:t>Discograms</w:t>
      </w:r>
      <w:proofErr w:type="spellEnd"/>
      <w:r w:rsidR="004471E8">
        <w:rPr>
          <w:color w:val="auto"/>
          <w:szCs w:val="24"/>
        </w:rPr>
        <w:t xml:space="preserve"> performed in 2005 were considered positive at L1-2 and ultimately the CI underwent surgery to fuse L1 and L2 for </w:t>
      </w:r>
      <w:r w:rsidR="00AC3462">
        <w:rPr>
          <w:color w:val="auto"/>
          <w:szCs w:val="24"/>
        </w:rPr>
        <w:t>DDD</w:t>
      </w:r>
      <w:r w:rsidR="004471E8">
        <w:rPr>
          <w:color w:val="auto"/>
          <w:szCs w:val="24"/>
        </w:rPr>
        <w:t xml:space="preserve"> in August 2006.  Post-operative neurosurgery follow up appointments indicated a good response to surgery.  On </w:t>
      </w:r>
      <w:r w:rsidR="00AC3462">
        <w:rPr>
          <w:color w:val="auto"/>
          <w:szCs w:val="24"/>
        </w:rPr>
        <w:t xml:space="preserve">         </w:t>
      </w:r>
      <w:r w:rsidR="004471E8">
        <w:rPr>
          <w:color w:val="auto"/>
          <w:szCs w:val="24"/>
        </w:rPr>
        <w:t>1 November 2006, the neurosurgeon indicated the CI was “doing well overall</w:t>
      </w:r>
      <w:r w:rsidR="00AC3462">
        <w:rPr>
          <w:color w:val="auto"/>
          <w:szCs w:val="24"/>
        </w:rPr>
        <w:t>.</w:t>
      </w:r>
      <w:r w:rsidR="004471E8">
        <w:rPr>
          <w:color w:val="auto"/>
          <w:szCs w:val="24"/>
        </w:rPr>
        <w:t xml:space="preserve">”  On examination there was decreased flexion and extension, and an intact neurologic examination.  </w:t>
      </w:r>
      <w:r w:rsidR="0039463B">
        <w:rPr>
          <w:color w:val="auto"/>
          <w:szCs w:val="24"/>
        </w:rPr>
        <w:t xml:space="preserve">There were some inconsistencies in the record concerning the level of the surgical fusion, L2-L3 vs. L2-L4.  The correct level of surgical fusion is L2-L3.  This inconstancy would not impact the code or rating of this condition.  </w:t>
      </w:r>
      <w:r w:rsidR="004471E8">
        <w:rPr>
          <w:color w:val="auto"/>
          <w:szCs w:val="24"/>
        </w:rPr>
        <w:t xml:space="preserve">The MEB </w:t>
      </w:r>
      <w:r w:rsidR="00AC3462">
        <w:rPr>
          <w:color w:val="auto"/>
          <w:szCs w:val="24"/>
        </w:rPr>
        <w:t>narrative summary (</w:t>
      </w:r>
      <w:r w:rsidR="004471E8">
        <w:rPr>
          <w:color w:val="auto"/>
          <w:szCs w:val="24"/>
        </w:rPr>
        <w:t>NARSUM</w:t>
      </w:r>
      <w:r w:rsidR="00AC3462">
        <w:rPr>
          <w:color w:val="auto"/>
          <w:szCs w:val="24"/>
        </w:rPr>
        <w:t>)</w:t>
      </w:r>
      <w:r w:rsidR="004471E8">
        <w:rPr>
          <w:color w:val="auto"/>
          <w:szCs w:val="24"/>
        </w:rPr>
        <w:t>,</w:t>
      </w:r>
      <w:r w:rsidR="00AC3462">
        <w:rPr>
          <w:color w:val="auto"/>
          <w:szCs w:val="24"/>
        </w:rPr>
        <w:t xml:space="preserve"> dated </w:t>
      </w:r>
      <w:r w:rsidR="004471E8">
        <w:rPr>
          <w:color w:val="auto"/>
          <w:szCs w:val="24"/>
        </w:rPr>
        <w:t>1 November 2005</w:t>
      </w:r>
      <w:r w:rsidR="00AC3462">
        <w:rPr>
          <w:color w:val="auto"/>
          <w:szCs w:val="24"/>
        </w:rPr>
        <w:t>,</w:t>
      </w:r>
      <w:r w:rsidR="004471E8">
        <w:rPr>
          <w:color w:val="auto"/>
          <w:szCs w:val="24"/>
        </w:rPr>
        <w:t xml:space="preserve"> summarized the history noted above.  On examination, there was tendernes</w:t>
      </w:r>
      <w:r w:rsidR="00AC3462">
        <w:rPr>
          <w:color w:val="auto"/>
          <w:szCs w:val="24"/>
        </w:rPr>
        <w:t>s.  Range-of-</w:t>
      </w:r>
      <w:r w:rsidR="004471E8">
        <w:rPr>
          <w:color w:val="auto"/>
          <w:szCs w:val="24"/>
        </w:rPr>
        <w:t>motion</w:t>
      </w:r>
      <w:r w:rsidR="00AC3462">
        <w:rPr>
          <w:color w:val="auto"/>
          <w:szCs w:val="24"/>
        </w:rPr>
        <w:t xml:space="preserve"> (ROM)</w:t>
      </w:r>
      <w:r w:rsidR="004471E8">
        <w:rPr>
          <w:color w:val="auto"/>
          <w:szCs w:val="24"/>
        </w:rPr>
        <w:t xml:space="preserve"> is recorded in the chart.  Muscle strength, sensation and deep tendon reflexes were intact and straight leg </w:t>
      </w:r>
      <w:proofErr w:type="gramStart"/>
      <w:r w:rsidR="004471E8">
        <w:rPr>
          <w:color w:val="auto"/>
          <w:szCs w:val="24"/>
        </w:rPr>
        <w:t>raising</w:t>
      </w:r>
      <w:proofErr w:type="gramEnd"/>
      <w:r w:rsidR="004471E8">
        <w:rPr>
          <w:color w:val="auto"/>
          <w:szCs w:val="24"/>
        </w:rPr>
        <w:t xml:space="preserve"> was negative for signs of radiculopathy.  On 15 February 2007, the neurosurgeon noted that there was some muscular pain in the back but no leg symptoms, motor disturbance, or sensory disturbance.  The surgeon recorded a normal neurologic examination, with normal gait, normal strength and reflexes.</w:t>
      </w:r>
      <w:r w:rsidR="00525B20">
        <w:rPr>
          <w:color w:val="auto"/>
          <w:szCs w:val="24"/>
        </w:rPr>
        <w:t xml:space="preserve">  </w:t>
      </w:r>
      <w:r w:rsidR="004471E8">
        <w:rPr>
          <w:color w:val="auto"/>
          <w:szCs w:val="24"/>
        </w:rPr>
        <w:t xml:space="preserve">The VA </w:t>
      </w:r>
      <w:r w:rsidR="00AC3462">
        <w:rPr>
          <w:color w:val="auto"/>
          <w:szCs w:val="24"/>
        </w:rPr>
        <w:t>C</w:t>
      </w:r>
      <w:r w:rsidR="004471E8">
        <w:rPr>
          <w:color w:val="auto"/>
          <w:szCs w:val="24"/>
        </w:rPr>
        <w:t xml:space="preserve">ompensation and </w:t>
      </w:r>
      <w:r w:rsidR="00AC3462">
        <w:rPr>
          <w:color w:val="auto"/>
          <w:szCs w:val="24"/>
        </w:rPr>
        <w:t xml:space="preserve">Pension (C&amp;P) examination, was </w:t>
      </w:r>
      <w:r w:rsidR="00AC3462">
        <w:rPr>
          <w:color w:val="auto"/>
          <w:szCs w:val="24"/>
        </w:rPr>
        <w:lastRenderedPageBreak/>
        <w:t xml:space="preserve">performed on </w:t>
      </w:r>
      <w:r w:rsidR="004471E8">
        <w:rPr>
          <w:color w:val="auto"/>
          <w:szCs w:val="24"/>
        </w:rPr>
        <w:t xml:space="preserve">24 July 2007, </w:t>
      </w:r>
      <w:r w:rsidR="00AC3462">
        <w:rPr>
          <w:color w:val="auto"/>
          <w:szCs w:val="24"/>
        </w:rPr>
        <w:t>a</w:t>
      </w:r>
      <w:r w:rsidR="004471E8">
        <w:rPr>
          <w:color w:val="auto"/>
          <w:szCs w:val="24"/>
        </w:rPr>
        <w:t xml:space="preserve"> month after separation.  The CI reported persistent </w:t>
      </w:r>
      <w:r w:rsidR="00AC3462">
        <w:rPr>
          <w:color w:val="auto"/>
          <w:szCs w:val="24"/>
        </w:rPr>
        <w:t>LBP</w:t>
      </w:r>
      <w:r w:rsidR="004471E8">
        <w:rPr>
          <w:color w:val="auto"/>
          <w:szCs w:val="24"/>
        </w:rPr>
        <w:t xml:space="preserve"> since surgery without radiation or leg weakness.  On examination, there was muscle spasm, moderate loss of the normal lumbar lordosis, and a mildly antalgic gait.</w:t>
      </w:r>
      <w:r w:rsidR="00F16978">
        <w:rPr>
          <w:color w:val="auto"/>
          <w:szCs w:val="24"/>
        </w:rPr>
        <w:t xml:space="preserve">  </w:t>
      </w:r>
      <w:r w:rsidR="00AC3462">
        <w:rPr>
          <w:color w:val="auto"/>
          <w:szCs w:val="24"/>
        </w:rPr>
        <w:t>ROM</w:t>
      </w:r>
      <w:r w:rsidR="00F16978">
        <w:rPr>
          <w:color w:val="auto"/>
          <w:szCs w:val="24"/>
        </w:rPr>
        <w:t xml:space="preserve"> recorded in the table was not additionally limited by pain, fatigue, weakness or lack of endurance after repetitive motion during the examination.  Muscle strength, sensation and reflexes were intact.  The examiner noted that there had not been any incapacitating episodes requiring bed rest prescribed by a physician.</w:t>
      </w:r>
      <w:r w:rsidR="00525B20">
        <w:rPr>
          <w:color w:val="auto"/>
          <w:szCs w:val="24"/>
        </w:rPr>
        <w:t xml:space="preserve">  </w:t>
      </w:r>
      <w:r w:rsidR="00F16978" w:rsidRPr="00347754">
        <w:rPr>
          <w:color w:val="auto"/>
          <w:szCs w:val="24"/>
        </w:rPr>
        <w:t xml:space="preserve">The MEB and VA C&amp;P examinations both provide adequate documentation of thoracolumbar goniometric </w:t>
      </w:r>
      <w:r w:rsidR="00AC3462">
        <w:rPr>
          <w:color w:val="auto"/>
          <w:szCs w:val="24"/>
        </w:rPr>
        <w:t>ROM</w:t>
      </w:r>
      <w:r w:rsidR="00F16978" w:rsidRPr="00347754">
        <w:rPr>
          <w:color w:val="auto"/>
          <w:szCs w:val="24"/>
        </w:rPr>
        <w:t xml:space="preserve"> measurements well within the 12-month window specified in DoDI 6040.44 regarding evaluations for Board consideration therefore, significant probative value can be assigned to these measurements</w:t>
      </w:r>
      <w:r w:rsidR="00F16978">
        <w:rPr>
          <w:color w:val="auto"/>
          <w:szCs w:val="24"/>
        </w:rPr>
        <w:t xml:space="preserve">.  They are </w:t>
      </w:r>
      <w:r w:rsidR="00F16978" w:rsidRPr="00347754">
        <w:rPr>
          <w:color w:val="auto"/>
          <w:szCs w:val="24"/>
        </w:rPr>
        <w:t xml:space="preserve">summarized in the chart below.  </w:t>
      </w:r>
    </w:p>
    <w:p w:rsidR="00F16978" w:rsidRPr="00F16978" w:rsidRDefault="00F16978" w:rsidP="00F16978">
      <w:pPr>
        <w:jc w:val="left"/>
        <w:rPr>
          <w:rFonts w:eastAsia="Cambria"/>
          <w:color w:val="auto"/>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108"/>
        <w:gridCol w:w="2428"/>
      </w:tblGrid>
      <w:tr w:rsidR="00F16978" w:rsidRPr="00F64312" w:rsidTr="00F81FAE">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16978" w:rsidRDefault="00F16978" w:rsidP="00F81FAE">
            <w:pPr>
              <w:pStyle w:val="ListParagraph"/>
              <w:spacing w:after="0" w:line="200" w:lineRule="exact"/>
              <w:ind w:left="0"/>
              <w:rPr>
                <w:rFonts w:eastAsia="Calibri" w:cs="Calibri"/>
                <w:sz w:val="18"/>
                <w:szCs w:val="18"/>
              </w:rPr>
            </w:pPr>
            <w:r w:rsidRPr="00F64312">
              <w:rPr>
                <w:rFonts w:eastAsia="Calibri" w:cs="Calibri"/>
                <w:sz w:val="18"/>
                <w:szCs w:val="18"/>
              </w:rPr>
              <w:t>Thoracolumbar ROM</w:t>
            </w:r>
          </w:p>
          <w:p w:rsidR="00525B20" w:rsidRPr="00F64312" w:rsidRDefault="00525B20" w:rsidP="00F81FAE">
            <w:pPr>
              <w:pStyle w:val="ListParagraph"/>
              <w:spacing w:after="0" w:line="200" w:lineRule="exact"/>
              <w:ind w:left="0"/>
              <w:rPr>
                <w:rFonts w:eastAsia="Calibri" w:cs="Calibri"/>
                <w:b/>
                <w:sz w:val="18"/>
                <w:szCs w:val="18"/>
              </w:rPr>
            </w:pPr>
            <w:r>
              <w:rPr>
                <w:rFonts w:eastAsia="Calibri" w:cs="Calibri"/>
                <w:sz w:val="18"/>
                <w:szCs w:val="18"/>
              </w:rPr>
              <w:t>Degrees</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9463B" w:rsidRDefault="00F16978" w:rsidP="00F81FAE">
            <w:pPr>
              <w:spacing w:line="200" w:lineRule="exact"/>
              <w:contextualSpacing/>
              <w:rPr>
                <w:rFonts w:eastAsia="Calibri"/>
                <w:color w:val="auto"/>
                <w:sz w:val="18"/>
                <w:szCs w:val="18"/>
              </w:rPr>
            </w:pPr>
            <w:r w:rsidRPr="00F64312">
              <w:rPr>
                <w:rFonts w:eastAsia="Calibri"/>
                <w:color w:val="auto"/>
                <w:sz w:val="18"/>
                <w:szCs w:val="18"/>
              </w:rPr>
              <w:t xml:space="preserve">MEB </w:t>
            </w:r>
          </w:p>
          <w:p w:rsidR="00F16978" w:rsidRPr="00F64312" w:rsidRDefault="00F16978" w:rsidP="0039463B">
            <w:pPr>
              <w:spacing w:line="200" w:lineRule="exact"/>
              <w:contextualSpacing/>
              <w:rPr>
                <w:rFonts w:eastAsia="Calibri"/>
                <w:color w:val="auto"/>
                <w:sz w:val="18"/>
                <w:szCs w:val="18"/>
              </w:rPr>
            </w:pPr>
            <w:r w:rsidRPr="00F64312">
              <w:rPr>
                <w:rFonts w:eastAsia="Calibri"/>
                <w:color w:val="auto"/>
                <w:sz w:val="18"/>
                <w:szCs w:val="18"/>
              </w:rPr>
              <w:t>~</w:t>
            </w:r>
            <w:r>
              <w:rPr>
                <w:rFonts w:eastAsia="Calibri"/>
                <w:color w:val="auto"/>
                <w:sz w:val="18"/>
                <w:szCs w:val="18"/>
              </w:rPr>
              <w:t>7</w:t>
            </w:r>
            <w:r w:rsidRPr="00F64312">
              <w:rPr>
                <w:rFonts w:eastAsia="Calibri"/>
                <w:color w:val="auto"/>
                <w:sz w:val="18"/>
                <w:szCs w:val="18"/>
              </w:rPr>
              <w:t xml:space="preserve"> Mo</w:t>
            </w:r>
            <w:r>
              <w:rPr>
                <w:rFonts w:eastAsia="Calibri"/>
                <w:color w:val="auto"/>
                <w:sz w:val="18"/>
                <w:szCs w:val="18"/>
              </w:rPr>
              <w:t>s</w:t>
            </w:r>
            <w:r w:rsidRPr="00F64312">
              <w:rPr>
                <w:rFonts w:eastAsia="Calibri"/>
                <w:color w:val="auto"/>
                <w:sz w:val="18"/>
                <w:szCs w:val="18"/>
              </w:rPr>
              <w:t>.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9463B" w:rsidRDefault="00F16978" w:rsidP="00F81FAE">
            <w:pPr>
              <w:spacing w:line="200" w:lineRule="exact"/>
              <w:contextualSpacing/>
              <w:rPr>
                <w:rFonts w:eastAsia="Cambria"/>
                <w:color w:val="auto"/>
                <w:sz w:val="18"/>
                <w:szCs w:val="18"/>
              </w:rPr>
            </w:pPr>
            <w:r w:rsidRPr="00F64312">
              <w:rPr>
                <w:rFonts w:eastAsia="Calibri"/>
                <w:color w:val="auto"/>
                <w:sz w:val="18"/>
                <w:szCs w:val="18"/>
              </w:rPr>
              <w:t>VA</w:t>
            </w:r>
            <w:r w:rsidRPr="00F64312">
              <w:rPr>
                <w:rFonts w:eastAsia="Cambria"/>
                <w:color w:val="auto"/>
                <w:sz w:val="18"/>
                <w:szCs w:val="18"/>
              </w:rPr>
              <w:t xml:space="preserve"> C&amp;P </w:t>
            </w:r>
          </w:p>
          <w:p w:rsidR="00F16978" w:rsidRPr="00F64312" w:rsidRDefault="00F16978" w:rsidP="0039463B">
            <w:pPr>
              <w:spacing w:line="200" w:lineRule="exact"/>
              <w:contextualSpacing/>
              <w:rPr>
                <w:rFonts w:eastAsia="Cambria"/>
                <w:color w:val="auto"/>
                <w:sz w:val="18"/>
                <w:szCs w:val="18"/>
              </w:rPr>
            </w:pPr>
            <w:r>
              <w:rPr>
                <w:rFonts w:eastAsia="Calibri"/>
                <w:color w:val="auto"/>
                <w:sz w:val="18"/>
                <w:szCs w:val="18"/>
              </w:rPr>
              <w:t>~1</w:t>
            </w:r>
            <w:r w:rsidRPr="00F64312">
              <w:rPr>
                <w:rFonts w:eastAsia="Calibri"/>
                <w:color w:val="auto"/>
                <w:sz w:val="18"/>
                <w:szCs w:val="18"/>
              </w:rPr>
              <w:t xml:space="preserve"> Mo. Post-Sep</w:t>
            </w:r>
          </w:p>
        </w:tc>
      </w:tr>
      <w:tr w:rsidR="00F16978" w:rsidRPr="00632F76" w:rsidTr="00F81FA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16978" w:rsidRPr="00632F76" w:rsidRDefault="00F16978" w:rsidP="00525B20">
            <w:pPr>
              <w:pStyle w:val="ListParagraph"/>
              <w:spacing w:after="0" w:line="200" w:lineRule="exact"/>
              <w:ind w:left="0"/>
              <w:rPr>
                <w:rFonts w:eastAsia="Calibri" w:cs="Calibri"/>
                <w:sz w:val="18"/>
                <w:szCs w:val="18"/>
              </w:rPr>
            </w:pPr>
            <w:r w:rsidRPr="00632F76">
              <w:rPr>
                <w:rFonts w:cs="Calibri"/>
                <w:sz w:val="18"/>
                <w:szCs w:val="18"/>
              </w:rPr>
              <w:t>Flexion (90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spacing w:line="200" w:lineRule="exact"/>
              <w:contextualSpacing/>
              <w:rPr>
                <w:rFonts w:eastAsia="Calibri"/>
                <w:color w:val="auto"/>
                <w:sz w:val="18"/>
                <w:szCs w:val="18"/>
              </w:rPr>
            </w:pPr>
            <w:r w:rsidRPr="00632F76">
              <w:rPr>
                <w:rFonts w:eastAsia="Calibri"/>
                <w:color w:val="auto"/>
                <w:sz w:val="18"/>
                <w:szCs w:val="18"/>
              </w:rPr>
              <w:t>45</w:t>
            </w:r>
          </w:p>
        </w:tc>
        <w:tc>
          <w:tcPr>
            <w:tcW w:w="242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spacing w:line="200" w:lineRule="exact"/>
              <w:contextualSpacing/>
              <w:rPr>
                <w:rFonts w:eastAsia="Calibri"/>
                <w:color w:val="auto"/>
                <w:sz w:val="18"/>
                <w:szCs w:val="18"/>
              </w:rPr>
            </w:pPr>
            <w:r w:rsidRPr="00632F76">
              <w:rPr>
                <w:rFonts w:eastAsia="Calibri"/>
                <w:color w:val="auto"/>
                <w:sz w:val="18"/>
                <w:szCs w:val="18"/>
              </w:rPr>
              <w:t>50</w:t>
            </w:r>
          </w:p>
        </w:tc>
      </w:tr>
      <w:tr w:rsidR="00F16978" w:rsidRPr="00632F76" w:rsidTr="00F81FA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16978" w:rsidRPr="00632F76" w:rsidRDefault="00F16978" w:rsidP="00525B20">
            <w:pPr>
              <w:pStyle w:val="ListParagraph"/>
              <w:spacing w:after="0" w:line="200" w:lineRule="exact"/>
              <w:ind w:left="0"/>
              <w:rPr>
                <w:rFonts w:eastAsia="Calibri" w:cs="Calibri"/>
                <w:sz w:val="18"/>
                <w:szCs w:val="18"/>
              </w:rPr>
            </w:pPr>
            <w:r w:rsidRPr="00632F76">
              <w:rPr>
                <w:rFonts w:eastAsia="Calibri" w:cs="Calibri"/>
                <w:sz w:val="18"/>
                <w:szCs w:val="18"/>
              </w:rPr>
              <w:t>Ext</w:t>
            </w:r>
            <w:r w:rsidR="00525B20">
              <w:rPr>
                <w:rFonts w:eastAsia="Calibri" w:cs="Calibri"/>
                <w:sz w:val="18"/>
                <w:szCs w:val="18"/>
              </w:rPr>
              <w:t>ension</w:t>
            </w:r>
            <w:r w:rsidRPr="00632F76">
              <w:rPr>
                <w:rFonts w:eastAsia="Calibri" w:cs="Calibri"/>
                <w:sz w:val="18"/>
                <w:szCs w:val="18"/>
              </w:rPr>
              <w:t xml:space="preserve"> (30)</w:t>
            </w:r>
          </w:p>
        </w:tc>
        <w:tc>
          <w:tcPr>
            <w:tcW w:w="210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spacing w:line="200" w:lineRule="exact"/>
              <w:contextualSpacing/>
              <w:rPr>
                <w:rFonts w:eastAsia="Calibri"/>
                <w:color w:val="auto"/>
                <w:sz w:val="18"/>
                <w:szCs w:val="18"/>
              </w:rPr>
            </w:pPr>
            <w:r w:rsidRPr="00632F76">
              <w:rPr>
                <w:rFonts w:eastAsia="Calibri"/>
                <w:color w:val="auto"/>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spacing w:line="200" w:lineRule="exact"/>
              <w:contextualSpacing/>
              <w:rPr>
                <w:rFonts w:eastAsia="Calibri"/>
                <w:color w:val="auto"/>
                <w:sz w:val="18"/>
                <w:szCs w:val="18"/>
              </w:rPr>
            </w:pPr>
            <w:r w:rsidRPr="00632F76">
              <w:rPr>
                <w:rFonts w:eastAsia="Calibri"/>
                <w:color w:val="auto"/>
                <w:sz w:val="18"/>
                <w:szCs w:val="18"/>
              </w:rPr>
              <w:t>20</w:t>
            </w:r>
          </w:p>
        </w:tc>
      </w:tr>
      <w:tr w:rsidR="00F16978" w:rsidRPr="00632F76" w:rsidTr="00F81FA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16978" w:rsidRPr="00632F76" w:rsidRDefault="00F16978" w:rsidP="00525B20">
            <w:pPr>
              <w:pStyle w:val="ListParagraph"/>
              <w:spacing w:after="0" w:line="200" w:lineRule="exact"/>
              <w:ind w:left="0"/>
              <w:rPr>
                <w:rFonts w:eastAsia="Calibri" w:cs="Calibri"/>
                <w:sz w:val="18"/>
                <w:szCs w:val="18"/>
              </w:rPr>
            </w:pPr>
            <w:r w:rsidRPr="00632F76">
              <w:rPr>
                <w:rFonts w:eastAsia="Calibri" w:cs="Calibri"/>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525B20">
            <w:pPr>
              <w:spacing w:line="200" w:lineRule="exact"/>
              <w:rPr>
                <w:color w:val="auto"/>
                <w:sz w:val="18"/>
                <w:szCs w:val="18"/>
              </w:rPr>
            </w:pPr>
            <w:r w:rsidRPr="00632F76">
              <w:rPr>
                <w:rFonts w:eastAsia="Calibri"/>
                <w:color w:val="auto"/>
                <w:sz w:val="18"/>
                <w:szCs w:val="18"/>
              </w:rPr>
              <w:t>165</w:t>
            </w:r>
          </w:p>
        </w:tc>
        <w:tc>
          <w:tcPr>
            <w:tcW w:w="242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spacing w:line="200" w:lineRule="exact"/>
              <w:rPr>
                <w:color w:val="auto"/>
                <w:sz w:val="18"/>
                <w:szCs w:val="18"/>
              </w:rPr>
            </w:pPr>
            <w:r w:rsidRPr="00632F76">
              <w:rPr>
                <w:rFonts w:eastAsia="Calibri"/>
                <w:color w:val="auto"/>
                <w:sz w:val="18"/>
                <w:szCs w:val="18"/>
              </w:rPr>
              <w:t>190⁰</w:t>
            </w:r>
          </w:p>
        </w:tc>
      </w:tr>
      <w:tr w:rsidR="00F16978" w:rsidRPr="00632F76" w:rsidTr="00F81FA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 xml:space="preserve">+ Tenderness </w:t>
            </w:r>
          </w:p>
          <w:p w:rsidR="00F16978" w:rsidRPr="00632F76" w:rsidRDefault="0092769E" w:rsidP="00F81FAE">
            <w:pPr>
              <w:pStyle w:val="ListParagraph"/>
              <w:spacing w:after="0" w:line="200" w:lineRule="exact"/>
              <w:ind w:left="0"/>
              <w:rPr>
                <w:rFonts w:eastAsia="Calibri" w:cs="Calibri"/>
                <w:sz w:val="18"/>
                <w:szCs w:val="18"/>
              </w:rPr>
            </w:pPr>
            <w:r>
              <w:rPr>
                <w:rFonts w:eastAsia="Calibri" w:cs="Calibri"/>
                <w:sz w:val="18"/>
                <w:szCs w:val="18"/>
              </w:rPr>
              <w:t>Normal gait.</w:t>
            </w:r>
          </w:p>
        </w:tc>
        <w:tc>
          <w:tcPr>
            <w:tcW w:w="242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 Tenderness</w:t>
            </w:r>
          </w:p>
          <w:p w:rsidR="00F16978"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 painful motion</w:t>
            </w:r>
          </w:p>
          <w:p w:rsidR="00F16978" w:rsidRDefault="00F16978" w:rsidP="00F81FAE">
            <w:pPr>
              <w:pStyle w:val="ListParagraph"/>
              <w:spacing w:after="0" w:line="200" w:lineRule="exact"/>
              <w:ind w:left="0"/>
              <w:rPr>
                <w:rFonts w:eastAsia="Calibri" w:cs="Calibri"/>
                <w:sz w:val="18"/>
                <w:szCs w:val="18"/>
              </w:rPr>
            </w:pPr>
            <w:r>
              <w:rPr>
                <w:rFonts w:eastAsia="Calibri" w:cs="Calibri"/>
                <w:sz w:val="18"/>
                <w:szCs w:val="18"/>
              </w:rPr>
              <w:t>No change after repetition.</w:t>
            </w:r>
          </w:p>
          <w:p w:rsidR="0092769E" w:rsidRPr="00632F76" w:rsidRDefault="0092769E" w:rsidP="00F81FAE">
            <w:pPr>
              <w:pStyle w:val="ListParagraph"/>
              <w:spacing w:after="0" w:line="200" w:lineRule="exact"/>
              <w:ind w:left="0"/>
              <w:rPr>
                <w:rFonts w:eastAsia="Calibri" w:cs="Calibri"/>
                <w:sz w:val="18"/>
                <w:szCs w:val="18"/>
              </w:rPr>
            </w:pPr>
            <w:r>
              <w:rPr>
                <w:rFonts w:eastAsia="Calibri" w:cs="Calibri"/>
                <w:sz w:val="18"/>
                <w:szCs w:val="18"/>
              </w:rPr>
              <w:t>+spasm, antalgic gait.</w:t>
            </w:r>
          </w:p>
        </w:tc>
      </w:tr>
      <w:tr w:rsidR="00F16978" w:rsidRPr="00F64312" w:rsidTr="00F81FA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F16978" w:rsidRPr="00632F76" w:rsidRDefault="00F16978" w:rsidP="00F81FAE">
            <w:pPr>
              <w:pStyle w:val="ListParagraph"/>
              <w:spacing w:after="0" w:line="200" w:lineRule="exact"/>
              <w:ind w:left="0"/>
              <w:rPr>
                <w:rFonts w:eastAsia="Calibri" w:cs="Calibri"/>
                <w:sz w:val="18"/>
                <w:szCs w:val="18"/>
              </w:rPr>
            </w:pPr>
            <w:r w:rsidRPr="00632F76">
              <w:rPr>
                <w:rFonts w:eastAsia="Calibri" w:cs="Calibri"/>
                <w:sz w:val="18"/>
                <w:szCs w:val="18"/>
              </w:rPr>
              <w:t>20%</w:t>
            </w:r>
          </w:p>
        </w:tc>
      </w:tr>
    </w:tbl>
    <w:p w:rsidR="004471E8" w:rsidRDefault="004471E8" w:rsidP="004471E8">
      <w:pPr>
        <w:tabs>
          <w:tab w:val="left" w:pos="288"/>
          <w:tab w:val="left" w:pos="4752"/>
        </w:tabs>
        <w:jc w:val="both"/>
        <w:rPr>
          <w:color w:val="auto"/>
          <w:szCs w:val="24"/>
        </w:rPr>
      </w:pPr>
    </w:p>
    <w:p w:rsidR="00A86CE5" w:rsidRPr="00347754" w:rsidRDefault="00315A1E" w:rsidP="00347754">
      <w:pPr>
        <w:jc w:val="both"/>
        <w:rPr>
          <w:color w:val="auto"/>
          <w:szCs w:val="24"/>
        </w:rPr>
      </w:pPr>
      <w:r w:rsidRPr="00536198">
        <w:rPr>
          <w:color w:val="auto"/>
          <w:szCs w:val="24"/>
        </w:rPr>
        <w:t xml:space="preserve">The Board </w:t>
      </w:r>
      <w:r w:rsidRPr="0092769E">
        <w:rPr>
          <w:rFonts w:cs="Times New Roman"/>
          <w:color w:val="auto"/>
        </w:rPr>
        <w:t>directs attention to its rating recommendation</w:t>
      </w:r>
      <w:r w:rsidRPr="00F64312">
        <w:rPr>
          <w:rFonts w:cs="Times New Roman"/>
          <w:color w:val="auto"/>
        </w:rPr>
        <w:t xml:space="preserve"> based on the above evidence.</w:t>
      </w:r>
      <w:r w:rsidR="0092769E">
        <w:rPr>
          <w:rFonts w:cs="Times New Roman"/>
          <w:color w:val="auto"/>
        </w:rPr>
        <w:t xml:space="preserve">  </w:t>
      </w:r>
      <w:r>
        <w:rPr>
          <w:rFonts w:cs="Times New Roman"/>
          <w:color w:val="auto"/>
        </w:rPr>
        <w:t>The PEB and the VA coded the back condition different</w:t>
      </w:r>
      <w:r w:rsidR="002A390E">
        <w:rPr>
          <w:rFonts w:cs="Times New Roman"/>
          <w:color w:val="auto"/>
        </w:rPr>
        <w:t>ly,</w:t>
      </w:r>
      <w:r>
        <w:rPr>
          <w:rFonts w:cs="Times New Roman"/>
          <w:color w:val="auto"/>
        </w:rPr>
        <w:t xml:space="preserve"> but this had no bearing on </w:t>
      </w:r>
      <w:r w:rsidR="002A390E">
        <w:rPr>
          <w:rFonts w:cs="Times New Roman"/>
          <w:color w:val="auto"/>
        </w:rPr>
        <w:t xml:space="preserve">the </w:t>
      </w:r>
      <w:r>
        <w:rPr>
          <w:rFonts w:cs="Times New Roman"/>
          <w:color w:val="auto"/>
        </w:rPr>
        <w:t>rating and both rated in accordance with the VASRD general</w:t>
      </w:r>
      <w:r w:rsidR="0092769E">
        <w:rPr>
          <w:rFonts w:cs="Times New Roman"/>
          <w:color w:val="auto"/>
        </w:rPr>
        <w:t xml:space="preserve"> rating formula for diseases and injuries of the spine.  Board members agreed the </w:t>
      </w:r>
      <w:r w:rsidR="00AC3462">
        <w:rPr>
          <w:rFonts w:cs="Times New Roman"/>
          <w:color w:val="auto"/>
        </w:rPr>
        <w:t>ROM</w:t>
      </w:r>
      <w:r w:rsidR="0092769E">
        <w:rPr>
          <w:rFonts w:cs="Times New Roman"/>
          <w:color w:val="auto"/>
        </w:rPr>
        <w:t xml:space="preserve"> documented in both examinations supports the 20% rating.  </w:t>
      </w:r>
      <w:r w:rsidR="0092769E" w:rsidRPr="0092769E">
        <w:rPr>
          <w:rFonts w:cs="Times New Roman"/>
          <w:color w:val="auto"/>
        </w:rPr>
        <w:t xml:space="preserve">There was no evidence of incapacitating episodes due to intervertebral disc disease that would meet the criteria for a minimum rating under the alternative formula for incapacitating episodes due to intervertebral disease.  There was no evidence of </w:t>
      </w:r>
      <w:proofErr w:type="gramStart"/>
      <w:r w:rsidR="0092769E">
        <w:rPr>
          <w:rFonts w:cs="Times New Roman"/>
          <w:color w:val="auto"/>
        </w:rPr>
        <w:t>an unfitting</w:t>
      </w:r>
      <w:proofErr w:type="gramEnd"/>
      <w:r w:rsidR="0092769E">
        <w:rPr>
          <w:rFonts w:cs="Times New Roman"/>
          <w:color w:val="auto"/>
        </w:rPr>
        <w:t xml:space="preserve"> </w:t>
      </w:r>
      <w:r w:rsidR="0092769E" w:rsidRPr="0092769E">
        <w:rPr>
          <w:rFonts w:cs="Times New Roman"/>
          <w:color w:val="auto"/>
        </w:rPr>
        <w:t>peripheral nerve impairment in this case.</w:t>
      </w:r>
      <w:r w:rsidR="0092769E">
        <w:rPr>
          <w:rFonts w:cs="Times New Roman"/>
          <w:color w:val="auto"/>
        </w:rPr>
        <w:t xml:space="preserve">  The PEB also listed associated diagnoses of lumbar </w:t>
      </w:r>
      <w:proofErr w:type="spellStart"/>
      <w:r w:rsidR="0092769E">
        <w:rPr>
          <w:rFonts w:cs="Times New Roman"/>
          <w:color w:val="auto"/>
        </w:rPr>
        <w:t>spondylosis</w:t>
      </w:r>
      <w:proofErr w:type="spellEnd"/>
      <w:r w:rsidR="0092769E">
        <w:rPr>
          <w:rFonts w:cs="Times New Roman"/>
          <w:color w:val="auto"/>
        </w:rPr>
        <w:t xml:space="preserve">, and </w:t>
      </w:r>
      <w:r w:rsidR="00B71945">
        <w:rPr>
          <w:rFonts w:cs="Times New Roman"/>
          <w:color w:val="auto"/>
        </w:rPr>
        <w:t>DDD</w:t>
      </w:r>
      <w:r w:rsidR="0092769E">
        <w:rPr>
          <w:rFonts w:cs="Times New Roman"/>
          <w:color w:val="auto"/>
        </w:rPr>
        <w:t xml:space="preserve">, the former term refers more generally to degenerative disease of the spine not limited to </w:t>
      </w:r>
      <w:r w:rsidR="00AC3462">
        <w:rPr>
          <w:rFonts w:cs="Times New Roman"/>
          <w:color w:val="auto"/>
        </w:rPr>
        <w:t>DDD</w:t>
      </w:r>
      <w:r w:rsidR="0092769E">
        <w:rPr>
          <w:rFonts w:cs="Times New Roman"/>
          <w:color w:val="auto"/>
        </w:rPr>
        <w:t>.  These are the underlying diagnoses for which the surgical fusion procedure was performed and are not separate conditions for which a rating may be assigned (</w:t>
      </w:r>
      <w:r w:rsidR="0092769E">
        <w:rPr>
          <w:color w:val="auto"/>
        </w:rPr>
        <w:t>§</w:t>
      </w:r>
      <w:r w:rsidR="0092769E">
        <w:rPr>
          <w:rFonts w:cs="Times New Roman"/>
          <w:color w:val="auto"/>
        </w:rPr>
        <w:t xml:space="preserve">4.14 avoidance of pyramiding).  </w:t>
      </w:r>
      <w:r w:rsidRPr="003A30F4">
        <w:rPr>
          <w:color w:val="auto"/>
        </w:rPr>
        <w:t>After due deliberation, considering all of the evidence and mindful of VASRD §4.3 (reasonable doubt), the Board concluded that there was insufficient</w:t>
      </w:r>
      <w:r w:rsidRPr="00F64312">
        <w:rPr>
          <w:rFonts w:eastAsia="Calibri" w:cs="Times New Roman"/>
          <w:color w:val="auto"/>
          <w:szCs w:val="24"/>
        </w:rPr>
        <w:t xml:space="preserve"> cause to recommend a change in the PEB adjudication for the</w:t>
      </w:r>
      <w:r w:rsidR="00B71945">
        <w:rPr>
          <w:rFonts w:eastAsia="Calibri" w:cs="Times New Roman"/>
          <w:color w:val="auto"/>
          <w:szCs w:val="24"/>
        </w:rPr>
        <w:t xml:space="preserve"> chronic back pain with DDD</w:t>
      </w:r>
      <w:r>
        <w:rPr>
          <w:rFonts w:eastAsia="Calibri" w:cs="Times New Roman"/>
          <w:color w:val="auto"/>
          <w:szCs w:val="24"/>
        </w:rPr>
        <w:t xml:space="preserve"> </w:t>
      </w:r>
      <w:r w:rsidRPr="00F64312">
        <w:rPr>
          <w:rFonts w:eastAsia="Calibri" w:cs="Times New Roman"/>
          <w:color w:val="auto"/>
          <w:szCs w:val="24"/>
        </w:rPr>
        <w:t xml:space="preserve">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052593">
        <w:rPr>
          <w:color w:val="auto"/>
          <w:u w:val="single"/>
        </w:rPr>
        <w:t>BOARD FINDINGS</w:t>
      </w:r>
      <w:r w:rsidRPr="00052593">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52593">
        <w:rPr>
          <w:rFonts w:cs="Times New Roman"/>
          <w:color w:val="auto"/>
        </w:rPr>
        <w:t>.</w:t>
      </w:r>
      <w:r w:rsidR="006B690F" w:rsidRPr="00052593">
        <w:rPr>
          <w:rFonts w:cs="Times New Roman"/>
          <w:color w:val="auto"/>
        </w:rPr>
        <w:t xml:space="preserve">  </w:t>
      </w:r>
      <w:r w:rsidRPr="00052593">
        <w:rPr>
          <w:rFonts w:cs="Times New Roman"/>
          <w:color w:val="auto"/>
        </w:rPr>
        <w:t>The Board did not surmise from the record or PEB ruling in this case that any prerogatives outside the VASRD were exercised.</w:t>
      </w:r>
      <w:r w:rsidR="00052593" w:rsidRPr="00052593">
        <w:rPr>
          <w:rFonts w:cs="Times New Roman"/>
          <w:color w:val="auto"/>
        </w:rPr>
        <w:t xml:space="preserve">  </w:t>
      </w:r>
      <w:r w:rsidR="00560F12" w:rsidRPr="00052593">
        <w:rPr>
          <w:rFonts w:eastAsia="Calibri" w:cs="Times New Roman"/>
          <w:color w:val="auto"/>
          <w:szCs w:val="24"/>
        </w:rPr>
        <w:t xml:space="preserve">In the matter of the </w:t>
      </w:r>
      <w:r w:rsidR="00A86CE5">
        <w:rPr>
          <w:rFonts w:eastAsia="Calibri" w:cs="Times New Roman"/>
          <w:color w:val="auto"/>
          <w:szCs w:val="24"/>
        </w:rPr>
        <w:t>l</w:t>
      </w:r>
      <w:r w:rsidR="00632F76" w:rsidRPr="00052593">
        <w:rPr>
          <w:rFonts w:eastAsia="Calibri" w:cs="Times New Roman"/>
          <w:color w:val="auto"/>
          <w:szCs w:val="24"/>
        </w:rPr>
        <w:t>umbar fusion</w:t>
      </w:r>
      <w:r w:rsidR="00560F12" w:rsidRPr="00052593">
        <w:rPr>
          <w:rFonts w:eastAsia="Calibri" w:cs="Times New Roman"/>
          <w:color w:val="auto"/>
          <w:szCs w:val="24"/>
        </w:rPr>
        <w:t xml:space="preserve"> and IAW VASRD §4.71a, the Board </w:t>
      </w:r>
      <w:r w:rsidR="00560F12" w:rsidRPr="0039463B">
        <w:rPr>
          <w:rFonts w:eastAsia="Calibri" w:cs="Times New Roman"/>
          <w:color w:val="auto"/>
          <w:szCs w:val="24"/>
        </w:rPr>
        <w:t>unanimously</w:t>
      </w:r>
      <w:r w:rsidR="00560F12" w:rsidRPr="00052593">
        <w:rPr>
          <w:rFonts w:eastAsia="Calibri" w:cs="Times New Roman"/>
          <w:color w:val="auto"/>
          <w:szCs w:val="24"/>
        </w:rPr>
        <w:t xml:space="preserve"> recommends no change in the PEB adjudication.</w:t>
      </w:r>
      <w:r w:rsidR="00525B20">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525B20" w:rsidRDefault="00525B20">
      <w:pPr>
        <w:spacing w:line="240" w:lineRule="auto"/>
        <w:jc w:val="left"/>
        <w:rPr>
          <w:color w:val="auto"/>
          <w:highlight w:val="magenta"/>
        </w:rPr>
      </w:pPr>
      <w:r>
        <w:rPr>
          <w:color w:val="auto"/>
          <w:highlight w:val="magenta"/>
        </w:rPr>
        <w:br w:type="page"/>
      </w: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632F76" w:rsidP="00632F76">
            <w:pPr>
              <w:tabs>
                <w:tab w:val="left" w:pos="288"/>
                <w:tab w:val="left" w:pos="4752"/>
              </w:tabs>
              <w:jc w:val="left"/>
              <w:rPr>
                <w:color w:val="auto"/>
              </w:rPr>
            </w:pPr>
            <w:r>
              <w:rPr>
                <w:color w:val="auto"/>
              </w:rPr>
              <w:t xml:space="preserve">Lumbar Fusion </w:t>
            </w:r>
          </w:p>
        </w:tc>
        <w:tc>
          <w:tcPr>
            <w:tcW w:w="1530" w:type="dxa"/>
            <w:vAlign w:val="center"/>
          </w:tcPr>
          <w:p w:rsidR="00AD2379" w:rsidRPr="001025E9" w:rsidRDefault="00632F76" w:rsidP="006B690F">
            <w:pPr>
              <w:tabs>
                <w:tab w:val="left" w:pos="288"/>
                <w:tab w:val="left" w:pos="4752"/>
              </w:tabs>
              <w:rPr>
                <w:color w:val="auto"/>
              </w:rPr>
            </w:pPr>
            <w:r w:rsidRPr="001025E9">
              <w:rPr>
                <w:color w:val="auto"/>
              </w:rPr>
              <w:t>5242-5241</w:t>
            </w:r>
          </w:p>
        </w:tc>
        <w:tc>
          <w:tcPr>
            <w:tcW w:w="1026" w:type="dxa"/>
            <w:vAlign w:val="center"/>
          </w:tcPr>
          <w:p w:rsidR="00AD2379" w:rsidRPr="001025E9" w:rsidRDefault="00632F76" w:rsidP="00632F76">
            <w:pPr>
              <w:tabs>
                <w:tab w:val="left" w:pos="288"/>
                <w:tab w:val="left" w:pos="4752"/>
              </w:tabs>
              <w:rPr>
                <w:color w:val="auto"/>
              </w:rPr>
            </w:pPr>
            <w:r w:rsidRPr="001025E9">
              <w:rPr>
                <w:color w:val="auto"/>
              </w:rPr>
              <w:t>2</w:t>
            </w:r>
            <w:r w:rsidR="00AD2379" w:rsidRPr="001025E9">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025E9" w:rsidRDefault="00AD2379" w:rsidP="006B690F">
            <w:pPr>
              <w:tabs>
                <w:tab w:val="left" w:pos="288"/>
                <w:tab w:val="left" w:pos="4752"/>
              </w:tabs>
              <w:rPr>
                <w:b/>
                <w:color w:val="auto"/>
              </w:rPr>
            </w:pPr>
            <w:r w:rsidRPr="001025E9">
              <w:rPr>
                <w:b/>
                <w:color w:val="auto"/>
              </w:rPr>
              <w:t>COMBINED</w:t>
            </w:r>
          </w:p>
        </w:tc>
        <w:tc>
          <w:tcPr>
            <w:tcW w:w="1026" w:type="dxa"/>
            <w:shd w:val="clear" w:color="auto" w:fill="D9D9D9"/>
            <w:vAlign w:val="center"/>
          </w:tcPr>
          <w:p w:rsidR="00AD2379" w:rsidRPr="001025E9" w:rsidRDefault="00632F76" w:rsidP="00632F76">
            <w:pPr>
              <w:tabs>
                <w:tab w:val="left" w:pos="288"/>
                <w:tab w:val="left" w:pos="4752"/>
              </w:tabs>
              <w:rPr>
                <w:b/>
                <w:color w:val="auto"/>
              </w:rPr>
            </w:pPr>
            <w:r w:rsidRPr="001025E9">
              <w:rPr>
                <w:b/>
                <w:color w:val="auto"/>
              </w:rPr>
              <w:t>2</w:t>
            </w:r>
            <w:r w:rsidR="00AD2379" w:rsidRPr="001025E9">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C7D22">
        <w:rPr>
          <w:color w:val="auto"/>
        </w:rPr>
        <w:t>20</w:t>
      </w:r>
      <w:r w:rsidR="002C7D22" w:rsidRPr="002C7D22">
        <w:rPr>
          <w:color w:val="auto"/>
        </w:rPr>
        <w:t>120228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5D40EC">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D40EC" w:rsidRDefault="00AD2379" w:rsidP="00BF0E94">
      <w:pPr>
        <w:tabs>
          <w:tab w:val="left" w:pos="0"/>
          <w:tab w:val="left" w:pos="4320"/>
        </w:tabs>
        <w:jc w:val="both"/>
        <w:rPr>
          <w:color w:val="auto"/>
        </w:rPr>
      </w:pPr>
      <w:r w:rsidRPr="00F64312">
        <w:rPr>
          <w:color w:val="auto"/>
        </w:rPr>
        <w:tab/>
        <w:t xml:space="preserve">           Physical Disability Board of Review</w:t>
      </w:r>
    </w:p>
    <w:p w:rsidR="005D40EC" w:rsidRDefault="005D40EC">
      <w:pPr>
        <w:spacing w:line="240" w:lineRule="auto"/>
        <w:jc w:val="left"/>
        <w:rPr>
          <w:color w:val="auto"/>
        </w:rPr>
      </w:pPr>
      <w:r>
        <w:rPr>
          <w:color w:val="auto"/>
        </w:rPr>
        <w:br w:type="page"/>
      </w:r>
    </w:p>
    <w:p w:rsidR="005D40EC" w:rsidRDefault="005D40EC" w:rsidP="005D40EC">
      <w:pPr>
        <w:tabs>
          <w:tab w:val="left" w:pos="0"/>
          <w:tab w:val="left" w:pos="4320"/>
        </w:tabs>
        <w:jc w:val="both"/>
        <w:rPr>
          <w:color w:val="auto"/>
        </w:rPr>
      </w:pPr>
      <w:r>
        <w:rPr>
          <w:color w:val="auto"/>
        </w:rPr>
        <w:lastRenderedPageBreak/>
        <w:t xml:space="preserve">MEMORANDUM FOR DIRECTOR, SECRETARY OF THE NAVY COUNCIL OF REVIEW       </w:t>
      </w:r>
    </w:p>
    <w:p w:rsidR="005D40EC" w:rsidRDefault="005D40EC" w:rsidP="005D40EC">
      <w:pPr>
        <w:tabs>
          <w:tab w:val="left" w:pos="0"/>
          <w:tab w:val="left" w:pos="4320"/>
        </w:tabs>
        <w:jc w:val="both"/>
        <w:rPr>
          <w:color w:val="auto"/>
        </w:rPr>
      </w:pPr>
      <w:r>
        <w:rPr>
          <w:color w:val="auto"/>
        </w:rPr>
        <w:t xml:space="preserve">               BOARDS </w:t>
      </w:r>
    </w:p>
    <w:p w:rsidR="005D40EC" w:rsidRDefault="005D40EC" w:rsidP="005D40EC">
      <w:pPr>
        <w:tabs>
          <w:tab w:val="left" w:pos="0"/>
          <w:tab w:val="left" w:pos="4320"/>
        </w:tabs>
        <w:jc w:val="both"/>
        <w:rPr>
          <w:color w:val="000000"/>
          <w:szCs w:val="24"/>
        </w:rPr>
      </w:pPr>
    </w:p>
    <w:p w:rsidR="005D40EC" w:rsidRDefault="005D40EC" w:rsidP="005D40EC">
      <w:pPr>
        <w:tabs>
          <w:tab w:val="left" w:pos="0"/>
          <w:tab w:val="left" w:pos="4320"/>
        </w:tabs>
        <w:jc w:val="both"/>
        <w:rPr>
          <w:color w:val="auto"/>
        </w:rPr>
      </w:pPr>
      <w:proofErr w:type="spellStart"/>
      <w:r>
        <w:rPr>
          <w:color w:val="auto"/>
        </w:rPr>
        <w:t>Subj</w:t>
      </w:r>
      <w:proofErr w:type="spellEnd"/>
      <w:r>
        <w:rPr>
          <w:color w:val="auto"/>
        </w:rPr>
        <w:t>:  PHYSICAL DISABILITY BOARD OF REVIEW (PDBR) RECOMMENDATIONS</w:t>
      </w:r>
    </w:p>
    <w:p w:rsidR="005D40EC" w:rsidRDefault="005D40EC" w:rsidP="005D40EC">
      <w:pPr>
        <w:tabs>
          <w:tab w:val="left" w:pos="0"/>
          <w:tab w:val="left" w:pos="4320"/>
        </w:tabs>
        <w:jc w:val="both"/>
        <w:rPr>
          <w:color w:val="000000"/>
          <w:szCs w:val="24"/>
        </w:rPr>
      </w:pPr>
    </w:p>
    <w:p w:rsidR="005D40EC" w:rsidRDefault="005D40EC" w:rsidP="005D40EC">
      <w:pPr>
        <w:tabs>
          <w:tab w:val="left" w:pos="0"/>
          <w:tab w:val="left" w:pos="4320"/>
        </w:tabs>
        <w:jc w:val="both"/>
        <w:rPr>
          <w:color w:val="auto"/>
        </w:rPr>
      </w:pPr>
      <w:r>
        <w:rPr>
          <w:color w:val="auto"/>
        </w:rPr>
        <w:t xml:space="preserve">Ref:   (a) </w:t>
      </w:r>
      <w:proofErr w:type="spellStart"/>
      <w:r>
        <w:rPr>
          <w:color w:val="auto"/>
        </w:rPr>
        <w:t>DoDI</w:t>
      </w:r>
      <w:proofErr w:type="spellEnd"/>
      <w:r>
        <w:rPr>
          <w:color w:val="auto"/>
        </w:rPr>
        <w:t xml:space="preserve"> 6040.44</w:t>
      </w:r>
    </w:p>
    <w:p w:rsidR="005D40EC" w:rsidRDefault="005D40EC" w:rsidP="005D40EC">
      <w:pPr>
        <w:tabs>
          <w:tab w:val="left" w:pos="0"/>
          <w:tab w:val="left" w:pos="4320"/>
        </w:tabs>
        <w:jc w:val="both"/>
        <w:rPr>
          <w:color w:val="auto"/>
        </w:rPr>
      </w:pPr>
      <w:r>
        <w:rPr>
          <w:color w:val="auto"/>
        </w:rPr>
        <w:t xml:space="preserve">           (b) CORB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16 Aug 12</w:t>
      </w:r>
    </w:p>
    <w:p w:rsidR="005D40EC" w:rsidRDefault="005D40EC" w:rsidP="005D40EC">
      <w:pPr>
        <w:tabs>
          <w:tab w:val="left" w:pos="0"/>
          <w:tab w:val="left" w:pos="4320"/>
        </w:tabs>
        <w:jc w:val="both"/>
        <w:rPr>
          <w:color w:val="000000"/>
          <w:szCs w:val="24"/>
        </w:rPr>
      </w:pPr>
    </w:p>
    <w:p w:rsidR="005D40EC" w:rsidRDefault="005D40EC" w:rsidP="005D40EC">
      <w:pPr>
        <w:tabs>
          <w:tab w:val="left" w:pos="0"/>
          <w:tab w:val="left" w:pos="4320"/>
        </w:tabs>
        <w:jc w:val="both"/>
        <w:rPr>
          <w:color w:val="auto"/>
        </w:rPr>
      </w:pPr>
      <w:r>
        <w:rPr>
          <w:color w:val="auto"/>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 Physical Evaluation Board:</w:t>
      </w:r>
    </w:p>
    <w:p w:rsidR="005D40EC" w:rsidRDefault="005D40EC" w:rsidP="005D40EC">
      <w:pPr>
        <w:tabs>
          <w:tab w:val="left" w:pos="0"/>
          <w:tab w:val="left" w:pos="4320"/>
        </w:tabs>
        <w:jc w:val="both"/>
        <w:rPr>
          <w:color w:val="000000"/>
          <w:szCs w:val="24"/>
        </w:rPr>
      </w:pPr>
    </w:p>
    <w:p w:rsidR="005D40EC" w:rsidRDefault="005D40EC" w:rsidP="005D40EC">
      <w:pPr>
        <w:numPr>
          <w:ilvl w:val="0"/>
          <w:numId w:val="23"/>
        </w:numPr>
        <w:tabs>
          <w:tab w:val="left" w:pos="0"/>
          <w:tab w:val="left" w:pos="4320"/>
        </w:tabs>
        <w:jc w:val="both"/>
        <w:rPr>
          <w:color w:val="auto"/>
        </w:rPr>
      </w:pPr>
      <w:r>
        <w:rPr>
          <w:color w:val="auto"/>
        </w:rPr>
        <w:t>former USMC</w:t>
      </w:r>
    </w:p>
    <w:p w:rsidR="005D40EC" w:rsidRDefault="005D40EC" w:rsidP="005D40EC">
      <w:pPr>
        <w:numPr>
          <w:ilvl w:val="0"/>
          <w:numId w:val="23"/>
        </w:numPr>
        <w:tabs>
          <w:tab w:val="left" w:pos="0"/>
          <w:tab w:val="left" w:pos="4320"/>
        </w:tabs>
        <w:jc w:val="both"/>
        <w:rPr>
          <w:color w:val="auto"/>
        </w:rPr>
      </w:pPr>
      <w:r>
        <w:rPr>
          <w:color w:val="auto"/>
        </w:rPr>
        <w:t>former USN</w:t>
      </w:r>
    </w:p>
    <w:p w:rsidR="005D40EC" w:rsidRDefault="005D40EC" w:rsidP="005D40EC">
      <w:pPr>
        <w:numPr>
          <w:ilvl w:val="0"/>
          <w:numId w:val="23"/>
        </w:numPr>
        <w:tabs>
          <w:tab w:val="left" w:pos="0"/>
          <w:tab w:val="left" w:pos="4320"/>
        </w:tabs>
        <w:jc w:val="both"/>
        <w:rPr>
          <w:color w:val="auto"/>
        </w:rPr>
      </w:pPr>
      <w:r>
        <w:rPr>
          <w:color w:val="auto"/>
        </w:rPr>
        <w:t xml:space="preserve">former USN </w:t>
      </w:r>
    </w:p>
    <w:p w:rsidR="005D40EC" w:rsidRDefault="005D40EC" w:rsidP="005D40EC">
      <w:pPr>
        <w:numPr>
          <w:ilvl w:val="0"/>
          <w:numId w:val="23"/>
        </w:numPr>
        <w:tabs>
          <w:tab w:val="left" w:pos="0"/>
          <w:tab w:val="left" w:pos="4320"/>
        </w:tabs>
        <w:jc w:val="both"/>
        <w:rPr>
          <w:color w:val="auto"/>
        </w:rPr>
      </w:pPr>
      <w:r>
        <w:rPr>
          <w:color w:val="auto"/>
        </w:rPr>
        <w:t xml:space="preserve">former USN </w:t>
      </w:r>
    </w:p>
    <w:p w:rsidR="005D40EC" w:rsidRDefault="005D40EC" w:rsidP="005D40EC">
      <w:pPr>
        <w:numPr>
          <w:ilvl w:val="0"/>
          <w:numId w:val="23"/>
        </w:numPr>
        <w:tabs>
          <w:tab w:val="left" w:pos="0"/>
          <w:tab w:val="left" w:pos="4320"/>
        </w:tabs>
        <w:jc w:val="both"/>
        <w:rPr>
          <w:color w:val="auto"/>
        </w:rPr>
      </w:pPr>
      <w:r>
        <w:rPr>
          <w:color w:val="auto"/>
        </w:rPr>
        <w:t>former USMC</w:t>
      </w:r>
    </w:p>
    <w:p w:rsidR="005D40EC" w:rsidRDefault="005D40EC" w:rsidP="005D40EC">
      <w:pPr>
        <w:numPr>
          <w:ilvl w:val="0"/>
          <w:numId w:val="23"/>
        </w:numPr>
        <w:tabs>
          <w:tab w:val="left" w:pos="0"/>
          <w:tab w:val="left" w:pos="4320"/>
        </w:tabs>
        <w:jc w:val="both"/>
        <w:rPr>
          <w:color w:val="auto"/>
        </w:rPr>
      </w:pPr>
      <w:r>
        <w:rPr>
          <w:color w:val="auto"/>
        </w:rPr>
        <w:t xml:space="preserve">former USN </w:t>
      </w:r>
    </w:p>
    <w:p w:rsidR="005D40EC" w:rsidRDefault="005D40EC" w:rsidP="005D40EC">
      <w:pPr>
        <w:tabs>
          <w:tab w:val="left" w:pos="0"/>
          <w:tab w:val="left" w:pos="4320"/>
        </w:tabs>
        <w:jc w:val="both"/>
        <w:rPr>
          <w:color w:val="auto"/>
        </w:rPr>
      </w:pPr>
      <w:r>
        <w:rPr>
          <w:color w:val="auto"/>
        </w:rPr>
        <w:t xml:space="preserve">    </w:t>
      </w:r>
    </w:p>
    <w:p w:rsidR="005D40EC" w:rsidRDefault="005D40EC" w:rsidP="005D40EC">
      <w:pPr>
        <w:tabs>
          <w:tab w:val="left" w:pos="0"/>
          <w:tab w:val="left" w:pos="4320"/>
        </w:tabs>
        <w:jc w:val="both"/>
        <w:rPr>
          <w:color w:val="000000"/>
          <w:szCs w:val="24"/>
        </w:rPr>
      </w:pPr>
    </w:p>
    <w:p w:rsidR="005D40EC" w:rsidRDefault="005D40EC" w:rsidP="005D40EC">
      <w:pPr>
        <w:tabs>
          <w:tab w:val="left" w:pos="0"/>
          <w:tab w:val="left" w:pos="4320"/>
        </w:tabs>
        <w:jc w:val="both"/>
        <w:rPr>
          <w:color w:val="000000"/>
          <w:szCs w:val="24"/>
        </w:rPr>
      </w:pPr>
    </w:p>
    <w:p w:rsidR="005D40EC" w:rsidRDefault="005D40EC" w:rsidP="005D40EC">
      <w:pPr>
        <w:tabs>
          <w:tab w:val="left" w:pos="0"/>
          <w:tab w:val="left" w:pos="4320"/>
        </w:tabs>
        <w:jc w:val="both"/>
        <w:rPr>
          <w:color w:val="000000"/>
          <w:szCs w:val="24"/>
        </w:rPr>
      </w:pPr>
      <w:r>
        <w:rPr>
          <w:color w:val="auto"/>
          <w:szCs w:val="24"/>
        </w:rPr>
        <w:tab/>
      </w:r>
      <w:r>
        <w:rPr>
          <w:color w:val="000000"/>
          <w:szCs w:val="24"/>
        </w:rPr>
        <w:t xml:space="preserve"> </w:t>
      </w:r>
    </w:p>
    <w:p w:rsidR="005D40EC" w:rsidRDefault="005D40EC" w:rsidP="005D40EC">
      <w:pPr>
        <w:tabs>
          <w:tab w:val="left" w:pos="0"/>
          <w:tab w:val="left" w:pos="4320"/>
        </w:tabs>
        <w:jc w:val="both"/>
        <w:rPr>
          <w:color w:val="auto"/>
        </w:rPr>
      </w:pPr>
      <w:r>
        <w:rPr>
          <w:color w:val="auto"/>
          <w:szCs w:val="24"/>
        </w:rPr>
        <w:tab/>
      </w:r>
      <w:r>
        <w:rPr>
          <w:color w:val="auto"/>
        </w:rPr>
        <w:t>Assistant General Counsel</w:t>
      </w:r>
    </w:p>
    <w:p w:rsidR="005D40EC" w:rsidRDefault="005D40EC" w:rsidP="005D40EC">
      <w:pPr>
        <w:tabs>
          <w:tab w:val="left" w:pos="0"/>
          <w:tab w:val="left" w:pos="4320"/>
        </w:tabs>
        <w:jc w:val="both"/>
        <w:rPr>
          <w:color w:val="auto"/>
        </w:rPr>
      </w:pPr>
      <w:r>
        <w:rPr>
          <w:color w:val="auto"/>
          <w:szCs w:val="24"/>
        </w:rPr>
        <w:tab/>
      </w:r>
      <w:r>
        <w:rPr>
          <w:color w:val="auto"/>
        </w:rPr>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Pr="00F64312" w:rsidRDefault="00DF3B06" w:rsidP="00BF0E94">
      <w:pPr>
        <w:tabs>
          <w:tab w:val="left" w:pos="0"/>
          <w:tab w:val="left" w:pos="4320"/>
        </w:tabs>
        <w:jc w:val="both"/>
        <w:rPr>
          <w:color w:val="auto"/>
        </w:rPr>
      </w:pPr>
    </w:p>
    <w:sectPr w:rsidR="00DF3B06" w:rsidRPr="00F64312"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83" w:rsidRDefault="00EB0E83">
      <w:r>
        <w:separator/>
      </w:r>
    </w:p>
  </w:endnote>
  <w:endnote w:type="continuationSeparator" w:id="0">
    <w:p w:rsidR="00EB0E83" w:rsidRDefault="00E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58" w:rsidRPr="00374247" w:rsidRDefault="00DD5558" w:rsidP="00726F84">
    <w:pPr>
      <w:pStyle w:val="Footer"/>
      <w:ind w:firstLine="4320"/>
      <w:rPr>
        <w:color w:val="auto"/>
      </w:rPr>
    </w:pPr>
    <w:r w:rsidRPr="00374247">
      <w:rPr>
        <w:color w:val="auto"/>
      </w:rPr>
      <w:t xml:space="preserve">   </w:t>
    </w:r>
    <w:r w:rsidR="00EB0E83">
      <w:fldChar w:fldCharType="begin"/>
    </w:r>
    <w:r w:rsidR="00EB0E83">
      <w:instrText xml:space="preserve"> PAGE   \* MERGEFORMAT </w:instrText>
    </w:r>
    <w:r w:rsidR="00EB0E83">
      <w:fldChar w:fldCharType="separate"/>
    </w:r>
    <w:r w:rsidR="005D40EC" w:rsidRPr="005D40EC">
      <w:rPr>
        <w:noProof/>
        <w:color w:val="auto"/>
      </w:rPr>
      <w:t>5</w:t>
    </w:r>
    <w:r w:rsidR="00EB0E83">
      <w:rPr>
        <w:noProof/>
        <w:color w:val="auto"/>
      </w:rPr>
      <w:fldChar w:fldCharType="end"/>
    </w:r>
    <w:r w:rsidRPr="00374247">
      <w:rPr>
        <w:color w:val="auto"/>
      </w:rPr>
      <w:t xml:space="preserve">                                                           </w:t>
    </w:r>
    <w:r w:rsidR="00A81A4A" w:rsidRPr="002C7D22">
      <w:rPr>
        <w:color w:val="auto"/>
      </w:rPr>
      <w:t>PD</w:t>
    </w:r>
    <w:r w:rsidRPr="002C7D22">
      <w:rPr>
        <w:color w:val="auto"/>
      </w:rPr>
      <w:t>12-00</w:t>
    </w:r>
    <w:r w:rsidR="00A81A4A" w:rsidRPr="002C7D22">
      <w:rPr>
        <w:color w:val="auto"/>
      </w:rPr>
      <w:t>226</w:t>
    </w:r>
  </w:p>
  <w:p w:rsidR="00DD5558" w:rsidRPr="00684CE6" w:rsidRDefault="00DD555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83" w:rsidRDefault="00EB0E83">
      <w:r>
        <w:separator/>
      </w:r>
    </w:p>
  </w:footnote>
  <w:footnote w:type="continuationSeparator" w:id="0">
    <w:p w:rsidR="00EB0E83" w:rsidRDefault="00EB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4D02C03"/>
    <w:multiLevelType w:val="hybridMultilevel"/>
    <w:tmpl w:val="451A4B46"/>
    <w:lvl w:ilvl="0" w:tplc="C87A9854">
      <w:start w:val="2"/>
      <w:numFmt w:val="bullet"/>
      <w:lvlText w:val="-"/>
      <w:lvlJc w:val="left"/>
      <w:pPr>
        <w:ind w:left="900" w:hanging="360"/>
      </w:pPr>
      <w:rPr>
        <w:rFonts w:ascii="Courier New" w:eastAsia="Times New Roman"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2A6"/>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2593"/>
    <w:rsid w:val="00053D7C"/>
    <w:rsid w:val="000547DF"/>
    <w:rsid w:val="000575C5"/>
    <w:rsid w:val="000577C9"/>
    <w:rsid w:val="00060C18"/>
    <w:rsid w:val="00060FFD"/>
    <w:rsid w:val="00061D69"/>
    <w:rsid w:val="00063BE5"/>
    <w:rsid w:val="0006431E"/>
    <w:rsid w:val="000647B0"/>
    <w:rsid w:val="000652EA"/>
    <w:rsid w:val="00065814"/>
    <w:rsid w:val="00065E21"/>
    <w:rsid w:val="000672CA"/>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73A"/>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5ADF"/>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5E9"/>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53F"/>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1D9"/>
    <w:rsid w:val="00153740"/>
    <w:rsid w:val="001537D8"/>
    <w:rsid w:val="00153D88"/>
    <w:rsid w:val="001541C5"/>
    <w:rsid w:val="001554E4"/>
    <w:rsid w:val="0015623F"/>
    <w:rsid w:val="00156585"/>
    <w:rsid w:val="00156BA9"/>
    <w:rsid w:val="00161642"/>
    <w:rsid w:val="00161761"/>
    <w:rsid w:val="0016219F"/>
    <w:rsid w:val="00164413"/>
    <w:rsid w:val="001657BE"/>
    <w:rsid w:val="00165C7B"/>
    <w:rsid w:val="00166182"/>
    <w:rsid w:val="0017038B"/>
    <w:rsid w:val="00170C94"/>
    <w:rsid w:val="0017139A"/>
    <w:rsid w:val="0017172C"/>
    <w:rsid w:val="001724C8"/>
    <w:rsid w:val="001726BA"/>
    <w:rsid w:val="001732C4"/>
    <w:rsid w:val="001733DC"/>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4FC1"/>
    <w:rsid w:val="001D64F3"/>
    <w:rsid w:val="001D68CF"/>
    <w:rsid w:val="001D6A8C"/>
    <w:rsid w:val="001D7A56"/>
    <w:rsid w:val="001E0054"/>
    <w:rsid w:val="001E0291"/>
    <w:rsid w:val="001E15C0"/>
    <w:rsid w:val="001E18E0"/>
    <w:rsid w:val="001E18E2"/>
    <w:rsid w:val="001E19D0"/>
    <w:rsid w:val="001E2A30"/>
    <w:rsid w:val="001E2FF1"/>
    <w:rsid w:val="001E3ADE"/>
    <w:rsid w:val="001E3FE1"/>
    <w:rsid w:val="001E41FE"/>
    <w:rsid w:val="001E4989"/>
    <w:rsid w:val="001E635C"/>
    <w:rsid w:val="001F003A"/>
    <w:rsid w:val="001F0297"/>
    <w:rsid w:val="001F29F9"/>
    <w:rsid w:val="001F444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D96"/>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390E"/>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D96"/>
    <w:rsid w:val="002C6E5B"/>
    <w:rsid w:val="002C7D22"/>
    <w:rsid w:val="002D08F3"/>
    <w:rsid w:val="002D18B4"/>
    <w:rsid w:val="002D2058"/>
    <w:rsid w:val="002D231A"/>
    <w:rsid w:val="002D5330"/>
    <w:rsid w:val="002D56AA"/>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A1E"/>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3A3"/>
    <w:rsid w:val="0033555E"/>
    <w:rsid w:val="0033601F"/>
    <w:rsid w:val="00336805"/>
    <w:rsid w:val="00337351"/>
    <w:rsid w:val="00341A54"/>
    <w:rsid w:val="00344A4F"/>
    <w:rsid w:val="00344D17"/>
    <w:rsid w:val="0034669F"/>
    <w:rsid w:val="003470C4"/>
    <w:rsid w:val="00347754"/>
    <w:rsid w:val="00347D0D"/>
    <w:rsid w:val="00351498"/>
    <w:rsid w:val="00352B22"/>
    <w:rsid w:val="00352CBF"/>
    <w:rsid w:val="003534DC"/>
    <w:rsid w:val="003543BB"/>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63B"/>
    <w:rsid w:val="00394926"/>
    <w:rsid w:val="00394FF9"/>
    <w:rsid w:val="00395651"/>
    <w:rsid w:val="00395E12"/>
    <w:rsid w:val="003962A8"/>
    <w:rsid w:val="00396779"/>
    <w:rsid w:val="00397AA8"/>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5F2"/>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E8F"/>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6C26"/>
    <w:rsid w:val="00427C7F"/>
    <w:rsid w:val="00427F54"/>
    <w:rsid w:val="004306E0"/>
    <w:rsid w:val="004316FD"/>
    <w:rsid w:val="00433F36"/>
    <w:rsid w:val="00434694"/>
    <w:rsid w:val="00434860"/>
    <w:rsid w:val="00434BBD"/>
    <w:rsid w:val="0043503A"/>
    <w:rsid w:val="00437B8A"/>
    <w:rsid w:val="00437D18"/>
    <w:rsid w:val="00437D77"/>
    <w:rsid w:val="004407B1"/>
    <w:rsid w:val="00441D99"/>
    <w:rsid w:val="00442609"/>
    <w:rsid w:val="004429D9"/>
    <w:rsid w:val="004435BE"/>
    <w:rsid w:val="0044384F"/>
    <w:rsid w:val="0044411E"/>
    <w:rsid w:val="00444472"/>
    <w:rsid w:val="00444B93"/>
    <w:rsid w:val="00444F80"/>
    <w:rsid w:val="00445599"/>
    <w:rsid w:val="00446018"/>
    <w:rsid w:val="004471E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748"/>
    <w:rsid w:val="00462F68"/>
    <w:rsid w:val="00463478"/>
    <w:rsid w:val="0046369B"/>
    <w:rsid w:val="00463781"/>
    <w:rsid w:val="004640E9"/>
    <w:rsid w:val="00464744"/>
    <w:rsid w:val="004647EB"/>
    <w:rsid w:val="00464A4E"/>
    <w:rsid w:val="00465230"/>
    <w:rsid w:val="00466557"/>
    <w:rsid w:val="00466CED"/>
    <w:rsid w:val="00466EB5"/>
    <w:rsid w:val="00467592"/>
    <w:rsid w:val="00467690"/>
    <w:rsid w:val="00467A14"/>
    <w:rsid w:val="004718E7"/>
    <w:rsid w:val="00472289"/>
    <w:rsid w:val="00472535"/>
    <w:rsid w:val="00472C97"/>
    <w:rsid w:val="00472D4A"/>
    <w:rsid w:val="0047570F"/>
    <w:rsid w:val="004761CC"/>
    <w:rsid w:val="00476229"/>
    <w:rsid w:val="004766C9"/>
    <w:rsid w:val="0047695C"/>
    <w:rsid w:val="004775D5"/>
    <w:rsid w:val="00480D4A"/>
    <w:rsid w:val="004815C2"/>
    <w:rsid w:val="00481DA1"/>
    <w:rsid w:val="00483A2B"/>
    <w:rsid w:val="00484212"/>
    <w:rsid w:val="004848C3"/>
    <w:rsid w:val="00484BA9"/>
    <w:rsid w:val="0048599A"/>
    <w:rsid w:val="004860A0"/>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D77F4"/>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5B20"/>
    <w:rsid w:val="00526503"/>
    <w:rsid w:val="00526591"/>
    <w:rsid w:val="00527178"/>
    <w:rsid w:val="00527618"/>
    <w:rsid w:val="005278CB"/>
    <w:rsid w:val="00530388"/>
    <w:rsid w:val="00531DA0"/>
    <w:rsid w:val="00532187"/>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573DD"/>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0EC"/>
    <w:rsid w:val="0058417C"/>
    <w:rsid w:val="005854F9"/>
    <w:rsid w:val="00586EC6"/>
    <w:rsid w:val="00587DDE"/>
    <w:rsid w:val="00593043"/>
    <w:rsid w:val="00595B60"/>
    <w:rsid w:val="00595B63"/>
    <w:rsid w:val="00595BF0"/>
    <w:rsid w:val="00596645"/>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3BD3"/>
    <w:rsid w:val="005C4D72"/>
    <w:rsid w:val="005C50C1"/>
    <w:rsid w:val="005C62C2"/>
    <w:rsid w:val="005D0ABC"/>
    <w:rsid w:val="005D2306"/>
    <w:rsid w:val="005D2562"/>
    <w:rsid w:val="005D2666"/>
    <w:rsid w:val="005D40EC"/>
    <w:rsid w:val="005D4548"/>
    <w:rsid w:val="005D4A74"/>
    <w:rsid w:val="005D519F"/>
    <w:rsid w:val="005D5E91"/>
    <w:rsid w:val="005D67EF"/>
    <w:rsid w:val="005E1416"/>
    <w:rsid w:val="005E1D77"/>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184F"/>
    <w:rsid w:val="0062359D"/>
    <w:rsid w:val="006235F5"/>
    <w:rsid w:val="00623634"/>
    <w:rsid w:val="00624D0C"/>
    <w:rsid w:val="00626902"/>
    <w:rsid w:val="00626A0F"/>
    <w:rsid w:val="006274B4"/>
    <w:rsid w:val="006307BA"/>
    <w:rsid w:val="006315BA"/>
    <w:rsid w:val="006315CB"/>
    <w:rsid w:val="00632F76"/>
    <w:rsid w:val="00634C4A"/>
    <w:rsid w:val="0063532E"/>
    <w:rsid w:val="0063579F"/>
    <w:rsid w:val="006364ED"/>
    <w:rsid w:val="00637063"/>
    <w:rsid w:val="0063737C"/>
    <w:rsid w:val="00637BDC"/>
    <w:rsid w:val="00640363"/>
    <w:rsid w:val="0064036E"/>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220"/>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BA5"/>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0E6"/>
    <w:rsid w:val="006F6572"/>
    <w:rsid w:val="006F674E"/>
    <w:rsid w:val="007005EA"/>
    <w:rsid w:val="00701E52"/>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623"/>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2A72"/>
    <w:rsid w:val="007340F3"/>
    <w:rsid w:val="007347BB"/>
    <w:rsid w:val="00735704"/>
    <w:rsid w:val="00736A49"/>
    <w:rsid w:val="007373D0"/>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ABF"/>
    <w:rsid w:val="0076100C"/>
    <w:rsid w:val="00761127"/>
    <w:rsid w:val="007612A5"/>
    <w:rsid w:val="00762131"/>
    <w:rsid w:val="007635A8"/>
    <w:rsid w:val="00763CAE"/>
    <w:rsid w:val="00763F95"/>
    <w:rsid w:val="007651ED"/>
    <w:rsid w:val="00766C87"/>
    <w:rsid w:val="00771043"/>
    <w:rsid w:val="0077272B"/>
    <w:rsid w:val="00773AF7"/>
    <w:rsid w:val="00773C45"/>
    <w:rsid w:val="00774FFD"/>
    <w:rsid w:val="00780378"/>
    <w:rsid w:val="0078085E"/>
    <w:rsid w:val="00781BD4"/>
    <w:rsid w:val="007820A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BFB"/>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91"/>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96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A68"/>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5BE"/>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A0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2FAF"/>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19A"/>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2769E"/>
    <w:rsid w:val="009303BB"/>
    <w:rsid w:val="00930A72"/>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13A"/>
    <w:rsid w:val="009935C3"/>
    <w:rsid w:val="0099421F"/>
    <w:rsid w:val="00994D33"/>
    <w:rsid w:val="00994FC8"/>
    <w:rsid w:val="009A0346"/>
    <w:rsid w:val="009A0DE3"/>
    <w:rsid w:val="009A1643"/>
    <w:rsid w:val="009A215A"/>
    <w:rsid w:val="009A26B9"/>
    <w:rsid w:val="009A49D3"/>
    <w:rsid w:val="009A4F1B"/>
    <w:rsid w:val="009A5868"/>
    <w:rsid w:val="009A66C5"/>
    <w:rsid w:val="009A66E7"/>
    <w:rsid w:val="009A7578"/>
    <w:rsid w:val="009A79BA"/>
    <w:rsid w:val="009B10F9"/>
    <w:rsid w:val="009B14D1"/>
    <w:rsid w:val="009B1534"/>
    <w:rsid w:val="009B4963"/>
    <w:rsid w:val="009B4A3B"/>
    <w:rsid w:val="009B4C50"/>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926"/>
    <w:rsid w:val="00A00D14"/>
    <w:rsid w:val="00A01408"/>
    <w:rsid w:val="00A02457"/>
    <w:rsid w:val="00A02AA8"/>
    <w:rsid w:val="00A03190"/>
    <w:rsid w:val="00A03A9E"/>
    <w:rsid w:val="00A0404B"/>
    <w:rsid w:val="00A04C9D"/>
    <w:rsid w:val="00A06F66"/>
    <w:rsid w:val="00A0798C"/>
    <w:rsid w:val="00A07BDD"/>
    <w:rsid w:val="00A07F12"/>
    <w:rsid w:val="00A1105B"/>
    <w:rsid w:val="00A1213C"/>
    <w:rsid w:val="00A130E8"/>
    <w:rsid w:val="00A13F8E"/>
    <w:rsid w:val="00A15B6B"/>
    <w:rsid w:val="00A15EB4"/>
    <w:rsid w:val="00A16168"/>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1A4A"/>
    <w:rsid w:val="00A82C52"/>
    <w:rsid w:val="00A838E8"/>
    <w:rsid w:val="00A83C15"/>
    <w:rsid w:val="00A84EC4"/>
    <w:rsid w:val="00A86530"/>
    <w:rsid w:val="00A86CB6"/>
    <w:rsid w:val="00A86CE5"/>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462"/>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395"/>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055"/>
    <w:rsid w:val="00B23436"/>
    <w:rsid w:val="00B237F1"/>
    <w:rsid w:val="00B23F10"/>
    <w:rsid w:val="00B24328"/>
    <w:rsid w:val="00B24ED4"/>
    <w:rsid w:val="00B24F33"/>
    <w:rsid w:val="00B26354"/>
    <w:rsid w:val="00B26AED"/>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597"/>
    <w:rsid w:val="00B522CD"/>
    <w:rsid w:val="00B55143"/>
    <w:rsid w:val="00B553B2"/>
    <w:rsid w:val="00B555C8"/>
    <w:rsid w:val="00B55917"/>
    <w:rsid w:val="00B55D87"/>
    <w:rsid w:val="00B5646A"/>
    <w:rsid w:val="00B56F3D"/>
    <w:rsid w:val="00B572F0"/>
    <w:rsid w:val="00B57921"/>
    <w:rsid w:val="00B57E78"/>
    <w:rsid w:val="00B57EB8"/>
    <w:rsid w:val="00B609F6"/>
    <w:rsid w:val="00B60E75"/>
    <w:rsid w:val="00B643A6"/>
    <w:rsid w:val="00B64DD6"/>
    <w:rsid w:val="00B64F78"/>
    <w:rsid w:val="00B66505"/>
    <w:rsid w:val="00B6710C"/>
    <w:rsid w:val="00B67E84"/>
    <w:rsid w:val="00B71945"/>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0498"/>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D13"/>
    <w:rsid w:val="00BC08E4"/>
    <w:rsid w:val="00BC09D1"/>
    <w:rsid w:val="00BC1CF3"/>
    <w:rsid w:val="00BC2BE0"/>
    <w:rsid w:val="00BC3573"/>
    <w:rsid w:val="00BC5860"/>
    <w:rsid w:val="00BC60A5"/>
    <w:rsid w:val="00BC7F82"/>
    <w:rsid w:val="00BD1844"/>
    <w:rsid w:val="00BD2A49"/>
    <w:rsid w:val="00BD3683"/>
    <w:rsid w:val="00BD40AB"/>
    <w:rsid w:val="00BD40DE"/>
    <w:rsid w:val="00BD498D"/>
    <w:rsid w:val="00BD6297"/>
    <w:rsid w:val="00BD6806"/>
    <w:rsid w:val="00BD6939"/>
    <w:rsid w:val="00BD70F4"/>
    <w:rsid w:val="00BD7433"/>
    <w:rsid w:val="00BD7831"/>
    <w:rsid w:val="00BD7C10"/>
    <w:rsid w:val="00BE046F"/>
    <w:rsid w:val="00BE0DEB"/>
    <w:rsid w:val="00BE2254"/>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141"/>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5FF"/>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4F6"/>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4AD8"/>
    <w:rsid w:val="00C85579"/>
    <w:rsid w:val="00C8590C"/>
    <w:rsid w:val="00C862F1"/>
    <w:rsid w:val="00C863E5"/>
    <w:rsid w:val="00C87BE6"/>
    <w:rsid w:val="00C87F76"/>
    <w:rsid w:val="00C910DE"/>
    <w:rsid w:val="00C931FC"/>
    <w:rsid w:val="00C932C5"/>
    <w:rsid w:val="00C9338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7E6"/>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EDA"/>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276"/>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57DD5"/>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56B1"/>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97977"/>
    <w:rsid w:val="00DA0614"/>
    <w:rsid w:val="00DA0FE3"/>
    <w:rsid w:val="00DA195B"/>
    <w:rsid w:val="00DA27F3"/>
    <w:rsid w:val="00DA2D1E"/>
    <w:rsid w:val="00DA3EC8"/>
    <w:rsid w:val="00DA40C1"/>
    <w:rsid w:val="00DA4D04"/>
    <w:rsid w:val="00DA5564"/>
    <w:rsid w:val="00DA6B55"/>
    <w:rsid w:val="00DA6B97"/>
    <w:rsid w:val="00DA6CEE"/>
    <w:rsid w:val="00DA7997"/>
    <w:rsid w:val="00DB0015"/>
    <w:rsid w:val="00DB0359"/>
    <w:rsid w:val="00DB0ABB"/>
    <w:rsid w:val="00DB1D01"/>
    <w:rsid w:val="00DB2AAD"/>
    <w:rsid w:val="00DB44E2"/>
    <w:rsid w:val="00DB456C"/>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082A"/>
    <w:rsid w:val="00DF2BF5"/>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28F6"/>
    <w:rsid w:val="00E2421B"/>
    <w:rsid w:val="00E242AF"/>
    <w:rsid w:val="00E24849"/>
    <w:rsid w:val="00E2536E"/>
    <w:rsid w:val="00E25A99"/>
    <w:rsid w:val="00E25B8A"/>
    <w:rsid w:val="00E25EF8"/>
    <w:rsid w:val="00E2632B"/>
    <w:rsid w:val="00E26F75"/>
    <w:rsid w:val="00E27423"/>
    <w:rsid w:val="00E3077F"/>
    <w:rsid w:val="00E31E05"/>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84F"/>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0E83"/>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108"/>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0EF"/>
    <w:rsid w:val="00F111B6"/>
    <w:rsid w:val="00F11EBE"/>
    <w:rsid w:val="00F12293"/>
    <w:rsid w:val="00F12BA8"/>
    <w:rsid w:val="00F12D7A"/>
    <w:rsid w:val="00F130D0"/>
    <w:rsid w:val="00F13AC6"/>
    <w:rsid w:val="00F14933"/>
    <w:rsid w:val="00F1516A"/>
    <w:rsid w:val="00F15483"/>
    <w:rsid w:val="00F15EE5"/>
    <w:rsid w:val="00F16978"/>
    <w:rsid w:val="00F171F9"/>
    <w:rsid w:val="00F1737C"/>
    <w:rsid w:val="00F173AA"/>
    <w:rsid w:val="00F20DA4"/>
    <w:rsid w:val="00F22A26"/>
    <w:rsid w:val="00F2361E"/>
    <w:rsid w:val="00F24072"/>
    <w:rsid w:val="00F26432"/>
    <w:rsid w:val="00F30A48"/>
    <w:rsid w:val="00F3197A"/>
    <w:rsid w:val="00F32014"/>
    <w:rsid w:val="00F32139"/>
    <w:rsid w:val="00F33CF0"/>
    <w:rsid w:val="00F33D56"/>
    <w:rsid w:val="00F34E08"/>
    <w:rsid w:val="00F41D6D"/>
    <w:rsid w:val="00F41D91"/>
    <w:rsid w:val="00F41F52"/>
    <w:rsid w:val="00F41FA1"/>
    <w:rsid w:val="00F42363"/>
    <w:rsid w:val="00F427C4"/>
    <w:rsid w:val="00F43AD6"/>
    <w:rsid w:val="00F43D6C"/>
    <w:rsid w:val="00F444FA"/>
    <w:rsid w:val="00F46964"/>
    <w:rsid w:val="00F46F9A"/>
    <w:rsid w:val="00F470FD"/>
    <w:rsid w:val="00F50F30"/>
    <w:rsid w:val="00F5126A"/>
    <w:rsid w:val="00F5126E"/>
    <w:rsid w:val="00F516EF"/>
    <w:rsid w:val="00F51755"/>
    <w:rsid w:val="00F531D9"/>
    <w:rsid w:val="00F54D8E"/>
    <w:rsid w:val="00F5580D"/>
    <w:rsid w:val="00F566B7"/>
    <w:rsid w:val="00F56BE9"/>
    <w:rsid w:val="00F56EA1"/>
    <w:rsid w:val="00F606D5"/>
    <w:rsid w:val="00F611B3"/>
    <w:rsid w:val="00F6196E"/>
    <w:rsid w:val="00F61CCC"/>
    <w:rsid w:val="00F624DD"/>
    <w:rsid w:val="00F625DB"/>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1FAE"/>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5FB"/>
    <w:rsid w:val="00F966F9"/>
    <w:rsid w:val="00F96F61"/>
    <w:rsid w:val="00F97740"/>
    <w:rsid w:val="00FA0C8F"/>
    <w:rsid w:val="00FA1012"/>
    <w:rsid w:val="00FA24F2"/>
    <w:rsid w:val="00FA2DEF"/>
    <w:rsid w:val="00FA2F7B"/>
    <w:rsid w:val="00FA3C90"/>
    <w:rsid w:val="00FA3C97"/>
    <w:rsid w:val="00FA3D30"/>
    <w:rsid w:val="00FA4B49"/>
    <w:rsid w:val="00FA54F8"/>
    <w:rsid w:val="00FA6CA9"/>
    <w:rsid w:val="00FA743C"/>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3AD"/>
    <w:rsid w:val="00FC4576"/>
    <w:rsid w:val="00FC494C"/>
    <w:rsid w:val="00FC5FF5"/>
    <w:rsid w:val="00FC6285"/>
    <w:rsid w:val="00FC78FB"/>
    <w:rsid w:val="00FC7DBC"/>
    <w:rsid w:val="00FD076A"/>
    <w:rsid w:val="00FD0AA0"/>
    <w:rsid w:val="00FD1D5A"/>
    <w:rsid w:val="00FD3EB4"/>
    <w:rsid w:val="00FD4B85"/>
    <w:rsid w:val="00FD5059"/>
    <w:rsid w:val="00FD554D"/>
    <w:rsid w:val="00FD5BCC"/>
    <w:rsid w:val="00FD5EB4"/>
    <w:rsid w:val="00FD5EB8"/>
    <w:rsid w:val="00FD6C2D"/>
    <w:rsid w:val="00FD7B23"/>
    <w:rsid w:val="00FE2A48"/>
    <w:rsid w:val="00FE2DEF"/>
    <w:rsid w:val="00FE323C"/>
    <w:rsid w:val="00FE372D"/>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Spacing">
    <w:name w:val="No Spacing"/>
    <w:uiPriority w:val="1"/>
    <w:qFormat/>
    <w:rsid w:val="0092769E"/>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A05E-5B2A-4D9E-A8F9-8624D646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2012-08-02T16:33:00Z</cp:lastPrinted>
  <dcterms:created xsi:type="dcterms:W3CDTF">2012-08-01T17:22:00Z</dcterms:created>
  <dcterms:modified xsi:type="dcterms:W3CDTF">2012-09-19T12:22:00Z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