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8553A9">
        <w:rPr>
          <w:caps/>
          <w:color w:val="auto"/>
        </w:rPr>
        <w:t>XXXXXXXXXXXXXX</w:t>
      </w:r>
      <w:r w:rsidR="009E1A27">
        <w:rPr>
          <w:caps/>
          <w:color w:val="auto"/>
        </w:rPr>
        <w:t xml:space="preserve">                                                                       </w:t>
      </w:r>
      <w:r w:rsidRPr="00F64312">
        <w:rPr>
          <w:caps/>
          <w:color w:val="auto"/>
        </w:rPr>
        <w:t xml:space="preserve">BRANCH OF </w:t>
      </w:r>
      <w:r w:rsidRPr="008D5AE0">
        <w:rPr>
          <w:caps/>
          <w:color w:val="auto"/>
        </w:rPr>
        <w:t xml:space="preserve">SERVICE:  </w:t>
      </w:r>
      <w:r w:rsidR="0018208F" w:rsidRPr="008D5AE0">
        <w:rPr>
          <w:caps/>
          <w:color w:val="auto"/>
        </w:rPr>
        <w:t xml:space="preserve"> </w:t>
      </w:r>
      <w:r w:rsidR="00DF70F4" w:rsidRPr="008D5AE0">
        <w:rPr>
          <w:caps/>
          <w:color w:val="auto"/>
        </w:rPr>
        <w:t>Army</w:t>
      </w:r>
    </w:p>
    <w:p w:rsidR="0095270D" w:rsidRPr="00F64312" w:rsidRDefault="0095270D" w:rsidP="00DD5558">
      <w:pPr>
        <w:tabs>
          <w:tab w:val="right" w:pos="9360"/>
        </w:tabs>
        <w:jc w:val="both"/>
        <w:rPr>
          <w:color w:val="auto"/>
        </w:rPr>
      </w:pPr>
      <w:r w:rsidRPr="00F64312">
        <w:rPr>
          <w:caps/>
          <w:color w:val="auto"/>
        </w:rPr>
        <w:t xml:space="preserve">CASE NUMBER:  </w:t>
      </w:r>
      <w:r w:rsidRPr="00172749">
        <w:rPr>
          <w:caps/>
          <w:color w:val="auto"/>
        </w:rPr>
        <w:t>PD</w:t>
      </w:r>
      <w:r w:rsidR="001657BE" w:rsidRPr="00172749">
        <w:rPr>
          <w:caps/>
          <w:color w:val="auto"/>
        </w:rPr>
        <w:t>12</w:t>
      </w:r>
      <w:r w:rsidRPr="00172749">
        <w:rPr>
          <w:caps/>
          <w:color w:val="auto"/>
        </w:rPr>
        <w:t>00</w:t>
      </w:r>
      <w:r w:rsidR="00172749" w:rsidRPr="00172749">
        <w:rPr>
          <w:caps/>
          <w:color w:val="auto"/>
        </w:rPr>
        <w:t>222</w:t>
      </w:r>
      <w:r w:rsidR="00DD5558">
        <w:rPr>
          <w:color w:val="auto"/>
        </w:rPr>
        <w:tab/>
      </w:r>
      <w:r w:rsidR="0018208F" w:rsidRPr="00F64312">
        <w:rPr>
          <w:color w:val="auto"/>
        </w:rPr>
        <w:t>SE</w:t>
      </w:r>
      <w:r w:rsidRPr="00F64312">
        <w:rPr>
          <w:color w:val="auto"/>
        </w:rPr>
        <w:t>PARATION DATE:  200</w:t>
      </w:r>
      <w:r w:rsidR="00B001B8">
        <w:rPr>
          <w:color w:val="auto"/>
        </w:rPr>
        <w:t>31209</w:t>
      </w:r>
    </w:p>
    <w:p w:rsidR="00AD2379" w:rsidRPr="00765BA5"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9A2899">
        <w:rPr>
          <w:caps/>
          <w:color w:val="auto"/>
        </w:rPr>
        <w:t>0906</w:t>
      </w:r>
    </w:p>
    <w:p w:rsidR="0095270D" w:rsidRPr="00F64312" w:rsidRDefault="0095270D" w:rsidP="0095270D">
      <w:pPr>
        <w:pBdr>
          <w:bottom w:val="single" w:sz="12" w:space="1" w:color="auto"/>
        </w:pBdr>
        <w:tabs>
          <w:tab w:val="left" w:pos="288"/>
          <w:tab w:val="left" w:pos="4752"/>
        </w:tabs>
        <w:jc w:val="both"/>
        <w:rPr>
          <w:color w:val="auto"/>
        </w:rPr>
      </w:pPr>
    </w:p>
    <w:p w:rsidR="00B3194C" w:rsidRPr="00F64312" w:rsidRDefault="00B3194C" w:rsidP="00BF0E94">
      <w:pPr>
        <w:tabs>
          <w:tab w:val="left" w:pos="288"/>
          <w:tab w:val="left" w:pos="4752"/>
        </w:tabs>
        <w:jc w:val="both"/>
        <w:rPr>
          <w:color w:val="auto"/>
        </w:rPr>
      </w:pPr>
    </w:p>
    <w:p w:rsidR="0066684A" w:rsidRPr="00157368" w:rsidRDefault="00AD2379" w:rsidP="00AC421A">
      <w:pPr>
        <w:jc w:val="both"/>
        <w:rPr>
          <w:color w:val="auto"/>
          <w:szCs w:val="24"/>
        </w:rPr>
      </w:pPr>
      <w:r w:rsidRPr="00AC421A">
        <w:rPr>
          <w:color w:val="auto"/>
          <w:u w:val="single"/>
        </w:rPr>
        <w:t>SUMMARY OF CASE</w:t>
      </w:r>
      <w:r w:rsidRPr="00AC421A">
        <w:rPr>
          <w:color w:val="auto"/>
        </w:rPr>
        <w:t>:</w:t>
      </w:r>
      <w:r w:rsidR="00532B33" w:rsidRPr="00AC421A">
        <w:rPr>
          <w:color w:val="auto"/>
        </w:rPr>
        <w:t xml:space="preserve"> </w:t>
      </w:r>
      <w:r w:rsidRPr="00AC421A">
        <w:rPr>
          <w:color w:val="auto"/>
        </w:rPr>
        <w:t xml:space="preserve"> Data extracted from the available evidence of record reflects that this covered individual (CI) was </w:t>
      </w:r>
      <w:r w:rsidR="00157368">
        <w:rPr>
          <w:color w:val="auto"/>
        </w:rPr>
        <w:t>a</w:t>
      </w:r>
      <w:r w:rsidR="00A70270" w:rsidRPr="00AC421A">
        <w:rPr>
          <w:color w:val="auto"/>
        </w:rPr>
        <w:t xml:space="preserve"> </w:t>
      </w:r>
      <w:r w:rsidR="00463478" w:rsidRPr="00AC421A">
        <w:rPr>
          <w:color w:val="auto"/>
        </w:rPr>
        <w:t xml:space="preserve">National </w:t>
      </w:r>
      <w:r w:rsidRPr="00AC421A">
        <w:rPr>
          <w:color w:val="auto"/>
        </w:rPr>
        <w:t>Guard</w:t>
      </w:r>
      <w:r w:rsidR="0021565F" w:rsidRPr="00AC421A">
        <w:rPr>
          <w:color w:val="auto"/>
        </w:rPr>
        <w:t xml:space="preserve"> </w:t>
      </w:r>
      <w:r w:rsidR="008D5AE0" w:rsidRPr="00AC421A">
        <w:rPr>
          <w:color w:val="auto"/>
        </w:rPr>
        <w:t>SFC/E-7</w:t>
      </w:r>
      <w:r w:rsidRPr="00AC421A">
        <w:rPr>
          <w:color w:val="auto"/>
        </w:rPr>
        <w:t xml:space="preserve"> (</w:t>
      </w:r>
      <w:r w:rsidR="008D5AE0" w:rsidRPr="00AC421A">
        <w:rPr>
          <w:color w:val="auto"/>
        </w:rPr>
        <w:t>75H40</w:t>
      </w:r>
      <w:r w:rsidR="009E1A27">
        <w:rPr>
          <w:color w:val="auto"/>
        </w:rPr>
        <w:t>/</w:t>
      </w:r>
      <w:r w:rsidR="008D5AE0" w:rsidRPr="00AC421A">
        <w:rPr>
          <w:color w:val="auto"/>
        </w:rPr>
        <w:t>Personnel Administration</w:t>
      </w:r>
      <w:r w:rsidR="00A70270" w:rsidRPr="00AC421A">
        <w:rPr>
          <w:color w:val="auto"/>
        </w:rPr>
        <w:t>)</w:t>
      </w:r>
      <w:r w:rsidR="00565636" w:rsidRPr="00AC421A">
        <w:rPr>
          <w:color w:val="auto"/>
        </w:rPr>
        <w:t>,</w:t>
      </w:r>
      <w:r w:rsidR="00A70270" w:rsidRPr="00AC421A">
        <w:rPr>
          <w:color w:val="auto"/>
        </w:rPr>
        <w:t xml:space="preserve"> </w:t>
      </w:r>
      <w:r w:rsidRPr="00AC421A">
        <w:rPr>
          <w:color w:val="auto"/>
        </w:rPr>
        <w:t xml:space="preserve">medically separated for </w:t>
      </w:r>
      <w:r w:rsidR="00EB69DE" w:rsidRPr="00AC421A">
        <w:rPr>
          <w:color w:val="auto"/>
        </w:rPr>
        <w:t>diabetes mellitus</w:t>
      </w:r>
      <w:r w:rsidR="009E1A27">
        <w:rPr>
          <w:color w:val="auto"/>
        </w:rPr>
        <w:t xml:space="preserve"> (DM)</w:t>
      </w:r>
      <w:r w:rsidR="0021565F" w:rsidRPr="00AC421A">
        <w:rPr>
          <w:color w:val="auto"/>
          <w:szCs w:val="24"/>
        </w:rPr>
        <w:t>.</w:t>
      </w:r>
      <w:r w:rsidR="00D41DFF" w:rsidRPr="00AC421A">
        <w:rPr>
          <w:color w:val="auto"/>
          <w:szCs w:val="24"/>
        </w:rPr>
        <w:t xml:space="preserve">  </w:t>
      </w:r>
      <w:r w:rsidR="00157368">
        <w:rPr>
          <w:color w:val="auto"/>
          <w:szCs w:val="24"/>
        </w:rPr>
        <w:t xml:space="preserve">The CI was </w:t>
      </w:r>
      <w:r w:rsidR="00D41DFF" w:rsidRPr="00AC421A">
        <w:rPr>
          <w:color w:val="auto"/>
          <w:szCs w:val="24"/>
        </w:rPr>
        <w:t xml:space="preserve">placed on insulin </w:t>
      </w:r>
      <w:r w:rsidR="00157368">
        <w:rPr>
          <w:color w:val="auto"/>
          <w:szCs w:val="24"/>
        </w:rPr>
        <w:t xml:space="preserve">in 2002 which </w:t>
      </w:r>
      <w:r w:rsidR="00D41DFF" w:rsidRPr="00AC421A">
        <w:rPr>
          <w:color w:val="auto"/>
          <w:szCs w:val="24"/>
        </w:rPr>
        <w:t>led to a P3 profile</w:t>
      </w:r>
      <w:r w:rsidR="00E320DB">
        <w:rPr>
          <w:color w:val="auto"/>
          <w:szCs w:val="24"/>
        </w:rPr>
        <w:t xml:space="preserve">.  His profile did not have physical fitness or functional limitations, but he was </w:t>
      </w:r>
      <w:r w:rsidR="00EB69DE" w:rsidRPr="00AC421A">
        <w:rPr>
          <w:color w:val="auto"/>
          <w:szCs w:val="24"/>
        </w:rPr>
        <w:t>unable to meet worldwide deployment standards</w:t>
      </w:r>
      <w:r w:rsidR="00D41DFF" w:rsidRPr="00AC421A">
        <w:rPr>
          <w:color w:val="auto"/>
          <w:szCs w:val="24"/>
        </w:rPr>
        <w:t xml:space="preserve"> and was referred for a Medical Evaluation Board (MEB).  </w:t>
      </w:r>
      <w:r w:rsidR="00EB69DE" w:rsidRPr="00AC421A">
        <w:rPr>
          <w:color w:val="auto"/>
        </w:rPr>
        <w:t>Two other</w:t>
      </w:r>
      <w:r w:rsidR="00217BA8" w:rsidRPr="00AC421A">
        <w:rPr>
          <w:color w:val="auto"/>
        </w:rPr>
        <w:t xml:space="preserve"> </w:t>
      </w:r>
      <w:r w:rsidR="00071F0D" w:rsidRPr="00AC421A">
        <w:rPr>
          <w:color w:val="auto"/>
        </w:rPr>
        <w:t>condition</w:t>
      </w:r>
      <w:r w:rsidR="00217BA8" w:rsidRPr="00AC421A">
        <w:rPr>
          <w:color w:val="auto"/>
        </w:rPr>
        <w:t>s</w:t>
      </w:r>
      <w:r w:rsidR="00071F0D" w:rsidRPr="00AC421A">
        <w:rPr>
          <w:color w:val="auto"/>
        </w:rPr>
        <w:t xml:space="preserve">, </w:t>
      </w:r>
      <w:r w:rsidR="00EB69DE" w:rsidRPr="00AC421A">
        <w:rPr>
          <w:color w:val="auto"/>
        </w:rPr>
        <w:t xml:space="preserve">as identified in the rating chart below, were </w:t>
      </w:r>
      <w:r w:rsidR="00613030">
        <w:rPr>
          <w:color w:val="auto"/>
        </w:rPr>
        <w:t xml:space="preserve">also identified and </w:t>
      </w:r>
      <w:r w:rsidR="00EB69DE" w:rsidRPr="00AC421A">
        <w:rPr>
          <w:color w:val="auto"/>
        </w:rPr>
        <w:t xml:space="preserve">forwarded </w:t>
      </w:r>
      <w:r w:rsidR="00613030">
        <w:rPr>
          <w:color w:val="auto"/>
        </w:rPr>
        <w:t>by the MEB</w:t>
      </w:r>
      <w:r w:rsidR="00D41DFF" w:rsidRPr="00AC421A">
        <w:rPr>
          <w:color w:val="auto"/>
        </w:rPr>
        <w:t xml:space="preserve">.  </w:t>
      </w:r>
      <w:r w:rsidRPr="00AC421A">
        <w:rPr>
          <w:color w:val="auto"/>
        </w:rPr>
        <w:t xml:space="preserve">The </w:t>
      </w:r>
      <w:r w:rsidR="00622614">
        <w:rPr>
          <w:color w:val="auto"/>
        </w:rPr>
        <w:t xml:space="preserve">Informal </w:t>
      </w:r>
      <w:r w:rsidR="009E1A27">
        <w:rPr>
          <w:color w:val="auto"/>
        </w:rPr>
        <w:t>Physical Evaluation Board (</w:t>
      </w:r>
      <w:r w:rsidR="00622614">
        <w:rPr>
          <w:color w:val="auto"/>
        </w:rPr>
        <w:t>I</w:t>
      </w:r>
      <w:r w:rsidR="00AC421A" w:rsidRPr="00AC421A">
        <w:rPr>
          <w:color w:val="auto"/>
        </w:rPr>
        <w:t>PEB</w:t>
      </w:r>
      <w:r w:rsidR="009E1A27">
        <w:rPr>
          <w:color w:val="auto"/>
        </w:rPr>
        <w:t>)</w:t>
      </w:r>
      <w:r w:rsidR="00AC421A" w:rsidRPr="00AC421A">
        <w:rPr>
          <w:color w:val="auto"/>
        </w:rPr>
        <w:t xml:space="preserve"> </w:t>
      </w:r>
      <w:r w:rsidRPr="00AC421A">
        <w:rPr>
          <w:color w:val="auto"/>
        </w:rPr>
        <w:t xml:space="preserve">adjudicated the </w:t>
      </w:r>
      <w:r w:rsidR="009E1A27">
        <w:rPr>
          <w:color w:val="auto"/>
        </w:rPr>
        <w:t xml:space="preserve">DM </w:t>
      </w:r>
      <w:r w:rsidR="008530E3" w:rsidRPr="00AC421A">
        <w:rPr>
          <w:color w:val="auto"/>
        </w:rPr>
        <w:t xml:space="preserve">condition as unfitting, rated </w:t>
      </w:r>
      <w:r w:rsidR="00326DDE" w:rsidRPr="00AC421A">
        <w:rPr>
          <w:color w:val="auto"/>
        </w:rPr>
        <w:t>20</w:t>
      </w:r>
      <w:r w:rsidRPr="00AC421A">
        <w:rPr>
          <w:color w:val="auto"/>
        </w:rPr>
        <w:t xml:space="preserve">%, </w:t>
      </w:r>
      <w:r w:rsidR="00E46D90" w:rsidRPr="00AC421A">
        <w:rPr>
          <w:color w:val="auto"/>
        </w:rPr>
        <w:t xml:space="preserve">with application of the </w:t>
      </w:r>
      <w:r w:rsidRPr="00AC421A">
        <w:rPr>
          <w:color w:val="auto"/>
        </w:rPr>
        <w:t>Veteran</w:t>
      </w:r>
      <w:r w:rsidR="00BF72CA" w:rsidRPr="00AC421A">
        <w:rPr>
          <w:color w:val="auto"/>
        </w:rPr>
        <w:t>’</w:t>
      </w:r>
      <w:r w:rsidRPr="00AC421A">
        <w:rPr>
          <w:color w:val="auto"/>
        </w:rPr>
        <w:t>s A</w:t>
      </w:r>
      <w:r w:rsidR="00BF72CA" w:rsidRPr="00AC421A">
        <w:rPr>
          <w:color w:val="auto"/>
        </w:rPr>
        <w:t>ffairs</w:t>
      </w:r>
      <w:r w:rsidRPr="00AC421A">
        <w:rPr>
          <w:color w:val="auto"/>
        </w:rPr>
        <w:t xml:space="preserve"> Schedule for Rating Disabilities (VASRD</w:t>
      </w:r>
      <w:r w:rsidR="00613030">
        <w:rPr>
          <w:color w:val="auto"/>
        </w:rPr>
        <w:t>)</w:t>
      </w:r>
      <w:r w:rsidR="00BF72CA" w:rsidRPr="00AC421A">
        <w:rPr>
          <w:color w:val="auto"/>
        </w:rPr>
        <w:t>.</w:t>
      </w:r>
      <w:r w:rsidR="00165C7B" w:rsidRPr="00AC421A">
        <w:rPr>
          <w:color w:val="auto"/>
        </w:rPr>
        <w:t xml:space="preserve">  </w:t>
      </w:r>
      <w:r w:rsidR="00380601" w:rsidRPr="00AC421A">
        <w:rPr>
          <w:color w:val="auto"/>
        </w:rPr>
        <w:t>The remaining conditions were determined to be not unfitting</w:t>
      </w:r>
      <w:r w:rsidR="00DF70F4" w:rsidRPr="00AC421A">
        <w:rPr>
          <w:color w:val="auto"/>
        </w:rPr>
        <w:t>.</w:t>
      </w:r>
      <w:r w:rsidR="001726BA" w:rsidRPr="00AC421A">
        <w:rPr>
          <w:color w:val="auto"/>
        </w:rPr>
        <w:t xml:space="preserve">  </w:t>
      </w:r>
      <w:r w:rsidR="00582938" w:rsidRPr="00AC421A">
        <w:rPr>
          <w:color w:val="auto"/>
        </w:rPr>
        <w:t>T</w:t>
      </w:r>
      <w:r w:rsidR="0066684A" w:rsidRPr="00AC421A">
        <w:rPr>
          <w:color w:val="auto"/>
        </w:rPr>
        <w:t>he CI app</w:t>
      </w:r>
      <w:r w:rsidR="00582938" w:rsidRPr="00AC421A">
        <w:rPr>
          <w:color w:val="auto"/>
        </w:rPr>
        <w:t>ealed to the Formal PEB (FPEB)</w:t>
      </w:r>
      <w:r w:rsidR="00ED7820" w:rsidRPr="00AC421A">
        <w:rPr>
          <w:color w:val="auto"/>
        </w:rPr>
        <w:t xml:space="preserve">, which affirmed the </w:t>
      </w:r>
      <w:r w:rsidR="00622614">
        <w:rPr>
          <w:color w:val="auto"/>
        </w:rPr>
        <w:t>I</w:t>
      </w:r>
      <w:r w:rsidR="009A2899">
        <w:rPr>
          <w:color w:val="auto"/>
        </w:rPr>
        <w:t>PEB findings</w:t>
      </w:r>
      <w:r w:rsidR="0066684A" w:rsidRPr="00AC421A">
        <w:rPr>
          <w:color w:val="auto"/>
        </w:rPr>
        <w:t xml:space="preserve"> and was t</w:t>
      </w:r>
      <w:r w:rsidR="00582938" w:rsidRPr="00AC421A">
        <w:rPr>
          <w:color w:val="auto"/>
        </w:rPr>
        <w:t>hen medically separated with a 20</w:t>
      </w:r>
      <w:r w:rsidR="0066684A" w:rsidRPr="00AC421A">
        <w:rPr>
          <w:color w:val="auto"/>
        </w:rPr>
        <w:t>% disability rating</w:t>
      </w:r>
      <w:r w:rsidR="00582938" w:rsidRPr="00AC421A">
        <w:rPr>
          <w:color w:val="auto"/>
        </w:rPr>
        <w:t>.</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A519FF" w:rsidRPr="00F64312" w:rsidRDefault="00AD2379" w:rsidP="00A519F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A519FF">
        <w:rPr>
          <w:color w:val="auto"/>
        </w:rPr>
        <w:t xml:space="preserve"> </w:t>
      </w:r>
      <w:r w:rsidR="006F674E" w:rsidRPr="00A519FF">
        <w:rPr>
          <w:color w:val="auto"/>
        </w:rPr>
        <w:t xml:space="preserve"> </w:t>
      </w:r>
      <w:r w:rsidR="00A519FF">
        <w:rPr>
          <w:color w:val="auto"/>
        </w:rPr>
        <w:t>“</w:t>
      </w:r>
      <w:r w:rsidR="00A519FF" w:rsidRPr="00A519FF">
        <w:rPr>
          <w:rFonts w:eastAsia="Cambria"/>
          <w:color w:val="auto"/>
          <w:szCs w:val="24"/>
        </w:rPr>
        <w:t>Medical</w:t>
      </w:r>
      <w:r w:rsidR="00A519FF">
        <w:rPr>
          <w:rFonts w:eastAsia="Cambria"/>
          <w:color w:val="auto"/>
          <w:szCs w:val="24"/>
        </w:rPr>
        <w:t xml:space="preserve"> condition of diabetes, hernia, and heart condition merits reconsideration.  The assessment of the Veteran’s Administration was not in agreement with the assessment of the active duty medical separation.  The Veteran’s Administration </w:t>
      </w:r>
      <w:r w:rsidR="00A519FF" w:rsidRPr="009763AA">
        <w:rPr>
          <w:rFonts w:eastAsia="Cambria"/>
          <w:color w:val="auto"/>
          <w:szCs w:val="24"/>
        </w:rPr>
        <w:t>assessment of 60%.  This condition assessment merits a medical retirement.”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w:t>
      </w:r>
      <w:r w:rsidRPr="00EE1D7A">
        <w:rPr>
          <w:color w:val="auto"/>
        </w:rPr>
        <w:t>d to be unfitting by the PEB</w:t>
      </w:r>
      <w:r w:rsidR="009E1A27">
        <w:rPr>
          <w:color w:val="auto"/>
        </w:rPr>
        <w:t>.</w:t>
      </w:r>
      <w:r w:rsidRPr="00EE1D7A">
        <w:rPr>
          <w:color w:val="auto"/>
        </w:rPr>
        <w:t xml:space="preserve">”  The ratings for unfitting conditions will be reviewed in all cases.  The </w:t>
      </w:r>
      <w:r w:rsidR="00A01735" w:rsidRPr="00EE1D7A">
        <w:rPr>
          <w:color w:val="auto"/>
        </w:rPr>
        <w:t>diabetes mellitus</w:t>
      </w:r>
      <w:r w:rsidRPr="00EE1D7A">
        <w:rPr>
          <w:color w:val="auto"/>
        </w:rPr>
        <w:t xml:space="preserve"> condition requested for consideration meet</w:t>
      </w:r>
      <w:r w:rsidR="00A01735" w:rsidRPr="00EE1D7A">
        <w:rPr>
          <w:color w:val="auto"/>
        </w:rPr>
        <w:t>s</w:t>
      </w:r>
      <w:r w:rsidRPr="00EE1D7A">
        <w:rPr>
          <w:color w:val="auto"/>
        </w:rPr>
        <w:t xml:space="preserve"> the criteria prescribed in DoDI 6040.44 for Board purview, and </w:t>
      </w:r>
      <w:r w:rsidR="00A01735" w:rsidRPr="00EE1D7A">
        <w:rPr>
          <w:color w:val="auto"/>
        </w:rPr>
        <w:t xml:space="preserve">is </w:t>
      </w:r>
      <w:r w:rsidRPr="00EE1D7A">
        <w:rPr>
          <w:color w:val="auto"/>
        </w:rPr>
        <w:t xml:space="preserve">accordingly addressed below.  </w:t>
      </w:r>
      <w:r w:rsidR="00EE1D7A" w:rsidRPr="00EE1D7A">
        <w:rPr>
          <w:color w:val="auto"/>
        </w:rPr>
        <w:t xml:space="preserve">The diabetic renal insufficiency and anemia conditions rated by the </w:t>
      </w:r>
      <w:r w:rsidR="009E1A27">
        <w:rPr>
          <w:color w:val="auto"/>
        </w:rPr>
        <w:t>Department of Veterans’ Affairs (D</w:t>
      </w:r>
      <w:r w:rsidR="00EE1D7A" w:rsidRPr="00EE1D7A">
        <w:rPr>
          <w:color w:val="auto"/>
        </w:rPr>
        <w:t>VA</w:t>
      </w:r>
      <w:r w:rsidR="009E1A27">
        <w:rPr>
          <w:color w:val="auto"/>
        </w:rPr>
        <w:t>)</w:t>
      </w:r>
      <w:r w:rsidR="00EE1D7A" w:rsidRPr="00EE1D7A">
        <w:rPr>
          <w:color w:val="auto"/>
        </w:rPr>
        <w:t xml:space="preserve"> at separation are within the Board’s purview.  </w:t>
      </w:r>
      <w:r w:rsidRPr="00EE1D7A">
        <w:rPr>
          <w:color w:val="auto"/>
        </w:rPr>
        <w:t xml:space="preserve">The other requested </w:t>
      </w:r>
      <w:r w:rsidR="00A01735" w:rsidRPr="00EE1D7A">
        <w:rPr>
          <w:color w:val="auto"/>
        </w:rPr>
        <w:t>hernia and heart</w:t>
      </w:r>
      <w:r w:rsidRPr="00EE1D7A">
        <w:rPr>
          <w:color w:val="auto"/>
        </w:rPr>
        <w:t xml:space="preserve"> </w:t>
      </w:r>
      <w:r w:rsidR="00A01735" w:rsidRPr="00EE1D7A">
        <w:rPr>
          <w:color w:val="auto"/>
        </w:rPr>
        <w:t xml:space="preserve">conditions </w:t>
      </w:r>
      <w:r w:rsidRPr="00EE1D7A">
        <w:rPr>
          <w:color w:val="auto"/>
        </w:rPr>
        <w:t xml:space="preserve">are not within the Board’s purview. </w:t>
      </w:r>
      <w:r w:rsidR="00A01735">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w:t>
      </w:r>
      <w:r w:rsidRPr="00A01735">
        <w:rPr>
          <w:color w:val="auto"/>
        </w:rPr>
        <w:t>by the Army Board for the Correction of Military Records (BCMR)</w:t>
      </w:r>
      <w:r w:rsidR="00A01735" w:rsidRPr="00A01735">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F64312" w:rsidRDefault="00AD2379" w:rsidP="00BF0E94">
      <w:pPr>
        <w:jc w:val="left"/>
        <w:rPr>
          <w:color w:val="auto"/>
        </w:rPr>
      </w:pPr>
      <w:r w:rsidRPr="00F64312">
        <w:rPr>
          <w:color w:val="auto"/>
          <w:u w:val="single"/>
        </w:rPr>
        <w:t>RATING COMPARISON</w:t>
      </w:r>
      <w:r w:rsidR="00654E45">
        <w:rPr>
          <w:color w:val="auto"/>
        </w:rPr>
        <w:t>:</w:t>
      </w:r>
    </w:p>
    <w:p w:rsidR="00902242" w:rsidRPr="00F64312" w:rsidRDefault="00902242" w:rsidP="00F90376">
      <w:pPr>
        <w:jc w:val="both"/>
        <w:rPr>
          <w:color w:val="auto"/>
        </w:rPr>
      </w:pPr>
    </w:p>
    <w:tbl>
      <w:tblPr>
        <w:tblStyle w:val="TableGrid"/>
        <w:tblW w:w="9072" w:type="dxa"/>
        <w:jc w:val="center"/>
        <w:tblInd w:w="978" w:type="dxa"/>
        <w:tblLayout w:type="fixed"/>
        <w:tblLook w:val="00A0"/>
      </w:tblPr>
      <w:tblGrid>
        <w:gridCol w:w="1869"/>
        <w:gridCol w:w="1080"/>
        <w:gridCol w:w="720"/>
        <w:gridCol w:w="2611"/>
        <w:gridCol w:w="1082"/>
        <w:gridCol w:w="720"/>
        <w:gridCol w:w="990"/>
      </w:tblGrid>
      <w:tr w:rsidR="00F90376" w:rsidRPr="00F64312" w:rsidTr="00B001B8">
        <w:trPr>
          <w:trHeight w:val="170"/>
          <w:jc w:val="center"/>
        </w:trPr>
        <w:tc>
          <w:tcPr>
            <w:tcW w:w="3669" w:type="dxa"/>
            <w:gridSpan w:val="3"/>
            <w:tcBorders>
              <w:right w:val="thinThickThinSmallGap" w:sz="24" w:space="0" w:color="auto"/>
            </w:tcBorders>
            <w:shd w:val="clear" w:color="auto" w:fill="D9D9D9"/>
            <w:vAlign w:val="center"/>
          </w:tcPr>
          <w:p w:rsidR="00F90376" w:rsidRPr="00F64312" w:rsidRDefault="00F90376" w:rsidP="00C85B43">
            <w:pPr>
              <w:spacing w:line="180" w:lineRule="exact"/>
              <w:contextualSpacing/>
              <w:rPr>
                <w:rFonts w:cs="Calibri"/>
                <w:b/>
                <w:color w:val="auto"/>
                <w:sz w:val="18"/>
              </w:rPr>
            </w:pPr>
            <w:r w:rsidRPr="00F64312">
              <w:rPr>
                <w:b/>
                <w:color w:val="auto"/>
                <w:sz w:val="18"/>
              </w:rPr>
              <w:t xml:space="preserve">Service </w:t>
            </w:r>
            <w:r w:rsidRPr="00C85B43">
              <w:rPr>
                <w:b/>
                <w:color w:val="auto"/>
                <w:sz w:val="18"/>
              </w:rPr>
              <w:t>F</w:t>
            </w:r>
            <w:r w:rsidRPr="00F64312">
              <w:rPr>
                <w:b/>
                <w:color w:val="auto"/>
                <w:sz w:val="18"/>
              </w:rPr>
              <w:t xml:space="preserve">PEB – Dated </w:t>
            </w:r>
            <w:r w:rsidRPr="00C85B43">
              <w:rPr>
                <w:b/>
                <w:color w:val="auto"/>
                <w:sz w:val="18"/>
              </w:rPr>
              <w:t>2</w:t>
            </w:r>
            <w:r w:rsidR="00C85B43" w:rsidRPr="00C85B43">
              <w:rPr>
                <w:b/>
                <w:color w:val="auto"/>
                <w:sz w:val="18"/>
              </w:rPr>
              <w:t>0030813</w:t>
            </w:r>
          </w:p>
        </w:tc>
        <w:tc>
          <w:tcPr>
            <w:tcW w:w="5403" w:type="dxa"/>
            <w:gridSpan w:val="4"/>
            <w:tcBorders>
              <w:left w:val="thinThickThinSmallGap" w:sz="24" w:space="0" w:color="auto"/>
            </w:tcBorders>
            <w:shd w:val="clear" w:color="auto" w:fill="D9D9D9"/>
            <w:vAlign w:val="center"/>
          </w:tcPr>
          <w:p w:rsidR="00F90376" w:rsidRPr="00F64312" w:rsidRDefault="00F90376" w:rsidP="00A459DB">
            <w:pPr>
              <w:spacing w:line="180" w:lineRule="exact"/>
              <w:contextualSpacing/>
              <w:rPr>
                <w:rFonts w:cs="Calibri"/>
                <w:b/>
                <w:color w:val="auto"/>
                <w:sz w:val="18"/>
              </w:rPr>
            </w:pPr>
            <w:r w:rsidRPr="00F64312">
              <w:rPr>
                <w:b/>
                <w:color w:val="auto"/>
                <w:sz w:val="18"/>
              </w:rPr>
              <w:t>VA (</w:t>
            </w:r>
            <w:r w:rsidR="00A459DB">
              <w:rPr>
                <w:b/>
                <w:color w:val="auto"/>
                <w:sz w:val="18"/>
              </w:rPr>
              <w:t>~1</w:t>
            </w:r>
            <w:r w:rsidRPr="00F64312">
              <w:rPr>
                <w:b/>
                <w:color w:val="auto"/>
                <w:sz w:val="18"/>
              </w:rPr>
              <w:t xml:space="preserve"> Mos. </w:t>
            </w:r>
            <w:r w:rsidRPr="00A459DB">
              <w:rPr>
                <w:b/>
                <w:color w:val="auto"/>
                <w:sz w:val="18"/>
              </w:rPr>
              <w:t>Pre</w:t>
            </w:r>
            <w:r w:rsidRPr="00F64312">
              <w:rPr>
                <w:b/>
                <w:color w:val="auto"/>
                <w:sz w:val="18"/>
              </w:rPr>
              <w:t>-Separation) – All Effective Date</w:t>
            </w:r>
            <w:r w:rsidR="00B001B8">
              <w:rPr>
                <w:b/>
                <w:color w:val="auto"/>
                <w:sz w:val="18"/>
              </w:rPr>
              <w:t xml:space="preserve"> 20031210</w:t>
            </w:r>
          </w:p>
        </w:tc>
      </w:tr>
      <w:tr w:rsidR="00F90376" w:rsidRPr="00F64312" w:rsidTr="00B001B8">
        <w:trPr>
          <w:trHeight w:val="97"/>
          <w:jc w:val="center"/>
        </w:trPr>
        <w:tc>
          <w:tcPr>
            <w:tcW w:w="18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1"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2"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157368" w:rsidRPr="00F64312" w:rsidTr="00B001B8">
        <w:trPr>
          <w:trHeight w:val="118"/>
          <w:jc w:val="center"/>
        </w:trPr>
        <w:tc>
          <w:tcPr>
            <w:tcW w:w="1869" w:type="dxa"/>
            <w:vMerge w:val="restart"/>
            <w:tcBorders>
              <w:right w:val="single" w:sz="4" w:space="0" w:color="auto"/>
            </w:tcBorders>
            <w:shd w:val="clear" w:color="auto" w:fill="FFFFFF"/>
            <w:vAlign w:val="center"/>
          </w:tcPr>
          <w:p w:rsidR="00157368" w:rsidRPr="00654E45" w:rsidRDefault="00157368" w:rsidP="00DC15DD">
            <w:pPr>
              <w:spacing w:line="180" w:lineRule="exact"/>
              <w:contextualSpacing/>
              <w:jc w:val="left"/>
              <w:rPr>
                <w:rFonts w:cs="Calibri"/>
                <w:color w:val="auto"/>
                <w:sz w:val="18"/>
              </w:rPr>
            </w:pPr>
            <w:r w:rsidRPr="00654E45">
              <w:rPr>
                <w:rFonts w:cs="Calibri"/>
                <w:color w:val="auto"/>
                <w:sz w:val="18"/>
              </w:rPr>
              <w:t>DM, Requiring Insulin and Restricted Diet</w:t>
            </w:r>
          </w:p>
        </w:tc>
        <w:tc>
          <w:tcPr>
            <w:tcW w:w="1080" w:type="dxa"/>
            <w:vMerge w:val="restart"/>
            <w:tcBorders>
              <w:left w:val="single" w:sz="4" w:space="0" w:color="auto"/>
            </w:tcBorders>
            <w:shd w:val="clear" w:color="auto" w:fill="FFFFFF"/>
            <w:vAlign w:val="center"/>
          </w:tcPr>
          <w:p w:rsidR="00157368" w:rsidRPr="00654E45" w:rsidRDefault="00157368" w:rsidP="00DC15DD">
            <w:pPr>
              <w:spacing w:line="180" w:lineRule="exact"/>
              <w:contextualSpacing/>
              <w:rPr>
                <w:rFonts w:cs="Calibri"/>
                <w:color w:val="auto"/>
                <w:sz w:val="18"/>
              </w:rPr>
            </w:pPr>
            <w:r w:rsidRPr="00654E45">
              <w:rPr>
                <w:rFonts w:cs="Calibri"/>
                <w:color w:val="auto"/>
                <w:sz w:val="18"/>
              </w:rPr>
              <w:t>7913</w:t>
            </w:r>
          </w:p>
        </w:tc>
        <w:tc>
          <w:tcPr>
            <w:tcW w:w="720" w:type="dxa"/>
            <w:vMerge w:val="restart"/>
            <w:tcBorders>
              <w:right w:val="thinThickThinSmallGap" w:sz="24" w:space="0" w:color="auto"/>
            </w:tcBorders>
            <w:shd w:val="clear" w:color="auto" w:fill="FFFFFF"/>
            <w:vAlign w:val="center"/>
          </w:tcPr>
          <w:p w:rsidR="00157368" w:rsidRPr="00654E45" w:rsidRDefault="00157368" w:rsidP="00DC15DD">
            <w:pPr>
              <w:spacing w:line="180" w:lineRule="exact"/>
              <w:rPr>
                <w:rFonts w:cs="Calibri"/>
                <w:color w:val="auto"/>
                <w:sz w:val="18"/>
              </w:rPr>
            </w:pPr>
            <w:r w:rsidRPr="00654E45">
              <w:rPr>
                <w:rFonts w:cs="Calibri"/>
                <w:color w:val="auto"/>
                <w:sz w:val="18"/>
              </w:rPr>
              <w:t>20%</w:t>
            </w:r>
          </w:p>
        </w:tc>
        <w:tc>
          <w:tcPr>
            <w:tcW w:w="2611" w:type="dxa"/>
            <w:tcBorders>
              <w:left w:val="thinThickThinSmallGap" w:sz="24" w:space="0" w:color="auto"/>
            </w:tcBorders>
            <w:shd w:val="clear" w:color="auto" w:fill="FFFFFF"/>
            <w:vAlign w:val="center"/>
          </w:tcPr>
          <w:p w:rsidR="00157368" w:rsidRPr="00654E45" w:rsidRDefault="00157368" w:rsidP="00E66A20">
            <w:pPr>
              <w:spacing w:line="180" w:lineRule="exact"/>
              <w:contextualSpacing/>
              <w:jc w:val="left"/>
              <w:rPr>
                <w:color w:val="auto"/>
                <w:sz w:val="18"/>
              </w:rPr>
            </w:pPr>
            <w:r w:rsidRPr="00654E45">
              <w:rPr>
                <w:color w:val="auto"/>
                <w:sz w:val="18"/>
              </w:rPr>
              <w:t>DM</w:t>
            </w:r>
          </w:p>
        </w:tc>
        <w:tc>
          <w:tcPr>
            <w:tcW w:w="1082" w:type="dxa"/>
            <w:shd w:val="clear" w:color="auto" w:fill="FFFFFF"/>
            <w:vAlign w:val="center"/>
          </w:tcPr>
          <w:p w:rsidR="00157368" w:rsidRPr="00654E45" w:rsidRDefault="00157368" w:rsidP="00E66A20">
            <w:pPr>
              <w:spacing w:line="180" w:lineRule="exact"/>
              <w:contextualSpacing/>
              <w:rPr>
                <w:color w:val="auto"/>
                <w:sz w:val="18"/>
              </w:rPr>
            </w:pPr>
            <w:r w:rsidRPr="00654E45">
              <w:rPr>
                <w:color w:val="auto"/>
                <w:sz w:val="18"/>
              </w:rPr>
              <w:t>7913</w:t>
            </w:r>
          </w:p>
        </w:tc>
        <w:tc>
          <w:tcPr>
            <w:tcW w:w="720" w:type="dxa"/>
            <w:shd w:val="clear" w:color="auto" w:fill="FFFFFF"/>
            <w:vAlign w:val="center"/>
          </w:tcPr>
          <w:p w:rsidR="00157368" w:rsidRPr="00654E45" w:rsidRDefault="00157368" w:rsidP="00E66A20">
            <w:pPr>
              <w:spacing w:line="180" w:lineRule="exact"/>
              <w:contextualSpacing/>
              <w:rPr>
                <w:color w:val="auto"/>
                <w:sz w:val="18"/>
              </w:rPr>
            </w:pPr>
            <w:r w:rsidRPr="00654E45">
              <w:rPr>
                <w:color w:val="auto"/>
                <w:sz w:val="18"/>
              </w:rPr>
              <w:t>20%</w:t>
            </w:r>
          </w:p>
        </w:tc>
        <w:tc>
          <w:tcPr>
            <w:tcW w:w="990" w:type="dxa"/>
            <w:shd w:val="clear" w:color="auto" w:fill="FFFFFF"/>
            <w:vAlign w:val="center"/>
          </w:tcPr>
          <w:p w:rsidR="00157368" w:rsidRPr="00654E45" w:rsidRDefault="00157368" w:rsidP="00E66A20">
            <w:pPr>
              <w:spacing w:line="180" w:lineRule="exact"/>
              <w:contextualSpacing/>
              <w:rPr>
                <w:color w:val="auto"/>
                <w:sz w:val="18"/>
              </w:rPr>
            </w:pPr>
            <w:r w:rsidRPr="00654E45">
              <w:rPr>
                <w:color w:val="auto"/>
                <w:sz w:val="18"/>
              </w:rPr>
              <w:t>20031120</w:t>
            </w:r>
          </w:p>
        </w:tc>
      </w:tr>
      <w:tr w:rsidR="00157368" w:rsidRPr="00F64312" w:rsidTr="00B001B8">
        <w:trPr>
          <w:trHeight w:val="180"/>
          <w:jc w:val="center"/>
        </w:trPr>
        <w:tc>
          <w:tcPr>
            <w:tcW w:w="1869" w:type="dxa"/>
            <w:vMerge/>
            <w:tcBorders>
              <w:right w:val="single" w:sz="4" w:space="0" w:color="auto"/>
            </w:tcBorders>
            <w:shd w:val="clear" w:color="auto" w:fill="FFFFFF"/>
            <w:vAlign w:val="center"/>
          </w:tcPr>
          <w:p w:rsidR="00157368" w:rsidRPr="00654E45" w:rsidRDefault="00157368" w:rsidP="00DC15DD">
            <w:pPr>
              <w:spacing w:line="180" w:lineRule="exact"/>
              <w:contextualSpacing/>
              <w:jc w:val="left"/>
              <w:rPr>
                <w:b/>
                <w:color w:val="auto"/>
                <w:sz w:val="18"/>
              </w:rPr>
            </w:pPr>
          </w:p>
        </w:tc>
        <w:tc>
          <w:tcPr>
            <w:tcW w:w="1080" w:type="dxa"/>
            <w:vMerge/>
            <w:tcBorders>
              <w:left w:val="single" w:sz="4" w:space="0" w:color="auto"/>
            </w:tcBorders>
            <w:shd w:val="clear" w:color="auto" w:fill="FFFFFF"/>
            <w:vAlign w:val="center"/>
          </w:tcPr>
          <w:p w:rsidR="00157368" w:rsidRPr="00654E45" w:rsidRDefault="00157368" w:rsidP="00DC15DD">
            <w:pPr>
              <w:spacing w:line="180" w:lineRule="exact"/>
              <w:contextualSpacing/>
              <w:rPr>
                <w:b/>
                <w:color w:val="auto"/>
                <w:sz w:val="18"/>
              </w:rPr>
            </w:pPr>
          </w:p>
        </w:tc>
        <w:tc>
          <w:tcPr>
            <w:tcW w:w="720" w:type="dxa"/>
            <w:vMerge/>
            <w:tcBorders>
              <w:right w:val="thinThickThinSmallGap" w:sz="24" w:space="0" w:color="auto"/>
            </w:tcBorders>
            <w:shd w:val="clear" w:color="auto" w:fill="FFFFFF"/>
            <w:vAlign w:val="center"/>
          </w:tcPr>
          <w:p w:rsidR="00157368" w:rsidRPr="00654E45" w:rsidRDefault="00157368" w:rsidP="00DC15DD">
            <w:pPr>
              <w:spacing w:line="180" w:lineRule="exact"/>
              <w:rPr>
                <w:color w:val="auto"/>
                <w:sz w:val="18"/>
              </w:rPr>
            </w:pPr>
          </w:p>
        </w:tc>
        <w:tc>
          <w:tcPr>
            <w:tcW w:w="2611" w:type="dxa"/>
            <w:tcBorders>
              <w:left w:val="thinThickThinSmallGap" w:sz="24" w:space="0" w:color="auto"/>
            </w:tcBorders>
            <w:shd w:val="clear" w:color="auto" w:fill="FFFFFF"/>
            <w:vAlign w:val="center"/>
          </w:tcPr>
          <w:p w:rsidR="00157368" w:rsidRPr="00654E45" w:rsidRDefault="00157368" w:rsidP="00674FC4">
            <w:pPr>
              <w:spacing w:line="180" w:lineRule="exact"/>
              <w:contextualSpacing/>
              <w:jc w:val="left"/>
              <w:rPr>
                <w:rFonts w:cs="Calibri"/>
                <w:color w:val="auto"/>
                <w:sz w:val="18"/>
              </w:rPr>
            </w:pPr>
            <w:r w:rsidRPr="00654E45">
              <w:rPr>
                <w:rFonts w:cs="Calibri"/>
                <w:color w:val="auto"/>
                <w:sz w:val="18"/>
              </w:rPr>
              <w:t>Diabetic Renal Insufficiency and Hypertension</w:t>
            </w:r>
          </w:p>
        </w:tc>
        <w:tc>
          <w:tcPr>
            <w:tcW w:w="1082" w:type="dxa"/>
            <w:shd w:val="clear" w:color="auto" w:fill="FFFFFF"/>
            <w:vAlign w:val="center"/>
          </w:tcPr>
          <w:p w:rsidR="00157368" w:rsidRPr="00654E45" w:rsidRDefault="00157368" w:rsidP="00674FC4">
            <w:pPr>
              <w:spacing w:line="180" w:lineRule="exact"/>
              <w:contextualSpacing/>
              <w:rPr>
                <w:rFonts w:cs="Calibri"/>
                <w:color w:val="auto"/>
                <w:sz w:val="18"/>
              </w:rPr>
            </w:pPr>
            <w:r w:rsidRPr="00654E45">
              <w:rPr>
                <w:rFonts w:cs="Calibri"/>
                <w:color w:val="auto"/>
                <w:sz w:val="18"/>
              </w:rPr>
              <w:t>7101-7541</w:t>
            </w:r>
          </w:p>
        </w:tc>
        <w:tc>
          <w:tcPr>
            <w:tcW w:w="720" w:type="dxa"/>
            <w:shd w:val="clear" w:color="auto" w:fill="FFFFFF"/>
            <w:vAlign w:val="center"/>
          </w:tcPr>
          <w:p w:rsidR="00157368" w:rsidRPr="00654E45" w:rsidRDefault="00157368" w:rsidP="00674FC4">
            <w:pPr>
              <w:spacing w:line="180" w:lineRule="exact"/>
              <w:contextualSpacing/>
              <w:rPr>
                <w:rFonts w:cs="Calibri"/>
                <w:color w:val="auto"/>
                <w:sz w:val="18"/>
              </w:rPr>
            </w:pPr>
            <w:r w:rsidRPr="00654E45">
              <w:rPr>
                <w:rFonts w:cs="Calibri"/>
                <w:color w:val="auto"/>
                <w:sz w:val="18"/>
              </w:rPr>
              <w:t>30%</w:t>
            </w:r>
          </w:p>
        </w:tc>
        <w:tc>
          <w:tcPr>
            <w:tcW w:w="990" w:type="dxa"/>
            <w:shd w:val="clear" w:color="auto" w:fill="FFFFFF"/>
            <w:vAlign w:val="center"/>
          </w:tcPr>
          <w:p w:rsidR="00157368" w:rsidRPr="00654E45" w:rsidRDefault="00157368" w:rsidP="00674FC4">
            <w:pPr>
              <w:spacing w:line="180" w:lineRule="exact"/>
              <w:contextualSpacing/>
              <w:rPr>
                <w:rFonts w:cs="Calibri"/>
                <w:color w:val="auto"/>
                <w:sz w:val="18"/>
              </w:rPr>
            </w:pPr>
            <w:r w:rsidRPr="00654E45">
              <w:rPr>
                <w:color w:val="auto"/>
                <w:sz w:val="18"/>
              </w:rPr>
              <w:t>20031120</w:t>
            </w:r>
          </w:p>
        </w:tc>
      </w:tr>
      <w:tr w:rsidR="00227487" w:rsidRPr="00F64312" w:rsidTr="003425A8">
        <w:trPr>
          <w:trHeight w:val="118"/>
          <w:jc w:val="center"/>
        </w:trPr>
        <w:tc>
          <w:tcPr>
            <w:tcW w:w="1869" w:type="dxa"/>
            <w:tcBorders>
              <w:right w:val="single" w:sz="4" w:space="0" w:color="auto"/>
            </w:tcBorders>
            <w:shd w:val="clear" w:color="auto" w:fill="FFFFFF"/>
            <w:vAlign w:val="center"/>
          </w:tcPr>
          <w:p w:rsidR="00227487" w:rsidRDefault="00227487" w:rsidP="006B690F">
            <w:pPr>
              <w:spacing w:line="180" w:lineRule="exact"/>
              <w:contextualSpacing/>
              <w:jc w:val="left"/>
              <w:rPr>
                <w:color w:val="auto"/>
                <w:sz w:val="18"/>
              </w:rPr>
            </w:pPr>
            <w:r>
              <w:rPr>
                <w:color w:val="auto"/>
                <w:sz w:val="18"/>
              </w:rPr>
              <w:t>Mild Anemia</w:t>
            </w:r>
          </w:p>
        </w:tc>
        <w:tc>
          <w:tcPr>
            <w:tcW w:w="1800" w:type="dxa"/>
            <w:gridSpan w:val="2"/>
            <w:tcBorders>
              <w:left w:val="single" w:sz="4" w:space="0" w:color="auto"/>
              <w:right w:val="thinThickThinSmallGap" w:sz="24" w:space="0" w:color="auto"/>
            </w:tcBorders>
            <w:shd w:val="clear" w:color="auto" w:fill="FFFFFF"/>
            <w:vAlign w:val="center"/>
          </w:tcPr>
          <w:p w:rsidR="00227487" w:rsidRDefault="00227487" w:rsidP="006B690F">
            <w:pPr>
              <w:spacing w:line="180" w:lineRule="exact"/>
              <w:rPr>
                <w:color w:val="auto"/>
                <w:sz w:val="18"/>
              </w:rPr>
            </w:pPr>
            <w:r w:rsidRPr="00F64312">
              <w:rPr>
                <w:color w:val="auto"/>
                <w:sz w:val="18"/>
              </w:rPr>
              <w:t>Not Unfitting</w:t>
            </w:r>
          </w:p>
        </w:tc>
        <w:tc>
          <w:tcPr>
            <w:tcW w:w="2611" w:type="dxa"/>
            <w:tcBorders>
              <w:left w:val="thinThickThinSmallGap" w:sz="24" w:space="0" w:color="auto"/>
              <w:bottom w:val="single" w:sz="4" w:space="0" w:color="auto"/>
            </w:tcBorders>
            <w:shd w:val="clear" w:color="auto" w:fill="FFFFFF"/>
            <w:vAlign w:val="center"/>
          </w:tcPr>
          <w:p w:rsidR="00227487" w:rsidRPr="00F64312" w:rsidRDefault="00227487" w:rsidP="0017172C">
            <w:pPr>
              <w:spacing w:line="180" w:lineRule="exact"/>
              <w:contextualSpacing/>
              <w:jc w:val="left"/>
              <w:rPr>
                <w:color w:val="auto"/>
                <w:sz w:val="18"/>
              </w:rPr>
            </w:pPr>
            <w:r>
              <w:rPr>
                <w:color w:val="auto"/>
                <w:sz w:val="18"/>
              </w:rPr>
              <w:t>Anemia</w:t>
            </w:r>
          </w:p>
        </w:tc>
        <w:tc>
          <w:tcPr>
            <w:tcW w:w="1082" w:type="dxa"/>
            <w:tcBorders>
              <w:bottom w:val="single" w:sz="4" w:space="0" w:color="auto"/>
            </w:tcBorders>
            <w:shd w:val="clear" w:color="auto" w:fill="FFFFFF"/>
            <w:vAlign w:val="center"/>
          </w:tcPr>
          <w:p w:rsidR="00227487" w:rsidRPr="00F64312" w:rsidRDefault="00227487" w:rsidP="0017172C">
            <w:pPr>
              <w:spacing w:line="180" w:lineRule="exact"/>
              <w:contextualSpacing/>
              <w:rPr>
                <w:color w:val="auto"/>
                <w:sz w:val="18"/>
              </w:rPr>
            </w:pPr>
            <w:r>
              <w:rPr>
                <w:color w:val="auto"/>
                <w:sz w:val="18"/>
              </w:rPr>
              <w:t>770</w:t>
            </w:r>
            <w:r w:rsidR="00281F8B">
              <w:rPr>
                <w:color w:val="auto"/>
                <w:sz w:val="18"/>
              </w:rPr>
              <w:t>0</w:t>
            </w:r>
          </w:p>
        </w:tc>
        <w:tc>
          <w:tcPr>
            <w:tcW w:w="720" w:type="dxa"/>
            <w:tcBorders>
              <w:bottom w:val="single" w:sz="4" w:space="0" w:color="auto"/>
            </w:tcBorders>
            <w:shd w:val="clear" w:color="auto" w:fill="FFFFFF"/>
            <w:vAlign w:val="center"/>
          </w:tcPr>
          <w:p w:rsidR="00227487" w:rsidRPr="00F64312" w:rsidRDefault="00227487" w:rsidP="0017172C">
            <w:pPr>
              <w:spacing w:line="180" w:lineRule="exact"/>
              <w:contextualSpacing/>
              <w:rPr>
                <w:color w:val="auto"/>
                <w:sz w:val="18"/>
              </w:rPr>
            </w:pPr>
            <w:r>
              <w:rPr>
                <w:color w:val="auto"/>
                <w:sz w:val="18"/>
              </w:rPr>
              <w:t>10%</w:t>
            </w:r>
          </w:p>
        </w:tc>
        <w:tc>
          <w:tcPr>
            <w:tcW w:w="990" w:type="dxa"/>
            <w:tcBorders>
              <w:bottom w:val="single" w:sz="4" w:space="0" w:color="auto"/>
            </w:tcBorders>
            <w:shd w:val="clear" w:color="auto" w:fill="FFFFFF"/>
            <w:vAlign w:val="center"/>
          </w:tcPr>
          <w:p w:rsidR="00227487" w:rsidRPr="00227487" w:rsidRDefault="002A6747" w:rsidP="0017172C">
            <w:pPr>
              <w:spacing w:line="180" w:lineRule="exact"/>
              <w:contextualSpacing/>
              <w:rPr>
                <w:color w:val="auto"/>
                <w:sz w:val="18"/>
              </w:rPr>
            </w:pPr>
            <w:r>
              <w:rPr>
                <w:color w:val="auto"/>
                <w:sz w:val="18"/>
              </w:rPr>
              <w:t>20031120</w:t>
            </w:r>
          </w:p>
        </w:tc>
      </w:tr>
      <w:tr w:rsidR="00654E45" w:rsidRPr="00F64312" w:rsidTr="0079169A">
        <w:trPr>
          <w:trHeight w:val="118"/>
          <w:jc w:val="center"/>
        </w:trPr>
        <w:tc>
          <w:tcPr>
            <w:tcW w:w="1869" w:type="dxa"/>
            <w:tcBorders>
              <w:right w:val="single" w:sz="4" w:space="0" w:color="auto"/>
            </w:tcBorders>
            <w:shd w:val="clear" w:color="auto" w:fill="FFFFFF"/>
            <w:vAlign w:val="center"/>
          </w:tcPr>
          <w:p w:rsidR="00654E45" w:rsidRPr="00F64312" w:rsidRDefault="00654E45" w:rsidP="00A005EF">
            <w:pPr>
              <w:spacing w:line="180" w:lineRule="exact"/>
              <w:contextualSpacing/>
              <w:jc w:val="left"/>
              <w:rPr>
                <w:rFonts w:cs="Calibri"/>
                <w:color w:val="auto"/>
                <w:sz w:val="18"/>
              </w:rPr>
            </w:pPr>
            <w:r>
              <w:rPr>
                <w:rFonts w:cs="Calibri"/>
                <w:color w:val="auto"/>
                <w:sz w:val="18"/>
              </w:rPr>
              <w:t>Elevated Liver Enzymes</w:t>
            </w:r>
          </w:p>
        </w:tc>
        <w:tc>
          <w:tcPr>
            <w:tcW w:w="1800" w:type="dxa"/>
            <w:gridSpan w:val="2"/>
            <w:tcBorders>
              <w:left w:val="single" w:sz="4" w:space="0" w:color="auto"/>
              <w:right w:val="thinThickThinSmallGap" w:sz="24" w:space="0" w:color="auto"/>
            </w:tcBorders>
            <w:shd w:val="clear" w:color="auto" w:fill="FFFFFF"/>
            <w:vAlign w:val="center"/>
          </w:tcPr>
          <w:p w:rsidR="00654E45" w:rsidRPr="00F64312" w:rsidRDefault="00654E45" w:rsidP="00A005EF">
            <w:pPr>
              <w:spacing w:line="180" w:lineRule="exact"/>
              <w:rPr>
                <w:rFonts w:cs="Calibri"/>
                <w:color w:val="auto"/>
                <w:sz w:val="18"/>
              </w:rPr>
            </w:pPr>
            <w:r w:rsidRPr="00F64312">
              <w:rPr>
                <w:color w:val="auto"/>
                <w:sz w:val="18"/>
              </w:rPr>
              <w:t>Not Unfitting</w:t>
            </w:r>
          </w:p>
        </w:tc>
        <w:tc>
          <w:tcPr>
            <w:tcW w:w="4413" w:type="dxa"/>
            <w:gridSpan w:val="3"/>
            <w:tcBorders>
              <w:left w:val="thinThickThinSmallGap" w:sz="24" w:space="0" w:color="auto"/>
              <w:bottom w:val="single" w:sz="4" w:space="0" w:color="auto"/>
            </w:tcBorders>
            <w:shd w:val="clear" w:color="auto" w:fill="FFFFFF"/>
            <w:vAlign w:val="center"/>
          </w:tcPr>
          <w:p w:rsidR="00654E45" w:rsidRDefault="00654E45" w:rsidP="00654E45">
            <w:pPr>
              <w:spacing w:line="180" w:lineRule="exact"/>
              <w:contextualSpacing/>
              <w:jc w:val="left"/>
              <w:rPr>
                <w:color w:val="auto"/>
                <w:sz w:val="18"/>
              </w:rPr>
            </w:pPr>
            <w:r w:rsidRPr="00654E45">
              <w:rPr>
                <w:color w:val="auto"/>
                <w:sz w:val="18"/>
              </w:rPr>
              <w:t>No VA entry</w:t>
            </w:r>
          </w:p>
        </w:tc>
        <w:tc>
          <w:tcPr>
            <w:tcW w:w="990" w:type="dxa"/>
            <w:tcBorders>
              <w:bottom w:val="single" w:sz="4" w:space="0" w:color="auto"/>
            </w:tcBorders>
            <w:shd w:val="clear" w:color="auto" w:fill="FFFFFF"/>
            <w:vAlign w:val="center"/>
          </w:tcPr>
          <w:p w:rsidR="00654E45" w:rsidRDefault="00654E45" w:rsidP="0017172C">
            <w:pPr>
              <w:spacing w:line="180" w:lineRule="exact"/>
              <w:contextualSpacing/>
              <w:rPr>
                <w:color w:val="auto"/>
                <w:sz w:val="18"/>
              </w:rPr>
            </w:pPr>
            <w:r>
              <w:rPr>
                <w:color w:val="auto"/>
                <w:sz w:val="18"/>
              </w:rPr>
              <w:t>20031120</w:t>
            </w:r>
          </w:p>
        </w:tc>
      </w:tr>
      <w:tr w:rsidR="00D348CE" w:rsidRPr="00F64312" w:rsidTr="00CA0CAB">
        <w:trPr>
          <w:trHeight w:val="97"/>
          <w:jc w:val="center"/>
        </w:trPr>
        <w:tc>
          <w:tcPr>
            <w:tcW w:w="3669" w:type="dxa"/>
            <w:gridSpan w:val="3"/>
            <w:vMerge w:val="restart"/>
            <w:tcBorders>
              <w:right w:val="thinThickThinSmallGap" w:sz="24" w:space="0" w:color="auto"/>
            </w:tcBorders>
            <w:shd w:val="clear" w:color="auto" w:fill="FFFFFF"/>
            <w:vAlign w:val="center"/>
          </w:tcPr>
          <w:p w:rsidR="00D348CE" w:rsidRPr="00F64312" w:rsidRDefault="00D348CE" w:rsidP="006B690F">
            <w:pPr>
              <w:spacing w:line="180" w:lineRule="exact"/>
              <w:contextualSpacing/>
              <w:rPr>
                <w:rFonts w:cs="Calibri"/>
                <w:color w:val="auto"/>
                <w:sz w:val="18"/>
              </w:rPr>
            </w:pPr>
            <w:r w:rsidRPr="00F64312">
              <w:rPr>
                <w:rFonts w:cs="Calibri"/>
                <w:color w:val="auto"/>
                <w:sz w:val="18"/>
                <w:szCs w:val="18"/>
              </w:rPr>
              <w:t>↓No Additional MEB/PEB Entries↓</w:t>
            </w:r>
          </w:p>
        </w:tc>
        <w:tc>
          <w:tcPr>
            <w:tcW w:w="2611" w:type="dxa"/>
            <w:tcBorders>
              <w:top w:val="single" w:sz="4" w:space="0" w:color="auto"/>
              <w:left w:val="thinThickThinSmallGap" w:sz="24" w:space="0" w:color="auto"/>
            </w:tcBorders>
            <w:shd w:val="clear" w:color="auto" w:fill="FFFFFF"/>
            <w:vAlign w:val="center"/>
          </w:tcPr>
          <w:p w:rsidR="00D348CE" w:rsidRPr="00F64312" w:rsidRDefault="00EA399E" w:rsidP="00CA7EEC">
            <w:pPr>
              <w:spacing w:line="180" w:lineRule="exact"/>
              <w:contextualSpacing/>
              <w:jc w:val="left"/>
              <w:rPr>
                <w:rFonts w:cs="Calibri"/>
                <w:color w:val="auto"/>
                <w:sz w:val="18"/>
              </w:rPr>
            </w:pPr>
            <w:r>
              <w:rPr>
                <w:rFonts w:cs="Calibri"/>
                <w:color w:val="auto"/>
                <w:sz w:val="18"/>
              </w:rPr>
              <w:t>Traumatic Arthritis Left Hip</w:t>
            </w:r>
          </w:p>
        </w:tc>
        <w:tc>
          <w:tcPr>
            <w:tcW w:w="1082" w:type="dxa"/>
            <w:tcBorders>
              <w:top w:val="single" w:sz="4" w:space="0" w:color="auto"/>
              <w:bottom w:val="single" w:sz="4" w:space="0" w:color="auto"/>
            </w:tcBorders>
            <w:shd w:val="clear" w:color="auto" w:fill="FFFFFF"/>
            <w:vAlign w:val="center"/>
          </w:tcPr>
          <w:p w:rsidR="00D348CE" w:rsidRPr="00765BA5" w:rsidRDefault="00EA399E" w:rsidP="00CA7EEC">
            <w:pPr>
              <w:spacing w:line="180" w:lineRule="exact"/>
              <w:contextualSpacing/>
              <w:rPr>
                <w:color w:val="auto"/>
                <w:sz w:val="18"/>
              </w:rPr>
            </w:pPr>
            <w:r w:rsidRPr="00765BA5">
              <w:rPr>
                <w:color w:val="auto"/>
                <w:sz w:val="18"/>
              </w:rPr>
              <w:t>5010-5252</w:t>
            </w:r>
          </w:p>
        </w:tc>
        <w:tc>
          <w:tcPr>
            <w:tcW w:w="720" w:type="dxa"/>
            <w:tcBorders>
              <w:top w:val="single" w:sz="4" w:space="0" w:color="auto"/>
            </w:tcBorders>
            <w:shd w:val="clear" w:color="auto" w:fill="FFFFFF"/>
            <w:vAlign w:val="center"/>
          </w:tcPr>
          <w:p w:rsidR="00D348CE" w:rsidRPr="00765BA5" w:rsidRDefault="00EA399E" w:rsidP="00CA7EEC">
            <w:pPr>
              <w:spacing w:line="180" w:lineRule="exact"/>
              <w:contextualSpacing/>
              <w:rPr>
                <w:color w:val="auto"/>
                <w:sz w:val="18"/>
              </w:rPr>
            </w:pPr>
            <w:r w:rsidRPr="00765BA5">
              <w:rPr>
                <w:color w:val="auto"/>
                <w:sz w:val="18"/>
              </w:rPr>
              <w:t>10%</w:t>
            </w:r>
          </w:p>
        </w:tc>
        <w:tc>
          <w:tcPr>
            <w:tcW w:w="990" w:type="dxa"/>
            <w:tcBorders>
              <w:top w:val="single" w:sz="4" w:space="0" w:color="auto"/>
            </w:tcBorders>
            <w:shd w:val="clear" w:color="auto" w:fill="FFFFFF"/>
            <w:vAlign w:val="center"/>
          </w:tcPr>
          <w:p w:rsidR="00D348CE" w:rsidRPr="00765BA5" w:rsidRDefault="002A6747" w:rsidP="0017172C">
            <w:pPr>
              <w:spacing w:line="180" w:lineRule="exact"/>
              <w:contextualSpacing/>
              <w:rPr>
                <w:rFonts w:cs="Calibri"/>
                <w:color w:val="auto"/>
                <w:sz w:val="18"/>
              </w:rPr>
            </w:pPr>
            <w:r w:rsidRPr="00765BA5">
              <w:rPr>
                <w:color w:val="auto"/>
                <w:sz w:val="18"/>
              </w:rPr>
              <w:t>20031120</w:t>
            </w:r>
          </w:p>
        </w:tc>
      </w:tr>
      <w:tr w:rsidR="00D348CE" w:rsidRPr="00F64312" w:rsidTr="00B001B8">
        <w:trPr>
          <w:trHeight w:val="97"/>
          <w:jc w:val="center"/>
        </w:trPr>
        <w:tc>
          <w:tcPr>
            <w:tcW w:w="3669" w:type="dxa"/>
            <w:gridSpan w:val="3"/>
            <w:vMerge/>
            <w:tcBorders>
              <w:right w:val="thinThickThinSmallGap" w:sz="24" w:space="0" w:color="auto"/>
            </w:tcBorders>
            <w:shd w:val="clear" w:color="auto" w:fill="FFFFFF"/>
            <w:vAlign w:val="center"/>
          </w:tcPr>
          <w:p w:rsidR="00D348CE" w:rsidRPr="00F64312" w:rsidRDefault="00D348CE" w:rsidP="006B690F">
            <w:pPr>
              <w:spacing w:line="180" w:lineRule="exact"/>
              <w:contextualSpacing/>
              <w:rPr>
                <w:color w:val="auto"/>
                <w:sz w:val="18"/>
              </w:rPr>
            </w:pPr>
          </w:p>
        </w:tc>
        <w:tc>
          <w:tcPr>
            <w:tcW w:w="2611" w:type="dxa"/>
            <w:tcBorders>
              <w:left w:val="thinThickThinSmallGap" w:sz="24" w:space="0" w:color="auto"/>
              <w:right w:val="single" w:sz="4" w:space="0" w:color="auto"/>
            </w:tcBorders>
            <w:shd w:val="clear" w:color="auto" w:fill="FFFFFF"/>
            <w:vAlign w:val="center"/>
          </w:tcPr>
          <w:p w:rsidR="00D348CE" w:rsidRPr="00F64312" w:rsidRDefault="00EA399E" w:rsidP="00CA7EEC">
            <w:pPr>
              <w:spacing w:line="180" w:lineRule="exact"/>
              <w:contextualSpacing/>
              <w:jc w:val="left"/>
              <w:rPr>
                <w:color w:val="auto"/>
                <w:sz w:val="18"/>
              </w:rPr>
            </w:pPr>
            <w:r>
              <w:rPr>
                <w:color w:val="auto"/>
                <w:sz w:val="18"/>
              </w:rPr>
              <w:t>Traumatic Arthritis Right Hip</w:t>
            </w:r>
          </w:p>
        </w:tc>
        <w:tc>
          <w:tcPr>
            <w:tcW w:w="1082" w:type="dxa"/>
            <w:tcBorders>
              <w:top w:val="single" w:sz="4" w:space="0" w:color="auto"/>
              <w:left w:val="single" w:sz="4" w:space="0" w:color="auto"/>
            </w:tcBorders>
            <w:shd w:val="clear" w:color="auto" w:fill="FFFFFF"/>
            <w:vAlign w:val="center"/>
          </w:tcPr>
          <w:p w:rsidR="00D348CE" w:rsidRPr="00765BA5" w:rsidRDefault="00EA399E" w:rsidP="0017172C">
            <w:pPr>
              <w:spacing w:line="180" w:lineRule="exact"/>
              <w:contextualSpacing/>
              <w:rPr>
                <w:color w:val="auto"/>
                <w:sz w:val="18"/>
              </w:rPr>
            </w:pPr>
            <w:r w:rsidRPr="00765BA5">
              <w:rPr>
                <w:color w:val="auto"/>
                <w:sz w:val="18"/>
              </w:rPr>
              <w:t>5010-5252</w:t>
            </w:r>
          </w:p>
        </w:tc>
        <w:tc>
          <w:tcPr>
            <w:tcW w:w="720" w:type="dxa"/>
            <w:shd w:val="clear" w:color="auto" w:fill="FFFFFF"/>
            <w:vAlign w:val="center"/>
          </w:tcPr>
          <w:p w:rsidR="00D348CE" w:rsidRPr="00765BA5" w:rsidRDefault="00EA399E" w:rsidP="0017172C">
            <w:pPr>
              <w:spacing w:line="180" w:lineRule="exact"/>
              <w:contextualSpacing/>
              <w:rPr>
                <w:color w:val="auto"/>
                <w:sz w:val="18"/>
              </w:rPr>
            </w:pPr>
            <w:r w:rsidRPr="00765BA5">
              <w:rPr>
                <w:color w:val="auto"/>
                <w:sz w:val="18"/>
              </w:rPr>
              <w:t>0%</w:t>
            </w:r>
          </w:p>
        </w:tc>
        <w:tc>
          <w:tcPr>
            <w:tcW w:w="990" w:type="dxa"/>
            <w:shd w:val="clear" w:color="auto" w:fill="FFFFFF"/>
            <w:vAlign w:val="center"/>
          </w:tcPr>
          <w:p w:rsidR="00D348CE" w:rsidRPr="00765BA5" w:rsidRDefault="002A6747" w:rsidP="0017172C">
            <w:pPr>
              <w:spacing w:line="180" w:lineRule="exact"/>
              <w:contextualSpacing/>
              <w:rPr>
                <w:color w:val="auto"/>
                <w:sz w:val="18"/>
              </w:rPr>
            </w:pPr>
            <w:r w:rsidRPr="00765BA5">
              <w:rPr>
                <w:color w:val="auto"/>
                <w:sz w:val="18"/>
              </w:rPr>
              <w:t>20031120</w:t>
            </w:r>
          </w:p>
        </w:tc>
      </w:tr>
      <w:tr w:rsidR="00D348CE" w:rsidRPr="00F64312" w:rsidTr="00B001B8">
        <w:trPr>
          <w:trHeight w:val="172"/>
          <w:jc w:val="center"/>
        </w:trPr>
        <w:tc>
          <w:tcPr>
            <w:tcW w:w="3669" w:type="dxa"/>
            <w:gridSpan w:val="3"/>
            <w:vMerge/>
            <w:tcBorders>
              <w:right w:val="thinThickThinSmallGap" w:sz="24" w:space="0" w:color="auto"/>
            </w:tcBorders>
            <w:shd w:val="clear" w:color="auto" w:fill="FFFFFF"/>
            <w:vAlign w:val="center"/>
          </w:tcPr>
          <w:p w:rsidR="00D348CE" w:rsidRPr="00F64312" w:rsidRDefault="00D348CE" w:rsidP="006B690F">
            <w:pPr>
              <w:spacing w:line="180" w:lineRule="exact"/>
              <w:contextualSpacing/>
              <w:rPr>
                <w:rFonts w:cs="Calibri"/>
                <w:color w:val="auto"/>
                <w:sz w:val="18"/>
              </w:rPr>
            </w:pPr>
          </w:p>
        </w:tc>
        <w:tc>
          <w:tcPr>
            <w:tcW w:w="4413" w:type="dxa"/>
            <w:gridSpan w:val="3"/>
            <w:tcBorders>
              <w:left w:val="thinThickThinSmallGap" w:sz="24" w:space="0" w:color="auto"/>
            </w:tcBorders>
            <w:shd w:val="clear" w:color="auto" w:fill="FFFFFF"/>
            <w:vAlign w:val="center"/>
          </w:tcPr>
          <w:p w:rsidR="00D348CE" w:rsidRPr="00765BA5" w:rsidRDefault="00DD3706" w:rsidP="0077201A">
            <w:pPr>
              <w:spacing w:line="180" w:lineRule="exact"/>
              <w:contextualSpacing/>
              <w:rPr>
                <w:rFonts w:cs="Calibri"/>
                <w:color w:val="auto"/>
                <w:sz w:val="18"/>
              </w:rPr>
            </w:pPr>
            <w:r w:rsidRPr="00765BA5">
              <w:rPr>
                <w:color w:val="auto"/>
                <w:sz w:val="18"/>
              </w:rPr>
              <w:t xml:space="preserve">0% X </w:t>
            </w:r>
            <w:r w:rsidR="0077201A" w:rsidRPr="00765BA5">
              <w:rPr>
                <w:color w:val="auto"/>
                <w:sz w:val="18"/>
              </w:rPr>
              <w:t>4</w:t>
            </w:r>
            <w:r w:rsidR="00D348CE" w:rsidRPr="00765BA5">
              <w:rPr>
                <w:color w:val="auto"/>
                <w:sz w:val="18"/>
              </w:rPr>
              <w:t xml:space="preserve"> / Not Service-Connected x </w:t>
            </w:r>
            <w:r w:rsidRPr="00765BA5">
              <w:rPr>
                <w:color w:val="auto"/>
                <w:sz w:val="18"/>
              </w:rPr>
              <w:t>7</w:t>
            </w:r>
          </w:p>
        </w:tc>
        <w:tc>
          <w:tcPr>
            <w:tcW w:w="990" w:type="dxa"/>
            <w:shd w:val="clear" w:color="auto" w:fill="FFFFFF"/>
            <w:vAlign w:val="center"/>
          </w:tcPr>
          <w:p w:rsidR="00D348CE" w:rsidRPr="00765BA5" w:rsidRDefault="002A6747" w:rsidP="0017172C">
            <w:pPr>
              <w:spacing w:line="180" w:lineRule="exact"/>
              <w:contextualSpacing/>
              <w:rPr>
                <w:rFonts w:cs="Calibri"/>
                <w:color w:val="auto"/>
                <w:sz w:val="18"/>
              </w:rPr>
            </w:pPr>
            <w:r w:rsidRPr="00765BA5">
              <w:rPr>
                <w:color w:val="auto"/>
                <w:sz w:val="18"/>
              </w:rPr>
              <w:t>20031120</w:t>
            </w:r>
          </w:p>
        </w:tc>
      </w:tr>
      <w:tr w:rsidR="00227487" w:rsidRPr="00F64312" w:rsidTr="00B001B8">
        <w:trPr>
          <w:trHeight w:val="124"/>
          <w:jc w:val="center"/>
        </w:trPr>
        <w:tc>
          <w:tcPr>
            <w:tcW w:w="3669" w:type="dxa"/>
            <w:gridSpan w:val="3"/>
            <w:tcBorders>
              <w:right w:val="thinThickThinSmallGap" w:sz="24" w:space="0" w:color="auto"/>
            </w:tcBorders>
            <w:shd w:val="clear" w:color="auto" w:fill="D9D9D9"/>
          </w:tcPr>
          <w:p w:rsidR="00227487" w:rsidRPr="00F64312" w:rsidRDefault="00227487" w:rsidP="006B690F">
            <w:pPr>
              <w:spacing w:line="180" w:lineRule="exact"/>
              <w:contextualSpacing/>
              <w:rPr>
                <w:rFonts w:cs="Calibri"/>
                <w:b/>
                <w:color w:val="auto"/>
                <w:sz w:val="18"/>
              </w:rPr>
            </w:pPr>
            <w:r w:rsidRPr="00F64312">
              <w:rPr>
                <w:b/>
                <w:color w:val="auto"/>
                <w:sz w:val="18"/>
              </w:rPr>
              <w:t xml:space="preserve">Combined:  </w:t>
            </w:r>
            <w:r>
              <w:rPr>
                <w:b/>
                <w:color w:val="auto"/>
                <w:sz w:val="18"/>
              </w:rPr>
              <w:t>20</w:t>
            </w:r>
            <w:r w:rsidRPr="00F64312">
              <w:rPr>
                <w:b/>
                <w:color w:val="auto"/>
                <w:sz w:val="18"/>
              </w:rPr>
              <w:t>%</w:t>
            </w:r>
          </w:p>
        </w:tc>
        <w:tc>
          <w:tcPr>
            <w:tcW w:w="5403" w:type="dxa"/>
            <w:gridSpan w:val="4"/>
            <w:tcBorders>
              <w:left w:val="thinThickThinSmallGap" w:sz="24" w:space="0" w:color="auto"/>
            </w:tcBorders>
            <w:shd w:val="clear" w:color="auto" w:fill="D9D9D9"/>
          </w:tcPr>
          <w:p w:rsidR="00227487" w:rsidRPr="00F64312" w:rsidRDefault="00227487" w:rsidP="006B690F">
            <w:pPr>
              <w:spacing w:line="180" w:lineRule="exact"/>
              <w:contextualSpacing/>
              <w:rPr>
                <w:rFonts w:cs="Calibri"/>
                <w:b/>
                <w:color w:val="auto"/>
                <w:sz w:val="18"/>
              </w:rPr>
            </w:pPr>
            <w:r w:rsidRPr="00F64312">
              <w:rPr>
                <w:b/>
                <w:color w:val="auto"/>
                <w:sz w:val="18"/>
              </w:rPr>
              <w:t xml:space="preserve">Combined:  </w:t>
            </w:r>
            <w:r w:rsidR="00DD3706">
              <w:rPr>
                <w:b/>
                <w:color w:val="auto"/>
                <w:sz w:val="18"/>
              </w:rPr>
              <w:t>60</w:t>
            </w:r>
            <w:r w:rsidRPr="00F64312">
              <w:rPr>
                <w:b/>
                <w:color w:val="auto"/>
                <w:sz w:val="18"/>
              </w:rPr>
              <w:t>%</w:t>
            </w:r>
          </w:p>
        </w:tc>
      </w:tr>
    </w:tbl>
    <w:p w:rsidR="00654E45" w:rsidRDefault="00AD2379" w:rsidP="00726F84">
      <w:pPr>
        <w:jc w:val="both"/>
        <w:rPr>
          <w:color w:val="auto"/>
          <w:sz w:val="23"/>
          <w:szCs w:val="23"/>
        </w:rPr>
      </w:pPr>
      <w:r w:rsidRPr="00654E45">
        <w:rPr>
          <w:color w:val="auto"/>
          <w:u w:val="single"/>
        </w:rPr>
        <w:t>ANALYSIS SUMMARY</w:t>
      </w:r>
      <w:r w:rsidRPr="00654E45">
        <w:rPr>
          <w:color w:val="auto"/>
        </w:rPr>
        <w:t>:</w:t>
      </w:r>
      <w:r w:rsidR="00896C01" w:rsidRPr="00654E45">
        <w:rPr>
          <w:color w:val="auto"/>
        </w:rPr>
        <w:t xml:space="preserve"> </w:t>
      </w:r>
      <w:r w:rsidRPr="00654E45">
        <w:rPr>
          <w:color w:val="auto"/>
        </w:rPr>
        <w:t xml:space="preserve"> </w:t>
      </w:r>
      <w:r w:rsidR="00654E45" w:rsidRPr="00654E45">
        <w:rPr>
          <w:color w:val="auto"/>
          <w:sz w:val="23"/>
          <w:szCs w:val="23"/>
        </w:rPr>
        <w:t xml:space="preserve">The Board acknowledges the sentiment expressed in the CI’s application regarding the significant impairment with which his service-incurred condition continues to burden him. </w:t>
      </w:r>
      <w:r w:rsidR="00B93E45">
        <w:rPr>
          <w:color w:val="auto"/>
          <w:sz w:val="23"/>
          <w:szCs w:val="23"/>
        </w:rPr>
        <w:t xml:space="preserve"> </w:t>
      </w:r>
      <w:r w:rsidR="00654E45" w:rsidRPr="00654E45">
        <w:rPr>
          <w:color w:val="auto"/>
          <w:sz w:val="23"/>
          <w:szCs w:val="23"/>
        </w:rPr>
        <w:t>The Board wishes to clarify that it is subject to the same laws for disability entitlements as those under which the Disability Evaluation System (DES) operates.</w:t>
      </w:r>
      <w:r w:rsidR="00B93E45">
        <w:rPr>
          <w:color w:val="auto"/>
          <w:sz w:val="23"/>
          <w:szCs w:val="23"/>
        </w:rPr>
        <w:t xml:space="preserve"> </w:t>
      </w:r>
      <w:r w:rsidR="00654E45" w:rsidRPr="00654E45">
        <w:rPr>
          <w:color w:val="auto"/>
          <w:sz w:val="23"/>
          <w:szCs w:val="23"/>
        </w:rPr>
        <w:t xml:space="preserve"> The DES has neither the role nor the authority to compensate service members for anticipated future severity or potential complications of conditions resulting in medical separation. </w:t>
      </w:r>
      <w:r w:rsidR="00B93E45">
        <w:rPr>
          <w:color w:val="auto"/>
          <w:sz w:val="23"/>
          <w:szCs w:val="23"/>
        </w:rPr>
        <w:t xml:space="preserve"> </w:t>
      </w:r>
      <w:r w:rsidR="00654E45" w:rsidRPr="00654E45">
        <w:rPr>
          <w:color w:val="auto"/>
          <w:sz w:val="23"/>
          <w:szCs w:val="23"/>
        </w:rPr>
        <w:t xml:space="preserve">That role and authority is granted by Congress to the </w:t>
      </w:r>
      <w:r w:rsidR="009E1A27">
        <w:rPr>
          <w:color w:val="auto"/>
          <w:sz w:val="23"/>
          <w:szCs w:val="23"/>
        </w:rPr>
        <w:t>DVA</w:t>
      </w:r>
      <w:r w:rsidR="00654E45" w:rsidRPr="00654E45">
        <w:rPr>
          <w:color w:val="auto"/>
          <w:sz w:val="23"/>
          <w:szCs w:val="23"/>
        </w:rPr>
        <w:t xml:space="preserve">, operating under a different set of laws (Title 38, United States Code). </w:t>
      </w:r>
      <w:r w:rsidR="00B93E45">
        <w:rPr>
          <w:color w:val="auto"/>
          <w:sz w:val="23"/>
          <w:szCs w:val="23"/>
        </w:rPr>
        <w:t xml:space="preserve"> </w:t>
      </w:r>
      <w:r w:rsidR="00654E45" w:rsidRPr="00654E45">
        <w:rPr>
          <w:color w:val="auto"/>
          <w:sz w:val="23"/>
          <w:szCs w:val="23"/>
        </w:rPr>
        <w:t xml:space="preserve">The Board evaluates </w:t>
      </w:r>
      <w:r w:rsidR="009E1A27">
        <w:rPr>
          <w:color w:val="auto"/>
          <w:sz w:val="23"/>
          <w:szCs w:val="23"/>
        </w:rPr>
        <w:t>D</w:t>
      </w:r>
      <w:r w:rsidR="00654E45" w:rsidRPr="00654E45">
        <w:rPr>
          <w:color w:val="auto"/>
          <w:sz w:val="23"/>
          <w:szCs w:val="23"/>
        </w:rPr>
        <w:t>VA evidence proximal to separation in arriving at its recommendations, but its authority resides in evaluating the fairness of DES fitness decisions and rating determinations for disability at the time of separation.</w:t>
      </w:r>
      <w:r w:rsidR="00B93E45">
        <w:rPr>
          <w:color w:val="auto"/>
          <w:sz w:val="23"/>
          <w:szCs w:val="23"/>
        </w:rPr>
        <w:t xml:space="preserve"> </w:t>
      </w:r>
      <w:r w:rsidR="00654E45" w:rsidRPr="00654E45">
        <w:rPr>
          <w:color w:val="auto"/>
          <w:sz w:val="23"/>
          <w:szCs w:val="23"/>
        </w:rPr>
        <w:t xml:space="preserve"> The Board further acknowledges the CI’s contention for ratings for other conditions documented at the time of separation, and notes that its recommendations in that regard must comply with the same governance. </w:t>
      </w:r>
      <w:r w:rsidR="00B93E45">
        <w:rPr>
          <w:color w:val="auto"/>
          <w:sz w:val="23"/>
          <w:szCs w:val="23"/>
        </w:rPr>
        <w:t xml:space="preserve"> </w:t>
      </w:r>
      <w:r w:rsidR="00654E45" w:rsidRPr="00654E45">
        <w:rPr>
          <w:color w:val="auto"/>
          <w:sz w:val="23"/>
          <w:szCs w:val="23"/>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B93E45">
        <w:rPr>
          <w:color w:val="auto"/>
          <w:sz w:val="23"/>
          <w:szCs w:val="23"/>
        </w:rPr>
        <w:t xml:space="preserve"> </w:t>
      </w:r>
      <w:r w:rsidR="00654E45" w:rsidRPr="00654E45">
        <w:rPr>
          <w:color w:val="auto"/>
          <w:sz w:val="23"/>
          <w:szCs w:val="23"/>
        </w:rPr>
        <w:t xml:space="preserve">The DVA, however, is </w:t>
      </w:r>
      <w:r w:rsidR="009E1A27">
        <w:rPr>
          <w:color w:val="auto"/>
          <w:sz w:val="23"/>
          <w:szCs w:val="23"/>
        </w:rPr>
        <w:t>empowered to compensate service-</w:t>
      </w:r>
      <w:r w:rsidR="00654E45" w:rsidRPr="00654E45">
        <w:rPr>
          <w:color w:val="auto"/>
          <w:sz w:val="23"/>
          <w:szCs w:val="23"/>
        </w:rPr>
        <w:t xml:space="preserve">connected conditions and to periodically re-evaluate said conditions for the </w:t>
      </w:r>
      <w:r w:rsidR="00654E45" w:rsidRPr="00B93E45">
        <w:rPr>
          <w:color w:val="auto"/>
          <w:sz w:val="23"/>
          <w:szCs w:val="23"/>
        </w:rPr>
        <w:t xml:space="preserve">purpose of adjusting the </w:t>
      </w:r>
      <w:r w:rsidR="009E1A27">
        <w:rPr>
          <w:color w:val="auto"/>
          <w:sz w:val="23"/>
          <w:szCs w:val="23"/>
        </w:rPr>
        <w:t>V</w:t>
      </w:r>
      <w:r w:rsidR="00654E45" w:rsidRPr="00B93E45">
        <w:rPr>
          <w:color w:val="auto"/>
          <w:sz w:val="23"/>
          <w:szCs w:val="23"/>
        </w:rPr>
        <w:t xml:space="preserve">eteran’s disability rating should </w:t>
      </w:r>
      <w:r w:rsidR="009E1A27">
        <w:rPr>
          <w:color w:val="auto"/>
          <w:sz w:val="23"/>
          <w:szCs w:val="23"/>
        </w:rPr>
        <w:t>the</w:t>
      </w:r>
      <w:r w:rsidR="00654E45" w:rsidRPr="00B93E45">
        <w:rPr>
          <w:color w:val="auto"/>
          <w:sz w:val="23"/>
          <w:szCs w:val="23"/>
        </w:rPr>
        <w:t xml:space="preserve"> degree of impairment vary over time.</w:t>
      </w:r>
    </w:p>
    <w:p w:rsidR="00B93E45" w:rsidRDefault="00B93E45" w:rsidP="00726F84">
      <w:pPr>
        <w:jc w:val="both"/>
        <w:rPr>
          <w:color w:val="auto"/>
          <w:sz w:val="23"/>
          <w:szCs w:val="23"/>
        </w:rPr>
      </w:pPr>
    </w:p>
    <w:p w:rsidR="00456E53" w:rsidRDefault="00A01735" w:rsidP="005D56E9">
      <w:pPr>
        <w:tabs>
          <w:tab w:val="left" w:pos="288"/>
          <w:tab w:val="left" w:pos="4752"/>
        </w:tabs>
        <w:jc w:val="both"/>
        <w:rPr>
          <w:color w:val="auto"/>
          <w:szCs w:val="24"/>
        </w:rPr>
      </w:pPr>
      <w:proofErr w:type="gramStart"/>
      <w:r w:rsidRPr="00765BA5">
        <w:rPr>
          <w:color w:val="auto"/>
          <w:u w:val="single"/>
        </w:rPr>
        <w:t>Diabetes Mellitus</w:t>
      </w:r>
      <w:r w:rsidR="00AD2379" w:rsidRPr="00765BA5">
        <w:rPr>
          <w:color w:val="auto"/>
          <w:u w:val="single"/>
        </w:rPr>
        <w:t xml:space="preserve"> Condition</w:t>
      </w:r>
      <w:r w:rsidR="00AD2379" w:rsidRPr="00765BA5">
        <w:rPr>
          <w:color w:val="auto"/>
        </w:rPr>
        <w:t>.</w:t>
      </w:r>
      <w:proofErr w:type="gramEnd"/>
      <w:r w:rsidR="00AD2379" w:rsidRPr="00F64312">
        <w:rPr>
          <w:color w:val="auto"/>
        </w:rPr>
        <w:t xml:space="preserve"> </w:t>
      </w:r>
      <w:r w:rsidR="00385708" w:rsidRPr="00F64312">
        <w:rPr>
          <w:color w:val="auto"/>
        </w:rPr>
        <w:t xml:space="preserve"> </w:t>
      </w:r>
      <w:r w:rsidR="00157368">
        <w:rPr>
          <w:color w:val="auto"/>
          <w:szCs w:val="24"/>
        </w:rPr>
        <w:t>The CI was d</w:t>
      </w:r>
      <w:r w:rsidR="00622F18">
        <w:rPr>
          <w:color w:val="auto"/>
          <w:szCs w:val="24"/>
        </w:rPr>
        <w:t xml:space="preserve">iagnosed with DM </w:t>
      </w:r>
      <w:r w:rsidR="004C498C">
        <w:rPr>
          <w:color w:val="auto"/>
          <w:szCs w:val="24"/>
        </w:rPr>
        <w:t xml:space="preserve">type II </w:t>
      </w:r>
      <w:r w:rsidR="00622F18">
        <w:rPr>
          <w:color w:val="auto"/>
          <w:szCs w:val="24"/>
        </w:rPr>
        <w:t>in 1995 and</w:t>
      </w:r>
      <w:r w:rsidR="00157368" w:rsidRPr="00AC421A">
        <w:rPr>
          <w:color w:val="auto"/>
          <w:szCs w:val="24"/>
        </w:rPr>
        <w:t xml:space="preserve"> was managed on oral medications until 2002 when he was placed on insulin for rising blood sugar levels</w:t>
      </w:r>
      <w:r w:rsidR="004C498C">
        <w:rPr>
          <w:color w:val="auto"/>
          <w:szCs w:val="24"/>
        </w:rPr>
        <w:t xml:space="preserve"> and newly diagnosed DM type I</w:t>
      </w:r>
      <w:r w:rsidR="00622F18">
        <w:rPr>
          <w:color w:val="auto"/>
          <w:szCs w:val="24"/>
        </w:rPr>
        <w:t xml:space="preserve">.  He experienced three hypoglycemic episodes requiring emergent treatment </w:t>
      </w:r>
      <w:r w:rsidR="004C498C">
        <w:rPr>
          <w:color w:val="auto"/>
          <w:szCs w:val="24"/>
        </w:rPr>
        <w:t xml:space="preserve">and hospitalizations </w:t>
      </w:r>
      <w:r w:rsidR="00622F18">
        <w:rPr>
          <w:color w:val="auto"/>
          <w:szCs w:val="24"/>
        </w:rPr>
        <w:t>within the first 8 months of initiating insulin treatment and the evidence reflect</w:t>
      </w:r>
      <w:r w:rsidR="004C498C">
        <w:rPr>
          <w:color w:val="auto"/>
          <w:szCs w:val="24"/>
        </w:rPr>
        <w:t>s</w:t>
      </w:r>
      <w:r w:rsidR="00622F18">
        <w:rPr>
          <w:color w:val="auto"/>
          <w:szCs w:val="24"/>
        </w:rPr>
        <w:t xml:space="preserve"> no further episodes thereafter.  </w:t>
      </w:r>
      <w:r w:rsidR="00F82579">
        <w:rPr>
          <w:color w:val="auto"/>
          <w:szCs w:val="24"/>
        </w:rPr>
        <w:t xml:space="preserve">The evidence did not reflect hospitalizations for hyperglycemia or diabetic ketoacidosis.  </w:t>
      </w:r>
      <w:r w:rsidR="00622F18">
        <w:rPr>
          <w:color w:val="auto"/>
          <w:szCs w:val="24"/>
        </w:rPr>
        <w:t xml:space="preserve">His DM responded quickly to treatment as reflected in a </w:t>
      </w:r>
      <w:r w:rsidR="009A2899">
        <w:rPr>
          <w:color w:val="auto"/>
          <w:szCs w:val="24"/>
        </w:rPr>
        <w:t>normal</w:t>
      </w:r>
      <w:r w:rsidR="00F82579">
        <w:rPr>
          <w:color w:val="auto"/>
          <w:szCs w:val="24"/>
        </w:rPr>
        <w:t xml:space="preserve"> </w:t>
      </w:r>
      <w:r w:rsidR="00622F18">
        <w:rPr>
          <w:color w:val="auto"/>
          <w:szCs w:val="24"/>
        </w:rPr>
        <w:t xml:space="preserve">HgA1C </w:t>
      </w:r>
      <w:r w:rsidR="00F82579">
        <w:rPr>
          <w:color w:val="auto"/>
          <w:szCs w:val="24"/>
        </w:rPr>
        <w:t xml:space="preserve">value from </w:t>
      </w:r>
      <w:r w:rsidR="00622F18">
        <w:rPr>
          <w:color w:val="auto"/>
          <w:szCs w:val="24"/>
        </w:rPr>
        <w:t>of 9.4 (</w:t>
      </w:r>
      <w:r w:rsidR="00134EC3">
        <w:rPr>
          <w:color w:val="auto"/>
          <w:szCs w:val="24"/>
        </w:rPr>
        <w:t>normal &lt;6.0</w:t>
      </w:r>
      <w:r w:rsidR="00622F18">
        <w:rPr>
          <w:color w:val="auto"/>
          <w:szCs w:val="24"/>
        </w:rPr>
        <w:t xml:space="preserve">) in </w:t>
      </w:r>
      <w:r w:rsidR="004C498C">
        <w:rPr>
          <w:color w:val="auto"/>
          <w:szCs w:val="24"/>
        </w:rPr>
        <w:t>April</w:t>
      </w:r>
      <w:r w:rsidR="00F82579">
        <w:rPr>
          <w:color w:val="auto"/>
          <w:szCs w:val="24"/>
        </w:rPr>
        <w:t xml:space="preserve"> </w:t>
      </w:r>
      <w:r w:rsidR="00622F18">
        <w:rPr>
          <w:color w:val="auto"/>
          <w:szCs w:val="24"/>
        </w:rPr>
        <w:t xml:space="preserve">2002, </w:t>
      </w:r>
      <w:r w:rsidR="00F82579">
        <w:rPr>
          <w:color w:val="auto"/>
          <w:szCs w:val="24"/>
        </w:rPr>
        <w:t xml:space="preserve">to </w:t>
      </w:r>
      <w:r w:rsidR="00622F18">
        <w:rPr>
          <w:color w:val="auto"/>
          <w:szCs w:val="24"/>
        </w:rPr>
        <w:t>4.7 in August 2002 and 5.</w:t>
      </w:r>
      <w:r w:rsidR="00F82579">
        <w:rPr>
          <w:color w:val="auto"/>
          <w:szCs w:val="24"/>
        </w:rPr>
        <w:t>5</w:t>
      </w:r>
      <w:r w:rsidR="00622F18">
        <w:rPr>
          <w:color w:val="auto"/>
          <w:szCs w:val="24"/>
        </w:rPr>
        <w:t xml:space="preserve"> in </w:t>
      </w:r>
      <w:r w:rsidR="00F82579">
        <w:rPr>
          <w:color w:val="auto"/>
          <w:szCs w:val="24"/>
        </w:rPr>
        <w:t xml:space="preserve">August </w:t>
      </w:r>
      <w:r w:rsidR="00622F18">
        <w:rPr>
          <w:color w:val="auto"/>
          <w:szCs w:val="24"/>
        </w:rPr>
        <w:t xml:space="preserve">2003. </w:t>
      </w:r>
      <w:r w:rsidR="00157368">
        <w:rPr>
          <w:color w:val="auto"/>
          <w:szCs w:val="24"/>
        </w:rPr>
        <w:t xml:space="preserve"> </w:t>
      </w:r>
      <w:r w:rsidR="00622F18">
        <w:rPr>
          <w:color w:val="auto"/>
          <w:szCs w:val="24"/>
        </w:rPr>
        <w:t>Additionally, in 2002, h</w:t>
      </w:r>
      <w:r w:rsidR="00F82579">
        <w:rPr>
          <w:color w:val="auto"/>
          <w:szCs w:val="24"/>
        </w:rPr>
        <w:t>e was</w:t>
      </w:r>
      <w:r w:rsidR="00622F18">
        <w:rPr>
          <w:color w:val="auto"/>
          <w:szCs w:val="24"/>
        </w:rPr>
        <w:t xml:space="preserve"> placed on </w:t>
      </w:r>
      <w:r w:rsidR="00F82579">
        <w:rPr>
          <w:color w:val="auto"/>
          <w:szCs w:val="24"/>
        </w:rPr>
        <w:t>a renal protective medication</w:t>
      </w:r>
      <w:r w:rsidR="00157368">
        <w:rPr>
          <w:color w:val="auto"/>
          <w:szCs w:val="24"/>
        </w:rPr>
        <w:t xml:space="preserve"> </w:t>
      </w:r>
      <w:r w:rsidR="00F82579">
        <w:rPr>
          <w:color w:val="auto"/>
          <w:szCs w:val="24"/>
        </w:rPr>
        <w:t>(</w:t>
      </w:r>
      <w:r w:rsidR="00991D0F">
        <w:rPr>
          <w:color w:val="auto"/>
          <w:szCs w:val="24"/>
        </w:rPr>
        <w:t>L</w:t>
      </w:r>
      <w:r w:rsidR="00157368">
        <w:rPr>
          <w:color w:val="auto"/>
          <w:szCs w:val="24"/>
        </w:rPr>
        <w:t>isinopril</w:t>
      </w:r>
      <w:r w:rsidR="00F82579">
        <w:rPr>
          <w:color w:val="auto"/>
          <w:szCs w:val="24"/>
        </w:rPr>
        <w:t xml:space="preserve">) </w:t>
      </w:r>
      <w:r w:rsidR="00157368">
        <w:rPr>
          <w:color w:val="auto"/>
          <w:szCs w:val="24"/>
        </w:rPr>
        <w:t xml:space="preserve">for renal </w:t>
      </w:r>
      <w:r w:rsidR="00991D0F">
        <w:rPr>
          <w:color w:val="auto"/>
          <w:szCs w:val="24"/>
        </w:rPr>
        <w:t>insufficiency</w:t>
      </w:r>
      <w:r w:rsidR="00F509DF">
        <w:rPr>
          <w:color w:val="auto"/>
          <w:szCs w:val="24"/>
        </w:rPr>
        <w:t xml:space="preserve"> with </w:t>
      </w:r>
      <w:r w:rsidR="00700E87">
        <w:rPr>
          <w:color w:val="auto"/>
          <w:szCs w:val="24"/>
        </w:rPr>
        <w:t>creatinine</w:t>
      </w:r>
      <w:r w:rsidR="00F509DF">
        <w:rPr>
          <w:color w:val="auto"/>
          <w:szCs w:val="24"/>
        </w:rPr>
        <w:t xml:space="preserve"> averaging 1.3-1.5 (</w:t>
      </w:r>
      <w:r w:rsidR="009A2899">
        <w:rPr>
          <w:color w:val="auto"/>
          <w:szCs w:val="24"/>
        </w:rPr>
        <w:t xml:space="preserve">normal </w:t>
      </w:r>
      <w:r w:rsidR="00F509DF">
        <w:rPr>
          <w:color w:val="auto"/>
          <w:szCs w:val="24"/>
        </w:rPr>
        <w:t>&lt;1.1)</w:t>
      </w:r>
      <w:r w:rsidR="00F82579">
        <w:rPr>
          <w:color w:val="auto"/>
          <w:szCs w:val="24"/>
        </w:rPr>
        <w:t>, likely due to his</w:t>
      </w:r>
      <w:r w:rsidR="00622F18">
        <w:rPr>
          <w:color w:val="auto"/>
          <w:szCs w:val="24"/>
        </w:rPr>
        <w:t xml:space="preserve"> DM</w:t>
      </w:r>
      <w:r w:rsidR="00157368" w:rsidRPr="00AC421A">
        <w:rPr>
          <w:color w:val="auto"/>
          <w:szCs w:val="24"/>
        </w:rPr>
        <w:t xml:space="preserve">.  </w:t>
      </w:r>
      <w:r w:rsidR="00622F18">
        <w:rPr>
          <w:color w:val="auto"/>
          <w:szCs w:val="24"/>
        </w:rPr>
        <w:t>Finally</w:t>
      </w:r>
      <w:r w:rsidR="00765BA5">
        <w:rPr>
          <w:color w:val="auto"/>
          <w:szCs w:val="24"/>
        </w:rPr>
        <w:t>,</w:t>
      </w:r>
      <w:r w:rsidR="00622F18">
        <w:rPr>
          <w:color w:val="auto"/>
          <w:szCs w:val="24"/>
        </w:rPr>
        <w:t xml:space="preserve"> he was experiencing new onset fatigue and after an extensive </w:t>
      </w:r>
      <w:r w:rsidR="00456E53">
        <w:rPr>
          <w:color w:val="auto"/>
          <w:szCs w:val="24"/>
        </w:rPr>
        <w:t xml:space="preserve">laboratory, radiographic and procedural </w:t>
      </w:r>
      <w:r w:rsidR="00622F18">
        <w:rPr>
          <w:color w:val="auto"/>
          <w:szCs w:val="24"/>
        </w:rPr>
        <w:t>evaluation</w:t>
      </w:r>
      <w:r w:rsidR="00456E53">
        <w:rPr>
          <w:color w:val="auto"/>
          <w:szCs w:val="24"/>
        </w:rPr>
        <w:t>, requiring a bone marrow biopsy</w:t>
      </w:r>
      <w:r w:rsidR="00765BA5">
        <w:rPr>
          <w:color w:val="auto"/>
          <w:szCs w:val="24"/>
        </w:rPr>
        <w:t>,</w:t>
      </w:r>
      <w:r w:rsidR="00622F18">
        <w:rPr>
          <w:color w:val="auto"/>
          <w:szCs w:val="24"/>
        </w:rPr>
        <w:t xml:space="preserve"> </w:t>
      </w:r>
      <w:r w:rsidR="00991D0F">
        <w:rPr>
          <w:color w:val="auto"/>
          <w:szCs w:val="24"/>
        </w:rPr>
        <w:t>by a</w:t>
      </w:r>
      <w:r w:rsidR="00765BA5">
        <w:rPr>
          <w:color w:val="auto"/>
          <w:szCs w:val="24"/>
        </w:rPr>
        <w:t xml:space="preserve"> hematologist</w:t>
      </w:r>
      <w:r w:rsidR="00456E53">
        <w:rPr>
          <w:color w:val="auto"/>
          <w:szCs w:val="24"/>
        </w:rPr>
        <w:t xml:space="preserve"> </w:t>
      </w:r>
      <w:r w:rsidR="00991D0F">
        <w:rPr>
          <w:color w:val="auto"/>
          <w:szCs w:val="24"/>
        </w:rPr>
        <w:t xml:space="preserve">he </w:t>
      </w:r>
      <w:r w:rsidR="00622F18">
        <w:rPr>
          <w:color w:val="auto"/>
          <w:szCs w:val="24"/>
        </w:rPr>
        <w:t xml:space="preserve">was diagnosed with </w:t>
      </w:r>
      <w:r w:rsidR="00456E53">
        <w:rPr>
          <w:color w:val="auto"/>
          <w:szCs w:val="24"/>
        </w:rPr>
        <w:t>low white blood cell count</w:t>
      </w:r>
      <w:r w:rsidR="00F82579">
        <w:rPr>
          <w:color w:val="auto"/>
          <w:szCs w:val="24"/>
        </w:rPr>
        <w:t xml:space="preserve"> </w:t>
      </w:r>
      <w:r w:rsidR="004C498C">
        <w:rPr>
          <w:color w:val="auto"/>
          <w:szCs w:val="24"/>
        </w:rPr>
        <w:t>(</w:t>
      </w:r>
      <w:r w:rsidR="00456E53">
        <w:rPr>
          <w:color w:val="auto"/>
          <w:szCs w:val="24"/>
        </w:rPr>
        <w:t>leukopenia</w:t>
      </w:r>
      <w:r w:rsidR="004C498C">
        <w:rPr>
          <w:color w:val="auto"/>
          <w:szCs w:val="24"/>
        </w:rPr>
        <w:t>)</w:t>
      </w:r>
      <w:r w:rsidR="00F82579">
        <w:rPr>
          <w:color w:val="auto"/>
          <w:szCs w:val="24"/>
        </w:rPr>
        <w:t xml:space="preserve"> and </w:t>
      </w:r>
      <w:r w:rsidR="004C498C">
        <w:rPr>
          <w:color w:val="auto"/>
          <w:szCs w:val="24"/>
        </w:rPr>
        <w:t>a</w:t>
      </w:r>
      <w:r w:rsidR="00F82579">
        <w:rPr>
          <w:color w:val="auto"/>
          <w:szCs w:val="24"/>
        </w:rPr>
        <w:t xml:space="preserve"> </w:t>
      </w:r>
      <w:r w:rsidR="00456E53">
        <w:rPr>
          <w:color w:val="auto"/>
          <w:szCs w:val="24"/>
        </w:rPr>
        <w:t>low red blood cell count</w:t>
      </w:r>
      <w:r w:rsidR="00456E53" w:rsidRPr="00456E53">
        <w:rPr>
          <w:color w:val="auto"/>
          <w:szCs w:val="24"/>
        </w:rPr>
        <w:t xml:space="preserve"> </w:t>
      </w:r>
      <w:r w:rsidR="004C498C">
        <w:rPr>
          <w:color w:val="auto"/>
          <w:szCs w:val="24"/>
        </w:rPr>
        <w:t>(</w:t>
      </w:r>
      <w:r w:rsidR="00456E53">
        <w:rPr>
          <w:color w:val="auto"/>
          <w:szCs w:val="24"/>
        </w:rPr>
        <w:t>anemia</w:t>
      </w:r>
      <w:r w:rsidR="004C498C">
        <w:rPr>
          <w:color w:val="auto"/>
          <w:szCs w:val="24"/>
        </w:rPr>
        <w:t>)</w:t>
      </w:r>
      <w:r w:rsidR="00F82579">
        <w:rPr>
          <w:color w:val="auto"/>
          <w:szCs w:val="24"/>
        </w:rPr>
        <w:t xml:space="preserve">.  The hematologist opined the anemia was </w:t>
      </w:r>
      <w:r w:rsidR="00456E53">
        <w:rPr>
          <w:color w:val="auto"/>
          <w:szCs w:val="24"/>
        </w:rPr>
        <w:t>due to</w:t>
      </w:r>
      <w:r w:rsidR="00622F18">
        <w:rPr>
          <w:color w:val="auto"/>
          <w:szCs w:val="24"/>
        </w:rPr>
        <w:t xml:space="preserve"> chronic disease, likely </w:t>
      </w:r>
      <w:r w:rsidR="00456E53">
        <w:rPr>
          <w:color w:val="auto"/>
          <w:szCs w:val="24"/>
        </w:rPr>
        <w:t>from</w:t>
      </w:r>
      <w:r w:rsidR="00F82579">
        <w:rPr>
          <w:color w:val="auto"/>
          <w:szCs w:val="24"/>
        </w:rPr>
        <w:t xml:space="preserve"> his</w:t>
      </w:r>
      <w:r w:rsidR="00622F18">
        <w:rPr>
          <w:color w:val="auto"/>
          <w:szCs w:val="24"/>
        </w:rPr>
        <w:t xml:space="preserve"> DM</w:t>
      </w:r>
      <w:r w:rsidR="00456E53">
        <w:rPr>
          <w:color w:val="auto"/>
          <w:szCs w:val="24"/>
        </w:rPr>
        <w:t xml:space="preserve"> and recommended close monitoring</w:t>
      </w:r>
      <w:r w:rsidR="00622F18">
        <w:rPr>
          <w:color w:val="auto"/>
          <w:szCs w:val="24"/>
        </w:rPr>
        <w:t xml:space="preserve">.  </w:t>
      </w:r>
      <w:r w:rsidR="004C498C">
        <w:rPr>
          <w:color w:val="auto"/>
          <w:szCs w:val="24"/>
        </w:rPr>
        <w:t>H</w:t>
      </w:r>
      <w:r w:rsidR="00991D0F">
        <w:rPr>
          <w:color w:val="auto"/>
          <w:szCs w:val="24"/>
        </w:rPr>
        <w:t xml:space="preserve">e was </w:t>
      </w:r>
      <w:r w:rsidR="00622F18">
        <w:rPr>
          <w:color w:val="auto"/>
          <w:szCs w:val="24"/>
        </w:rPr>
        <w:t>placed on a P3</w:t>
      </w:r>
      <w:r w:rsidR="009A2899">
        <w:rPr>
          <w:color w:val="auto"/>
          <w:szCs w:val="24"/>
        </w:rPr>
        <w:t xml:space="preserve"> profile</w:t>
      </w:r>
      <w:r w:rsidR="00991D0F">
        <w:rPr>
          <w:color w:val="auto"/>
          <w:szCs w:val="24"/>
        </w:rPr>
        <w:t xml:space="preserve"> </w:t>
      </w:r>
      <w:r w:rsidR="004C498C">
        <w:rPr>
          <w:color w:val="auto"/>
          <w:szCs w:val="24"/>
        </w:rPr>
        <w:t xml:space="preserve">for insulin requiring DM </w:t>
      </w:r>
      <w:r w:rsidR="00991D0F">
        <w:rPr>
          <w:color w:val="auto"/>
          <w:szCs w:val="24"/>
        </w:rPr>
        <w:t xml:space="preserve">and was limited for deployment and </w:t>
      </w:r>
      <w:r w:rsidR="00F82579">
        <w:rPr>
          <w:color w:val="auto"/>
          <w:szCs w:val="24"/>
        </w:rPr>
        <w:t xml:space="preserve">duty </w:t>
      </w:r>
      <w:r w:rsidR="00991D0F">
        <w:rPr>
          <w:color w:val="auto"/>
          <w:szCs w:val="24"/>
        </w:rPr>
        <w:t>assignments.</w:t>
      </w:r>
      <w:r w:rsidR="004C498C">
        <w:rPr>
          <w:color w:val="auto"/>
          <w:szCs w:val="24"/>
        </w:rPr>
        <w:t xml:space="preserve">  </w:t>
      </w:r>
      <w:r w:rsidR="00456E53">
        <w:rPr>
          <w:color w:val="auto"/>
          <w:szCs w:val="24"/>
        </w:rPr>
        <w:t xml:space="preserve">The </w:t>
      </w:r>
      <w:r w:rsidR="009E1A27">
        <w:rPr>
          <w:color w:val="auto"/>
          <w:szCs w:val="24"/>
        </w:rPr>
        <w:t>c</w:t>
      </w:r>
      <w:r w:rsidR="00456E53">
        <w:rPr>
          <w:color w:val="auto"/>
          <w:szCs w:val="24"/>
        </w:rPr>
        <w:t xml:space="preserve">ommanders statement documented in June 2003 that the CI’s “medical condition has in no way interfered with his duty performance.”  He further documented the CI maintained a high state of physical readiness, routinely attained </w:t>
      </w:r>
      <w:r w:rsidR="00134EC3">
        <w:rPr>
          <w:color w:val="auto"/>
          <w:szCs w:val="24"/>
        </w:rPr>
        <w:t xml:space="preserve">a near </w:t>
      </w:r>
      <w:r w:rsidR="00F509DF">
        <w:rPr>
          <w:color w:val="auto"/>
          <w:szCs w:val="24"/>
        </w:rPr>
        <w:t>maximum</w:t>
      </w:r>
      <w:r w:rsidR="00134EC3">
        <w:rPr>
          <w:color w:val="auto"/>
          <w:szCs w:val="24"/>
        </w:rPr>
        <w:t xml:space="preserve"> score for his APFT</w:t>
      </w:r>
      <w:r w:rsidR="009A2899">
        <w:rPr>
          <w:color w:val="auto"/>
          <w:szCs w:val="24"/>
        </w:rPr>
        <w:t>,</w:t>
      </w:r>
      <w:r w:rsidR="00134EC3">
        <w:rPr>
          <w:color w:val="auto"/>
          <w:szCs w:val="24"/>
        </w:rPr>
        <w:t xml:space="preserve"> was a highly valued member of his section and of the </w:t>
      </w:r>
      <w:r w:rsidR="009E1A27">
        <w:rPr>
          <w:color w:val="auto"/>
          <w:szCs w:val="24"/>
        </w:rPr>
        <w:t>c</w:t>
      </w:r>
      <w:r w:rsidR="00134EC3">
        <w:rPr>
          <w:color w:val="auto"/>
          <w:szCs w:val="24"/>
        </w:rPr>
        <w:t xml:space="preserve">ommand and his duty performance was exemplary.  The </w:t>
      </w:r>
      <w:r w:rsidR="009E1A27">
        <w:rPr>
          <w:color w:val="auto"/>
          <w:szCs w:val="24"/>
        </w:rPr>
        <w:t>c</w:t>
      </w:r>
      <w:r w:rsidR="00134EC3">
        <w:rPr>
          <w:color w:val="auto"/>
          <w:szCs w:val="24"/>
        </w:rPr>
        <w:t xml:space="preserve">ommander strongly recommended he be </w:t>
      </w:r>
      <w:r w:rsidR="00F509DF">
        <w:rPr>
          <w:color w:val="auto"/>
          <w:szCs w:val="24"/>
        </w:rPr>
        <w:t>adjudged</w:t>
      </w:r>
      <w:r w:rsidR="00134EC3">
        <w:rPr>
          <w:color w:val="auto"/>
          <w:szCs w:val="24"/>
        </w:rPr>
        <w:t xml:space="preserve"> as being physically fit.</w:t>
      </w:r>
    </w:p>
    <w:p w:rsidR="00134EC3" w:rsidRPr="00134EC3" w:rsidRDefault="00134EC3" w:rsidP="005D56E9">
      <w:pPr>
        <w:tabs>
          <w:tab w:val="left" w:pos="288"/>
          <w:tab w:val="left" w:pos="4752"/>
        </w:tabs>
        <w:jc w:val="both"/>
        <w:rPr>
          <w:color w:val="auto"/>
          <w:szCs w:val="24"/>
        </w:rPr>
      </w:pPr>
    </w:p>
    <w:p w:rsidR="00CF0280" w:rsidRDefault="00456E53" w:rsidP="0069687C">
      <w:pPr>
        <w:jc w:val="both"/>
        <w:rPr>
          <w:color w:val="auto"/>
          <w:szCs w:val="24"/>
        </w:rPr>
      </w:pPr>
      <w:r>
        <w:rPr>
          <w:color w:val="auto"/>
          <w:szCs w:val="24"/>
        </w:rPr>
        <w:t>At the MEB exam, completed in May 2003</w:t>
      </w:r>
      <w:r w:rsidR="00F509DF">
        <w:rPr>
          <w:color w:val="auto"/>
          <w:szCs w:val="24"/>
        </w:rPr>
        <w:t>, the</w:t>
      </w:r>
      <w:r w:rsidR="00F82579">
        <w:rPr>
          <w:color w:val="auto"/>
          <w:szCs w:val="24"/>
        </w:rPr>
        <w:t xml:space="preserve"> CI reported fatigue, lack of mental concentration which </w:t>
      </w:r>
      <w:r w:rsidR="00F509DF">
        <w:rPr>
          <w:color w:val="auto"/>
          <w:szCs w:val="24"/>
        </w:rPr>
        <w:t>was</w:t>
      </w:r>
      <w:r w:rsidR="00F82579">
        <w:rPr>
          <w:color w:val="auto"/>
          <w:szCs w:val="24"/>
        </w:rPr>
        <w:t xml:space="preserve"> affecting his ability to perform his work and</w:t>
      </w:r>
      <w:r w:rsidR="004C498C">
        <w:rPr>
          <w:color w:val="auto"/>
          <w:szCs w:val="24"/>
        </w:rPr>
        <w:t xml:space="preserve"> duties, but he remained motivated to work.  He took </w:t>
      </w:r>
      <w:r w:rsidR="009E1A27">
        <w:rPr>
          <w:color w:val="auto"/>
          <w:szCs w:val="24"/>
        </w:rPr>
        <w:t>i</w:t>
      </w:r>
      <w:r w:rsidR="004C498C">
        <w:rPr>
          <w:color w:val="auto"/>
          <w:szCs w:val="24"/>
        </w:rPr>
        <w:t>nsulin 70/30 subcutaneously in the morning and the evening 15 and 10 units</w:t>
      </w:r>
      <w:r w:rsidR="009A2899">
        <w:rPr>
          <w:color w:val="auto"/>
          <w:szCs w:val="24"/>
        </w:rPr>
        <w:t>,</w:t>
      </w:r>
      <w:r w:rsidR="004C498C">
        <w:rPr>
          <w:color w:val="auto"/>
          <w:szCs w:val="24"/>
        </w:rPr>
        <w:t xml:space="preserve"> respectively.</w:t>
      </w:r>
      <w:r w:rsidR="00D23C63">
        <w:rPr>
          <w:color w:val="auto"/>
          <w:szCs w:val="24"/>
        </w:rPr>
        <w:t xml:space="preserve">  </w:t>
      </w:r>
      <w:r w:rsidR="004C498C">
        <w:rPr>
          <w:color w:val="auto"/>
          <w:szCs w:val="24"/>
        </w:rPr>
        <w:t xml:space="preserve">The MEB physical exam documented a normal physical, normal HgA1C, leukopenia, anemia, elevated liver </w:t>
      </w:r>
      <w:r>
        <w:rPr>
          <w:color w:val="auto"/>
          <w:szCs w:val="24"/>
        </w:rPr>
        <w:t>enzymes</w:t>
      </w:r>
      <w:r w:rsidR="004C498C">
        <w:rPr>
          <w:color w:val="auto"/>
          <w:szCs w:val="24"/>
        </w:rPr>
        <w:t xml:space="preserve"> and a low testerone level.  The medical examiner listed seven </w:t>
      </w:r>
      <w:r w:rsidR="00F509DF">
        <w:rPr>
          <w:color w:val="auto"/>
          <w:szCs w:val="24"/>
        </w:rPr>
        <w:t>diagnoses</w:t>
      </w:r>
      <w:r w:rsidR="004C498C">
        <w:rPr>
          <w:color w:val="auto"/>
          <w:szCs w:val="24"/>
        </w:rPr>
        <w:t xml:space="preserve"> and recommended </w:t>
      </w:r>
      <w:r w:rsidR="005D56E9">
        <w:rPr>
          <w:color w:val="auto"/>
          <w:szCs w:val="24"/>
        </w:rPr>
        <w:t>further</w:t>
      </w:r>
      <w:r w:rsidR="004C498C">
        <w:rPr>
          <w:color w:val="auto"/>
          <w:szCs w:val="24"/>
        </w:rPr>
        <w:t xml:space="preserve"> evaluation for all of them.  </w:t>
      </w:r>
      <w:r w:rsidR="00CF0280" w:rsidRPr="00F64312">
        <w:rPr>
          <w:color w:val="auto"/>
          <w:szCs w:val="24"/>
        </w:rPr>
        <w:t>At the VA Compensation and Pension (C&amp;P) exam</w:t>
      </w:r>
      <w:r w:rsidR="00622614">
        <w:rPr>
          <w:color w:val="auto"/>
          <w:szCs w:val="24"/>
        </w:rPr>
        <w:t>, performed</w:t>
      </w:r>
      <w:r w:rsidR="00ED7820">
        <w:rPr>
          <w:color w:val="auto"/>
          <w:szCs w:val="24"/>
        </w:rPr>
        <w:t xml:space="preserve"> </w:t>
      </w:r>
      <w:r w:rsidR="00ED7820" w:rsidRPr="001151D5">
        <w:rPr>
          <w:color w:val="auto"/>
          <w:szCs w:val="24"/>
        </w:rPr>
        <w:t>prior to separation</w:t>
      </w:r>
      <w:r w:rsidR="00CF0280" w:rsidRPr="00F64312">
        <w:rPr>
          <w:color w:val="auto"/>
          <w:szCs w:val="24"/>
        </w:rPr>
        <w:t>,</w:t>
      </w:r>
      <w:r w:rsidR="00CA5589">
        <w:rPr>
          <w:color w:val="auto"/>
          <w:szCs w:val="24"/>
        </w:rPr>
        <w:t xml:space="preserve"> </w:t>
      </w:r>
      <w:r w:rsidR="00CF0280" w:rsidRPr="00F64312">
        <w:rPr>
          <w:color w:val="auto"/>
          <w:szCs w:val="24"/>
        </w:rPr>
        <w:t>the CI reported</w:t>
      </w:r>
      <w:r w:rsidR="00D23C63">
        <w:rPr>
          <w:color w:val="auto"/>
          <w:szCs w:val="24"/>
        </w:rPr>
        <w:t xml:space="preserve"> his MEB diagnos</w:t>
      </w:r>
      <w:r w:rsidR="00CA5589">
        <w:rPr>
          <w:color w:val="auto"/>
          <w:szCs w:val="24"/>
        </w:rPr>
        <w:t>e</w:t>
      </w:r>
      <w:r w:rsidR="00D23C63">
        <w:rPr>
          <w:color w:val="auto"/>
          <w:szCs w:val="24"/>
        </w:rPr>
        <w:t>s and treatment plan</w:t>
      </w:r>
      <w:r w:rsidR="00CA5589">
        <w:rPr>
          <w:color w:val="auto"/>
          <w:szCs w:val="24"/>
        </w:rPr>
        <w:t>s</w:t>
      </w:r>
      <w:r w:rsidR="00D23C63">
        <w:rPr>
          <w:color w:val="auto"/>
          <w:szCs w:val="24"/>
        </w:rPr>
        <w:t xml:space="preserve"> </w:t>
      </w:r>
      <w:r w:rsidR="00622614">
        <w:rPr>
          <w:color w:val="auto"/>
          <w:szCs w:val="24"/>
        </w:rPr>
        <w:t xml:space="preserve">and </w:t>
      </w:r>
      <w:r w:rsidR="00D23C63">
        <w:rPr>
          <w:color w:val="auto"/>
          <w:szCs w:val="24"/>
        </w:rPr>
        <w:t>in addition</w:t>
      </w:r>
      <w:r w:rsidR="00CA5589">
        <w:rPr>
          <w:color w:val="auto"/>
          <w:szCs w:val="24"/>
        </w:rPr>
        <w:t xml:space="preserve"> reported;</w:t>
      </w:r>
      <w:r w:rsidR="00D23C63">
        <w:rPr>
          <w:color w:val="auto"/>
          <w:szCs w:val="24"/>
        </w:rPr>
        <w:t xml:space="preserve"> left and right hip pain, sleep apnea, hearing loss, </w:t>
      </w:r>
      <w:r w:rsidR="00CA5589">
        <w:rPr>
          <w:color w:val="auto"/>
          <w:szCs w:val="24"/>
        </w:rPr>
        <w:t>tinnitus and a painful</w:t>
      </w:r>
      <w:r w:rsidR="00D23C63">
        <w:rPr>
          <w:color w:val="auto"/>
          <w:szCs w:val="24"/>
        </w:rPr>
        <w:t xml:space="preserve"> umbilical hernia.</w:t>
      </w:r>
      <w:r w:rsidR="00CA5589">
        <w:rPr>
          <w:color w:val="auto"/>
          <w:szCs w:val="24"/>
        </w:rPr>
        <w:t xml:space="preserve">  </w:t>
      </w:r>
      <w:r w:rsidR="00622614">
        <w:rPr>
          <w:color w:val="auto"/>
          <w:szCs w:val="24"/>
        </w:rPr>
        <w:t>The VA C&amp;P</w:t>
      </w:r>
      <w:r w:rsidR="0077201A" w:rsidRPr="00F64312">
        <w:rPr>
          <w:color w:val="auto"/>
          <w:szCs w:val="24"/>
        </w:rPr>
        <w:t xml:space="preserve"> exam</w:t>
      </w:r>
      <w:r w:rsidR="0077201A">
        <w:rPr>
          <w:color w:val="auto"/>
          <w:szCs w:val="24"/>
        </w:rPr>
        <w:t xml:space="preserve"> </w:t>
      </w:r>
      <w:r w:rsidR="00CA5589">
        <w:rPr>
          <w:color w:val="auto"/>
          <w:szCs w:val="24"/>
        </w:rPr>
        <w:t xml:space="preserve">documented </w:t>
      </w:r>
      <w:r w:rsidR="00CA5589">
        <w:rPr>
          <w:color w:val="auto"/>
          <w:szCs w:val="24"/>
        </w:rPr>
        <w:lastRenderedPageBreak/>
        <w:t>painful right and left non compensable hip flexion, enlarged nonspecific, submandibular glands, and otherwise normal exam.</w:t>
      </w:r>
    </w:p>
    <w:p w:rsidR="0077201A" w:rsidRPr="00F64312" w:rsidRDefault="0077201A" w:rsidP="0069687C">
      <w:pPr>
        <w:jc w:val="both"/>
        <w:rPr>
          <w:color w:val="auto"/>
          <w:szCs w:val="24"/>
        </w:rPr>
      </w:pPr>
    </w:p>
    <w:p w:rsidR="0077201A" w:rsidRPr="00E42B3E" w:rsidRDefault="00AD2379" w:rsidP="00E42B3E">
      <w:pPr>
        <w:tabs>
          <w:tab w:val="left" w:pos="288"/>
          <w:tab w:val="left" w:pos="4752"/>
        </w:tabs>
        <w:jc w:val="both"/>
        <w:rPr>
          <w:rFonts w:cs="Times New Roman"/>
          <w:color w:val="auto"/>
          <w:szCs w:val="24"/>
        </w:rPr>
      </w:pPr>
      <w:r w:rsidRPr="00E42B3E">
        <w:rPr>
          <w:rFonts w:cs="Times New Roman"/>
          <w:color w:val="auto"/>
          <w:szCs w:val="24"/>
        </w:rPr>
        <w:t>The Board directs attenti</w:t>
      </w:r>
      <w:r w:rsidR="00782CC1" w:rsidRPr="00E42B3E">
        <w:rPr>
          <w:rFonts w:cs="Times New Roman"/>
          <w:color w:val="auto"/>
          <w:szCs w:val="24"/>
        </w:rPr>
        <w:t>on to its rating recommendation</w:t>
      </w:r>
      <w:r w:rsidRPr="00E42B3E">
        <w:rPr>
          <w:rFonts w:cs="Times New Roman"/>
          <w:color w:val="auto"/>
          <w:szCs w:val="24"/>
        </w:rPr>
        <w:t xml:space="preserve"> </w:t>
      </w:r>
      <w:r w:rsidR="00B13A51" w:rsidRPr="00E42B3E">
        <w:rPr>
          <w:rFonts w:cs="Times New Roman"/>
          <w:color w:val="auto"/>
          <w:szCs w:val="24"/>
        </w:rPr>
        <w:t>based on the above evidence</w:t>
      </w:r>
      <w:r w:rsidRPr="00E42B3E">
        <w:rPr>
          <w:rFonts w:cs="Times New Roman"/>
          <w:color w:val="auto"/>
          <w:szCs w:val="24"/>
        </w:rPr>
        <w:t>.</w:t>
      </w:r>
      <w:r w:rsidR="00165C7B" w:rsidRPr="00E42B3E">
        <w:rPr>
          <w:rFonts w:cs="Times New Roman"/>
          <w:color w:val="auto"/>
          <w:szCs w:val="24"/>
        </w:rPr>
        <w:t xml:space="preserve">  </w:t>
      </w:r>
      <w:r w:rsidR="00CA5589" w:rsidRPr="00E42B3E">
        <w:rPr>
          <w:color w:val="auto"/>
          <w:szCs w:val="24"/>
        </w:rPr>
        <w:t xml:space="preserve">The Board notes that both the MEB and VA exams were complete, well documented, and similar in terms of ratable data and therefore the Board assign both exams equal probative value.  </w:t>
      </w:r>
      <w:r w:rsidR="00CA5589" w:rsidRPr="00E42B3E">
        <w:rPr>
          <w:rFonts w:cs="Times New Roman"/>
          <w:bCs/>
          <w:color w:val="auto"/>
          <w:szCs w:val="24"/>
        </w:rPr>
        <w:t>The PEB and VA chose the same coding options for the condition 7913 (</w:t>
      </w:r>
      <w:r w:rsidR="009E1A27">
        <w:rPr>
          <w:rFonts w:cs="Times New Roman"/>
          <w:bCs/>
          <w:color w:val="auto"/>
          <w:szCs w:val="24"/>
        </w:rPr>
        <w:t>DM</w:t>
      </w:r>
      <w:r w:rsidR="00CA5589" w:rsidRPr="00E42B3E">
        <w:rPr>
          <w:rFonts w:cs="Times New Roman"/>
          <w:bCs/>
          <w:color w:val="auto"/>
          <w:szCs w:val="24"/>
        </w:rPr>
        <w:t>) and both were IAW §4.119 Schedule of ratings-endocrine system</w:t>
      </w:r>
      <w:r w:rsidR="009A2899">
        <w:rPr>
          <w:rFonts w:cs="Times New Roman"/>
          <w:bCs/>
          <w:color w:val="auto"/>
          <w:szCs w:val="24"/>
        </w:rPr>
        <w:t>.  B</w:t>
      </w:r>
      <w:r w:rsidR="00CA5589" w:rsidRPr="00E42B3E">
        <w:rPr>
          <w:rFonts w:cs="Times New Roman"/>
          <w:bCs/>
          <w:color w:val="auto"/>
          <w:szCs w:val="24"/>
        </w:rPr>
        <w:t>oth rated 20%</w:t>
      </w:r>
      <w:r w:rsidR="00F509DF" w:rsidRPr="00E42B3E">
        <w:rPr>
          <w:color w:val="auto"/>
          <w:szCs w:val="24"/>
        </w:rPr>
        <w:t xml:space="preserve"> which is assigned if there is a requirement for insulin and restricted diet, or oral hypoglycemic agent and restricted diet.”</w:t>
      </w:r>
      <w:r w:rsidR="00F509DF" w:rsidRPr="00E42B3E">
        <w:rPr>
          <w:rFonts w:cs="Times New Roman"/>
          <w:bCs/>
          <w:color w:val="auto"/>
          <w:szCs w:val="24"/>
        </w:rPr>
        <w:t xml:space="preserve">  </w:t>
      </w:r>
      <w:r w:rsidR="001E3611" w:rsidRPr="00E42B3E">
        <w:rPr>
          <w:rFonts w:cs="Times New Roman"/>
          <w:bCs/>
          <w:color w:val="auto"/>
          <w:szCs w:val="24"/>
        </w:rPr>
        <w:t xml:space="preserve">IAW VASRD code 7913 </w:t>
      </w:r>
      <w:r w:rsidR="001E3611">
        <w:rPr>
          <w:rFonts w:cs="Times New Roman"/>
          <w:bCs/>
          <w:color w:val="auto"/>
          <w:szCs w:val="24"/>
        </w:rPr>
        <w:t xml:space="preserve">the 40 and </w:t>
      </w:r>
      <w:r w:rsidR="001E3611" w:rsidRPr="00E42B3E">
        <w:rPr>
          <w:rFonts w:cs="Times New Roman"/>
          <w:bCs/>
          <w:color w:val="auto"/>
          <w:szCs w:val="24"/>
        </w:rPr>
        <w:t>60%</w:t>
      </w:r>
      <w:r w:rsidR="001E3611">
        <w:rPr>
          <w:rFonts w:cs="Times New Roman"/>
          <w:bCs/>
          <w:color w:val="auto"/>
          <w:szCs w:val="24"/>
        </w:rPr>
        <w:t>,</w:t>
      </w:r>
      <w:r w:rsidR="001E3611" w:rsidRPr="00E42B3E">
        <w:rPr>
          <w:rFonts w:cs="Times New Roman"/>
          <w:bCs/>
          <w:color w:val="auto"/>
          <w:szCs w:val="24"/>
        </w:rPr>
        <w:t xml:space="preserve"> </w:t>
      </w:r>
      <w:r w:rsidR="001E3611">
        <w:rPr>
          <w:rFonts w:cs="Times New Roman"/>
          <w:bCs/>
          <w:color w:val="auto"/>
          <w:szCs w:val="24"/>
        </w:rPr>
        <w:t>in addition to meeting the 20% rating require</w:t>
      </w:r>
      <w:r w:rsidR="009763AA">
        <w:rPr>
          <w:rFonts w:cs="Times New Roman"/>
          <w:bCs/>
          <w:color w:val="auto"/>
          <w:szCs w:val="24"/>
        </w:rPr>
        <w:t xml:space="preserve">ments, </w:t>
      </w:r>
      <w:r w:rsidR="001E3611">
        <w:rPr>
          <w:rFonts w:cs="Times New Roman"/>
          <w:bCs/>
          <w:color w:val="auto"/>
          <w:szCs w:val="24"/>
        </w:rPr>
        <w:t xml:space="preserve">both require </w:t>
      </w:r>
      <w:r w:rsidR="003E19B0">
        <w:rPr>
          <w:rFonts w:cs="Times New Roman"/>
          <w:bCs/>
          <w:color w:val="auto"/>
          <w:szCs w:val="24"/>
        </w:rPr>
        <w:t xml:space="preserve">a restricted diet and </w:t>
      </w:r>
      <w:r w:rsidR="001E3611">
        <w:rPr>
          <w:rFonts w:cs="Times New Roman"/>
          <w:bCs/>
          <w:color w:val="auto"/>
          <w:szCs w:val="24"/>
        </w:rPr>
        <w:t xml:space="preserve">regulation of activities and the 60% rating further </w:t>
      </w:r>
      <w:r w:rsidR="001E3611" w:rsidRPr="00E42B3E">
        <w:rPr>
          <w:rFonts w:cs="Times New Roman"/>
          <w:bCs/>
          <w:color w:val="auto"/>
          <w:szCs w:val="24"/>
        </w:rPr>
        <w:t>specifies the rating requires episodes of ketoacidosis or hypoglycemic reactions requiring one or two hospitalizations per year or twice a month visits to a diabetic care provider, plus complications that would not be compensable if separately evaluated.</w:t>
      </w:r>
      <w:r w:rsidR="001E3611">
        <w:rPr>
          <w:rFonts w:cs="Times New Roman"/>
          <w:bCs/>
          <w:color w:val="auto"/>
          <w:szCs w:val="24"/>
        </w:rPr>
        <w:t xml:space="preserve">  The Board agreed the evidence does not support regulation of activities and therefore the 40% criteria </w:t>
      </w:r>
      <w:r w:rsidR="009763AA">
        <w:rPr>
          <w:rFonts w:cs="Times New Roman"/>
          <w:bCs/>
          <w:color w:val="auto"/>
          <w:szCs w:val="24"/>
        </w:rPr>
        <w:t>are</w:t>
      </w:r>
      <w:r w:rsidR="001E3611">
        <w:rPr>
          <w:rFonts w:cs="Times New Roman"/>
          <w:bCs/>
          <w:color w:val="auto"/>
          <w:szCs w:val="24"/>
        </w:rPr>
        <w:t xml:space="preserve"> not met and</w:t>
      </w:r>
      <w:r w:rsidR="009763AA">
        <w:rPr>
          <w:rFonts w:cs="Times New Roman"/>
          <w:bCs/>
          <w:color w:val="auto"/>
          <w:szCs w:val="24"/>
        </w:rPr>
        <w:t xml:space="preserve"> for the same reasoning</w:t>
      </w:r>
      <w:r w:rsidR="001E3611">
        <w:rPr>
          <w:rFonts w:cs="Times New Roman"/>
          <w:bCs/>
          <w:color w:val="auto"/>
          <w:szCs w:val="24"/>
        </w:rPr>
        <w:t xml:space="preserve"> neither the DM renal insufficiency nor the anemia of chronic disease could be considered under </w:t>
      </w:r>
      <w:r w:rsidR="009763AA">
        <w:rPr>
          <w:rFonts w:cs="Times New Roman"/>
          <w:bCs/>
          <w:color w:val="auto"/>
          <w:szCs w:val="24"/>
        </w:rPr>
        <w:t xml:space="preserve">the 60% </w:t>
      </w:r>
      <w:r w:rsidR="001E3611">
        <w:rPr>
          <w:rFonts w:cs="Times New Roman"/>
          <w:bCs/>
          <w:color w:val="auto"/>
          <w:szCs w:val="24"/>
        </w:rPr>
        <w:t>criteri</w:t>
      </w:r>
      <w:r w:rsidR="009763AA">
        <w:rPr>
          <w:rFonts w:cs="Times New Roman"/>
          <w:bCs/>
          <w:color w:val="auto"/>
          <w:szCs w:val="24"/>
        </w:rPr>
        <w:t>a</w:t>
      </w:r>
      <w:r w:rsidR="001E3611">
        <w:rPr>
          <w:rFonts w:cs="Times New Roman"/>
          <w:bCs/>
          <w:color w:val="auto"/>
          <w:szCs w:val="24"/>
        </w:rPr>
        <w:t xml:space="preserve">. </w:t>
      </w:r>
      <w:r w:rsidR="009763AA">
        <w:rPr>
          <w:rFonts w:cs="Times New Roman"/>
          <w:bCs/>
          <w:color w:val="auto"/>
          <w:szCs w:val="24"/>
        </w:rPr>
        <w:t xml:space="preserve"> </w:t>
      </w:r>
      <w:r w:rsidR="00F509DF" w:rsidRPr="00E42B3E">
        <w:rPr>
          <w:rFonts w:cs="Times New Roman"/>
          <w:bCs/>
          <w:color w:val="auto"/>
          <w:szCs w:val="24"/>
        </w:rPr>
        <w:t xml:space="preserve">The VA </w:t>
      </w:r>
      <w:r w:rsidR="002912C6">
        <w:rPr>
          <w:rFonts w:cs="Times New Roman"/>
          <w:bCs/>
          <w:color w:val="auto"/>
          <w:szCs w:val="24"/>
        </w:rPr>
        <w:t xml:space="preserve">rated </w:t>
      </w:r>
      <w:r w:rsidR="00F509DF" w:rsidRPr="00E42B3E">
        <w:rPr>
          <w:rFonts w:cs="Times New Roman"/>
          <w:bCs/>
          <w:color w:val="auto"/>
          <w:szCs w:val="24"/>
        </w:rPr>
        <w:t>renal insufficiency</w:t>
      </w:r>
      <w:r w:rsidR="002912C6">
        <w:rPr>
          <w:rFonts w:cs="Times New Roman"/>
          <w:bCs/>
          <w:color w:val="auto"/>
          <w:szCs w:val="24"/>
        </w:rPr>
        <w:t xml:space="preserve"> with hypertension, a complication of DM, separately which is consistent with the VASRD 7913.  The VA </w:t>
      </w:r>
      <w:r w:rsidR="00F509DF" w:rsidRPr="00E42B3E">
        <w:rPr>
          <w:rFonts w:cs="Times New Roman"/>
          <w:bCs/>
          <w:color w:val="auto"/>
          <w:szCs w:val="24"/>
        </w:rPr>
        <w:t>coded 7541 (</w:t>
      </w:r>
      <w:r w:rsidR="00F509DF" w:rsidRPr="00E42B3E">
        <w:rPr>
          <w:rFonts w:cs="Times New Roman"/>
          <w:color w:val="auto"/>
          <w:szCs w:val="24"/>
        </w:rPr>
        <w:t xml:space="preserve">Renal involvement in </w:t>
      </w:r>
      <w:r w:rsidR="009E1A27">
        <w:rPr>
          <w:rFonts w:cs="Times New Roman"/>
          <w:color w:val="auto"/>
          <w:szCs w:val="24"/>
        </w:rPr>
        <w:t>DM</w:t>
      </w:r>
      <w:r w:rsidR="00F509DF" w:rsidRPr="00E42B3E">
        <w:rPr>
          <w:rFonts w:cs="Times New Roman"/>
          <w:color w:val="auto"/>
          <w:szCs w:val="24"/>
        </w:rPr>
        <w:t xml:space="preserve">, sickle cell anemia, systemic) </w:t>
      </w:r>
      <w:r w:rsidR="00F509DF" w:rsidRPr="00E42B3E">
        <w:rPr>
          <w:rFonts w:cs="Times New Roman"/>
          <w:bCs/>
          <w:color w:val="auto"/>
          <w:szCs w:val="24"/>
        </w:rPr>
        <w:t>analogous to 7101 (</w:t>
      </w:r>
      <w:r w:rsidR="009E1A27">
        <w:rPr>
          <w:color w:val="auto"/>
          <w:szCs w:val="24"/>
        </w:rPr>
        <w:t>h</w:t>
      </w:r>
      <w:r w:rsidR="00F509DF" w:rsidRPr="00E42B3E">
        <w:rPr>
          <w:color w:val="auto"/>
          <w:szCs w:val="24"/>
        </w:rPr>
        <w:t>ypertensive vascular disease (hypertension and isolated systolic hypertension)</w:t>
      </w:r>
      <w:r w:rsidR="00F509DF" w:rsidRPr="00E42B3E">
        <w:rPr>
          <w:rFonts w:cs="Times New Roman"/>
          <w:bCs/>
          <w:color w:val="auto"/>
          <w:szCs w:val="24"/>
        </w:rPr>
        <w:t xml:space="preserve"> and rated as renal dysfunction </w:t>
      </w:r>
      <w:r w:rsidR="002912C6">
        <w:rPr>
          <w:rFonts w:cs="Times New Roman"/>
          <w:bCs/>
          <w:color w:val="auto"/>
          <w:szCs w:val="24"/>
        </w:rPr>
        <w:t xml:space="preserve">at </w:t>
      </w:r>
      <w:r w:rsidR="00F509DF" w:rsidRPr="00E42B3E">
        <w:rPr>
          <w:rFonts w:cs="Times New Roman"/>
          <w:bCs/>
          <w:color w:val="auto"/>
          <w:szCs w:val="24"/>
        </w:rPr>
        <w:t>30%</w:t>
      </w:r>
      <w:r w:rsidR="002912C6">
        <w:rPr>
          <w:rFonts w:cs="Times New Roman"/>
          <w:bCs/>
          <w:color w:val="auto"/>
          <w:szCs w:val="24"/>
        </w:rPr>
        <w:t xml:space="preserve"> qualifying the hypertension at least 10% disabling under diagnostic code 7101</w:t>
      </w:r>
      <w:r w:rsidR="00F509DF" w:rsidRPr="00E42B3E">
        <w:rPr>
          <w:rFonts w:cs="Times New Roman"/>
          <w:bCs/>
          <w:color w:val="auto"/>
          <w:szCs w:val="24"/>
        </w:rPr>
        <w:t xml:space="preserve">.  The Board agreed there is no evidence of hypertension in the </w:t>
      </w:r>
      <w:r w:rsidR="00E12A5E" w:rsidRPr="00E42B3E">
        <w:rPr>
          <w:rFonts w:cs="Times New Roman"/>
          <w:bCs/>
          <w:color w:val="auto"/>
          <w:szCs w:val="24"/>
        </w:rPr>
        <w:t>MEB,</w:t>
      </w:r>
      <w:r w:rsidR="00F509DF" w:rsidRPr="00E42B3E">
        <w:rPr>
          <w:rFonts w:cs="Times New Roman"/>
          <w:bCs/>
          <w:color w:val="auto"/>
          <w:szCs w:val="24"/>
        </w:rPr>
        <w:t xml:space="preserve"> VA exam or in the </w:t>
      </w:r>
      <w:r w:rsidR="00E12A5E" w:rsidRPr="00E42B3E">
        <w:rPr>
          <w:rFonts w:cs="Times New Roman"/>
          <w:bCs/>
          <w:color w:val="auto"/>
          <w:szCs w:val="24"/>
        </w:rPr>
        <w:t>service treatment record</w:t>
      </w:r>
      <w:r w:rsidR="002912C6">
        <w:rPr>
          <w:rFonts w:cs="Times New Roman"/>
          <w:bCs/>
          <w:color w:val="auto"/>
          <w:szCs w:val="24"/>
        </w:rPr>
        <w:t xml:space="preserve"> and therefore at best would meet the 7541 0% rating for non-compensable hypertension under 7101</w:t>
      </w:r>
      <w:r w:rsidR="00F509DF" w:rsidRPr="00E42B3E">
        <w:rPr>
          <w:rFonts w:cs="Times New Roman"/>
          <w:bCs/>
          <w:color w:val="auto"/>
          <w:szCs w:val="24"/>
        </w:rPr>
        <w:t xml:space="preserve">.  </w:t>
      </w:r>
      <w:r w:rsidR="001E3611">
        <w:rPr>
          <w:rFonts w:cs="Times New Roman"/>
          <w:bCs/>
          <w:color w:val="auto"/>
          <w:szCs w:val="24"/>
        </w:rPr>
        <w:t>T</w:t>
      </w:r>
      <w:r w:rsidR="00E12A5E" w:rsidRPr="00E42B3E">
        <w:rPr>
          <w:rFonts w:cs="Times New Roman"/>
          <w:bCs/>
          <w:color w:val="auto"/>
          <w:szCs w:val="24"/>
        </w:rPr>
        <w:t xml:space="preserve">he Board could not consider </w:t>
      </w:r>
      <w:r w:rsidR="001E3611">
        <w:rPr>
          <w:rFonts w:cs="Times New Roman"/>
          <w:bCs/>
          <w:color w:val="auto"/>
          <w:szCs w:val="24"/>
        </w:rPr>
        <w:t>the DM renal insufficiency</w:t>
      </w:r>
      <w:r w:rsidR="00E12A5E" w:rsidRPr="00E42B3E">
        <w:rPr>
          <w:rFonts w:cs="Times New Roman"/>
          <w:bCs/>
          <w:color w:val="auto"/>
          <w:szCs w:val="24"/>
        </w:rPr>
        <w:t xml:space="preserve"> separately as it was not in the PEBs final rating recommendation.</w:t>
      </w:r>
      <w:r w:rsidR="00C81984" w:rsidRPr="00E42B3E">
        <w:rPr>
          <w:rFonts w:cs="Times New Roman"/>
          <w:bCs/>
          <w:color w:val="auto"/>
          <w:szCs w:val="24"/>
        </w:rPr>
        <w:t xml:space="preserve"> </w:t>
      </w:r>
      <w:r w:rsidR="00E12A5E" w:rsidRPr="00E42B3E">
        <w:rPr>
          <w:rFonts w:cs="Times New Roman"/>
          <w:bCs/>
          <w:color w:val="auto"/>
          <w:szCs w:val="24"/>
        </w:rPr>
        <w:t xml:space="preserve"> </w:t>
      </w:r>
      <w:r w:rsidR="0077201A" w:rsidRPr="00E42B3E">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E12A5E" w:rsidRPr="00E42B3E">
        <w:rPr>
          <w:rFonts w:eastAsia="Calibri" w:cs="Times New Roman"/>
          <w:color w:val="auto"/>
          <w:szCs w:val="24"/>
        </w:rPr>
        <w:t>diabetes mellitus</w:t>
      </w:r>
      <w:r w:rsidR="00ED0202">
        <w:rPr>
          <w:rFonts w:eastAsia="Calibri" w:cs="Times New Roman"/>
          <w:color w:val="auto"/>
          <w:szCs w:val="24"/>
        </w:rPr>
        <w:t xml:space="preserve"> condition.</w:t>
      </w:r>
    </w:p>
    <w:p w:rsidR="00AD2379" w:rsidRPr="00F64312" w:rsidRDefault="00AD2379" w:rsidP="00BF0E94">
      <w:pPr>
        <w:jc w:val="left"/>
        <w:rPr>
          <w:rFonts w:eastAsia="HiddenHorzOCR"/>
          <w:color w:val="auto"/>
          <w:highlight w:val="magenta"/>
          <w:u w:val="single"/>
        </w:rPr>
      </w:pPr>
    </w:p>
    <w:p w:rsidR="0077201A" w:rsidRPr="00792790" w:rsidRDefault="0077201A" w:rsidP="00E42B3E">
      <w:pPr>
        <w:jc w:val="both"/>
        <w:rPr>
          <w:rFonts w:eastAsia="Calibri" w:cs="Times New Roman"/>
          <w:color w:val="auto"/>
          <w:szCs w:val="24"/>
        </w:rPr>
      </w:pPr>
      <w:r w:rsidRPr="00F64312">
        <w:rPr>
          <w:rFonts w:eastAsia="HiddenHorzOCR"/>
          <w:color w:val="auto"/>
          <w:u w:val="single"/>
        </w:rPr>
        <w:t>Contended PEB Conditions</w:t>
      </w:r>
      <w:r w:rsidRPr="00F64312">
        <w:rPr>
          <w:rFonts w:eastAsia="HiddenHorzOCR"/>
          <w:color w:val="auto"/>
        </w:rPr>
        <w:t xml:space="preserve">.  </w:t>
      </w:r>
      <w:r w:rsidRPr="00792790">
        <w:rPr>
          <w:rFonts w:eastAsia="Calibri" w:cs="Times New Roman"/>
          <w:color w:val="auto"/>
          <w:szCs w:val="24"/>
        </w:rPr>
        <w:t xml:space="preserve">The condition adjudicated as </w:t>
      </w:r>
      <w:r>
        <w:rPr>
          <w:rFonts w:eastAsia="Calibri" w:cs="Times New Roman"/>
          <w:color w:val="auto"/>
          <w:szCs w:val="24"/>
        </w:rPr>
        <w:t xml:space="preserve">not </w:t>
      </w:r>
      <w:r w:rsidRPr="00792790">
        <w:rPr>
          <w:rFonts w:eastAsia="Calibri" w:cs="Times New Roman"/>
          <w:color w:val="auto"/>
          <w:szCs w:val="24"/>
        </w:rPr>
        <w:t xml:space="preserve">unfitting by the PEB </w:t>
      </w:r>
      <w:r w:rsidR="00E42B3E">
        <w:rPr>
          <w:rFonts w:eastAsia="Calibri" w:cs="Times New Roman"/>
          <w:color w:val="auto"/>
          <w:szCs w:val="24"/>
        </w:rPr>
        <w:t>was</w:t>
      </w:r>
      <w:r w:rsidRPr="00EE1D7A">
        <w:rPr>
          <w:color w:val="auto"/>
        </w:rPr>
        <w:t xml:space="preserve"> anemia</w:t>
      </w:r>
      <w:r>
        <w:rPr>
          <w:rFonts w:eastAsia="Calibri" w:cs="Times New Roman"/>
          <w:color w:val="auto"/>
          <w:szCs w:val="24"/>
        </w:rPr>
        <w:t xml:space="preserve">.  </w:t>
      </w:r>
      <w:r w:rsidRPr="00792790">
        <w:rPr>
          <w:rFonts w:eastAsia="Calibri" w:cs="Times New Roman"/>
          <w:color w:val="auto"/>
          <w:szCs w:val="24"/>
        </w:rPr>
        <w:t>The Board’s first charge with respect to th</w:t>
      </w:r>
      <w:r w:rsidR="00E42B3E">
        <w:rPr>
          <w:rFonts w:eastAsia="Calibri" w:cs="Times New Roman"/>
          <w:color w:val="auto"/>
          <w:szCs w:val="24"/>
        </w:rPr>
        <w:t>is</w:t>
      </w:r>
      <w:r w:rsidRPr="00792790">
        <w:rPr>
          <w:rFonts w:eastAsia="Calibri" w:cs="Times New Roman"/>
          <w:color w:val="auto"/>
          <w:szCs w:val="24"/>
        </w:rPr>
        <w:t xml:space="preserve"> condition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r w:rsidR="00E42B3E">
        <w:rPr>
          <w:rFonts w:eastAsia="Calibri" w:cs="Times New Roman"/>
          <w:color w:val="auto"/>
          <w:szCs w:val="24"/>
        </w:rPr>
        <w:t xml:space="preserve">The medical evidence of the anemia condition was discussed under the DM condition for possible consideration with a higher rating under the 7913 DM code.  This condition was not profiled, implicated in the </w:t>
      </w:r>
      <w:r w:rsidR="009E1A27">
        <w:rPr>
          <w:rFonts w:eastAsia="Calibri" w:cs="Times New Roman"/>
          <w:color w:val="auto"/>
          <w:szCs w:val="24"/>
        </w:rPr>
        <w:t>c</w:t>
      </w:r>
      <w:r w:rsidR="00E42B3E">
        <w:rPr>
          <w:rFonts w:eastAsia="Calibri" w:cs="Times New Roman"/>
          <w:color w:val="auto"/>
          <w:szCs w:val="24"/>
        </w:rPr>
        <w:t>ommander’s statement nor judged to fail retention standards.</w:t>
      </w:r>
      <w:r w:rsidR="00ED0202">
        <w:rPr>
          <w:rFonts w:eastAsia="Calibri" w:cs="Times New Roman"/>
          <w:color w:val="auto"/>
          <w:szCs w:val="24"/>
        </w:rPr>
        <w:t xml:space="preserve"> </w:t>
      </w:r>
      <w:r w:rsidR="00E42B3E">
        <w:rPr>
          <w:rFonts w:eastAsia="Calibri" w:cs="Times New Roman"/>
          <w:color w:val="auto"/>
          <w:szCs w:val="24"/>
        </w:rPr>
        <w:t xml:space="preserve"> </w:t>
      </w:r>
      <w:r w:rsidR="00E42B3E">
        <w:rPr>
          <w:color w:val="000000"/>
        </w:rPr>
        <w:t>It was reviewed</w:t>
      </w:r>
      <w:r w:rsidRPr="001F29F9">
        <w:rPr>
          <w:color w:val="000000"/>
        </w:rPr>
        <w:t xml:space="preserve"> by the </w:t>
      </w:r>
      <w:r w:rsidR="009E1A27">
        <w:rPr>
          <w:color w:val="000000"/>
        </w:rPr>
        <w:t>a</w:t>
      </w:r>
      <w:r w:rsidRPr="001F29F9">
        <w:rPr>
          <w:color w:val="000000"/>
        </w:rPr>
        <w:t xml:space="preserve">ction </w:t>
      </w:r>
      <w:r w:rsidR="009E1A27">
        <w:rPr>
          <w:color w:val="000000"/>
        </w:rPr>
        <w:t>o</w:t>
      </w:r>
      <w:r w:rsidRPr="001F29F9">
        <w:rPr>
          <w:color w:val="000000"/>
        </w:rPr>
        <w:t xml:space="preserve">fficer and considered by the Board. </w:t>
      </w:r>
      <w:r>
        <w:rPr>
          <w:color w:val="000000"/>
        </w:rPr>
        <w:t xml:space="preserve"> </w:t>
      </w:r>
      <w:r w:rsidRPr="001F29F9">
        <w:rPr>
          <w:color w:val="000000"/>
        </w:rPr>
        <w:t>There was no indication from the record that th</w:t>
      </w:r>
      <w:r w:rsidR="00E42B3E">
        <w:rPr>
          <w:color w:val="000000"/>
        </w:rPr>
        <w:t>is condition</w:t>
      </w:r>
      <w:r w:rsidRPr="001F29F9">
        <w:rPr>
          <w:color w:val="000000"/>
        </w:rPr>
        <w:t xml:space="preserve"> significantly interfered with satisfactory duty performance.  </w:t>
      </w:r>
      <w:r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E42B3E">
        <w:rPr>
          <w:rFonts w:eastAsia="Calibri" w:cs="Times New Roman"/>
          <w:color w:val="auto"/>
          <w:szCs w:val="24"/>
        </w:rPr>
        <w:t>anemia condition</w:t>
      </w:r>
      <w:r>
        <w:rPr>
          <w:rFonts w:eastAsia="Calibri" w:cs="Times New Roman"/>
          <w:color w:val="auto"/>
          <w:szCs w:val="24"/>
        </w:rPr>
        <w:t xml:space="preserve"> </w:t>
      </w:r>
      <w:r w:rsidRPr="00792790">
        <w:rPr>
          <w:rFonts w:eastAsia="Calibri" w:cs="Times New Roman"/>
          <w:color w:val="auto"/>
          <w:szCs w:val="24"/>
        </w:rPr>
        <w:t>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77201A" w:rsidRPr="00C81984" w:rsidRDefault="00AD2379" w:rsidP="0077201A">
      <w:pPr>
        <w:jc w:val="both"/>
        <w:rPr>
          <w:rFonts w:cs="Times New Roman"/>
          <w:color w:val="auto"/>
        </w:rPr>
      </w:pPr>
      <w:r w:rsidRPr="00F64312">
        <w:rPr>
          <w:color w:val="auto"/>
          <w:u w:val="single"/>
        </w:rPr>
        <w:t>BOARD FINDINGS</w:t>
      </w:r>
      <w:r w:rsidRPr="00F64312">
        <w:rPr>
          <w:color w:val="auto"/>
        </w:rPr>
        <w:t xml:space="preserve">:  </w:t>
      </w:r>
      <w:r w:rsidR="0077201A" w:rsidRPr="00F64312">
        <w:rPr>
          <w:color w:val="auto"/>
        </w:rPr>
        <w:t>IAW DoDI 6040.44, provisions of DoD or Military Department regulations or guidelines relied upon by the PEB will not be considered by the Board to the extent they were inconsistent with the VASRD in effect at the time of the adjudication</w:t>
      </w:r>
      <w:r w:rsidR="0077201A" w:rsidRPr="00F64312">
        <w:rPr>
          <w:rFonts w:cs="Times New Roman"/>
          <w:color w:val="auto"/>
        </w:rPr>
        <w:t xml:space="preserve">.  The Board did not surmise </w:t>
      </w:r>
      <w:r w:rsidR="0077201A" w:rsidRPr="001E3611">
        <w:rPr>
          <w:rFonts w:cs="Times New Roman"/>
          <w:color w:val="auto"/>
        </w:rPr>
        <w:t xml:space="preserve">from the record or PEB ruling in this case that any prerogatives outside the VASRD were exercised.  </w:t>
      </w:r>
      <w:r w:rsidR="0077201A" w:rsidRPr="001E3611">
        <w:rPr>
          <w:rFonts w:eastAsia="Calibri" w:cs="Times New Roman"/>
          <w:color w:val="auto"/>
          <w:szCs w:val="24"/>
        </w:rPr>
        <w:t xml:space="preserve">In the matter of the </w:t>
      </w:r>
      <w:r w:rsidR="00C81984" w:rsidRPr="001E3611">
        <w:rPr>
          <w:rFonts w:eastAsia="Calibri" w:cs="Times New Roman"/>
          <w:color w:val="auto"/>
          <w:szCs w:val="24"/>
        </w:rPr>
        <w:t>DM</w:t>
      </w:r>
      <w:r w:rsidR="0077201A" w:rsidRPr="001E3611">
        <w:rPr>
          <w:rFonts w:eastAsia="Calibri" w:cs="Times New Roman"/>
          <w:color w:val="auto"/>
          <w:szCs w:val="24"/>
        </w:rPr>
        <w:t xml:space="preserve"> condition and IAW VASRD §4.71a, the Board unanimously recommends no change in the PEB adjudication.  In the matter of the contended </w:t>
      </w:r>
      <w:r w:rsidR="001E3611" w:rsidRPr="001E3611">
        <w:rPr>
          <w:rFonts w:eastAsia="Calibri" w:cs="Times New Roman"/>
          <w:color w:val="auto"/>
          <w:szCs w:val="24"/>
        </w:rPr>
        <w:lastRenderedPageBreak/>
        <w:t xml:space="preserve">mild anemia </w:t>
      </w:r>
      <w:r w:rsidR="00C81984" w:rsidRPr="001E3611">
        <w:rPr>
          <w:rFonts w:eastAsia="Calibri" w:cs="Times New Roman"/>
          <w:color w:val="auto"/>
          <w:szCs w:val="24"/>
        </w:rPr>
        <w:t>condition</w:t>
      </w:r>
      <w:r w:rsidR="0077201A" w:rsidRPr="001E3611">
        <w:rPr>
          <w:rFonts w:eastAsia="Calibri" w:cs="Times New Roman"/>
          <w:color w:val="auto"/>
          <w:szCs w:val="24"/>
        </w:rPr>
        <w:t>, the Board unanimously recommends no change from the PEB determinations as not unfitting.  There were no other conditions within the Board’s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77201A" w:rsidRPr="00F64312" w:rsidRDefault="00AD2379" w:rsidP="0077201A">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0077201A" w:rsidRPr="00F64312">
        <w:rPr>
          <w:color w:val="auto"/>
        </w:rPr>
        <w:t>The Board, therefore, recommends that there be no recharacterization of the CI’s disability and separat</w:t>
      </w:r>
      <w:r w:rsidR="00ED0202">
        <w:rPr>
          <w:color w:val="auto"/>
        </w:rPr>
        <w:t>ion determination, as follows:</w:t>
      </w:r>
    </w:p>
    <w:p w:rsidR="0077201A" w:rsidRPr="00F64312" w:rsidRDefault="0077201A" w:rsidP="0077201A">
      <w:pPr>
        <w:jc w:val="left"/>
        <w:rPr>
          <w:color w:val="auto"/>
        </w:rPr>
      </w:pP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1E3611" w:rsidRDefault="00AD2379" w:rsidP="006B690F">
            <w:pPr>
              <w:tabs>
                <w:tab w:val="left" w:pos="288"/>
                <w:tab w:val="left" w:pos="4752"/>
              </w:tabs>
              <w:rPr>
                <w:b/>
                <w:color w:val="auto"/>
              </w:rPr>
            </w:pPr>
            <w:r w:rsidRPr="001E3611">
              <w:rPr>
                <w:b/>
                <w:color w:val="auto"/>
              </w:rPr>
              <w:t>VASRD CODE</w:t>
            </w:r>
          </w:p>
        </w:tc>
        <w:tc>
          <w:tcPr>
            <w:tcW w:w="1026" w:type="dxa"/>
            <w:shd w:val="clear" w:color="auto" w:fill="D9D9D9"/>
            <w:vAlign w:val="center"/>
          </w:tcPr>
          <w:p w:rsidR="00AD2379" w:rsidRPr="001E3611" w:rsidRDefault="00AD2379" w:rsidP="006B690F">
            <w:pPr>
              <w:tabs>
                <w:tab w:val="left" w:pos="288"/>
                <w:tab w:val="left" w:pos="4752"/>
              </w:tabs>
              <w:rPr>
                <w:b/>
                <w:color w:val="auto"/>
              </w:rPr>
            </w:pPr>
            <w:r w:rsidRPr="001E3611">
              <w:rPr>
                <w:b/>
                <w:color w:val="auto"/>
              </w:rPr>
              <w:t>RATING</w:t>
            </w:r>
          </w:p>
        </w:tc>
      </w:tr>
      <w:tr w:rsidR="00AD2379" w:rsidRPr="00F64312" w:rsidTr="006B690F">
        <w:trPr>
          <w:jc w:val="center"/>
        </w:trPr>
        <w:tc>
          <w:tcPr>
            <w:tcW w:w="6768" w:type="dxa"/>
            <w:vAlign w:val="center"/>
          </w:tcPr>
          <w:p w:rsidR="00AD2379" w:rsidRPr="00F64312" w:rsidRDefault="002D6BD9" w:rsidP="006B690F">
            <w:pPr>
              <w:tabs>
                <w:tab w:val="left" w:pos="288"/>
                <w:tab w:val="left" w:pos="4752"/>
              </w:tabs>
              <w:jc w:val="left"/>
              <w:rPr>
                <w:color w:val="auto"/>
              </w:rPr>
            </w:pPr>
            <w:r w:rsidRPr="002D6BD9">
              <w:rPr>
                <w:color w:val="auto"/>
              </w:rPr>
              <w:t>Diabet</w:t>
            </w:r>
            <w:r>
              <w:rPr>
                <w:color w:val="auto"/>
              </w:rPr>
              <w:t>es Mellitus, Requiring Insulin a</w:t>
            </w:r>
            <w:r w:rsidRPr="002D6BD9">
              <w:rPr>
                <w:color w:val="auto"/>
              </w:rPr>
              <w:t>nd Restricted Diet</w:t>
            </w:r>
          </w:p>
        </w:tc>
        <w:tc>
          <w:tcPr>
            <w:tcW w:w="1530" w:type="dxa"/>
            <w:vAlign w:val="center"/>
          </w:tcPr>
          <w:p w:rsidR="00AD2379" w:rsidRPr="001E3611" w:rsidRDefault="002D6BD9" w:rsidP="006B690F">
            <w:pPr>
              <w:tabs>
                <w:tab w:val="left" w:pos="288"/>
                <w:tab w:val="left" w:pos="4752"/>
              </w:tabs>
              <w:rPr>
                <w:color w:val="auto"/>
              </w:rPr>
            </w:pPr>
            <w:r w:rsidRPr="001E3611">
              <w:rPr>
                <w:color w:val="auto"/>
              </w:rPr>
              <w:t>7913</w:t>
            </w:r>
          </w:p>
        </w:tc>
        <w:tc>
          <w:tcPr>
            <w:tcW w:w="1026" w:type="dxa"/>
            <w:vAlign w:val="center"/>
          </w:tcPr>
          <w:p w:rsidR="00AD2379" w:rsidRPr="001E3611" w:rsidRDefault="002D6BD9" w:rsidP="006B690F">
            <w:pPr>
              <w:tabs>
                <w:tab w:val="left" w:pos="288"/>
                <w:tab w:val="left" w:pos="4752"/>
              </w:tabs>
              <w:rPr>
                <w:color w:val="auto"/>
              </w:rPr>
            </w:pPr>
            <w:r w:rsidRPr="001E3611">
              <w:rPr>
                <w:color w:val="auto"/>
              </w:rPr>
              <w:t>2</w:t>
            </w:r>
            <w:r w:rsidR="00AD2379" w:rsidRPr="001E3611">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1E3611" w:rsidRDefault="00AD2379" w:rsidP="006B690F">
            <w:pPr>
              <w:tabs>
                <w:tab w:val="left" w:pos="288"/>
                <w:tab w:val="left" w:pos="4752"/>
              </w:tabs>
              <w:rPr>
                <w:b/>
                <w:color w:val="auto"/>
              </w:rPr>
            </w:pPr>
            <w:r w:rsidRPr="001E3611">
              <w:rPr>
                <w:b/>
                <w:color w:val="auto"/>
              </w:rPr>
              <w:t>COMBINED</w:t>
            </w:r>
          </w:p>
        </w:tc>
        <w:tc>
          <w:tcPr>
            <w:tcW w:w="1026" w:type="dxa"/>
            <w:shd w:val="clear" w:color="auto" w:fill="D9D9D9"/>
            <w:vAlign w:val="center"/>
          </w:tcPr>
          <w:p w:rsidR="00AD2379" w:rsidRPr="001E3611" w:rsidRDefault="002D6BD9" w:rsidP="006B690F">
            <w:pPr>
              <w:tabs>
                <w:tab w:val="left" w:pos="288"/>
                <w:tab w:val="left" w:pos="4752"/>
              </w:tabs>
              <w:rPr>
                <w:b/>
                <w:color w:val="auto"/>
              </w:rPr>
            </w:pPr>
            <w:r w:rsidRPr="001E3611">
              <w:rPr>
                <w:b/>
                <w:color w:val="auto"/>
              </w:rPr>
              <w:t>2</w:t>
            </w:r>
            <w:r w:rsidR="00AD2379" w:rsidRPr="001E3611">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2D6BD9" w:rsidP="006B690F">
      <w:pPr>
        <w:tabs>
          <w:tab w:val="left" w:pos="288"/>
          <w:tab w:val="left" w:pos="4752"/>
        </w:tabs>
        <w:jc w:val="both"/>
        <w:rPr>
          <w:color w:val="auto"/>
        </w:rPr>
      </w:pPr>
      <w:r>
        <w:rPr>
          <w:color w:val="auto"/>
        </w:rPr>
        <w:t>Exhibit A.  DD Form 294, dated 20120218</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8553A9">
        <w:rPr>
          <w:color w:val="auto"/>
        </w:rPr>
        <w:t>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8553A9" w:rsidRDefault="00AD2379" w:rsidP="00ED0202">
      <w:pPr>
        <w:tabs>
          <w:tab w:val="left" w:pos="0"/>
          <w:tab w:val="left" w:pos="4320"/>
        </w:tabs>
        <w:jc w:val="both"/>
        <w:rPr>
          <w:color w:val="auto"/>
        </w:rPr>
      </w:pPr>
      <w:r w:rsidRPr="00F64312">
        <w:rPr>
          <w:color w:val="auto"/>
        </w:rPr>
        <w:tab/>
        <w:t xml:space="preserve">           Physical Disability Board of Review</w:t>
      </w:r>
    </w:p>
    <w:p w:rsidR="008553A9" w:rsidRDefault="008553A9">
      <w:pPr>
        <w:spacing w:line="240" w:lineRule="auto"/>
        <w:jc w:val="left"/>
        <w:rPr>
          <w:color w:val="auto"/>
        </w:rPr>
      </w:pPr>
      <w:r>
        <w:rPr>
          <w:color w:val="auto"/>
        </w:rPr>
        <w:br w:type="page"/>
      </w:r>
    </w:p>
    <w:p w:rsidR="008553A9" w:rsidRDefault="008553A9" w:rsidP="008553A9">
      <w:pPr>
        <w:sectPr w:rsidR="008553A9">
          <w:pgSz w:w="12240" w:h="15840"/>
          <w:pgMar w:top="2160" w:right="1440" w:bottom="1440" w:left="1440" w:header="720" w:footer="720" w:gutter="0"/>
          <w:cols w:space="720"/>
        </w:sectPr>
      </w:pPr>
    </w:p>
    <w:p w:rsidR="008553A9" w:rsidRDefault="008553A9" w:rsidP="008553A9">
      <w:pPr>
        <w:pStyle w:val="Header"/>
        <w:tabs>
          <w:tab w:val="left" w:pos="720"/>
        </w:tabs>
        <w:jc w:val="left"/>
      </w:pPr>
      <w:r>
        <w:lastRenderedPageBreak/>
        <w:t>SFMR-RB</w:t>
      </w:r>
      <w:r>
        <w:tab/>
      </w:r>
      <w:r>
        <w:tab/>
      </w:r>
      <w:r>
        <w:tab/>
      </w:r>
      <w:r>
        <w:tab/>
      </w:r>
      <w:r>
        <w:tab/>
      </w:r>
      <w:r>
        <w:tab/>
      </w:r>
      <w:r>
        <w:tab/>
      </w:r>
      <w:r>
        <w:tab/>
      </w:r>
      <w:r>
        <w:tab/>
      </w:r>
    </w:p>
    <w:p w:rsidR="008553A9" w:rsidRDefault="008553A9" w:rsidP="008553A9">
      <w:pPr>
        <w:pStyle w:val="Header"/>
        <w:tabs>
          <w:tab w:val="left" w:pos="720"/>
        </w:tabs>
        <w:jc w:val="left"/>
      </w:pPr>
    </w:p>
    <w:p w:rsidR="008553A9" w:rsidRDefault="008553A9" w:rsidP="008553A9">
      <w:pPr>
        <w:jc w:val="left"/>
      </w:pPr>
    </w:p>
    <w:p w:rsidR="008553A9" w:rsidRDefault="008553A9" w:rsidP="008553A9">
      <w:pPr>
        <w:jc w:val="left"/>
      </w:pPr>
      <w:r>
        <w:t xml:space="preserve">MEMORANDUM FOR Commander, US Army Physical Disability Agency </w:t>
      </w:r>
    </w:p>
    <w:p w:rsidR="008553A9" w:rsidRDefault="008553A9" w:rsidP="008553A9">
      <w:pPr>
        <w:jc w:val="left"/>
      </w:pPr>
      <w:r>
        <w:t xml:space="preserve">(TAPD-ZB </w:t>
      </w:r>
      <w:proofErr w:type="gramStart"/>
      <w:r>
        <w:t>/  )</w:t>
      </w:r>
      <w:proofErr w:type="gramEnd"/>
      <w:r>
        <w:t>, 2900 Crystal Drive, Suite 300 Arlington, VA 22202</w:t>
      </w:r>
    </w:p>
    <w:p w:rsidR="008553A9" w:rsidRDefault="008553A9" w:rsidP="008553A9">
      <w:pPr>
        <w:jc w:val="left"/>
      </w:pPr>
    </w:p>
    <w:p w:rsidR="008553A9" w:rsidRDefault="008553A9" w:rsidP="008553A9">
      <w:pPr>
        <w:ind w:right="-180"/>
        <w:jc w:val="left"/>
      </w:pPr>
      <w:r>
        <w:t>SUBJECT:  Department of Defense Physical Disability Board of Review Recommendation for XXXXXXXXXXXXXXXXXXXXXXXXX, AR20120016897 (PD201200222)</w:t>
      </w:r>
    </w:p>
    <w:p w:rsidR="008553A9" w:rsidRDefault="008553A9" w:rsidP="008553A9">
      <w:pPr>
        <w:pStyle w:val="Header"/>
        <w:tabs>
          <w:tab w:val="left" w:pos="720"/>
        </w:tabs>
        <w:jc w:val="left"/>
      </w:pPr>
    </w:p>
    <w:p w:rsidR="008553A9" w:rsidRDefault="008553A9" w:rsidP="008553A9">
      <w:pPr>
        <w:jc w:val="left"/>
      </w:pPr>
    </w:p>
    <w:p w:rsidR="008553A9" w:rsidRDefault="008553A9" w:rsidP="008553A9">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8553A9" w:rsidRDefault="008553A9" w:rsidP="008553A9">
      <w:pPr>
        <w:jc w:val="left"/>
      </w:pPr>
      <w:r>
        <w:t>This decision is final.  The individual concerned, counsel (if any), and any Members of Congress who have shown interest in this application have been notified of this decision by mail.</w:t>
      </w:r>
    </w:p>
    <w:p w:rsidR="008553A9" w:rsidRDefault="008553A9" w:rsidP="008553A9">
      <w:pPr>
        <w:jc w:val="left"/>
      </w:pPr>
    </w:p>
    <w:p w:rsidR="008553A9" w:rsidRDefault="008553A9" w:rsidP="008553A9">
      <w:pPr>
        <w:jc w:val="left"/>
      </w:pPr>
      <w:r>
        <w:t xml:space="preserve"> BY ORDER OF THE SECRETARY OF THE ARMY:</w:t>
      </w:r>
    </w:p>
    <w:p w:rsidR="008553A9" w:rsidRDefault="008553A9" w:rsidP="008553A9">
      <w:pPr>
        <w:jc w:val="left"/>
      </w:pPr>
    </w:p>
    <w:p w:rsidR="008553A9" w:rsidRDefault="008553A9" w:rsidP="008553A9">
      <w:pPr>
        <w:jc w:val="left"/>
      </w:pPr>
    </w:p>
    <w:p w:rsidR="008553A9" w:rsidRDefault="008553A9" w:rsidP="008553A9">
      <w:pPr>
        <w:pStyle w:val="Header"/>
        <w:tabs>
          <w:tab w:val="left" w:pos="720"/>
        </w:tabs>
        <w:jc w:val="left"/>
      </w:pPr>
    </w:p>
    <w:p w:rsidR="008553A9" w:rsidRDefault="008553A9" w:rsidP="008553A9">
      <w:pPr>
        <w:jc w:val="left"/>
      </w:pPr>
    </w:p>
    <w:p w:rsidR="008553A9" w:rsidRDefault="008553A9" w:rsidP="008553A9">
      <w:pPr>
        <w:jc w:val="left"/>
      </w:pPr>
      <w:bookmarkStart w:id="0" w:name="OLE_LINK4"/>
      <w:bookmarkStart w:id="1" w:name="OLE_LINK3"/>
      <w:r>
        <w:t>Encl</w:t>
      </w:r>
      <w:r>
        <w:tab/>
      </w:r>
      <w:r>
        <w:tab/>
      </w:r>
      <w:r>
        <w:tab/>
      </w:r>
      <w:r>
        <w:tab/>
      </w:r>
      <w:r>
        <w:tab/>
      </w:r>
      <w:r>
        <w:tab/>
        <w:t xml:space="preserve">     XXXXXXXXXXXXXXXXXXX</w:t>
      </w:r>
    </w:p>
    <w:p w:rsidR="008553A9" w:rsidRDefault="008553A9" w:rsidP="008553A9">
      <w:pPr>
        <w:jc w:val="left"/>
      </w:pPr>
      <w:r>
        <w:tab/>
      </w:r>
      <w:r>
        <w:tab/>
      </w:r>
      <w:r>
        <w:tab/>
      </w:r>
      <w:r>
        <w:tab/>
      </w:r>
      <w:r>
        <w:tab/>
      </w:r>
      <w:r>
        <w:tab/>
        <w:t xml:space="preserve">     Deputy Assistant Secretary</w:t>
      </w:r>
    </w:p>
    <w:p w:rsidR="008553A9" w:rsidRDefault="008553A9" w:rsidP="008553A9">
      <w:pPr>
        <w:jc w:val="left"/>
      </w:pPr>
      <w:r>
        <w:tab/>
      </w:r>
      <w:r>
        <w:tab/>
      </w:r>
      <w:r>
        <w:tab/>
      </w:r>
      <w:r>
        <w:tab/>
      </w:r>
      <w:r>
        <w:tab/>
      </w:r>
      <w:r>
        <w:tab/>
        <w:t xml:space="preserve">         (Army Review Boards)</w:t>
      </w:r>
      <w:bookmarkEnd w:id="0"/>
      <w:bookmarkEnd w:id="1"/>
    </w:p>
    <w:p w:rsidR="008553A9" w:rsidRDefault="008553A9" w:rsidP="008553A9">
      <w:pPr>
        <w:jc w:val="left"/>
      </w:pPr>
    </w:p>
    <w:p w:rsidR="008553A9" w:rsidRDefault="008553A9" w:rsidP="008553A9">
      <w:pPr>
        <w:jc w:val="left"/>
      </w:pPr>
      <w:r>
        <w:t xml:space="preserve">CF: </w:t>
      </w:r>
    </w:p>
    <w:p w:rsidR="008553A9" w:rsidRDefault="008553A9" w:rsidP="008553A9">
      <w:pPr>
        <w:jc w:val="left"/>
      </w:pPr>
      <w:r>
        <w:t xml:space="preserve">(  ) </w:t>
      </w:r>
      <w:proofErr w:type="spellStart"/>
      <w:proofErr w:type="gramStart"/>
      <w:r>
        <w:t>DoD</w:t>
      </w:r>
      <w:proofErr w:type="spellEnd"/>
      <w:proofErr w:type="gramEnd"/>
      <w:r>
        <w:t xml:space="preserve"> PDBR</w:t>
      </w:r>
    </w:p>
    <w:p w:rsidR="008553A9" w:rsidRDefault="008553A9" w:rsidP="008553A9">
      <w:pPr>
        <w:jc w:val="left"/>
      </w:pPr>
      <w:r>
        <w:t>(  ) DVA</w:t>
      </w:r>
    </w:p>
    <w:p w:rsidR="008553A9" w:rsidRDefault="008553A9" w:rsidP="008553A9">
      <w:pPr>
        <w:jc w:val="left"/>
      </w:pPr>
    </w:p>
    <w:p w:rsidR="00A666DB" w:rsidRPr="00ED0202" w:rsidRDefault="00A666DB" w:rsidP="00ED0202">
      <w:pPr>
        <w:tabs>
          <w:tab w:val="left" w:pos="0"/>
          <w:tab w:val="left" w:pos="4320"/>
        </w:tabs>
        <w:jc w:val="both"/>
        <w:rPr>
          <w:color w:val="auto"/>
        </w:rPr>
      </w:pPr>
    </w:p>
    <w:sectPr w:rsidR="00A666DB" w:rsidRPr="00ED0202"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6CE" w:rsidRDefault="004A66CE">
      <w:r>
        <w:separator/>
      </w:r>
    </w:p>
  </w:endnote>
  <w:endnote w:type="continuationSeparator" w:id="0">
    <w:p w:rsidR="004A66CE" w:rsidRDefault="004A6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FF" w:rsidRPr="00374247" w:rsidRDefault="00A519FF" w:rsidP="00726F84">
    <w:pPr>
      <w:pStyle w:val="Footer"/>
      <w:ind w:firstLine="4320"/>
      <w:rPr>
        <w:color w:val="auto"/>
      </w:rPr>
    </w:pPr>
    <w:r w:rsidRPr="00374247">
      <w:rPr>
        <w:color w:val="auto"/>
      </w:rPr>
      <w:t xml:space="preserve">   </w:t>
    </w:r>
    <w:fldSimple w:instr=" PAGE   \* MERGEFORMAT ">
      <w:r w:rsidR="008553A9" w:rsidRPr="008553A9">
        <w:rPr>
          <w:noProof/>
          <w:color w:val="auto"/>
        </w:rPr>
        <w:t>5</w:t>
      </w:r>
    </w:fldSimple>
    <w:r w:rsidRPr="002D6BD9">
      <w:rPr>
        <w:color w:val="auto"/>
      </w:rPr>
      <w:t xml:space="preserve">                                                           P</w:t>
    </w:r>
    <w:r w:rsidR="002D6BD9" w:rsidRPr="002D6BD9">
      <w:rPr>
        <w:color w:val="auto"/>
      </w:rPr>
      <w:t>D</w:t>
    </w:r>
    <w:r w:rsidR="009E1A27">
      <w:rPr>
        <w:color w:val="auto"/>
      </w:rPr>
      <w:t>12</w:t>
    </w:r>
    <w:r w:rsidR="002D6BD9" w:rsidRPr="002D6BD9">
      <w:rPr>
        <w:color w:val="auto"/>
      </w:rPr>
      <w:t>00222</w:t>
    </w:r>
  </w:p>
  <w:p w:rsidR="00A519FF" w:rsidRPr="00684CE6" w:rsidRDefault="00A519F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6CE" w:rsidRDefault="004A66CE">
      <w:r>
        <w:separator/>
      </w:r>
    </w:p>
  </w:footnote>
  <w:footnote w:type="continuationSeparator" w:id="0">
    <w:p w:rsidR="004A66CE" w:rsidRDefault="004A6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79A"/>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0BF5"/>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679C"/>
    <w:rsid w:val="000E7034"/>
    <w:rsid w:val="000F02BE"/>
    <w:rsid w:val="000F0928"/>
    <w:rsid w:val="000F0B3D"/>
    <w:rsid w:val="000F1C74"/>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1D5"/>
    <w:rsid w:val="0011590B"/>
    <w:rsid w:val="00117A62"/>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4EC3"/>
    <w:rsid w:val="0013525F"/>
    <w:rsid w:val="00135385"/>
    <w:rsid w:val="00136204"/>
    <w:rsid w:val="001364D1"/>
    <w:rsid w:val="001374C7"/>
    <w:rsid w:val="00140FA4"/>
    <w:rsid w:val="00141BC9"/>
    <w:rsid w:val="001421FD"/>
    <w:rsid w:val="001425C8"/>
    <w:rsid w:val="00142EBA"/>
    <w:rsid w:val="00143AC7"/>
    <w:rsid w:val="00143B79"/>
    <w:rsid w:val="0014522D"/>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57368"/>
    <w:rsid w:val="00161642"/>
    <w:rsid w:val="00161761"/>
    <w:rsid w:val="00164413"/>
    <w:rsid w:val="001657BE"/>
    <w:rsid w:val="00165C7B"/>
    <w:rsid w:val="00166182"/>
    <w:rsid w:val="0017038B"/>
    <w:rsid w:val="00170C94"/>
    <w:rsid w:val="0017139A"/>
    <w:rsid w:val="0017172C"/>
    <w:rsid w:val="001724C8"/>
    <w:rsid w:val="001726BA"/>
    <w:rsid w:val="00172749"/>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8791D"/>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4EF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611"/>
    <w:rsid w:val="001E3FE1"/>
    <w:rsid w:val="001E41FE"/>
    <w:rsid w:val="001E4989"/>
    <w:rsid w:val="001E635C"/>
    <w:rsid w:val="001E6620"/>
    <w:rsid w:val="001F0297"/>
    <w:rsid w:val="001F29F9"/>
    <w:rsid w:val="001F6E0B"/>
    <w:rsid w:val="001F7C50"/>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BA8"/>
    <w:rsid w:val="00217C09"/>
    <w:rsid w:val="00220F5C"/>
    <w:rsid w:val="00220FA9"/>
    <w:rsid w:val="002216BF"/>
    <w:rsid w:val="00221B9B"/>
    <w:rsid w:val="00222268"/>
    <w:rsid w:val="00225080"/>
    <w:rsid w:val="00225196"/>
    <w:rsid w:val="00225CB4"/>
    <w:rsid w:val="00226B1A"/>
    <w:rsid w:val="00227487"/>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476C"/>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32B8"/>
    <w:rsid w:val="00274549"/>
    <w:rsid w:val="00274E46"/>
    <w:rsid w:val="002752AE"/>
    <w:rsid w:val="00275AFD"/>
    <w:rsid w:val="002769AF"/>
    <w:rsid w:val="00276C86"/>
    <w:rsid w:val="00276FD0"/>
    <w:rsid w:val="00277217"/>
    <w:rsid w:val="002810A4"/>
    <w:rsid w:val="00281F8B"/>
    <w:rsid w:val="0028261C"/>
    <w:rsid w:val="00282DB6"/>
    <w:rsid w:val="00284A26"/>
    <w:rsid w:val="00285095"/>
    <w:rsid w:val="002854EB"/>
    <w:rsid w:val="00287006"/>
    <w:rsid w:val="0029030A"/>
    <w:rsid w:val="002912C6"/>
    <w:rsid w:val="00291A69"/>
    <w:rsid w:val="00292397"/>
    <w:rsid w:val="00292AB2"/>
    <w:rsid w:val="00292B82"/>
    <w:rsid w:val="00293DB6"/>
    <w:rsid w:val="00293FE8"/>
    <w:rsid w:val="00294437"/>
    <w:rsid w:val="00294E52"/>
    <w:rsid w:val="00296686"/>
    <w:rsid w:val="00297A00"/>
    <w:rsid w:val="00297A45"/>
    <w:rsid w:val="00297E20"/>
    <w:rsid w:val="002A233F"/>
    <w:rsid w:val="002A3237"/>
    <w:rsid w:val="002A4119"/>
    <w:rsid w:val="002A58B7"/>
    <w:rsid w:val="002A5943"/>
    <w:rsid w:val="002A5C3C"/>
    <w:rsid w:val="002A6747"/>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BD9"/>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7B1"/>
    <w:rsid w:val="00301B45"/>
    <w:rsid w:val="003029D5"/>
    <w:rsid w:val="00302EF6"/>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2B94"/>
    <w:rsid w:val="00323A90"/>
    <w:rsid w:val="00323E70"/>
    <w:rsid w:val="003258A7"/>
    <w:rsid w:val="00325BA2"/>
    <w:rsid w:val="003262BD"/>
    <w:rsid w:val="00326798"/>
    <w:rsid w:val="00326B1C"/>
    <w:rsid w:val="00326C08"/>
    <w:rsid w:val="00326DDE"/>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25A8"/>
    <w:rsid w:val="00343E4B"/>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7"/>
    <w:rsid w:val="00394FF9"/>
    <w:rsid w:val="00395651"/>
    <w:rsid w:val="00395E12"/>
    <w:rsid w:val="003962A8"/>
    <w:rsid w:val="00396779"/>
    <w:rsid w:val="00397DB7"/>
    <w:rsid w:val="003A27B2"/>
    <w:rsid w:val="003A2B90"/>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19B0"/>
    <w:rsid w:val="003E31E3"/>
    <w:rsid w:val="003E3E93"/>
    <w:rsid w:val="003E46D1"/>
    <w:rsid w:val="003E6214"/>
    <w:rsid w:val="003F070E"/>
    <w:rsid w:val="003F1206"/>
    <w:rsid w:val="003F22F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6E53"/>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66CE"/>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98C"/>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07CC1"/>
    <w:rsid w:val="00510588"/>
    <w:rsid w:val="00510F9C"/>
    <w:rsid w:val="0051146C"/>
    <w:rsid w:val="00511881"/>
    <w:rsid w:val="0051220B"/>
    <w:rsid w:val="00512253"/>
    <w:rsid w:val="00512484"/>
    <w:rsid w:val="00514449"/>
    <w:rsid w:val="005144A7"/>
    <w:rsid w:val="00515419"/>
    <w:rsid w:val="005157BD"/>
    <w:rsid w:val="0051594B"/>
    <w:rsid w:val="005162A8"/>
    <w:rsid w:val="005214A3"/>
    <w:rsid w:val="005222E7"/>
    <w:rsid w:val="00523488"/>
    <w:rsid w:val="00523A8B"/>
    <w:rsid w:val="00523AD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8A5"/>
    <w:rsid w:val="00546C24"/>
    <w:rsid w:val="005471BA"/>
    <w:rsid w:val="00547BDA"/>
    <w:rsid w:val="00547BE6"/>
    <w:rsid w:val="0055034F"/>
    <w:rsid w:val="00550476"/>
    <w:rsid w:val="005526B1"/>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7FCE"/>
    <w:rsid w:val="0058039C"/>
    <w:rsid w:val="00580A63"/>
    <w:rsid w:val="00582938"/>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2F4"/>
    <w:rsid w:val="005B45F7"/>
    <w:rsid w:val="005B56E0"/>
    <w:rsid w:val="005B5B3D"/>
    <w:rsid w:val="005B5E8F"/>
    <w:rsid w:val="005B64CF"/>
    <w:rsid w:val="005B72DA"/>
    <w:rsid w:val="005C0E87"/>
    <w:rsid w:val="005C1398"/>
    <w:rsid w:val="005C16F3"/>
    <w:rsid w:val="005C2ABC"/>
    <w:rsid w:val="005C3758"/>
    <w:rsid w:val="005C4D72"/>
    <w:rsid w:val="005C50C1"/>
    <w:rsid w:val="005C62C2"/>
    <w:rsid w:val="005D0ABC"/>
    <w:rsid w:val="005D2306"/>
    <w:rsid w:val="005D2562"/>
    <w:rsid w:val="005D2666"/>
    <w:rsid w:val="005D4548"/>
    <w:rsid w:val="005D4A74"/>
    <w:rsid w:val="005D519F"/>
    <w:rsid w:val="005D56E9"/>
    <w:rsid w:val="005D5E91"/>
    <w:rsid w:val="005D67EF"/>
    <w:rsid w:val="005D7602"/>
    <w:rsid w:val="005E1416"/>
    <w:rsid w:val="005E3064"/>
    <w:rsid w:val="005E54DC"/>
    <w:rsid w:val="005E57BF"/>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030"/>
    <w:rsid w:val="0061356D"/>
    <w:rsid w:val="00613E26"/>
    <w:rsid w:val="00615641"/>
    <w:rsid w:val="00615A66"/>
    <w:rsid w:val="00616959"/>
    <w:rsid w:val="0062036E"/>
    <w:rsid w:val="006211D0"/>
    <w:rsid w:val="00621595"/>
    <w:rsid w:val="00622614"/>
    <w:rsid w:val="00622F18"/>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E45"/>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25D"/>
    <w:rsid w:val="0067443B"/>
    <w:rsid w:val="006770AA"/>
    <w:rsid w:val="00680450"/>
    <w:rsid w:val="0068098E"/>
    <w:rsid w:val="006810BD"/>
    <w:rsid w:val="00681350"/>
    <w:rsid w:val="0068160C"/>
    <w:rsid w:val="00681FFA"/>
    <w:rsid w:val="00682486"/>
    <w:rsid w:val="006833A7"/>
    <w:rsid w:val="00684CE6"/>
    <w:rsid w:val="00684E2B"/>
    <w:rsid w:val="006857A0"/>
    <w:rsid w:val="006870CE"/>
    <w:rsid w:val="00687C7E"/>
    <w:rsid w:val="00687D3D"/>
    <w:rsid w:val="00690569"/>
    <w:rsid w:val="00690FDA"/>
    <w:rsid w:val="00691E61"/>
    <w:rsid w:val="00692180"/>
    <w:rsid w:val="0069245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1A8"/>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0E87"/>
    <w:rsid w:val="0070220D"/>
    <w:rsid w:val="00702421"/>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0952"/>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1B28"/>
    <w:rsid w:val="00752035"/>
    <w:rsid w:val="0076100C"/>
    <w:rsid w:val="00761127"/>
    <w:rsid w:val="007612A5"/>
    <w:rsid w:val="007635A8"/>
    <w:rsid w:val="00763CAE"/>
    <w:rsid w:val="00763F95"/>
    <w:rsid w:val="007651ED"/>
    <w:rsid w:val="00765BA5"/>
    <w:rsid w:val="00766C87"/>
    <w:rsid w:val="00771043"/>
    <w:rsid w:val="0077201A"/>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9C7"/>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A6E"/>
    <w:rsid w:val="00823D6A"/>
    <w:rsid w:val="00825A81"/>
    <w:rsid w:val="00827B29"/>
    <w:rsid w:val="00827DB6"/>
    <w:rsid w:val="008304B2"/>
    <w:rsid w:val="00830999"/>
    <w:rsid w:val="00830C70"/>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663A"/>
    <w:rsid w:val="00847739"/>
    <w:rsid w:val="0085006A"/>
    <w:rsid w:val="00850127"/>
    <w:rsid w:val="0085089F"/>
    <w:rsid w:val="0085206E"/>
    <w:rsid w:val="00852273"/>
    <w:rsid w:val="0085293D"/>
    <w:rsid w:val="00852AD4"/>
    <w:rsid w:val="00852BA8"/>
    <w:rsid w:val="00852BF0"/>
    <w:rsid w:val="008530E3"/>
    <w:rsid w:val="00853718"/>
    <w:rsid w:val="008541EF"/>
    <w:rsid w:val="008553A9"/>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33A"/>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5AE0"/>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1538"/>
    <w:rsid w:val="009020ED"/>
    <w:rsid w:val="00902242"/>
    <w:rsid w:val="009026E8"/>
    <w:rsid w:val="00902FDD"/>
    <w:rsid w:val="00905EA6"/>
    <w:rsid w:val="00905EEF"/>
    <w:rsid w:val="00906919"/>
    <w:rsid w:val="00906EB7"/>
    <w:rsid w:val="00907FE6"/>
    <w:rsid w:val="009102BF"/>
    <w:rsid w:val="00910B3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27878"/>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3AA"/>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1D0F"/>
    <w:rsid w:val="00992BF4"/>
    <w:rsid w:val="009935C3"/>
    <w:rsid w:val="0099421F"/>
    <w:rsid w:val="00994D33"/>
    <w:rsid w:val="00994FC8"/>
    <w:rsid w:val="009A0346"/>
    <w:rsid w:val="009A0DE3"/>
    <w:rsid w:val="009A1643"/>
    <w:rsid w:val="009A215A"/>
    <w:rsid w:val="009A26B9"/>
    <w:rsid w:val="009A289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1A27"/>
    <w:rsid w:val="009E2416"/>
    <w:rsid w:val="009E3A7F"/>
    <w:rsid w:val="009E4042"/>
    <w:rsid w:val="009E4C9B"/>
    <w:rsid w:val="009E4DFC"/>
    <w:rsid w:val="009E5789"/>
    <w:rsid w:val="009E57B1"/>
    <w:rsid w:val="009E6379"/>
    <w:rsid w:val="009F020F"/>
    <w:rsid w:val="009F077E"/>
    <w:rsid w:val="009F3B63"/>
    <w:rsid w:val="009F43E2"/>
    <w:rsid w:val="009F491F"/>
    <w:rsid w:val="009F6292"/>
    <w:rsid w:val="009F6EC5"/>
    <w:rsid w:val="009F75EF"/>
    <w:rsid w:val="009F7809"/>
    <w:rsid w:val="009F7822"/>
    <w:rsid w:val="009F7AF5"/>
    <w:rsid w:val="00A00613"/>
    <w:rsid w:val="00A006F1"/>
    <w:rsid w:val="00A007A7"/>
    <w:rsid w:val="00A00D14"/>
    <w:rsid w:val="00A01408"/>
    <w:rsid w:val="00A01735"/>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AC9"/>
    <w:rsid w:val="00A36CD4"/>
    <w:rsid w:val="00A40356"/>
    <w:rsid w:val="00A40FFB"/>
    <w:rsid w:val="00A41468"/>
    <w:rsid w:val="00A414A9"/>
    <w:rsid w:val="00A44141"/>
    <w:rsid w:val="00A44CCA"/>
    <w:rsid w:val="00A44D75"/>
    <w:rsid w:val="00A459DB"/>
    <w:rsid w:val="00A47CF1"/>
    <w:rsid w:val="00A50418"/>
    <w:rsid w:val="00A50B17"/>
    <w:rsid w:val="00A519FF"/>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6DB"/>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57B"/>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918"/>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21A"/>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01B8"/>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4C"/>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2D1"/>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5903"/>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3E45"/>
    <w:rsid w:val="00B94023"/>
    <w:rsid w:val="00B955D5"/>
    <w:rsid w:val="00B95833"/>
    <w:rsid w:val="00BA1824"/>
    <w:rsid w:val="00BA2D98"/>
    <w:rsid w:val="00BA2F0C"/>
    <w:rsid w:val="00BA301E"/>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94"/>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A1F"/>
    <w:rsid w:val="00C56FC8"/>
    <w:rsid w:val="00C60F23"/>
    <w:rsid w:val="00C6170B"/>
    <w:rsid w:val="00C62EB2"/>
    <w:rsid w:val="00C63431"/>
    <w:rsid w:val="00C64C87"/>
    <w:rsid w:val="00C64FEE"/>
    <w:rsid w:val="00C65414"/>
    <w:rsid w:val="00C6590A"/>
    <w:rsid w:val="00C65BE0"/>
    <w:rsid w:val="00C665FE"/>
    <w:rsid w:val="00C7060C"/>
    <w:rsid w:val="00C71BEC"/>
    <w:rsid w:val="00C73942"/>
    <w:rsid w:val="00C73A83"/>
    <w:rsid w:val="00C74D3A"/>
    <w:rsid w:val="00C75F3D"/>
    <w:rsid w:val="00C80511"/>
    <w:rsid w:val="00C80655"/>
    <w:rsid w:val="00C81937"/>
    <w:rsid w:val="00C81984"/>
    <w:rsid w:val="00C8219F"/>
    <w:rsid w:val="00C826F5"/>
    <w:rsid w:val="00C83740"/>
    <w:rsid w:val="00C84527"/>
    <w:rsid w:val="00C845FF"/>
    <w:rsid w:val="00C84AD1"/>
    <w:rsid w:val="00C85579"/>
    <w:rsid w:val="00C8590C"/>
    <w:rsid w:val="00C85B43"/>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3E4"/>
    <w:rsid w:val="00CA3F73"/>
    <w:rsid w:val="00CA4670"/>
    <w:rsid w:val="00CA5589"/>
    <w:rsid w:val="00CA5F89"/>
    <w:rsid w:val="00CA6B1A"/>
    <w:rsid w:val="00CA720B"/>
    <w:rsid w:val="00CA7EEC"/>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651"/>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0B22"/>
    <w:rsid w:val="00D12405"/>
    <w:rsid w:val="00D12A4E"/>
    <w:rsid w:val="00D1323B"/>
    <w:rsid w:val="00D14BAE"/>
    <w:rsid w:val="00D15107"/>
    <w:rsid w:val="00D1648B"/>
    <w:rsid w:val="00D16819"/>
    <w:rsid w:val="00D17DD9"/>
    <w:rsid w:val="00D20AC0"/>
    <w:rsid w:val="00D229E7"/>
    <w:rsid w:val="00D2321B"/>
    <w:rsid w:val="00D23350"/>
    <w:rsid w:val="00D237E7"/>
    <w:rsid w:val="00D23C63"/>
    <w:rsid w:val="00D23DE4"/>
    <w:rsid w:val="00D25A5C"/>
    <w:rsid w:val="00D26873"/>
    <w:rsid w:val="00D27C99"/>
    <w:rsid w:val="00D31683"/>
    <w:rsid w:val="00D33452"/>
    <w:rsid w:val="00D336C8"/>
    <w:rsid w:val="00D339E8"/>
    <w:rsid w:val="00D33FDD"/>
    <w:rsid w:val="00D348CE"/>
    <w:rsid w:val="00D3654A"/>
    <w:rsid w:val="00D3662E"/>
    <w:rsid w:val="00D366FF"/>
    <w:rsid w:val="00D373F1"/>
    <w:rsid w:val="00D37567"/>
    <w:rsid w:val="00D37D36"/>
    <w:rsid w:val="00D40B1F"/>
    <w:rsid w:val="00D40D75"/>
    <w:rsid w:val="00D41DFF"/>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E18"/>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10C"/>
    <w:rsid w:val="00DB2AAD"/>
    <w:rsid w:val="00DB44E2"/>
    <w:rsid w:val="00DB4A6D"/>
    <w:rsid w:val="00DB5941"/>
    <w:rsid w:val="00DB626D"/>
    <w:rsid w:val="00DB6365"/>
    <w:rsid w:val="00DB756C"/>
    <w:rsid w:val="00DC07B7"/>
    <w:rsid w:val="00DC0BF1"/>
    <w:rsid w:val="00DC0C60"/>
    <w:rsid w:val="00DC11B7"/>
    <w:rsid w:val="00DC1607"/>
    <w:rsid w:val="00DC17F2"/>
    <w:rsid w:val="00DC4001"/>
    <w:rsid w:val="00DC41C3"/>
    <w:rsid w:val="00DC4842"/>
    <w:rsid w:val="00DC4A3C"/>
    <w:rsid w:val="00DC4FA4"/>
    <w:rsid w:val="00DC5028"/>
    <w:rsid w:val="00DC59EE"/>
    <w:rsid w:val="00DC5B37"/>
    <w:rsid w:val="00DD286D"/>
    <w:rsid w:val="00DD2CAF"/>
    <w:rsid w:val="00DD3593"/>
    <w:rsid w:val="00DD3706"/>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1B9"/>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2A5E"/>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1452"/>
    <w:rsid w:val="00E31E1A"/>
    <w:rsid w:val="00E320DB"/>
    <w:rsid w:val="00E322F7"/>
    <w:rsid w:val="00E3369B"/>
    <w:rsid w:val="00E362D2"/>
    <w:rsid w:val="00E36D76"/>
    <w:rsid w:val="00E40478"/>
    <w:rsid w:val="00E405EA"/>
    <w:rsid w:val="00E408B7"/>
    <w:rsid w:val="00E412EB"/>
    <w:rsid w:val="00E41637"/>
    <w:rsid w:val="00E42789"/>
    <w:rsid w:val="00E42B3E"/>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41B"/>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399E"/>
    <w:rsid w:val="00EA4475"/>
    <w:rsid w:val="00EA52FE"/>
    <w:rsid w:val="00EA681F"/>
    <w:rsid w:val="00EB04C6"/>
    <w:rsid w:val="00EB06A6"/>
    <w:rsid w:val="00EB29EA"/>
    <w:rsid w:val="00EB2B7A"/>
    <w:rsid w:val="00EB3307"/>
    <w:rsid w:val="00EB3823"/>
    <w:rsid w:val="00EB3CBB"/>
    <w:rsid w:val="00EB47D8"/>
    <w:rsid w:val="00EB57D3"/>
    <w:rsid w:val="00EB5B19"/>
    <w:rsid w:val="00EB5EFD"/>
    <w:rsid w:val="00EB679F"/>
    <w:rsid w:val="00EB69DE"/>
    <w:rsid w:val="00EB76E4"/>
    <w:rsid w:val="00EB77B1"/>
    <w:rsid w:val="00EC0E65"/>
    <w:rsid w:val="00EC1251"/>
    <w:rsid w:val="00EC1E0A"/>
    <w:rsid w:val="00EC2938"/>
    <w:rsid w:val="00EC337D"/>
    <w:rsid w:val="00EC38EF"/>
    <w:rsid w:val="00EC4849"/>
    <w:rsid w:val="00EC50C9"/>
    <w:rsid w:val="00EC58B4"/>
    <w:rsid w:val="00EC5BB2"/>
    <w:rsid w:val="00EC75AF"/>
    <w:rsid w:val="00ED0202"/>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1D7A"/>
    <w:rsid w:val="00EE20E2"/>
    <w:rsid w:val="00EE23DE"/>
    <w:rsid w:val="00EE48BB"/>
    <w:rsid w:val="00EE6FE0"/>
    <w:rsid w:val="00EE704A"/>
    <w:rsid w:val="00EE7840"/>
    <w:rsid w:val="00EE7F18"/>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0F67"/>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1B4D"/>
    <w:rsid w:val="00F32139"/>
    <w:rsid w:val="00F33CF0"/>
    <w:rsid w:val="00F33D56"/>
    <w:rsid w:val="00F34D91"/>
    <w:rsid w:val="00F34E08"/>
    <w:rsid w:val="00F41D6D"/>
    <w:rsid w:val="00F41D91"/>
    <w:rsid w:val="00F41F52"/>
    <w:rsid w:val="00F41FA1"/>
    <w:rsid w:val="00F42363"/>
    <w:rsid w:val="00F427C4"/>
    <w:rsid w:val="00F43AD6"/>
    <w:rsid w:val="00F43D6C"/>
    <w:rsid w:val="00F46964"/>
    <w:rsid w:val="00F46F9A"/>
    <w:rsid w:val="00F470FD"/>
    <w:rsid w:val="00F509DF"/>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33C"/>
    <w:rsid w:val="00F764AF"/>
    <w:rsid w:val="00F76D01"/>
    <w:rsid w:val="00F80B43"/>
    <w:rsid w:val="00F80C97"/>
    <w:rsid w:val="00F81C35"/>
    <w:rsid w:val="00F82579"/>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2812"/>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7136533">
      <w:bodyDiv w:val="1"/>
      <w:marLeft w:val="0"/>
      <w:marRight w:val="0"/>
      <w:marTop w:val="0"/>
      <w:marBottom w:val="0"/>
      <w:divBdr>
        <w:top w:val="none" w:sz="0" w:space="0" w:color="auto"/>
        <w:left w:val="none" w:sz="0" w:space="0" w:color="auto"/>
        <w:bottom w:val="none" w:sz="0" w:space="0" w:color="auto"/>
        <w:right w:val="none" w:sz="0" w:space="0" w:color="auto"/>
      </w:divBdr>
    </w:div>
    <w:div w:id="568348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02680-9801-4F65-A22C-9E7B2D34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2012-10-05T18:38:00Z</dcterms:created>
  <dcterms:modified xsi:type="dcterms:W3CDTF">2012-10-05T18:38:00Z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