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6F1965" w:rsidRDefault="0095270D" w:rsidP="00DD5558">
      <w:pPr>
        <w:tabs>
          <w:tab w:val="right" w:pos="9360"/>
        </w:tabs>
        <w:jc w:val="both"/>
        <w:rPr>
          <w:caps/>
          <w:color w:val="auto"/>
        </w:rPr>
      </w:pPr>
      <w:r w:rsidRPr="00F64312">
        <w:rPr>
          <w:caps/>
          <w:color w:val="auto"/>
        </w:rPr>
        <w:t xml:space="preserve">NAME:  </w:t>
      </w:r>
      <w:r w:rsidR="00BE374A">
        <w:rPr>
          <w:caps/>
          <w:color w:val="auto"/>
        </w:rPr>
        <w:t xml:space="preserve">XXXXXXXXXXXXXXXXXXXX           </w:t>
      </w:r>
      <w:r w:rsidR="008E52A6" w:rsidRPr="006F1965">
        <w:rPr>
          <w:caps/>
          <w:color w:val="auto"/>
        </w:rPr>
        <w:t xml:space="preserve">  </w:t>
      </w:r>
      <w:r w:rsidR="004C6C57">
        <w:rPr>
          <w:caps/>
          <w:color w:val="auto"/>
        </w:rPr>
        <w:t xml:space="preserve">                              </w:t>
      </w:r>
      <w:r w:rsidR="00B94D2C">
        <w:rPr>
          <w:caps/>
          <w:color w:val="auto"/>
        </w:rPr>
        <w:t xml:space="preserve">      </w:t>
      </w:r>
      <w:r w:rsidR="00C759A0">
        <w:rPr>
          <w:caps/>
          <w:color w:val="auto"/>
        </w:rPr>
        <w:t xml:space="preserve">        </w:t>
      </w:r>
      <w:r w:rsidR="00B94D2C">
        <w:rPr>
          <w:caps/>
          <w:color w:val="auto"/>
        </w:rPr>
        <w:t xml:space="preserve"> </w:t>
      </w:r>
      <w:r w:rsidRPr="006F1965">
        <w:rPr>
          <w:caps/>
          <w:color w:val="auto"/>
        </w:rPr>
        <w:t xml:space="preserve">BRANCH OF SERVICE:  </w:t>
      </w:r>
      <w:r w:rsidR="0018208F" w:rsidRPr="006F1965">
        <w:rPr>
          <w:caps/>
          <w:color w:val="auto"/>
        </w:rPr>
        <w:t xml:space="preserve"> </w:t>
      </w:r>
      <w:r w:rsidR="008E52A6" w:rsidRPr="006F1965">
        <w:rPr>
          <w:caps/>
          <w:color w:val="auto"/>
        </w:rPr>
        <w:t>Army</w:t>
      </w:r>
    </w:p>
    <w:p w:rsidR="0095270D" w:rsidRPr="006F1965" w:rsidRDefault="0095270D" w:rsidP="00DD5558">
      <w:pPr>
        <w:tabs>
          <w:tab w:val="right" w:pos="9360"/>
        </w:tabs>
        <w:jc w:val="both"/>
        <w:rPr>
          <w:color w:val="auto"/>
        </w:rPr>
      </w:pPr>
      <w:r w:rsidRPr="006F1965">
        <w:rPr>
          <w:caps/>
          <w:color w:val="auto"/>
        </w:rPr>
        <w:t>CASE NUMBER:  PD</w:t>
      </w:r>
      <w:r w:rsidR="001657BE" w:rsidRPr="006F1965">
        <w:rPr>
          <w:caps/>
          <w:color w:val="auto"/>
        </w:rPr>
        <w:t>12</w:t>
      </w:r>
      <w:r w:rsidRPr="006F1965">
        <w:rPr>
          <w:caps/>
          <w:color w:val="auto"/>
        </w:rPr>
        <w:t>00</w:t>
      </w:r>
      <w:r w:rsidR="008E52A6" w:rsidRPr="006F1965">
        <w:rPr>
          <w:caps/>
          <w:color w:val="auto"/>
        </w:rPr>
        <w:t>193</w:t>
      </w:r>
      <w:r w:rsidR="00DD5558" w:rsidRPr="006F1965">
        <w:rPr>
          <w:color w:val="auto"/>
        </w:rPr>
        <w:tab/>
      </w:r>
      <w:r w:rsidR="0018208F" w:rsidRPr="006F1965">
        <w:rPr>
          <w:color w:val="auto"/>
        </w:rPr>
        <w:t>SE</w:t>
      </w:r>
      <w:r w:rsidRPr="006F1965">
        <w:rPr>
          <w:color w:val="auto"/>
        </w:rPr>
        <w:t>PARATION DATE:  200</w:t>
      </w:r>
      <w:r w:rsidR="008E52A6" w:rsidRPr="006F1965">
        <w:rPr>
          <w:color w:val="auto"/>
        </w:rPr>
        <w:t>20921</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6F1965">
        <w:rPr>
          <w:caps/>
          <w:color w:val="auto"/>
        </w:rPr>
        <w:t>BOARD DATE:  2012</w:t>
      </w:r>
      <w:r w:rsidR="002F08FF" w:rsidRPr="002F08FF">
        <w:rPr>
          <w:caps/>
          <w:color w:val="auto"/>
        </w:rPr>
        <w:t>0730</w:t>
      </w:r>
      <w:r w:rsidR="006C00B2">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F64312" w:rsidRDefault="00AD2379" w:rsidP="00AC61F7">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w:t>
      </w:r>
      <w:r w:rsidRPr="006C00B2">
        <w:rPr>
          <w:color w:val="auto"/>
        </w:rPr>
        <w:t xml:space="preserve">a extracted from the available evidence of record reflects that this covered individual (CI) was </w:t>
      </w:r>
      <w:r w:rsidR="00A70270" w:rsidRPr="006C00B2">
        <w:rPr>
          <w:color w:val="auto"/>
        </w:rPr>
        <w:t>an active duty</w:t>
      </w:r>
      <w:r w:rsidRPr="006C00B2">
        <w:rPr>
          <w:color w:val="auto"/>
        </w:rPr>
        <w:t xml:space="preserve"> </w:t>
      </w:r>
      <w:r w:rsidR="00485194" w:rsidRPr="006C00B2">
        <w:rPr>
          <w:color w:val="auto"/>
        </w:rPr>
        <w:t>PFC/E-3</w:t>
      </w:r>
      <w:r w:rsidRPr="006C00B2">
        <w:rPr>
          <w:color w:val="auto"/>
        </w:rPr>
        <w:t xml:space="preserve"> (</w:t>
      </w:r>
      <w:r w:rsidR="00485194" w:rsidRPr="006C00B2">
        <w:rPr>
          <w:color w:val="auto"/>
        </w:rPr>
        <w:t>91W1O</w:t>
      </w:r>
      <w:r w:rsidR="00112F44" w:rsidRPr="006C00B2">
        <w:rPr>
          <w:color w:val="auto"/>
        </w:rPr>
        <w:t xml:space="preserve"> / </w:t>
      </w:r>
      <w:r w:rsidR="00485194" w:rsidRPr="006C00B2">
        <w:rPr>
          <w:color w:val="auto"/>
        </w:rPr>
        <w:t>Health Care Specialist</w:t>
      </w:r>
      <w:r w:rsidR="00A70270" w:rsidRPr="006C00B2">
        <w:rPr>
          <w:color w:val="auto"/>
        </w:rPr>
        <w:t>)</w:t>
      </w:r>
      <w:r w:rsidR="00565636" w:rsidRPr="006C00B2">
        <w:rPr>
          <w:color w:val="auto"/>
        </w:rPr>
        <w:t>,</w:t>
      </w:r>
      <w:r w:rsidR="00A70270" w:rsidRPr="006C00B2">
        <w:rPr>
          <w:color w:val="auto"/>
        </w:rPr>
        <w:t xml:space="preserve"> </w:t>
      </w:r>
      <w:r w:rsidRPr="006C00B2">
        <w:rPr>
          <w:color w:val="auto"/>
        </w:rPr>
        <w:t>medically separated for</w:t>
      </w:r>
      <w:r w:rsidR="00870765" w:rsidRPr="006C00B2">
        <w:rPr>
          <w:color w:val="auto"/>
        </w:rPr>
        <w:t xml:space="preserve"> </w:t>
      </w:r>
      <w:proofErr w:type="spellStart"/>
      <w:r w:rsidR="00870765" w:rsidRPr="006C00B2">
        <w:rPr>
          <w:color w:val="auto"/>
        </w:rPr>
        <w:t>atraumatic</w:t>
      </w:r>
      <w:proofErr w:type="spellEnd"/>
      <w:r w:rsidR="00870765" w:rsidRPr="006C00B2">
        <w:rPr>
          <w:color w:val="auto"/>
        </w:rPr>
        <w:t xml:space="preserve"> onset of bilateral</w:t>
      </w:r>
      <w:r w:rsidRPr="006C00B2">
        <w:rPr>
          <w:color w:val="auto"/>
        </w:rPr>
        <w:t xml:space="preserve"> </w:t>
      </w:r>
      <w:r w:rsidR="00870765" w:rsidRPr="006C00B2">
        <w:rPr>
          <w:color w:val="auto"/>
        </w:rPr>
        <w:t xml:space="preserve">knee pain.  </w:t>
      </w:r>
      <w:r w:rsidR="00DF0E52" w:rsidRPr="006C00B2">
        <w:rPr>
          <w:color w:val="auto"/>
        </w:rPr>
        <w:t xml:space="preserve">Knee pain started in 2000 after a road march.  She had occasional swelling and inadequate response to physical therapy, prescribed orthotics, </w:t>
      </w:r>
      <w:r w:rsidR="00B65249" w:rsidRPr="006C00B2">
        <w:rPr>
          <w:color w:val="auto"/>
        </w:rPr>
        <w:t>and</w:t>
      </w:r>
      <w:r w:rsidR="00DF0E52" w:rsidRPr="006C00B2">
        <w:rPr>
          <w:color w:val="auto"/>
        </w:rPr>
        <w:t xml:space="preserve"> </w:t>
      </w:r>
      <w:r w:rsidR="00AC61F7" w:rsidRPr="006C00B2">
        <w:rPr>
          <w:color w:val="auto"/>
        </w:rPr>
        <w:t xml:space="preserve">pain medications.  </w:t>
      </w:r>
      <w:r w:rsidR="00F15483" w:rsidRPr="006C00B2">
        <w:rPr>
          <w:color w:val="auto"/>
        </w:rPr>
        <w:t>The CI did not im</w:t>
      </w:r>
      <w:r w:rsidR="00DF0E52" w:rsidRPr="006C00B2">
        <w:rPr>
          <w:color w:val="auto"/>
        </w:rPr>
        <w:t xml:space="preserve">prove adequately with treatment </w:t>
      </w:r>
      <w:r w:rsidR="00F566B7" w:rsidRPr="006C00B2">
        <w:rPr>
          <w:color w:val="auto"/>
        </w:rPr>
        <w:t xml:space="preserve">to meet the physical requirements of </w:t>
      </w:r>
      <w:r w:rsidR="0021565F" w:rsidRPr="006C00B2">
        <w:rPr>
          <w:color w:val="auto"/>
        </w:rPr>
        <w:t>her</w:t>
      </w:r>
      <w:r w:rsidR="00F566B7" w:rsidRPr="006C00B2">
        <w:rPr>
          <w:color w:val="auto"/>
        </w:rPr>
        <w:t xml:space="preserve"> Military Occupational Specialty (MOS)</w:t>
      </w:r>
      <w:r w:rsidR="009C12A1" w:rsidRPr="006C00B2">
        <w:rPr>
          <w:color w:val="auto"/>
        </w:rPr>
        <w:t>.</w:t>
      </w:r>
      <w:r w:rsidR="00F566B7" w:rsidRPr="006C00B2">
        <w:rPr>
          <w:color w:val="auto"/>
        </w:rPr>
        <w:t xml:space="preserve"> </w:t>
      </w:r>
      <w:r w:rsidR="009C12A1" w:rsidRPr="006C00B2">
        <w:rPr>
          <w:color w:val="auto"/>
        </w:rPr>
        <w:t xml:space="preserve"> </w:t>
      </w:r>
      <w:r w:rsidR="00870765" w:rsidRPr="006C00B2">
        <w:rPr>
          <w:color w:val="auto"/>
        </w:rPr>
        <w:t>S</w:t>
      </w:r>
      <w:r w:rsidR="006A0909" w:rsidRPr="006C00B2">
        <w:rPr>
          <w:color w:val="auto"/>
        </w:rPr>
        <w:t>he</w:t>
      </w:r>
      <w:r w:rsidR="009C12A1" w:rsidRPr="006C00B2">
        <w:rPr>
          <w:color w:val="auto"/>
        </w:rPr>
        <w:t xml:space="preserve"> </w:t>
      </w:r>
      <w:r w:rsidR="00F566B7" w:rsidRPr="006C00B2">
        <w:rPr>
          <w:color w:val="auto"/>
        </w:rPr>
        <w:t>was issued a permanent L3 profile and</w:t>
      </w:r>
      <w:r w:rsidR="009C12A1" w:rsidRPr="006C00B2">
        <w:rPr>
          <w:color w:val="auto"/>
        </w:rPr>
        <w:t xml:space="preserve"> </w:t>
      </w:r>
      <w:r w:rsidR="00F566B7" w:rsidRPr="006C00B2">
        <w:rPr>
          <w:color w:val="auto"/>
        </w:rPr>
        <w:t>referred for a Medical Evaluation Board (MEB).</w:t>
      </w:r>
      <w:r w:rsidR="006D5E1E" w:rsidRPr="006C00B2">
        <w:rPr>
          <w:color w:val="auto"/>
        </w:rPr>
        <w:t xml:space="preserve">  </w:t>
      </w:r>
      <w:r w:rsidR="00870765" w:rsidRPr="006C00B2">
        <w:rPr>
          <w:color w:val="auto"/>
        </w:rPr>
        <w:t xml:space="preserve">Bilateral pes planus </w:t>
      </w:r>
      <w:r w:rsidR="00071F0D" w:rsidRPr="006C00B2">
        <w:rPr>
          <w:color w:val="auto"/>
        </w:rPr>
        <w:t>condition, identifi</w:t>
      </w:r>
      <w:r w:rsidR="00870765" w:rsidRPr="006C00B2">
        <w:rPr>
          <w:color w:val="auto"/>
        </w:rPr>
        <w:t>ed in the rating chart below, was</w:t>
      </w:r>
      <w:r w:rsidR="00071F0D" w:rsidRPr="006C00B2">
        <w:rPr>
          <w:color w:val="auto"/>
        </w:rPr>
        <w:t xml:space="preserve"> also forwarded by the MEB</w:t>
      </w:r>
      <w:r w:rsidR="00F566B7" w:rsidRPr="006C00B2">
        <w:rPr>
          <w:color w:val="auto"/>
        </w:rPr>
        <w:t xml:space="preserve">.  </w:t>
      </w:r>
      <w:r w:rsidRPr="006C00B2">
        <w:rPr>
          <w:color w:val="auto"/>
        </w:rPr>
        <w:t xml:space="preserve">The </w:t>
      </w:r>
      <w:r w:rsidR="00B94D2C">
        <w:rPr>
          <w:color w:val="auto"/>
        </w:rPr>
        <w:t>Physical Evaluation Board (</w:t>
      </w:r>
      <w:r w:rsidRPr="006C00B2">
        <w:rPr>
          <w:color w:val="auto"/>
        </w:rPr>
        <w:t>PEB</w:t>
      </w:r>
      <w:r w:rsidR="00B94D2C">
        <w:rPr>
          <w:color w:val="auto"/>
        </w:rPr>
        <w:t>)</w:t>
      </w:r>
      <w:r w:rsidRPr="006C00B2">
        <w:rPr>
          <w:color w:val="auto"/>
        </w:rPr>
        <w:t xml:space="preserve"> adjudicated the </w:t>
      </w:r>
      <w:r w:rsidR="00870765" w:rsidRPr="006C00B2">
        <w:rPr>
          <w:color w:val="auto"/>
        </w:rPr>
        <w:t xml:space="preserve">bilateral knee pain </w:t>
      </w:r>
      <w:r w:rsidR="008530E3" w:rsidRPr="006C00B2">
        <w:rPr>
          <w:color w:val="auto"/>
        </w:rPr>
        <w:t xml:space="preserve">condition as unfitting, rated </w:t>
      </w:r>
      <w:r w:rsidR="00870765" w:rsidRPr="006C00B2">
        <w:rPr>
          <w:color w:val="auto"/>
        </w:rPr>
        <w:t>0</w:t>
      </w:r>
      <w:r w:rsidRPr="006C00B2">
        <w:rPr>
          <w:color w:val="auto"/>
        </w:rPr>
        <w:t xml:space="preserve">%, </w:t>
      </w:r>
      <w:r w:rsidR="00E46D90" w:rsidRPr="006C00B2">
        <w:rPr>
          <w:color w:val="auto"/>
        </w:rPr>
        <w:t xml:space="preserve">with application of the </w:t>
      </w:r>
      <w:r w:rsidR="0065689C" w:rsidRPr="006C00B2">
        <w:rPr>
          <w:color w:val="auto"/>
          <w:szCs w:val="24"/>
        </w:rPr>
        <w:t>US Army Physical Disability Agency (USAPDA) pain policy</w:t>
      </w:r>
      <w:r w:rsidR="00BF72CA" w:rsidRPr="006C00B2">
        <w:rPr>
          <w:color w:val="auto"/>
        </w:rPr>
        <w:t>.</w:t>
      </w:r>
      <w:r w:rsidR="00165C7B" w:rsidRPr="006C00B2">
        <w:rPr>
          <w:color w:val="auto"/>
        </w:rPr>
        <w:t xml:space="preserve">  </w:t>
      </w:r>
      <w:r w:rsidR="00380601" w:rsidRPr="006C00B2">
        <w:rPr>
          <w:color w:val="auto"/>
        </w:rPr>
        <w:t>The remaining condition</w:t>
      </w:r>
      <w:r w:rsidR="00C759A0">
        <w:rPr>
          <w:color w:val="auto"/>
        </w:rPr>
        <w:t xml:space="preserve"> </w:t>
      </w:r>
      <w:r w:rsidR="00380601" w:rsidRPr="006C00B2">
        <w:rPr>
          <w:color w:val="auto"/>
        </w:rPr>
        <w:t>w</w:t>
      </w:r>
      <w:r w:rsidR="00C759A0">
        <w:rPr>
          <w:color w:val="auto"/>
        </w:rPr>
        <w:t>as</w:t>
      </w:r>
      <w:r w:rsidR="00380601" w:rsidRPr="006C00B2">
        <w:rPr>
          <w:color w:val="auto"/>
        </w:rPr>
        <w:t xml:space="preserve"> determined to be not unfitting</w:t>
      </w:r>
      <w:r w:rsidR="00DF70F4" w:rsidRPr="006C00B2">
        <w:rPr>
          <w:color w:val="auto"/>
        </w:rPr>
        <w:t>.</w:t>
      </w:r>
      <w:r w:rsidR="001726BA" w:rsidRPr="006C00B2">
        <w:rPr>
          <w:color w:val="auto"/>
        </w:rPr>
        <w:t xml:space="preserve">  </w:t>
      </w:r>
      <w:r w:rsidRPr="006C00B2">
        <w:rPr>
          <w:color w:val="auto"/>
        </w:rPr>
        <w:t xml:space="preserve">The CI made no appeals, and was medically separated with </w:t>
      </w:r>
      <w:r w:rsidR="0066684A" w:rsidRPr="006C00B2">
        <w:rPr>
          <w:color w:val="auto"/>
        </w:rPr>
        <w:t xml:space="preserve">a </w:t>
      </w:r>
      <w:r w:rsidR="006F1965" w:rsidRPr="006C00B2">
        <w:rPr>
          <w:color w:val="auto"/>
        </w:rPr>
        <w:t>0</w:t>
      </w:r>
      <w:r w:rsidR="0066684A" w:rsidRPr="006C00B2">
        <w:rPr>
          <w:color w:val="auto"/>
        </w:rPr>
        <w:t xml:space="preserve">% </w:t>
      </w:r>
      <w:r w:rsidRPr="006C00B2">
        <w:rPr>
          <w:color w:val="auto"/>
        </w:rPr>
        <w:t>disability rating</w:t>
      </w:r>
      <w:r w:rsidRPr="006F1965">
        <w:rPr>
          <w:color w:val="auto"/>
        </w:rPr>
        <w:t>.</w:t>
      </w:r>
      <w:r w:rsidR="00165C7B" w:rsidRPr="00F64312">
        <w:rPr>
          <w:color w:val="auto"/>
        </w:rPr>
        <w:t xml:space="preserve">  </w:t>
      </w:r>
    </w:p>
    <w:p w:rsidR="00042978" w:rsidRPr="00F64312" w:rsidRDefault="00042978" w:rsidP="00042978">
      <w:pPr>
        <w:pBdr>
          <w:bottom w:val="single" w:sz="12" w:space="1" w:color="auto"/>
        </w:pBdr>
        <w:tabs>
          <w:tab w:val="left" w:pos="288"/>
          <w:tab w:val="left" w:pos="4752"/>
        </w:tabs>
        <w:jc w:val="both"/>
        <w:rPr>
          <w:color w:val="auto"/>
        </w:rPr>
      </w:pPr>
    </w:p>
    <w:p w:rsidR="00042978" w:rsidRPr="00F64312" w:rsidRDefault="00042978" w:rsidP="00042978">
      <w:pPr>
        <w:jc w:val="left"/>
        <w:rPr>
          <w:color w:val="auto"/>
          <w:u w:val="single"/>
        </w:rPr>
      </w:pPr>
    </w:p>
    <w:p w:rsidR="00E212DF" w:rsidRPr="006C00B2" w:rsidRDefault="00AD2379" w:rsidP="00E212DF">
      <w:pPr>
        <w:tabs>
          <w:tab w:val="left" w:pos="288"/>
          <w:tab w:val="left" w:pos="4752"/>
        </w:tabs>
        <w:jc w:val="both"/>
        <w:rPr>
          <w:rFonts w:eastAsia="Cambria"/>
          <w:color w:val="auto"/>
          <w:szCs w:val="24"/>
        </w:rPr>
      </w:pPr>
      <w:r w:rsidRPr="006C00B2">
        <w:rPr>
          <w:color w:val="auto"/>
          <w:u w:val="single"/>
        </w:rPr>
        <w:t>CI CONTENTION</w:t>
      </w:r>
      <w:r w:rsidRPr="006C00B2">
        <w:rPr>
          <w:color w:val="auto"/>
        </w:rPr>
        <w:t>:</w:t>
      </w:r>
      <w:r w:rsidR="0066684A" w:rsidRPr="006C00B2">
        <w:rPr>
          <w:color w:val="auto"/>
        </w:rPr>
        <w:t xml:space="preserve"> </w:t>
      </w:r>
      <w:r w:rsidR="006F674E" w:rsidRPr="006C00B2">
        <w:rPr>
          <w:color w:val="auto"/>
        </w:rPr>
        <w:t xml:space="preserve"> </w:t>
      </w:r>
      <w:r w:rsidR="00CC4C54" w:rsidRPr="006C00B2">
        <w:rPr>
          <w:color w:val="auto"/>
        </w:rPr>
        <w:t>“Veterans Knee and back pain continue and veteran was rated 20% by the Department of Veterans Affairs for back pain and is pending a new evaluation of her knee pain. In addition, veteran now knows previous surgeries on reproductive organs should be considered as new evidence.</w:t>
      </w:r>
      <w:r w:rsidR="00B65249" w:rsidRPr="006C00B2">
        <w:rPr>
          <w:color w:val="auto"/>
        </w:rPr>
        <w:t xml:space="preserve">”  </w:t>
      </w:r>
    </w:p>
    <w:p w:rsidR="004306E0" w:rsidRPr="006C00B2" w:rsidRDefault="004306E0" w:rsidP="00BF0E94">
      <w:pPr>
        <w:pBdr>
          <w:bottom w:val="single" w:sz="12" w:space="1" w:color="auto"/>
        </w:pBdr>
        <w:tabs>
          <w:tab w:val="left" w:pos="288"/>
          <w:tab w:val="left" w:pos="4752"/>
        </w:tabs>
        <w:jc w:val="both"/>
        <w:rPr>
          <w:color w:val="auto"/>
        </w:rPr>
      </w:pPr>
    </w:p>
    <w:p w:rsidR="007635A8" w:rsidRPr="006C00B2" w:rsidRDefault="007635A8" w:rsidP="007635A8">
      <w:pPr>
        <w:jc w:val="both"/>
        <w:rPr>
          <w:color w:val="auto"/>
          <w:u w:val="single"/>
        </w:rPr>
      </w:pPr>
    </w:p>
    <w:p w:rsidR="009239C0" w:rsidRDefault="009239C0" w:rsidP="00DD5558">
      <w:pPr>
        <w:jc w:val="both"/>
        <w:rPr>
          <w:color w:val="auto"/>
          <w:u w:val="single"/>
        </w:rPr>
      </w:pPr>
      <w:r w:rsidRPr="006C00B2">
        <w:rPr>
          <w:color w:val="auto"/>
          <w:u w:val="single"/>
        </w:rPr>
        <w:t>SCOPE OF REVIEW</w:t>
      </w:r>
      <w:r w:rsidRPr="006C00B2">
        <w:rPr>
          <w:color w:val="auto"/>
        </w:rPr>
        <w:t>:  The Board wishes to clarify that the scope of its re</w:t>
      </w:r>
      <w:r w:rsidR="00AE2B85" w:rsidRPr="006C00B2">
        <w:rPr>
          <w:color w:val="auto"/>
        </w:rPr>
        <w:t>view as defined in DoDI 6040.44, Enclosure 3, paragraph 5.e</w:t>
      </w:r>
      <w:proofErr w:type="gramStart"/>
      <w:r w:rsidR="00AE2B85" w:rsidRPr="006C00B2">
        <w:rPr>
          <w:color w:val="auto"/>
        </w:rPr>
        <w:t>.(</w:t>
      </w:r>
      <w:proofErr w:type="gramEnd"/>
      <w:r w:rsidR="00AE2B85" w:rsidRPr="006C00B2">
        <w:rPr>
          <w:color w:val="auto"/>
        </w:rPr>
        <w:t>2)</w:t>
      </w:r>
      <w:r w:rsidRPr="006C00B2">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B94D2C">
        <w:rPr>
          <w:color w:val="auto"/>
        </w:rPr>
        <w:t>.”</w:t>
      </w:r>
      <w:r w:rsidRPr="006C00B2">
        <w:rPr>
          <w:color w:val="auto"/>
        </w:rPr>
        <w:t xml:space="preserve">  The ratings for unfitting conditions will be reviewed in all cases.  </w:t>
      </w:r>
      <w:r w:rsidR="006310F7" w:rsidRPr="006C00B2">
        <w:rPr>
          <w:color w:val="auto"/>
        </w:rPr>
        <w:t xml:space="preserve">The unfitting bilateral knee pain condition meets the criteria prescribed in DoDI 6040.44 for Board purview, and is accordingly addressed below.  The other requested conditions [back pain and surgeries on reproductive organs] are not within the Board’s purview.  </w:t>
      </w:r>
      <w:r w:rsidRPr="006C00B2">
        <w:rPr>
          <w:color w:val="auto"/>
        </w:rPr>
        <w:t>Any conditions or contention not requested in this application, or otherwise outside the</w:t>
      </w:r>
      <w:r w:rsidRPr="00CC4C54">
        <w:rPr>
          <w:color w:val="auto"/>
        </w:rPr>
        <w:t xml:space="preserve"> Board’s defined scope of review, remain eligible for future consideration by the Army Board for the Correction of Military Records (BCMR)</w:t>
      </w:r>
      <w:r w:rsidR="00CC4C54" w:rsidRPr="00CC4C54">
        <w:rPr>
          <w:color w:val="auto"/>
        </w:rPr>
        <w:t>.</w:t>
      </w:r>
      <w:r w:rsidR="006310F7">
        <w:rPr>
          <w:color w:val="auto"/>
        </w:rPr>
        <w:t xml:space="preserve">  </w:t>
      </w:r>
    </w:p>
    <w:p w:rsidR="000B63CF" w:rsidRPr="00F64312" w:rsidRDefault="000B63CF" w:rsidP="000B63CF">
      <w:pPr>
        <w:pBdr>
          <w:bottom w:val="single" w:sz="12" w:space="1" w:color="auto"/>
        </w:pBdr>
        <w:tabs>
          <w:tab w:val="left" w:pos="288"/>
          <w:tab w:val="left" w:pos="4752"/>
        </w:tabs>
        <w:jc w:val="both"/>
        <w:rPr>
          <w:color w:val="auto"/>
        </w:rPr>
      </w:pPr>
    </w:p>
    <w:p w:rsidR="00921F7F" w:rsidRPr="00F64312" w:rsidRDefault="00921F7F" w:rsidP="00BF0E94">
      <w:pPr>
        <w:tabs>
          <w:tab w:val="left" w:pos="288"/>
          <w:tab w:val="left" w:pos="4752"/>
        </w:tabs>
        <w:jc w:val="both"/>
        <w:rPr>
          <w:color w:val="auto"/>
        </w:rPr>
      </w:pPr>
    </w:p>
    <w:p w:rsidR="006310F7" w:rsidRDefault="006310F7">
      <w:pPr>
        <w:spacing w:line="240" w:lineRule="auto"/>
        <w:jc w:val="left"/>
        <w:rPr>
          <w:color w:val="auto"/>
          <w:u w:val="single"/>
        </w:rPr>
      </w:pPr>
      <w:r>
        <w:rPr>
          <w:color w:val="auto"/>
          <w:u w:val="single"/>
        </w:rPr>
        <w:br w:type="page"/>
      </w:r>
    </w:p>
    <w:p w:rsidR="00AD2379" w:rsidRPr="004C6C57" w:rsidRDefault="00AD2379" w:rsidP="00BF0E94">
      <w:pPr>
        <w:jc w:val="left"/>
        <w:rPr>
          <w:color w:val="auto"/>
        </w:rPr>
      </w:pPr>
      <w:r w:rsidRPr="00F64312">
        <w:rPr>
          <w:color w:val="auto"/>
          <w:u w:val="single"/>
        </w:rPr>
        <w:lastRenderedPageBreak/>
        <w:t>RATING COMPARISON</w:t>
      </w:r>
      <w:r w:rsidRPr="00F64312">
        <w:rPr>
          <w:color w:val="auto"/>
        </w:rPr>
        <w:t xml:space="preserve">: </w:t>
      </w:r>
      <w:r w:rsidR="00855E73" w:rsidRPr="00F64312">
        <w:rPr>
          <w:color w:val="auto"/>
        </w:rPr>
        <w:t xml:space="preserve"> </w:t>
      </w:r>
    </w:p>
    <w:p w:rsidR="006310F7" w:rsidRPr="004C6C57" w:rsidRDefault="006310F7" w:rsidP="00BF0E94">
      <w:pPr>
        <w:jc w:val="left"/>
        <w:rPr>
          <w:color w:val="auto"/>
        </w:rPr>
      </w:pPr>
    </w:p>
    <w:tbl>
      <w:tblPr>
        <w:tblStyle w:val="TableGrid"/>
        <w:tblW w:w="9455" w:type="dxa"/>
        <w:jc w:val="center"/>
        <w:tblInd w:w="9" w:type="dxa"/>
        <w:tblLayout w:type="fixed"/>
        <w:tblLook w:val="00A0"/>
      </w:tblPr>
      <w:tblGrid>
        <w:gridCol w:w="2169"/>
        <w:gridCol w:w="1080"/>
        <w:gridCol w:w="720"/>
        <w:gridCol w:w="2696"/>
        <w:gridCol w:w="1080"/>
        <w:gridCol w:w="720"/>
        <w:gridCol w:w="990"/>
      </w:tblGrid>
      <w:tr w:rsidR="006310F7" w:rsidRPr="004C6C57" w:rsidTr="005166CA">
        <w:trPr>
          <w:trHeight w:val="170"/>
          <w:jc w:val="center"/>
        </w:trPr>
        <w:tc>
          <w:tcPr>
            <w:tcW w:w="3969" w:type="dxa"/>
            <w:gridSpan w:val="3"/>
            <w:tcBorders>
              <w:right w:val="thinThickThinSmallGap" w:sz="24" w:space="0" w:color="auto"/>
            </w:tcBorders>
            <w:shd w:val="clear" w:color="auto" w:fill="D9D9D9"/>
            <w:vAlign w:val="center"/>
          </w:tcPr>
          <w:p w:rsidR="006310F7" w:rsidRPr="004C6C57" w:rsidRDefault="00B94D2C" w:rsidP="00230433">
            <w:pPr>
              <w:spacing w:line="180" w:lineRule="exact"/>
              <w:contextualSpacing/>
              <w:rPr>
                <w:rFonts w:cs="Calibri"/>
                <w:b/>
                <w:color w:val="auto"/>
                <w:sz w:val="18"/>
              </w:rPr>
            </w:pPr>
            <w:r>
              <w:rPr>
                <w:b/>
                <w:color w:val="auto"/>
                <w:sz w:val="18"/>
              </w:rPr>
              <w:t xml:space="preserve">Service </w:t>
            </w:r>
            <w:r w:rsidR="006310F7" w:rsidRPr="004C6C57">
              <w:rPr>
                <w:b/>
                <w:color w:val="auto"/>
                <w:sz w:val="18"/>
              </w:rPr>
              <w:t>PEB – Dated 20020701</w:t>
            </w:r>
          </w:p>
        </w:tc>
        <w:tc>
          <w:tcPr>
            <w:tcW w:w="5486" w:type="dxa"/>
            <w:gridSpan w:val="4"/>
            <w:tcBorders>
              <w:left w:val="thinThickThinSmallGap" w:sz="24" w:space="0" w:color="auto"/>
            </w:tcBorders>
            <w:shd w:val="clear" w:color="auto" w:fill="D9D9D9"/>
            <w:vAlign w:val="center"/>
          </w:tcPr>
          <w:p w:rsidR="006310F7" w:rsidRPr="004C6C57" w:rsidRDefault="006310F7" w:rsidP="006310F7">
            <w:pPr>
              <w:spacing w:line="180" w:lineRule="exact"/>
              <w:contextualSpacing/>
              <w:rPr>
                <w:rFonts w:cs="Calibri"/>
                <w:b/>
                <w:color w:val="auto"/>
                <w:sz w:val="18"/>
              </w:rPr>
            </w:pPr>
            <w:r w:rsidRPr="004C6C57">
              <w:rPr>
                <w:b/>
                <w:color w:val="auto"/>
                <w:sz w:val="18"/>
              </w:rPr>
              <w:t>VA (</w:t>
            </w:r>
            <w:r w:rsidR="005166CA" w:rsidRPr="004C6C57">
              <w:rPr>
                <w:b/>
                <w:color w:val="auto"/>
                <w:sz w:val="18"/>
              </w:rPr>
              <w:t>3</w:t>
            </w:r>
            <w:r w:rsidRPr="004C6C57">
              <w:rPr>
                <w:b/>
                <w:color w:val="auto"/>
                <w:sz w:val="18"/>
              </w:rPr>
              <w:t xml:space="preserve"> Mos. Post-Separation) – All Effective Date 20020922</w:t>
            </w:r>
          </w:p>
        </w:tc>
      </w:tr>
      <w:tr w:rsidR="006310F7" w:rsidRPr="004C6C57" w:rsidTr="005166CA">
        <w:trPr>
          <w:trHeight w:val="97"/>
          <w:jc w:val="center"/>
        </w:trPr>
        <w:tc>
          <w:tcPr>
            <w:tcW w:w="2169" w:type="dxa"/>
            <w:tcBorders>
              <w:bottom w:val="single" w:sz="4" w:space="0" w:color="000000"/>
              <w:right w:val="single" w:sz="4" w:space="0" w:color="auto"/>
            </w:tcBorders>
            <w:shd w:val="clear" w:color="auto" w:fill="D9D9D9"/>
            <w:vAlign w:val="center"/>
          </w:tcPr>
          <w:p w:rsidR="006310F7" w:rsidRPr="004C6C57" w:rsidRDefault="006310F7" w:rsidP="00230433">
            <w:pPr>
              <w:spacing w:line="180" w:lineRule="exact"/>
              <w:contextualSpacing/>
              <w:rPr>
                <w:rFonts w:cs="Calibri"/>
                <w:b/>
                <w:color w:val="auto"/>
                <w:sz w:val="18"/>
              </w:rPr>
            </w:pPr>
            <w:r w:rsidRPr="004C6C57">
              <w:rPr>
                <w:b/>
                <w:color w:val="auto"/>
                <w:sz w:val="18"/>
              </w:rPr>
              <w:t>Condition</w:t>
            </w:r>
          </w:p>
        </w:tc>
        <w:tc>
          <w:tcPr>
            <w:tcW w:w="1080" w:type="dxa"/>
            <w:tcBorders>
              <w:left w:val="single" w:sz="4" w:space="0" w:color="auto"/>
              <w:bottom w:val="single" w:sz="4" w:space="0" w:color="000000"/>
            </w:tcBorders>
            <w:shd w:val="clear" w:color="auto" w:fill="D9D9D9"/>
            <w:vAlign w:val="center"/>
          </w:tcPr>
          <w:p w:rsidR="006310F7" w:rsidRPr="004C6C57" w:rsidRDefault="006310F7" w:rsidP="00230433">
            <w:pPr>
              <w:spacing w:line="180" w:lineRule="exact"/>
              <w:contextualSpacing/>
              <w:rPr>
                <w:rFonts w:cs="Calibri"/>
                <w:b/>
                <w:color w:val="auto"/>
                <w:sz w:val="18"/>
              </w:rPr>
            </w:pPr>
            <w:r w:rsidRPr="004C6C57">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6310F7" w:rsidRPr="004C6C57" w:rsidRDefault="006310F7" w:rsidP="00230433">
            <w:pPr>
              <w:spacing w:line="180" w:lineRule="exact"/>
              <w:contextualSpacing/>
              <w:rPr>
                <w:rFonts w:cs="Calibri"/>
                <w:b/>
                <w:color w:val="auto"/>
                <w:sz w:val="18"/>
              </w:rPr>
            </w:pPr>
            <w:r w:rsidRPr="004C6C57">
              <w:rPr>
                <w:b/>
                <w:color w:val="auto"/>
                <w:sz w:val="18"/>
              </w:rPr>
              <w:t>Rating</w:t>
            </w:r>
          </w:p>
        </w:tc>
        <w:tc>
          <w:tcPr>
            <w:tcW w:w="2696" w:type="dxa"/>
            <w:tcBorders>
              <w:left w:val="thinThickThinSmallGap" w:sz="24" w:space="0" w:color="auto"/>
              <w:bottom w:val="single" w:sz="4" w:space="0" w:color="000000"/>
            </w:tcBorders>
            <w:shd w:val="clear" w:color="auto" w:fill="D9D9D9"/>
            <w:vAlign w:val="center"/>
          </w:tcPr>
          <w:p w:rsidR="006310F7" w:rsidRPr="004C6C57" w:rsidRDefault="006310F7" w:rsidP="00230433">
            <w:pPr>
              <w:spacing w:line="180" w:lineRule="exact"/>
              <w:contextualSpacing/>
              <w:rPr>
                <w:rFonts w:cs="Calibri"/>
                <w:b/>
                <w:color w:val="auto"/>
                <w:sz w:val="18"/>
              </w:rPr>
            </w:pPr>
            <w:r w:rsidRPr="004C6C57">
              <w:rPr>
                <w:b/>
                <w:color w:val="auto"/>
                <w:sz w:val="18"/>
              </w:rPr>
              <w:t>Condition</w:t>
            </w:r>
          </w:p>
        </w:tc>
        <w:tc>
          <w:tcPr>
            <w:tcW w:w="1080" w:type="dxa"/>
            <w:tcBorders>
              <w:bottom w:val="single" w:sz="4" w:space="0" w:color="000000"/>
            </w:tcBorders>
            <w:shd w:val="clear" w:color="auto" w:fill="D9D9D9"/>
            <w:vAlign w:val="center"/>
          </w:tcPr>
          <w:p w:rsidR="006310F7" w:rsidRPr="004C6C57" w:rsidRDefault="006310F7" w:rsidP="00230433">
            <w:pPr>
              <w:spacing w:line="180" w:lineRule="exact"/>
              <w:contextualSpacing/>
              <w:rPr>
                <w:rFonts w:cs="Calibri"/>
                <w:b/>
                <w:color w:val="auto"/>
                <w:sz w:val="18"/>
              </w:rPr>
            </w:pPr>
            <w:r w:rsidRPr="004C6C57">
              <w:rPr>
                <w:b/>
                <w:color w:val="auto"/>
                <w:sz w:val="18"/>
              </w:rPr>
              <w:t>Code</w:t>
            </w:r>
          </w:p>
        </w:tc>
        <w:tc>
          <w:tcPr>
            <w:tcW w:w="720" w:type="dxa"/>
            <w:tcBorders>
              <w:bottom w:val="single" w:sz="4" w:space="0" w:color="000000"/>
            </w:tcBorders>
            <w:shd w:val="clear" w:color="auto" w:fill="D9D9D9"/>
            <w:vAlign w:val="center"/>
          </w:tcPr>
          <w:p w:rsidR="006310F7" w:rsidRPr="004C6C57" w:rsidRDefault="006310F7" w:rsidP="00230433">
            <w:pPr>
              <w:spacing w:line="180" w:lineRule="exact"/>
              <w:contextualSpacing/>
              <w:rPr>
                <w:rFonts w:cs="Calibri"/>
                <w:b/>
                <w:color w:val="auto"/>
                <w:sz w:val="18"/>
              </w:rPr>
            </w:pPr>
            <w:r w:rsidRPr="004C6C57">
              <w:rPr>
                <w:b/>
                <w:color w:val="auto"/>
                <w:sz w:val="18"/>
              </w:rPr>
              <w:t>Rating</w:t>
            </w:r>
          </w:p>
        </w:tc>
        <w:tc>
          <w:tcPr>
            <w:tcW w:w="990" w:type="dxa"/>
            <w:tcBorders>
              <w:bottom w:val="single" w:sz="4" w:space="0" w:color="000000"/>
            </w:tcBorders>
            <w:shd w:val="clear" w:color="auto" w:fill="D9D9D9"/>
            <w:vAlign w:val="center"/>
          </w:tcPr>
          <w:p w:rsidR="006310F7" w:rsidRPr="004C6C57" w:rsidRDefault="006310F7" w:rsidP="00230433">
            <w:pPr>
              <w:spacing w:line="180" w:lineRule="exact"/>
              <w:contextualSpacing/>
              <w:rPr>
                <w:rFonts w:cs="Calibri"/>
                <w:b/>
                <w:color w:val="auto"/>
                <w:sz w:val="18"/>
              </w:rPr>
            </w:pPr>
            <w:r w:rsidRPr="004C6C57">
              <w:rPr>
                <w:b/>
                <w:color w:val="auto"/>
                <w:sz w:val="18"/>
              </w:rPr>
              <w:t>Exam</w:t>
            </w:r>
          </w:p>
        </w:tc>
      </w:tr>
      <w:tr w:rsidR="005166CA" w:rsidRPr="004C6C57" w:rsidTr="005166CA">
        <w:trPr>
          <w:trHeight w:val="118"/>
          <w:jc w:val="center"/>
        </w:trPr>
        <w:tc>
          <w:tcPr>
            <w:tcW w:w="2169" w:type="dxa"/>
            <w:vMerge w:val="restart"/>
            <w:tcBorders>
              <w:right w:val="single" w:sz="4" w:space="0" w:color="auto"/>
            </w:tcBorders>
            <w:shd w:val="clear" w:color="auto" w:fill="FFFFFF"/>
            <w:vAlign w:val="center"/>
          </w:tcPr>
          <w:p w:rsidR="005166CA" w:rsidRPr="004C6C57" w:rsidRDefault="005166CA" w:rsidP="00230433">
            <w:pPr>
              <w:spacing w:line="180" w:lineRule="exact"/>
              <w:contextualSpacing/>
              <w:jc w:val="left"/>
              <w:rPr>
                <w:rFonts w:cs="Calibri"/>
                <w:color w:val="auto"/>
                <w:sz w:val="18"/>
              </w:rPr>
            </w:pPr>
            <w:r w:rsidRPr="004C6C57">
              <w:rPr>
                <w:rFonts w:cs="Calibri"/>
                <w:color w:val="auto"/>
                <w:sz w:val="18"/>
              </w:rPr>
              <w:t>Bilateral Knee Pain</w:t>
            </w:r>
          </w:p>
        </w:tc>
        <w:tc>
          <w:tcPr>
            <w:tcW w:w="1080" w:type="dxa"/>
            <w:vMerge w:val="restart"/>
            <w:tcBorders>
              <w:left w:val="single" w:sz="4" w:space="0" w:color="auto"/>
            </w:tcBorders>
            <w:shd w:val="clear" w:color="auto" w:fill="FFFFFF"/>
            <w:vAlign w:val="center"/>
          </w:tcPr>
          <w:p w:rsidR="005166CA" w:rsidRPr="004C6C57" w:rsidRDefault="005166CA" w:rsidP="00230433">
            <w:pPr>
              <w:spacing w:line="180" w:lineRule="exact"/>
              <w:contextualSpacing/>
              <w:rPr>
                <w:rFonts w:cs="Calibri"/>
                <w:color w:val="auto"/>
                <w:sz w:val="18"/>
              </w:rPr>
            </w:pPr>
            <w:r w:rsidRPr="004C6C57">
              <w:rPr>
                <w:rFonts w:cs="Calibri"/>
                <w:color w:val="auto"/>
                <w:sz w:val="18"/>
              </w:rPr>
              <w:t>5099-5003</w:t>
            </w:r>
          </w:p>
        </w:tc>
        <w:tc>
          <w:tcPr>
            <w:tcW w:w="720" w:type="dxa"/>
            <w:vMerge w:val="restart"/>
            <w:tcBorders>
              <w:right w:val="thinThickThinSmallGap" w:sz="24" w:space="0" w:color="auto"/>
            </w:tcBorders>
            <w:shd w:val="clear" w:color="auto" w:fill="FFFFFF"/>
            <w:vAlign w:val="center"/>
          </w:tcPr>
          <w:p w:rsidR="005166CA" w:rsidRPr="004C6C57" w:rsidRDefault="005166CA" w:rsidP="00230433">
            <w:pPr>
              <w:spacing w:line="180" w:lineRule="exact"/>
              <w:rPr>
                <w:rFonts w:cs="Calibri"/>
                <w:color w:val="auto"/>
                <w:sz w:val="18"/>
              </w:rPr>
            </w:pPr>
            <w:r w:rsidRPr="004C6C57">
              <w:rPr>
                <w:rFonts w:cs="Calibri"/>
                <w:color w:val="auto"/>
                <w:sz w:val="18"/>
              </w:rPr>
              <w:t>0%</w:t>
            </w:r>
          </w:p>
        </w:tc>
        <w:tc>
          <w:tcPr>
            <w:tcW w:w="2696" w:type="dxa"/>
            <w:tcBorders>
              <w:left w:val="thinThickThinSmallGap" w:sz="24" w:space="0" w:color="auto"/>
            </w:tcBorders>
            <w:shd w:val="clear" w:color="auto" w:fill="FFFFFF"/>
            <w:vAlign w:val="center"/>
          </w:tcPr>
          <w:p w:rsidR="005166CA" w:rsidRPr="004C6C57" w:rsidRDefault="005166CA" w:rsidP="005166CA">
            <w:pPr>
              <w:spacing w:line="180" w:lineRule="exact"/>
              <w:contextualSpacing/>
              <w:jc w:val="left"/>
              <w:rPr>
                <w:rFonts w:cs="Calibri"/>
                <w:color w:val="auto"/>
                <w:sz w:val="18"/>
              </w:rPr>
            </w:pPr>
            <w:r w:rsidRPr="004C6C57">
              <w:rPr>
                <w:rFonts w:cs="Calibri"/>
                <w:color w:val="auto"/>
                <w:sz w:val="18"/>
              </w:rPr>
              <w:t>Stress Reaction Changes, L. Knee</w:t>
            </w:r>
          </w:p>
        </w:tc>
        <w:tc>
          <w:tcPr>
            <w:tcW w:w="1080" w:type="dxa"/>
            <w:shd w:val="clear" w:color="auto" w:fill="FFFFFF"/>
            <w:vAlign w:val="center"/>
          </w:tcPr>
          <w:p w:rsidR="005166CA" w:rsidRPr="004C6C57" w:rsidRDefault="005166CA" w:rsidP="00230433">
            <w:pPr>
              <w:spacing w:line="180" w:lineRule="exact"/>
              <w:contextualSpacing/>
              <w:rPr>
                <w:rFonts w:cs="Calibri"/>
                <w:color w:val="auto"/>
                <w:sz w:val="18"/>
              </w:rPr>
            </w:pPr>
            <w:r w:rsidRPr="004C6C57">
              <w:rPr>
                <w:rFonts w:cs="Calibri"/>
                <w:color w:val="auto"/>
                <w:sz w:val="18"/>
              </w:rPr>
              <w:t>5299-5019</w:t>
            </w:r>
          </w:p>
        </w:tc>
        <w:tc>
          <w:tcPr>
            <w:tcW w:w="720" w:type="dxa"/>
            <w:shd w:val="clear" w:color="auto" w:fill="FFFFFF"/>
            <w:vAlign w:val="center"/>
          </w:tcPr>
          <w:p w:rsidR="005166CA" w:rsidRPr="004C6C57" w:rsidRDefault="005166CA" w:rsidP="00230433">
            <w:pPr>
              <w:spacing w:line="180" w:lineRule="exact"/>
              <w:contextualSpacing/>
              <w:rPr>
                <w:rFonts w:cs="Calibri"/>
                <w:color w:val="auto"/>
                <w:sz w:val="18"/>
              </w:rPr>
            </w:pPr>
            <w:r w:rsidRPr="004C6C57">
              <w:rPr>
                <w:rFonts w:cs="Calibri"/>
                <w:color w:val="auto"/>
                <w:sz w:val="18"/>
              </w:rPr>
              <w:t>NSC</w:t>
            </w:r>
          </w:p>
        </w:tc>
        <w:tc>
          <w:tcPr>
            <w:tcW w:w="990" w:type="dxa"/>
            <w:shd w:val="clear" w:color="auto" w:fill="FFFFFF"/>
            <w:vAlign w:val="center"/>
          </w:tcPr>
          <w:p w:rsidR="005166CA" w:rsidRPr="004C6C57" w:rsidRDefault="005166CA" w:rsidP="00230433">
            <w:pPr>
              <w:spacing w:line="180" w:lineRule="exact"/>
              <w:contextualSpacing/>
              <w:rPr>
                <w:rFonts w:cs="Calibri"/>
                <w:color w:val="auto"/>
                <w:sz w:val="18"/>
              </w:rPr>
            </w:pPr>
            <w:r w:rsidRPr="004C6C57">
              <w:rPr>
                <w:color w:val="auto"/>
                <w:sz w:val="18"/>
              </w:rPr>
              <w:t>20021204</w:t>
            </w:r>
          </w:p>
        </w:tc>
      </w:tr>
      <w:tr w:rsidR="005166CA" w:rsidRPr="004C6C57" w:rsidTr="005166CA">
        <w:trPr>
          <w:trHeight w:val="118"/>
          <w:jc w:val="center"/>
        </w:trPr>
        <w:tc>
          <w:tcPr>
            <w:tcW w:w="2169" w:type="dxa"/>
            <w:vMerge/>
            <w:tcBorders>
              <w:right w:val="single" w:sz="4" w:space="0" w:color="auto"/>
            </w:tcBorders>
            <w:shd w:val="clear" w:color="auto" w:fill="FFFFFF"/>
            <w:vAlign w:val="center"/>
          </w:tcPr>
          <w:p w:rsidR="005166CA" w:rsidRPr="004C6C57" w:rsidRDefault="005166CA" w:rsidP="00230433">
            <w:pPr>
              <w:spacing w:line="180" w:lineRule="exact"/>
              <w:contextualSpacing/>
              <w:jc w:val="left"/>
              <w:rPr>
                <w:color w:val="auto"/>
                <w:sz w:val="18"/>
              </w:rPr>
            </w:pPr>
          </w:p>
        </w:tc>
        <w:tc>
          <w:tcPr>
            <w:tcW w:w="1080" w:type="dxa"/>
            <w:vMerge/>
            <w:tcBorders>
              <w:left w:val="single" w:sz="4" w:space="0" w:color="auto"/>
            </w:tcBorders>
            <w:shd w:val="clear" w:color="auto" w:fill="FFFFFF"/>
            <w:vAlign w:val="center"/>
          </w:tcPr>
          <w:p w:rsidR="005166CA" w:rsidRPr="004C6C57" w:rsidRDefault="005166CA" w:rsidP="00230433">
            <w:pPr>
              <w:spacing w:line="180" w:lineRule="exact"/>
              <w:contextualSpacing/>
              <w:rPr>
                <w:color w:val="auto"/>
                <w:sz w:val="18"/>
              </w:rPr>
            </w:pPr>
          </w:p>
        </w:tc>
        <w:tc>
          <w:tcPr>
            <w:tcW w:w="720" w:type="dxa"/>
            <w:vMerge/>
            <w:tcBorders>
              <w:right w:val="thinThickThinSmallGap" w:sz="24" w:space="0" w:color="auto"/>
            </w:tcBorders>
            <w:shd w:val="clear" w:color="auto" w:fill="FFFFFF"/>
            <w:vAlign w:val="center"/>
          </w:tcPr>
          <w:p w:rsidR="005166CA" w:rsidRPr="004C6C57" w:rsidRDefault="005166CA" w:rsidP="00230433">
            <w:pPr>
              <w:spacing w:line="180" w:lineRule="exact"/>
              <w:rPr>
                <w:color w:val="auto"/>
                <w:sz w:val="18"/>
              </w:rPr>
            </w:pPr>
          </w:p>
        </w:tc>
        <w:tc>
          <w:tcPr>
            <w:tcW w:w="2696" w:type="dxa"/>
            <w:tcBorders>
              <w:left w:val="thinThickThinSmallGap" w:sz="24" w:space="0" w:color="auto"/>
            </w:tcBorders>
            <w:shd w:val="clear" w:color="auto" w:fill="FFFFFF"/>
            <w:vAlign w:val="center"/>
          </w:tcPr>
          <w:p w:rsidR="005166CA" w:rsidRPr="004C6C57" w:rsidRDefault="005166CA" w:rsidP="005166CA">
            <w:pPr>
              <w:spacing w:line="180" w:lineRule="exact"/>
              <w:contextualSpacing/>
              <w:jc w:val="left"/>
              <w:rPr>
                <w:color w:val="auto"/>
                <w:sz w:val="18"/>
              </w:rPr>
            </w:pPr>
            <w:r w:rsidRPr="004C6C57">
              <w:rPr>
                <w:rFonts w:cs="Calibri"/>
                <w:color w:val="auto"/>
                <w:sz w:val="18"/>
              </w:rPr>
              <w:t>Stress Reaction Changes, R. Knee</w:t>
            </w:r>
          </w:p>
        </w:tc>
        <w:tc>
          <w:tcPr>
            <w:tcW w:w="1080" w:type="dxa"/>
            <w:shd w:val="clear" w:color="auto" w:fill="FFFFFF"/>
            <w:vAlign w:val="center"/>
          </w:tcPr>
          <w:p w:rsidR="005166CA" w:rsidRPr="004C6C57" w:rsidRDefault="005166CA" w:rsidP="00230433">
            <w:pPr>
              <w:spacing w:line="180" w:lineRule="exact"/>
              <w:contextualSpacing/>
              <w:rPr>
                <w:rFonts w:cs="Calibri"/>
                <w:color w:val="auto"/>
                <w:sz w:val="18"/>
              </w:rPr>
            </w:pPr>
            <w:r w:rsidRPr="004C6C57">
              <w:rPr>
                <w:rFonts w:cs="Calibri"/>
                <w:color w:val="auto"/>
                <w:sz w:val="18"/>
              </w:rPr>
              <w:t>5299-5019</w:t>
            </w:r>
          </w:p>
        </w:tc>
        <w:tc>
          <w:tcPr>
            <w:tcW w:w="720" w:type="dxa"/>
            <w:shd w:val="clear" w:color="auto" w:fill="FFFFFF"/>
            <w:vAlign w:val="center"/>
          </w:tcPr>
          <w:p w:rsidR="005166CA" w:rsidRPr="004C6C57" w:rsidRDefault="005166CA" w:rsidP="00230433">
            <w:pPr>
              <w:spacing w:line="180" w:lineRule="exact"/>
              <w:contextualSpacing/>
              <w:rPr>
                <w:rFonts w:cs="Calibri"/>
                <w:color w:val="auto"/>
                <w:sz w:val="18"/>
              </w:rPr>
            </w:pPr>
            <w:r w:rsidRPr="004C6C57">
              <w:rPr>
                <w:rFonts w:cs="Calibri"/>
                <w:color w:val="auto"/>
                <w:sz w:val="18"/>
              </w:rPr>
              <w:t>NSC</w:t>
            </w:r>
          </w:p>
        </w:tc>
        <w:tc>
          <w:tcPr>
            <w:tcW w:w="990" w:type="dxa"/>
            <w:shd w:val="clear" w:color="auto" w:fill="FFFFFF"/>
            <w:vAlign w:val="center"/>
          </w:tcPr>
          <w:p w:rsidR="005166CA" w:rsidRPr="004C6C57" w:rsidRDefault="005166CA" w:rsidP="00230433">
            <w:pPr>
              <w:spacing w:line="180" w:lineRule="exact"/>
              <w:contextualSpacing/>
              <w:rPr>
                <w:rFonts w:cs="Calibri"/>
                <w:color w:val="auto"/>
                <w:sz w:val="18"/>
              </w:rPr>
            </w:pPr>
            <w:r w:rsidRPr="004C6C57">
              <w:rPr>
                <w:color w:val="auto"/>
                <w:sz w:val="18"/>
              </w:rPr>
              <w:t>20021204</w:t>
            </w:r>
          </w:p>
        </w:tc>
      </w:tr>
      <w:tr w:rsidR="006310F7" w:rsidRPr="004C6C57" w:rsidTr="005166CA">
        <w:trPr>
          <w:trHeight w:val="118"/>
          <w:jc w:val="center"/>
        </w:trPr>
        <w:tc>
          <w:tcPr>
            <w:tcW w:w="2169" w:type="dxa"/>
            <w:tcBorders>
              <w:right w:val="single" w:sz="4" w:space="0" w:color="auto"/>
            </w:tcBorders>
            <w:shd w:val="clear" w:color="auto" w:fill="FFFFFF"/>
            <w:vAlign w:val="center"/>
          </w:tcPr>
          <w:p w:rsidR="006310F7" w:rsidRPr="004C6C57" w:rsidRDefault="006310F7" w:rsidP="00230433">
            <w:pPr>
              <w:spacing w:line="180" w:lineRule="exact"/>
              <w:contextualSpacing/>
              <w:jc w:val="left"/>
              <w:rPr>
                <w:color w:val="auto"/>
                <w:sz w:val="18"/>
              </w:rPr>
            </w:pPr>
            <w:r w:rsidRPr="004C6C57">
              <w:rPr>
                <w:color w:val="auto"/>
                <w:sz w:val="18"/>
              </w:rPr>
              <w:t>Bilateral Pes Planus</w:t>
            </w:r>
          </w:p>
        </w:tc>
        <w:tc>
          <w:tcPr>
            <w:tcW w:w="1800" w:type="dxa"/>
            <w:gridSpan w:val="2"/>
            <w:tcBorders>
              <w:left w:val="single" w:sz="4" w:space="0" w:color="auto"/>
              <w:right w:val="thinThickThinSmallGap" w:sz="24" w:space="0" w:color="auto"/>
            </w:tcBorders>
            <w:shd w:val="clear" w:color="auto" w:fill="FFFFFF"/>
            <w:vAlign w:val="center"/>
          </w:tcPr>
          <w:p w:rsidR="006310F7" w:rsidRPr="004C6C57" w:rsidRDefault="006310F7" w:rsidP="00230433">
            <w:pPr>
              <w:spacing w:line="180" w:lineRule="exact"/>
              <w:rPr>
                <w:color w:val="auto"/>
                <w:sz w:val="18"/>
              </w:rPr>
            </w:pPr>
            <w:r w:rsidRPr="004C6C57">
              <w:rPr>
                <w:color w:val="auto"/>
                <w:sz w:val="18"/>
              </w:rPr>
              <w:t>Not Unfitting</w:t>
            </w:r>
          </w:p>
        </w:tc>
        <w:tc>
          <w:tcPr>
            <w:tcW w:w="2696" w:type="dxa"/>
            <w:tcBorders>
              <w:left w:val="thinThickThinSmallGap" w:sz="24" w:space="0" w:color="auto"/>
            </w:tcBorders>
            <w:shd w:val="clear" w:color="auto" w:fill="FFFFFF"/>
            <w:vAlign w:val="center"/>
          </w:tcPr>
          <w:p w:rsidR="006310F7" w:rsidRPr="004C6C57" w:rsidRDefault="006310F7" w:rsidP="00230433">
            <w:pPr>
              <w:spacing w:line="180" w:lineRule="exact"/>
              <w:contextualSpacing/>
              <w:jc w:val="left"/>
              <w:rPr>
                <w:color w:val="auto"/>
                <w:sz w:val="18"/>
              </w:rPr>
            </w:pPr>
            <w:r w:rsidRPr="004C6C57">
              <w:rPr>
                <w:color w:val="auto"/>
                <w:sz w:val="18"/>
              </w:rPr>
              <w:t>Bilatera</w:t>
            </w:r>
            <w:r w:rsidR="005166CA" w:rsidRPr="004C6C57">
              <w:rPr>
                <w:color w:val="auto"/>
                <w:sz w:val="18"/>
              </w:rPr>
              <w:t>l</w:t>
            </w:r>
            <w:r w:rsidRPr="004C6C57">
              <w:rPr>
                <w:color w:val="auto"/>
                <w:sz w:val="18"/>
              </w:rPr>
              <w:t xml:space="preserve"> Pes Planus</w:t>
            </w:r>
          </w:p>
        </w:tc>
        <w:tc>
          <w:tcPr>
            <w:tcW w:w="1080" w:type="dxa"/>
            <w:shd w:val="clear" w:color="auto" w:fill="FFFFFF"/>
            <w:vAlign w:val="center"/>
          </w:tcPr>
          <w:p w:rsidR="006310F7" w:rsidRPr="004C6C57" w:rsidRDefault="006310F7" w:rsidP="00230433">
            <w:pPr>
              <w:spacing w:line="180" w:lineRule="exact"/>
              <w:contextualSpacing/>
              <w:rPr>
                <w:color w:val="auto"/>
                <w:sz w:val="18"/>
              </w:rPr>
            </w:pPr>
            <w:r w:rsidRPr="004C6C57">
              <w:rPr>
                <w:color w:val="auto"/>
                <w:sz w:val="18"/>
              </w:rPr>
              <w:t>5276</w:t>
            </w:r>
          </w:p>
        </w:tc>
        <w:tc>
          <w:tcPr>
            <w:tcW w:w="720" w:type="dxa"/>
            <w:shd w:val="clear" w:color="auto" w:fill="FFFFFF"/>
            <w:vAlign w:val="center"/>
          </w:tcPr>
          <w:p w:rsidR="006310F7" w:rsidRPr="004C6C57" w:rsidRDefault="006310F7" w:rsidP="00230433">
            <w:pPr>
              <w:spacing w:line="180" w:lineRule="exact"/>
              <w:contextualSpacing/>
              <w:rPr>
                <w:color w:val="auto"/>
                <w:sz w:val="18"/>
              </w:rPr>
            </w:pPr>
            <w:r w:rsidRPr="004C6C57">
              <w:rPr>
                <w:color w:val="auto"/>
                <w:sz w:val="18"/>
              </w:rPr>
              <w:t>10%</w:t>
            </w:r>
            <w:r w:rsidR="005166CA" w:rsidRPr="004C6C57">
              <w:rPr>
                <w:color w:val="auto"/>
                <w:sz w:val="18"/>
              </w:rPr>
              <w:t>*</w:t>
            </w:r>
          </w:p>
        </w:tc>
        <w:tc>
          <w:tcPr>
            <w:tcW w:w="990" w:type="dxa"/>
            <w:shd w:val="clear" w:color="auto" w:fill="FFFFFF"/>
            <w:vAlign w:val="center"/>
          </w:tcPr>
          <w:p w:rsidR="006310F7" w:rsidRPr="004C6C57" w:rsidRDefault="005166CA" w:rsidP="00230433">
            <w:pPr>
              <w:spacing w:line="180" w:lineRule="exact"/>
              <w:contextualSpacing/>
              <w:rPr>
                <w:color w:val="auto"/>
                <w:sz w:val="18"/>
              </w:rPr>
            </w:pPr>
            <w:r w:rsidRPr="004C6C57">
              <w:rPr>
                <w:color w:val="auto"/>
                <w:sz w:val="18"/>
              </w:rPr>
              <w:t>20021204</w:t>
            </w:r>
          </w:p>
        </w:tc>
      </w:tr>
      <w:tr w:rsidR="006310F7" w:rsidRPr="004C6C57" w:rsidTr="005166CA">
        <w:trPr>
          <w:trHeight w:val="118"/>
          <w:jc w:val="center"/>
        </w:trPr>
        <w:tc>
          <w:tcPr>
            <w:tcW w:w="3969" w:type="dxa"/>
            <w:gridSpan w:val="3"/>
            <w:vMerge w:val="restart"/>
            <w:tcBorders>
              <w:right w:val="thinThickThinSmallGap" w:sz="24" w:space="0" w:color="auto"/>
            </w:tcBorders>
            <w:shd w:val="clear" w:color="auto" w:fill="FFFFFF"/>
            <w:vAlign w:val="center"/>
          </w:tcPr>
          <w:p w:rsidR="006310F7" w:rsidRPr="004C6C57" w:rsidRDefault="006310F7" w:rsidP="00230433">
            <w:pPr>
              <w:spacing w:line="180" w:lineRule="exact"/>
              <w:contextualSpacing/>
              <w:rPr>
                <w:color w:val="auto"/>
                <w:sz w:val="18"/>
              </w:rPr>
            </w:pPr>
            <w:r w:rsidRPr="004C6C57">
              <w:rPr>
                <w:rFonts w:cs="Calibri"/>
                <w:color w:val="auto"/>
                <w:sz w:val="18"/>
                <w:szCs w:val="18"/>
              </w:rPr>
              <w:t>↓No Additional MEB/PEB Entries↓</w:t>
            </w:r>
          </w:p>
        </w:tc>
        <w:tc>
          <w:tcPr>
            <w:tcW w:w="2696" w:type="dxa"/>
            <w:tcBorders>
              <w:left w:val="thinThickThinSmallGap" w:sz="24" w:space="0" w:color="auto"/>
            </w:tcBorders>
            <w:shd w:val="clear" w:color="auto" w:fill="FFFFFF"/>
            <w:vAlign w:val="center"/>
          </w:tcPr>
          <w:p w:rsidR="006310F7" w:rsidRPr="004C6C57" w:rsidRDefault="006310F7" w:rsidP="00230433">
            <w:pPr>
              <w:spacing w:line="180" w:lineRule="exact"/>
              <w:contextualSpacing/>
              <w:jc w:val="left"/>
              <w:rPr>
                <w:color w:val="auto"/>
                <w:sz w:val="18"/>
              </w:rPr>
            </w:pPr>
            <w:r w:rsidRPr="004C6C57">
              <w:rPr>
                <w:color w:val="auto"/>
                <w:sz w:val="18"/>
              </w:rPr>
              <w:t>Low Back Strain</w:t>
            </w:r>
          </w:p>
        </w:tc>
        <w:tc>
          <w:tcPr>
            <w:tcW w:w="1080" w:type="dxa"/>
            <w:shd w:val="clear" w:color="auto" w:fill="FFFFFF"/>
            <w:vAlign w:val="center"/>
          </w:tcPr>
          <w:p w:rsidR="006310F7" w:rsidRPr="004C6C57" w:rsidRDefault="006310F7" w:rsidP="00230433">
            <w:pPr>
              <w:spacing w:line="180" w:lineRule="exact"/>
              <w:contextualSpacing/>
              <w:rPr>
                <w:color w:val="auto"/>
                <w:sz w:val="18"/>
              </w:rPr>
            </w:pPr>
            <w:r w:rsidRPr="004C6C57">
              <w:rPr>
                <w:color w:val="auto"/>
                <w:sz w:val="18"/>
              </w:rPr>
              <w:t>5295</w:t>
            </w:r>
          </w:p>
        </w:tc>
        <w:tc>
          <w:tcPr>
            <w:tcW w:w="720" w:type="dxa"/>
            <w:shd w:val="clear" w:color="auto" w:fill="FFFFFF"/>
            <w:vAlign w:val="center"/>
          </w:tcPr>
          <w:p w:rsidR="006310F7" w:rsidRPr="004C6C57" w:rsidRDefault="006310F7" w:rsidP="00230433">
            <w:pPr>
              <w:spacing w:line="180" w:lineRule="exact"/>
              <w:contextualSpacing/>
              <w:rPr>
                <w:color w:val="auto"/>
                <w:sz w:val="18"/>
              </w:rPr>
            </w:pPr>
            <w:r w:rsidRPr="004C6C57">
              <w:rPr>
                <w:color w:val="auto"/>
                <w:sz w:val="18"/>
              </w:rPr>
              <w:t>20%</w:t>
            </w:r>
          </w:p>
        </w:tc>
        <w:tc>
          <w:tcPr>
            <w:tcW w:w="990" w:type="dxa"/>
            <w:shd w:val="clear" w:color="auto" w:fill="FFFFFF"/>
            <w:vAlign w:val="center"/>
          </w:tcPr>
          <w:p w:rsidR="006310F7" w:rsidRPr="004C6C57" w:rsidRDefault="006310F7" w:rsidP="00230433">
            <w:pPr>
              <w:spacing w:line="180" w:lineRule="exact"/>
              <w:contextualSpacing/>
              <w:rPr>
                <w:color w:val="auto"/>
                <w:sz w:val="18"/>
              </w:rPr>
            </w:pPr>
            <w:r w:rsidRPr="004C6C57">
              <w:rPr>
                <w:color w:val="auto"/>
                <w:sz w:val="18"/>
              </w:rPr>
              <w:t>20021204</w:t>
            </w:r>
          </w:p>
        </w:tc>
      </w:tr>
      <w:tr w:rsidR="006310F7" w:rsidRPr="004C6C57" w:rsidTr="005166CA">
        <w:trPr>
          <w:trHeight w:val="172"/>
          <w:jc w:val="center"/>
        </w:trPr>
        <w:tc>
          <w:tcPr>
            <w:tcW w:w="3969" w:type="dxa"/>
            <w:gridSpan w:val="3"/>
            <w:vMerge/>
            <w:tcBorders>
              <w:right w:val="thinThickThinSmallGap" w:sz="24" w:space="0" w:color="auto"/>
            </w:tcBorders>
            <w:shd w:val="clear" w:color="auto" w:fill="FFFFFF"/>
            <w:vAlign w:val="center"/>
          </w:tcPr>
          <w:p w:rsidR="006310F7" w:rsidRPr="004C6C57" w:rsidRDefault="006310F7" w:rsidP="00230433">
            <w:pPr>
              <w:spacing w:line="180" w:lineRule="exact"/>
              <w:contextualSpacing/>
              <w:rPr>
                <w:rFonts w:cs="Calibri"/>
                <w:color w:val="auto"/>
                <w:sz w:val="18"/>
              </w:rPr>
            </w:pPr>
          </w:p>
        </w:tc>
        <w:tc>
          <w:tcPr>
            <w:tcW w:w="4496" w:type="dxa"/>
            <w:gridSpan w:val="3"/>
            <w:tcBorders>
              <w:left w:val="thinThickThinSmallGap" w:sz="24" w:space="0" w:color="auto"/>
            </w:tcBorders>
            <w:shd w:val="clear" w:color="auto" w:fill="FFFFFF"/>
            <w:vAlign w:val="center"/>
          </w:tcPr>
          <w:p w:rsidR="006310F7" w:rsidRPr="004C6C57" w:rsidRDefault="006310F7" w:rsidP="005166CA">
            <w:pPr>
              <w:spacing w:line="180" w:lineRule="exact"/>
              <w:contextualSpacing/>
              <w:rPr>
                <w:rFonts w:cs="Calibri"/>
                <w:color w:val="auto"/>
                <w:sz w:val="18"/>
              </w:rPr>
            </w:pPr>
            <w:r w:rsidRPr="004C6C57">
              <w:rPr>
                <w:color w:val="auto"/>
                <w:sz w:val="18"/>
              </w:rPr>
              <w:t xml:space="preserve">Not Service-Connected x </w:t>
            </w:r>
            <w:r w:rsidR="005166CA" w:rsidRPr="004C6C57">
              <w:rPr>
                <w:color w:val="auto"/>
                <w:sz w:val="18"/>
              </w:rPr>
              <w:t>3</w:t>
            </w:r>
          </w:p>
        </w:tc>
        <w:tc>
          <w:tcPr>
            <w:tcW w:w="990" w:type="dxa"/>
            <w:shd w:val="clear" w:color="auto" w:fill="FFFFFF"/>
            <w:vAlign w:val="center"/>
          </w:tcPr>
          <w:p w:rsidR="006310F7" w:rsidRPr="004C6C57" w:rsidRDefault="005166CA" w:rsidP="00230433">
            <w:pPr>
              <w:spacing w:line="180" w:lineRule="exact"/>
              <w:contextualSpacing/>
              <w:rPr>
                <w:rFonts w:cs="Calibri"/>
                <w:color w:val="auto"/>
                <w:sz w:val="18"/>
              </w:rPr>
            </w:pPr>
            <w:r w:rsidRPr="004C6C57">
              <w:rPr>
                <w:color w:val="auto"/>
                <w:sz w:val="18"/>
              </w:rPr>
              <w:t>20021204</w:t>
            </w:r>
          </w:p>
        </w:tc>
      </w:tr>
      <w:tr w:rsidR="006310F7" w:rsidRPr="004C6C57" w:rsidTr="005166CA">
        <w:trPr>
          <w:trHeight w:val="124"/>
          <w:jc w:val="center"/>
        </w:trPr>
        <w:tc>
          <w:tcPr>
            <w:tcW w:w="3969" w:type="dxa"/>
            <w:gridSpan w:val="3"/>
            <w:tcBorders>
              <w:right w:val="thinThickThinSmallGap" w:sz="24" w:space="0" w:color="auto"/>
            </w:tcBorders>
            <w:shd w:val="clear" w:color="auto" w:fill="D9D9D9"/>
          </w:tcPr>
          <w:p w:rsidR="006310F7" w:rsidRPr="004C6C57" w:rsidRDefault="006310F7" w:rsidP="00230433">
            <w:pPr>
              <w:spacing w:line="180" w:lineRule="exact"/>
              <w:contextualSpacing/>
              <w:rPr>
                <w:rFonts w:cs="Calibri"/>
                <w:b/>
                <w:color w:val="auto"/>
                <w:sz w:val="18"/>
              </w:rPr>
            </w:pPr>
            <w:r w:rsidRPr="004C6C57">
              <w:rPr>
                <w:b/>
                <w:color w:val="auto"/>
                <w:sz w:val="18"/>
              </w:rPr>
              <w:t>Combined:  0%</w:t>
            </w:r>
          </w:p>
        </w:tc>
        <w:tc>
          <w:tcPr>
            <w:tcW w:w="5486" w:type="dxa"/>
            <w:gridSpan w:val="4"/>
            <w:tcBorders>
              <w:left w:val="thinThickThinSmallGap" w:sz="24" w:space="0" w:color="auto"/>
            </w:tcBorders>
            <w:shd w:val="clear" w:color="auto" w:fill="D9D9D9"/>
          </w:tcPr>
          <w:p w:rsidR="006310F7" w:rsidRPr="004C6C57" w:rsidRDefault="006310F7" w:rsidP="006310F7">
            <w:pPr>
              <w:spacing w:line="180" w:lineRule="exact"/>
              <w:contextualSpacing/>
              <w:rPr>
                <w:rFonts w:cs="Calibri"/>
                <w:b/>
                <w:color w:val="auto"/>
                <w:sz w:val="18"/>
              </w:rPr>
            </w:pPr>
            <w:r w:rsidRPr="004C6C57">
              <w:rPr>
                <w:b/>
                <w:color w:val="auto"/>
                <w:sz w:val="18"/>
              </w:rPr>
              <w:t>Combined:  30%*</w:t>
            </w:r>
          </w:p>
        </w:tc>
      </w:tr>
    </w:tbl>
    <w:p w:rsidR="006310F7" w:rsidRPr="006C00B2" w:rsidRDefault="005166CA" w:rsidP="005166CA">
      <w:pPr>
        <w:spacing w:line="180" w:lineRule="exact"/>
        <w:jc w:val="left"/>
        <w:rPr>
          <w:color w:val="auto"/>
          <w:sz w:val="18"/>
          <w:szCs w:val="18"/>
        </w:rPr>
      </w:pPr>
      <w:r w:rsidRPr="004C6C57">
        <w:rPr>
          <w:color w:val="auto"/>
          <w:sz w:val="18"/>
          <w:szCs w:val="18"/>
        </w:rPr>
        <w:t>* Bilateral Pes Planus, 5276 at 10% increased to 10% for each</w:t>
      </w:r>
      <w:r w:rsidRPr="006C00B2">
        <w:rPr>
          <w:color w:val="auto"/>
          <w:sz w:val="18"/>
          <w:szCs w:val="18"/>
        </w:rPr>
        <w:t xml:space="preserve"> foot, effective 20051222 (combined 40%)  </w:t>
      </w:r>
    </w:p>
    <w:p w:rsidR="00DF0E52" w:rsidRPr="00F64312" w:rsidRDefault="00DF0E52" w:rsidP="00DF0E52">
      <w:pPr>
        <w:pBdr>
          <w:bottom w:val="single" w:sz="12" w:space="1" w:color="auto"/>
        </w:pBdr>
        <w:tabs>
          <w:tab w:val="left" w:pos="288"/>
          <w:tab w:val="left" w:pos="4752"/>
        </w:tabs>
        <w:jc w:val="both"/>
        <w:rPr>
          <w:color w:val="auto"/>
        </w:rPr>
      </w:pPr>
    </w:p>
    <w:p w:rsidR="00DF0E52" w:rsidRPr="00F64312" w:rsidRDefault="00DF0E52" w:rsidP="00DF0E52">
      <w:pPr>
        <w:tabs>
          <w:tab w:val="left" w:pos="288"/>
          <w:tab w:val="left" w:pos="4752"/>
        </w:tabs>
        <w:jc w:val="both"/>
        <w:rPr>
          <w:color w:val="auto"/>
        </w:rPr>
      </w:pPr>
    </w:p>
    <w:p w:rsidR="00AD2379" w:rsidRPr="00DF0E52" w:rsidRDefault="00AD2379" w:rsidP="00726F84">
      <w:pPr>
        <w:jc w:val="both"/>
        <w:rPr>
          <w:color w:val="auto"/>
        </w:rPr>
      </w:pPr>
      <w:r w:rsidRPr="00F64312">
        <w:rPr>
          <w:color w:val="auto"/>
          <w:u w:val="single"/>
        </w:rPr>
        <w:t>ANALYSIS SUMMARY</w:t>
      </w:r>
      <w:r w:rsidRPr="00DF0E52">
        <w:rPr>
          <w:color w:val="auto"/>
        </w:rPr>
        <w:t>:</w:t>
      </w:r>
      <w:r w:rsidR="00896C01" w:rsidRPr="00DF0E52">
        <w:rPr>
          <w:color w:val="auto"/>
        </w:rPr>
        <w:t xml:space="preserve"> </w:t>
      </w:r>
      <w:r w:rsidRPr="00DF0E52">
        <w:rPr>
          <w:color w:val="auto"/>
        </w:rPr>
        <w:t xml:space="preserve"> </w:t>
      </w:r>
      <w:r w:rsidR="00DF0E52" w:rsidRPr="00DF0E52">
        <w:rPr>
          <w:rFonts w:cs="Times New Roman"/>
          <w:color w:val="auto"/>
          <w:szCs w:val="24"/>
        </w:rPr>
        <w:t xml:space="preserve">The Board acknowledges the CI’s contention that suggests ratings should have been conferred for other conditions documented at the time of separation.  The Board wishes to clarify that it is subject to the same laws for disability entitlements as those under which the Disability Evaluation System (DES) operates.  </w:t>
      </w:r>
      <w:r w:rsidR="00B94D2C">
        <w:rPr>
          <w:rFonts w:cs="Times New Roman"/>
          <w:iCs/>
          <w:color w:val="auto"/>
          <w:szCs w:val="24"/>
        </w:rPr>
        <w:t xml:space="preserve">While the </w:t>
      </w:r>
      <w:r w:rsidR="00DF0E52" w:rsidRPr="00DF0E52">
        <w:rPr>
          <w:rFonts w:cs="Times New Roman"/>
          <w:iCs/>
          <w:color w:val="auto"/>
          <w:szCs w:val="24"/>
        </w:rPr>
        <w:t>DES considers all of the service member's medical conditions, compensation can only be offered for those medical conditions that cut short a service member’s career, and then only to the degree of severity present at the time of final disposition.  However the Department of Veteran</w:t>
      </w:r>
      <w:r w:rsidR="00B94D2C">
        <w:rPr>
          <w:rFonts w:cs="Times New Roman"/>
          <w:iCs/>
          <w:color w:val="auto"/>
          <w:szCs w:val="24"/>
        </w:rPr>
        <w:t>s’</w:t>
      </w:r>
      <w:r w:rsidR="00DF0E52" w:rsidRPr="00DF0E52">
        <w:rPr>
          <w:rFonts w:cs="Times New Roman"/>
          <w:iCs/>
          <w:color w:val="auto"/>
          <w:szCs w:val="24"/>
        </w:rPr>
        <w:t xml:space="preserve"> Affairs (DVA), operating under a different set of laws (Title 38, United States Code), is </w:t>
      </w:r>
      <w:r w:rsidR="00B94D2C">
        <w:rPr>
          <w:rFonts w:cs="Times New Roman"/>
          <w:iCs/>
          <w:color w:val="auto"/>
          <w:szCs w:val="24"/>
        </w:rPr>
        <w:t>empowered to compensate service-</w:t>
      </w:r>
      <w:r w:rsidR="00DF0E52" w:rsidRPr="00DF0E52">
        <w:rPr>
          <w:rFonts w:cs="Times New Roman"/>
          <w:iCs/>
          <w:color w:val="auto"/>
          <w:szCs w:val="24"/>
        </w:rPr>
        <w:t xml:space="preserve">connected conditions and to periodically re-evaluate said conditions for the purpose of adjusting the </w:t>
      </w:r>
      <w:r w:rsidR="00B94D2C">
        <w:rPr>
          <w:rFonts w:cs="Times New Roman"/>
          <w:iCs/>
          <w:color w:val="auto"/>
          <w:szCs w:val="24"/>
        </w:rPr>
        <w:t>V</w:t>
      </w:r>
      <w:r w:rsidR="00DF0E52" w:rsidRPr="00DF0E52">
        <w:rPr>
          <w:rFonts w:cs="Times New Roman"/>
          <w:iCs/>
          <w:color w:val="auto"/>
          <w:szCs w:val="24"/>
        </w:rPr>
        <w:t xml:space="preserve">eteran’s disability rating </w:t>
      </w:r>
      <w:r w:rsidR="00DF0E52" w:rsidRPr="00AC61F7">
        <w:rPr>
          <w:rFonts w:cs="Times New Roman"/>
          <w:iCs/>
          <w:color w:val="auto"/>
          <w:szCs w:val="24"/>
        </w:rPr>
        <w:t xml:space="preserve">should </w:t>
      </w:r>
      <w:r w:rsidR="00B94D2C">
        <w:rPr>
          <w:rFonts w:cs="Times New Roman"/>
          <w:iCs/>
          <w:color w:val="auto"/>
          <w:szCs w:val="24"/>
        </w:rPr>
        <w:t>the</w:t>
      </w:r>
      <w:r w:rsidR="00DF0E52" w:rsidRPr="00AC61F7">
        <w:rPr>
          <w:rFonts w:cs="Times New Roman"/>
          <w:iCs/>
          <w:color w:val="auto"/>
          <w:szCs w:val="24"/>
        </w:rPr>
        <w:t xml:space="preserve"> degree</w:t>
      </w:r>
      <w:r w:rsidR="00DF0E52" w:rsidRPr="00DF0E52">
        <w:rPr>
          <w:rFonts w:cs="Times New Roman"/>
          <w:iCs/>
          <w:color w:val="auto"/>
          <w:szCs w:val="24"/>
        </w:rPr>
        <w:t xml:space="preserve"> of impairment vary over time.  </w:t>
      </w:r>
    </w:p>
    <w:p w:rsidR="00AD2379" w:rsidRPr="00DF0E52" w:rsidRDefault="00AD2379" w:rsidP="00B22D42">
      <w:pPr>
        <w:jc w:val="both"/>
        <w:rPr>
          <w:color w:val="auto"/>
          <w:highlight w:val="yellow"/>
        </w:rPr>
      </w:pPr>
    </w:p>
    <w:p w:rsidR="0069687C" w:rsidRPr="004C6C57" w:rsidRDefault="003D14B3" w:rsidP="0069687C">
      <w:pPr>
        <w:jc w:val="both"/>
        <w:rPr>
          <w:color w:val="auto"/>
          <w:szCs w:val="24"/>
        </w:rPr>
      </w:pPr>
      <w:proofErr w:type="spellStart"/>
      <w:proofErr w:type="gramStart"/>
      <w:r w:rsidRPr="003D14B3">
        <w:rPr>
          <w:color w:val="auto"/>
          <w:u w:val="single"/>
        </w:rPr>
        <w:t>Atraumatic</w:t>
      </w:r>
      <w:proofErr w:type="spellEnd"/>
      <w:r w:rsidRPr="003D14B3">
        <w:rPr>
          <w:color w:val="auto"/>
          <w:u w:val="single"/>
        </w:rPr>
        <w:t xml:space="preserve"> onset of bilateral knee pain 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69687C" w:rsidRPr="00F64312">
        <w:rPr>
          <w:color w:val="auto"/>
          <w:szCs w:val="24"/>
        </w:rPr>
        <w:t>There w</w:t>
      </w:r>
      <w:r>
        <w:rPr>
          <w:color w:val="auto"/>
          <w:szCs w:val="24"/>
        </w:rPr>
        <w:t xml:space="preserve">as one </w:t>
      </w:r>
      <w:r w:rsidR="00B94D2C">
        <w:rPr>
          <w:color w:val="auto"/>
          <w:szCs w:val="24"/>
        </w:rPr>
        <w:t>goniometric range-of-</w:t>
      </w:r>
      <w:r w:rsidR="0069687C" w:rsidRPr="00F64312">
        <w:rPr>
          <w:color w:val="auto"/>
          <w:szCs w:val="24"/>
        </w:rPr>
        <w:t xml:space="preserve">motion (ROM) evaluations in evidence, with </w:t>
      </w:r>
      <w:r w:rsidR="00DF0E52">
        <w:rPr>
          <w:color w:val="auto"/>
          <w:szCs w:val="24"/>
        </w:rPr>
        <w:t>an additional non-goniometric exam of the knees</w:t>
      </w:r>
      <w:r w:rsidR="0069687C" w:rsidRPr="00F64312">
        <w:rPr>
          <w:color w:val="auto"/>
          <w:szCs w:val="24"/>
        </w:rPr>
        <w:t xml:space="preserve">, which the Board weighed in arriving at its rating </w:t>
      </w:r>
      <w:r w:rsidR="0069687C" w:rsidRPr="006C00B2">
        <w:rPr>
          <w:color w:val="auto"/>
          <w:szCs w:val="24"/>
        </w:rPr>
        <w:t xml:space="preserve">recommendation; as summarized in the chart </w:t>
      </w:r>
      <w:r w:rsidR="0069687C" w:rsidRPr="004C6C57">
        <w:rPr>
          <w:color w:val="auto"/>
          <w:szCs w:val="24"/>
        </w:rPr>
        <w:t>below.</w:t>
      </w:r>
      <w:r w:rsidR="00165C7B" w:rsidRPr="004C6C57">
        <w:rPr>
          <w:color w:val="auto"/>
          <w:szCs w:val="24"/>
        </w:rPr>
        <w:t xml:space="preserve">  </w:t>
      </w:r>
    </w:p>
    <w:p w:rsidR="006C00B2" w:rsidRPr="004C6C57" w:rsidRDefault="006C00B2" w:rsidP="0069687C">
      <w:pPr>
        <w:jc w:val="both"/>
        <w:rPr>
          <w:color w:val="auto"/>
          <w:szCs w:val="24"/>
        </w:rPr>
      </w:pPr>
    </w:p>
    <w:tbl>
      <w:tblPr>
        <w:tblW w:w="8409" w:type="dxa"/>
        <w:jc w:val="center"/>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02"/>
        <w:gridCol w:w="2798"/>
        <w:gridCol w:w="3009"/>
      </w:tblGrid>
      <w:tr w:rsidR="00DF0E52" w:rsidRPr="004C6C57" w:rsidTr="00774EA9">
        <w:trPr>
          <w:jc w:val="center"/>
        </w:trPr>
        <w:tc>
          <w:tcPr>
            <w:tcW w:w="2602" w:type="dxa"/>
            <w:shd w:val="clear" w:color="auto" w:fill="D9D9D9"/>
            <w:vAlign w:val="center"/>
          </w:tcPr>
          <w:p w:rsidR="00DF0E52" w:rsidRPr="004C6C57" w:rsidRDefault="00DF0E52" w:rsidP="00774EA9">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Bilateral Knee ROM</w:t>
            </w:r>
          </w:p>
        </w:tc>
        <w:tc>
          <w:tcPr>
            <w:tcW w:w="2798" w:type="dxa"/>
            <w:shd w:val="clear" w:color="auto" w:fill="D9D9D9"/>
            <w:vAlign w:val="center"/>
          </w:tcPr>
          <w:p w:rsidR="00DF0E52" w:rsidRPr="004C6C57" w:rsidRDefault="00DF0E52" w:rsidP="006C00B2">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MEB ~4 Mo. Pre-Sep</w:t>
            </w:r>
          </w:p>
        </w:tc>
        <w:tc>
          <w:tcPr>
            <w:tcW w:w="3009" w:type="dxa"/>
            <w:shd w:val="clear" w:color="auto" w:fill="D9D9D9"/>
            <w:vAlign w:val="center"/>
          </w:tcPr>
          <w:p w:rsidR="00DF0E52" w:rsidRPr="004C6C57" w:rsidRDefault="00DF0E52" w:rsidP="006C00B2">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VA C&amp;P ~3 Mos. Post-Sep</w:t>
            </w:r>
          </w:p>
        </w:tc>
      </w:tr>
      <w:tr w:rsidR="00DF0E52" w:rsidRPr="004C6C57" w:rsidTr="00774EA9">
        <w:trPr>
          <w:jc w:val="center"/>
        </w:trPr>
        <w:tc>
          <w:tcPr>
            <w:tcW w:w="2602" w:type="dxa"/>
            <w:vAlign w:val="center"/>
          </w:tcPr>
          <w:p w:rsidR="00DF0E52" w:rsidRPr="004C6C57" w:rsidRDefault="00DF0E52" w:rsidP="00774EA9">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Flexion (140⁰ Normal)</w:t>
            </w:r>
          </w:p>
        </w:tc>
        <w:tc>
          <w:tcPr>
            <w:tcW w:w="2798" w:type="dxa"/>
            <w:vMerge w:val="restart"/>
            <w:vAlign w:val="center"/>
          </w:tcPr>
          <w:p w:rsidR="00DF0E52" w:rsidRPr="004C6C57" w:rsidRDefault="00DF0E52" w:rsidP="00774EA9">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Full Active and Passive ROM</w:t>
            </w:r>
          </w:p>
        </w:tc>
        <w:tc>
          <w:tcPr>
            <w:tcW w:w="3009" w:type="dxa"/>
            <w:vAlign w:val="center"/>
          </w:tcPr>
          <w:p w:rsidR="00DF0E52" w:rsidRPr="004C6C57" w:rsidRDefault="00DF0E52" w:rsidP="00774EA9">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140⁰</w:t>
            </w:r>
          </w:p>
        </w:tc>
      </w:tr>
      <w:tr w:rsidR="00DF0E52" w:rsidRPr="004C6C57" w:rsidTr="00774EA9">
        <w:trPr>
          <w:jc w:val="center"/>
        </w:trPr>
        <w:tc>
          <w:tcPr>
            <w:tcW w:w="2602" w:type="dxa"/>
            <w:tcBorders>
              <w:bottom w:val="single" w:sz="4" w:space="0" w:color="auto"/>
            </w:tcBorders>
            <w:vAlign w:val="center"/>
          </w:tcPr>
          <w:p w:rsidR="00DF0E52" w:rsidRPr="004C6C57" w:rsidRDefault="00DF0E52" w:rsidP="00774EA9">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Extension (0⁰ Normal)</w:t>
            </w:r>
          </w:p>
        </w:tc>
        <w:tc>
          <w:tcPr>
            <w:tcW w:w="2798" w:type="dxa"/>
            <w:vMerge/>
            <w:tcBorders>
              <w:bottom w:val="single" w:sz="4" w:space="0" w:color="auto"/>
            </w:tcBorders>
            <w:vAlign w:val="center"/>
          </w:tcPr>
          <w:p w:rsidR="00DF0E52" w:rsidRPr="004C6C57" w:rsidRDefault="00DF0E52" w:rsidP="00774EA9">
            <w:pPr>
              <w:spacing w:line="220" w:lineRule="exact"/>
              <w:contextualSpacing/>
              <w:rPr>
                <w:rFonts w:asciiTheme="majorHAnsi" w:hAnsiTheme="majorHAnsi" w:cstheme="majorHAnsi"/>
                <w:color w:val="auto"/>
                <w:szCs w:val="18"/>
              </w:rPr>
            </w:pPr>
          </w:p>
        </w:tc>
        <w:tc>
          <w:tcPr>
            <w:tcW w:w="3009" w:type="dxa"/>
            <w:tcBorders>
              <w:bottom w:val="single" w:sz="4" w:space="0" w:color="auto"/>
            </w:tcBorders>
            <w:vAlign w:val="center"/>
          </w:tcPr>
          <w:p w:rsidR="00DF0E52" w:rsidRPr="004C6C57" w:rsidRDefault="00DF0E52" w:rsidP="00774EA9">
            <w:pPr>
              <w:spacing w:line="220" w:lineRule="exact"/>
              <w:contextualSpacing/>
              <w:rPr>
                <w:rFonts w:asciiTheme="majorHAnsi" w:hAnsiTheme="majorHAnsi" w:cstheme="majorHAnsi"/>
                <w:color w:val="auto"/>
                <w:szCs w:val="18"/>
              </w:rPr>
            </w:pPr>
            <w:r w:rsidRPr="004C6C57">
              <w:rPr>
                <w:rFonts w:asciiTheme="majorHAnsi" w:hAnsiTheme="majorHAnsi" w:cstheme="majorHAnsi"/>
                <w:color w:val="auto"/>
                <w:szCs w:val="18"/>
              </w:rPr>
              <w:t>0⁰</w:t>
            </w:r>
          </w:p>
        </w:tc>
      </w:tr>
      <w:tr w:rsidR="00DF0E52" w:rsidRPr="004C6C57" w:rsidTr="00774EA9">
        <w:trPr>
          <w:jc w:val="center"/>
        </w:trPr>
        <w:tc>
          <w:tcPr>
            <w:tcW w:w="2602" w:type="dxa"/>
            <w:tcBorders>
              <w:top w:val="single" w:sz="4" w:space="0" w:color="auto"/>
              <w:left w:val="single" w:sz="4" w:space="0" w:color="auto"/>
              <w:bottom w:val="single" w:sz="4" w:space="0" w:color="auto"/>
              <w:right w:val="single" w:sz="4" w:space="0" w:color="auto"/>
            </w:tcBorders>
            <w:vAlign w:val="center"/>
          </w:tcPr>
          <w:p w:rsidR="00DF0E52" w:rsidRPr="004C6C57" w:rsidRDefault="00DF0E52" w:rsidP="00774EA9">
            <w:pPr>
              <w:tabs>
                <w:tab w:val="left" w:pos="288"/>
                <w:tab w:val="left" w:pos="4752"/>
              </w:tabs>
              <w:spacing w:line="220" w:lineRule="exact"/>
              <w:rPr>
                <w:rFonts w:asciiTheme="majorHAnsi" w:hAnsiTheme="majorHAnsi" w:cstheme="majorHAnsi"/>
                <w:color w:val="auto"/>
                <w:szCs w:val="18"/>
              </w:rPr>
            </w:pPr>
            <w:r w:rsidRPr="004C6C57">
              <w:rPr>
                <w:rFonts w:asciiTheme="majorHAnsi" w:hAnsiTheme="majorHAnsi" w:cstheme="majorHAnsi"/>
                <w:color w:val="auto"/>
                <w:szCs w:val="18"/>
              </w:rPr>
              <w:t>Comment</w:t>
            </w:r>
          </w:p>
        </w:tc>
        <w:tc>
          <w:tcPr>
            <w:tcW w:w="2798" w:type="dxa"/>
            <w:tcBorders>
              <w:top w:val="single" w:sz="4" w:space="0" w:color="auto"/>
              <w:left w:val="single" w:sz="4" w:space="0" w:color="auto"/>
              <w:bottom w:val="single" w:sz="4" w:space="0" w:color="auto"/>
              <w:right w:val="single" w:sz="4" w:space="0" w:color="auto"/>
            </w:tcBorders>
            <w:vAlign w:val="center"/>
          </w:tcPr>
          <w:p w:rsidR="00DF0E52" w:rsidRPr="004C6C57" w:rsidRDefault="00DF0E52" w:rsidP="00774EA9">
            <w:pPr>
              <w:tabs>
                <w:tab w:val="left" w:pos="288"/>
                <w:tab w:val="left" w:pos="4752"/>
              </w:tabs>
              <w:spacing w:line="220" w:lineRule="exact"/>
              <w:rPr>
                <w:rFonts w:asciiTheme="majorHAnsi" w:hAnsiTheme="majorHAnsi" w:cstheme="majorHAnsi"/>
                <w:color w:val="auto"/>
                <w:szCs w:val="18"/>
              </w:rPr>
            </w:pPr>
            <w:r w:rsidRPr="004C6C57">
              <w:rPr>
                <w:rFonts w:asciiTheme="majorHAnsi" w:hAnsiTheme="majorHAnsi" w:cstheme="majorHAnsi"/>
                <w:color w:val="auto"/>
                <w:szCs w:val="18"/>
              </w:rPr>
              <w:t xml:space="preserve">Mild joint line pain; </w:t>
            </w:r>
            <w:r w:rsidR="00AC61F7" w:rsidRPr="004C6C57">
              <w:rPr>
                <w:rFonts w:asciiTheme="majorHAnsi" w:hAnsiTheme="majorHAnsi" w:cstheme="majorHAnsi"/>
                <w:color w:val="auto"/>
                <w:szCs w:val="18"/>
              </w:rPr>
              <w:t xml:space="preserve">tender to palpation; </w:t>
            </w:r>
            <w:r w:rsidRPr="004C6C57">
              <w:rPr>
                <w:rFonts w:asciiTheme="majorHAnsi" w:hAnsiTheme="majorHAnsi" w:cstheme="majorHAnsi"/>
                <w:color w:val="auto"/>
                <w:szCs w:val="18"/>
              </w:rPr>
              <w:t>no instability; motor and sensory normal</w:t>
            </w:r>
            <w:r w:rsidR="00B65249" w:rsidRPr="004C6C57">
              <w:rPr>
                <w:rFonts w:asciiTheme="majorHAnsi" w:hAnsiTheme="majorHAnsi" w:cstheme="majorHAnsi"/>
                <w:color w:val="auto"/>
                <w:szCs w:val="18"/>
              </w:rPr>
              <w:t xml:space="preserve"> (see text)</w:t>
            </w:r>
          </w:p>
        </w:tc>
        <w:tc>
          <w:tcPr>
            <w:tcW w:w="3009" w:type="dxa"/>
            <w:tcBorders>
              <w:top w:val="single" w:sz="4" w:space="0" w:color="auto"/>
              <w:left w:val="single" w:sz="4" w:space="0" w:color="auto"/>
              <w:bottom w:val="single" w:sz="4" w:space="0" w:color="auto"/>
              <w:right w:val="single" w:sz="4" w:space="0" w:color="auto"/>
            </w:tcBorders>
            <w:vAlign w:val="center"/>
          </w:tcPr>
          <w:p w:rsidR="00DF0E52" w:rsidRPr="004C6C57" w:rsidRDefault="00DF0E52" w:rsidP="00B65249">
            <w:pPr>
              <w:tabs>
                <w:tab w:val="left" w:pos="288"/>
                <w:tab w:val="left" w:pos="4752"/>
              </w:tabs>
              <w:spacing w:line="220" w:lineRule="exact"/>
              <w:rPr>
                <w:rFonts w:asciiTheme="majorHAnsi" w:hAnsiTheme="majorHAnsi" w:cstheme="majorHAnsi"/>
                <w:color w:val="auto"/>
                <w:szCs w:val="18"/>
              </w:rPr>
            </w:pPr>
            <w:r w:rsidRPr="004C6C57">
              <w:rPr>
                <w:rFonts w:asciiTheme="majorHAnsi" w:hAnsiTheme="majorHAnsi" w:cstheme="majorHAnsi"/>
                <w:color w:val="auto"/>
                <w:szCs w:val="18"/>
              </w:rPr>
              <w:t xml:space="preserve">Without pain; </w:t>
            </w:r>
            <w:r w:rsidR="00B65249" w:rsidRPr="004C6C57">
              <w:rPr>
                <w:rFonts w:asciiTheme="majorHAnsi" w:hAnsiTheme="majorHAnsi" w:cstheme="majorHAnsi"/>
                <w:color w:val="auto"/>
                <w:szCs w:val="18"/>
              </w:rPr>
              <w:t>n</w:t>
            </w:r>
            <w:r w:rsidRPr="004C6C57">
              <w:rPr>
                <w:rFonts w:asciiTheme="majorHAnsi" w:hAnsiTheme="majorHAnsi" w:cstheme="majorHAnsi"/>
                <w:color w:val="auto"/>
                <w:szCs w:val="18"/>
              </w:rPr>
              <w:t>o instability or change on repetition; normal imaging</w:t>
            </w:r>
          </w:p>
        </w:tc>
      </w:tr>
      <w:tr w:rsidR="00DF0E52" w:rsidRPr="004C6C57" w:rsidTr="00774EA9">
        <w:trPr>
          <w:jc w:val="center"/>
        </w:trPr>
        <w:tc>
          <w:tcPr>
            <w:tcW w:w="2602" w:type="dxa"/>
            <w:tcBorders>
              <w:top w:val="single" w:sz="4" w:space="0" w:color="auto"/>
              <w:left w:val="single" w:sz="4" w:space="0" w:color="auto"/>
              <w:bottom w:val="single" w:sz="4" w:space="0" w:color="auto"/>
              <w:right w:val="single" w:sz="4" w:space="0" w:color="auto"/>
            </w:tcBorders>
            <w:vAlign w:val="center"/>
          </w:tcPr>
          <w:p w:rsidR="00DF0E52" w:rsidRPr="004C6C57" w:rsidRDefault="00DF0E52" w:rsidP="00774EA9">
            <w:pPr>
              <w:tabs>
                <w:tab w:val="left" w:pos="288"/>
                <w:tab w:val="left" w:pos="4752"/>
              </w:tabs>
              <w:spacing w:line="220" w:lineRule="exact"/>
              <w:rPr>
                <w:rFonts w:asciiTheme="majorHAnsi" w:hAnsiTheme="majorHAnsi" w:cstheme="majorHAnsi"/>
                <w:color w:val="auto"/>
                <w:szCs w:val="18"/>
              </w:rPr>
            </w:pPr>
            <w:r w:rsidRPr="004C6C57">
              <w:rPr>
                <w:rFonts w:asciiTheme="majorHAnsi" w:hAnsiTheme="majorHAnsi" w:cstheme="majorHAnsi"/>
                <w:color w:val="auto"/>
                <w:szCs w:val="18"/>
              </w:rPr>
              <w:t>§4.71a Rating</w:t>
            </w:r>
          </w:p>
        </w:tc>
        <w:tc>
          <w:tcPr>
            <w:tcW w:w="2798" w:type="dxa"/>
            <w:tcBorders>
              <w:top w:val="single" w:sz="4" w:space="0" w:color="auto"/>
              <w:left w:val="single" w:sz="4" w:space="0" w:color="auto"/>
              <w:bottom w:val="single" w:sz="4" w:space="0" w:color="auto"/>
              <w:right w:val="single" w:sz="4" w:space="0" w:color="auto"/>
            </w:tcBorders>
            <w:vAlign w:val="center"/>
          </w:tcPr>
          <w:p w:rsidR="00DF0E52" w:rsidRPr="004C6C57" w:rsidRDefault="00AC61F7" w:rsidP="00774EA9">
            <w:pPr>
              <w:tabs>
                <w:tab w:val="left" w:pos="288"/>
                <w:tab w:val="left" w:pos="4752"/>
              </w:tabs>
              <w:spacing w:line="220" w:lineRule="exact"/>
              <w:rPr>
                <w:rFonts w:asciiTheme="majorHAnsi" w:hAnsiTheme="majorHAnsi" w:cstheme="majorHAnsi"/>
                <w:color w:val="auto"/>
                <w:szCs w:val="18"/>
              </w:rPr>
            </w:pPr>
            <w:r w:rsidRPr="004C6C57">
              <w:rPr>
                <w:rFonts w:asciiTheme="majorHAnsi" w:hAnsiTheme="majorHAnsi" w:cstheme="majorHAnsi"/>
                <w:color w:val="auto"/>
                <w:szCs w:val="18"/>
              </w:rPr>
              <w:t>1</w:t>
            </w:r>
            <w:r w:rsidR="00DF0E52" w:rsidRPr="004C6C57">
              <w:rPr>
                <w:rFonts w:asciiTheme="majorHAnsi" w:hAnsiTheme="majorHAnsi" w:cstheme="majorHAnsi"/>
                <w:color w:val="auto"/>
                <w:szCs w:val="18"/>
              </w:rPr>
              <w:t>0%</w:t>
            </w:r>
          </w:p>
        </w:tc>
        <w:tc>
          <w:tcPr>
            <w:tcW w:w="3009" w:type="dxa"/>
            <w:tcBorders>
              <w:top w:val="single" w:sz="4" w:space="0" w:color="auto"/>
              <w:left w:val="single" w:sz="4" w:space="0" w:color="auto"/>
              <w:bottom w:val="single" w:sz="4" w:space="0" w:color="auto"/>
              <w:right w:val="single" w:sz="4" w:space="0" w:color="auto"/>
            </w:tcBorders>
            <w:vAlign w:val="center"/>
          </w:tcPr>
          <w:p w:rsidR="00DF0E52" w:rsidRPr="004C6C57" w:rsidRDefault="00DF0E52" w:rsidP="00774EA9">
            <w:pPr>
              <w:tabs>
                <w:tab w:val="left" w:pos="288"/>
                <w:tab w:val="left" w:pos="4752"/>
              </w:tabs>
              <w:spacing w:line="220" w:lineRule="exact"/>
              <w:rPr>
                <w:rFonts w:asciiTheme="majorHAnsi" w:hAnsiTheme="majorHAnsi" w:cstheme="majorHAnsi"/>
                <w:color w:val="auto"/>
                <w:szCs w:val="18"/>
              </w:rPr>
            </w:pPr>
            <w:r w:rsidRPr="004C6C57">
              <w:rPr>
                <w:rFonts w:asciiTheme="majorHAnsi" w:hAnsiTheme="majorHAnsi" w:cstheme="majorHAnsi"/>
                <w:color w:val="auto"/>
                <w:szCs w:val="18"/>
              </w:rPr>
              <w:t>0%</w:t>
            </w:r>
          </w:p>
        </w:tc>
      </w:tr>
    </w:tbl>
    <w:p w:rsidR="00DF0E52" w:rsidRPr="004C6C57" w:rsidRDefault="00DF0E52" w:rsidP="00DF0E52">
      <w:pPr>
        <w:jc w:val="left"/>
        <w:rPr>
          <w:rFonts w:asciiTheme="majorHAnsi" w:eastAsia="Calibri" w:hAnsiTheme="majorHAnsi" w:cstheme="majorHAnsi"/>
          <w:color w:val="auto"/>
          <w:sz w:val="18"/>
          <w:szCs w:val="18"/>
        </w:rPr>
      </w:pPr>
    </w:p>
    <w:p w:rsidR="00A80B19" w:rsidRPr="00A80B19" w:rsidRDefault="00CF0280" w:rsidP="00A80B19">
      <w:pPr>
        <w:jc w:val="both"/>
        <w:rPr>
          <w:color w:val="auto"/>
          <w:szCs w:val="24"/>
        </w:rPr>
      </w:pPr>
      <w:r w:rsidRPr="004C6C57">
        <w:rPr>
          <w:color w:val="auto"/>
          <w:szCs w:val="24"/>
        </w:rPr>
        <w:t>At the MEB exam, the CI reported</w:t>
      </w:r>
      <w:r w:rsidR="00AC61F7" w:rsidRPr="004C6C57">
        <w:rPr>
          <w:color w:val="auto"/>
          <w:szCs w:val="24"/>
        </w:rPr>
        <w:t xml:space="preserve"> bilateral knee pain of 4-5/10 with increase up to</w:t>
      </w:r>
      <w:r w:rsidR="00AC61F7">
        <w:rPr>
          <w:color w:val="auto"/>
          <w:szCs w:val="24"/>
        </w:rPr>
        <w:t xml:space="preserve"> 7-8/10 after exercise.  She related </w:t>
      </w:r>
      <w:r w:rsidR="00AC61F7" w:rsidRPr="006C00B2">
        <w:rPr>
          <w:color w:val="auto"/>
          <w:szCs w:val="24"/>
        </w:rPr>
        <w:t xml:space="preserve">occasional swelling after heavy use without locking.  Radiographs were essentially normal and bone scan in October 2001 indicated improved stress changes from her September 2000 bone scan.  </w:t>
      </w:r>
      <w:r w:rsidRPr="006C00B2">
        <w:rPr>
          <w:color w:val="auto"/>
          <w:szCs w:val="24"/>
        </w:rPr>
        <w:t>The MEB physical exam noted</w:t>
      </w:r>
      <w:r w:rsidR="00AC61F7" w:rsidRPr="006C00B2">
        <w:rPr>
          <w:color w:val="auto"/>
          <w:szCs w:val="24"/>
        </w:rPr>
        <w:t xml:space="preserve"> a normal gait with tenderness as the only positive knee exam finding</w:t>
      </w:r>
      <w:r w:rsidR="00AC61F7">
        <w:rPr>
          <w:color w:val="auto"/>
          <w:szCs w:val="24"/>
        </w:rPr>
        <w:t xml:space="preserve"> as summarized above.  </w:t>
      </w:r>
      <w:r w:rsidRPr="00F64312">
        <w:rPr>
          <w:color w:val="auto"/>
          <w:szCs w:val="24"/>
        </w:rPr>
        <w:t>At the VA Compensation and Pension (C&amp;P) exam</w:t>
      </w:r>
      <w:r w:rsidR="00870765">
        <w:rPr>
          <w:color w:val="auto"/>
          <w:szCs w:val="24"/>
        </w:rPr>
        <w:t xml:space="preserve"> </w:t>
      </w:r>
      <w:r w:rsidR="00ED7820" w:rsidRPr="003D14B3">
        <w:rPr>
          <w:color w:val="auto"/>
          <w:szCs w:val="24"/>
        </w:rPr>
        <w:t>after</w:t>
      </w:r>
      <w:r w:rsidR="00ED7820">
        <w:rPr>
          <w:color w:val="auto"/>
          <w:szCs w:val="24"/>
        </w:rPr>
        <w:t xml:space="preserve"> separation</w:t>
      </w:r>
      <w:r w:rsidRPr="00F64312">
        <w:rPr>
          <w:color w:val="auto"/>
          <w:szCs w:val="24"/>
        </w:rPr>
        <w:t>, the CI reported</w:t>
      </w:r>
      <w:r w:rsidR="00A80B19">
        <w:rPr>
          <w:color w:val="auto"/>
          <w:szCs w:val="24"/>
        </w:rPr>
        <w:t xml:space="preserve"> bilateral knee pain with “</w:t>
      </w:r>
      <w:r w:rsidR="00A80B19" w:rsidRPr="00A80B19">
        <w:rPr>
          <w:color w:val="auto"/>
          <w:szCs w:val="24"/>
        </w:rPr>
        <w:t>some amelioration of her symptoms with rest</w:t>
      </w:r>
      <w:r w:rsidR="00A80B19">
        <w:rPr>
          <w:color w:val="auto"/>
          <w:szCs w:val="24"/>
        </w:rPr>
        <w:t xml:space="preserve"> </w:t>
      </w:r>
      <w:r w:rsidR="00A80B19" w:rsidRPr="00A80B19">
        <w:rPr>
          <w:color w:val="auto"/>
          <w:szCs w:val="24"/>
        </w:rPr>
        <w:t>with some mild exacerbating residuals during standing and</w:t>
      </w:r>
      <w:r w:rsidR="00A80B19">
        <w:rPr>
          <w:color w:val="auto"/>
          <w:szCs w:val="24"/>
        </w:rPr>
        <w:t xml:space="preserve"> </w:t>
      </w:r>
      <w:r w:rsidR="00A80B19" w:rsidRPr="00A80B19">
        <w:rPr>
          <w:color w:val="auto"/>
          <w:szCs w:val="24"/>
        </w:rPr>
        <w:t>walking.</w:t>
      </w:r>
      <w:r w:rsidR="00A80B19">
        <w:rPr>
          <w:color w:val="auto"/>
          <w:szCs w:val="24"/>
        </w:rPr>
        <w:t>”  Exam documented normal gait and normal knee exams as charted above with negative DeLuca criteria.  The VA adjudged this condition as not service connected</w:t>
      </w:r>
      <w:r w:rsidR="00F74C12">
        <w:rPr>
          <w:color w:val="auto"/>
          <w:szCs w:val="24"/>
        </w:rPr>
        <w:t xml:space="preserve">.  </w:t>
      </w:r>
    </w:p>
    <w:p w:rsidR="00CF0280" w:rsidRPr="00F64312" w:rsidRDefault="00CF0280" w:rsidP="0069687C">
      <w:pPr>
        <w:jc w:val="both"/>
        <w:rPr>
          <w:color w:val="auto"/>
          <w:szCs w:val="24"/>
        </w:rPr>
      </w:pPr>
    </w:p>
    <w:p w:rsidR="00F74C12" w:rsidRDefault="00AD2379" w:rsidP="00A80B19">
      <w:pPr>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F64312">
        <w:rPr>
          <w:rFonts w:cs="Times New Roman"/>
          <w:color w:val="auto"/>
        </w:rPr>
        <w:t>based on the above evidence</w:t>
      </w:r>
      <w:r w:rsidRPr="00F64312">
        <w:rPr>
          <w:rFonts w:cs="Times New Roman"/>
          <w:color w:val="auto"/>
        </w:rPr>
        <w:t>.</w:t>
      </w:r>
      <w:r w:rsidR="00165C7B" w:rsidRPr="00F64312">
        <w:rPr>
          <w:rFonts w:cs="Times New Roman"/>
          <w:color w:val="auto"/>
        </w:rPr>
        <w:t xml:space="preserve">  </w:t>
      </w:r>
      <w:r w:rsidR="00A551CD">
        <w:rPr>
          <w:rFonts w:cs="Times New Roman"/>
          <w:color w:val="auto"/>
        </w:rPr>
        <w:t>There was no history of surgery or instability, and the CI’s condition improved between the time of MEB and the initial VA exam</w:t>
      </w:r>
      <w:r w:rsidR="00F74C12">
        <w:rPr>
          <w:rFonts w:cs="Times New Roman"/>
          <w:color w:val="auto"/>
        </w:rPr>
        <w:t xml:space="preserve"> (no complaint of swelling and no documented abnormal imaging at the time of the post-separation VA exam).  </w:t>
      </w:r>
    </w:p>
    <w:p w:rsidR="00F74C12" w:rsidRDefault="00F74C12" w:rsidP="00A80B19">
      <w:pPr>
        <w:jc w:val="both"/>
        <w:rPr>
          <w:rFonts w:cs="Times New Roman"/>
          <w:color w:val="auto"/>
        </w:rPr>
      </w:pPr>
    </w:p>
    <w:p w:rsidR="00A80B19" w:rsidRPr="00F64312" w:rsidRDefault="00A551CD" w:rsidP="00A80B19">
      <w:pPr>
        <w:jc w:val="both"/>
        <w:rPr>
          <w:rFonts w:eastAsia="Calibri" w:cs="Times New Roman"/>
          <w:color w:val="auto"/>
          <w:szCs w:val="24"/>
        </w:rPr>
      </w:pPr>
      <w:r>
        <w:rPr>
          <w:rFonts w:cs="Times New Roman"/>
          <w:color w:val="auto"/>
        </w:rPr>
        <w:lastRenderedPageBreak/>
        <w:t xml:space="preserve">Absent the USAPDA pain policy, there was sufficient evidence of abnormal imaging and functional loss </w:t>
      </w:r>
      <w:r w:rsidR="00A80B19" w:rsidRPr="00A80B19">
        <w:rPr>
          <w:rFonts w:cs="Times New Roman"/>
          <w:color w:val="auto"/>
        </w:rPr>
        <w:t>(IAW VASRD §4.40) for a 10% rating under the</w:t>
      </w:r>
      <w:r w:rsidR="00A80B19">
        <w:rPr>
          <w:rFonts w:cs="Times New Roman"/>
          <w:color w:val="auto"/>
        </w:rPr>
        <w:t xml:space="preserve"> analogous coding of either 5022 (Periostitis) or 5019 (Bursitis) using the rating criteria of 5003 for </w:t>
      </w:r>
      <w:r w:rsidR="00A80B19" w:rsidRPr="00A80B19">
        <w:rPr>
          <w:rFonts w:cs="Times New Roman"/>
          <w:color w:val="auto"/>
        </w:rPr>
        <w:t>involvement of</w:t>
      </w:r>
      <w:r w:rsidR="00B94D2C">
        <w:rPr>
          <w:rFonts w:cs="Times New Roman"/>
          <w:color w:val="auto"/>
        </w:rPr>
        <w:t xml:space="preserve"> two</w:t>
      </w:r>
      <w:r w:rsidR="00A80B19" w:rsidRPr="00A80B19">
        <w:rPr>
          <w:rFonts w:cs="Times New Roman"/>
          <w:color w:val="auto"/>
        </w:rPr>
        <w:t xml:space="preserve"> or </w:t>
      </w:r>
      <w:r w:rsidR="00A80B19">
        <w:rPr>
          <w:rFonts w:cs="Times New Roman"/>
          <w:color w:val="auto"/>
        </w:rPr>
        <w:t>m</w:t>
      </w:r>
      <w:r w:rsidR="00A80B19" w:rsidRPr="00A80B19">
        <w:rPr>
          <w:rFonts w:cs="Times New Roman"/>
          <w:color w:val="auto"/>
        </w:rPr>
        <w:t>ore major joints</w:t>
      </w:r>
      <w:r w:rsidR="00A80B19">
        <w:rPr>
          <w:rFonts w:cs="Times New Roman"/>
          <w:color w:val="auto"/>
        </w:rPr>
        <w:t>.  There were</w:t>
      </w:r>
      <w:r w:rsidR="009F2065">
        <w:rPr>
          <w:rFonts w:cs="Times New Roman"/>
          <w:color w:val="auto"/>
        </w:rPr>
        <w:t xml:space="preserve"> no periods of incapacitation</w:t>
      </w:r>
      <w:r w:rsidR="00A80B19">
        <w:rPr>
          <w:rFonts w:cs="Times New Roman"/>
          <w:color w:val="auto"/>
        </w:rPr>
        <w:t xml:space="preserve"> or objective evidence of </w:t>
      </w:r>
      <w:r w:rsidR="00F74C12">
        <w:rPr>
          <w:rFonts w:cs="Times New Roman"/>
          <w:color w:val="auto"/>
        </w:rPr>
        <w:t xml:space="preserve">painful motion or </w:t>
      </w:r>
      <w:r w:rsidR="00A80B19">
        <w:rPr>
          <w:rFonts w:cs="Times New Roman"/>
          <w:color w:val="auto"/>
        </w:rPr>
        <w:t xml:space="preserve">pain-limited motion for a higher rating, or individual rating of each knee joint.  </w:t>
      </w:r>
      <w:r w:rsidR="00A80B19" w:rsidRPr="00F64312">
        <w:rPr>
          <w:rFonts w:eastAsia="Calibri" w:cs="Times New Roman"/>
          <w:color w:val="auto"/>
          <w:szCs w:val="24"/>
        </w:rPr>
        <w:t xml:space="preserve">After due </w:t>
      </w:r>
      <w:r w:rsidR="00A80B19" w:rsidRPr="006C00B2">
        <w:rPr>
          <w:rFonts w:eastAsia="Calibri" w:cs="Times New Roman"/>
          <w:color w:val="auto"/>
          <w:szCs w:val="24"/>
        </w:rPr>
        <w:t xml:space="preserve">deliberation, considering all of the evidence and mindful of VASRD §4.3 (reasonable doubt), the Board recommends a disability rating of 10% for the bilateral knee condition, coded </w:t>
      </w:r>
      <w:r w:rsidR="00F74C12" w:rsidRPr="006C00B2">
        <w:rPr>
          <w:rFonts w:eastAsia="Calibri" w:cs="Times New Roman"/>
          <w:color w:val="auto"/>
          <w:szCs w:val="24"/>
        </w:rPr>
        <w:t>5099-</w:t>
      </w:r>
      <w:r w:rsidR="00A80B19" w:rsidRPr="006C00B2">
        <w:rPr>
          <w:rFonts w:eastAsia="Calibri" w:cs="Times New Roman"/>
          <w:color w:val="auto"/>
          <w:szCs w:val="24"/>
        </w:rPr>
        <w:t>50</w:t>
      </w:r>
      <w:r w:rsidR="009F2065" w:rsidRPr="006C00B2">
        <w:rPr>
          <w:rFonts w:eastAsia="Calibri" w:cs="Times New Roman"/>
          <w:color w:val="auto"/>
          <w:szCs w:val="24"/>
        </w:rPr>
        <w:t>19</w:t>
      </w:r>
      <w:r w:rsidR="00A80B19" w:rsidRPr="006C00B2">
        <w:rPr>
          <w:rFonts w:eastAsia="Calibri" w:cs="Times New Roman"/>
          <w:color w:val="auto"/>
          <w:szCs w:val="24"/>
        </w:rPr>
        <w:t>.</w:t>
      </w:r>
      <w:r w:rsidR="00A80B19"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w:t>
      </w:r>
      <w:r w:rsidRPr="006C00B2">
        <w:rPr>
          <w:color w:val="auto"/>
        </w:rPr>
        <w:t>inconsistent with the VASRD in effect at the time of the adjudication</w:t>
      </w:r>
      <w:r w:rsidRPr="006C00B2">
        <w:rPr>
          <w:rFonts w:cs="Times New Roman"/>
          <w:color w:val="auto"/>
        </w:rPr>
        <w:t>.</w:t>
      </w:r>
      <w:r w:rsidR="006B690F" w:rsidRPr="006C00B2">
        <w:rPr>
          <w:rFonts w:cs="Times New Roman"/>
          <w:color w:val="auto"/>
        </w:rPr>
        <w:t xml:space="preserve">  </w:t>
      </w:r>
      <w:r w:rsidR="00241B01" w:rsidRPr="008335A1">
        <w:rPr>
          <w:rFonts w:eastAsia="Calibri" w:cs="Times New Roman"/>
          <w:color w:val="auto"/>
          <w:szCs w:val="24"/>
        </w:rPr>
        <w:t xml:space="preserve">As discussed above, PEB reliance on the USAPDA pain policy for rating </w:t>
      </w:r>
      <w:r w:rsidR="00A551CD" w:rsidRPr="008335A1">
        <w:rPr>
          <w:rFonts w:eastAsia="Calibri" w:cs="Times New Roman"/>
          <w:color w:val="auto"/>
          <w:szCs w:val="24"/>
        </w:rPr>
        <w:t xml:space="preserve">the bilateral knee condition </w:t>
      </w:r>
      <w:r w:rsidR="00241B01" w:rsidRPr="008335A1">
        <w:rPr>
          <w:rFonts w:eastAsia="Calibri" w:cs="Times New Roman"/>
          <w:color w:val="auto"/>
          <w:szCs w:val="24"/>
        </w:rPr>
        <w:t>was operant in this case and the condition was adjudicated independently</w:t>
      </w:r>
      <w:r w:rsidR="00241B01" w:rsidRPr="006C00B2">
        <w:rPr>
          <w:rFonts w:eastAsia="Calibri" w:cs="Times New Roman"/>
          <w:color w:val="auto"/>
          <w:szCs w:val="24"/>
        </w:rPr>
        <w:t xml:space="preserve"> of that policy by the Board.</w:t>
      </w:r>
      <w:r w:rsidR="006B690F" w:rsidRPr="006C00B2">
        <w:rPr>
          <w:rFonts w:eastAsia="Calibri" w:cs="Times New Roman"/>
          <w:color w:val="auto"/>
          <w:szCs w:val="24"/>
        </w:rPr>
        <w:t xml:space="preserve">  </w:t>
      </w:r>
      <w:r w:rsidR="00241B01" w:rsidRPr="006C00B2">
        <w:rPr>
          <w:rFonts w:eastAsia="Calibri" w:cs="Times New Roman"/>
          <w:color w:val="auto"/>
          <w:szCs w:val="24"/>
        </w:rPr>
        <w:t xml:space="preserve">In the matter of the </w:t>
      </w:r>
      <w:r w:rsidR="00A551CD" w:rsidRPr="006C00B2">
        <w:rPr>
          <w:rFonts w:eastAsia="Calibri" w:cs="Times New Roman"/>
          <w:color w:val="auto"/>
          <w:szCs w:val="24"/>
        </w:rPr>
        <w:t>bilateral knee condition</w:t>
      </w:r>
      <w:r w:rsidR="00241B01" w:rsidRPr="006C00B2">
        <w:rPr>
          <w:rFonts w:eastAsia="Calibri" w:cs="Times New Roman"/>
          <w:color w:val="auto"/>
          <w:szCs w:val="24"/>
        </w:rPr>
        <w:t xml:space="preserve">, the Board unanimously recommends a disability rating of </w:t>
      </w:r>
      <w:r w:rsidR="00A551CD" w:rsidRPr="006C00B2">
        <w:rPr>
          <w:rFonts w:eastAsia="Calibri" w:cs="Times New Roman"/>
          <w:color w:val="auto"/>
          <w:szCs w:val="24"/>
        </w:rPr>
        <w:t>10</w:t>
      </w:r>
      <w:r w:rsidR="00241B01" w:rsidRPr="006C00B2">
        <w:rPr>
          <w:rFonts w:eastAsia="Calibri" w:cs="Times New Roman"/>
          <w:color w:val="auto"/>
          <w:szCs w:val="24"/>
        </w:rPr>
        <w:t xml:space="preserve">%, coded </w:t>
      </w:r>
      <w:r w:rsidR="00F74C12" w:rsidRPr="006C00B2">
        <w:rPr>
          <w:rFonts w:eastAsia="Calibri" w:cs="Times New Roman"/>
          <w:color w:val="auto"/>
          <w:szCs w:val="24"/>
        </w:rPr>
        <w:t>5099-50</w:t>
      </w:r>
      <w:r w:rsidR="009F2065" w:rsidRPr="006C00B2">
        <w:rPr>
          <w:rFonts w:eastAsia="Calibri" w:cs="Times New Roman"/>
          <w:color w:val="auto"/>
          <w:szCs w:val="24"/>
        </w:rPr>
        <w:t>19</w:t>
      </w:r>
      <w:r w:rsidR="00241B01" w:rsidRPr="006C00B2">
        <w:rPr>
          <w:rFonts w:eastAsia="Calibri" w:cs="Times New Roman"/>
          <w:color w:val="auto"/>
          <w:szCs w:val="24"/>
        </w:rPr>
        <w:t xml:space="preserve"> IAW VASRD §4.71a.</w:t>
      </w:r>
      <w:r w:rsidR="006B690F" w:rsidRPr="006C00B2">
        <w:rPr>
          <w:rFonts w:eastAsia="Calibri" w:cs="Times New Roman"/>
          <w:color w:val="auto"/>
          <w:szCs w:val="24"/>
        </w:rPr>
        <w:t xml:space="preserve">  </w:t>
      </w:r>
      <w:r w:rsidR="00417BED" w:rsidRPr="006C00B2">
        <w:rPr>
          <w:rFonts w:eastAsia="Calibri" w:cs="Times New Roman"/>
          <w:color w:val="auto"/>
          <w:szCs w:val="24"/>
        </w:rPr>
        <w:t>There were no other conditions within the Board’s scope of review for</w:t>
      </w:r>
      <w:r w:rsidR="00417BED" w:rsidRPr="00F64312">
        <w:rPr>
          <w:rFonts w:eastAsia="Calibri" w:cs="Times New Roman"/>
          <w:color w:val="auto"/>
          <w:szCs w:val="24"/>
        </w:rPr>
        <w:t xml:space="preserve">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565636" w:rsidRPr="004C6C57" w:rsidRDefault="00AD2379" w:rsidP="00A551CD">
      <w:pPr>
        <w:jc w:val="both"/>
        <w:rPr>
          <w:rFonts w:eastAsia="Calibri" w:cs="Times New Roman"/>
          <w:color w:val="auto"/>
          <w:szCs w:val="24"/>
        </w:rPr>
      </w:pPr>
      <w:r w:rsidRPr="00F64312">
        <w:rPr>
          <w:color w:val="auto"/>
          <w:u w:val="single"/>
        </w:rPr>
        <w:t>RECOMMENDATION</w:t>
      </w:r>
      <w:r w:rsidRPr="00F64312">
        <w:rPr>
          <w:color w:val="auto"/>
        </w:rPr>
        <w:t xml:space="preserve">: </w:t>
      </w:r>
      <w:r w:rsidR="006B690F" w:rsidRPr="00F64312">
        <w:rPr>
          <w:color w:val="auto"/>
        </w:rPr>
        <w:t xml:space="preserve"> </w:t>
      </w:r>
      <w:r w:rsidR="00565636" w:rsidRPr="00F64312">
        <w:rPr>
          <w:rFonts w:eastAsia="Calibri" w:cs="Times New Roman"/>
          <w:color w:val="auto"/>
          <w:szCs w:val="24"/>
        </w:rPr>
        <w:t xml:space="preserve">The Board recommends that the CI’s </w:t>
      </w:r>
      <w:r w:rsidR="00565636" w:rsidRPr="004C6C57">
        <w:rPr>
          <w:rFonts w:eastAsia="Calibri" w:cs="Times New Roman"/>
          <w:color w:val="auto"/>
          <w:szCs w:val="24"/>
        </w:rPr>
        <w:t xml:space="preserve">prior determination be modified as follows, effective as of the date of her prior medical </w:t>
      </w:r>
      <w:r w:rsidR="00417BED" w:rsidRPr="004C6C57">
        <w:rPr>
          <w:rFonts w:eastAsia="Calibri" w:cs="Times New Roman"/>
          <w:color w:val="auto"/>
          <w:szCs w:val="24"/>
        </w:rPr>
        <w:t>separation:</w:t>
      </w:r>
      <w:r w:rsidR="006B690F" w:rsidRPr="004C6C57">
        <w:rPr>
          <w:rFonts w:eastAsia="Calibri" w:cs="Times New Roman"/>
          <w:color w:val="auto"/>
          <w:szCs w:val="24"/>
        </w:rPr>
        <w:t xml:space="preserve">  </w:t>
      </w:r>
    </w:p>
    <w:p w:rsidR="00AD2379" w:rsidRPr="004C6C57" w:rsidRDefault="00AD2379"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4C6C57" w:rsidTr="006B690F">
        <w:trPr>
          <w:trHeight w:val="233"/>
          <w:jc w:val="center"/>
        </w:trPr>
        <w:tc>
          <w:tcPr>
            <w:tcW w:w="6768" w:type="dxa"/>
            <w:shd w:val="clear" w:color="auto" w:fill="D9D9D9"/>
            <w:vAlign w:val="center"/>
          </w:tcPr>
          <w:p w:rsidR="00AD2379" w:rsidRPr="004C6C57" w:rsidRDefault="00AD2379" w:rsidP="006B690F">
            <w:pPr>
              <w:tabs>
                <w:tab w:val="left" w:pos="288"/>
                <w:tab w:val="left" w:pos="4752"/>
              </w:tabs>
              <w:rPr>
                <w:b/>
                <w:color w:val="auto"/>
              </w:rPr>
            </w:pPr>
            <w:r w:rsidRPr="004C6C57">
              <w:rPr>
                <w:b/>
                <w:color w:val="auto"/>
              </w:rPr>
              <w:t>UNFITTING CONDITION</w:t>
            </w:r>
          </w:p>
        </w:tc>
        <w:tc>
          <w:tcPr>
            <w:tcW w:w="1530" w:type="dxa"/>
            <w:shd w:val="clear" w:color="auto" w:fill="D9D9D9"/>
            <w:vAlign w:val="center"/>
          </w:tcPr>
          <w:p w:rsidR="00AD2379" w:rsidRPr="004C6C57" w:rsidRDefault="00AD2379" w:rsidP="006B690F">
            <w:pPr>
              <w:tabs>
                <w:tab w:val="left" w:pos="288"/>
                <w:tab w:val="left" w:pos="4752"/>
              </w:tabs>
              <w:rPr>
                <w:b/>
                <w:color w:val="auto"/>
              </w:rPr>
            </w:pPr>
            <w:r w:rsidRPr="004C6C57">
              <w:rPr>
                <w:b/>
                <w:color w:val="auto"/>
              </w:rPr>
              <w:t>VASRD CODE</w:t>
            </w:r>
          </w:p>
        </w:tc>
        <w:tc>
          <w:tcPr>
            <w:tcW w:w="1026" w:type="dxa"/>
            <w:shd w:val="clear" w:color="auto" w:fill="D9D9D9"/>
            <w:vAlign w:val="center"/>
          </w:tcPr>
          <w:p w:rsidR="00AD2379" w:rsidRPr="004C6C57" w:rsidRDefault="00AD2379" w:rsidP="006B690F">
            <w:pPr>
              <w:tabs>
                <w:tab w:val="left" w:pos="288"/>
                <w:tab w:val="left" w:pos="4752"/>
              </w:tabs>
              <w:rPr>
                <w:b/>
                <w:color w:val="auto"/>
              </w:rPr>
            </w:pPr>
            <w:r w:rsidRPr="004C6C57">
              <w:rPr>
                <w:b/>
                <w:color w:val="auto"/>
              </w:rPr>
              <w:t>RATING</w:t>
            </w:r>
          </w:p>
        </w:tc>
      </w:tr>
      <w:tr w:rsidR="00AD2379" w:rsidRPr="004C6C57" w:rsidTr="006B690F">
        <w:trPr>
          <w:jc w:val="center"/>
        </w:trPr>
        <w:tc>
          <w:tcPr>
            <w:tcW w:w="6768" w:type="dxa"/>
            <w:vAlign w:val="center"/>
          </w:tcPr>
          <w:p w:rsidR="00AD2379" w:rsidRPr="004C6C57" w:rsidRDefault="00A551CD" w:rsidP="006B690F">
            <w:pPr>
              <w:tabs>
                <w:tab w:val="left" w:pos="288"/>
                <w:tab w:val="left" w:pos="4752"/>
              </w:tabs>
              <w:jc w:val="left"/>
              <w:rPr>
                <w:color w:val="auto"/>
              </w:rPr>
            </w:pPr>
            <w:r w:rsidRPr="004C6C57">
              <w:rPr>
                <w:color w:val="auto"/>
              </w:rPr>
              <w:t>Bilateral Knee Pain</w:t>
            </w:r>
          </w:p>
        </w:tc>
        <w:tc>
          <w:tcPr>
            <w:tcW w:w="1530" w:type="dxa"/>
            <w:vAlign w:val="center"/>
          </w:tcPr>
          <w:p w:rsidR="00AD2379" w:rsidRPr="004C6C57" w:rsidRDefault="00F74C12" w:rsidP="009F2065">
            <w:pPr>
              <w:tabs>
                <w:tab w:val="left" w:pos="288"/>
                <w:tab w:val="left" w:pos="4752"/>
              </w:tabs>
              <w:rPr>
                <w:color w:val="auto"/>
              </w:rPr>
            </w:pPr>
            <w:r w:rsidRPr="004C6C57">
              <w:rPr>
                <w:color w:val="auto"/>
              </w:rPr>
              <w:t>5099-</w:t>
            </w:r>
            <w:r w:rsidR="00A551CD" w:rsidRPr="004C6C57">
              <w:rPr>
                <w:color w:val="auto"/>
              </w:rPr>
              <w:t>50</w:t>
            </w:r>
            <w:r w:rsidR="009F2065" w:rsidRPr="004C6C57">
              <w:rPr>
                <w:color w:val="auto"/>
              </w:rPr>
              <w:t>19</w:t>
            </w:r>
          </w:p>
        </w:tc>
        <w:tc>
          <w:tcPr>
            <w:tcW w:w="1026" w:type="dxa"/>
            <w:vAlign w:val="center"/>
          </w:tcPr>
          <w:p w:rsidR="00AD2379" w:rsidRPr="004C6C57" w:rsidRDefault="00A551CD" w:rsidP="006B690F">
            <w:pPr>
              <w:tabs>
                <w:tab w:val="left" w:pos="288"/>
                <w:tab w:val="left" w:pos="4752"/>
              </w:tabs>
              <w:rPr>
                <w:color w:val="auto"/>
              </w:rPr>
            </w:pPr>
            <w:r w:rsidRPr="004C6C57">
              <w:rPr>
                <w:color w:val="auto"/>
              </w:rPr>
              <w:t>1</w:t>
            </w:r>
            <w:r w:rsidR="00AD2379" w:rsidRPr="004C6C57">
              <w:rPr>
                <w:color w:val="auto"/>
              </w:rPr>
              <w:t>0%</w:t>
            </w:r>
          </w:p>
        </w:tc>
      </w:tr>
      <w:tr w:rsidR="00AD2379" w:rsidRPr="004C6C57"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4C6C57" w:rsidRDefault="00AD2379" w:rsidP="006B690F">
            <w:pPr>
              <w:tabs>
                <w:tab w:val="left" w:pos="288"/>
                <w:tab w:val="left" w:pos="4752"/>
              </w:tabs>
              <w:rPr>
                <w:b/>
                <w:color w:val="auto"/>
              </w:rPr>
            </w:pPr>
            <w:r w:rsidRPr="004C6C57">
              <w:rPr>
                <w:b/>
                <w:color w:val="auto"/>
              </w:rPr>
              <w:t>COMBINED</w:t>
            </w:r>
          </w:p>
        </w:tc>
        <w:tc>
          <w:tcPr>
            <w:tcW w:w="1026" w:type="dxa"/>
            <w:shd w:val="clear" w:color="auto" w:fill="D9D9D9"/>
            <w:vAlign w:val="center"/>
          </w:tcPr>
          <w:p w:rsidR="00AD2379" w:rsidRPr="004C6C57" w:rsidRDefault="00A551CD" w:rsidP="006B690F">
            <w:pPr>
              <w:tabs>
                <w:tab w:val="left" w:pos="288"/>
                <w:tab w:val="left" w:pos="4752"/>
              </w:tabs>
              <w:rPr>
                <w:b/>
                <w:color w:val="auto"/>
              </w:rPr>
            </w:pPr>
            <w:r w:rsidRPr="004C6C57">
              <w:rPr>
                <w:b/>
                <w:color w:val="auto"/>
              </w:rPr>
              <w:t>1</w:t>
            </w:r>
            <w:r w:rsidR="00AD2379" w:rsidRPr="004C6C57">
              <w:rPr>
                <w:b/>
                <w:color w:val="auto"/>
              </w:rPr>
              <w:t>0%</w:t>
            </w:r>
          </w:p>
        </w:tc>
      </w:tr>
    </w:tbl>
    <w:p w:rsidR="00AD2379" w:rsidRPr="004C6C57" w:rsidRDefault="00AD2379" w:rsidP="006B690F">
      <w:pPr>
        <w:pBdr>
          <w:bottom w:val="single" w:sz="12" w:space="1" w:color="auto"/>
        </w:pBdr>
        <w:tabs>
          <w:tab w:val="left" w:pos="288"/>
          <w:tab w:val="left" w:pos="4752"/>
        </w:tabs>
        <w:jc w:val="both"/>
        <w:rPr>
          <w:color w:val="auto"/>
        </w:rPr>
      </w:pPr>
    </w:p>
    <w:p w:rsidR="00AD2379" w:rsidRPr="004C6C57" w:rsidRDefault="00AD2379" w:rsidP="006B690F">
      <w:pPr>
        <w:jc w:val="both"/>
        <w:rPr>
          <w:color w:val="auto"/>
        </w:rPr>
      </w:pPr>
    </w:p>
    <w:p w:rsidR="00AD2379" w:rsidRPr="004C6C57" w:rsidRDefault="00AD2379" w:rsidP="006B690F">
      <w:pPr>
        <w:tabs>
          <w:tab w:val="left" w:pos="288"/>
          <w:tab w:val="left" w:pos="4752"/>
        </w:tabs>
        <w:jc w:val="both"/>
        <w:rPr>
          <w:color w:val="auto"/>
        </w:rPr>
      </w:pPr>
      <w:r w:rsidRPr="004C6C57">
        <w:rPr>
          <w:color w:val="auto"/>
        </w:rPr>
        <w:t>The following documentary evidence was considered:</w:t>
      </w:r>
    </w:p>
    <w:p w:rsidR="005144A7" w:rsidRPr="004C6C57" w:rsidRDefault="005144A7"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r w:rsidRPr="00F64312">
        <w:rPr>
          <w:color w:val="auto"/>
        </w:rPr>
        <w:t xml:space="preserve">Exhibit A.  DD Form 294, </w:t>
      </w:r>
      <w:r w:rsidRPr="00084F4D">
        <w:rPr>
          <w:color w:val="auto"/>
        </w:rPr>
        <w:t>dated 20</w:t>
      </w:r>
      <w:r w:rsidR="00084F4D" w:rsidRPr="00084F4D">
        <w:rPr>
          <w:color w:val="auto"/>
        </w:rPr>
        <w:t>120208</w:t>
      </w:r>
      <w:r w:rsidR="00ED7820" w:rsidRPr="00084F4D">
        <w:rPr>
          <w:color w:val="auto"/>
        </w:rPr>
        <w:t>,</w:t>
      </w:r>
      <w:r w:rsidR="00ED7820">
        <w:rPr>
          <w:color w:val="auto"/>
        </w:rPr>
        <w:t xml:space="preserve"> w/</w:t>
      </w:r>
      <w:proofErr w:type="spellStart"/>
      <w:r w:rsidR="00ED7820">
        <w:rPr>
          <w:color w:val="auto"/>
        </w:rPr>
        <w:t>atchs</w:t>
      </w:r>
      <w:proofErr w:type="spellEnd"/>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BE374A">
        <w:rPr>
          <w:color w:val="auto"/>
        </w:rPr>
        <w:t>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BE374A" w:rsidRDefault="00AD2379" w:rsidP="00BF0E94">
      <w:pPr>
        <w:tabs>
          <w:tab w:val="left" w:pos="0"/>
          <w:tab w:val="left" w:pos="4320"/>
        </w:tabs>
        <w:jc w:val="both"/>
        <w:rPr>
          <w:color w:val="auto"/>
        </w:rPr>
      </w:pPr>
      <w:r w:rsidRPr="00F64312">
        <w:rPr>
          <w:color w:val="auto"/>
        </w:rPr>
        <w:tab/>
        <w:t xml:space="preserve">           Physical Disability Board of Review</w:t>
      </w:r>
    </w:p>
    <w:p w:rsidR="00BE374A" w:rsidRDefault="00BE374A">
      <w:pPr>
        <w:spacing w:line="240" w:lineRule="auto"/>
        <w:jc w:val="left"/>
        <w:rPr>
          <w:color w:val="auto"/>
        </w:rPr>
      </w:pPr>
      <w:r>
        <w:rPr>
          <w:color w:val="auto"/>
        </w:rPr>
        <w:br w:type="page"/>
      </w:r>
    </w:p>
    <w:p w:rsidR="00BE374A" w:rsidRDefault="00BE374A" w:rsidP="00BE374A">
      <w:pPr>
        <w:sectPr w:rsidR="00BE374A">
          <w:pgSz w:w="12240" w:h="15840"/>
          <w:pgMar w:top="2160" w:right="1440" w:bottom="1440" w:left="1440" w:header="720" w:footer="720" w:gutter="0"/>
          <w:cols w:space="720"/>
        </w:sectPr>
      </w:pPr>
    </w:p>
    <w:p w:rsidR="00BE374A" w:rsidRDefault="00BE374A" w:rsidP="00BE374A">
      <w:pPr>
        <w:pStyle w:val="Header"/>
        <w:tabs>
          <w:tab w:val="left" w:pos="720"/>
        </w:tabs>
        <w:jc w:val="left"/>
      </w:pPr>
      <w:r>
        <w:lastRenderedPageBreak/>
        <w:t>SFMR-RB</w:t>
      </w:r>
      <w:r>
        <w:tab/>
      </w:r>
      <w:r>
        <w:tab/>
      </w:r>
      <w:r>
        <w:tab/>
      </w:r>
      <w:r>
        <w:tab/>
      </w:r>
      <w:r>
        <w:tab/>
      </w:r>
      <w:r>
        <w:tab/>
      </w:r>
      <w:r>
        <w:tab/>
      </w:r>
      <w:r>
        <w:tab/>
      </w:r>
      <w:r>
        <w:tab/>
      </w:r>
    </w:p>
    <w:p w:rsidR="00BE374A" w:rsidRDefault="00BE374A" w:rsidP="00BE374A">
      <w:pPr>
        <w:pStyle w:val="Header"/>
        <w:tabs>
          <w:tab w:val="left" w:pos="720"/>
        </w:tabs>
        <w:jc w:val="left"/>
      </w:pPr>
    </w:p>
    <w:p w:rsidR="00BE374A" w:rsidRDefault="00BE374A" w:rsidP="00BE374A">
      <w:pPr>
        <w:jc w:val="left"/>
      </w:pPr>
    </w:p>
    <w:p w:rsidR="00BE374A" w:rsidRDefault="00BE374A" w:rsidP="00BE374A">
      <w:pPr>
        <w:jc w:val="left"/>
      </w:pPr>
      <w:r>
        <w:t xml:space="preserve">MEMORANDUM FOR Commander, US Army Physical Disability Agency </w:t>
      </w:r>
    </w:p>
    <w:p w:rsidR="00BE374A" w:rsidRDefault="00BE374A" w:rsidP="00BE374A">
      <w:pPr>
        <w:jc w:val="left"/>
      </w:pPr>
      <w:r>
        <w:t xml:space="preserve">(TAPD-ZB </w:t>
      </w:r>
      <w:proofErr w:type="gramStart"/>
      <w:r>
        <w:t>/  )</w:t>
      </w:r>
      <w:proofErr w:type="gramEnd"/>
      <w:r>
        <w:t>, 2900 Crystal Drive, Suite 300, Arlington, VA  22202</w:t>
      </w:r>
    </w:p>
    <w:p w:rsidR="00BE374A" w:rsidRDefault="00BE374A" w:rsidP="00BE374A">
      <w:pPr>
        <w:jc w:val="left"/>
      </w:pPr>
    </w:p>
    <w:p w:rsidR="00BE374A" w:rsidRDefault="00BE374A" w:rsidP="00BE374A">
      <w:pPr>
        <w:ind w:right="-180"/>
        <w:jc w:val="left"/>
      </w:pPr>
      <w:r>
        <w:t xml:space="preserve">SUBJECT:  Department of Defense Physical Disability Board of Review Recommendation </w:t>
      </w:r>
    </w:p>
    <w:p w:rsidR="00BE374A" w:rsidRDefault="00BE374A" w:rsidP="00BE374A">
      <w:pPr>
        <w:pStyle w:val="Header"/>
        <w:tabs>
          <w:tab w:val="left" w:pos="720"/>
        </w:tabs>
        <w:jc w:val="left"/>
      </w:pPr>
      <w:proofErr w:type="gramStart"/>
      <w:r>
        <w:t>for</w:t>
      </w:r>
      <w:proofErr w:type="gramEnd"/>
      <w:r>
        <w:t xml:space="preserve"> XXXXXXXXXXXXXXXXXXXXXX, AR20120015484 (PD201200193)</w:t>
      </w:r>
    </w:p>
    <w:p w:rsidR="00BE374A" w:rsidRDefault="00BE374A" w:rsidP="00BE374A">
      <w:pPr>
        <w:pStyle w:val="Header"/>
        <w:tabs>
          <w:tab w:val="left" w:pos="720"/>
        </w:tabs>
        <w:jc w:val="left"/>
      </w:pPr>
    </w:p>
    <w:p w:rsidR="00BE374A" w:rsidRDefault="00BE374A" w:rsidP="00BE374A">
      <w:pPr>
        <w:jc w:val="left"/>
      </w:pPr>
    </w:p>
    <w:p w:rsidR="00BE374A" w:rsidRDefault="00BE374A" w:rsidP="00BE374A">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10% without </w:t>
      </w:r>
      <w:proofErr w:type="spellStart"/>
      <w:r>
        <w:t>recharacterization</w:t>
      </w:r>
      <w:proofErr w:type="spellEnd"/>
      <w:r>
        <w:t xml:space="preserve"> of the individual’s separation.  This decision is final.  </w:t>
      </w:r>
    </w:p>
    <w:p w:rsidR="00BE374A" w:rsidRDefault="00BE374A" w:rsidP="00BE374A">
      <w:pPr>
        <w:jc w:val="left"/>
      </w:pPr>
    </w:p>
    <w:p w:rsidR="00BE374A" w:rsidRDefault="00BE374A" w:rsidP="00BE374A">
      <w:pPr>
        <w:jc w:val="left"/>
      </w:pPr>
      <w:r>
        <w:t xml:space="preserve">2.  I direct that all the Department of the Army records of the individual concerned be corrected accordingly no later than 120 days from the date of this memorandum.   </w:t>
      </w:r>
    </w:p>
    <w:p w:rsidR="00BE374A" w:rsidRDefault="00BE374A" w:rsidP="00BE374A">
      <w:pPr>
        <w:jc w:val="left"/>
      </w:pPr>
    </w:p>
    <w:p w:rsidR="00BE374A" w:rsidRDefault="00BE374A" w:rsidP="00BE374A">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BE374A" w:rsidRDefault="00BE374A" w:rsidP="00BE374A">
      <w:pPr>
        <w:jc w:val="left"/>
      </w:pPr>
    </w:p>
    <w:p w:rsidR="00BE374A" w:rsidRDefault="00BE374A" w:rsidP="00BE374A">
      <w:pPr>
        <w:jc w:val="left"/>
      </w:pPr>
      <w:r>
        <w:t xml:space="preserve"> BY ORDER OF THE SECRETARY OF THE ARMY:</w:t>
      </w:r>
    </w:p>
    <w:p w:rsidR="00BE374A" w:rsidRDefault="00BE374A" w:rsidP="00BE374A">
      <w:pPr>
        <w:jc w:val="left"/>
      </w:pPr>
    </w:p>
    <w:p w:rsidR="00BE374A" w:rsidRDefault="00BE374A" w:rsidP="00BE374A">
      <w:pPr>
        <w:jc w:val="left"/>
      </w:pPr>
    </w:p>
    <w:p w:rsidR="00BE374A" w:rsidRDefault="00BE374A" w:rsidP="00BE374A">
      <w:pPr>
        <w:pStyle w:val="Header"/>
        <w:tabs>
          <w:tab w:val="left" w:pos="720"/>
        </w:tabs>
        <w:jc w:val="left"/>
      </w:pPr>
    </w:p>
    <w:p w:rsidR="00BE374A" w:rsidRDefault="00BE374A" w:rsidP="00BE374A">
      <w:pPr>
        <w:jc w:val="left"/>
      </w:pPr>
    </w:p>
    <w:p w:rsidR="00BE374A" w:rsidRDefault="00BE374A" w:rsidP="00BE374A">
      <w:pPr>
        <w:jc w:val="left"/>
      </w:pPr>
      <w:bookmarkStart w:id="0" w:name="OLE_LINK4"/>
      <w:bookmarkStart w:id="1" w:name="OLE_LINK3"/>
      <w:r>
        <w:t>Encl</w:t>
      </w:r>
      <w:r>
        <w:tab/>
      </w:r>
      <w:r>
        <w:tab/>
      </w:r>
      <w:r>
        <w:tab/>
      </w:r>
      <w:r>
        <w:tab/>
      </w:r>
      <w:r>
        <w:tab/>
      </w:r>
      <w:r>
        <w:tab/>
        <w:t xml:space="preserve">     XXXXXXXXXXXXXXXXXXXXXX</w:t>
      </w:r>
    </w:p>
    <w:p w:rsidR="00BE374A" w:rsidRDefault="00BE374A" w:rsidP="00BE374A">
      <w:pPr>
        <w:jc w:val="left"/>
      </w:pPr>
      <w:r>
        <w:tab/>
      </w:r>
      <w:r>
        <w:tab/>
      </w:r>
      <w:r>
        <w:tab/>
      </w:r>
      <w:r>
        <w:tab/>
      </w:r>
      <w:r>
        <w:tab/>
      </w:r>
      <w:r>
        <w:tab/>
        <w:t xml:space="preserve">     Deputy Assistant Secretary</w:t>
      </w:r>
    </w:p>
    <w:p w:rsidR="00BE374A" w:rsidRDefault="00BE374A" w:rsidP="00BE374A">
      <w:pPr>
        <w:jc w:val="left"/>
      </w:pPr>
      <w:r>
        <w:tab/>
      </w:r>
      <w:r>
        <w:tab/>
      </w:r>
      <w:r>
        <w:tab/>
      </w:r>
      <w:r>
        <w:tab/>
      </w:r>
      <w:r>
        <w:tab/>
      </w:r>
      <w:r>
        <w:tab/>
        <w:t xml:space="preserve">         (Army Review Boards)</w:t>
      </w:r>
      <w:bookmarkEnd w:id="0"/>
      <w:bookmarkEnd w:id="1"/>
    </w:p>
    <w:p w:rsidR="00BE374A" w:rsidRDefault="00BE374A" w:rsidP="00BE374A">
      <w:pPr>
        <w:jc w:val="left"/>
      </w:pPr>
    </w:p>
    <w:p w:rsidR="00BE374A" w:rsidRDefault="00BE374A" w:rsidP="00BE374A">
      <w:pPr>
        <w:jc w:val="left"/>
      </w:pPr>
      <w:r>
        <w:t xml:space="preserve">CF: </w:t>
      </w:r>
    </w:p>
    <w:p w:rsidR="00BE374A" w:rsidRDefault="00BE374A" w:rsidP="00BE374A">
      <w:pPr>
        <w:jc w:val="left"/>
      </w:pPr>
      <w:r>
        <w:t xml:space="preserve">(  ) </w:t>
      </w:r>
      <w:proofErr w:type="spellStart"/>
      <w:proofErr w:type="gramStart"/>
      <w:r>
        <w:t>DoD</w:t>
      </w:r>
      <w:proofErr w:type="spellEnd"/>
      <w:proofErr w:type="gramEnd"/>
      <w:r>
        <w:t xml:space="preserve"> PDBR</w:t>
      </w:r>
    </w:p>
    <w:p w:rsidR="00BE374A" w:rsidRDefault="00BE374A" w:rsidP="00BE374A">
      <w:pPr>
        <w:jc w:val="left"/>
      </w:pPr>
      <w:r>
        <w:t>(  ) DVA</w:t>
      </w:r>
    </w:p>
    <w:p w:rsidR="00AD2379" w:rsidRDefault="00AD2379" w:rsidP="00BE374A">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01E" w:rsidRDefault="00D6601E">
      <w:r>
        <w:separator/>
      </w:r>
    </w:p>
  </w:endnote>
  <w:endnote w:type="continuationSeparator" w:id="0">
    <w:p w:rsidR="00D6601E" w:rsidRDefault="00D660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D6F" w:rsidRPr="00684CE6" w:rsidRDefault="00101D6F" w:rsidP="00485194">
    <w:pPr>
      <w:pStyle w:val="Footer"/>
      <w:ind w:firstLine="4320"/>
      <w:rPr>
        <w:color w:val="auto"/>
      </w:rPr>
    </w:pPr>
    <w:r w:rsidRPr="00374247">
      <w:rPr>
        <w:color w:val="auto"/>
      </w:rPr>
      <w:t xml:space="preserve">   </w:t>
    </w:r>
    <w:fldSimple w:instr=" PAGE   \* MERGEFORMAT ">
      <w:r w:rsidR="00BE374A" w:rsidRPr="00BE374A">
        <w:rPr>
          <w:noProof/>
          <w:color w:val="auto"/>
        </w:rPr>
        <w:t>4</w:t>
      </w:r>
    </w:fldSimple>
    <w:r w:rsidRPr="00374247">
      <w:rPr>
        <w:color w:val="auto"/>
      </w:rPr>
      <w:t xml:space="preserve">                                                           </w:t>
    </w:r>
    <w:r w:rsidR="00B94D2C">
      <w:rPr>
        <w:color w:val="auto"/>
      </w:rPr>
      <w:t>PD12</w:t>
    </w:r>
    <w:r w:rsidRPr="0011468F">
      <w:rPr>
        <w:color w:val="auto"/>
      </w:rPr>
      <w:t>00</w:t>
    </w:r>
    <w:r w:rsidR="00485194" w:rsidRPr="0011468F">
      <w:rPr>
        <w:color w:val="auto"/>
      </w:rPr>
      <w:t>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01E" w:rsidRDefault="00D6601E">
      <w:r>
        <w:separator/>
      </w:r>
    </w:p>
  </w:footnote>
  <w:footnote w:type="continuationSeparator" w:id="0">
    <w:p w:rsidR="00D6601E" w:rsidRDefault="00D66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68E5"/>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2E09"/>
    <w:rsid w:val="0007488B"/>
    <w:rsid w:val="00075702"/>
    <w:rsid w:val="00075A0C"/>
    <w:rsid w:val="000775C2"/>
    <w:rsid w:val="00077835"/>
    <w:rsid w:val="000801EF"/>
    <w:rsid w:val="000806AD"/>
    <w:rsid w:val="00080BDF"/>
    <w:rsid w:val="00080C57"/>
    <w:rsid w:val="00082482"/>
    <w:rsid w:val="00082CA0"/>
    <w:rsid w:val="00084CF2"/>
    <w:rsid w:val="00084F4D"/>
    <w:rsid w:val="00084FE5"/>
    <w:rsid w:val="00085D7B"/>
    <w:rsid w:val="0008708B"/>
    <w:rsid w:val="00092619"/>
    <w:rsid w:val="00092C66"/>
    <w:rsid w:val="00092CC9"/>
    <w:rsid w:val="000949DD"/>
    <w:rsid w:val="00094E4F"/>
    <w:rsid w:val="000A0883"/>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1D6F"/>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68F"/>
    <w:rsid w:val="00114F20"/>
    <w:rsid w:val="00115078"/>
    <w:rsid w:val="0011590B"/>
    <w:rsid w:val="001209BA"/>
    <w:rsid w:val="001211AF"/>
    <w:rsid w:val="001215DF"/>
    <w:rsid w:val="001219DF"/>
    <w:rsid w:val="0012220B"/>
    <w:rsid w:val="00122ABE"/>
    <w:rsid w:val="00122FC5"/>
    <w:rsid w:val="001231DC"/>
    <w:rsid w:val="0012453A"/>
    <w:rsid w:val="0012489B"/>
    <w:rsid w:val="001272AE"/>
    <w:rsid w:val="00130756"/>
    <w:rsid w:val="001315DD"/>
    <w:rsid w:val="00134E0B"/>
    <w:rsid w:val="0013525F"/>
    <w:rsid w:val="00135385"/>
    <w:rsid w:val="00136204"/>
    <w:rsid w:val="001364D1"/>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C7B"/>
    <w:rsid w:val="00166182"/>
    <w:rsid w:val="0017038B"/>
    <w:rsid w:val="00170C94"/>
    <w:rsid w:val="00171369"/>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5E0D"/>
    <w:rsid w:val="001964CE"/>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15C0"/>
    <w:rsid w:val="001E18E0"/>
    <w:rsid w:val="001E18E2"/>
    <w:rsid w:val="001E19D0"/>
    <w:rsid w:val="001E2A30"/>
    <w:rsid w:val="001E2FF1"/>
    <w:rsid w:val="001E3FE1"/>
    <w:rsid w:val="001E41FE"/>
    <w:rsid w:val="001E4989"/>
    <w:rsid w:val="001E635C"/>
    <w:rsid w:val="001F0297"/>
    <w:rsid w:val="001F29F9"/>
    <w:rsid w:val="001F6E0B"/>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8FF"/>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3FB"/>
    <w:rsid w:val="00310CD7"/>
    <w:rsid w:val="00313C3A"/>
    <w:rsid w:val="00313D7A"/>
    <w:rsid w:val="00314517"/>
    <w:rsid w:val="003155FB"/>
    <w:rsid w:val="0032136A"/>
    <w:rsid w:val="0032149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4C0F"/>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2C81"/>
    <w:rsid w:val="003B3A77"/>
    <w:rsid w:val="003B4319"/>
    <w:rsid w:val="003B5854"/>
    <w:rsid w:val="003B6764"/>
    <w:rsid w:val="003B7A8B"/>
    <w:rsid w:val="003C247E"/>
    <w:rsid w:val="003C294B"/>
    <w:rsid w:val="003C34DF"/>
    <w:rsid w:val="003C5046"/>
    <w:rsid w:val="003C53E8"/>
    <w:rsid w:val="003C5B54"/>
    <w:rsid w:val="003C6068"/>
    <w:rsid w:val="003C7AEC"/>
    <w:rsid w:val="003D14B3"/>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194"/>
    <w:rsid w:val="0048599A"/>
    <w:rsid w:val="00486818"/>
    <w:rsid w:val="0049255F"/>
    <w:rsid w:val="00493867"/>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43B"/>
    <w:rsid w:val="004C05CF"/>
    <w:rsid w:val="004C0776"/>
    <w:rsid w:val="004C1EF8"/>
    <w:rsid w:val="004C2063"/>
    <w:rsid w:val="004C24C5"/>
    <w:rsid w:val="004C2645"/>
    <w:rsid w:val="004C47D5"/>
    <w:rsid w:val="004C4CAF"/>
    <w:rsid w:val="004C5E33"/>
    <w:rsid w:val="004C60A3"/>
    <w:rsid w:val="004C6C57"/>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166CA"/>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109D"/>
    <w:rsid w:val="0055288D"/>
    <w:rsid w:val="005533DE"/>
    <w:rsid w:val="00555259"/>
    <w:rsid w:val="00555C66"/>
    <w:rsid w:val="005569EF"/>
    <w:rsid w:val="00556BDE"/>
    <w:rsid w:val="0056056C"/>
    <w:rsid w:val="00560D57"/>
    <w:rsid w:val="00560F12"/>
    <w:rsid w:val="0056292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433E"/>
    <w:rsid w:val="00595B60"/>
    <w:rsid w:val="00595B63"/>
    <w:rsid w:val="00595BF0"/>
    <w:rsid w:val="00597E16"/>
    <w:rsid w:val="005A0B1D"/>
    <w:rsid w:val="005A1846"/>
    <w:rsid w:val="005A258C"/>
    <w:rsid w:val="005A3560"/>
    <w:rsid w:val="005A3E54"/>
    <w:rsid w:val="005A464E"/>
    <w:rsid w:val="005A62FC"/>
    <w:rsid w:val="005A6C99"/>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2FB4"/>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0F7"/>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4E9E"/>
    <w:rsid w:val="00665D75"/>
    <w:rsid w:val="0066684A"/>
    <w:rsid w:val="006708E3"/>
    <w:rsid w:val="00670DDC"/>
    <w:rsid w:val="00671389"/>
    <w:rsid w:val="00671EB4"/>
    <w:rsid w:val="00673CDC"/>
    <w:rsid w:val="0067443B"/>
    <w:rsid w:val="006770AA"/>
    <w:rsid w:val="00680450"/>
    <w:rsid w:val="0068098E"/>
    <w:rsid w:val="00680D7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48E"/>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00B2"/>
    <w:rsid w:val="006C1D6E"/>
    <w:rsid w:val="006C2EF6"/>
    <w:rsid w:val="006C3A68"/>
    <w:rsid w:val="006C3B08"/>
    <w:rsid w:val="006C6AB1"/>
    <w:rsid w:val="006C6E6B"/>
    <w:rsid w:val="006C714C"/>
    <w:rsid w:val="006C73D4"/>
    <w:rsid w:val="006D145F"/>
    <w:rsid w:val="006D2000"/>
    <w:rsid w:val="006D2D39"/>
    <w:rsid w:val="006D2F31"/>
    <w:rsid w:val="006D3C3A"/>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965"/>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7BF"/>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5A1"/>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37FE"/>
    <w:rsid w:val="008440D3"/>
    <w:rsid w:val="00844842"/>
    <w:rsid w:val="0084493E"/>
    <w:rsid w:val="00844A53"/>
    <w:rsid w:val="00844B99"/>
    <w:rsid w:val="00844DD0"/>
    <w:rsid w:val="008455C8"/>
    <w:rsid w:val="00846407"/>
    <w:rsid w:val="008465C2"/>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0765"/>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52A6"/>
    <w:rsid w:val="008E744D"/>
    <w:rsid w:val="008F19FC"/>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3588"/>
    <w:rsid w:val="009346D0"/>
    <w:rsid w:val="009369A6"/>
    <w:rsid w:val="00936E38"/>
    <w:rsid w:val="00937433"/>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A7F"/>
    <w:rsid w:val="009E4C9B"/>
    <w:rsid w:val="009E4DFC"/>
    <w:rsid w:val="009E5789"/>
    <w:rsid w:val="009E57B1"/>
    <w:rsid w:val="009E6379"/>
    <w:rsid w:val="009E6707"/>
    <w:rsid w:val="009F020F"/>
    <w:rsid w:val="009F077E"/>
    <w:rsid w:val="009F2065"/>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1CD"/>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0B19"/>
    <w:rsid w:val="00A82C52"/>
    <w:rsid w:val="00A838E8"/>
    <w:rsid w:val="00A83C15"/>
    <w:rsid w:val="00A84EC4"/>
    <w:rsid w:val="00A854E7"/>
    <w:rsid w:val="00A86530"/>
    <w:rsid w:val="00A86CB6"/>
    <w:rsid w:val="00A90D55"/>
    <w:rsid w:val="00A91E6C"/>
    <w:rsid w:val="00A9225E"/>
    <w:rsid w:val="00A944D8"/>
    <w:rsid w:val="00A959E7"/>
    <w:rsid w:val="00A95BBA"/>
    <w:rsid w:val="00A961EE"/>
    <w:rsid w:val="00A9655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1696"/>
    <w:rsid w:val="00AC37BE"/>
    <w:rsid w:val="00AC439D"/>
    <w:rsid w:val="00AC4BA1"/>
    <w:rsid w:val="00AC5522"/>
    <w:rsid w:val="00AC61F7"/>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9C2"/>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5249"/>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4D2C"/>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4A"/>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EB2"/>
    <w:rsid w:val="00C63431"/>
    <w:rsid w:val="00C64C87"/>
    <w:rsid w:val="00C65414"/>
    <w:rsid w:val="00C6590A"/>
    <w:rsid w:val="00C65BE0"/>
    <w:rsid w:val="00C665FE"/>
    <w:rsid w:val="00C71BEC"/>
    <w:rsid w:val="00C73942"/>
    <w:rsid w:val="00C73A83"/>
    <w:rsid w:val="00C74D3A"/>
    <w:rsid w:val="00C759A0"/>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057"/>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4C54"/>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3EE"/>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601E"/>
    <w:rsid w:val="00D67FD7"/>
    <w:rsid w:val="00D704E4"/>
    <w:rsid w:val="00D71A04"/>
    <w:rsid w:val="00D72410"/>
    <w:rsid w:val="00D73D53"/>
    <w:rsid w:val="00D7402C"/>
    <w:rsid w:val="00D7408A"/>
    <w:rsid w:val="00D74261"/>
    <w:rsid w:val="00D7441B"/>
    <w:rsid w:val="00D74D38"/>
    <w:rsid w:val="00D75589"/>
    <w:rsid w:val="00D76AB2"/>
    <w:rsid w:val="00D80490"/>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D286D"/>
    <w:rsid w:val="00DD2CAF"/>
    <w:rsid w:val="00DD3593"/>
    <w:rsid w:val="00DD462A"/>
    <w:rsid w:val="00DD5558"/>
    <w:rsid w:val="00DD6465"/>
    <w:rsid w:val="00DD64E0"/>
    <w:rsid w:val="00DD775C"/>
    <w:rsid w:val="00DD7BE0"/>
    <w:rsid w:val="00DE0B78"/>
    <w:rsid w:val="00DE0C67"/>
    <w:rsid w:val="00DE1551"/>
    <w:rsid w:val="00DE3555"/>
    <w:rsid w:val="00DE3AAD"/>
    <w:rsid w:val="00DE598A"/>
    <w:rsid w:val="00DE5A80"/>
    <w:rsid w:val="00DE5EB5"/>
    <w:rsid w:val="00DE6952"/>
    <w:rsid w:val="00DE6FBE"/>
    <w:rsid w:val="00DE7A7D"/>
    <w:rsid w:val="00DE7E74"/>
    <w:rsid w:val="00DF071B"/>
    <w:rsid w:val="00DF0E52"/>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460"/>
    <w:rsid w:val="00E54846"/>
    <w:rsid w:val="00E548FA"/>
    <w:rsid w:val="00E55CD9"/>
    <w:rsid w:val="00E57703"/>
    <w:rsid w:val="00E57ED4"/>
    <w:rsid w:val="00E57FED"/>
    <w:rsid w:val="00E6092F"/>
    <w:rsid w:val="00E6111C"/>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728"/>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4C12"/>
    <w:rsid w:val="00F75C12"/>
    <w:rsid w:val="00F764AF"/>
    <w:rsid w:val="00F76D01"/>
    <w:rsid w:val="00F80B43"/>
    <w:rsid w:val="00F80C97"/>
    <w:rsid w:val="00F81C35"/>
    <w:rsid w:val="00F82981"/>
    <w:rsid w:val="00F8311F"/>
    <w:rsid w:val="00F83248"/>
    <w:rsid w:val="00F83376"/>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b/>
      <w:bCs/>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88457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2012-04-17T15:27:00Z</cp:lastPrinted>
  <dcterms:created xsi:type="dcterms:W3CDTF">2012-09-13T15:06:00Z</dcterms:created>
  <dcterms:modified xsi:type="dcterms:W3CDTF">2012-09-13T15:06:00Z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