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816273" w:rsidRDefault="0095270D" w:rsidP="00DD5558">
      <w:pPr>
        <w:tabs>
          <w:tab w:val="right" w:pos="9360"/>
        </w:tabs>
        <w:jc w:val="both"/>
        <w:rPr>
          <w:caps/>
          <w:color w:val="auto"/>
        </w:rPr>
      </w:pPr>
      <w:r w:rsidRPr="00F64312">
        <w:rPr>
          <w:caps/>
          <w:color w:val="auto"/>
        </w:rPr>
        <w:t xml:space="preserve">NAME:  </w:t>
      </w:r>
      <w:r w:rsidR="002659E4">
        <w:rPr>
          <w:caps/>
          <w:color w:val="auto"/>
        </w:rPr>
        <w:t>XXXXXXXXXXXXX</w:t>
      </w:r>
      <w:r w:rsidR="00977979">
        <w:rPr>
          <w:caps/>
          <w:color w:val="auto"/>
        </w:rPr>
        <w:t xml:space="preserve">                                                                </w:t>
      </w:r>
      <w:r w:rsidR="00971208">
        <w:rPr>
          <w:caps/>
          <w:color w:val="auto"/>
        </w:rPr>
        <w:tab/>
      </w:r>
      <w:r w:rsidRPr="00816273">
        <w:rPr>
          <w:caps/>
          <w:color w:val="auto"/>
        </w:rPr>
        <w:t xml:space="preserve">BRANCH OF SERVICE:  </w:t>
      </w:r>
      <w:r w:rsidR="00DF70F4" w:rsidRPr="00816273">
        <w:rPr>
          <w:caps/>
          <w:color w:val="auto"/>
        </w:rPr>
        <w:t>Army</w:t>
      </w:r>
    </w:p>
    <w:p w:rsidR="0095270D" w:rsidRPr="00F64312" w:rsidRDefault="0095270D" w:rsidP="00DD5558">
      <w:pPr>
        <w:tabs>
          <w:tab w:val="right" w:pos="9360"/>
        </w:tabs>
        <w:jc w:val="both"/>
        <w:rPr>
          <w:color w:val="auto"/>
        </w:rPr>
      </w:pPr>
      <w:r w:rsidRPr="00816273">
        <w:rPr>
          <w:caps/>
          <w:color w:val="auto"/>
        </w:rPr>
        <w:t>CASE NUMBER:  PD</w:t>
      </w:r>
      <w:r w:rsidR="001657BE" w:rsidRPr="00816273">
        <w:rPr>
          <w:caps/>
          <w:color w:val="auto"/>
        </w:rPr>
        <w:t>12</w:t>
      </w:r>
      <w:r w:rsidRPr="00816273">
        <w:rPr>
          <w:caps/>
          <w:color w:val="auto"/>
        </w:rPr>
        <w:t>00</w:t>
      </w:r>
      <w:r w:rsidR="00280F19" w:rsidRPr="00816273">
        <w:rPr>
          <w:caps/>
          <w:color w:val="auto"/>
        </w:rPr>
        <w:t>179</w:t>
      </w:r>
      <w:r w:rsidR="00DD5558" w:rsidRPr="00816273">
        <w:rPr>
          <w:color w:val="auto"/>
        </w:rPr>
        <w:tab/>
      </w:r>
      <w:r w:rsidR="0018208F" w:rsidRPr="001017CF">
        <w:rPr>
          <w:color w:val="auto"/>
        </w:rPr>
        <w:t>SE</w:t>
      </w:r>
      <w:r w:rsidRPr="001017CF">
        <w:rPr>
          <w:color w:val="auto"/>
        </w:rPr>
        <w:t>PARATION DATE:  200</w:t>
      </w:r>
      <w:r w:rsidR="00280F19" w:rsidRPr="001017CF">
        <w:rPr>
          <w:color w:val="auto"/>
        </w:rPr>
        <w:t>40128</w:t>
      </w:r>
    </w:p>
    <w:p w:rsidR="00E245AD" w:rsidRDefault="0095270D" w:rsidP="0095270D">
      <w:pPr>
        <w:pBdr>
          <w:bottom w:val="single" w:sz="12" w:space="1" w:color="auto"/>
        </w:pBdr>
        <w:tabs>
          <w:tab w:val="left" w:pos="288"/>
          <w:tab w:val="left" w:pos="4752"/>
        </w:tabs>
        <w:jc w:val="both"/>
        <w:rPr>
          <w:caps/>
          <w:color w:val="auto"/>
        </w:rPr>
      </w:pPr>
      <w:r w:rsidRPr="00F64312">
        <w:rPr>
          <w:caps/>
          <w:color w:val="auto"/>
        </w:rPr>
        <w:t>BOARD DATE:  2012</w:t>
      </w:r>
      <w:r w:rsidR="00A54298">
        <w:rPr>
          <w:caps/>
          <w:color w:val="auto"/>
        </w:rPr>
        <w:t>0823</w:t>
      </w:r>
    </w:p>
    <w:p w:rsidR="00977979" w:rsidRDefault="00977979" w:rsidP="0095270D">
      <w:pPr>
        <w:pBdr>
          <w:bottom w:val="single" w:sz="12" w:space="1" w:color="auto"/>
        </w:pBdr>
        <w:tabs>
          <w:tab w:val="left" w:pos="288"/>
          <w:tab w:val="left" w:pos="4752"/>
        </w:tabs>
        <w:jc w:val="both"/>
        <w:rPr>
          <w:caps/>
          <w:color w:val="auto"/>
        </w:rPr>
      </w:pPr>
    </w:p>
    <w:p w:rsidR="00AD2379" w:rsidRPr="00F64312" w:rsidRDefault="00AD2379" w:rsidP="00BF0E94">
      <w:pPr>
        <w:tabs>
          <w:tab w:val="left" w:pos="288"/>
          <w:tab w:val="left" w:pos="4752"/>
        </w:tabs>
        <w:jc w:val="both"/>
        <w:rPr>
          <w:color w:val="auto"/>
        </w:rPr>
      </w:pPr>
    </w:p>
    <w:p w:rsidR="0066684A" w:rsidRPr="00DD71F7" w:rsidRDefault="00AD2379" w:rsidP="00DD71F7">
      <w:pPr>
        <w:tabs>
          <w:tab w:val="left" w:pos="288"/>
          <w:tab w:val="left" w:pos="4752"/>
        </w:tabs>
        <w:jc w:val="both"/>
        <w:rPr>
          <w:color w:val="auto"/>
          <w:szCs w:val="24"/>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F64312">
        <w:rPr>
          <w:color w:val="auto"/>
        </w:rPr>
        <w:t xml:space="preserve">an </w:t>
      </w:r>
      <w:r w:rsidR="00A70270" w:rsidRPr="00280F19">
        <w:rPr>
          <w:color w:val="auto"/>
        </w:rPr>
        <w:t xml:space="preserve">active </w:t>
      </w:r>
      <w:r w:rsidR="00A70270" w:rsidRPr="00971208">
        <w:rPr>
          <w:color w:val="auto"/>
        </w:rPr>
        <w:t>duty</w:t>
      </w:r>
      <w:r w:rsidRPr="00971208">
        <w:rPr>
          <w:color w:val="auto"/>
        </w:rPr>
        <w:t xml:space="preserve"> </w:t>
      </w:r>
      <w:r w:rsidR="00280F19" w:rsidRPr="00971208">
        <w:rPr>
          <w:color w:val="auto"/>
        </w:rPr>
        <w:t>CPL</w:t>
      </w:r>
      <w:r w:rsidR="0017172C" w:rsidRPr="00971208">
        <w:rPr>
          <w:color w:val="auto"/>
        </w:rPr>
        <w:t>/E-</w:t>
      </w:r>
      <w:r w:rsidR="00971208" w:rsidRPr="00971208">
        <w:rPr>
          <w:color w:val="auto"/>
        </w:rPr>
        <w:t>4</w:t>
      </w:r>
      <w:r w:rsidRPr="00280F19">
        <w:rPr>
          <w:color w:val="auto"/>
        </w:rPr>
        <w:t xml:space="preserve"> (</w:t>
      </w:r>
      <w:r w:rsidR="00280F19" w:rsidRPr="00280F19">
        <w:rPr>
          <w:color w:val="auto"/>
        </w:rPr>
        <w:t>91W</w:t>
      </w:r>
      <w:r w:rsidR="00112F44" w:rsidRPr="00280F19">
        <w:rPr>
          <w:color w:val="auto"/>
        </w:rPr>
        <w:t xml:space="preserve">, </w:t>
      </w:r>
      <w:r w:rsidR="00280F19">
        <w:rPr>
          <w:color w:val="auto"/>
        </w:rPr>
        <w:t>Combat Medic</w:t>
      </w:r>
      <w:r w:rsidR="00A70270" w:rsidRPr="00F64312">
        <w:rPr>
          <w:color w:val="auto"/>
        </w:rPr>
        <w:t>)</w:t>
      </w:r>
      <w:r w:rsidR="00565636" w:rsidRPr="00F64312">
        <w:rPr>
          <w:color w:val="auto"/>
        </w:rPr>
        <w:t>,</w:t>
      </w:r>
      <w:r w:rsidR="00A70270" w:rsidRPr="00F64312">
        <w:rPr>
          <w:color w:val="auto"/>
        </w:rPr>
        <w:t xml:space="preserve"> </w:t>
      </w:r>
      <w:r w:rsidRPr="00F64312">
        <w:rPr>
          <w:color w:val="auto"/>
        </w:rPr>
        <w:t>medically separated for</w:t>
      </w:r>
      <w:r w:rsidR="0031271A">
        <w:rPr>
          <w:color w:val="auto"/>
        </w:rPr>
        <w:t xml:space="preserve"> a left hip condition, </w:t>
      </w:r>
      <w:r w:rsidR="0031271A" w:rsidRPr="00DD71F7">
        <w:rPr>
          <w:color w:val="auto"/>
        </w:rPr>
        <w:t>a bilateral knee condition</w:t>
      </w:r>
      <w:r w:rsidR="00280F19" w:rsidRPr="00DD71F7">
        <w:rPr>
          <w:color w:val="auto"/>
        </w:rPr>
        <w:t xml:space="preserve"> and </w:t>
      </w:r>
      <w:r w:rsidR="00C51D13">
        <w:rPr>
          <w:color w:val="auto"/>
        </w:rPr>
        <w:t xml:space="preserve">a </w:t>
      </w:r>
      <w:r w:rsidR="0031271A" w:rsidRPr="00DD71F7">
        <w:rPr>
          <w:color w:val="auto"/>
        </w:rPr>
        <w:t>p</w:t>
      </w:r>
      <w:r w:rsidR="00971208">
        <w:rPr>
          <w:color w:val="auto"/>
        </w:rPr>
        <w:t>ost</w:t>
      </w:r>
      <w:r w:rsidR="00524B24">
        <w:rPr>
          <w:color w:val="auto"/>
        </w:rPr>
        <w:t>traumatic migraine headache condition</w:t>
      </w:r>
      <w:r w:rsidR="0021565F" w:rsidRPr="00DD71F7">
        <w:rPr>
          <w:color w:val="auto"/>
          <w:szCs w:val="24"/>
        </w:rPr>
        <w:t>.</w:t>
      </w:r>
      <w:r w:rsidR="006D5E1E" w:rsidRPr="00DD71F7">
        <w:rPr>
          <w:color w:val="auto"/>
          <w:szCs w:val="24"/>
        </w:rPr>
        <w:t xml:space="preserve">  </w:t>
      </w:r>
      <w:r w:rsidR="00971208">
        <w:rPr>
          <w:color w:val="000000" w:themeColor="text1"/>
          <w:szCs w:val="24"/>
        </w:rPr>
        <w:t>The CI</w:t>
      </w:r>
      <w:r w:rsidR="0031271A" w:rsidRPr="00DD71F7">
        <w:rPr>
          <w:color w:val="000000" w:themeColor="text1"/>
          <w:szCs w:val="24"/>
        </w:rPr>
        <w:t xml:space="preserve"> </w:t>
      </w:r>
      <w:r w:rsidR="00971208">
        <w:rPr>
          <w:color w:val="000000" w:themeColor="text1"/>
          <w:szCs w:val="24"/>
        </w:rPr>
        <w:t xml:space="preserve">did </w:t>
      </w:r>
      <w:r w:rsidR="0031271A" w:rsidRPr="00DD71F7">
        <w:rPr>
          <w:color w:val="000000" w:themeColor="text1"/>
          <w:szCs w:val="24"/>
        </w:rPr>
        <w:t xml:space="preserve">not respond adequately to </w:t>
      </w:r>
      <w:r w:rsidR="00FF7152">
        <w:rPr>
          <w:color w:val="000000" w:themeColor="text1"/>
          <w:szCs w:val="24"/>
        </w:rPr>
        <w:t xml:space="preserve">conservative </w:t>
      </w:r>
      <w:r w:rsidR="0031271A" w:rsidRPr="00DD71F7">
        <w:rPr>
          <w:color w:val="000000" w:themeColor="text1"/>
          <w:szCs w:val="24"/>
        </w:rPr>
        <w:t>treatment</w:t>
      </w:r>
      <w:r w:rsidR="00C51D13">
        <w:rPr>
          <w:color w:val="000000" w:themeColor="text1"/>
          <w:szCs w:val="24"/>
        </w:rPr>
        <w:t xml:space="preserve"> for the left hip, right knee and the migraine headache condition and did not respond to operative treatment for the left </w:t>
      </w:r>
      <w:r w:rsidR="00C51D13" w:rsidRPr="00971208">
        <w:rPr>
          <w:color w:val="000000" w:themeColor="text1"/>
          <w:szCs w:val="24"/>
        </w:rPr>
        <w:t>knee</w:t>
      </w:r>
      <w:r w:rsidR="00FF7152" w:rsidRPr="00971208">
        <w:rPr>
          <w:color w:val="000000" w:themeColor="text1"/>
          <w:szCs w:val="24"/>
        </w:rPr>
        <w:t xml:space="preserve"> </w:t>
      </w:r>
      <w:r w:rsidR="00C51D13" w:rsidRPr="00971208">
        <w:rPr>
          <w:color w:val="000000" w:themeColor="text1"/>
          <w:szCs w:val="24"/>
        </w:rPr>
        <w:t>condition</w:t>
      </w:r>
      <w:r w:rsidR="00971208" w:rsidRPr="00971208">
        <w:rPr>
          <w:color w:val="000000" w:themeColor="text1"/>
          <w:szCs w:val="24"/>
        </w:rPr>
        <w:t xml:space="preserve"> to meet the physical requirements of </w:t>
      </w:r>
      <w:r w:rsidR="0031271A" w:rsidRPr="00971208">
        <w:rPr>
          <w:color w:val="000000" w:themeColor="text1"/>
          <w:szCs w:val="24"/>
        </w:rPr>
        <w:t xml:space="preserve">his Military Occupational Specialty (MOS) or </w:t>
      </w:r>
      <w:r w:rsidR="00971208">
        <w:rPr>
          <w:color w:val="000000" w:themeColor="text1"/>
          <w:szCs w:val="24"/>
        </w:rPr>
        <w:t>satisfy</w:t>
      </w:r>
      <w:r w:rsidR="0031271A" w:rsidRPr="00971208">
        <w:rPr>
          <w:color w:val="000000" w:themeColor="text1"/>
          <w:szCs w:val="24"/>
        </w:rPr>
        <w:t xml:space="preserve"> physical fitness standards.</w:t>
      </w:r>
      <w:r w:rsidR="0031271A" w:rsidRPr="00DD71F7">
        <w:rPr>
          <w:color w:val="000000" w:themeColor="text1"/>
          <w:szCs w:val="24"/>
        </w:rPr>
        <w:t xml:space="preserve">  </w:t>
      </w:r>
      <w:r w:rsidR="009C12A1" w:rsidRPr="00DD71F7">
        <w:rPr>
          <w:color w:val="auto"/>
        </w:rPr>
        <w:t xml:space="preserve">He </w:t>
      </w:r>
      <w:r w:rsidR="00F566B7" w:rsidRPr="00DD71F7">
        <w:rPr>
          <w:color w:val="auto"/>
        </w:rPr>
        <w:t xml:space="preserve">was issued a permanent </w:t>
      </w:r>
      <w:r w:rsidR="0031271A" w:rsidRPr="00DD71F7">
        <w:rPr>
          <w:color w:val="auto"/>
        </w:rPr>
        <w:t>P3</w:t>
      </w:r>
      <w:r w:rsidR="00971208">
        <w:rPr>
          <w:color w:val="auto"/>
        </w:rPr>
        <w:t>/</w:t>
      </w:r>
      <w:r w:rsidR="00F566B7" w:rsidRPr="00DD71F7">
        <w:rPr>
          <w:color w:val="auto"/>
        </w:rPr>
        <w:t>L3 profile and</w:t>
      </w:r>
      <w:r w:rsidR="009C12A1" w:rsidRPr="00DD71F7">
        <w:rPr>
          <w:color w:val="auto"/>
        </w:rPr>
        <w:t xml:space="preserve"> </w:t>
      </w:r>
      <w:r w:rsidR="00F566B7" w:rsidRPr="00DD71F7">
        <w:rPr>
          <w:color w:val="auto"/>
        </w:rPr>
        <w:t>referred for a Medical Evaluation Board (MEB).</w:t>
      </w:r>
      <w:r w:rsidR="006D5E1E" w:rsidRPr="00DD71F7">
        <w:rPr>
          <w:color w:val="auto"/>
        </w:rPr>
        <w:t xml:space="preserve">  </w:t>
      </w:r>
      <w:r w:rsidR="00C51D13">
        <w:rPr>
          <w:color w:val="auto"/>
        </w:rPr>
        <w:t xml:space="preserve">Chronic </w:t>
      </w:r>
      <w:r w:rsidR="004F1570">
        <w:rPr>
          <w:color w:val="000000" w:themeColor="text1"/>
          <w:szCs w:val="24"/>
        </w:rPr>
        <w:t>l</w:t>
      </w:r>
      <w:r w:rsidR="00C51D13">
        <w:rPr>
          <w:color w:val="000000" w:themeColor="text1"/>
          <w:szCs w:val="24"/>
        </w:rPr>
        <w:t>eft hip pain</w:t>
      </w:r>
      <w:r w:rsidR="00E245AD">
        <w:rPr>
          <w:color w:val="000000" w:themeColor="text1"/>
          <w:szCs w:val="24"/>
        </w:rPr>
        <w:t>, bilateral knee pain, and migraine headaches were</w:t>
      </w:r>
      <w:r w:rsidR="0031271A" w:rsidRPr="00DD71F7">
        <w:rPr>
          <w:color w:val="000000" w:themeColor="text1"/>
          <w:szCs w:val="24"/>
        </w:rPr>
        <w:t xml:space="preserve"> forwarded to the Physical Evaluation Board (PEB) as medically unacceptable IAW AR 40-501.  One other condition, as identified in the rating chart below, was forwarded on the MEB submission as </w:t>
      </w:r>
      <w:r w:rsidR="00C51D13">
        <w:rPr>
          <w:color w:val="000000" w:themeColor="text1"/>
          <w:szCs w:val="24"/>
        </w:rPr>
        <w:t>a medically acceptable condition</w:t>
      </w:r>
      <w:r w:rsidR="0031271A" w:rsidRPr="00DD71F7">
        <w:rPr>
          <w:color w:val="000000" w:themeColor="text1"/>
          <w:szCs w:val="24"/>
        </w:rPr>
        <w:t xml:space="preserve">.  </w:t>
      </w:r>
      <w:r w:rsidRPr="00DD71F7">
        <w:rPr>
          <w:color w:val="auto"/>
        </w:rPr>
        <w:t xml:space="preserve">The PEB adjudicated the </w:t>
      </w:r>
      <w:r w:rsidR="00816273">
        <w:rPr>
          <w:color w:val="auto"/>
        </w:rPr>
        <w:t>left hip condition</w:t>
      </w:r>
      <w:r w:rsidR="006F5F41">
        <w:rPr>
          <w:color w:val="auto"/>
        </w:rPr>
        <w:t xml:space="preserve"> and</w:t>
      </w:r>
      <w:r w:rsidR="00816273" w:rsidRPr="00DD71F7">
        <w:rPr>
          <w:color w:val="auto"/>
        </w:rPr>
        <w:t xml:space="preserve"> bilateral knee condition</w:t>
      </w:r>
      <w:r w:rsidR="001017CF">
        <w:rPr>
          <w:color w:val="auto"/>
        </w:rPr>
        <w:t>,</w:t>
      </w:r>
      <w:r w:rsidR="00C51D13">
        <w:rPr>
          <w:color w:val="auto"/>
        </w:rPr>
        <w:t xml:space="preserve"> </w:t>
      </w:r>
      <w:r w:rsidR="00DD71F7" w:rsidRPr="00DD71F7">
        <w:rPr>
          <w:color w:val="auto"/>
        </w:rPr>
        <w:t xml:space="preserve">bundling them </w:t>
      </w:r>
      <w:r w:rsidR="001017CF">
        <w:rPr>
          <w:color w:val="auto"/>
        </w:rPr>
        <w:t>together,</w:t>
      </w:r>
      <w:r w:rsidR="00DD71F7" w:rsidRPr="00DD71F7">
        <w:rPr>
          <w:color w:val="auto"/>
        </w:rPr>
        <w:t xml:space="preserve"> </w:t>
      </w:r>
      <w:r w:rsidR="00E46D90" w:rsidRPr="00DD71F7">
        <w:rPr>
          <w:color w:val="auto"/>
        </w:rPr>
        <w:t>and</w:t>
      </w:r>
      <w:r w:rsidR="00E245AD">
        <w:rPr>
          <w:color w:val="auto"/>
        </w:rPr>
        <w:t xml:space="preserve"> </w:t>
      </w:r>
      <w:r w:rsidR="00133770">
        <w:rPr>
          <w:color w:val="auto"/>
        </w:rPr>
        <w:t xml:space="preserve">the </w:t>
      </w:r>
      <w:r w:rsidR="00E245AD">
        <w:rPr>
          <w:color w:val="auto"/>
        </w:rPr>
        <w:t>chronic</w:t>
      </w:r>
      <w:r w:rsidR="00E46D90" w:rsidRPr="00DD71F7">
        <w:rPr>
          <w:color w:val="auto"/>
        </w:rPr>
        <w:t xml:space="preserve"> </w:t>
      </w:r>
      <w:r w:rsidR="00E245AD">
        <w:rPr>
          <w:color w:val="auto"/>
        </w:rPr>
        <w:t>posttraumatic migraine h</w:t>
      </w:r>
      <w:r w:rsidR="00AA2172" w:rsidRPr="00DD71F7">
        <w:rPr>
          <w:color w:val="auto"/>
        </w:rPr>
        <w:t>eadaches</w:t>
      </w:r>
      <w:r w:rsidR="008530E3" w:rsidRPr="00DD71F7">
        <w:rPr>
          <w:color w:val="auto"/>
        </w:rPr>
        <w:t xml:space="preserve"> condition as unfitting, rated </w:t>
      </w:r>
      <w:r w:rsidR="00AA2172" w:rsidRPr="00DD71F7">
        <w:rPr>
          <w:color w:val="auto"/>
        </w:rPr>
        <w:t>10</w:t>
      </w:r>
      <w:r w:rsidRPr="00DD71F7">
        <w:rPr>
          <w:color w:val="auto"/>
        </w:rPr>
        <w:t>%</w:t>
      </w:r>
      <w:r w:rsidR="000C647D" w:rsidRPr="00DD71F7">
        <w:rPr>
          <w:color w:val="auto"/>
        </w:rPr>
        <w:t xml:space="preserve"> and </w:t>
      </w:r>
      <w:r w:rsidR="00AA2172" w:rsidRPr="00DD71F7">
        <w:rPr>
          <w:color w:val="auto"/>
        </w:rPr>
        <w:t>10</w:t>
      </w:r>
      <w:r w:rsidR="000C647D" w:rsidRPr="00DD71F7">
        <w:rPr>
          <w:color w:val="auto"/>
        </w:rPr>
        <w:t>%</w:t>
      </w:r>
      <w:r w:rsidR="00DD71F7">
        <w:rPr>
          <w:color w:val="auto"/>
        </w:rPr>
        <w:t xml:space="preserve"> respectively</w:t>
      </w:r>
      <w:r w:rsidRPr="00DD71F7">
        <w:rPr>
          <w:color w:val="auto"/>
        </w:rPr>
        <w:t xml:space="preserve">, </w:t>
      </w:r>
      <w:r w:rsidR="00E46D90" w:rsidRPr="00DD71F7">
        <w:rPr>
          <w:color w:val="auto"/>
        </w:rPr>
        <w:t xml:space="preserve">with application of the </w:t>
      </w:r>
      <w:r w:rsidR="0065689C" w:rsidRPr="00DD71F7">
        <w:rPr>
          <w:color w:val="auto"/>
          <w:szCs w:val="24"/>
        </w:rPr>
        <w:t>US Army Physical Disability Agency (USAPDA) pain policy</w:t>
      </w:r>
      <w:r w:rsidR="00BF72CA" w:rsidRPr="00DD71F7">
        <w:rPr>
          <w:color w:val="auto"/>
        </w:rPr>
        <w:t>.</w:t>
      </w:r>
      <w:r w:rsidR="00165C7B" w:rsidRPr="00DD71F7">
        <w:rPr>
          <w:color w:val="auto"/>
        </w:rPr>
        <w:t xml:space="preserve">  </w:t>
      </w:r>
      <w:r w:rsidR="00380601" w:rsidRPr="00DD71F7">
        <w:rPr>
          <w:color w:val="auto"/>
        </w:rPr>
        <w:t>The remaining condition w</w:t>
      </w:r>
      <w:r w:rsidR="00AA2172" w:rsidRPr="00DD71F7">
        <w:rPr>
          <w:color w:val="auto"/>
        </w:rPr>
        <w:t>as</w:t>
      </w:r>
      <w:r w:rsidR="00380601" w:rsidRPr="00DD71F7">
        <w:rPr>
          <w:color w:val="auto"/>
        </w:rPr>
        <w:t xml:space="preserve"> determined to be not unfitting</w:t>
      </w:r>
      <w:r w:rsidR="00AA2172" w:rsidRPr="00DD71F7">
        <w:rPr>
          <w:color w:val="auto"/>
        </w:rPr>
        <w:t>.</w:t>
      </w:r>
      <w:r w:rsidR="00A61A0A" w:rsidRPr="00DD71F7">
        <w:rPr>
          <w:color w:val="auto"/>
        </w:rPr>
        <w:t xml:space="preserve"> </w:t>
      </w:r>
      <w:r w:rsidR="00DD71F7" w:rsidRPr="00DD71F7">
        <w:rPr>
          <w:color w:val="auto"/>
          <w:szCs w:val="24"/>
        </w:rPr>
        <w:t xml:space="preserve"> </w:t>
      </w:r>
      <w:r w:rsidRPr="00DD71F7">
        <w:rPr>
          <w:color w:val="auto"/>
        </w:rPr>
        <w:t xml:space="preserve">The CI made no appeals, and was medically separated with </w:t>
      </w:r>
      <w:r w:rsidR="0066684A" w:rsidRPr="00DD71F7">
        <w:rPr>
          <w:color w:val="auto"/>
        </w:rPr>
        <w:t xml:space="preserve">a </w:t>
      </w:r>
      <w:r w:rsidR="00AA2172" w:rsidRPr="00DD71F7">
        <w:rPr>
          <w:color w:val="auto"/>
        </w:rPr>
        <w:t>20</w:t>
      </w:r>
      <w:r w:rsidR="0066684A" w:rsidRPr="00DD71F7">
        <w:rPr>
          <w:color w:val="auto"/>
        </w:rPr>
        <w:t xml:space="preserve">% </w:t>
      </w:r>
      <w:r w:rsidRPr="00DD71F7">
        <w:rPr>
          <w:color w:val="auto"/>
        </w:rPr>
        <w:t>disability rating.</w:t>
      </w:r>
      <w:r w:rsidR="00165C7B" w:rsidRPr="00F64312">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F64312" w:rsidRDefault="00AD2379" w:rsidP="00E212DF">
      <w:pPr>
        <w:tabs>
          <w:tab w:val="left" w:pos="288"/>
          <w:tab w:val="left" w:pos="4752"/>
        </w:tabs>
        <w:jc w:val="both"/>
        <w:rPr>
          <w:rFonts w:eastAsia="Cambria"/>
          <w:color w:val="auto"/>
          <w:szCs w:val="24"/>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855E73" w:rsidRPr="00F64312">
        <w:rPr>
          <w:rFonts w:eastAsia="Cambria"/>
          <w:color w:val="auto"/>
          <w:szCs w:val="24"/>
        </w:rPr>
        <w:t xml:space="preserve">The CI attached a </w:t>
      </w:r>
      <w:r w:rsidR="00AA2172">
        <w:rPr>
          <w:rFonts w:eastAsia="Cambria"/>
          <w:color w:val="auto"/>
          <w:szCs w:val="24"/>
        </w:rPr>
        <w:t>2</w:t>
      </w:r>
      <w:r w:rsidR="00855E73" w:rsidRPr="00F64312">
        <w:rPr>
          <w:rFonts w:eastAsia="Cambria"/>
          <w:color w:val="auto"/>
          <w:szCs w:val="24"/>
        </w:rPr>
        <w:t xml:space="preserve"> page </w:t>
      </w:r>
      <w:r w:rsidR="00855E73" w:rsidRPr="00AA2172">
        <w:rPr>
          <w:rFonts w:eastAsia="Cambria"/>
          <w:color w:val="auto"/>
          <w:szCs w:val="24"/>
        </w:rPr>
        <w:t>statement</w:t>
      </w:r>
      <w:r w:rsidR="00855E73" w:rsidRPr="00F64312">
        <w:rPr>
          <w:rFonts w:eastAsia="Cambria"/>
          <w:color w:val="auto"/>
          <w:szCs w:val="24"/>
        </w:rPr>
        <w:t xml:space="preserve"> pleading to </w:t>
      </w:r>
      <w:r w:rsidR="00855E73" w:rsidRPr="00AA2172">
        <w:rPr>
          <w:rFonts w:eastAsia="Cambria"/>
          <w:color w:val="auto"/>
          <w:szCs w:val="24"/>
        </w:rPr>
        <w:t>his</w:t>
      </w:r>
      <w:r w:rsidR="00855E73" w:rsidRPr="00F64312">
        <w:rPr>
          <w:rFonts w:eastAsia="Cambria"/>
          <w:color w:val="auto"/>
          <w:szCs w:val="24"/>
        </w:rPr>
        <w:t xml:space="preserve"> application which was reviewed by the Board and considered in its recommendations.</w:t>
      </w:r>
      <w:r w:rsidR="006B690F" w:rsidRPr="00F64312">
        <w:rPr>
          <w:rFonts w:eastAsia="Cambria"/>
          <w:color w:val="auto"/>
          <w:szCs w:val="24"/>
        </w:rPr>
        <w:t xml:space="preserve">  </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DD71F7" w:rsidRDefault="009239C0" w:rsidP="00DD5558">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971208">
        <w:rPr>
          <w:color w:val="auto"/>
        </w:rPr>
        <w:t>.</w:t>
      </w:r>
      <w:r w:rsidRPr="00C566C9">
        <w:rPr>
          <w:color w:val="auto"/>
        </w:rPr>
        <w:t>”</w:t>
      </w:r>
      <w:r>
        <w:rPr>
          <w:color w:val="auto"/>
        </w:rPr>
        <w:t xml:space="preserve">  </w:t>
      </w:r>
      <w:r w:rsidR="00971208">
        <w:rPr>
          <w:color w:val="auto"/>
        </w:rPr>
        <w:t xml:space="preserve">The </w:t>
      </w:r>
      <w:r w:rsidRPr="009239C0">
        <w:rPr>
          <w:color w:val="auto"/>
        </w:rPr>
        <w:t xml:space="preserve">ratings for unfitting conditions will be reviewed in all cases.  </w:t>
      </w:r>
      <w:r w:rsidRPr="00A315C5">
        <w:rPr>
          <w:color w:val="auto"/>
        </w:rPr>
        <w:t xml:space="preserve">The condition </w:t>
      </w:r>
      <w:r w:rsidR="00E245AD">
        <w:rPr>
          <w:color w:val="auto"/>
        </w:rPr>
        <w:t>left knee p</w:t>
      </w:r>
      <w:r w:rsidR="00A315C5" w:rsidRPr="00A315C5">
        <w:rPr>
          <w:color w:val="auto"/>
        </w:rPr>
        <w:t xml:space="preserve">artial </w:t>
      </w:r>
      <w:r w:rsidR="00E245AD" w:rsidRPr="00A315C5">
        <w:rPr>
          <w:color w:val="auto"/>
        </w:rPr>
        <w:t xml:space="preserve">anterior cruciate ligament tears </w:t>
      </w:r>
      <w:r w:rsidRPr="00A315C5">
        <w:rPr>
          <w:color w:val="auto"/>
        </w:rPr>
        <w:t>as requested for consideration meet</w:t>
      </w:r>
      <w:r w:rsidR="00A315C5" w:rsidRPr="00A315C5">
        <w:rPr>
          <w:color w:val="auto"/>
        </w:rPr>
        <w:t>s</w:t>
      </w:r>
      <w:r w:rsidRPr="00A315C5">
        <w:rPr>
          <w:color w:val="auto"/>
        </w:rPr>
        <w:t xml:space="preserve"> the criteria prescribed in DoDI 6040.44 for Board purview; and, </w:t>
      </w:r>
      <w:r w:rsidR="00A315C5" w:rsidRPr="00A315C5">
        <w:rPr>
          <w:color w:val="auto"/>
        </w:rPr>
        <w:t>is</w:t>
      </w:r>
      <w:r w:rsidRPr="00A315C5">
        <w:rPr>
          <w:color w:val="auto"/>
        </w:rPr>
        <w:t xml:space="preserve"> addressed below, in addition to a review </w:t>
      </w:r>
      <w:r w:rsidR="00DD71F7">
        <w:rPr>
          <w:color w:val="auto"/>
        </w:rPr>
        <w:t xml:space="preserve">of the ratings for the </w:t>
      </w:r>
      <w:r w:rsidRPr="00A315C5">
        <w:rPr>
          <w:color w:val="auto"/>
        </w:rPr>
        <w:t xml:space="preserve">unfitting conditions.  The other requested conditions </w:t>
      </w:r>
      <w:r w:rsidR="00A315C5" w:rsidRPr="00A315C5">
        <w:rPr>
          <w:color w:val="auto"/>
        </w:rPr>
        <w:t xml:space="preserve">for </w:t>
      </w:r>
      <w:r w:rsidR="00E245AD">
        <w:rPr>
          <w:color w:val="auto"/>
        </w:rPr>
        <w:t>the right e</w:t>
      </w:r>
      <w:r w:rsidR="00E245AD" w:rsidRPr="00A315C5">
        <w:rPr>
          <w:color w:val="auto"/>
        </w:rPr>
        <w:t>ye</w:t>
      </w:r>
      <w:r w:rsidR="00133770">
        <w:rPr>
          <w:color w:val="auto"/>
        </w:rPr>
        <w:t xml:space="preserve"> and </w:t>
      </w:r>
      <w:r w:rsidR="00E245AD">
        <w:rPr>
          <w:color w:val="auto"/>
        </w:rPr>
        <w:t>l</w:t>
      </w:r>
      <w:r w:rsidR="00E245AD" w:rsidRPr="00A315C5">
        <w:rPr>
          <w:color w:val="auto"/>
        </w:rPr>
        <w:t xml:space="preserve">eft </w:t>
      </w:r>
      <w:r w:rsidR="00E245AD">
        <w:rPr>
          <w:color w:val="auto"/>
        </w:rPr>
        <w:t>f</w:t>
      </w:r>
      <w:r w:rsidR="00E245AD" w:rsidRPr="00A315C5">
        <w:rPr>
          <w:color w:val="auto"/>
        </w:rPr>
        <w:t xml:space="preserve">ibula </w:t>
      </w:r>
      <w:r w:rsidR="00E245AD">
        <w:rPr>
          <w:color w:val="auto"/>
        </w:rPr>
        <w:t>f</w:t>
      </w:r>
      <w:r w:rsidR="00E245AD" w:rsidRPr="00A315C5">
        <w:rPr>
          <w:color w:val="auto"/>
        </w:rPr>
        <w:t>racture</w:t>
      </w:r>
      <w:r w:rsidR="00E245AD">
        <w:rPr>
          <w:color w:val="auto"/>
        </w:rPr>
        <w:t xml:space="preserve"> </w:t>
      </w:r>
      <w:r w:rsidRPr="00A315C5">
        <w:rPr>
          <w:color w:val="auto"/>
        </w:rPr>
        <w:t xml:space="preserve">are not within the Board’s purview. </w:t>
      </w:r>
      <w:r w:rsidR="00DD71F7">
        <w:rPr>
          <w:color w:val="auto"/>
        </w:rPr>
        <w:t xml:space="preserve"> </w:t>
      </w:r>
      <w:r w:rsidRPr="00C566C9">
        <w:rPr>
          <w:color w:val="auto"/>
        </w:rPr>
        <w:t>Any condition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consideration by </w:t>
      </w:r>
      <w:r w:rsidR="00971208">
        <w:rPr>
          <w:color w:val="auto"/>
        </w:rPr>
        <w:t xml:space="preserve">the Army Board for </w:t>
      </w:r>
      <w:r w:rsidRPr="0046717D">
        <w:rPr>
          <w:color w:val="auto"/>
        </w:rPr>
        <w:t>Correction of Military Records</w:t>
      </w:r>
      <w:r w:rsidR="00DD71F7">
        <w:rPr>
          <w:color w:val="auto"/>
        </w:rPr>
        <w:t>.</w:t>
      </w:r>
    </w:p>
    <w:p w:rsidR="000B63CF" w:rsidRPr="00F64312" w:rsidRDefault="000B63CF" w:rsidP="000B63CF">
      <w:pPr>
        <w:pBdr>
          <w:bottom w:val="single" w:sz="12" w:space="1" w:color="auto"/>
        </w:pBdr>
        <w:tabs>
          <w:tab w:val="left" w:pos="288"/>
          <w:tab w:val="left" w:pos="4752"/>
        </w:tabs>
        <w:jc w:val="both"/>
        <w:rPr>
          <w:color w:val="auto"/>
        </w:rPr>
      </w:pPr>
    </w:p>
    <w:p w:rsidR="00971208" w:rsidRDefault="00971208">
      <w:pPr>
        <w:spacing w:line="240" w:lineRule="auto"/>
        <w:jc w:val="left"/>
        <w:rPr>
          <w:color w:val="auto"/>
        </w:rPr>
      </w:pPr>
      <w:r>
        <w:rPr>
          <w:color w:val="auto"/>
        </w:rPr>
        <w:br w:type="page"/>
      </w:r>
    </w:p>
    <w:p w:rsidR="00AD2379" w:rsidRPr="00F64312" w:rsidRDefault="00AD2379" w:rsidP="00BF0E94">
      <w:pPr>
        <w:jc w:val="left"/>
        <w:rPr>
          <w:color w:val="auto"/>
        </w:rPr>
      </w:pPr>
      <w:r w:rsidRPr="00F64312">
        <w:rPr>
          <w:color w:val="auto"/>
          <w:u w:val="single"/>
        </w:rPr>
        <w:lastRenderedPageBreak/>
        <w:t>RATING COMPARISON</w:t>
      </w:r>
      <w:r w:rsidRPr="00F64312">
        <w:rPr>
          <w:color w:val="auto"/>
        </w:rPr>
        <w:t xml:space="preserve">: </w:t>
      </w:r>
      <w:r w:rsidR="00855E73" w:rsidRPr="00F64312">
        <w:rPr>
          <w:color w:val="auto"/>
        </w:rPr>
        <w:t xml:space="preserve"> </w:t>
      </w:r>
    </w:p>
    <w:p w:rsidR="00F90376" w:rsidRPr="00F64312" w:rsidRDefault="00F90376" w:rsidP="00F90376">
      <w:pPr>
        <w:jc w:val="both"/>
        <w:rPr>
          <w:color w:val="auto"/>
        </w:rPr>
      </w:pPr>
    </w:p>
    <w:tbl>
      <w:tblPr>
        <w:tblStyle w:val="TableGrid"/>
        <w:tblW w:w="9369" w:type="dxa"/>
        <w:jc w:val="center"/>
        <w:tblInd w:w="9" w:type="dxa"/>
        <w:tblLayout w:type="fixed"/>
        <w:tblLook w:val="00A0"/>
      </w:tblPr>
      <w:tblGrid>
        <w:gridCol w:w="2166"/>
        <w:gridCol w:w="1081"/>
        <w:gridCol w:w="724"/>
        <w:gridCol w:w="2608"/>
        <w:gridCol w:w="1080"/>
        <w:gridCol w:w="720"/>
        <w:gridCol w:w="990"/>
      </w:tblGrid>
      <w:tr w:rsidR="00F90376" w:rsidRPr="00F64312" w:rsidTr="0031271A">
        <w:trPr>
          <w:trHeight w:val="170"/>
          <w:jc w:val="center"/>
        </w:trPr>
        <w:tc>
          <w:tcPr>
            <w:tcW w:w="3971" w:type="dxa"/>
            <w:gridSpan w:val="3"/>
            <w:tcBorders>
              <w:right w:val="thinThickThinSmallGap" w:sz="24" w:space="0" w:color="auto"/>
            </w:tcBorders>
            <w:shd w:val="clear" w:color="auto" w:fill="D9D9D9"/>
            <w:vAlign w:val="center"/>
          </w:tcPr>
          <w:p w:rsidR="00F90376" w:rsidRPr="00F64312" w:rsidRDefault="00F90376" w:rsidP="00C4582E">
            <w:pPr>
              <w:spacing w:line="180" w:lineRule="exact"/>
              <w:contextualSpacing/>
              <w:rPr>
                <w:rFonts w:cs="Calibri"/>
                <w:b/>
                <w:color w:val="auto"/>
                <w:sz w:val="18"/>
              </w:rPr>
            </w:pPr>
            <w:r w:rsidRPr="00F64312">
              <w:rPr>
                <w:b/>
                <w:color w:val="auto"/>
                <w:sz w:val="18"/>
              </w:rPr>
              <w:t xml:space="preserve">Service PEB – Dated </w:t>
            </w:r>
            <w:r w:rsidRPr="00C4582E">
              <w:rPr>
                <w:b/>
                <w:color w:val="auto"/>
                <w:sz w:val="18"/>
              </w:rPr>
              <w:t>200</w:t>
            </w:r>
            <w:r w:rsidR="00C4582E" w:rsidRPr="00C4582E">
              <w:rPr>
                <w:b/>
                <w:color w:val="auto"/>
                <w:sz w:val="18"/>
              </w:rPr>
              <w:t>31126</w:t>
            </w:r>
          </w:p>
        </w:tc>
        <w:tc>
          <w:tcPr>
            <w:tcW w:w="5398" w:type="dxa"/>
            <w:gridSpan w:val="4"/>
            <w:tcBorders>
              <w:left w:val="thinThickThinSmallGap" w:sz="24" w:space="0" w:color="auto"/>
            </w:tcBorders>
            <w:shd w:val="clear" w:color="auto" w:fill="D9D9D9"/>
            <w:vAlign w:val="center"/>
          </w:tcPr>
          <w:p w:rsidR="00F90376" w:rsidRPr="00F64312" w:rsidRDefault="00F90376" w:rsidP="008004D3">
            <w:pPr>
              <w:spacing w:line="180" w:lineRule="exact"/>
              <w:contextualSpacing/>
              <w:rPr>
                <w:rFonts w:cs="Calibri"/>
                <w:b/>
                <w:color w:val="auto"/>
                <w:sz w:val="18"/>
              </w:rPr>
            </w:pPr>
            <w:r w:rsidRPr="00F64312">
              <w:rPr>
                <w:b/>
                <w:color w:val="auto"/>
                <w:sz w:val="18"/>
              </w:rPr>
              <w:t>VA (</w:t>
            </w:r>
            <w:r w:rsidR="008004D3">
              <w:rPr>
                <w:b/>
                <w:color w:val="auto"/>
                <w:sz w:val="18"/>
              </w:rPr>
              <w:t>7</w:t>
            </w:r>
            <w:r w:rsidRPr="00F64312">
              <w:rPr>
                <w:b/>
                <w:color w:val="auto"/>
                <w:sz w:val="18"/>
              </w:rPr>
              <w:t xml:space="preserve"> Mos. </w:t>
            </w:r>
            <w:r w:rsidRPr="008004D3">
              <w:rPr>
                <w:b/>
                <w:color w:val="auto"/>
                <w:sz w:val="18"/>
              </w:rPr>
              <w:t>Pre</w:t>
            </w:r>
            <w:r w:rsidRPr="00F64312">
              <w:rPr>
                <w:b/>
                <w:color w:val="auto"/>
                <w:sz w:val="18"/>
              </w:rPr>
              <w:t xml:space="preserve">-Separation) – All Effective Date </w:t>
            </w:r>
            <w:r w:rsidRPr="00A43A71">
              <w:rPr>
                <w:b/>
                <w:color w:val="auto"/>
                <w:sz w:val="18"/>
              </w:rPr>
              <w:t>200</w:t>
            </w:r>
            <w:r w:rsidR="00A43A71" w:rsidRPr="00A43A71">
              <w:rPr>
                <w:b/>
                <w:color w:val="auto"/>
                <w:sz w:val="18"/>
              </w:rPr>
              <w:t>40129</w:t>
            </w:r>
          </w:p>
        </w:tc>
      </w:tr>
      <w:tr w:rsidR="00F90376" w:rsidRPr="00F64312" w:rsidTr="0031271A">
        <w:trPr>
          <w:trHeight w:val="97"/>
          <w:jc w:val="center"/>
        </w:trPr>
        <w:tc>
          <w:tcPr>
            <w:tcW w:w="2166" w:type="dxa"/>
            <w:tcBorders>
              <w:bottom w:val="single" w:sz="4" w:space="0" w:color="000000"/>
              <w:right w:val="single" w:sz="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1" w:type="dxa"/>
            <w:tcBorders>
              <w:left w:val="single" w:sz="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4" w:type="dxa"/>
            <w:tcBorders>
              <w:bottom w:val="single" w:sz="4" w:space="0" w:color="000000"/>
              <w:right w:val="thinThickThinSmallGap" w:sz="2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2608" w:type="dxa"/>
            <w:tcBorders>
              <w:left w:val="thinThickThinSmallGap" w:sz="2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99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Exam</w:t>
            </w:r>
          </w:p>
        </w:tc>
      </w:tr>
      <w:tr w:rsidR="00DD71F7" w:rsidRPr="00F64312" w:rsidTr="00CC3A64">
        <w:trPr>
          <w:trHeight w:val="370"/>
          <w:jc w:val="center"/>
        </w:trPr>
        <w:tc>
          <w:tcPr>
            <w:tcW w:w="2166" w:type="dxa"/>
            <w:tcBorders>
              <w:right w:val="single" w:sz="4" w:space="0" w:color="auto"/>
            </w:tcBorders>
            <w:shd w:val="clear" w:color="auto" w:fill="FFFFFF"/>
            <w:vAlign w:val="center"/>
          </w:tcPr>
          <w:p w:rsidR="00DD71F7" w:rsidRPr="001017CF" w:rsidRDefault="00DD71F7" w:rsidP="00CC3A64">
            <w:pPr>
              <w:spacing w:line="180" w:lineRule="exact"/>
              <w:contextualSpacing/>
              <w:jc w:val="left"/>
              <w:rPr>
                <w:color w:val="auto"/>
                <w:sz w:val="18"/>
              </w:rPr>
            </w:pPr>
            <w:r w:rsidRPr="001017CF">
              <w:rPr>
                <w:color w:val="auto"/>
                <w:sz w:val="18"/>
              </w:rPr>
              <w:t>Chronic Post Traumatic Migraine Headaches</w:t>
            </w:r>
          </w:p>
        </w:tc>
        <w:tc>
          <w:tcPr>
            <w:tcW w:w="1081" w:type="dxa"/>
            <w:tcBorders>
              <w:left w:val="single" w:sz="4" w:space="0" w:color="auto"/>
            </w:tcBorders>
            <w:shd w:val="clear" w:color="auto" w:fill="FFFFFF"/>
            <w:vAlign w:val="center"/>
          </w:tcPr>
          <w:p w:rsidR="00DD71F7" w:rsidRPr="001017CF" w:rsidRDefault="00DD71F7" w:rsidP="00CC3A64">
            <w:pPr>
              <w:spacing w:line="180" w:lineRule="exact"/>
              <w:contextualSpacing/>
              <w:rPr>
                <w:color w:val="auto"/>
                <w:sz w:val="18"/>
              </w:rPr>
            </w:pPr>
            <w:r w:rsidRPr="001017CF">
              <w:rPr>
                <w:color w:val="auto"/>
                <w:sz w:val="18"/>
              </w:rPr>
              <w:t>8045-9304</w:t>
            </w:r>
          </w:p>
        </w:tc>
        <w:tc>
          <w:tcPr>
            <w:tcW w:w="724" w:type="dxa"/>
            <w:tcBorders>
              <w:right w:val="thinThickThinSmallGap" w:sz="24" w:space="0" w:color="auto"/>
            </w:tcBorders>
            <w:shd w:val="clear" w:color="auto" w:fill="FFFFFF"/>
            <w:vAlign w:val="center"/>
          </w:tcPr>
          <w:p w:rsidR="00DD71F7" w:rsidRPr="001017CF" w:rsidRDefault="00DD71F7" w:rsidP="00CC3A64">
            <w:pPr>
              <w:spacing w:line="180" w:lineRule="exact"/>
              <w:rPr>
                <w:color w:val="auto"/>
                <w:sz w:val="18"/>
              </w:rPr>
            </w:pPr>
            <w:r w:rsidRPr="001017CF">
              <w:rPr>
                <w:color w:val="auto"/>
                <w:sz w:val="18"/>
              </w:rPr>
              <w:t>10%</w:t>
            </w:r>
          </w:p>
        </w:tc>
        <w:tc>
          <w:tcPr>
            <w:tcW w:w="2608" w:type="dxa"/>
            <w:tcBorders>
              <w:left w:val="thinThickThinSmallGap" w:sz="24" w:space="0" w:color="auto"/>
            </w:tcBorders>
            <w:shd w:val="clear" w:color="auto" w:fill="FFFFFF"/>
            <w:vAlign w:val="center"/>
          </w:tcPr>
          <w:p w:rsidR="00DD71F7" w:rsidRPr="001017CF" w:rsidRDefault="00DD71F7" w:rsidP="00CC3A64">
            <w:pPr>
              <w:spacing w:line="180" w:lineRule="exact"/>
              <w:contextualSpacing/>
              <w:jc w:val="left"/>
              <w:rPr>
                <w:color w:val="auto"/>
                <w:sz w:val="18"/>
              </w:rPr>
            </w:pPr>
            <w:r w:rsidRPr="001017CF">
              <w:rPr>
                <w:color w:val="auto"/>
                <w:sz w:val="18"/>
              </w:rPr>
              <w:t>Chronic Post Traumatic Migraine Headaches</w:t>
            </w:r>
          </w:p>
        </w:tc>
        <w:tc>
          <w:tcPr>
            <w:tcW w:w="1080" w:type="dxa"/>
            <w:shd w:val="clear" w:color="auto" w:fill="FFFFFF"/>
            <w:vAlign w:val="center"/>
          </w:tcPr>
          <w:p w:rsidR="00DD71F7" w:rsidRPr="001017CF" w:rsidRDefault="00DD71F7" w:rsidP="00CC3A64">
            <w:pPr>
              <w:spacing w:line="180" w:lineRule="exact"/>
              <w:contextualSpacing/>
              <w:rPr>
                <w:color w:val="auto"/>
                <w:sz w:val="18"/>
              </w:rPr>
            </w:pPr>
            <w:r w:rsidRPr="001017CF">
              <w:rPr>
                <w:color w:val="auto"/>
                <w:sz w:val="18"/>
              </w:rPr>
              <w:t>8100</w:t>
            </w:r>
          </w:p>
        </w:tc>
        <w:tc>
          <w:tcPr>
            <w:tcW w:w="720" w:type="dxa"/>
            <w:shd w:val="clear" w:color="auto" w:fill="FFFFFF"/>
            <w:vAlign w:val="center"/>
          </w:tcPr>
          <w:p w:rsidR="00DD71F7" w:rsidRPr="001017CF" w:rsidRDefault="00DD71F7" w:rsidP="00CC3A64">
            <w:pPr>
              <w:spacing w:line="180" w:lineRule="exact"/>
              <w:contextualSpacing/>
              <w:rPr>
                <w:color w:val="auto"/>
                <w:sz w:val="18"/>
              </w:rPr>
            </w:pPr>
            <w:r w:rsidRPr="001017CF">
              <w:rPr>
                <w:color w:val="auto"/>
                <w:sz w:val="18"/>
              </w:rPr>
              <w:t>30%</w:t>
            </w:r>
          </w:p>
        </w:tc>
        <w:tc>
          <w:tcPr>
            <w:tcW w:w="990" w:type="dxa"/>
            <w:shd w:val="clear" w:color="auto" w:fill="FFFFFF"/>
            <w:vAlign w:val="center"/>
          </w:tcPr>
          <w:p w:rsidR="00DD71F7" w:rsidRPr="00F64312" w:rsidRDefault="00DD71F7" w:rsidP="00CC3A64">
            <w:pPr>
              <w:spacing w:line="180" w:lineRule="exact"/>
              <w:contextualSpacing/>
              <w:rPr>
                <w:color w:val="auto"/>
                <w:sz w:val="18"/>
                <w:highlight w:val="yellow"/>
              </w:rPr>
            </w:pPr>
            <w:r w:rsidRPr="00423125">
              <w:rPr>
                <w:color w:val="auto"/>
                <w:sz w:val="18"/>
              </w:rPr>
              <w:t>20030610</w:t>
            </w:r>
          </w:p>
        </w:tc>
      </w:tr>
      <w:tr w:rsidR="0031271A" w:rsidRPr="00F64312" w:rsidTr="00DD71F7">
        <w:trPr>
          <w:trHeight w:val="440"/>
          <w:jc w:val="center"/>
        </w:trPr>
        <w:tc>
          <w:tcPr>
            <w:tcW w:w="2166" w:type="dxa"/>
            <w:tcBorders>
              <w:right w:val="single" w:sz="4" w:space="0" w:color="auto"/>
            </w:tcBorders>
            <w:shd w:val="clear" w:color="auto" w:fill="FFFFFF"/>
            <w:vAlign w:val="center"/>
          </w:tcPr>
          <w:p w:rsidR="0031271A" w:rsidRPr="001017CF" w:rsidRDefault="0031271A" w:rsidP="00C4582E">
            <w:pPr>
              <w:spacing w:line="180" w:lineRule="exact"/>
              <w:contextualSpacing/>
              <w:jc w:val="left"/>
              <w:rPr>
                <w:rFonts w:cs="Calibri"/>
                <w:color w:val="auto"/>
                <w:sz w:val="18"/>
              </w:rPr>
            </w:pPr>
            <w:r w:rsidRPr="001017CF">
              <w:rPr>
                <w:rFonts w:cs="Calibri"/>
                <w:color w:val="auto"/>
                <w:sz w:val="18"/>
              </w:rPr>
              <w:t>Chronic Pain Left Hip and Bilateral Knees</w:t>
            </w:r>
          </w:p>
        </w:tc>
        <w:tc>
          <w:tcPr>
            <w:tcW w:w="1081" w:type="dxa"/>
            <w:tcBorders>
              <w:left w:val="single" w:sz="4" w:space="0" w:color="auto"/>
            </w:tcBorders>
            <w:shd w:val="clear" w:color="auto" w:fill="FFFFFF"/>
            <w:vAlign w:val="center"/>
          </w:tcPr>
          <w:p w:rsidR="0031271A" w:rsidRPr="001017CF" w:rsidRDefault="0031271A" w:rsidP="006B690F">
            <w:pPr>
              <w:spacing w:line="180" w:lineRule="exact"/>
              <w:contextualSpacing/>
              <w:rPr>
                <w:rFonts w:cs="Calibri"/>
                <w:color w:val="auto"/>
                <w:sz w:val="18"/>
              </w:rPr>
            </w:pPr>
            <w:r w:rsidRPr="001017CF">
              <w:rPr>
                <w:rFonts w:cs="Calibri"/>
                <w:color w:val="auto"/>
                <w:sz w:val="18"/>
              </w:rPr>
              <w:t>5009-5003</w:t>
            </w:r>
          </w:p>
        </w:tc>
        <w:tc>
          <w:tcPr>
            <w:tcW w:w="724" w:type="dxa"/>
            <w:tcBorders>
              <w:right w:val="thinThickThinSmallGap" w:sz="24" w:space="0" w:color="auto"/>
            </w:tcBorders>
            <w:shd w:val="clear" w:color="auto" w:fill="FFFFFF"/>
            <w:vAlign w:val="center"/>
          </w:tcPr>
          <w:p w:rsidR="0031271A" w:rsidRPr="001017CF" w:rsidRDefault="0031271A" w:rsidP="006B690F">
            <w:pPr>
              <w:spacing w:line="180" w:lineRule="exact"/>
              <w:rPr>
                <w:rFonts w:cs="Calibri"/>
                <w:color w:val="auto"/>
                <w:sz w:val="18"/>
              </w:rPr>
            </w:pPr>
            <w:r w:rsidRPr="001017CF">
              <w:rPr>
                <w:rFonts w:cs="Calibri"/>
                <w:color w:val="auto"/>
                <w:sz w:val="18"/>
              </w:rPr>
              <w:t>10%</w:t>
            </w:r>
          </w:p>
        </w:tc>
        <w:tc>
          <w:tcPr>
            <w:tcW w:w="2608" w:type="dxa"/>
            <w:tcBorders>
              <w:left w:val="thinThickThinSmallGap" w:sz="24" w:space="0" w:color="auto"/>
            </w:tcBorders>
            <w:shd w:val="clear" w:color="auto" w:fill="FFFFFF"/>
            <w:vAlign w:val="center"/>
          </w:tcPr>
          <w:p w:rsidR="0031271A" w:rsidRPr="001017CF" w:rsidRDefault="0031271A" w:rsidP="0017172C">
            <w:pPr>
              <w:spacing w:line="180" w:lineRule="exact"/>
              <w:contextualSpacing/>
              <w:jc w:val="left"/>
              <w:rPr>
                <w:rFonts w:cs="Calibri"/>
                <w:color w:val="auto"/>
                <w:sz w:val="18"/>
              </w:rPr>
            </w:pPr>
            <w:r w:rsidRPr="001017CF">
              <w:rPr>
                <w:rFonts w:cs="Calibri"/>
                <w:color w:val="auto"/>
                <w:sz w:val="18"/>
              </w:rPr>
              <w:t>Tenosynovitis Left Hip</w:t>
            </w:r>
          </w:p>
        </w:tc>
        <w:tc>
          <w:tcPr>
            <w:tcW w:w="1080" w:type="dxa"/>
            <w:shd w:val="clear" w:color="auto" w:fill="FFFFFF"/>
            <w:vAlign w:val="center"/>
          </w:tcPr>
          <w:p w:rsidR="0031271A" w:rsidRPr="00F64312" w:rsidRDefault="0031271A" w:rsidP="0017172C">
            <w:pPr>
              <w:spacing w:line="180" w:lineRule="exact"/>
              <w:contextualSpacing/>
              <w:rPr>
                <w:rFonts w:cs="Calibri"/>
                <w:color w:val="auto"/>
                <w:sz w:val="18"/>
              </w:rPr>
            </w:pPr>
            <w:r>
              <w:rPr>
                <w:rFonts w:cs="Calibri"/>
                <w:color w:val="auto"/>
                <w:sz w:val="18"/>
              </w:rPr>
              <w:t>5024</w:t>
            </w:r>
          </w:p>
        </w:tc>
        <w:tc>
          <w:tcPr>
            <w:tcW w:w="720" w:type="dxa"/>
            <w:shd w:val="clear" w:color="auto" w:fill="FFFFFF"/>
            <w:vAlign w:val="center"/>
          </w:tcPr>
          <w:p w:rsidR="0031271A" w:rsidRPr="00F64312" w:rsidRDefault="0031271A" w:rsidP="0017172C">
            <w:pPr>
              <w:spacing w:line="180" w:lineRule="exact"/>
              <w:contextualSpacing/>
              <w:rPr>
                <w:rFonts w:cs="Calibri"/>
                <w:color w:val="auto"/>
                <w:sz w:val="18"/>
              </w:rPr>
            </w:pPr>
            <w:r>
              <w:rPr>
                <w:rFonts w:cs="Calibri"/>
                <w:color w:val="auto"/>
                <w:sz w:val="18"/>
              </w:rPr>
              <w:t>10%</w:t>
            </w:r>
          </w:p>
        </w:tc>
        <w:tc>
          <w:tcPr>
            <w:tcW w:w="990" w:type="dxa"/>
            <w:shd w:val="clear" w:color="auto" w:fill="FFFFFF"/>
            <w:vAlign w:val="center"/>
          </w:tcPr>
          <w:p w:rsidR="0031271A" w:rsidRPr="00F64312" w:rsidRDefault="0031271A" w:rsidP="00423125">
            <w:pPr>
              <w:spacing w:line="180" w:lineRule="exact"/>
              <w:contextualSpacing/>
              <w:rPr>
                <w:rFonts w:cs="Calibri"/>
                <w:color w:val="auto"/>
                <w:sz w:val="18"/>
              </w:rPr>
            </w:pPr>
            <w:r w:rsidRPr="00423125">
              <w:rPr>
                <w:color w:val="auto"/>
                <w:sz w:val="18"/>
              </w:rPr>
              <w:t>20030610</w:t>
            </w:r>
          </w:p>
        </w:tc>
      </w:tr>
      <w:tr w:rsidR="00DD71F7" w:rsidRPr="00F64312" w:rsidTr="00CC3A64">
        <w:trPr>
          <w:trHeight w:val="540"/>
          <w:jc w:val="center"/>
        </w:trPr>
        <w:tc>
          <w:tcPr>
            <w:tcW w:w="2166" w:type="dxa"/>
            <w:tcBorders>
              <w:right w:val="single" w:sz="4" w:space="0" w:color="auto"/>
            </w:tcBorders>
            <w:shd w:val="clear" w:color="auto" w:fill="FFFFFF"/>
            <w:vAlign w:val="center"/>
          </w:tcPr>
          <w:p w:rsidR="00DD71F7" w:rsidRPr="001017CF" w:rsidRDefault="00DD71F7" w:rsidP="00CC3A64">
            <w:pPr>
              <w:spacing w:line="180" w:lineRule="exact"/>
              <w:contextualSpacing/>
              <w:jc w:val="left"/>
              <w:rPr>
                <w:color w:val="auto"/>
                <w:sz w:val="18"/>
              </w:rPr>
            </w:pPr>
            <w:r w:rsidRPr="001017CF">
              <w:rPr>
                <w:color w:val="auto"/>
                <w:sz w:val="18"/>
              </w:rPr>
              <w:t>Left Knee Partial Anterior Cruciate Ligament Tear</w:t>
            </w:r>
          </w:p>
        </w:tc>
        <w:tc>
          <w:tcPr>
            <w:tcW w:w="1805" w:type="dxa"/>
            <w:gridSpan w:val="2"/>
            <w:tcBorders>
              <w:left w:val="single" w:sz="4" w:space="0" w:color="auto"/>
              <w:right w:val="thinThickThinSmallGap" w:sz="24" w:space="0" w:color="auto"/>
            </w:tcBorders>
            <w:shd w:val="clear" w:color="auto" w:fill="FFFFFF"/>
            <w:vAlign w:val="center"/>
          </w:tcPr>
          <w:p w:rsidR="00DD71F7" w:rsidRPr="001017CF" w:rsidRDefault="00DD71F7" w:rsidP="00CC3A64">
            <w:pPr>
              <w:spacing w:line="180" w:lineRule="exact"/>
              <w:rPr>
                <w:color w:val="auto"/>
                <w:sz w:val="18"/>
              </w:rPr>
            </w:pPr>
            <w:r w:rsidRPr="001017CF">
              <w:rPr>
                <w:color w:val="auto"/>
                <w:sz w:val="18"/>
              </w:rPr>
              <w:t>Not Unfitting</w:t>
            </w:r>
          </w:p>
        </w:tc>
        <w:tc>
          <w:tcPr>
            <w:tcW w:w="2608" w:type="dxa"/>
            <w:tcBorders>
              <w:left w:val="thinThickThinSmallGap" w:sz="24" w:space="0" w:color="auto"/>
            </w:tcBorders>
            <w:shd w:val="clear" w:color="auto" w:fill="FFFFFF"/>
            <w:vAlign w:val="center"/>
          </w:tcPr>
          <w:p w:rsidR="00DD71F7" w:rsidRPr="001017CF" w:rsidRDefault="00610A1E" w:rsidP="0017172C">
            <w:pPr>
              <w:spacing w:line="180" w:lineRule="exact"/>
              <w:contextualSpacing/>
              <w:jc w:val="left"/>
              <w:rPr>
                <w:color w:val="auto"/>
                <w:sz w:val="18"/>
              </w:rPr>
            </w:pPr>
            <w:r w:rsidRPr="001017CF">
              <w:rPr>
                <w:color w:val="auto"/>
                <w:sz w:val="18"/>
              </w:rPr>
              <w:t>Chondromalacia</w:t>
            </w:r>
            <w:r w:rsidR="00DD71F7" w:rsidRPr="001017CF">
              <w:rPr>
                <w:color w:val="auto"/>
                <w:sz w:val="18"/>
              </w:rPr>
              <w:t xml:space="preserve"> Patellae with Posterior Cruciate Ligament Tear, Left Knee</w:t>
            </w:r>
          </w:p>
        </w:tc>
        <w:tc>
          <w:tcPr>
            <w:tcW w:w="1080" w:type="dxa"/>
            <w:shd w:val="clear" w:color="auto" w:fill="FFFFFF"/>
            <w:vAlign w:val="center"/>
          </w:tcPr>
          <w:p w:rsidR="00DD71F7" w:rsidRPr="00F64312" w:rsidRDefault="00DD71F7" w:rsidP="0017172C">
            <w:pPr>
              <w:spacing w:line="180" w:lineRule="exact"/>
              <w:contextualSpacing/>
              <w:rPr>
                <w:color w:val="auto"/>
                <w:sz w:val="18"/>
              </w:rPr>
            </w:pPr>
            <w:r>
              <w:rPr>
                <w:color w:val="auto"/>
                <w:sz w:val="18"/>
              </w:rPr>
              <w:t>5257</w:t>
            </w:r>
          </w:p>
        </w:tc>
        <w:tc>
          <w:tcPr>
            <w:tcW w:w="720" w:type="dxa"/>
            <w:shd w:val="clear" w:color="auto" w:fill="FFFFFF"/>
            <w:vAlign w:val="center"/>
          </w:tcPr>
          <w:p w:rsidR="00DD71F7" w:rsidRPr="00F64312" w:rsidRDefault="00DD71F7" w:rsidP="0017172C">
            <w:pPr>
              <w:spacing w:line="180" w:lineRule="exact"/>
              <w:contextualSpacing/>
              <w:rPr>
                <w:color w:val="auto"/>
                <w:sz w:val="18"/>
              </w:rPr>
            </w:pPr>
            <w:r>
              <w:rPr>
                <w:color w:val="auto"/>
                <w:sz w:val="18"/>
              </w:rPr>
              <w:t>10%</w:t>
            </w:r>
          </w:p>
        </w:tc>
        <w:tc>
          <w:tcPr>
            <w:tcW w:w="990" w:type="dxa"/>
            <w:shd w:val="clear" w:color="auto" w:fill="FFFFFF"/>
            <w:vAlign w:val="center"/>
          </w:tcPr>
          <w:p w:rsidR="00DD71F7" w:rsidRPr="00F64312" w:rsidRDefault="00DD71F7" w:rsidP="0017172C">
            <w:pPr>
              <w:spacing w:line="180" w:lineRule="exact"/>
              <w:contextualSpacing/>
              <w:rPr>
                <w:color w:val="auto"/>
                <w:sz w:val="18"/>
                <w:highlight w:val="yellow"/>
              </w:rPr>
            </w:pPr>
            <w:r w:rsidRPr="00423125">
              <w:rPr>
                <w:color w:val="auto"/>
                <w:sz w:val="18"/>
              </w:rPr>
              <w:t>20030610</w:t>
            </w:r>
          </w:p>
        </w:tc>
      </w:tr>
      <w:tr w:rsidR="0031271A" w:rsidRPr="00F64312" w:rsidTr="00CC3A64">
        <w:trPr>
          <w:trHeight w:val="118"/>
          <w:jc w:val="center"/>
        </w:trPr>
        <w:tc>
          <w:tcPr>
            <w:tcW w:w="3971" w:type="dxa"/>
            <w:gridSpan w:val="3"/>
            <w:vMerge w:val="restart"/>
            <w:tcBorders>
              <w:right w:val="thinThickThinSmallGap" w:sz="24" w:space="0" w:color="auto"/>
            </w:tcBorders>
            <w:shd w:val="clear" w:color="auto" w:fill="FFFFFF"/>
            <w:vAlign w:val="center"/>
          </w:tcPr>
          <w:p w:rsidR="0031271A" w:rsidRPr="00F64312" w:rsidRDefault="0031271A" w:rsidP="00CC3A64">
            <w:pPr>
              <w:spacing w:line="180" w:lineRule="exact"/>
              <w:rPr>
                <w:color w:val="auto"/>
                <w:sz w:val="18"/>
              </w:rPr>
            </w:pPr>
            <w:r w:rsidRPr="00F64312">
              <w:rPr>
                <w:rFonts w:cs="Calibri"/>
                <w:color w:val="auto"/>
                <w:sz w:val="18"/>
                <w:szCs w:val="18"/>
              </w:rPr>
              <w:t>↓No Additional MEB/PEB Entries↓</w:t>
            </w:r>
          </w:p>
        </w:tc>
        <w:tc>
          <w:tcPr>
            <w:tcW w:w="2608" w:type="dxa"/>
            <w:tcBorders>
              <w:left w:val="thinThickThinSmallGap" w:sz="24" w:space="0" w:color="auto"/>
            </w:tcBorders>
            <w:shd w:val="clear" w:color="auto" w:fill="FFFFFF"/>
            <w:vAlign w:val="center"/>
          </w:tcPr>
          <w:p w:rsidR="0031271A" w:rsidRDefault="0031271A" w:rsidP="00CC3A64">
            <w:pPr>
              <w:spacing w:line="180" w:lineRule="exact"/>
              <w:contextualSpacing/>
              <w:jc w:val="left"/>
              <w:rPr>
                <w:color w:val="auto"/>
                <w:sz w:val="18"/>
              </w:rPr>
            </w:pPr>
            <w:r>
              <w:rPr>
                <w:color w:val="auto"/>
                <w:sz w:val="18"/>
              </w:rPr>
              <w:t xml:space="preserve">Chondromalacia Patellae with </w:t>
            </w:r>
            <w:r w:rsidRPr="001017CF">
              <w:rPr>
                <w:color w:val="auto"/>
                <w:sz w:val="18"/>
              </w:rPr>
              <w:t>Meniscal Tear, Right Knee</w:t>
            </w:r>
          </w:p>
        </w:tc>
        <w:tc>
          <w:tcPr>
            <w:tcW w:w="1080" w:type="dxa"/>
            <w:shd w:val="clear" w:color="auto" w:fill="FFFFFF"/>
            <w:vAlign w:val="center"/>
          </w:tcPr>
          <w:p w:rsidR="0031271A" w:rsidRDefault="0031271A" w:rsidP="00CC3A64">
            <w:pPr>
              <w:spacing w:line="180" w:lineRule="exact"/>
              <w:contextualSpacing/>
              <w:rPr>
                <w:color w:val="auto"/>
                <w:sz w:val="18"/>
              </w:rPr>
            </w:pPr>
            <w:r>
              <w:rPr>
                <w:color w:val="auto"/>
                <w:sz w:val="18"/>
              </w:rPr>
              <w:t>5299-5257</w:t>
            </w:r>
          </w:p>
        </w:tc>
        <w:tc>
          <w:tcPr>
            <w:tcW w:w="720" w:type="dxa"/>
            <w:shd w:val="clear" w:color="auto" w:fill="FFFFFF"/>
            <w:vAlign w:val="center"/>
          </w:tcPr>
          <w:p w:rsidR="0031271A" w:rsidRDefault="0031271A" w:rsidP="00CC3A64">
            <w:pPr>
              <w:spacing w:line="180" w:lineRule="exact"/>
              <w:contextualSpacing/>
              <w:rPr>
                <w:color w:val="auto"/>
                <w:sz w:val="18"/>
              </w:rPr>
            </w:pPr>
            <w:r>
              <w:rPr>
                <w:color w:val="auto"/>
                <w:sz w:val="18"/>
              </w:rPr>
              <w:t>20%</w:t>
            </w:r>
          </w:p>
        </w:tc>
        <w:tc>
          <w:tcPr>
            <w:tcW w:w="990" w:type="dxa"/>
            <w:shd w:val="clear" w:color="auto" w:fill="FFFFFF"/>
            <w:vAlign w:val="center"/>
          </w:tcPr>
          <w:p w:rsidR="0031271A" w:rsidRPr="00F64312" w:rsidRDefault="0031271A" w:rsidP="00CC3A64">
            <w:pPr>
              <w:spacing w:line="180" w:lineRule="exact"/>
              <w:contextualSpacing/>
              <w:rPr>
                <w:color w:val="auto"/>
                <w:sz w:val="18"/>
                <w:highlight w:val="yellow"/>
              </w:rPr>
            </w:pPr>
            <w:r w:rsidRPr="00423125">
              <w:rPr>
                <w:color w:val="auto"/>
                <w:sz w:val="18"/>
              </w:rPr>
              <w:t>20030610</w:t>
            </w:r>
          </w:p>
        </w:tc>
      </w:tr>
      <w:tr w:rsidR="0031271A" w:rsidRPr="00F64312" w:rsidTr="0031271A">
        <w:trPr>
          <w:trHeight w:val="118"/>
          <w:jc w:val="center"/>
        </w:trPr>
        <w:tc>
          <w:tcPr>
            <w:tcW w:w="3971" w:type="dxa"/>
            <w:gridSpan w:val="3"/>
            <w:vMerge/>
            <w:tcBorders>
              <w:right w:val="thinThickThinSmallGap" w:sz="24" w:space="0" w:color="auto"/>
            </w:tcBorders>
            <w:shd w:val="clear" w:color="auto" w:fill="FFFFFF"/>
            <w:vAlign w:val="center"/>
          </w:tcPr>
          <w:p w:rsidR="0031271A" w:rsidRDefault="0031271A" w:rsidP="00CC3A64">
            <w:pPr>
              <w:spacing w:line="180" w:lineRule="exact"/>
              <w:rPr>
                <w:color w:val="auto"/>
                <w:sz w:val="18"/>
              </w:rPr>
            </w:pPr>
          </w:p>
        </w:tc>
        <w:tc>
          <w:tcPr>
            <w:tcW w:w="2608" w:type="dxa"/>
            <w:tcBorders>
              <w:left w:val="thinThickThinSmallGap" w:sz="24" w:space="0" w:color="auto"/>
            </w:tcBorders>
            <w:shd w:val="clear" w:color="auto" w:fill="FFFFFF"/>
            <w:vAlign w:val="center"/>
          </w:tcPr>
          <w:p w:rsidR="0031271A" w:rsidRDefault="0031271A" w:rsidP="0017172C">
            <w:pPr>
              <w:spacing w:line="180" w:lineRule="exact"/>
              <w:contextualSpacing/>
              <w:jc w:val="left"/>
              <w:rPr>
                <w:color w:val="auto"/>
                <w:sz w:val="18"/>
              </w:rPr>
            </w:pPr>
            <w:r>
              <w:rPr>
                <w:color w:val="auto"/>
                <w:sz w:val="18"/>
              </w:rPr>
              <w:t>Post Traumatic Optic Neuropathy</w:t>
            </w:r>
          </w:p>
        </w:tc>
        <w:tc>
          <w:tcPr>
            <w:tcW w:w="1080" w:type="dxa"/>
            <w:shd w:val="clear" w:color="auto" w:fill="FFFFFF"/>
            <w:vAlign w:val="center"/>
          </w:tcPr>
          <w:p w:rsidR="0031271A" w:rsidRDefault="0031271A" w:rsidP="0017172C">
            <w:pPr>
              <w:spacing w:line="180" w:lineRule="exact"/>
              <w:contextualSpacing/>
              <w:rPr>
                <w:color w:val="auto"/>
                <w:sz w:val="18"/>
              </w:rPr>
            </w:pPr>
            <w:r>
              <w:rPr>
                <w:color w:val="auto"/>
                <w:sz w:val="18"/>
              </w:rPr>
              <w:t>6099-6080</w:t>
            </w:r>
          </w:p>
        </w:tc>
        <w:tc>
          <w:tcPr>
            <w:tcW w:w="720" w:type="dxa"/>
            <w:shd w:val="clear" w:color="auto" w:fill="FFFFFF"/>
            <w:vAlign w:val="center"/>
          </w:tcPr>
          <w:p w:rsidR="0031271A" w:rsidRDefault="0031271A" w:rsidP="0017172C">
            <w:pPr>
              <w:spacing w:line="180" w:lineRule="exact"/>
              <w:contextualSpacing/>
              <w:rPr>
                <w:color w:val="auto"/>
                <w:sz w:val="18"/>
              </w:rPr>
            </w:pPr>
            <w:r>
              <w:rPr>
                <w:color w:val="auto"/>
                <w:sz w:val="18"/>
              </w:rPr>
              <w:t>10%</w:t>
            </w:r>
          </w:p>
        </w:tc>
        <w:tc>
          <w:tcPr>
            <w:tcW w:w="990" w:type="dxa"/>
            <w:shd w:val="clear" w:color="auto" w:fill="FFFFFF"/>
            <w:vAlign w:val="center"/>
          </w:tcPr>
          <w:p w:rsidR="0031271A" w:rsidRPr="00423125" w:rsidRDefault="0031271A" w:rsidP="0017172C">
            <w:pPr>
              <w:spacing w:line="180" w:lineRule="exact"/>
              <w:contextualSpacing/>
              <w:rPr>
                <w:color w:val="auto"/>
                <w:sz w:val="18"/>
              </w:rPr>
            </w:pPr>
            <w:r>
              <w:rPr>
                <w:color w:val="auto"/>
                <w:sz w:val="18"/>
              </w:rPr>
              <w:t>20030617</w:t>
            </w:r>
          </w:p>
        </w:tc>
      </w:tr>
      <w:tr w:rsidR="0031271A" w:rsidRPr="00F64312" w:rsidTr="0031271A">
        <w:trPr>
          <w:trHeight w:val="118"/>
          <w:jc w:val="center"/>
        </w:trPr>
        <w:tc>
          <w:tcPr>
            <w:tcW w:w="3971" w:type="dxa"/>
            <w:gridSpan w:val="3"/>
            <w:vMerge/>
            <w:tcBorders>
              <w:right w:val="thinThickThinSmallGap" w:sz="24" w:space="0" w:color="auto"/>
            </w:tcBorders>
            <w:shd w:val="clear" w:color="auto" w:fill="FFFFFF"/>
            <w:vAlign w:val="center"/>
          </w:tcPr>
          <w:p w:rsidR="0031271A" w:rsidRDefault="0031271A" w:rsidP="00CC3A64">
            <w:pPr>
              <w:spacing w:line="180" w:lineRule="exact"/>
              <w:rPr>
                <w:color w:val="auto"/>
                <w:sz w:val="18"/>
              </w:rPr>
            </w:pPr>
          </w:p>
        </w:tc>
        <w:tc>
          <w:tcPr>
            <w:tcW w:w="2608" w:type="dxa"/>
            <w:tcBorders>
              <w:left w:val="thinThickThinSmallGap" w:sz="24" w:space="0" w:color="auto"/>
            </w:tcBorders>
            <w:shd w:val="clear" w:color="auto" w:fill="FFFFFF"/>
            <w:vAlign w:val="center"/>
          </w:tcPr>
          <w:p w:rsidR="0031271A" w:rsidRDefault="0031271A" w:rsidP="0017172C">
            <w:pPr>
              <w:spacing w:line="180" w:lineRule="exact"/>
              <w:contextualSpacing/>
              <w:jc w:val="left"/>
              <w:rPr>
                <w:color w:val="auto"/>
                <w:sz w:val="18"/>
              </w:rPr>
            </w:pPr>
            <w:r>
              <w:rPr>
                <w:color w:val="auto"/>
                <w:sz w:val="18"/>
              </w:rPr>
              <w:t>Chronic Adjustment Disorder with Mixed Anxiety and Depressed Mood</w:t>
            </w:r>
          </w:p>
        </w:tc>
        <w:tc>
          <w:tcPr>
            <w:tcW w:w="1080" w:type="dxa"/>
            <w:shd w:val="clear" w:color="auto" w:fill="FFFFFF"/>
            <w:vAlign w:val="center"/>
          </w:tcPr>
          <w:p w:rsidR="0031271A" w:rsidRDefault="0031271A" w:rsidP="0017172C">
            <w:pPr>
              <w:spacing w:line="180" w:lineRule="exact"/>
              <w:contextualSpacing/>
              <w:rPr>
                <w:color w:val="auto"/>
                <w:sz w:val="18"/>
              </w:rPr>
            </w:pPr>
            <w:r>
              <w:rPr>
                <w:color w:val="auto"/>
                <w:sz w:val="18"/>
              </w:rPr>
              <w:t>9449</w:t>
            </w:r>
          </w:p>
        </w:tc>
        <w:tc>
          <w:tcPr>
            <w:tcW w:w="720" w:type="dxa"/>
            <w:shd w:val="clear" w:color="auto" w:fill="FFFFFF"/>
            <w:vAlign w:val="center"/>
          </w:tcPr>
          <w:p w:rsidR="0031271A" w:rsidRDefault="0031271A" w:rsidP="0017172C">
            <w:pPr>
              <w:spacing w:line="180" w:lineRule="exact"/>
              <w:contextualSpacing/>
              <w:rPr>
                <w:color w:val="auto"/>
                <w:sz w:val="18"/>
              </w:rPr>
            </w:pPr>
            <w:r>
              <w:rPr>
                <w:color w:val="auto"/>
                <w:sz w:val="18"/>
              </w:rPr>
              <w:t>10%</w:t>
            </w:r>
          </w:p>
        </w:tc>
        <w:tc>
          <w:tcPr>
            <w:tcW w:w="990" w:type="dxa"/>
            <w:shd w:val="clear" w:color="auto" w:fill="FFFFFF"/>
            <w:vAlign w:val="center"/>
          </w:tcPr>
          <w:p w:rsidR="0031271A" w:rsidRDefault="0031271A" w:rsidP="0017172C">
            <w:pPr>
              <w:spacing w:line="180" w:lineRule="exact"/>
              <w:contextualSpacing/>
              <w:rPr>
                <w:color w:val="auto"/>
                <w:sz w:val="18"/>
              </w:rPr>
            </w:pPr>
            <w:r>
              <w:rPr>
                <w:color w:val="auto"/>
                <w:sz w:val="18"/>
              </w:rPr>
              <w:t>20030613</w:t>
            </w:r>
          </w:p>
        </w:tc>
      </w:tr>
      <w:tr w:rsidR="00A43A71" w:rsidRPr="00F64312" w:rsidTr="0031271A">
        <w:trPr>
          <w:trHeight w:val="124"/>
          <w:jc w:val="center"/>
        </w:trPr>
        <w:tc>
          <w:tcPr>
            <w:tcW w:w="3971" w:type="dxa"/>
            <w:gridSpan w:val="3"/>
            <w:tcBorders>
              <w:right w:val="thinThickThinSmallGap" w:sz="24" w:space="0" w:color="auto"/>
            </w:tcBorders>
            <w:shd w:val="clear" w:color="auto" w:fill="D9D9D9"/>
          </w:tcPr>
          <w:p w:rsidR="00A43A71" w:rsidRPr="00F64312" w:rsidRDefault="00A43A71" w:rsidP="00110F15">
            <w:pPr>
              <w:spacing w:line="180" w:lineRule="exact"/>
              <w:contextualSpacing/>
              <w:rPr>
                <w:rFonts w:cs="Calibri"/>
                <w:b/>
                <w:color w:val="auto"/>
                <w:sz w:val="18"/>
              </w:rPr>
            </w:pPr>
            <w:r w:rsidRPr="00F64312">
              <w:rPr>
                <w:b/>
                <w:color w:val="auto"/>
                <w:sz w:val="18"/>
              </w:rPr>
              <w:t xml:space="preserve">Combined:  </w:t>
            </w:r>
            <w:r w:rsidR="00110F15">
              <w:rPr>
                <w:b/>
                <w:color w:val="auto"/>
                <w:sz w:val="18"/>
              </w:rPr>
              <w:t>20</w:t>
            </w:r>
            <w:r w:rsidRPr="00F64312">
              <w:rPr>
                <w:b/>
                <w:color w:val="auto"/>
                <w:sz w:val="18"/>
              </w:rPr>
              <w:t>%</w:t>
            </w:r>
          </w:p>
        </w:tc>
        <w:tc>
          <w:tcPr>
            <w:tcW w:w="5398" w:type="dxa"/>
            <w:gridSpan w:val="4"/>
            <w:tcBorders>
              <w:left w:val="thinThickThinSmallGap" w:sz="24" w:space="0" w:color="auto"/>
            </w:tcBorders>
            <w:shd w:val="clear" w:color="auto" w:fill="D9D9D9"/>
          </w:tcPr>
          <w:p w:rsidR="00A43A71" w:rsidRPr="00F64312" w:rsidRDefault="00A43A71" w:rsidP="00110F15">
            <w:pPr>
              <w:spacing w:line="180" w:lineRule="exact"/>
              <w:contextualSpacing/>
              <w:rPr>
                <w:rFonts w:cs="Calibri"/>
                <w:b/>
                <w:color w:val="auto"/>
                <w:sz w:val="18"/>
              </w:rPr>
            </w:pPr>
            <w:r w:rsidRPr="00F64312">
              <w:rPr>
                <w:b/>
                <w:color w:val="auto"/>
                <w:sz w:val="18"/>
              </w:rPr>
              <w:t xml:space="preserve">Combined:  </w:t>
            </w:r>
            <w:r w:rsidR="00110F15">
              <w:rPr>
                <w:b/>
                <w:color w:val="auto"/>
                <w:sz w:val="18"/>
              </w:rPr>
              <w:t>70</w:t>
            </w:r>
            <w:r w:rsidRPr="00F64312">
              <w:rPr>
                <w:b/>
                <w:color w:val="auto"/>
                <w:sz w:val="18"/>
              </w:rPr>
              <w:t>%</w:t>
            </w:r>
          </w:p>
        </w:tc>
      </w:tr>
    </w:tbl>
    <w:p w:rsidR="00110F15" w:rsidRPr="00F64312" w:rsidRDefault="00110F15" w:rsidP="00F90376">
      <w:pPr>
        <w:pBdr>
          <w:bottom w:val="single" w:sz="12" w:space="1" w:color="auto"/>
        </w:pBdr>
        <w:tabs>
          <w:tab w:val="left" w:pos="288"/>
          <w:tab w:val="left" w:pos="4752"/>
        </w:tabs>
        <w:jc w:val="both"/>
        <w:rPr>
          <w:color w:val="auto"/>
        </w:rPr>
      </w:pPr>
    </w:p>
    <w:p w:rsidR="00AD2379" w:rsidRPr="00F64312" w:rsidRDefault="00AD2379" w:rsidP="00165C7B">
      <w:pPr>
        <w:jc w:val="both"/>
        <w:rPr>
          <w:color w:val="auto"/>
        </w:rPr>
      </w:pPr>
    </w:p>
    <w:p w:rsidR="00AD2379" w:rsidRPr="00E33656" w:rsidRDefault="00AD2379" w:rsidP="00E33656">
      <w:pPr>
        <w:autoSpaceDE w:val="0"/>
        <w:autoSpaceDN w:val="0"/>
        <w:adjustRightInd w:val="0"/>
        <w:jc w:val="both"/>
        <w:rPr>
          <w:color w:val="auto"/>
          <w:szCs w:val="24"/>
        </w:rPr>
      </w:pPr>
      <w:r w:rsidRPr="00F64312">
        <w:rPr>
          <w:color w:val="auto"/>
          <w:u w:val="single"/>
        </w:rPr>
        <w:t>ANALYSIS SUMMARY</w:t>
      </w:r>
      <w:r w:rsidRPr="00F64312">
        <w:rPr>
          <w:color w:val="auto"/>
        </w:rPr>
        <w:t>:</w:t>
      </w:r>
      <w:r w:rsidR="00896C01" w:rsidRPr="00F64312">
        <w:rPr>
          <w:color w:val="auto"/>
        </w:rPr>
        <w:t xml:space="preserve"> </w:t>
      </w:r>
      <w:r w:rsidRPr="00F64312">
        <w:rPr>
          <w:color w:val="auto"/>
        </w:rPr>
        <w:t xml:space="preserve"> </w:t>
      </w:r>
      <w:r w:rsidR="00E33656" w:rsidRPr="00E33656">
        <w:rPr>
          <w:color w:val="auto"/>
          <w:szCs w:val="24"/>
        </w:rPr>
        <w:t xml:space="preserve">The Board acknowledges the CI’s assertions that “inaccuracies and omissions within the </w:t>
      </w:r>
      <w:r w:rsidR="00971208">
        <w:rPr>
          <w:color w:val="auto"/>
          <w:szCs w:val="24"/>
        </w:rPr>
        <w:t xml:space="preserve">narrative </w:t>
      </w:r>
      <w:r w:rsidR="00971208" w:rsidRPr="00971208">
        <w:rPr>
          <w:color w:val="auto"/>
          <w:szCs w:val="24"/>
        </w:rPr>
        <w:t>summary (</w:t>
      </w:r>
      <w:r w:rsidR="00E33656" w:rsidRPr="00971208">
        <w:rPr>
          <w:color w:val="auto"/>
          <w:szCs w:val="24"/>
        </w:rPr>
        <w:t>NARSUM</w:t>
      </w:r>
      <w:r w:rsidR="00971208" w:rsidRPr="00971208">
        <w:rPr>
          <w:color w:val="auto"/>
          <w:szCs w:val="24"/>
        </w:rPr>
        <w:t>)</w:t>
      </w:r>
      <w:r w:rsidR="00971208">
        <w:rPr>
          <w:color w:val="auto"/>
          <w:szCs w:val="24"/>
        </w:rPr>
        <w:t xml:space="preserve"> </w:t>
      </w:r>
      <w:r w:rsidR="00E33656" w:rsidRPr="00E33656">
        <w:rPr>
          <w:color w:val="auto"/>
          <w:szCs w:val="24"/>
        </w:rPr>
        <w:t>did not portray an accurate picture of my injuries to the PEB</w:t>
      </w:r>
      <w:r w:rsidR="00971208">
        <w:rPr>
          <w:color w:val="auto"/>
          <w:szCs w:val="24"/>
        </w:rPr>
        <w:t>.</w:t>
      </w:r>
      <w:r w:rsidR="00E33656" w:rsidRPr="00E33656">
        <w:rPr>
          <w:color w:val="auto"/>
          <w:szCs w:val="24"/>
        </w:rPr>
        <w:t xml:space="preserve">”  It is noted for the record that the Board has neither the jurisdiction nor authority to scrutinize or render opinions in reference to asserted service improprieties in the disposition of a case. </w:t>
      </w:r>
      <w:r w:rsidR="00E33656">
        <w:rPr>
          <w:color w:val="auto"/>
          <w:szCs w:val="24"/>
        </w:rPr>
        <w:t xml:space="preserve"> </w:t>
      </w:r>
      <w:r w:rsidR="00E33656" w:rsidRPr="00E33656">
        <w:rPr>
          <w:color w:val="auto"/>
          <w:szCs w:val="24"/>
        </w:rPr>
        <w:t xml:space="preserve">The Board’s role is confined to the review of medical records and all evidence at hand to assess the fairness of </w:t>
      </w:r>
      <w:r w:rsidR="00971208">
        <w:rPr>
          <w:color w:val="auto"/>
          <w:szCs w:val="24"/>
        </w:rPr>
        <w:t xml:space="preserve">the </w:t>
      </w:r>
      <w:r w:rsidR="00E33656" w:rsidRPr="00E33656">
        <w:rPr>
          <w:color w:val="auto"/>
          <w:szCs w:val="24"/>
        </w:rPr>
        <w:t xml:space="preserve">PEB rating determinations, compared to </w:t>
      </w:r>
      <w:r w:rsidR="00C23401" w:rsidRPr="00C23401">
        <w:rPr>
          <w:rFonts w:eastAsia="Calibri" w:cs="Times New Roman"/>
          <w:color w:val="auto"/>
          <w:szCs w:val="24"/>
        </w:rPr>
        <w:t>Veterans Administration Schedule for Rating Disabilities (VASRD)</w:t>
      </w:r>
      <w:r w:rsidR="00E33656" w:rsidRPr="00E33656">
        <w:rPr>
          <w:color w:val="auto"/>
          <w:szCs w:val="24"/>
        </w:rPr>
        <w:t xml:space="preserve"> standards, based on severity at the time of separation. </w:t>
      </w:r>
      <w:r w:rsidR="00E33656">
        <w:rPr>
          <w:color w:val="auto"/>
          <w:szCs w:val="24"/>
        </w:rPr>
        <w:t xml:space="preserve"> </w:t>
      </w:r>
      <w:r w:rsidR="00E33656" w:rsidRPr="00E33656">
        <w:rPr>
          <w:color w:val="auto"/>
          <w:szCs w:val="24"/>
        </w:rPr>
        <w:t xml:space="preserve">It must also judge the fairness of </w:t>
      </w:r>
      <w:r w:rsidR="00C23401">
        <w:rPr>
          <w:color w:val="auto"/>
          <w:szCs w:val="24"/>
        </w:rPr>
        <w:t xml:space="preserve">the </w:t>
      </w:r>
      <w:r w:rsidR="00E33656" w:rsidRPr="00E33656">
        <w:rPr>
          <w:color w:val="auto"/>
          <w:szCs w:val="24"/>
        </w:rPr>
        <w:t xml:space="preserve">PEB fitness adjudications based on the fitness consequences of conditions as they existed at the time of separation.  The </w:t>
      </w:r>
      <w:r w:rsidR="00E33656" w:rsidRPr="00E33656">
        <w:rPr>
          <w:color w:val="auto"/>
        </w:rPr>
        <w:t xml:space="preserve">Board also acknowledges the sentiment expressed in the CI’s application, i.e., that the gravity of his condition and predictable consequences which merit consideration for a higher separation rating.  It is a fact, however, that the </w:t>
      </w:r>
      <w:r w:rsidR="00C23401">
        <w:rPr>
          <w:color w:val="auto"/>
        </w:rPr>
        <w:t>Disability Evaluation System (</w:t>
      </w:r>
      <w:r w:rsidR="00E33656" w:rsidRPr="00E33656">
        <w:rPr>
          <w:color w:val="auto"/>
        </w:rPr>
        <w:t>DES</w:t>
      </w:r>
      <w:r w:rsidR="00C23401">
        <w:rPr>
          <w:color w:val="auto"/>
        </w:rPr>
        <w:t>)</w:t>
      </w:r>
      <w:r w:rsidR="00E33656" w:rsidRPr="00E33656">
        <w:rPr>
          <w:color w:val="auto"/>
        </w:rPr>
        <w:t xml:space="preserve"> has neither the role nor the authority to compensate service members for anticipated future severity or potential complications of conditions resulting in medical separation. </w:t>
      </w:r>
      <w:r w:rsidR="00E33656">
        <w:rPr>
          <w:color w:val="auto"/>
        </w:rPr>
        <w:t xml:space="preserve"> </w:t>
      </w:r>
      <w:r w:rsidR="00E33656" w:rsidRPr="00E33656">
        <w:rPr>
          <w:color w:val="auto"/>
        </w:rPr>
        <w:t xml:space="preserve">This role and authority is granted by Congress to the </w:t>
      </w:r>
      <w:r w:rsidR="00C23401">
        <w:rPr>
          <w:color w:val="auto"/>
        </w:rPr>
        <w:t xml:space="preserve">Department of </w:t>
      </w:r>
      <w:r w:rsidR="00E33656" w:rsidRPr="00E33656">
        <w:rPr>
          <w:color w:val="auto"/>
        </w:rPr>
        <w:t>Veterans</w:t>
      </w:r>
      <w:r w:rsidR="00C23401">
        <w:rPr>
          <w:color w:val="auto"/>
        </w:rPr>
        <w:t xml:space="preserve">’ Affairs (DVA).  </w:t>
      </w:r>
      <w:r w:rsidR="00E33656" w:rsidRPr="00E33656">
        <w:rPr>
          <w:color w:val="auto"/>
        </w:rPr>
        <w:t xml:space="preserve">The Board utilizes </w:t>
      </w:r>
      <w:r w:rsidR="00C23401">
        <w:rPr>
          <w:color w:val="auto"/>
        </w:rPr>
        <w:t>D</w:t>
      </w:r>
      <w:r w:rsidR="00E33656" w:rsidRPr="00E33656">
        <w:rPr>
          <w:color w:val="auto"/>
        </w:rPr>
        <w:t xml:space="preserve">VA evidence proximal to separation in arriving at its recommendations; and, DoDI 6040.44 defines a 12-month interval for special consideration to post-separation evidence. </w:t>
      </w:r>
      <w:r w:rsidR="00E33656">
        <w:rPr>
          <w:color w:val="auto"/>
        </w:rPr>
        <w:t xml:space="preserve"> </w:t>
      </w:r>
      <w:r w:rsidR="00E33656" w:rsidRPr="00E33656">
        <w:rPr>
          <w:color w:val="auto"/>
        </w:rPr>
        <w:t>Post-separation evidence therefore is probative only to the extent that it reasonably reflects the disability and fitness implications at the time of separation.</w:t>
      </w:r>
    </w:p>
    <w:p w:rsidR="00DD71F7" w:rsidRDefault="00DD71F7" w:rsidP="00726F84">
      <w:pPr>
        <w:jc w:val="both"/>
        <w:rPr>
          <w:color w:val="auto"/>
        </w:rPr>
      </w:pPr>
    </w:p>
    <w:p w:rsidR="00DD71F7" w:rsidRPr="000B551C" w:rsidRDefault="00DD71F7" w:rsidP="003F4F58">
      <w:pPr>
        <w:autoSpaceDE w:val="0"/>
        <w:autoSpaceDN w:val="0"/>
        <w:adjustRightInd w:val="0"/>
        <w:jc w:val="both"/>
        <w:rPr>
          <w:color w:val="auto"/>
        </w:rPr>
      </w:pPr>
      <w:proofErr w:type="gramStart"/>
      <w:r>
        <w:rPr>
          <w:color w:val="auto"/>
          <w:u w:val="single"/>
        </w:rPr>
        <w:t>Post</w:t>
      </w:r>
      <w:r w:rsidR="008B7256">
        <w:rPr>
          <w:color w:val="auto"/>
          <w:u w:val="single"/>
        </w:rPr>
        <w:t>t</w:t>
      </w:r>
      <w:r>
        <w:rPr>
          <w:color w:val="auto"/>
          <w:u w:val="single"/>
        </w:rPr>
        <w:t>raumatic Migraine Headaches</w:t>
      </w:r>
      <w:r w:rsidRPr="00110F15">
        <w:rPr>
          <w:color w:val="auto"/>
          <w:u w:val="single"/>
        </w:rPr>
        <w:t xml:space="preserve"> Condition</w:t>
      </w:r>
      <w:r w:rsidRPr="00F64312">
        <w:rPr>
          <w:color w:val="auto"/>
        </w:rPr>
        <w:t>.</w:t>
      </w:r>
      <w:proofErr w:type="gramEnd"/>
      <w:r w:rsidRPr="00F64312">
        <w:rPr>
          <w:color w:val="auto"/>
        </w:rPr>
        <w:t xml:space="preserve">  </w:t>
      </w:r>
      <w:r w:rsidR="00C51D13">
        <w:rPr>
          <w:color w:val="auto"/>
        </w:rPr>
        <w:t>The CI began having headaches</w:t>
      </w:r>
      <w:r w:rsidR="001C0DDD">
        <w:rPr>
          <w:color w:val="auto"/>
        </w:rPr>
        <w:t xml:space="preserve"> since 1998</w:t>
      </w:r>
      <w:r w:rsidR="00C51D13">
        <w:rPr>
          <w:color w:val="auto"/>
        </w:rPr>
        <w:t xml:space="preserve"> after being struck </w:t>
      </w:r>
      <w:r w:rsidR="000B551C">
        <w:rPr>
          <w:color w:val="auto"/>
        </w:rPr>
        <w:t xml:space="preserve">with the butt of an M-16 rifle </w:t>
      </w:r>
      <w:r w:rsidR="00C51D13">
        <w:rPr>
          <w:color w:val="auto"/>
        </w:rPr>
        <w:t xml:space="preserve">to the right face while in </w:t>
      </w:r>
      <w:r w:rsidR="000B551C">
        <w:rPr>
          <w:color w:val="auto"/>
        </w:rPr>
        <w:t>advanced individual training.  He was treated for</w:t>
      </w:r>
      <w:r w:rsidR="00C51D13">
        <w:rPr>
          <w:color w:val="auto"/>
        </w:rPr>
        <w:t xml:space="preserve"> a maxilla fracture with dental involvement that required sev</w:t>
      </w:r>
      <w:r w:rsidR="001017CF">
        <w:rPr>
          <w:color w:val="auto"/>
        </w:rPr>
        <w:t>eral dental procedures</w:t>
      </w:r>
      <w:r w:rsidR="000B551C">
        <w:rPr>
          <w:color w:val="auto"/>
        </w:rPr>
        <w:t xml:space="preserve"> and ha</w:t>
      </w:r>
      <w:r w:rsidR="004F1570">
        <w:rPr>
          <w:color w:val="auto"/>
        </w:rPr>
        <w:t>d</w:t>
      </w:r>
      <w:r w:rsidR="000B551C">
        <w:rPr>
          <w:color w:val="auto"/>
        </w:rPr>
        <w:t xml:space="preserve"> a residual visual field defect of his right eye. </w:t>
      </w:r>
      <w:r w:rsidR="00C51D13">
        <w:rPr>
          <w:color w:val="auto"/>
        </w:rPr>
        <w:t xml:space="preserve"> </w:t>
      </w:r>
      <w:r w:rsidR="001C0DDD">
        <w:rPr>
          <w:color w:val="auto"/>
        </w:rPr>
        <w:t xml:space="preserve">He </w:t>
      </w:r>
      <w:r w:rsidR="004F1570">
        <w:rPr>
          <w:color w:val="auto"/>
        </w:rPr>
        <w:t xml:space="preserve">also </w:t>
      </w:r>
      <w:r w:rsidR="000B551C">
        <w:rPr>
          <w:color w:val="auto"/>
        </w:rPr>
        <w:t xml:space="preserve">had residual </w:t>
      </w:r>
      <w:r w:rsidR="001C0DDD">
        <w:rPr>
          <w:color w:val="auto"/>
        </w:rPr>
        <w:t xml:space="preserve">mild headaches </w:t>
      </w:r>
      <w:r w:rsidR="000B551C">
        <w:rPr>
          <w:color w:val="auto"/>
        </w:rPr>
        <w:t xml:space="preserve">which responded to </w:t>
      </w:r>
      <w:r w:rsidR="001C0DDD">
        <w:rPr>
          <w:color w:val="auto"/>
        </w:rPr>
        <w:t xml:space="preserve">over the counter medications, </w:t>
      </w:r>
      <w:r w:rsidR="000B551C">
        <w:rPr>
          <w:color w:val="auto"/>
        </w:rPr>
        <w:t xml:space="preserve">and had </w:t>
      </w:r>
      <w:r w:rsidR="001C0DDD">
        <w:rPr>
          <w:color w:val="auto"/>
        </w:rPr>
        <w:t xml:space="preserve">typical symptoms of severe migraine headaches 3-4 per week </w:t>
      </w:r>
      <w:r w:rsidR="00BB2EBE">
        <w:rPr>
          <w:color w:val="auto"/>
        </w:rPr>
        <w:t xml:space="preserve">and </w:t>
      </w:r>
      <w:r w:rsidR="001C0DDD">
        <w:rPr>
          <w:color w:val="auto"/>
        </w:rPr>
        <w:t xml:space="preserve">would relief </w:t>
      </w:r>
      <w:r w:rsidR="000B551C">
        <w:rPr>
          <w:color w:val="auto"/>
        </w:rPr>
        <w:t>the</w:t>
      </w:r>
      <w:r w:rsidR="001017CF">
        <w:rPr>
          <w:color w:val="auto"/>
        </w:rPr>
        <w:t>se</w:t>
      </w:r>
      <w:r w:rsidR="000B551C">
        <w:rPr>
          <w:color w:val="auto"/>
        </w:rPr>
        <w:t xml:space="preserve"> severe</w:t>
      </w:r>
      <w:r w:rsidR="001C0DDD">
        <w:rPr>
          <w:color w:val="auto"/>
        </w:rPr>
        <w:t xml:space="preserve"> headache with rest, in a dark room,</w:t>
      </w:r>
      <w:r w:rsidR="00BB2EBE">
        <w:rPr>
          <w:color w:val="auto"/>
        </w:rPr>
        <w:t xml:space="preserve"> for up to 1-2 days.  </w:t>
      </w:r>
      <w:r w:rsidR="001017CF" w:rsidRPr="001017CF">
        <w:rPr>
          <w:color w:val="auto"/>
        </w:rPr>
        <w:t>A</w:t>
      </w:r>
      <w:r w:rsidR="008B7256">
        <w:rPr>
          <w:color w:val="000000" w:themeColor="text1"/>
        </w:rPr>
        <w:t xml:space="preserve"> m</w:t>
      </w:r>
      <w:r w:rsidR="001017CF" w:rsidRPr="001017CF">
        <w:rPr>
          <w:color w:val="000000" w:themeColor="text1"/>
        </w:rPr>
        <w:t xml:space="preserve">agnetic </w:t>
      </w:r>
      <w:r w:rsidR="008B7256">
        <w:rPr>
          <w:color w:val="000000" w:themeColor="text1"/>
        </w:rPr>
        <w:t>r</w:t>
      </w:r>
      <w:r w:rsidR="001017CF" w:rsidRPr="001017CF">
        <w:rPr>
          <w:color w:val="000000" w:themeColor="text1"/>
        </w:rPr>
        <w:t xml:space="preserve">esonance </w:t>
      </w:r>
      <w:r w:rsidR="008B7256" w:rsidRPr="008B7256">
        <w:rPr>
          <w:color w:val="000000" w:themeColor="text1"/>
        </w:rPr>
        <w:t xml:space="preserve">imaging </w:t>
      </w:r>
      <w:r w:rsidR="001017CF" w:rsidRPr="008B7256">
        <w:rPr>
          <w:color w:val="000000" w:themeColor="text1"/>
        </w:rPr>
        <w:t>(MRI)</w:t>
      </w:r>
      <w:r w:rsidR="001017CF">
        <w:rPr>
          <w:color w:val="000000" w:themeColor="text1"/>
        </w:rPr>
        <w:t xml:space="preserve"> </w:t>
      </w:r>
      <w:r w:rsidR="001C0DDD">
        <w:rPr>
          <w:color w:val="auto"/>
        </w:rPr>
        <w:t>in October 2000 was normal.</w:t>
      </w:r>
      <w:r w:rsidR="008B7256">
        <w:rPr>
          <w:color w:val="auto"/>
        </w:rPr>
        <w:t xml:space="preserve">  The commander’s</w:t>
      </w:r>
      <w:r w:rsidR="000B551C">
        <w:rPr>
          <w:color w:val="auto"/>
        </w:rPr>
        <w:t xml:space="preserve"> statement corroborated the traumatic facial injury and residual migraine headaches and further documented that he had migraine headaches </w:t>
      </w:r>
      <w:r w:rsidR="0058548D">
        <w:rPr>
          <w:color w:val="auto"/>
        </w:rPr>
        <w:t>2-3</w:t>
      </w:r>
      <w:r w:rsidR="000B551C">
        <w:rPr>
          <w:color w:val="auto"/>
        </w:rPr>
        <w:t xml:space="preserve"> times a month which caused him to be put on 24 to 48 hour quarters.  </w:t>
      </w:r>
    </w:p>
    <w:p w:rsidR="00DD71F7" w:rsidRPr="00F64312" w:rsidRDefault="00DD71F7" w:rsidP="00DD71F7">
      <w:pPr>
        <w:jc w:val="both"/>
        <w:rPr>
          <w:color w:val="auto"/>
          <w:szCs w:val="24"/>
        </w:rPr>
      </w:pPr>
    </w:p>
    <w:p w:rsidR="00DD71F7" w:rsidRPr="00461110" w:rsidRDefault="00DD71F7" w:rsidP="00461110">
      <w:pPr>
        <w:autoSpaceDE w:val="0"/>
        <w:autoSpaceDN w:val="0"/>
        <w:adjustRightInd w:val="0"/>
        <w:jc w:val="both"/>
        <w:rPr>
          <w:rFonts w:ascii="Times New Roman" w:hAnsi="Times New Roman" w:cs="Times New Roman"/>
          <w:color w:val="auto"/>
          <w:sz w:val="19"/>
          <w:szCs w:val="19"/>
        </w:rPr>
      </w:pPr>
      <w:r w:rsidRPr="00BB2EBE">
        <w:rPr>
          <w:color w:val="auto"/>
          <w:szCs w:val="24"/>
        </w:rPr>
        <w:t xml:space="preserve">At the MEB exam, the CI </w:t>
      </w:r>
      <w:r w:rsidR="00E33656" w:rsidRPr="00BB2EBE">
        <w:rPr>
          <w:color w:val="auto"/>
          <w:szCs w:val="24"/>
        </w:rPr>
        <w:t>describe</w:t>
      </w:r>
      <w:r w:rsidR="000B551C" w:rsidRPr="00BB2EBE">
        <w:rPr>
          <w:color w:val="auto"/>
          <w:szCs w:val="24"/>
        </w:rPr>
        <w:t>d</w:t>
      </w:r>
      <w:r w:rsidR="00E33656" w:rsidRPr="00BB2EBE">
        <w:rPr>
          <w:color w:val="auto"/>
          <w:szCs w:val="24"/>
        </w:rPr>
        <w:t xml:space="preserve"> his typical</w:t>
      </w:r>
      <w:r w:rsidR="000B551C" w:rsidRPr="00BB2EBE">
        <w:rPr>
          <w:color w:val="auto"/>
          <w:szCs w:val="24"/>
        </w:rPr>
        <w:t xml:space="preserve"> </w:t>
      </w:r>
      <w:r w:rsidR="00E33656" w:rsidRPr="00BB2EBE">
        <w:rPr>
          <w:color w:val="auto"/>
          <w:szCs w:val="24"/>
        </w:rPr>
        <w:t>migraine as building from a mild headache to a more severe headache</w:t>
      </w:r>
      <w:r w:rsidR="000B551C" w:rsidRPr="00BB2EBE">
        <w:rPr>
          <w:color w:val="auto"/>
          <w:szCs w:val="24"/>
        </w:rPr>
        <w:t xml:space="preserve"> and </w:t>
      </w:r>
      <w:r w:rsidR="00E33656" w:rsidRPr="00BB2EBE">
        <w:rPr>
          <w:color w:val="auto"/>
          <w:szCs w:val="24"/>
        </w:rPr>
        <w:t>the</w:t>
      </w:r>
      <w:r w:rsidR="000B551C" w:rsidRPr="00BB2EBE">
        <w:rPr>
          <w:color w:val="auto"/>
          <w:szCs w:val="24"/>
        </w:rPr>
        <w:t xml:space="preserve"> </w:t>
      </w:r>
      <w:r w:rsidR="00E33656" w:rsidRPr="00BB2EBE">
        <w:rPr>
          <w:color w:val="auto"/>
          <w:szCs w:val="24"/>
        </w:rPr>
        <w:t xml:space="preserve">pain would escalate to </w:t>
      </w:r>
      <w:r w:rsidR="00E33656" w:rsidRPr="001017CF">
        <w:rPr>
          <w:iCs/>
          <w:color w:val="auto"/>
          <w:szCs w:val="24"/>
        </w:rPr>
        <w:t>10</w:t>
      </w:r>
      <w:r w:rsidR="001017CF">
        <w:rPr>
          <w:iCs/>
          <w:color w:val="auto"/>
          <w:szCs w:val="24"/>
        </w:rPr>
        <w:t xml:space="preserve"> of </w:t>
      </w:r>
      <w:r w:rsidR="00E33656" w:rsidRPr="001017CF">
        <w:rPr>
          <w:iCs/>
          <w:color w:val="auto"/>
          <w:szCs w:val="24"/>
        </w:rPr>
        <w:t>10</w:t>
      </w:r>
      <w:r w:rsidR="00E33656" w:rsidRPr="00BB2EBE">
        <w:rPr>
          <w:i/>
          <w:iCs/>
          <w:color w:val="auto"/>
          <w:szCs w:val="24"/>
        </w:rPr>
        <w:t xml:space="preserve"> </w:t>
      </w:r>
      <w:r w:rsidR="00E33656" w:rsidRPr="00BB2EBE">
        <w:rPr>
          <w:color w:val="auto"/>
          <w:szCs w:val="24"/>
        </w:rPr>
        <w:t>in severity (usually R sided) associated nausea, dizziness,</w:t>
      </w:r>
      <w:r w:rsidR="00BB2EBE" w:rsidRPr="00BB2EBE">
        <w:rPr>
          <w:color w:val="auto"/>
          <w:szCs w:val="24"/>
        </w:rPr>
        <w:t xml:space="preserve"> </w:t>
      </w:r>
      <w:r w:rsidR="00E33656" w:rsidRPr="00BB2EBE">
        <w:rPr>
          <w:color w:val="auto"/>
          <w:szCs w:val="24"/>
        </w:rPr>
        <w:t>photophobia and phonophobia</w:t>
      </w:r>
      <w:r w:rsidR="00BB2EBE" w:rsidRPr="00BB2EBE">
        <w:rPr>
          <w:color w:val="auto"/>
          <w:szCs w:val="24"/>
        </w:rPr>
        <w:t>.  With</w:t>
      </w:r>
      <w:r w:rsidR="00E33656" w:rsidRPr="00BB2EBE">
        <w:rPr>
          <w:color w:val="auto"/>
          <w:szCs w:val="24"/>
        </w:rPr>
        <w:t xml:space="preserve"> Maxalt</w:t>
      </w:r>
      <w:r w:rsidR="001017CF">
        <w:rPr>
          <w:color w:val="auto"/>
          <w:szCs w:val="24"/>
        </w:rPr>
        <w:t xml:space="preserve"> (migraine abortive medication)</w:t>
      </w:r>
      <w:r w:rsidR="00E33656" w:rsidRPr="00BB2EBE">
        <w:rPr>
          <w:color w:val="auto"/>
          <w:szCs w:val="24"/>
        </w:rPr>
        <w:t xml:space="preserve"> </w:t>
      </w:r>
      <w:r w:rsidR="00BB2EBE" w:rsidRPr="00BB2EBE">
        <w:rPr>
          <w:color w:val="auto"/>
          <w:szCs w:val="24"/>
        </w:rPr>
        <w:t xml:space="preserve">use </w:t>
      </w:r>
      <w:r w:rsidR="00E33656" w:rsidRPr="00BB2EBE">
        <w:rPr>
          <w:color w:val="auto"/>
          <w:szCs w:val="24"/>
        </w:rPr>
        <w:t>he notice</w:t>
      </w:r>
      <w:r w:rsidR="00BB2EBE" w:rsidRPr="00BB2EBE">
        <w:rPr>
          <w:color w:val="auto"/>
          <w:szCs w:val="24"/>
        </w:rPr>
        <w:t>d</w:t>
      </w:r>
      <w:r w:rsidR="00E33656" w:rsidRPr="00BB2EBE">
        <w:rPr>
          <w:color w:val="auto"/>
          <w:szCs w:val="24"/>
        </w:rPr>
        <w:t xml:space="preserve"> that within 2-3 hours his symptoms ha</w:t>
      </w:r>
      <w:r w:rsidR="00131AFE">
        <w:rPr>
          <w:color w:val="auto"/>
          <w:szCs w:val="24"/>
        </w:rPr>
        <w:t>d</w:t>
      </w:r>
      <w:r w:rsidR="00E33656" w:rsidRPr="00BB2EBE">
        <w:rPr>
          <w:color w:val="auto"/>
          <w:szCs w:val="24"/>
        </w:rPr>
        <w:t xml:space="preserve"> nearly</w:t>
      </w:r>
      <w:r w:rsidR="00BB2EBE" w:rsidRPr="00BB2EBE">
        <w:rPr>
          <w:color w:val="auto"/>
          <w:szCs w:val="24"/>
        </w:rPr>
        <w:t xml:space="preserve"> </w:t>
      </w:r>
      <w:r w:rsidR="00E33656" w:rsidRPr="00BB2EBE">
        <w:rPr>
          <w:color w:val="auto"/>
          <w:szCs w:val="24"/>
        </w:rPr>
        <w:t xml:space="preserve">completely resolved. </w:t>
      </w:r>
      <w:r w:rsidR="00131AFE">
        <w:rPr>
          <w:color w:val="auto"/>
          <w:szCs w:val="24"/>
        </w:rPr>
        <w:t xml:space="preserve"> </w:t>
      </w:r>
      <w:r w:rsidR="00E33656" w:rsidRPr="00BB2EBE">
        <w:rPr>
          <w:color w:val="auto"/>
          <w:szCs w:val="24"/>
        </w:rPr>
        <w:t>He report</w:t>
      </w:r>
      <w:r w:rsidR="00BB2EBE" w:rsidRPr="00BB2EBE">
        <w:rPr>
          <w:color w:val="auto"/>
          <w:szCs w:val="24"/>
        </w:rPr>
        <w:t>ed</w:t>
      </w:r>
      <w:r w:rsidR="00E33656" w:rsidRPr="00BB2EBE">
        <w:rPr>
          <w:color w:val="auto"/>
          <w:szCs w:val="24"/>
        </w:rPr>
        <w:t xml:space="preserve"> an average of one severe migraine per month for which</w:t>
      </w:r>
      <w:r w:rsidR="00BB2EBE" w:rsidRPr="00BB2EBE">
        <w:rPr>
          <w:color w:val="auto"/>
          <w:szCs w:val="24"/>
        </w:rPr>
        <w:t xml:space="preserve"> </w:t>
      </w:r>
      <w:r w:rsidR="00E33656" w:rsidRPr="00BB2EBE">
        <w:rPr>
          <w:color w:val="auto"/>
          <w:szCs w:val="24"/>
        </w:rPr>
        <w:t xml:space="preserve">he </w:t>
      </w:r>
      <w:r w:rsidR="00BB2EBE" w:rsidRPr="00BB2EBE">
        <w:rPr>
          <w:color w:val="auto"/>
          <w:szCs w:val="24"/>
        </w:rPr>
        <w:t>took</w:t>
      </w:r>
      <w:r w:rsidR="00E33656" w:rsidRPr="00BB2EBE">
        <w:rPr>
          <w:color w:val="auto"/>
          <w:szCs w:val="24"/>
        </w:rPr>
        <w:t xml:space="preserve"> the Maxalt</w:t>
      </w:r>
      <w:r w:rsidR="00131AFE">
        <w:rPr>
          <w:color w:val="auto"/>
          <w:szCs w:val="24"/>
        </w:rPr>
        <w:t xml:space="preserve"> and an </w:t>
      </w:r>
      <w:r w:rsidR="00131AFE">
        <w:rPr>
          <w:color w:val="auto"/>
          <w:szCs w:val="24"/>
        </w:rPr>
        <w:lastRenderedPageBreak/>
        <w:t>average of</w:t>
      </w:r>
      <w:r w:rsidR="00E33656" w:rsidRPr="00BB2EBE">
        <w:rPr>
          <w:color w:val="auto"/>
          <w:szCs w:val="24"/>
        </w:rPr>
        <w:t xml:space="preserve"> 1-2 mild headaches each week for which he </w:t>
      </w:r>
      <w:r w:rsidR="00BB2EBE" w:rsidRPr="00BB2EBE">
        <w:rPr>
          <w:color w:val="auto"/>
          <w:szCs w:val="24"/>
        </w:rPr>
        <w:t>took the over the counter</w:t>
      </w:r>
      <w:r w:rsidR="00E33656" w:rsidRPr="00BB2EBE">
        <w:rPr>
          <w:color w:val="auto"/>
          <w:szCs w:val="24"/>
        </w:rPr>
        <w:t xml:space="preserve"> </w:t>
      </w:r>
      <w:r w:rsidR="00131AFE">
        <w:rPr>
          <w:color w:val="auto"/>
          <w:szCs w:val="24"/>
        </w:rPr>
        <w:t>aspirin</w:t>
      </w:r>
      <w:r w:rsidR="00E33656" w:rsidRPr="00BB2EBE">
        <w:rPr>
          <w:color w:val="auto"/>
          <w:szCs w:val="24"/>
        </w:rPr>
        <w:t xml:space="preserve"> or</w:t>
      </w:r>
      <w:r w:rsidR="00BB2EBE" w:rsidRPr="00BB2EBE">
        <w:rPr>
          <w:color w:val="auto"/>
          <w:szCs w:val="24"/>
        </w:rPr>
        <w:t xml:space="preserve"> </w:t>
      </w:r>
      <w:r w:rsidR="00E33656" w:rsidRPr="00BB2EBE">
        <w:rPr>
          <w:color w:val="auto"/>
          <w:szCs w:val="24"/>
        </w:rPr>
        <w:t xml:space="preserve">Tylenol. </w:t>
      </w:r>
      <w:r w:rsidR="00131AFE">
        <w:rPr>
          <w:color w:val="auto"/>
          <w:szCs w:val="24"/>
        </w:rPr>
        <w:t xml:space="preserve"> </w:t>
      </w:r>
      <w:r w:rsidR="00E33656" w:rsidRPr="00BB2EBE">
        <w:rPr>
          <w:color w:val="auto"/>
          <w:szCs w:val="24"/>
        </w:rPr>
        <w:t>He denie</w:t>
      </w:r>
      <w:r w:rsidR="00BB2EBE" w:rsidRPr="00BB2EBE">
        <w:rPr>
          <w:color w:val="auto"/>
          <w:szCs w:val="24"/>
        </w:rPr>
        <w:t>d</w:t>
      </w:r>
      <w:r w:rsidR="00E33656" w:rsidRPr="00BB2EBE">
        <w:rPr>
          <w:color w:val="auto"/>
          <w:szCs w:val="24"/>
        </w:rPr>
        <w:t xml:space="preserve"> taking preventative medication </w:t>
      </w:r>
      <w:r w:rsidR="001017CF">
        <w:rPr>
          <w:color w:val="auto"/>
          <w:szCs w:val="24"/>
        </w:rPr>
        <w:t xml:space="preserve">currently or </w:t>
      </w:r>
      <w:r w:rsidR="00E33656" w:rsidRPr="00BB2EBE">
        <w:rPr>
          <w:color w:val="auto"/>
          <w:szCs w:val="24"/>
        </w:rPr>
        <w:t xml:space="preserve">in the past. </w:t>
      </w:r>
      <w:r w:rsidR="00BB2EBE" w:rsidRPr="00BB2EBE">
        <w:rPr>
          <w:color w:val="auto"/>
          <w:szCs w:val="24"/>
        </w:rPr>
        <w:t xml:space="preserve"> He reported </w:t>
      </w:r>
      <w:r w:rsidR="001017CF">
        <w:rPr>
          <w:color w:val="auto"/>
          <w:szCs w:val="24"/>
        </w:rPr>
        <w:t>while deployed</w:t>
      </w:r>
      <w:r w:rsidR="00BB2EBE" w:rsidRPr="00BB2EBE">
        <w:rPr>
          <w:color w:val="auto"/>
          <w:szCs w:val="24"/>
        </w:rPr>
        <w:t xml:space="preserve"> to Iraq from January to March 2003 he experienced an increase of </w:t>
      </w:r>
      <w:r w:rsidR="001017CF">
        <w:rPr>
          <w:color w:val="auto"/>
          <w:szCs w:val="24"/>
        </w:rPr>
        <w:t xml:space="preserve">his migraine </w:t>
      </w:r>
      <w:r w:rsidR="00BB2EBE" w:rsidRPr="00BB2EBE">
        <w:rPr>
          <w:color w:val="auto"/>
          <w:szCs w:val="24"/>
        </w:rPr>
        <w:t>headaches</w:t>
      </w:r>
      <w:r w:rsidR="001017CF">
        <w:rPr>
          <w:color w:val="auto"/>
          <w:szCs w:val="24"/>
        </w:rPr>
        <w:t>,</w:t>
      </w:r>
      <w:r w:rsidR="008B7256">
        <w:rPr>
          <w:color w:val="auto"/>
          <w:szCs w:val="24"/>
        </w:rPr>
        <w:t xml:space="preserve"> three</w:t>
      </w:r>
      <w:r w:rsidR="00BB2EBE" w:rsidRPr="00BB2EBE">
        <w:rPr>
          <w:color w:val="auto"/>
          <w:szCs w:val="24"/>
        </w:rPr>
        <w:t xml:space="preserve"> times per month</w:t>
      </w:r>
      <w:r w:rsidR="001017CF">
        <w:rPr>
          <w:color w:val="auto"/>
          <w:szCs w:val="24"/>
        </w:rPr>
        <w:t>,</w:t>
      </w:r>
      <w:r w:rsidR="00BB2EBE" w:rsidRPr="00BB2EBE">
        <w:rPr>
          <w:color w:val="auto"/>
          <w:szCs w:val="24"/>
        </w:rPr>
        <w:t xml:space="preserve"> with increased duration and intensity of pain.  </w:t>
      </w:r>
      <w:r w:rsidRPr="00BB2EBE">
        <w:rPr>
          <w:color w:val="auto"/>
          <w:szCs w:val="24"/>
        </w:rPr>
        <w:t xml:space="preserve">The MEB physical exam </w:t>
      </w:r>
      <w:r w:rsidR="00BB2EBE" w:rsidRPr="00BB2EBE">
        <w:rPr>
          <w:color w:val="auto"/>
          <w:szCs w:val="24"/>
        </w:rPr>
        <w:t>noted</w:t>
      </w:r>
      <w:r w:rsidR="00E33656" w:rsidRPr="00BB2EBE">
        <w:rPr>
          <w:color w:val="auto"/>
          <w:szCs w:val="24"/>
        </w:rPr>
        <w:t xml:space="preserve"> normal neuromuscular findings to include memory and other cognitive functions.  </w:t>
      </w:r>
      <w:r w:rsidR="00BB2EBE" w:rsidRPr="00BB2EBE">
        <w:rPr>
          <w:color w:val="auto"/>
          <w:szCs w:val="24"/>
        </w:rPr>
        <w:t>The neurologist d</w:t>
      </w:r>
      <w:r w:rsidR="00E33656" w:rsidRPr="00BB2EBE">
        <w:rPr>
          <w:color w:val="auto"/>
          <w:szCs w:val="24"/>
        </w:rPr>
        <w:t>iagnos</w:t>
      </w:r>
      <w:r w:rsidR="00BB2EBE" w:rsidRPr="00BB2EBE">
        <w:rPr>
          <w:color w:val="auto"/>
          <w:szCs w:val="24"/>
        </w:rPr>
        <w:t>ed</w:t>
      </w:r>
      <w:r w:rsidR="00E33656" w:rsidRPr="00BB2EBE">
        <w:rPr>
          <w:color w:val="auto"/>
          <w:szCs w:val="24"/>
        </w:rPr>
        <w:t xml:space="preserve"> chronic migraine headache and episodic tension-type headache, </w:t>
      </w:r>
      <w:r w:rsidR="00BB2EBE" w:rsidRPr="00BB2EBE">
        <w:rPr>
          <w:color w:val="auto"/>
          <w:szCs w:val="24"/>
        </w:rPr>
        <w:t xml:space="preserve">and </w:t>
      </w:r>
      <w:r w:rsidR="00E33656" w:rsidRPr="00BB2EBE">
        <w:rPr>
          <w:color w:val="auto"/>
          <w:szCs w:val="24"/>
        </w:rPr>
        <w:t xml:space="preserve">further opined </w:t>
      </w:r>
      <w:r w:rsidR="00BB2EBE" w:rsidRPr="00BB2EBE">
        <w:rPr>
          <w:color w:val="auto"/>
          <w:szCs w:val="24"/>
        </w:rPr>
        <w:t>he continued</w:t>
      </w:r>
      <w:r w:rsidR="00E33656" w:rsidRPr="00BB2EBE">
        <w:rPr>
          <w:color w:val="auto"/>
          <w:szCs w:val="24"/>
        </w:rPr>
        <w:t xml:space="preserve"> to have prostrating and disabling headache episodes</w:t>
      </w:r>
      <w:r w:rsidR="00BB2EBE" w:rsidRPr="00BB2EBE">
        <w:rPr>
          <w:color w:val="auto"/>
          <w:szCs w:val="24"/>
        </w:rPr>
        <w:t xml:space="preserve"> </w:t>
      </w:r>
      <w:r w:rsidR="00E33656" w:rsidRPr="00BB2EBE">
        <w:rPr>
          <w:color w:val="auto"/>
          <w:szCs w:val="24"/>
        </w:rPr>
        <w:t>lasting up to several hours, which significantly limit</w:t>
      </w:r>
      <w:r w:rsidR="0081098E">
        <w:rPr>
          <w:color w:val="auto"/>
          <w:szCs w:val="24"/>
        </w:rPr>
        <w:t>ed</w:t>
      </w:r>
      <w:r w:rsidR="00E33656" w:rsidRPr="00BB2EBE">
        <w:rPr>
          <w:color w:val="auto"/>
          <w:szCs w:val="24"/>
        </w:rPr>
        <w:t xml:space="preserve"> his ability to perform military duties.</w:t>
      </w:r>
      <w:r w:rsidR="00BB2EBE">
        <w:rPr>
          <w:color w:val="auto"/>
          <w:szCs w:val="24"/>
        </w:rPr>
        <w:t xml:space="preserve">  </w:t>
      </w:r>
      <w:r w:rsidR="0081098E">
        <w:rPr>
          <w:color w:val="auto"/>
          <w:szCs w:val="24"/>
        </w:rPr>
        <w:t>A neurology note, completed by a different neurologist, a year prior to the MEB corroborated the MEB diagnosis, treatment and frequency of migraine headaches</w:t>
      </w:r>
      <w:r w:rsidR="001017CF">
        <w:rPr>
          <w:color w:val="auto"/>
          <w:szCs w:val="24"/>
        </w:rPr>
        <w:t xml:space="preserve">.  </w:t>
      </w:r>
      <w:r w:rsidRPr="00F64312">
        <w:rPr>
          <w:color w:val="auto"/>
          <w:szCs w:val="24"/>
        </w:rPr>
        <w:t>At the VA Compensation and Pension (C&amp;P) exam</w:t>
      </w:r>
      <w:r>
        <w:rPr>
          <w:color w:val="auto"/>
          <w:szCs w:val="24"/>
        </w:rPr>
        <w:t xml:space="preserve"> </w:t>
      </w:r>
      <w:r w:rsidR="0058548D">
        <w:rPr>
          <w:color w:val="auto"/>
          <w:szCs w:val="24"/>
        </w:rPr>
        <w:t xml:space="preserve">performed </w:t>
      </w:r>
      <w:r w:rsidR="0081098E">
        <w:rPr>
          <w:color w:val="auto"/>
          <w:szCs w:val="24"/>
        </w:rPr>
        <w:t xml:space="preserve">7 months </w:t>
      </w:r>
      <w:r w:rsidRPr="008834CF">
        <w:rPr>
          <w:color w:val="auto"/>
          <w:szCs w:val="24"/>
        </w:rPr>
        <w:t xml:space="preserve">prior </w:t>
      </w:r>
      <w:r>
        <w:rPr>
          <w:color w:val="auto"/>
          <w:szCs w:val="24"/>
        </w:rPr>
        <w:t>to separation</w:t>
      </w:r>
      <w:r w:rsidRPr="00F64312">
        <w:rPr>
          <w:color w:val="auto"/>
          <w:szCs w:val="24"/>
        </w:rPr>
        <w:t>, the CI reported</w:t>
      </w:r>
      <w:r w:rsidR="00BB2EBE">
        <w:rPr>
          <w:color w:val="auto"/>
          <w:szCs w:val="24"/>
        </w:rPr>
        <w:t xml:space="preserve"> headache attacks every 7 days that would last for 4 hours</w:t>
      </w:r>
      <w:r w:rsidR="00461110">
        <w:rPr>
          <w:color w:val="auto"/>
          <w:szCs w:val="24"/>
        </w:rPr>
        <w:t xml:space="preserve"> and he had to stay in bed and was unable to do anyt</w:t>
      </w:r>
      <w:r w:rsidR="00461110" w:rsidRPr="00461110">
        <w:rPr>
          <w:color w:val="auto"/>
          <w:szCs w:val="24"/>
        </w:rPr>
        <w:t xml:space="preserve">hing </w:t>
      </w:r>
      <w:r w:rsidR="0081098E">
        <w:rPr>
          <w:color w:val="auto"/>
          <w:szCs w:val="24"/>
        </w:rPr>
        <w:t>which</w:t>
      </w:r>
      <w:r w:rsidR="00461110" w:rsidRPr="00461110">
        <w:rPr>
          <w:color w:val="auto"/>
          <w:szCs w:val="24"/>
        </w:rPr>
        <w:t xml:space="preserve"> resulted</w:t>
      </w:r>
      <w:r w:rsidR="003C04EA" w:rsidRPr="00461110">
        <w:rPr>
          <w:color w:val="auto"/>
          <w:szCs w:val="24"/>
        </w:rPr>
        <w:t xml:space="preserve"> in 4 days per month of time lost from work.</w:t>
      </w:r>
      <w:r w:rsidR="00461110">
        <w:rPr>
          <w:rFonts w:ascii="Times New Roman" w:hAnsi="Times New Roman" w:cs="Times New Roman"/>
          <w:color w:val="auto"/>
          <w:sz w:val="19"/>
          <w:szCs w:val="19"/>
        </w:rPr>
        <w:t xml:space="preserve">  </w:t>
      </w:r>
      <w:r w:rsidRPr="00F64312">
        <w:rPr>
          <w:color w:val="auto"/>
          <w:szCs w:val="24"/>
        </w:rPr>
        <w:t xml:space="preserve">The </w:t>
      </w:r>
      <w:r>
        <w:rPr>
          <w:color w:val="auto"/>
          <w:szCs w:val="24"/>
        </w:rPr>
        <w:t>C&amp;P</w:t>
      </w:r>
      <w:r w:rsidRPr="00F64312">
        <w:rPr>
          <w:color w:val="auto"/>
          <w:szCs w:val="24"/>
        </w:rPr>
        <w:t xml:space="preserve"> physical exam </w:t>
      </w:r>
      <w:r>
        <w:rPr>
          <w:color w:val="auto"/>
          <w:szCs w:val="24"/>
        </w:rPr>
        <w:t>demonstrated</w:t>
      </w:r>
      <w:r w:rsidR="003C04EA">
        <w:rPr>
          <w:color w:val="auto"/>
          <w:szCs w:val="24"/>
        </w:rPr>
        <w:t xml:space="preserve"> normal neuromuscular findings to include normal behavior, affect, and intact memory.</w:t>
      </w:r>
    </w:p>
    <w:p w:rsidR="0081098E" w:rsidRDefault="0081098E" w:rsidP="00461110">
      <w:pPr>
        <w:tabs>
          <w:tab w:val="left" w:pos="288"/>
          <w:tab w:val="left" w:pos="4752"/>
        </w:tabs>
        <w:jc w:val="both"/>
        <w:rPr>
          <w:color w:val="auto"/>
          <w:szCs w:val="24"/>
        </w:rPr>
      </w:pPr>
    </w:p>
    <w:p w:rsidR="001C50B9" w:rsidRPr="00F64312" w:rsidRDefault="00DD71F7" w:rsidP="001C50B9">
      <w:pPr>
        <w:jc w:val="both"/>
        <w:rPr>
          <w:rFonts w:eastAsia="Calibri" w:cs="Times New Roman"/>
          <w:color w:val="auto"/>
          <w:szCs w:val="24"/>
        </w:rPr>
      </w:pPr>
      <w:r w:rsidRPr="00C5368C">
        <w:rPr>
          <w:rFonts w:cs="Times New Roman"/>
          <w:color w:val="auto"/>
          <w:szCs w:val="24"/>
        </w:rPr>
        <w:t>The Board directs attention</w:t>
      </w:r>
      <w:r w:rsidRPr="00131AFE">
        <w:rPr>
          <w:rFonts w:cs="Times New Roman"/>
          <w:color w:val="auto"/>
          <w:szCs w:val="24"/>
        </w:rPr>
        <w:t xml:space="preserve"> to its rating recommendation based on the above evidence.</w:t>
      </w:r>
      <w:r w:rsidR="00131AFE" w:rsidRPr="00131AFE">
        <w:rPr>
          <w:rFonts w:cs="Times New Roman"/>
          <w:color w:val="auto"/>
          <w:szCs w:val="24"/>
        </w:rPr>
        <w:t xml:space="preserve"> </w:t>
      </w:r>
      <w:r w:rsidR="00131AFE" w:rsidRPr="00131AFE">
        <w:rPr>
          <w:color w:val="auto"/>
          <w:szCs w:val="24"/>
        </w:rPr>
        <w:t xml:space="preserve"> A significant issue confronted in this case is the probative value of the CI’s stated history as it relates to the severity of symptoms.  The Board’s recommendation must incorporate a probative value judgment between the disparate evidence from the service file and the VA’s C&amp;P examination.  The probative value judgment has to acknowledge a normal tendency to maximize symptoms in the context of VA rating evaluations with their attendant secondary gain pressure, but the Board concedes the validity of all evidence unless contradicting evidence can be cited.  There are two service </w:t>
      </w:r>
      <w:r w:rsidR="001017CF">
        <w:rPr>
          <w:color w:val="auto"/>
          <w:szCs w:val="24"/>
        </w:rPr>
        <w:t xml:space="preserve">treatment </w:t>
      </w:r>
      <w:r w:rsidR="001017CF" w:rsidRPr="008B7256">
        <w:rPr>
          <w:color w:val="auto"/>
          <w:szCs w:val="24"/>
        </w:rPr>
        <w:t>record (STR)</w:t>
      </w:r>
      <w:r w:rsidR="001017CF">
        <w:rPr>
          <w:color w:val="auto"/>
          <w:szCs w:val="24"/>
        </w:rPr>
        <w:t xml:space="preserve"> entries</w:t>
      </w:r>
      <w:r w:rsidR="00131AFE" w:rsidRPr="00131AFE">
        <w:rPr>
          <w:color w:val="auto"/>
          <w:szCs w:val="24"/>
        </w:rPr>
        <w:t xml:space="preserve"> by different neurologists who both reported one severe headache a month with an improvement of symptoms within 2-3 hours of Maxalt use.  Therefore the Board considers the MEB exam </w:t>
      </w:r>
      <w:r w:rsidR="00C22B76">
        <w:rPr>
          <w:color w:val="auto"/>
          <w:szCs w:val="24"/>
        </w:rPr>
        <w:t xml:space="preserve">and the </w:t>
      </w:r>
      <w:r w:rsidR="001017CF">
        <w:rPr>
          <w:color w:val="auto"/>
          <w:szCs w:val="24"/>
        </w:rPr>
        <w:t>STR</w:t>
      </w:r>
      <w:r w:rsidR="00131AFE" w:rsidRPr="00131AFE">
        <w:rPr>
          <w:color w:val="auto"/>
          <w:szCs w:val="24"/>
        </w:rPr>
        <w:t xml:space="preserve"> more accurate for its permanent rating recommendation. </w:t>
      </w:r>
      <w:r w:rsidR="001C50B9">
        <w:rPr>
          <w:color w:val="auto"/>
          <w:szCs w:val="24"/>
        </w:rPr>
        <w:t xml:space="preserve"> </w:t>
      </w:r>
      <w:r w:rsidR="003C04EA" w:rsidRPr="001C50B9">
        <w:rPr>
          <w:rFonts w:cs="Times New Roman"/>
          <w:color w:val="auto"/>
          <w:szCs w:val="24"/>
        </w:rPr>
        <w:t xml:space="preserve">The PEB and VA chose different coding options for the condition, </w:t>
      </w:r>
      <w:r w:rsidR="00131AFE" w:rsidRPr="001C50B9">
        <w:rPr>
          <w:color w:val="000000" w:themeColor="text1"/>
          <w:szCs w:val="24"/>
        </w:rPr>
        <w:t>which had significant implications on the rating for the Board to consider</w:t>
      </w:r>
      <w:r w:rsidR="00606A34" w:rsidRPr="001C50B9">
        <w:rPr>
          <w:color w:val="000000" w:themeColor="text1"/>
          <w:szCs w:val="24"/>
        </w:rPr>
        <w:t>.</w:t>
      </w:r>
      <w:r w:rsidR="00131AFE" w:rsidRPr="001C50B9">
        <w:rPr>
          <w:color w:val="000000" w:themeColor="text1"/>
          <w:szCs w:val="24"/>
        </w:rPr>
        <w:t xml:space="preserve"> </w:t>
      </w:r>
      <w:r w:rsidR="00606A34" w:rsidRPr="001C50B9">
        <w:rPr>
          <w:color w:val="000000" w:themeColor="text1"/>
          <w:szCs w:val="24"/>
        </w:rPr>
        <w:t xml:space="preserve"> </w:t>
      </w:r>
      <w:r w:rsidR="00C22B76" w:rsidRPr="001C50B9">
        <w:rPr>
          <w:rFonts w:cs="Times New Roman"/>
          <w:color w:val="auto"/>
          <w:szCs w:val="24"/>
        </w:rPr>
        <w:t xml:space="preserve">The PEB chose to code analogously to 8045 </w:t>
      </w:r>
      <w:r w:rsidR="00C5368C">
        <w:rPr>
          <w:rFonts w:cs="Times New Roman"/>
          <w:color w:val="auto"/>
          <w:szCs w:val="24"/>
        </w:rPr>
        <w:t>code [</w:t>
      </w:r>
      <w:r w:rsidR="00C5368C">
        <w:rPr>
          <w:color w:val="auto"/>
          <w:szCs w:val="24"/>
        </w:rPr>
        <w:t>r</w:t>
      </w:r>
      <w:r w:rsidR="00C22B76" w:rsidRPr="001C50B9">
        <w:rPr>
          <w:color w:val="auto"/>
          <w:szCs w:val="24"/>
        </w:rPr>
        <w:t>esidu</w:t>
      </w:r>
      <w:r w:rsidR="00C5368C">
        <w:rPr>
          <w:color w:val="auto"/>
          <w:szCs w:val="24"/>
        </w:rPr>
        <w:t>als of traumatic brain injury (TBI)</w:t>
      </w:r>
      <w:r w:rsidR="00C5368C">
        <w:rPr>
          <w:rFonts w:cs="Times New Roman"/>
          <w:color w:val="auto"/>
          <w:szCs w:val="24"/>
        </w:rPr>
        <w:t xml:space="preserve">] </w:t>
      </w:r>
      <w:r w:rsidR="00606A34" w:rsidRPr="001C50B9">
        <w:rPr>
          <w:color w:val="auto"/>
          <w:szCs w:val="24"/>
        </w:rPr>
        <w:t xml:space="preserve">which falls under </w:t>
      </w:r>
      <w:r w:rsidR="00C5368C">
        <w:rPr>
          <w:rFonts w:cs="Times New Roman"/>
          <w:color w:val="auto"/>
          <w:szCs w:val="24"/>
        </w:rPr>
        <w:t>§4.124a (s</w:t>
      </w:r>
      <w:r w:rsidR="00606A34" w:rsidRPr="001C50B9">
        <w:rPr>
          <w:rFonts w:cs="Times New Roman"/>
          <w:color w:val="auto"/>
          <w:szCs w:val="24"/>
        </w:rPr>
        <w:t>chedule of ratings–neurological conditions</w:t>
      </w:r>
      <w:r w:rsidR="00C5368C">
        <w:rPr>
          <w:rFonts w:cs="Times New Roman"/>
          <w:color w:val="auto"/>
          <w:szCs w:val="24"/>
        </w:rPr>
        <w:t>)</w:t>
      </w:r>
      <w:r w:rsidR="00606A34" w:rsidRPr="001C50B9">
        <w:rPr>
          <w:rFonts w:cs="Times New Roman"/>
          <w:color w:val="auto"/>
          <w:szCs w:val="24"/>
        </w:rPr>
        <w:t xml:space="preserve"> and convulsive disorders </w:t>
      </w:r>
      <w:r w:rsidR="007219BF" w:rsidRPr="001C50B9">
        <w:rPr>
          <w:color w:val="auto"/>
          <w:szCs w:val="24"/>
        </w:rPr>
        <w:t>with the</w:t>
      </w:r>
      <w:r w:rsidR="00606A34" w:rsidRPr="001C50B9">
        <w:rPr>
          <w:color w:val="auto"/>
          <w:szCs w:val="24"/>
        </w:rPr>
        <w:t xml:space="preserve"> </w:t>
      </w:r>
      <w:r w:rsidR="00C22B76" w:rsidRPr="001C50B9">
        <w:rPr>
          <w:color w:val="auto"/>
          <w:szCs w:val="24"/>
        </w:rPr>
        <w:t>9304</w:t>
      </w:r>
      <w:r w:rsidR="00606A34" w:rsidRPr="001C50B9">
        <w:rPr>
          <w:color w:val="auto"/>
          <w:szCs w:val="24"/>
        </w:rPr>
        <w:t xml:space="preserve"> code</w:t>
      </w:r>
      <w:r w:rsidR="00C22B76" w:rsidRPr="001C50B9">
        <w:rPr>
          <w:color w:val="auto"/>
          <w:szCs w:val="24"/>
        </w:rPr>
        <w:t xml:space="preserve"> (</w:t>
      </w:r>
      <w:r w:rsidR="00C5368C">
        <w:rPr>
          <w:color w:val="auto"/>
          <w:szCs w:val="24"/>
        </w:rPr>
        <w:t>d</w:t>
      </w:r>
      <w:r w:rsidR="00606A34" w:rsidRPr="001C50B9">
        <w:rPr>
          <w:color w:val="auto"/>
          <w:szCs w:val="24"/>
        </w:rPr>
        <w:t xml:space="preserve">ementia due to head trauma) which falls under </w:t>
      </w:r>
      <w:r w:rsidR="00C5368C">
        <w:rPr>
          <w:bCs/>
          <w:color w:val="auto"/>
          <w:szCs w:val="24"/>
        </w:rPr>
        <w:t>§4.130 (</w:t>
      </w:r>
      <w:r w:rsidR="00C5368C">
        <w:rPr>
          <w:rFonts w:cs="Times New Roman"/>
          <w:color w:val="auto"/>
          <w:szCs w:val="24"/>
        </w:rPr>
        <w:t>s</w:t>
      </w:r>
      <w:r w:rsidR="00606A34" w:rsidRPr="001C50B9">
        <w:rPr>
          <w:bCs/>
          <w:color w:val="auto"/>
          <w:szCs w:val="24"/>
        </w:rPr>
        <w:t>chedule of ratings</w:t>
      </w:r>
      <w:r w:rsidR="00C5368C" w:rsidRPr="001C50B9">
        <w:rPr>
          <w:rFonts w:cs="Times New Roman"/>
          <w:color w:val="auto"/>
          <w:szCs w:val="24"/>
        </w:rPr>
        <w:t>–</w:t>
      </w:r>
      <w:r w:rsidR="00606A34" w:rsidRPr="001C50B9">
        <w:rPr>
          <w:bCs/>
          <w:color w:val="auto"/>
          <w:szCs w:val="24"/>
        </w:rPr>
        <w:t>mental disorders</w:t>
      </w:r>
      <w:r w:rsidR="00C5368C">
        <w:rPr>
          <w:bCs/>
          <w:color w:val="auto"/>
          <w:szCs w:val="24"/>
        </w:rPr>
        <w:t>)</w:t>
      </w:r>
      <w:r w:rsidR="00606A34" w:rsidRPr="001C50B9">
        <w:rPr>
          <w:bCs/>
          <w:color w:val="auto"/>
          <w:szCs w:val="24"/>
        </w:rPr>
        <w:t>.</w:t>
      </w:r>
      <w:r w:rsidR="007219BF" w:rsidRPr="001C50B9">
        <w:rPr>
          <w:bCs/>
          <w:color w:val="auto"/>
          <w:szCs w:val="24"/>
        </w:rPr>
        <w:t xml:space="preserve">  </w:t>
      </w:r>
      <w:r w:rsidR="00155CB0" w:rsidRPr="001C50B9">
        <w:rPr>
          <w:bCs/>
          <w:color w:val="auto"/>
          <w:szCs w:val="24"/>
        </w:rPr>
        <w:t xml:space="preserve">The Board agreed while </w:t>
      </w:r>
      <w:r w:rsidR="007219BF" w:rsidRPr="001C50B9">
        <w:rPr>
          <w:bCs/>
          <w:color w:val="auto"/>
          <w:szCs w:val="24"/>
        </w:rPr>
        <w:t>the evidence clearly did not support dementia</w:t>
      </w:r>
      <w:r w:rsidR="00155CB0" w:rsidRPr="001C50B9">
        <w:rPr>
          <w:bCs/>
          <w:color w:val="auto"/>
          <w:szCs w:val="24"/>
        </w:rPr>
        <w:t xml:space="preserve"> the evidence did support a head injury </w:t>
      </w:r>
      <w:r w:rsidR="007219BF" w:rsidRPr="001C50B9">
        <w:rPr>
          <w:bCs/>
          <w:color w:val="auto"/>
          <w:szCs w:val="24"/>
        </w:rPr>
        <w:t xml:space="preserve">which clinically is synonymous to a </w:t>
      </w:r>
      <w:r w:rsidR="00155CB0" w:rsidRPr="001C50B9">
        <w:rPr>
          <w:bCs/>
          <w:color w:val="auto"/>
          <w:szCs w:val="24"/>
        </w:rPr>
        <w:t>mild TBI.  Therefore the Board agreed the PEB</w:t>
      </w:r>
      <w:r w:rsidR="001C50B9" w:rsidRPr="001C50B9">
        <w:rPr>
          <w:bCs/>
          <w:color w:val="auto"/>
          <w:szCs w:val="24"/>
        </w:rPr>
        <w:t xml:space="preserve"> was</w:t>
      </w:r>
      <w:r w:rsidR="00155CB0" w:rsidRPr="001C50B9">
        <w:rPr>
          <w:bCs/>
          <w:color w:val="auto"/>
          <w:szCs w:val="24"/>
        </w:rPr>
        <w:t xml:space="preserve"> consistent with applying the 8045 code to classify th</w:t>
      </w:r>
      <w:r w:rsidR="001C50B9" w:rsidRPr="001C50B9">
        <w:rPr>
          <w:bCs/>
          <w:color w:val="auto"/>
          <w:szCs w:val="24"/>
        </w:rPr>
        <w:t xml:space="preserve">e disabling migraine headaches and </w:t>
      </w:r>
      <w:r w:rsidR="00155CB0" w:rsidRPr="001C50B9">
        <w:rPr>
          <w:bCs/>
          <w:color w:val="auto"/>
          <w:szCs w:val="24"/>
        </w:rPr>
        <w:t>the Board notes that the maximum allowable for this code is 10% for the CI’s separation date.</w:t>
      </w:r>
      <w:r w:rsidR="001C50B9" w:rsidRPr="001C50B9">
        <w:rPr>
          <w:bCs/>
          <w:color w:val="auto"/>
          <w:szCs w:val="24"/>
        </w:rPr>
        <w:t xml:space="preserve"> </w:t>
      </w:r>
      <w:r w:rsidR="007219BF" w:rsidRPr="001C50B9">
        <w:rPr>
          <w:bCs/>
          <w:color w:val="auto"/>
          <w:szCs w:val="24"/>
        </w:rPr>
        <w:t xml:space="preserve"> </w:t>
      </w:r>
      <w:r w:rsidR="00155CB0" w:rsidRPr="001C50B9">
        <w:rPr>
          <w:bCs/>
          <w:color w:val="auto"/>
          <w:szCs w:val="24"/>
        </w:rPr>
        <w:t xml:space="preserve">The VA coded 8100 (migraine) and rated 30%.  The Board notes it was not until September 2008 when a Fast Letter was published which allows an evaluator to adjudicate all residuals of a TBI and to rate each residual under the appropriate diagnostic code.  Therefore the Board agreed </w:t>
      </w:r>
      <w:r w:rsidR="001C50B9" w:rsidRPr="001C50B9">
        <w:rPr>
          <w:bCs/>
          <w:color w:val="auto"/>
          <w:szCs w:val="24"/>
        </w:rPr>
        <w:t xml:space="preserve">based on the time of separation the 8100 code could not be considered for a higher rating.  There was no other viable approach </w:t>
      </w:r>
      <w:r w:rsidR="0058548D">
        <w:rPr>
          <w:bCs/>
          <w:color w:val="auto"/>
          <w:szCs w:val="24"/>
        </w:rPr>
        <w:t>to a higher rating for the post</w:t>
      </w:r>
      <w:r w:rsidR="001C50B9" w:rsidRPr="001C50B9">
        <w:rPr>
          <w:bCs/>
          <w:color w:val="auto"/>
          <w:szCs w:val="24"/>
        </w:rPr>
        <w:t xml:space="preserve">traumatic migraine headache which was countenanced by the VASRD.  </w:t>
      </w:r>
      <w:r w:rsidR="001C50B9" w:rsidRPr="00F6431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1C50B9" w:rsidRPr="001C50B9">
        <w:rPr>
          <w:bCs/>
          <w:color w:val="auto"/>
          <w:szCs w:val="24"/>
        </w:rPr>
        <w:t>posttraumatic migraine headache</w:t>
      </w:r>
      <w:r w:rsidR="001C50B9" w:rsidRPr="00F64312">
        <w:rPr>
          <w:rFonts w:eastAsia="Calibri" w:cs="Times New Roman"/>
          <w:color w:val="auto"/>
          <w:szCs w:val="24"/>
        </w:rPr>
        <w:t xml:space="preserve"> condition.  </w:t>
      </w:r>
    </w:p>
    <w:p w:rsidR="00621822" w:rsidRDefault="00621822" w:rsidP="00B22D42">
      <w:pPr>
        <w:jc w:val="both"/>
        <w:rPr>
          <w:color w:val="auto"/>
          <w:highlight w:val="yellow"/>
        </w:rPr>
      </w:pPr>
    </w:p>
    <w:p w:rsidR="00621822" w:rsidRDefault="00621822" w:rsidP="00B22D42">
      <w:pPr>
        <w:jc w:val="both"/>
        <w:rPr>
          <w:color w:val="auto"/>
          <w:szCs w:val="24"/>
        </w:rPr>
      </w:pPr>
      <w:r w:rsidRPr="00901C86">
        <w:rPr>
          <w:color w:val="auto"/>
          <w:szCs w:val="24"/>
          <w:u w:val="single"/>
        </w:rPr>
        <w:t>Chronic Pain Left Hip and Bilateral Knees</w:t>
      </w:r>
      <w:r w:rsidR="00C5368C">
        <w:rPr>
          <w:color w:val="auto"/>
          <w:szCs w:val="24"/>
          <w:u w:val="single"/>
        </w:rPr>
        <w:t>.</w:t>
      </w:r>
      <w:r w:rsidR="00C5368C">
        <w:rPr>
          <w:color w:val="auto"/>
          <w:szCs w:val="24"/>
        </w:rPr>
        <w:t xml:space="preserve">  </w:t>
      </w:r>
      <w:r w:rsidR="00B50DBE" w:rsidRPr="00901C86">
        <w:rPr>
          <w:color w:val="auto"/>
          <w:szCs w:val="24"/>
        </w:rPr>
        <w:t>The PEB rated left hip pain and bilateral knee pain under the single analogous 5003 (degenerative arthritis) code.  This coding approach is countenanced by AR 635-40 (B.24 f.), but IAW DoDI 6040.44 the Board must apply only VASRD guidance to its recommendation.  The Board must therefore apply separate codes and ratings in its recommendations if compensable ratings for each joint are achieved IAW VASRD §4.71a.  If the Board judges that two or more separate ratings are warranted in such cases, however, it must satisfy the requirement that each “unbundled” condition was unfitting in and of itself.  Since §4.71a criteria are met for separate joint ratings in this case, the Board is pursuing separate rating and fitness evaluations as follows.</w:t>
      </w:r>
    </w:p>
    <w:p w:rsidR="0058548D" w:rsidRPr="00901C86" w:rsidRDefault="0058548D" w:rsidP="00B22D42">
      <w:pPr>
        <w:jc w:val="both"/>
        <w:rPr>
          <w:color w:val="auto"/>
          <w:szCs w:val="24"/>
          <w:u w:val="single"/>
        </w:rPr>
      </w:pPr>
    </w:p>
    <w:p w:rsidR="00836B7B" w:rsidRDefault="00110F15" w:rsidP="0069687C">
      <w:pPr>
        <w:jc w:val="both"/>
        <w:rPr>
          <w:color w:val="auto"/>
          <w:szCs w:val="24"/>
        </w:rPr>
      </w:pPr>
      <w:proofErr w:type="gramStart"/>
      <w:r w:rsidRPr="00901C86">
        <w:rPr>
          <w:color w:val="auto"/>
          <w:u w:val="single"/>
        </w:rPr>
        <w:t xml:space="preserve">Left Hip </w:t>
      </w:r>
      <w:r w:rsidR="00AD2379" w:rsidRPr="00901C86">
        <w:rPr>
          <w:color w:val="auto"/>
          <w:u w:val="single"/>
        </w:rPr>
        <w:t>Condition</w:t>
      </w:r>
      <w:r w:rsidR="00AD2379" w:rsidRPr="00901C86">
        <w:rPr>
          <w:color w:val="auto"/>
        </w:rPr>
        <w:t>.</w:t>
      </w:r>
      <w:proofErr w:type="gramEnd"/>
      <w:r w:rsidR="00AD2379" w:rsidRPr="00901C86">
        <w:rPr>
          <w:color w:val="auto"/>
        </w:rPr>
        <w:t xml:space="preserve"> </w:t>
      </w:r>
      <w:r w:rsidR="00385708" w:rsidRPr="00901C86">
        <w:rPr>
          <w:color w:val="auto"/>
        </w:rPr>
        <w:t xml:space="preserve"> </w:t>
      </w:r>
      <w:r w:rsidR="00DD628D" w:rsidRPr="00901C86">
        <w:rPr>
          <w:color w:val="auto"/>
        </w:rPr>
        <w:t xml:space="preserve">The CI began with an insidious </w:t>
      </w:r>
      <w:r w:rsidR="00FF7152" w:rsidRPr="00901C86">
        <w:rPr>
          <w:color w:val="auto"/>
        </w:rPr>
        <w:t>onset</w:t>
      </w:r>
      <w:r w:rsidR="00DD628D" w:rsidRPr="00901C86">
        <w:rPr>
          <w:color w:val="auto"/>
        </w:rPr>
        <w:t xml:space="preserve"> of left hip pain in </w:t>
      </w:r>
      <w:r w:rsidR="00FF7152" w:rsidRPr="00901C86">
        <w:rPr>
          <w:color w:val="auto"/>
        </w:rPr>
        <w:t>October 2001</w:t>
      </w:r>
      <w:r w:rsidR="00DD628D" w:rsidRPr="00901C86">
        <w:rPr>
          <w:color w:val="auto"/>
        </w:rPr>
        <w:t xml:space="preserve"> which had</w:t>
      </w:r>
      <w:r w:rsidR="00901C86">
        <w:rPr>
          <w:color w:val="auto"/>
        </w:rPr>
        <w:t xml:space="preserve"> </w:t>
      </w:r>
      <w:r w:rsidR="00DD628D" w:rsidRPr="00901C86">
        <w:rPr>
          <w:color w:val="auto"/>
        </w:rPr>
        <w:t>worsened with time.</w:t>
      </w:r>
      <w:r w:rsidR="00FF7152" w:rsidRPr="00901C86">
        <w:rPr>
          <w:color w:val="auto"/>
        </w:rPr>
        <w:t xml:space="preserve"> </w:t>
      </w:r>
      <w:r w:rsidR="00DD628D" w:rsidRPr="00901C86">
        <w:rPr>
          <w:color w:val="auto"/>
        </w:rPr>
        <w:t xml:space="preserve"> </w:t>
      </w:r>
      <w:r w:rsidR="00FF7152" w:rsidRPr="00901C86">
        <w:rPr>
          <w:color w:val="auto"/>
        </w:rPr>
        <w:t>He ha</w:t>
      </w:r>
      <w:r w:rsidR="00DD628D" w:rsidRPr="00901C86">
        <w:rPr>
          <w:color w:val="auto"/>
        </w:rPr>
        <w:t>d</w:t>
      </w:r>
      <w:r w:rsidR="00FF7152" w:rsidRPr="00901C86">
        <w:rPr>
          <w:color w:val="auto"/>
        </w:rPr>
        <w:t xml:space="preserve"> </w:t>
      </w:r>
      <w:r w:rsidR="00DD628D" w:rsidRPr="00901C86">
        <w:rPr>
          <w:color w:val="auto"/>
        </w:rPr>
        <w:t xml:space="preserve">functionally improved </w:t>
      </w:r>
      <w:r w:rsidR="00FF7152" w:rsidRPr="00901C86">
        <w:rPr>
          <w:color w:val="auto"/>
        </w:rPr>
        <w:t xml:space="preserve">with conservative rehabilitation, rest, and use of nonsteroidal </w:t>
      </w:r>
      <w:r w:rsidR="00DD628D" w:rsidRPr="00901C86">
        <w:rPr>
          <w:color w:val="auto"/>
        </w:rPr>
        <w:t xml:space="preserve">anti-inflammatory </w:t>
      </w:r>
      <w:r w:rsidR="00FF7152" w:rsidRPr="00901C86">
        <w:rPr>
          <w:color w:val="auto"/>
        </w:rPr>
        <w:t>medications.</w:t>
      </w:r>
      <w:r w:rsidR="00051676" w:rsidRPr="00901C86">
        <w:rPr>
          <w:color w:val="auto"/>
        </w:rPr>
        <w:t xml:space="preserve">  </w:t>
      </w:r>
      <w:r w:rsidR="0069687C" w:rsidRPr="00901C86">
        <w:rPr>
          <w:color w:val="auto"/>
          <w:szCs w:val="24"/>
        </w:rPr>
        <w:t xml:space="preserve">There were </w:t>
      </w:r>
      <w:r w:rsidR="00C5368C">
        <w:rPr>
          <w:color w:val="auto"/>
          <w:szCs w:val="24"/>
        </w:rPr>
        <w:t>two</w:t>
      </w:r>
      <w:r w:rsidR="00001EFC" w:rsidRPr="00901C86">
        <w:rPr>
          <w:color w:val="auto"/>
          <w:szCs w:val="24"/>
        </w:rPr>
        <w:t xml:space="preserve"> goniometric range</w:t>
      </w:r>
      <w:r w:rsidR="00C5368C">
        <w:rPr>
          <w:color w:val="auto"/>
          <w:szCs w:val="24"/>
        </w:rPr>
        <w:t>-</w:t>
      </w:r>
      <w:r w:rsidR="00001EFC" w:rsidRPr="00901C86">
        <w:rPr>
          <w:color w:val="auto"/>
          <w:szCs w:val="24"/>
        </w:rPr>
        <w:t>of</w:t>
      </w:r>
      <w:r w:rsidR="00C5368C">
        <w:rPr>
          <w:color w:val="auto"/>
          <w:szCs w:val="24"/>
        </w:rPr>
        <w:t>-</w:t>
      </w:r>
      <w:r w:rsidR="0069687C" w:rsidRPr="00C5368C">
        <w:rPr>
          <w:color w:val="auto"/>
          <w:szCs w:val="24"/>
        </w:rPr>
        <w:t>motion (ROM) evaluations</w:t>
      </w:r>
      <w:r w:rsidR="0069687C" w:rsidRPr="00901C86">
        <w:rPr>
          <w:color w:val="auto"/>
          <w:szCs w:val="24"/>
        </w:rPr>
        <w:t xml:space="preserve"> in evidence, with documentation of additional ratable criteria, which the Board weighed in arriving at its rating recommendation; as summarized in the chart below.</w:t>
      </w:r>
      <w:r w:rsidR="00165C7B" w:rsidRPr="00F64312">
        <w:rPr>
          <w:color w:val="auto"/>
          <w:szCs w:val="24"/>
        </w:rPr>
        <w:t xml:space="preserve">  </w:t>
      </w:r>
    </w:p>
    <w:p w:rsidR="001C50B9" w:rsidRDefault="001C50B9" w:rsidP="0069687C">
      <w:pPr>
        <w:jc w:val="both"/>
        <w:rPr>
          <w:color w:val="auto"/>
          <w:szCs w:val="24"/>
        </w:rPr>
      </w:pPr>
    </w:p>
    <w:tbl>
      <w:tblPr>
        <w:tblW w:w="6581" w:type="dxa"/>
        <w:jc w:val="center"/>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81"/>
        <w:gridCol w:w="2250"/>
        <w:gridCol w:w="2250"/>
      </w:tblGrid>
      <w:tr w:rsidR="00F75B75" w:rsidRPr="00F64312" w:rsidTr="00F75B75">
        <w:trPr>
          <w:jc w:val="center"/>
        </w:trPr>
        <w:tc>
          <w:tcPr>
            <w:tcW w:w="2081" w:type="dxa"/>
            <w:shd w:val="clear" w:color="auto" w:fill="D9D9D9" w:themeFill="background1" w:themeFillShade="D9"/>
            <w:vAlign w:val="center"/>
          </w:tcPr>
          <w:p w:rsidR="00F75B75" w:rsidRPr="00F64312" w:rsidRDefault="00F75B75" w:rsidP="00CC3A64">
            <w:pPr>
              <w:contextualSpacing/>
              <w:rPr>
                <w:rFonts w:asciiTheme="majorHAnsi" w:eastAsia="Calibri" w:hAnsiTheme="majorHAnsi" w:cstheme="majorHAnsi"/>
                <w:color w:val="auto"/>
                <w:sz w:val="18"/>
                <w:szCs w:val="18"/>
              </w:rPr>
            </w:pPr>
            <w:r w:rsidRPr="00852C05">
              <w:rPr>
                <w:rFonts w:asciiTheme="majorHAnsi" w:eastAsia="Calibri" w:hAnsiTheme="majorHAnsi" w:cstheme="majorHAnsi"/>
                <w:color w:val="auto"/>
                <w:sz w:val="18"/>
                <w:szCs w:val="18"/>
              </w:rPr>
              <w:t>Left</w:t>
            </w:r>
            <w:r w:rsidRPr="00F64312">
              <w:rPr>
                <w:rFonts w:asciiTheme="majorHAnsi" w:eastAsia="Calibri" w:hAnsiTheme="majorHAnsi" w:cstheme="majorHAnsi"/>
                <w:color w:val="auto"/>
                <w:sz w:val="18"/>
                <w:szCs w:val="18"/>
              </w:rPr>
              <w:t xml:space="preserve"> Hip (Thigh) ROM</w:t>
            </w:r>
          </w:p>
        </w:tc>
        <w:tc>
          <w:tcPr>
            <w:tcW w:w="2250" w:type="dxa"/>
            <w:shd w:val="clear" w:color="auto" w:fill="D9D9D9" w:themeFill="background1" w:themeFillShade="D9"/>
            <w:vAlign w:val="center"/>
          </w:tcPr>
          <w:p w:rsidR="00F75B75" w:rsidRPr="00F64312" w:rsidRDefault="00F75B75" w:rsidP="001C50B9">
            <w:pPr>
              <w:spacing w:line="220" w:lineRule="exact"/>
              <w:contextualSpacing/>
              <w:rPr>
                <w:rFonts w:asciiTheme="majorHAnsi" w:hAnsiTheme="majorHAnsi" w:cstheme="majorHAnsi"/>
                <w:color w:val="auto"/>
                <w:sz w:val="18"/>
                <w:szCs w:val="18"/>
              </w:rPr>
            </w:pPr>
            <w:r>
              <w:rPr>
                <w:rFonts w:asciiTheme="majorHAnsi" w:hAnsiTheme="majorHAnsi" w:cstheme="majorHAnsi"/>
                <w:color w:val="auto"/>
                <w:sz w:val="18"/>
                <w:szCs w:val="18"/>
              </w:rPr>
              <w:t>VA C&amp;P</w:t>
            </w:r>
            <w:r w:rsidRPr="00F64312">
              <w:rPr>
                <w:rFonts w:asciiTheme="majorHAnsi" w:hAnsiTheme="majorHAnsi" w:cstheme="majorHAnsi"/>
                <w:color w:val="auto"/>
                <w:sz w:val="18"/>
                <w:szCs w:val="18"/>
              </w:rPr>
              <w:t xml:space="preserve"> ~</w:t>
            </w:r>
            <w:r>
              <w:rPr>
                <w:rFonts w:asciiTheme="majorHAnsi" w:hAnsiTheme="majorHAnsi" w:cstheme="majorHAnsi"/>
                <w:color w:val="auto"/>
                <w:sz w:val="18"/>
                <w:szCs w:val="18"/>
              </w:rPr>
              <w:t>7</w:t>
            </w:r>
            <w:r w:rsidRPr="00F64312">
              <w:rPr>
                <w:rFonts w:asciiTheme="majorHAnsi" w:hAnsiTheme="majorHAnsi" w:cstheme="majorHAnsi"/>
                <w:color w:val="auto"/>
                <w:sz w:val="18"/>
                <w:szCs w:val="18"/>
              </w:rPr>
              <w:t xml:space="preserve"> Mo. Pre-Sep</w:t>
            </w:r>
          </w:p>
        </w:tc>
        <w:tc>
          <w:tcPr>
            <w:tcW w:w="2250" w:type="dxa"/>
            <w:shd w:val="clear" w:color="auto" w:fill="D9D9D9" w:themeFill="background1" w:themeFillShade="D9"/>
            <w:vAlign w:val="center"/>
          </w:tcPr>
          <w:p w:rsidR="00F75B75" w:rsidRPr="00F64312" w:rsidRDefault="00971208" w:rsidP="001C50B9">
            <w:pPr>
              <w:spacing w:line="220" w:lineRule="exact"/>
              <w:contextualSpacing/>
              <w:rPr>
                <w:rFonts w:asciiTheme="majorHAnsi" w:hAnsiTheme="majorHAnsi" w:cstheme="majorHAnsi"/>
                <w:color w:val="auto"/>
                <w:sz w:val="18"/>
                <w:szCs w:val="18"/>
              </w:rPr>
            </w:pPr>
            <w:r>
              <w:rPr>
                <w:rFonts w:asciiTheme="majorHAnsi" w:hAnsiTheme="majorHAnsi" w:cstheme="majorHAnsi"/>
                <w:color w:val="auto"/>
                <w:sz w:val="18"/>
                <w:szCs w:val="18"/>
              </w:rPr>
              <w:t>NARSUM</w:t>
            </w:r>
            <w:r w:rsidR="00F75B75" w:rsidRPr="00F64312">
              <w:rPr>
                <w:rFonts w:asciiTheme="majorHAnsi" w:hAnsiTheme="majorHAnsi" w:cstheme="majorHAnsi"/>
                <w:color w:val="auto"/>
                <w:sz w:val="18"/>
                <w:szCs w:val="18"/>
              </w:rPr>
              <w:t xml:space="preserve"> ~</w:t>
            </w:r>
            <w:r w:rsidR="00F75B75">
              <w:rPr>
                <w:rFonts w:asciiTheme="majorHAnsi" w:hAnsiTheme="majorHAnsi" w:cstheme="majorHAnsi"/>
                <w:color w:val="auto"/>
                <w:sz w:val="18"/>
                <w:szCs w:val="18"/>
              </w:rPr>
              <w:t>6</w:t>
            </w:r>
            <w:r w:rsidR="00F75B75" w:rsidRPr="00F64312">
              <w:rPr>
                <w:rFonts w:asciiTheme="majorHAnsi" w:hAnsiTheme="majorHAnsi" w:cstheme="majorHAnsi"/>
                <w:color w:val="auto"/>
                <w:sz w:val="18"/>
                <w:szCs w:val="18"/>
              </w:rPr>
              <w:t xml:space="preserve"> Mo. Pre-Sep</w:t>
            </w:r>
          </w:p>
        </w:tc>
      </w:tr>
      <w:tr w:rsidR="00F75B75" w:rsidRPr="00F64312" w:rsidTr="00F75B75">
        <w:trPr>
          <w:jc w:val="center"/>
        </w:trPr>
        <w:tc>
          <w:tcPr>
            <w:tcW w:w="2081" w:type="dxa"/>
            <w:vAlign w:val="center"/>
          </w:tcPr>
          <w:p w:rsidR="00F75B75" w:rsidRPr="00F64312" w:rsidRDefault="00F75B75" w:rsidP="00CC3A64">
            <w:pPr>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Flexion (0-125⁰)</w:t>
            </w:r>
          </w:p>
        </w:tc>
        <w:tc>
          <w:tcPr>
            <w:tcW w:w="2250" w:type="dxa"/>
            <w:vAlign w:val="center"/>
          </w:tcPr>
          <w:p w:rsidR="00F75B75" w:rsidRPr="00F64312" w:rsidRDefault="00F75B75" w:rsidP="00CC3A64">
            <w:pPr>
              <w:contextualSpacing/>
              <w:rPr>
                <w:rFonts w:asciiTheme="majorHAnsi" w:eastAsia="Calibri" w:hAnsiTheme="majorHAnsi" w:cstheme="majorHAnsi"/>
                <w:color w:val="auto"/>
                <w:sz w:val="18"/>
                <w:szCs w:val="18"/>
                <w:highlight w:val="yellow"/>
              </w:rPr>
            </w:pPr>
            <w:r w:rsidRPr="008834CF">
              <w:rPr>
                <w:rFonts w:asciiTheme="majorHAnsi" w:eastAsia="Calibri" w:hAnsiTheme="majorHAnsi" w:cstheme="majorHAnsi"/>
                <w:color w:val="auto"/>
                <w:sz w:val="18"/>
                <w:szCs w:val="18"/>
              </w:rPr>
              <w:t>115⁰</w:t>
            </w:r>
          </w:p>
        </w:tc>
        <w:tc>
          <w:tcPr>
            <w:tcW w:w="2250" w:type="dxa"/>
            <w:vAlign w:val="center"/>
          </w:tcPr>
          <w:p w:rsidR="00F75B75" w:rsidRPr="00F64312" w:rsidRDefault="00F75B75" w:rsidP="00CC3A64">
            <w:pPr>
              <w:contextualSpacing/>
              <w:rPr>
                <w:rFonts w:asciiTheme="majorHAnsi" w:eastAsia="Calibri" w:hAnsiTheme="majorHAnsi" w:cstheme="majorHAnsi"/>
                <w:color w:val="auto"/>
                <w:sz w:val="18"/>
                <w:szCs w:val="18"/>
                <w:highlight w:val="yellow"/>
              </w:rPr>
            </w:pPr>
            <w:r w:rsidRPr="00852C05">
              <w:rPr>
                <w:rFonts w:asciiTheme="majorHAnsi" w:eastAsia="Calibri" w:hAnsiTheme="majorHAnsi" w:cstheme="majorHAnsi"/>
                <w:color w:val="auto"/>
                <w:sz w:val="18"/>
                <w:szCs w:val="18"/>
              </w:rPr>
              <w:t>110⁰</w:t>
            </w:r>
          </w:p>
        </w:tc>
      </w:tr>
      <w:tr w:rsidR="00F75B75" w:rsidRPr="00F64312" w:rsidTr="00F75B75">
        <w:trPr>
          <w:jc w:val="center"/>
        </w:trPr>
        <w:tc>
          <w:tcPr>
            <w:tcW w:w="2081" w:type="dxa"/>
            <w:vAlign w:val="center"/>
          </w:tcPr>
          <w:p w:rsidR="00F75B75" w:rsidRPr="00F64312" w:rsidRDefault="00F75B75" w:rsidP="00CC3A64">
            <w:pPr>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Extension (0-20⁰)</w:t>
            </w:r>
          </w:p>
        </w:tc>
        <w:tc>
          <w:tcPr>
            <w:tcW w:w="2250" w:type="dxa"/>
            <w:vAlign w:val="center"/>
          </w:tcPr>
          <w:p w:rsidR="00F75B75" w:rsidRPr="008834CF" w:rsidRDefault="00621822" w:rsidP="008834CF">
            <w:pPr>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&gt;20</w:t>
            </w:r>
            <w:r w:rsidR="00F75B75" w:rsidRPr="008834CF">
              <w:rPr>
                <w:rFonts w:asciiTheme="majorHAnsi" w:eastAsia="Calibri" w:hAnsiTheme="majorHAnsi" w:cstheme="majorHAnsi"/>
                <w:color w:val="auto"/>
                <w:sz w:val="18"/>
                <w:szCs w:val="18"/>
              </w:rPr>
              <w:t>⁰</w:t>
            </w:r>
          </w:p>
        </w:tc>
        <w:tc>
          <w:tcPr>
            <w:tcW w:w="2250" w:type="dxa"/>
            <w:vAlign w:val="center"/>
          </w:tcPr>
          <w:p w:rsidR="00F75B75" w:rsidRPr="00F64312" w:rsidRDefault="00F75B75" w:rsidP="00CC3A64">
            <w:pPr>
              <w:contextualSpacing/>
              <w:rPr>
                <w:rFonts w:asciiTheme="majorHAnsi" w:eastAsia="Calibri" w:hAnsiTheme="majorHAnsi" w:cstheme="majorHAnsi"/>
                <w:color w:val="auto"/>
                <w:sz w:val="18"/>
                <w:szCs w:val="18"/>
                <w:highlight w:val="yellow"/>
              </w:rPr>
            </w:pPr>
            <w:r w:rsidRPr="001C50B9">
              <w:rPr>
                <w:rFonts w:asciiTheme="majorHAnsi" w:eastAsia="Calibri" w:hAnsiTheme="majorHAnsi" w:cstheme="majorHAnsi"/>
                <w:color w:val="auto"/>
                <w:sz w:val="18"/>
                <w:szCs w:val="18"/>
              </w:rPr>
              <w:t>#⁰</w:t>
            </w:r>
          </w:p>
        </w:tc>
      </w:tr>
      <w:tr w:rsidR="00F75B75" w:rsidRPr="00F64312" w:rsidTr="00F75B75">
        <w:trPr>
          <w:jc w:val="center"/>
        </w:trPr>
        <w:tc>
          <w:tcPr>
            <w:tcW w:w="2081" w:type="dxa"/>
            <w:vAlign w:val="center"/>
          </w:tcPr>
          <w:p w:rsidR="00F75B75" w:rsidRPr="00F64312" w:rsidRDefault="00F75B75" w:rsidP="00CC3A64">
            <w:pPr>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External Rotation (0-45⁰)</w:t>
            </w:r>
          </w:p>
        </w:tc>
        <w:tc>
          <w:tcPr>
            <w:tcW w:w="2250" w:type="dxa"/>
            <w:vAlign w:val="center"/>
          </w:tcPr>
          <w:p w:rsidR="00F75B75" w:rsidRPr="008834CF" w:rsidRDefault="00F75B75" w:rsidP="00CC3A64">
            <w:pPr>
              <w:contextualSpacing/>
              <w:rPr>
                <w:rFonts w:asciiTheme="majorHAnsi" w:eastAsia="Calibri" w:hAnsiTheme="majorHAnsi" w:cstheme="majorHAnsi"/>
                <w:color w:val="auto"/>
                <w:sz w:val="18"/>
                <w:szCs w:val="18"/>
              </w:rPr>
            </w:pPr>
            <w:r w:rsidRPr="008834CF">
              <w:rPr>
                <w:rFonts w:asciiTheme="majorHAnsi" w:eastAsia="Calibri" w:hAnsiTheme="majorHAnsi" w:cstheme="majorHAnsi"/>
                <w:color w:val="auto"/>
                <w:sz w:val="18"/>
                <w:szCs w:val="18"/>
              </w:rPr>
              <w:t>30⁰</w:t>
            </w:r>
          </w:p>
        </w:tc>
        <w:tc>
          <w:tcPr>
            <w:tcW w:w="2250" w:type="dxa"/>
            <w:vAlign w:val="center"/>
          </w:tcPr>
          <w:p w:rsidR="00F75B75" w:rsidRPr="00F64312" w:rsidRDefault="00F75B75" w:rsidP="00CC3A64">
            <w:pPr>
              <w:contextualSpacing/>
              <w:rPr>
                <w:rFonts w:asciiTheme="majorHAnsi" w:eastAsia="Calibri" w:hAnsiTheme="majorHAnsi" w:cstheme="majorHAnsi"/>
                <w:color w:val="auto"/>
                <w:sz w:val="18"/>
                <w:szCs w:val="18"/>
                <w:highlight w:val="yellow"/>
              </w:rPr>
            </w:pPr>
            <w:r w:rsidRPr="00852C05">
              <w:rPr>
                <w:rFonts w:asciiTheme="majorHAnsi" w:eastAsia="Calibri" w:hAnsiTheme="majorHAnsi" w:cstheme="majorHAnsi"/>
                <w:color w:val="auto"/>
                <w:sz w:val="18"/>
                <w:szCs w:val="18"/>
              </w:rPr>
              <w:t>25⁰</w:t>
            </w:r>
          </w:p>
        </w:tc>
      </w:tr>
      <w:tr w:rsidR="00F75B75" w:rsidRPr="00F64312" w:rsidTr="00F75B75">
        <w:trPr>
          <w:jc w:val="center"/>
        </w:trPr>
        <w:tc>
          <w:tcPr>
            <w:tcW w:w="2081" w:type="dxa"/>
            <w:vAlign w:val="center"/>
          </w:tcPr>
          <w:p w:rsidR="00F75B75" w:rsidRPr="00F64312" w:rsidRDefault="00F75B75" w:rsidP="00CC3A64">
            <w:pPr>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Abduction (0-45⁰)</w:t>
            </w:r>
          </w:p>
        </w:tc>
        <w:tc>
          <w:tcPr>
            <w:tcW w:w="2250" w:type="dxa"/>
            <w:vAlign w:val="center"/>
          </w:tcPr>
          <w:p w:rsidR="00F75B75" w:rsidRPr="00F64312" w:rsidRDefault="00F75B75" w:rsidP="00CC3A64">
            <w:pPr>
              <w:contextualSpacing/>
              <w:rPr>
                <w:rFonts w:asciiTheme="majorHAnsi" w:eastAsia="Calibri" w:hAnsiTheme="majorHAnsi" w:cstheme="majorHAnsi"/>
                <w:color w:val="auto"/>
                <w:sz w:val="18"/>
                <w:szCs w:val="18"/>
                <w:highlight w:val="yellow"/>
              </w:rPr>
            </w:pPr>
            <w:r w:rsidRPr="008834CF">
              <w:rPr>
                <w:rFonts w:asciiTheme="majorHAnsi" w:eastAsia="Calibri" w:hAnsiTheme="majorHAnsi" w:cstheme="majorHAnsi"/>
                <w:color w:val="auto"/>
                <w:sz w:val="18"/>
                <w:szCs w:val="18"/>
              </w:rPr>
              <w:t>40⁰</w:t>
            </w:r>
          </w:p>
        </w:tc>
        <w:tc>
          <w:tcPr>
            <w:tcW w:w="2250" w:type="dxa"/>
            <w:vAlign w:val="center"/>
          </w:tcPr>
          <w:p w:rsidR="00F75B75" w:rsidRPr="00F64312" w:rsidRDefault="00F75B75" w:rsidP="00CC3A64">
            <w:pPr>
              <w:contextualSpacing/>
              <w:rPr>
                <w:rFonts w:asciiTheme="majorHAnsi" w:eastAsia="Calibri" w:hAnsiTheme="majorHAnsi" w:cstheme="majorHAnsi"/>
                <w:color w:val="auto"/>
                <w:sz w:val="18"/>
                <w:szCs w:val="18"/>
                <w:highlight w:val="yellow"/>
              </w:rPr>
            </w:pPr>
            <w:r w:rsidRPr="00852C05">
              <w:rPr>
                <w:rFonts w:asciiTheme="majorHAnsi" w:eastAsia="Calibri" w:hAnsiTheme="majorHAnsi" w:cstheme="majorHAnsi"/>
                <w:color w:val="auto"/>
                <w:sz w:val="18"/>
                <w:szCs w:val="18"/>
              </w:rPr>
              <w:t>45⁰</w:t>
            </w:r>
          </w:p>
        </w:tc>
      </w:tr>
      <w:tr w:rsidR="00F75B75" w:rsidRPr="00F64312" w:rsidTr="00F75B75">
        <w:trPr>
          <w:jc w:val="center"/>
        </w:trPr>
        <w:tc>
          <w:tcPr>
            <w:tcW w:w="2081" w:type="dxa"/>
            <w:vAlign w:val="center"/>
          </w:tcPr>
          <w:p w:rsidR="00F75B75" w:rsidRPr="001C50B9" w:rsidRDefault="00F75B75" w:rsidP="00CC3A64">
            <w:pPr>
              <w:contextualSpacing/>
              <w:rPr>
                <w:rFonts w:asciiTheme="majorHAnsi" w:eastAsia="Calibri" w:hAnsiTheme="majorHAnsi" w:cstheme="majorHAnsi"/>
                <w:color w:val="auto"/>
                <w:sz w:val="18"/>
                <w:szCs w:val="18"/>
              </w:rPr>
            </w:pPr>
            <w:r w:rsidRPr="001C50B9">
              <w:rPr>
                <w:rFonts w:asciiTheme="majorHAnsi" w:eastAsia="Calibri" w:hAnsiTheme="majorHAnsi" w:cstheme="majorHAnsi"/>
                <w:color w:val="auto"/>
                <w:sz w:val="18"/>
                <w:szCs w:val="18"/>
              </w:rPr>
              <w:t>Adduction (0-45⁰)</w:t>
            </w:r>
          </w:p>
        </w:tc>
        <w:tc>
          <w:tcPr>
            <w:tcW w:w="2250" w:type="dxa"/>
            <w:vAlign w:val="center"/>
          </w:tcPr>
          <w:p w:rsidR="00F75B75" w:rsidRPr="001C50B9" w:rsidRDefault="00F75B75" w:rsidP="008834CF">
            <w:pPr>
              <w:contextualSpacing/>
              <w:rPr>
                <w:rFonts w:asciiTheme="majorHAnsi" w:eastAsia="Calibri" w:hAnsiTheme="majorHAnsi" w:cstheme="majorHAnsi"/>
                <w:color w:val="auto"/>
                <w:sz w:val="18"/>
                <w:szCs w:val="18"/>
              </w:rPr>
            </w:pPr>
            <w:r w:rsidRPr="001C50B9">
              <w:rPr>
                <w:rFonts w:asciiTheme="majorHAnsi" w:eastAsia="Calibri" w:hAnsiTheme="majorHAnsi" w:cstheme="majorHAnsi"/>
                <w:color w:val="auto"/>
                <w:sz w:val="18"/>
                <w:szCs w:val="18"/>
              </w:rPr>
              <w:t>25⁰</w:t>
            </w:r>
          </w:p>
        </w:tc>
        <w:tc>
          <w:tcPr>
            <w:tcW w:w="2250" w:type="dxa"/>
            <w:vAlign w:val="center"/>
          </w:tcPr>
          <w:p w:rsidR="00F75B75" w:rsidRPr="001C50B9" w:rsidRDefault="00F75B75" w:rsidP="00CC3A64">
            <w:pPr>
              <w:contextualSpacing/>
              <w:rPr>
                <w:rFonts w:asciiTheme="majorHAnsi" w:eastAsia="Calibri" w:hAnsiTheme="majorHAnsi" w:cstheme="majorHAnsi"/>
                <w:color w:val="auto"/>
                <w:sz w:val="18"/>
                <w:szCs w:val="18"/>
              </w:rPr>
            </w:pPr>
            <w:r w:rsidRPr="001C50B9">
              <w:rPr>
                <w:rFonts w:asciiTheme="majorHAnsi" w:eastAsia="Calibri" w:hAnsiTheme="majorHAnsi" w:cstheme="majorHAnsi"/>
                <w:color w:val="auto"/>
                <w:sz w:val="18"/>
                <w:szCs w:val="18"/>
              </w:rPr>
              <w:t>WNL</w:t>
            </w:r>
          </w:p>
        </w:tc>
      </w:tr>
      <w:tr w:rsidR="00F75B75" w:rsidRPr="00F64312" w:rsidTr="00F75B75">
        <w:trPr>
          <w:jc w:val="center"/>
        </w:trPr>
        <w:tc>
          <w:tcPr>
            <w:tcW w:w="2081" w:type="dxa"/>
            <w:vAlign w:val="center"/>
          </w:tcPr>
          <w:p w:rsidR="00F75B75" w:rsidRPr="001C50B9" w:rsidRDefault="00F75B75" w:rsidP="00CC3A64">
            <w:pPr>
              <w:tabs>
                <w:tab w:val="left" w:pos="288"/>
                <w:tab w:val="left" w:pos="4752"/>
              </w:tabs>
              <w:rPr>
                <w:rFonts w:asciiTheme="majorHAnsi" w:eastAsiaTheme="minorHAnsi" w:hAnsiTheme="majorHAnsi" w:cstheme="majorHAnsi"/>
                <w:color w:val="auto"/>
                <w:sz w:val="18"/>
                <w:szCs w:val="18"/>
              </w:rPr>
            </w:pPr>
            <w:r w:rsidRPr="001C50B9">
              <w:rPr>
                <w:rFonts w:asciiTheme="majorHAnsi" w:eastAsiaTheme="minorHAnsi" w:hAnsiTheme="majorHAnsi" w:cstheme="majorHAnsi"/>
                <w:color w:val="auto"/>
                <w:sz w:val="18"/>
                <w:szCs w:val="18"/>
              </w:rPr>
              <w:t>Comment</w:t>
            </w:r>
          </w:p>
        </w:tc>
        <w:tc>
          <w:tcPr>
            <w:tcW w:w="2250" w:type="dxa"/>
            <w:vAlign w:val="center"/>
          </w:tcPr>
          <w:p w:rsidR="00F75B75" w:rsidRPr="001C50B9" w:rsidRDefault="00621822" w:rsidP="00CC3A64">
            <w:pPr>
              <w:pStyle w:val="ListParagraph"/>
              <w:spacing w:after="0" w:line="240" w:lineRule="exact"/>
              <w:ind w:left="0"/>
              <w:rPr>
                <w:rFonts w:asciiTheme="majorHAnsi" w:eastAsia="Calibri" w:hAnsiTheme="majorHAnsi" w:cstheme="majorHAnsi"/>
                <w:sz w:val="18"/>
                <w:szCs w:val="18"/>
              </w:rPr>
            </w:pPr>
            <w:r w:rsidRPr="001C50B9">
              <w:rPr>
                <w:rFonts w:asciiTheme="majorHAnsi" w:eastAsia="Calibri" w:hAnsiTheme="majorHAnsi" w:cstheme="majorHAnsi"/>
                <w:sz w:val="18"/>
                <w:szCs w:val="18"/>
              </w:rPr>
              <w:t>Normal gait, painful motion</w:t>
            </w:r>
          </w:p>
        </w:tc>
        <w:tc>
          <w:tcPr>
            <w:tcW w:w="2250" w:type="dxa"/>
            <w:vAlign w:val="center"/>
          </w:tcPr>
          <w:p w:rsidR="00F75B75" w:rsidRPr="001C50B9" w:rsidRDefault="00F75B75" w:rsidP="00CC3A64">
            <w:pPr>
              <w:pStyle w:val="ListParagraph"/>
              <w:spacing w:after="0" w:line="240" w:lineRule="exact"/>
              <w:ind w:left="0"/>
              <w:rPr>
                <w:rFonts w:asciiTheme="majorHAnsi" w:eastAsia="Calibri" w:hAnsiTheme="majorHAnsi" w:cstheme="majorHAnsi"/>
                <w:sz w:val="18"/>
                <w:szCs w:val="18"/>
              </w:rPr>
            </w:pPr>
          </w:p>
        </w:tc>
      </w:tr>
      <w:tr w:rsidR="00F75B75" w:rsidRPr="00F64312" w:rsidTr="00F75B75">
        <w:trPr>
          <w:jc w:val="center"/>
        </w:trPr>
        <w:tc>
          <w:tcPr>
            <w:tcW w:w="2081" w:type="dxa"/>
            <w:vAlign w:val="center"/>
          </w:tcPr>
          <w:p w:rsidR="00F75B75" w:rsidRPr="001C50B9" w:rsidRDefault="00F75B75" w:rsidP="00CC3A64">
            <w:pPr>
              <w:tabs>
                <w:tab w:val="left" w:pos="288"/>
                <w:tab w:val="left" w:pos="4752"/>
              </w:tabs>
              <w:rPr>
                <w:rFonts w:asciiTheme="majorHAnsi" w:eastAsiaTheme="minorHAnsi" w:hAnsiTheme="majorHAnsi" w:cstheme="majorHAnsi"/>
                <w:color w:val="auto"/>
                <w:sz w:val="18"/>
                <w:szCs w:val="18"/>
              </w:rPr>
            </w:pPr>
            <w:r w:rsidRPr="001C50B9">
              <w:rPr>
                <w:rFonts w:asciiTheme="majorHAnsi" w:eastAsiaTheme="minorHAnsi" w:hAnsiTheme="majorHAnsi" w:cstheme="majorHAnsi"/>
                <w:color w:val="auto"/>
                <w:sz w:val="18"/>
                <w:szCs w:val="18"/>
              </w:rPr>
              <w:t>§4.71a Rating</w:t>
            </w:r>
            <w:r w:rsidR="005F0054" w:rsidRPr="001C50B9">
              <w:rPr>
                <w:rFonts w:asciiTheme="majorHAnsi" w:eastAsiaTheme="minorHAnsi" w:hAnsiTheme="majorHAnsi" w:cstheme="majorHAnsi"/>
                <w:color w:val="auto"/>
                <w:sz w:val="18"/>
                <w:szCs w:val="18"/>
              </w:rPr>
              <w:t>*</w:t>
            </w:r>
          </w:p>
        </w:tc>
        <w:tc>
          <w:tcPr>
            <w:tcW w:w="2250" w:type="dxa"/>
            <w:vAlign w:val="center"/>
          </w:tcPr>
          <w:p w:rsidR="00F75B75" w:rsidRPr="001C50B9" w:rsidRDefault="00621822" w:rsidP="00CC3A64">
            <w:pPr>
              <w:pStyle w:val="ListParagraph"/>
              <w:spacing w:after="0" w:line="240" w:lineRule="exact"/>
              <w:ind w:left="0"/>
              <w:rPr>
                <w:rFonts w:asciiTheme="majorHAnsi" w:eastAsia="Calibri" w:hAnsiTheme="majorHAnsi" w:cstheme="majorHAnsi"/>
                <w:sz w:val="18"/>
                <w:szCs w:val="18"/>
              </w:rPr>
            </w:pPr>
            <w:r w:rsidRPr="001C50B9">
              <w:rPr>
                <w:rFonts w:asciiTheme="majorHAnsi" w:eastAsia="Calibri" w:hAnsiTheme="majorHAnsi" w:cstheme="majorHAnsi"/>
                <w:sz w:val="18"/>
                <w:szCs w:val="18"/>
              </w:rPr>
              <w:t>10</w:t>
            </w:r>
            <w:r w:rsidR="00F75B75" w:rsidRPr="001C50B9">
              <w:rPr>
                <w:rFonts w:asciiTheme="majorHAnsi" w:eastAsia="Calibri" w:hAnsiTheme="majorHAnsi" w:cstheme="majorHAnsi"/>
                <w:sz w:val="18"/>
                <w:szCs w:val="18"/>
              </w:rPr>
              <w:t>%</w:t>
            </w:r>
          </w:p>
        </w:tc>
        <w:tc>
          <w:tcPr>
            <w:tcW w:w="2250" w:type="dxa"/>
            <w:vAlign w:val="center"/>
          </w:tcPr>
          <w:p w:rsidR="00F75B75" w:rsidRPr="001C50B9" w:rsidRDefault="00621822" w:rsidP="00CC3A64">
            <w:pPr>
              <w:pStyle w:val="ListParagraph"/>
              <w:spacing w:after="0" w:line="240" w:lineRule="exact"/>
              <w:ind w:left="0"/>
              <w:rPr>
                <w:rFonts w:asciiTheme="majorHAnsi" w:eastAsia="Calibri" w:hAnsiTheme="majorHAnsi" w:cstheme="majorHAnsi"/>
                <w:sz w:val="18"/>
                <w:szCs w:val="18"/>
              </w:rPr>
            </w:pPr>
            <w:r w:rsidRPr="001C50B9">
              <w:rPr>
                <w:rFonts w:asciiTheme="majorHAnsi" w:eastAsia="Calibri" w:hAnsiTheme="majorHAnsi" w:cstheme="majorHAnsi"/>
                <w:sz w:val="18"/>
                <w:szCs w:val="18"/>
              </w:rPr>
              <w:t>10</w:t>
            </w:r>
            <w:r w:rsidR="00F75B75" w:rsidRPr="001C50B9">
              <w:rPr>
                <w:rFonts w:asciiTheme="majorHAnsi" w:eastAsia="Calibri" w:hAnsiTheme="majorHAnsi" w:cstheme="majorHAnsi"/>
                <w:sz w:val="18"/>
                <w:szCs w:val="18"/>
              </w:rPr>
              <w:t>%</w:t>
            </w:r>
          </w:p>
        </w:tc>
      </w:tr>
    </w:tbl>
    <w:p w:rsidR="00CF0280" w:rsidRPr="00621822" w:rsidRDefault="00621822" w:rsidP="00051676">
      <w:pPr>
        <w:rPr>
          <w:color w:val="auto"/>
          <w:sz w:val="20"/>
        </w:rPr>
      </w:pPr>
      <w:r>
        <w:rPr>
          <w:color w:val="auto"/>
          <w:sz w:val="20"/>
        </w:rPr>
        <w:t>*</w:t>
      </w:r>
      <w:r w:rsidRPr="00621822">
        <w:rPr>
          <w:color w:val="auto"/>
          <w:sz w:val="20"/>
        </w:rPr>
        <w:t>Conceding painful motion 4.59</w:t>
      </w:r>
    </w:p>
    <w:p w:rsidR="00852C05" w:rsidRPr="00F64312" w:rsidRDefault="00852C05" w:rsidP="0069687C">
      <w:pPr>
        <w:jc w:val="both"/>
        <w:rPr>
          <w:color w:val="auto"/>
          <w:szCs w:val="24"/>
        </w:rPr>
      </w:pPr>
    </w:p>
    <w:p w:rsidR="00DD71F7" w:rsidRPr="00B147C7" w:rsidRDefault="00CF0280" w:rsidP="00137444">
      <w:pPr>
        <w:jc w:val="both"/>
        <w:rPr>
          <w:color w:val="auto"/>
          <w:szCs w:val="24"/>
        </w:rPr>
      </w:pPr>
      <w:r w:rsidRPr="00DD628D">
        <w:rPr>
          <w:color w:val="auto"/>
          <w:szCs w:val="24"/>
        </w:rPr>
        <w:t>At the MEB exam, the CI reported</w:t>
      </w:r>
      <w:r w:rsidR="00DD628D" w:rsidRPr="00DD628D">
        <w:rPr>
          <w:color w:val="auto"/>
          <w:szCs w:val="24"/>
        </w:rPr>
        <w:t xml:space="preserve"> hip pain 6 of 10 </w:t>
      </w:r>
      <w:r w:rsidR="001C50B9">
        <w:rPr>
          <w:color w:val="auto"/>
          <w:szCs w:val="24"/>
        </w:rPr>
        <w:t>intensity</w:t>
      </w:r>
      <w:r w:rsidR="00DD628D" w:rsidRPr="00DD628D">
        <w:rPr>
          <w:color w:val="auto"/>
          <w:szCs w:val="24"/>
        </w:rPr>
        <w:t xml:space="preserve"> worsened with prolonged walking </w:t>
      </w:r>
      <w:r w:rsidR="005F0054">
        <w:rPr>
          <w:color w:val="auto"/>
          <w:szCs w:val="24"/>
        </w:rPr>
        <w:t xml:space="preserve">and </w:t>
      </w:r>
      <w:r w:rsidR="00DD628D" w:rsidRPr="00DD628D">
        <w:rPr>
          <w:color w:val="auto"/>
          <w:szCs w:val="24"/>
        </w:rPr>
        <w:t xml:space="preserve">improved with rest and </w:t>
      </w:r>
      <w:r w:rsidR="00610A1E" w:rsidRPr="00DD628D">
        <w:rPr>
          <w:color w:val="auto"/>
          <w:szCs w:val="24"/>
        </w:rPr>
        <w:t>nonsteroidal</w:t>
      </w:r>
      <w:r w:rsidR="005F0054">
        <w:rPr>
          <w:color w:val="auto"/>
          <w:szCs w:val="24"/>
        </w:rPr>
        <w:t xml:space="preserve"> medications</w:t>
      </w:r>
      <w:r w:rsidR="00DD628D" w:rsidRPr="00DD628D">
        <w:rPr>
          <w:color w:val="auto"/>
          <w:szCs w:val="24"/>
        </w:rPr>
        <w:t xml:space="preserve">.  </w:t>
      </w:r>
      <w:r w:rsidRPr="00DD628D">
        <w:rPr>
          <w:color w:val="auto"/>
          <w:szCs w:val="24"/>
        </w:rPr>
        <w:t xml:space="preserve">The MEB physical exam </w:t>
      </w:r>
      <w:r w:rsidR="001C50B9">
        <w:rPr>
          <w:color w:val="auto"/>
          <w:szCs w:val="24"/>
        </w:rPr>
        <w:t>documented</w:t>
      </w:r>
      <w:r w:rsidR="00DD628D" w:rsidRPr="00DD628D">
        <w:rPr>
          <w:color w:val="auto"/>
          <w:szCs w:val="24"/>
        </w:rPr>
        <w:t xml:space="preserve"> a</w:t>
      </w:r>
      <w:r w:rsidR="00FF7152" w:rsidRPr="00DD628D">
        <w:rPr>
          <w:color w:val="auto"/>
          <w:szCs w:val="24"/>
        </w:rPr>
        <w:t xml:space="preserve"> normal gait, </w:t>
      </w:r>
      <w:r w:rsidR="00DD628D" w:rsidRPr="00DD628D">
        <w:rPr>
          <w:color w:val="auto"/>
          <w:szCs w:val="24"/>
        </w:rPr>
        <w:t xml:space="preserve">normal rise from a chair, </w:t>
      </w:r>
      <w:r w:rsidR="00FF7152" w:rsidRPr="00DD628D">
        <w:rPr>
          <w:color w:val="auto"/>
          <w:szCs w:val="24"/>
        </w:rPr>
        <w:t>pain at the extremes of motion in all directions</w:t>
      </w:r>
      <w:r w:rsidR="00DD628D" w:rsidRPr="00DD628D">
        <w:rPr>
          <w:color w:val="auto"/>
          <w:szCs w:val="24"/>
        </w:rPr>
        <w:t>, and normal distal n</w:t>
      </w:r>
      <w:r w:rsidR="00FF7152" w:rsidRPr="00DD628D">
        <w:rPr>
          <w:color w:val="auto"/>
          <w:szCs w:val="24"/>
        </w:rPr>
        <w:t xml:space="preserve">eurological and vascular </w:t>
      </w:r>
      <w:r w:rsidR="00DD628D" w:rsidRPr="00DD628D">
        <w:rPr>
          <w:color w:val="auto"/>
          <w:szCs w:val="24"/>
        </w:rPr>
        <w:t>findings</w:t>
      </w:r>
      <w:r w:rsidR="00FF7152" w:rsidRPr="00DD628D">
        <w:rPr>
          <w:color w:val="auto"/>
          <w:szCs w:val="24"/>
        </w:rPr>
        <w:t>.</w:t>
      </w:r>
      <w:r w:rsidR="00F926E2" w:rsidRPr="00DD628D">
        <w:rPr>
          <w:color w:val="auto"/>
          <w:szCs w:val="24"/>
        </w:rPr>
        <w:t xml:space="preserve"> </w:t>
      </w:r>
      <w:r w:rsidR="00DD628D" w:rsidRPr="00DD628D">
        <w:rPr>
          <w:color w:val="auto"/>
          <w:szCs w:val="24"/>
        </w:rPr>
        <w:t xml:space="preserve"> </w:t>
      </w:r>
      <w:r w:rsidR="00F926E2" w:rsidRPr="00DD628D">
        <w:rPr>
          <w:color w:val="auto"/>
          <w:szCs w:val="24"/>
        </w:rPr>
        <w:t xml:space="preserve">X-rays </w:t>
      </w:r>
      <w:r w:rsidR="00DD628D" w:rsidRPr="00DD628D">
        <w:rPr>
          <w:color w:val="auto"/>
          <w:szCs w:val="24"/>
        </w:rPr>
        <w:t xml:space="preserve">and MRI </w:t>
      </w:r>
      <w:r w:rsidR="00F926E2" w:rsidRPr="00DD628D">
        <w:rPr>
          <w:color w:val="auto"/>
          <w:szCs w:val="24"/>
        </w:rPr>
        <w:t xml:space="preserve">of the left hip </w:t>
      </w:r>
      <w:r w:rsidR="00DD628D" w:rsidRPr="00DD628D">
        <w:rPr>
          <w:color w:val="auto"/>
          <w:szCs w:val="24"/>
        </w:rPr>
        <w:t xml:space="preserve">were </w:t>
      </w:r>
      <w:r w:rsidR="00F926E2" w:rsidRPr="00DD628D">
        <w:rPr>
          <w:color w:val="auto"/>
          <w:szCs w:val="24"/>
        </w:rPr>
        <w:t xml:space="preserve">normal. </w:t>
      </w:r>
      <w:r w:rsidR="00137444">
        <w:rPr>
          <w:color w:val="auto"/>
          <w:szCs w:val="24"/>
        </w:rPr>
        <w:t xml:space="preserve"> </w:t>
      </w:r>
      <w:r w:rsidRPr="00B147C7">
        <w:rPr>
          <w:color w:val="auto"/>
          <w:szCs w:val="24"/>
        </w:rPr>
        <w:t xml:space="preserve">At the VA </w:t>
      </w:r>
      <w:r w:rsidR="00C5368C">
        <w:rPr>
          <w:color w:val="auto"/>
          <w:szCs w:val="24"/>
        </w:rPr>
        <w:t>C&amp;P</w:t>
      </w:r>
      <w:r w:rsidRPr="00B147C7">
        <w:rPr>
          <w:color w:val="auto"/>
          <w:szCs w:val="24"/>
        </w:rPr>
        <w:t xml:space="preserve"> exam</w:t>
      </w:r>
      <w:r w:rsidR="00ED7820" w:rsidRPr="00B147C7">
        <w:rPr>
          <w:color w:val="auto"/>
          <w:szCs w:val="24"/>
        </w:rPr>
        <w:t xml:space="preserve"> </w:t>
      </w:r>
      <w:r w:rsidR="0058548D">
        <w:rPr>
          <w:color w:val="auto"/>
          <w:szCs w:val="24"/>
        </w:rPr>
        <w:t>performed 7</w:t>
      </w:r>
      <w:r w:rsidR="00B147C7">
        <w:rPr>
          <w:color w:val="auto"/>
          <w:szCs w:val="24"/>
        </w:rPr>
        <w:t xml:space="preserve"> months </w:t>
      </w:r>
      <w:r w:rsidR="00ED7820" w:rsidRPr="00B147C7">
        <w:rPr>
          <w:color w:val="auto"/>
          <w:szCs w:val="24"/>
        </w:rPr>
        <w:t>prior separation</w:t>
      </w:r>
      <w:r w:rsidRPr="00B147C7">
        <w:rPr>
          <w:color w:val="auto"/>
          <w:szCs w:val="24"/>
        </w:rPr>
        <w:t>, the CI reported</w:t>
      </w:r>
      <w:r w:rsidR="00DD628D" w:rsidRPr="00B147C7">
        <w:rPr>
          <w:color w:val="auto"/>
          <w:szCs w:val="24"/>
        </w:rPr>
        <w:t xml:space="preserve"> the left hip pain started after his </w:t>
      </w:r>
      <w:r w:rsidR="00621822" w:rsidRPr="00B147C7">
        <w:rPr>
          <w:color w:val="auto"/>
          <w:szCs w:val="24"/>
        </w:rPr>
        <w:t xml:space="preserve">knee problems developed. </w:t>
      </w:r>
      <w:r w:rsidR="00DD628D" w:rsidRPr="00B147C7">
        <w:rPr>
          <w:color w:val="auto"/>
          <w:szCs w:val="24"/>
        </w:rPr>
        <w:t xml:space="preserve"> He reported a tight </w:t>
      </w:r>
      <w:r w:rsidR="00621822" w:rsidRPr="00B147C7">
        <w:rPr>
          <w:color w:val="auto"/>
          <w:szCs w:val="24"/>
        </w:rPr>
        <w:t>sensation of left hip with audible clicking sound and pain after sitting</w:t>
      </w:r>
      <w:r w:rsidR="00C5368C">
        <w:rPr>
          <w:color w:val="auto"/>
          <w:szCs w:val="24"/>
        </w:rPr>
        <w:t xml:space="preserve"> &gt;</w:t>
      </w:r>
      <w:r w:rsidR="00621822" w:rsidRPr="00B147C7">
        <w:rPr>
          <w:color w:val="auto"/>
          <w:szCs w:val="24"/>
        </w:rPr>
        <w:t xml:space="preserve">20 minutes, rated </w:t>
      </w:r>
      <w:r w:rsidR="00B147C7">
        <w:rPr>
          <w:iCs/>
          <w:color w:val="auto"/>
          <w:szCs w:val="24"/>
        </w:rPr>
        <w:t>8</w:t>
      </w:r>
      <w:r w:rsidR="00C5368C">
        <w:rPr>
          <w:iCs/>
          <w:color w:val="auto"/>
          <w:szCs w:val="24"/>
        </w:rPr>
        <w:t xml:space="preserve"> </w:t>
      </w:r>
      <w:r w:rsidR="00B147C7">
        <w:rPr>
          <w:iCs/>
          <w:color w:val="auto"/>
          <w:szCs w:val="24"/>
        </w:rPr>
        <w:t xml:space="preserve">of </w:t>
      </w:r>
      <w:r w:rsidR="00621822" w:rsidRPr="00B147C7">
        <w:rPr>
          <w:iCs/>
          <w:color w:val="auto"/>
          <w:szCs w:val="24"/>
        </w:rPr>
        <w:t>10</w:t>
      </w:r>
      <w:r w:rsidR="00B147C7" w:rsidRPr="00B147C7">
        <w:rPr>
          <w:iCs/>
          <w:color w:val="auto"/>
          <w:szCs w:val="24"/>
        </w:rPr>
        <w:t xml:space="preserve"> </w:t>
      </w:r>
      <w:r w:rsidR="00B147C7">
        <w:rPr>
          <w:iCs/>
          <w:color w:val="auto"/>
          <w:szCs w:val="24"/>
        </w:rPr>
        <w:t>intensity with use of Naprosyn</w:t>
      </w:r>
      <w:r w:rsidR="00B147C7" w:rsidRPr="00B147C7">
        <w:rPr>
          <w:iCs/>
          <w:color w:val="auto"/>
          <w:szCs w:val="24"/>
        </w:rPr>
        <w:t xml:space="preserve"> </w:t>
      </w:r>
      <w:r w:rsidR="00B147C7">
        <w:rPr>
          <w:iCs/>
          <w:color w:val="auto"/>
          <w:szCs w:val="24"/>
        </w:rPr>
        <w:t>(an anti-inflammatory</w:t>
      </w:r>
      <w:r w:rsidR="001C50B9">
        <w:rPr>
          <w:iCs/>
          <w:color w:val="auto"/>
          <w:szCs w:val="24"/>
        </w:rPr>
        <w:t xml:space="preserve"> medication</w:t>
      </w:r>
      <w:r w:rsidR="00B147C7">
        <w:rPr>
          <w:iCs/>
          <w:color w:val="auto"/>
          <w:szCs w:val="24"/>
        </w:rPr>
        <w:t>) twice a day, Flexeril</w:t>
      </w:r>
      <w:r w:rsidR="00B147C7" w:rsidRPr="00B147C7">
        <w:rPr>
          <w:iCs/>
          <w:color w:val="auto"/>
          <w:szCs w:val="24"/>
        </w:rPr>
        <w:t xml:space="preserve"> </w:t>
      </w:r>
      <w:r w:rsidR="001C50B9">
        <w:rPr>
          <w:iCs/>
          <w:color w:val="auto"/>
          <w:szCs w:val="24"/>
        </w:rPr>
        <w:t>(muscle relaxant medication</w:t>
      </w:r>
      <w:r w:rsidR="00B147C7">
        <w:rPr>
          <w:iCs/>
          <w:color w:val="auto"/>
          <w:szCs w:val="24"/>
        </w:rPr>
        <w:t>),</w:t>
      </w:r>
      <w:r w:rsidR="00B147C7" w:rsidRPr="00B147C7">
        <w:rPr>
          <w:iCs/>
          <w:color w:val="auto"/>
          <w:szCs w:val="24"/>
        </w:rPr>
        <w:t xml:space="preserve"> rest</w:t>
      </w:r>
      <w:r w:rsidR="00B147C7">
        <w:rPr>
          <w:iCs/>
          <w:color w:val="auto"/>
          <w:szCs w:val="24"/>
        </w:rPr>
        <w:t>,</w:t>
      </w:r>
      <w:r w:rsidR="00B147C7" w:rsidRPr="00B147C7">
        <w:rPr>
          <w:iCs/>
          <w:color w:val="auto"/>
          <w:szCs w:val="24"/>
        </w:rPr>
        <w:t xml:space="preserve"> ice and stret</w:t>
      </w:r>
      <w:r w:rsidR="00B147C7" w:rsidRPr="00B147C7">
        <w:rPr>
          <w:color w:val="auto"/>
          <w:szCs w:val="24"/>
        </w:rPr>
        <w:t xml:space="preserve">ching for relief of symptoms.  </w:t>
      </w:r>
      <w:r w:rsidR="00B147C7">
        <w:rPr>
          <w:color w:val="auto"/>
          <w:szCs w:val="24"/>
        </w:rPr>
        <w:t xml:space="preserve">He lost </w:t>
      </w:r>
      <w:r w:rsidR="0058548D">
        <w:rPr>
          <w:color w:val="auto"/>
          <w:szCs w:val="24"/>
        </w:rPr>
        <w:t>2</w:t>
      </w:r>
      <w:r w:rsidR="00B147C7">
        <w:rPr>
          <w:color w:val="auto"/>
          <w:szCs w:val="24"/>
        </w:rPr>
        <w:t xml:space="preserve"> days per month from work due to hip pain.</w:t>
      </w:r>
      <w:r w:rsidR="00137444">
        <w:rPr>
          <w:color w:val="auto"/>
          <w:szCs w:val="24"/>
        </w:rPr>
        <w:t xml:space="preserve">  </w:t>
      </w:r>
      <w:r w:rsidR="00DD71F7" w:rsidRPr="00B147C7">
        <w:rPr>
          <w:color w:val="auto"/>
          <w:szCs w:val="24"/>
        </w:rPr>
        <w:t xml:space="preserve">The C&amp;P physical exam </w:t>
      </w:r>
      <w:r w:rsidR="00B147C7" w:rsidRPr="00B147C7">
        <w:rPr>
          <w:color w:val="auto"/>
          <w:szCs w:val="24"/>
        </w:rPr>
        <w:t>noted an abnormal gait</w:t>
      </w:r>
      <w:r w:rsidR="00621822" w:rsidRPr="00B147C7">
        <w:rPr>
          <w:color w:val="auto"/>
          <w:szCs w:val="24"/>
        </w:rPr>
        <w:t>; favoring the left hip and right knee</w:t>
      </w:r>
      <w:r w:rsidR="00B147C7" w:rsidRPr="00B147C7">
        <w:rPr>
          <w:color w:val="auto"/>
          <w:szCs w:val="24"/>
        </w:rPr>
        <w:t>,</w:t>
      </w:r>
      <w:r w:rsidR="00B147C7">
        <w:rPr>
          <w:color w:val="auto"/>
          <w:szCs w:val="24"/>
        </w:rPr>
        <w:t xml:space="preserve"> and </w:t>
      </w:r>
      <w:r w:rsidR="00621822" w:rsidRPr="00B147C7">
        <w:rPr>
          <w:color w:val="auto"/>
          <w:szCs w:val="24"/>
        </w:rPr>
        <w:t xml:space="preserve">tenderness </w:t>
      </w:r>
      <w:r w:rsidR="00B147C7" w:rsidRPr="00B147C7">
        <w:rPr>
          <w:color w:val="auto"/>
          <w:szCs w:val="24"/>
        </w:rPr>
        <w:t>of the anterior left hip region at the insertion</w:t>
      </w:r>
      <w:r w:rsidR="00621822" w:rsidRPr="00B147C7">
        <w:rPr>
          <w:color w:val="auto"/>
          <w:szCs w:val="24"/>
        </w:rPr>
        <w:t xml:space="preserve"> of hip flexor tendons</w:t>
      </w:r>
      <w:r w:rsidR="00B147C7" w:rsidRPr="00B147C7">
        <w:rPr>
          <w:color w:val="auto"/>
          <w:szCs w:val="24"/>
        </w:rPr>
        <w:t>.</w:t>
      </w:r>
    </w:p>
    <w:p w:rsidR="00CF0280" w:rsidRPr="00F64312" w:rsidRDefault="00CF0280" w:rsidP="0069687C">
      <w:pPr>
        <w:jc w:val="both"/>
        <w:rPr>
          <w:color w:val="auto"/>
          <w:szCs w:val="24"/>
        </w:rPr>
      </w:pPr>
    </w:p>
    <w:p w:rsidR="00241B01" w:rsidRPr="00137444" w:rsidRDefault="00AD2379" w:rsidP="00137444">
      <w:pPr>
        <w:tabs>
          <w:tab w:val="left" w:pos="288"/>
          <w:tab w:val="left" w:pos="4752"/>
        </w:tabs>
        <w:jc w:val="both"/>
        <w:rPr>
          <w:rFonts w:cs="Times New Roman"/>
          <w:color w:val="auto"/>
        </w:rPr>
      </w:pPr>
      <w:r w:rsidRPr="00137444">
        <w:rPr>
          <w:rFonts w:cs="Times New Roman"/>
          <w:color w:val="auto"/>
        </w:rPr>
        <w:t>The Board directs attenti</w:t>
      </w:r>
      <w:r w:rsidR="00782CC1" w:rsidRPr="00137444">
        <w:rPr>
          <w:rFonts w:cs="Times New Roman"/>
          <w:color w:val="auto"/>
        </w:rPr>
        <w:t>on to its rating recommendation</w:t>
      </w:r>
      <w:r w:rsidRPr="00137444">
        <w:rPr>
          <w:rFonts w:cs="Times New Roman"/>
          <w:color w:val="auto"/>
        </w:rPr>
        <w:t xml:space="preserve"> </w:t>
      </w:r>
      <w:r w:rsidR="00B13A51" w:rsidRPr="00137444">
        <w:rPr>
          <w:rFonts w:cs="Times New Roman"/>
          <w:color w:val="auto"/>
        </w:rPr>
        <w:t>based on the above evidence</w:t>
      </w:r>
      <w:r w:rsidRPr="00137444">
        <w:rPr>
          <w:rFonts w:cs="Times New Roman"/>
          <w:color w:val="auto"/>
        </w:rPr>
        <w:t>.</w:t>
      </w:r>
      <w:r w:rsidR="00165C7B" w:rsidRPr="00137444">
        <w:rPr>
          <w:rFonts w:cs="Times New Roman"/>
          <w:color w:val="auto"/>
        </w:rPr>
        <w:t xml:space="preserve">  </w:t>
      </w:r>
      <w:r w:rsidR="00137444" w:rsidRPr="00137444">
        <w:rPr>
          <w:rFonts w:cs="Times New Roman"/>
          <w:color w:val="auto"/>
        </w:rPr>
        <w:t xml:space="preserve">The Board first considered </w:t>
      </w:r>
      <w:r w:rsidR="00C5368C">
        <w:rPr>
          <w:rFonts w:cs="Times New Roman"/>
          <w:color w:val="auto"/>
        </w:rPr>
        <w:t>if the left hip, having been de</w:t>
      </w:r>
      <w:r w:rsidR="00137444" w:rsidRPr="00137444">
        <w:rPr>
          <w:rFonts w:cs="Times New Roman"/>
          <w:color w:val="auto"/>
        </w:rPr>
        <w:t xml:space="preserve">coupled from the combined PEB adjudication, remained independently unfitting as established above.  All members agreed that the left hip, as an isolated condition, would have rendered the CI incapable of continued service within his MOS, and accordingly merits a separate rating.  There was evidence in the profile, and in the commander’s statement to distinguish the left hip from the bilateral </w:t>
      </w:r>
      <w:r w:rsidR="00137444" w:rsidRPr="00137444">
        <w:rPr>
          <w:color w:val="auto"/>
          <w:szCs w:val="24"/>
        </w:rPr>
        <w:t xml:space="preserve">knees in terms of duty impairment.  </w:t>
      </w:r>
      <w:r w:rsidR="00621822" w:rsidRPr="00137444">
        <w:rPr>
          <w:color w:val="auto"/>
          <w:szCs w:val="24"/>
        </w:rPr>
        <w:t xml:space="preserve">The Board notes that both the MEB and VA exams were complete, well documented, and compliant with VASRD §4.46 (accurate measurement) and similar in terms of ratable data and therefore the Board assigns both exams equal probative value.  </w:t>
      </w:r>
      <w:r w:rsidR="00B147C7" w:rsidRPr="00137444">
        <w:rPr>
          <w:color w:val="auto"/>
          <w:szCs w:val="24"/>
        </w:rPr>
        <w:t xml:space="preserve">The </w:t>
      </w:r>
      <w:r w:rsidR="00B50DBE" w:rsidRPr="00137444">
        <w:rPr>
          <w:color w:val="auto"/>
          <w:szCs w:val="24"/>
        </w:rPr>
        <w:t xml:space="preserve">PEB assigned </w:t>
      </w:r>
      <w:r w:rsidR="00B147C7" w:rsidRPr="00137444">
        <w:rPr>
          <w:color w:val="auto"/>
          <w:szCs w:val="24"/>
        </w:rPr>
        <w:t xml:space="preserve">a rating </w:t>
      </w:r>
      <w:r w:rsidR="00B50DBE" w:rsidRPr="00137444">
        <w:rPr>
          <w:color w:val="auto"/>
          <w:szCs w:val="24"/>
        </w:rPr>
        <w:t xml:space="preserve">based on slight </w:t>
      </w:r>
      <w:r w:rsidR="00B50DBE" w:rsidRPr="005F0054">
        <w:rPr>
          <w:color w:val="auto"/>
          <w:szCs w:val="24"/>
        </w:rPr>
        <w:t>and constant pain</w:t>
      </w:r>
      <w:r w:rsidR="00137444" w:rsidRPr="005F0054">
        <w:rPr>
          <w:color w:val="auto"/>
          <w:szCs w:val="24"/>
        </w:rPr>
        <w:t xml:space="preserve"> with application of the </w:t>
      </w:r>
      <w:r w:rsidR="00FF29D5" w:rsidRPr="00E63CDA">
        <w:rPr>
          <w:rFonts w:cs="Times New Roman"/>
          <w:color w:val="auto"/>
          <w:szCs w:val="24"/>
        </w:rPr>
        <w:t>USAPDA pain policy</w:t>
      </w:r>
      <w:r w:rsidR="00B147C7" w:rsidRPr="005F0054">
        <w:rPr>
          <w:color w:val="auto"/>
          <w:szCs w:val="24"/>
        </w:rPr>
        <w:t xml:space="preserve">. </w:t>
      </w:r>
      <w:r w:rsidR="00137444" w:rsidRPr="005F0054">
        <w:rPr>
          <w:color w:val="auto"/>
          <w:szCs w:val="24"/>
        </w:rPr>
        <w:t xml:space="preserve"> The VA </w:t>
      </w:r>
      <w:r w:rsidR="00B50DBE" w:rsidRPr="005F0054">
        <w:rPr>
          <w:color w:val="auto"/>
          <w:szCs w:val="24"/>
        </w:rPr>
        <w:t>assigned a 10</w:t>
      </w:r>
      <w:r w:rsidR="00137444" w:rsidRPr="005F0054">
        <w:rPr>
          <w:color w:val="auto"/>
          <w:szCs w:val="24"/>
        </w:rPr>
        <w:t xml:space="preserve">% </w:t>
      </w:r>
      <w:r w:rsidR="00B50DBE" w:rsidRPr="005F0054">
        <w:rPr>
          <w:color w:val="auto"/>
          <w:szCs w:val="24"/>
        </w:rPr>
        <w:t>evaluation</w:t>
      </w:r>
      <w:r w:rsidR="00051676" w:rsidRPr="005F0054">
        <w:rPr>
          <w:color w:val="auto"/>
          <w:szCs w:val="24"/>
        </w:rPr>
        <w:t xml:space="preserve"> coded 5024 (</w:t>
      </w:r>
      <w:r w:rsidR="00C5368C">
        <w:rPr>
          <w:color w:val="auto"/>
          <w:sz w:val="23"/>
          <w:szCs w:val="23"/>
        </w:rPr>
        <w:t>t</w:t>
      </w:r>
      <w:r w:rsidR="00051676" w:rsidRPr="005F0054">
        <w:rPr>
          <w:color w:val="auto"/>
          <w:sz w:val="23"/>
          <w:szCs w:val="23"/>
        </w:rPr>
        <w:t>enosynovitis)</w:t>
      </w:r>
      <w:r w:rsidR="00051676">
        <w:rPr>
          <w:sz w:val="23"/>
          <w:szCs w:val="23"/>
        </w:rPr>
        <w:t xml:space="preserve"> </w:t>
      </w:r>
      <w:r w:rsidR="00B50DBE" w:rsidRPr="00137444">
        <w:rPr>
          <w:color w:val="auto"/>
          <w:szCs w:val="24"/>
        </w:rPr>
        <w:t>based on evidence</w:t>
      </w:r>
      <w:r w:rsidR="00051676">
        <w:rPr>
          <w:color w:val="auto"/>
          <w:szCs w:val="24"/>
        </w:rPr>
        <w:t xml:space="preserve"> of</w:t>
      </w:r>
      <w:r w:rsidR="00B50DBE" w:rsidRPr="00137444">
        <w:rPr>
          <w:color w:val="auto"/>
          <w:szCs w:val="24"/>
        </w:rPr>
        <w:t xml:space="preserve"> painful and </w:t>
      </w:r>
      <w:r w:rsidR="00051676">
        <w:rPr>
          <w:color w:val="auto"/>
          <w:szCs w:val="24"/>
        </w:rPr>
        <w:t xml:space="preserve">non compensable </w:t>
      </w:r>
      <w:r w:rsidR="00B50DBE" w:rsidRPr="00137444">
        <w:rPr>
          <w:color w:val="auto"/>
          <w:szCs w:val="24"/>
        </w:rPr>
        <w:t xml:space="preserve">limited motion of a major joint and </w:t>
      </w:r>
      <w:r w:rsidR="00137444" w:rsidRPr="00137444">
        <w:rPr>
          <w:color w:val="auto"/>
          <w:szCs w:val="24"/>
        </w:rPr>
        <w:t xml:space="preserve">further documented </w:t>
      </w:r>
      <w:r w:rsidR="00B50DBE" w:rsidRPr="00137444">
        <w:rPr>
          <w:color w:val="auto"/>
          <w:szCs w:val="24"/>
        </w:rPr>
        <w:t>this was not a permanent assignment</w:t>
      </w:r>
      <w:r w:rsidR="00137444" w:rsidRPr="00137444">
        <w:rPr>
          <w:color w:val="auto"/>
          <w:szCs w:val="24"/>
        </w:rPr>
        <w:t xml:space="preserve">.  The Board agreed the painful limited ROMs met the minimum 10% criteria IAW §4.59.  </w:t>
      </w:r>
      <w:r w:rsidR="00B50DBE" w:rsidRPr="00137444">
        <w:rPr>
          <w:rFonts w:cs="Times New Roman"/>
          <w:color w:val="auto"/>
        </w:rPr>
        <w:t xml:space="preserve">There was no </w:t>
      </w:r>
      <w:r w:rsidR="008C4C64">
        <w:rPr>
          <w:rFonts w:cs="Times New Roman"/>
          <w:color w:val="auto"/>
        </w:rPr>
        <w:t xml:space="preserve">other </w:t>
      </w:r>
      <w:r w:rsidR="00B50DBE" w:rsidRPr="00137444">
        <w:rPr>
          <w:rFonts w:cs="Times New Roman"/>
          <w:color w:val="auto"/>
        </w:rPr>
        <w:t>viable approach to a higher rating</w:t>
      </w:r>
      <w:r w:rsidR="00137444">
        <w:rPr>
          <w:rFonts w:cs="Times New Roman"/>
          <w:color w:val="auto"/>
        </w:rPr>
        <w:t xml:space="preserve"> or additional rating</w:t>
      </w:r>
      <w:r w:rsidR="00B50DBE" w:rsidRPr="00137444">
        <w:rPr>
          <w:rFonts w:cs="Times New Roman"/>
          <w:color w:val="auto"/>
        </w:rPr>
        <w:t xml:space="preserve"> for the left hip which was countenanced by the VASRD.  </w:t>
      </w:r>
      <w:r w:rsidR="00241B01" w:rsidRPr="00137444">
        <w:rPr>
          <w:rFonts w:eastAsia="Calibri" w:cs="Times New Roman"/>
          <w:color w:val="auto"/>
          <w:szCs w:val="24"/>
        </w:rPr>
        <w:t xml:space="preserve">After due deliberation, considering all of the evidence and mindful of VASRD §4.3 (reasonable doubt), the Board recommends a disability rating of </w:t>
      </w:r>
      <w:r w:rsidR="00B50DBE" w:rsidRPr="00137444">
        <w:rPr>
          <w:rFonts w:eastAsia="Calibri" w:cs="Times New Roman"/>
          <w:color w:val="auto"/>
          <w:szCs w:val="24"/>
        </w:rPr>
        <w:t>10</w:t>
      </w:r>
      <w:r w:rsidR="00241B01" w:rsidRPr="00137444">
        <w:rPr>
          <w:rFonts w:eastAsia="Calibri" w:cs="Times New Roman"/>
          <w:color w:val="auto"/>
          <w:szCs w:val="24"/>
        </w:rPr>
        <w:t xml:space="preserve">% for the </w:t>
      </w:r>
      <w:r w:rsidR="00B50DBE" w:rsidRPr="00137444">
        <w:rPr>
          <w:rFonts w:eastAsia="Calibri" w:cs="Times New Roman"/>
          <w:color w:val="auto"/>
          <w:szCs w:val="24"/>
        </w:rPr>
        <w:t>left hip</w:t>
      </w:r>
      <w:r w:rsidR="00241B01" w:rsidRPr="00137444">
        <w:rPr>
          <w:rFonts w:eastAsia="Calibri" w:cs="Times New Roman"/>
          <w:color w:val="auto"/>
          <w:szCs w:val="24"/>
        </w:rPr>
        <w:t xml:space="preserve"> condition.</w:t>
      </w:r>
      <w:r w:rsidR="00165C7B" w:rsidRPr="00F64312">
        <w:rPr>
          <w:rFonts w:eastAsia="Calibri" w:cs="Times New Roman"/>
          <w:color w:val="auto"/>
          <w:szCs w:val="24"/>
        </w:rPr>
        <w:t xml:space="preserve">  </w:t>
      </w:r>
    </w:p>
    <w:p w:rsidR="008834CF" w:rsidRDefault="008834CF" w:rsidP="001554E4">
      <w:pPr>
        <w:jc w:val="both"/>
        <w:rPr>
          <w:rFonts w:eastAsia="Calibri" w:cs="Times New Roman"/>
          <w:color w:val="auto"/>
          <w:szCs w:val="24"/>
        </w:rPr>
      </w:pPr>
    </w:p>
    <w:p w:rsidR="008834CF" w:rsidRDefault="00F926E2" w:rsidP="008C4C64">
      <w:pPr>
        <w:autoSpaceDE w:val="0"/>
        <w:autoSpaceDN w:val="0"/>
        <w:adjustRightInd w:val="0"/>
        <w:jc w:val="both"/>
        <w:rPr>
          <w:color w:val="auto"/>
          <w:szCs w:val="24"/>
        </w:rPr>
      </w:pPr>
      <w:r w:rsidRPr="00D232EC">
        <w:rPr>
          <w:color w:val="auto"/>
          <w:szCs w:val="24"/>
          <w:u w:val="single"/>
        </w:rPr>
        <w:t>Right and Left Knee Condition</w:t>
      </w:r>
      <w:r w:rsidR="008834CF" w:rsidRPr="00D232EC">
        <w:rPr>
          <w:color w:val="auto"/>
          <w:szCs w:val="24"/>
        </w:rPr>
        <w:t xml:space="preserve">.  </w:t>
      </w:r>
      <w:r w:rsidRPr="00D232EC">
        <w:rPr>
          <w:rFonts w:eastAsia="Calibri"/>
          <w:color w:val="auto"/>
          <w:szCs w:val="24"/>
        </w:rPr>
        <w:t xml:space="preserve">The contended condition </w:t>
      </w:r>
      <w:r w:rsidR="00137444" w:rsidRPr="00D232EC">
        <w:rPr>
          <w:color w:val="auto"/>
          <w:szCs w:val="24"/>
        </w:rPr>
        <w:t>left knee partial anterior cruciate ligament tears</w:t>
      </w:r>
      <w:r w:rsidR="005F0054">
        <w:rPr>
          <w:color w:val="auto"/>
          <w:szCs w:val="24"/>
        </w:rPr>
        <w:t>,</w:t>
      </w:r>
      <w:r w:rsidR="00137444" w:rsidRPr="00D232EC">
        <w:rPr>
          <w:color w:val="auto"/>
          <w:szCs w:val="24"/>
        </w:rPr>
        <w:t xml:space="preserve"> </w:t>
      </w:r>
      <w:r w:rsidRPr="00D232EC">
        <w:rPr>
          <w:rFonts w:eastAsia="Calibri"/>
          <w:color w:val="auto"/>
          <w:szCs w:val="24"/>
        </w:rPr>
        <w:t xml:space="preserve">adjudicated as not unfitting by the </w:t>
      </w:r>
      <w:r w:rsidR="00610A1E" w:rsidRPr="00D232EC">
        <w:rPr>
          <w:rFonts w:eastAsia="Calibri"/>
          <w:color w:val="auto"/>
          <w:szCs w:val="24"/>
        </w:rPr>
        <w:t>PEB</w:t>
      </w:r>
      <w:r w:rsidR="005F0054">
        <w:rPr>
          <w:rFonts w:eastAsia="Calibri"/>
          <w:color w:val="auto"/>
          <w:szCs w:val="24"/>
        </w:rPr>
        <w:t>,</w:t>
      </w:r>
      <w:r w:rsidRPr="00D232EC">
        <w:rPr>
          <w:rFonts w:eastAsia="Calibri"/>
          <w:color w:val="auto"/>
          <w:szCs w:val="24"/>
        </w:rPr>
        <w:t xml:space="preserve"> </w:t>
      </w:r>
      <w:r w:rsidR="00137444" w:rsidRPr="00D232EC">
        <w:rPr>
          <w:rFonts w:eastAsia="Calibri"/>
          <w:color w:val="auto"/>
          <w:szCs w:val="24"/>
        </w:rPr>
        <w:t>is considered in the discussion below.</w:t>
      </w:r>
      <w:r w:rsidRPr="00D232EC">
        <w:rPr>
          <w:rFonts w:eastAsia="Calibri"/>
          <w:color w:val="auto"/>
          <w:szCs w:val="24"/>
        </w:rPr>
        <w:t xml:space="preserve"> </w:t>
      </w:r>
      <w:r w:rsidR="00137444" w:rsidRPr="00D232EC">
        <w:rPr>
          <w:rFonts w:eastAsia="Calibri"/>
          <w:color w:val="auto"/>
          <w:szCs w:val="24"/>
        </w:rPr>
        <w:t xml:space="preserve"> In </w:t>
      </w:r>
      <w:r w:rsidR="00B50DBE" w:rsidRPr="00D232EC">
        <w:rPr>
          <w:color w:val="auto"/>
          <w:szCs w:val="24"/>
        </w:rPr>
        <w:t xml:space="preserve">September 2000, </w:t>
      </w:r>
      <w:r w:rsidR="00137444" w:rsidRPr="00D232EC">
        <w:rPr>
          <w:color w:val="auto"/>
          <w:szCs w:val="24"/>
        </w:rPr>
        <w:t>t</w:t>
      </w:r>
      <w:r w:rsidR="00B50DBE" w:rsidRPr="00D232EC">
        <w:rPr>
          <w:color w:val="auto"/>
          <w:szCs w:val="24"/>
        </w:rPr>
        <w:t>he</w:t>
      </w:r>
      <w:r w:rsidR="00137444" w:rsidRPr="00D232EC">
        <w:rPr>
          <w:color w:val="auto"/>
          <w:szCs w:val="24"/>
        </w:rPr>
        <w:t xml:space="preserve"> </w:t>
      </w:r>
      <w:r w:rsidR="005F0054">
        <w:rPr>
          <w:color w:val="auto"/>
          <w:szCs w:val="24"/>
        </w:rPr>
        <w:t xml:space="preserve">CI </w:t>
      </w:r>
      <w:r w:rsidR="00B50DBE" w:rsidRPr="00D232EC">
        <w:rPr>
          <w:color w:val="auto"/>
          <w:szCs w:val="24"/>
        </w:rPr>
        <w:t>sustained a left knee injury while running, and had an immediate effusion and the</w:t>
      </w:r>
      <w:r w:rsidR="00137444" w:rsidRPr="00D232EC">
        <w:rPr>
          <w:color w:val="auto"/>
          <w:szCs w:val="24"/>
        </w:rPr>
        <w:t xml:space="preserve"> </w:t>
      </w:r>
      <w:r w:rsidR="00B50DBE" w:rsidRPr="00D232EC">
        <w:rPr>
          <w:color w:val="auto"/>
          <w:szCs w:val="24"/>
        </w:rPr>
        <w:t xml:space="preserve">inability to fully straighten his left knee. </w:t>
      </w:r>
      <w:r w:rsidR="00137444" w:rsidRPr="00D232EC">
        <w:rPr>
          <w:color w:val="auto"/>
          <w:szCs w:val="24"/>
        </w:rPr>
        <w:t xml:space="preserve"> </w:t>
      </w:r>
      <w:r w:rsidR="00B50DBE" w:rsidRPr="00D232EC">
        <w:rPr>
          <w:color w:val="auto"/>
          <w:szCs w:val="24"/>
        </w:rPr>
        <w:t xml:space="preserve">He underwent </w:t>
      </w:r>
      <w:r w:rsidR="00137444" w:rsidRPr="00D232EC">
        <w:rPr>
          <w:color w:val="auto"/>
          <w:szCs w:val="24"/>
        </w:rPr>
        <w:t xml:space="preserve">definitive operative care with a </w:t>
      </w:r>
      <w:r w:rsidR="008C4C64">
        <w:rPr>
          <w:color w:val="auto"/>
          <w:szCs w:val="24"/>
        </w:rPr>
        <w:t xml:space="preserve">diagnostic arthroscopy, </w:t>
      </w:r>
      <w:r w:rsidR="00B50DBE" w:rsidRPr="00D232EC">
        <w:rPr>
          <w:color w:val="auto"/>
          <w:szCs w:val="24"/>
        </w:rPr>
        <w:t>ten days after injury</w:t>
      </w:r>
      <w:r w:rsidR="008C4C64">
        <w:rPr>
          <w:color w:val="auto"/>
          <w:szCs w:val="24"/>
        </w:rPr>
        <w:t>,</w:t>
      </w:r>
      <w:r w:rsidR="0052078D" w:rsidRPr="00D232EC">
        <w:rPr>
          <w:color w:val="auto"/>
          <w:szCs w:val="24"/>
        </w:rPr>
        <w:t xml:space="preserve"> with resolution of pain after resecting a Cyclops lesion of the posterior cruciate ligament</w:t>
      </w:r>
      <w:r w:rsidR="00137444" w:rsidRPr="00D232EC">
        <w:rPr>
          <w:color w:val="auto"/>
          <w:szCs w:val="24"/>
        </w:rPr>
        <w:t>.</w:t>
      </w:r>
      <w:r w:rsidR="00B50DBE" w:rsidRPr="00D232EC">
        <w:rPr>
          <w:color w:val="auto"/>
          <w:szCs w:val="24"/>
        </w:rPr>
        <w:t xml:space="preserve"> </w:t>
      </w:r>
      <w:r w:rsidR="00137444" w:rsidRPr="00D232EC">
        <w:rPr>
          <w:color w:val="auto"/>
          <w:szCs w:val="24"/>
        </w:rPr>
        <w:t xml:space="preserve"> </w:t>
      </w:r>
      <w:r w:rsidR="00B50DBE" w:rsidRPr="00D232EC">
        <w:rPr>
          <w:color w:val="auto"/>
          <w:szCs w:val="24"/>
        </w:rPr>
        <w:t>He had some improvement in his</w:t>
      </w:r>
      <w:r w:rsidR="0052078D" w:rsidRPr="00D232EC">
        <w:rPr>
          <w:color w:val="auto"/>
          <w:szCs w:val="24"/>
        </w:rPr>
        <w:t xml:space="preserve"> </w:t>
      </w:r>
      <w:r w:rsidR="00B50DBE" w:rsidRPr="00D232EC">
        <w:rPr>
          <w:color w:val="auto"/>
          <w:szCs w:val="24"/>
        </w:rPr>
        <w:t xml:space="preserve">left knee </w:t>
      </w:r>
      <w:r w:rsidR="00B50DBE" w:rsidRPr="00D232EC">
        <w:rPr>
          <w:color w:val="auto"/>
          <w:szCs w:val="24"/>
        </w:rPr>
        <w:lastRenderedPageBreak/>
        <w:t xml:space="preserve">pain overall. </w:t>
      </w:r>
      <w:r w:rsidR="0052078D" w:rsidRPr="00D232EC">
        <w:rPr>
          <w:color w:val="auto"/>
          <w:szCs w:val="24"/>
        </w:rPr>
        <w:t xml:space="preserve"> In 2002</w:t>
      </w:r>
      <w:r w:rsidR="00B50DBE" w:rsidRPr="00D232EC">
        <w:rPr>
          <w:color w:val="auto"/>
          <w:szCs w:val="24"/>
        </w:rPr>
        <w:t xml:space="preserve">, he noted </w:t>
      </w:r>
      <w:r w:rsidR="00051676" w:rsidRPr="00D232EC">
        <w:rPr>
          <w:color w:val="auto"/>
          <w:szCs w:val="24"/>
        </w:rPr>
        <w:t>a</w:t>
      </w:r>
      <w:r w:rsidR="00B50DBE" w:rsidRPr="00D232EC">
        <w:rPr>
          <w:color w:val="auto"/>
          <w:szCs w:val="24"/>
        </w:rPr>
        <w:t xml:space="preserve"> spontaneous increase of</w:t>
      </w:r>
      <w:r w:rsidR="0052078D" w:rsidRPr="00D232EC">
        <w:rPr>
          <w:color w:val="auto"/>
          <w:szCs w:val="24"/>
        </w:rPr>
        <w:t xml:space="preserve"> </w:t>
      </w:r>
      <w:r w:rsidR="00B50DBE" w:rsidRPr="00D232EC">
        <w:rPr>
          <w:color w:val="auto"/>
          <w:szCs w:val="24"/>
        </w:rPr>
        <w:t>pain in both knees</w:t>
      </w:r>
      <w:r w:rsidR="0052078D" w:rsidRPr="00D232EC">
        <w:rPr>
          <w:color w:val="auto"/>
          <w:szCs w:val="24"/>
        </w:rPr>
        <w:t>,</w:t>
      </w:r>
      <w:r w:rsidR="00B50DBE" w:rsidRPr="00D232EC">
        <w:rPr>
          <w:color w:val="auto"/>
          <w:szCs w:val="24"/>
        </w:rPr>
        <w:t xml:space="preserve"> </w:t>
      </w:r>
      <w:r w:rsidR="0052078D" w:rsidRPr="00D232EC">
        <w:rPr>
          <w:color w:val="auto"/>
          <w:szCs w:val="24"/>
        </w:rPr>
        <w:t xml:space="preserve">6 of 10 in intensity, </w:t>
      </w:r>
      <w:r w:rsidR="00B50DBE" w:rsidRPr="00D232EC">
        <w:rPr>
          <w:color w:val="auto"/>
          <w:szCs w:val="24"/>
        </w:rPr>
        <w:t>worse with deep knee bends, squats, stairs, and</w:t>
      </w:r>
      <w:r w:rsidR="0052078D" w:rsidRPr="00D232EC">
        <w:rPr>
          <w:color w:val="auto"/>
          <w:szCs w:val="24"/>
        </w:rPr>
        <w:t xml:space="preserve"> </w:t>
      </w:r>
      <w:r w:rsidR="00B50DBE" w:rsidRPr="00D232EC">
        <w:rPr>
          <w:color w:val="auto"/>
          <w:szCs w:val="24"/>
        </w:rPr>
        <w:t xml:space="preserve">prolonged sitting. </w:t>
      </w:r>
      <w:r w:rsidR="0052078D" w:rsidRPr="00D232EC">
        <w:rPr>
          <w:color w:val="auto"/>
          <w:szCs w:val="24"/>
        </w:rPr>
        <w:t xml:space="preserve"> At the time of the MEB he</w:t>
      </w:r>
      <w:r w:rsidR="00B50DBE" w:rsidRPr="00D232EC">
        <w:rPr>
          <w:color w:val="auto"/>
          <w:szCs w:val="24"/>
        </w:rPr>
        <w:t xml:space="preserve"> </w:t>
      </w:r>
      <w:r w:rsidR="0052078D" w:rsidRPr="00D232EC">
        <w:rPr>
          <w:color w:val="auto"/>
          <w:szCs w:val="24"/>
        </w:rPr>
        <w:t xml:space="preserve">was using </w:t>
      </w:r>
      <w:r w:rsidR="00B50DBE" w:rsidRPr="00D232EC">
        <w:rPr>
          <w:color w:val="auto"/>
          <w:szCs w:val="24"/>
        </w:rPr>
        <w:t>braces on both knees to decrease the amount of pain</w:t>
      </w:r>
      <w:r w:rsidR="0052078D" w:rsidRPr="00D232EC">
        <w:rPr>
          <w:color w:val="auto"/>
          <w:szCs w:val="24"/>
        </w:rPr>
        <w:t xml:space="preserve"> </w:t>
      </w:r>
      <w:r w:rsidR="00B50DBE" w:rsidRPr="00D232EC">
        <w:rPr>
          <w:color w:val="auto"/>
          <w:szCs w:val="24"/>
        </w:rPr>
        <w:t>that he ha</w:t>
      </w:r>
      <w:r w:rsidR="0052078D" w:rsidRPr="00D232EC">
        <w:rPr>
          <w:color w:val="auto"/>
          <w:szCs w:val="24"/>
        </w:rPr>
        <w:t>d</w:t>
      </w:r>
      <w:r w:rsidR="00B50DBE" w:rsidRPr="00D232EC">
        <w:rPr>
          <w:color w:val="auto"/>
          <w:szCs w:val="24"/>
        </w:rPr>
        <w:t xml:space="preserve">. </w:t>
      </w:r>
      <w:r w:rsidR="00051676" w:rsidRPr="00D232EC">
        <w:rPr>
          <w:color w:val="auto"/>
          <w:szCs w:val="24"/>
        </w:rPr>
        <w:t xml:space="preserve"> The </w:t>
      </w:r>
      <w:r w:rsidR="0058548D">
        <w:rPr>
          <w:color w:val="auto"/>
          <w:szCs w:val="24"/>
        </w:rPr>
        <w:t>c</w:t>
      </w:r>
      <w:r w:rsidR="00051676" w:rsidRPr="00D232EC">
        <w:rPr>
          <w:color w:val="auto"/>
          <w:szCs w:val="24"/>
        </w:rPr>
        <w:t>ommander</w:t>
      </w:r>
      <w:r w:rsidR="0058548D">
        <w:rPr>
          <w:color w:val="auto"/>
          <w:szCs w:val="24"/>
        </w:rPr>
        <w:t>’</w:t>
      </w:r>
      <w:r w:rsidR="00051676" w:rsidRPr="00D232EC">
        <w:rPr>
          <w:color w:val="auto"/>
          <w:szCs w:val="24"/>
        </w:rPr>
        <w:t>s statement specifically detailed deployment pain of the left hip, right knee and that he had suffered a broken left leg during his 6 month deployment in Kosovo</w:t>
      </w:r>
      <w:r w:rsidR="008C4C64">
        <w:rPr>
          <w:color w:val="auto"/>
          <w:szCs w:val="24"/>
        </w:rPr>
        <w:t xml:space="preserve">.  The </w:t>
      </w:r>
      <w:r w:rsidR="0058548D">
        <w:rPr>
          <w:color w:val="auto"/>
          <w:szCs w:val="24"/>
        </w:rPr>
        <w:t>c</w:t>
      </w:r>
      <w:r w:rsidR="008C4C64">
        <w:rPr>
          <w:color w:val="auto"/>
          <w:szCs w:val="24"/>
        </w:rPr>
        <w:t>ommander also documented</w:t>
      </w:r>
      <w:r w:rsidR="00051676" w:rsidRPr="00D232EC">
        <w:rPr>
          <w:color w:val="auto"/>
          <w:szCs w:val="24"/>
        </w:rPr>
        <w:t xml:space="preserve"> the CI declined a</w:t>
      </w:r>
      <w:r w:rsidR="0058548D">
        <w:rPr>
          <w:color w:val="auto"/>
          <w:szCs w:val="24"/>
        </w:rPr>
        <w:t>n</w:t>
      </w:r>
      <w:r w:rsidR="00051676" w:rsidRPr="00D232EC">
        <w:rPr>
          <w:color w:val="auto"/>
          <w:szCs w:val="24"/>
        </w:rPr>
        <w:t xml:space="preserve"> MEB despite</w:t>
      </w:r>
      <w:r w:rsidR="008C4C64">
        <w:rPr>
          <w:color w:val="auto"/>
          <w:szCs w:val="24"/>
        </w:rPr>
        <w:t xml:space="preserve"> being diagnosed with the </w:t>
      </w:r>
      <w:r w:rsidR="00051676" w:rsidRPr="00D232EC">
        <w:rPr>
          <w:color w:val="auto"/>
          <w:szCs w:val="24"/>
        </w:rPr>
        <w:t>chronic chondromalacia of the right and left patella</w:t>
      </w:r>
      <w:r w:rsidR="008C4C64">
        <w:rPr>
          <w:color w:val="auto"/>
          <w:szCs w:val="24"/>
        </w:rPr>
        <w:t xml:space="preserve"> causing pain</w:t>
      </w:r>
      <w:r w:rsidR="00051676" w:rsidRPr="00D232EC">
        <w:rPr>
          <w:color w:val="auto"/>
          <w:szCs w:val="24"/>
        </w:rPr>
        <w:t xml:space="preserve"> and opted to deploy to Kuwait in December 2002.  </w:t>
      </w:r>
      <w:r w:rsidR="008C4C64">
        <w:rPr>
          <w:color w:val="auto"/>
          <w:szCs w:val="24"/>
        </w:rPr>
        <w:t>While there h</w:t>
      </w:r>
      <w:r w:rsidR="00051676" w:rsidRPr="00D232EC">
        <w:rPr>
          <w:color w:val="auto"/>
          <w:szCs w:val="24"/>
        </w:rPr>
        <w:t xml:space="preserve">e injured his right knee while loading casualty into an ambulance and was </w:t>
      </w:r>
      <w:r w:rsidR="00D232EC" w:rsidRPr="00D232EC">
        <w:rPr>
          <w:color w:val="auto"/>
          <w:szCs w:val="24"/>
        </w:rPr>
        <w:t>diagnosed with a medial meniscus tear (MMT) and redeployed</w:t>
      </w:r>
      <w:r w:rsidR="00C5368C">
        <w:rPr>
          <w:color w:val="auto"/>
          <w:szCs w:val="24"/>
        </w:rPr>
        <w:t>.  The battalion s</w:t>
      </w:r>
      <w:r w:rsidR="008C4C64">
        <w:rPr>
          <w:color w:val="auto"/>
          <w:szCs w:val="24"/>
        </w:rPr>
        <w:t>urgeon</w:t>
      </w:r>
      <w:r w:rsidR="00D232EC" w:rsidRPr="00D232EC">
        <w:rPr>
          <w:color w:val="auto"/>
          <w:szCs w:val="24"/>
        </w:rPr>
        <w:t xml:space="preserve"> </w:t>
      </w:r>
      <w:r w:rsidR="008C4C64">
        <w:rPr>
          <w:color w:val="auto"/>
          <w:szCs w:val="24"/>
        </w:rPr>
        <w:t>recommended the CI</w:t>
      </w:r>
      <w:r w:rsidR="00C5368C">
        <w:rPr>
          <w:color w:val="auto"/>
          <w:szCs w:val="24"/>
        </w:rPr>
        <w:t xml:space="preserve"> undergo a</w:t>
      </w:r>
      <w:r w:rsidR="0058548D">
        <w:rPr>
          <w:color w:val="auto"/>
          <w:szCs w:val="24"/>
        </w:rPr>
        <w:t>n</w:t>
      </w:r>
      <w:r w:rsidR="00C5368C">
        <w:rPr>
          <w:color w:val="auto"/>
          <w:szCs w:val="24"/>
        </w:rPr>
        <w:t xml:space="preserve"> MEB.  The c</w:t>
      </w:r>
      <w:r w:rsidR="00D232EC" w:rsidRPr="00D232EC">
        <w:rPr>
          <w:color w:val="auto"/>
          <w:szCs w:val="24"/>
        </w:rPr>
        <w:t xml:space="preserve">ommander further documented </w:t>
      </w:r>
      <w:r w:rsidR="008C4C64">
        <w:rPr>
          <w:color w:val="auto"/>
          <w:szCs w:val="24"/>
        </w:rPr>
        <w:t>the CI</w:t>
      </w:r>
      <w:r w:rsidR="00D232EC" w:rsidRPr="00D232EC">
        <w:rPr>
          <w:color w:val="auto"/>
          <w:szCs w:val="24"/>
        </w:rPr>
        <w:t xml:space="preserve"> was working in his MOS and had made every effort to rehabilitate himself, however his migraines, knees and hip prevent</w:t>
      </w:r>
      <w:r w:rsidR="005F0054">
        <w:rPr>
          <w:color w:val="auto"/>
          <w:szCs w:val="24"/>
        </w:rPr>
        <w:t>ed</w:t>
      </w:r>
      <w:r w:rsidR="00D232EC" w:rsidRPr="00D232EC">
        <w:rPr>
          <w:color w:val="auto"/>
          <w:szCs w:val="24"/>
        </w:rPr>
        <w:t xml:space="preserve"> him from continuing on as a combat medic.  The permanent profile</w:t>
      </w:r>
      <w:r w:rsidR="008C4C64">
        <w:rPr>
          <w:color w:val="auto"/>
          <w:szCs w:val="24"/>
        </w:rPr>
        <w:t xml:space="preserve"> specifically</w:t>
      </w:r>
      <w:r w:rsidR="00D232EC" w:rsidRPr="00D232EC">
        <w:rPr>
          <w:color w:val="auto"/>
          <w:szCs w:val="24"/>
        </w:rPr>
        <w:t xml:space="preserve"> identified the right and left knee with </w:t>
      </w:r>
      <w:r w:rsidR="00734AC8">
        <w:rPr>
          <w:color w:val="auto"/>
          <w:szCs w:val="24"/>
        </w:rPr>
        <w:t xml:space="preserve">the </w:t>
      </w:r>
      <w:r w:rsidR="00D232EC" w:rsidRPr="00D232EC">
        <w:rPr>
          <w:color w:val="auto"/>
          <w:szCs w:val="24"/>
        </w:rPr>
        <w:t>L3 profile with the following limitations; no running, jumping or marching and able to walk, swim or bike at own pace and distance.</w:t>
      </w:r>
      <w:r w:rsidR="008C4C64">
        <w:rPr>
          <w:color w:val="auto"/>
          <w:szCs w:val="24"/>
        </w:rPr>
        <w:t xml:space="preserve">  </w:t>
      </w:r>
      <w:r w:rsidR="008834CF" w:rsidRPr="00F64312">
        <w:rPr>
          <w:color w:val="auto"/>
          <w:szCs w:val="24"/>
        </w:rPr>
        <w:t xml:space="preserve">There were </w:t>
      </w:r>
      <w:r w:rsidR="00C5368C">
        <w:rPr>
          <w:color w:val="auto"/>
          <w:szCs w:val="24"/>
        </w:rPr>
        <w:t xml:space="preserve">two ROM </w:t>
      </w:r>
      <w:r w:rsidR="008834CF" w:rsidRPr="00F64312">
        <w:rPr>
          <w:color w:val="auto"/>
          <w:szCs w:val="24"/>
        </w:rPr>
        <w:t xml:space="preserve">in evidence, with documentation of additional ratable criteria, which the Board weighed in arriving at its rating recommendation; as summarized in the chart below.  </w:t>
      </w:r>
    </w:p>
    <w:p w:rsidR="002E16D1" w:rsidRDefault="002E16D1" w:rsidP="008834CF">
      <w:pPr>
        <w:jc w:val="both"/>
        <w:rPr>
          <w:color w:val="auto"/>
          <w:szCs w:val="24"/>
        </w:rPr>
      </w:pPr>
    </w:p>
    <w:tbl>
      <w:tblPr>
        <w:tblW w:w="7912" w:type="dxa"/>
        <w:jc w:val="center"/>
        <w:tblInd w:w="-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96"/>
        <w:gridCol w:w="1560"/>
        <w:gridCol w:w="1260"/>
        <w:gridCol w:w="1170"/>
        <w:gridCol w:w="1526"/>
      </w:tblGrid>
      <w:tr w:rsidR="002E16D1" w:rsidRPr="003C53E8" w:rsidTr="00D232EC">
        <w:trPr>
          <w:jc w:val="center"/>
        </w:trPr>
        <w:tc>
          <w:tcPr>
            <w:tcW w:w="2396" w:type="dxa"/>
            <w:vMerge w:val="restart"/>
            <w:shd w:val="clear" w:color="auto" w:fill="D9D9D9" w:themeFill="background1" w:themeFillShade="D9"/>
          </w:tcPr>
          <w:p w:rsidR="00D232EC" w:rsidRPr="00977979" w:rsidRDefault="00D232EC" w:rsidP="00CC3A64">
            <w:pPr>
              <w:contextualSpacing/>
              <w:rPr>
                <w:rFonts w:eastAsia="Calibri"/>
                <w:color w:val="auto"/>
                <w:sz w:val="18"/>
                <w:szCs w:val="18"/>
              </w:rPr>
            </w:pPr>
          </w:p>
          <w:p w:rsidR="002E16D1" w:rsidRPr="00977979" w:rsidRDefault="002E16D1" w:rsidP="00CC3A64">
            <w:pPr>
              <w:contextualSpacing/>
              <w:rPr>
                <w:rFonts w:eastAsia="Calibri"/>
                <w:color w:val="auto"/>
                <w:sz w:val="18"/>
                <w:szCs w:val="18"/>
              </w:rPr>
            </w:pPr>
            <w:r w:rsidRPr="00977979">
              <w:rPr>
                <w:rFonts w:eastAsia="Calibri"/>
                <w:color w:val="auto"/>
                <w:sz w:val="18"/>
                <w:szCs w:val="18"/>
              </w:rPr>
              <w:t>L/R Knee ROM</w:t>
            </w:r>
          </w:p>
        </w:tc>
        <w:tc>
          <w:tcPr>
            <w:tcW w:w="2820" w:type="dxa"/>
            <w:gridSpan w:val="2"/>
            <w:shd w:val="clear" w:color="auto" w:fill="D9D9D9" w:themeFill="background1" w:themeFillShade="D9"/>
          </w:tcPr>
          <w:p w:rsidR="002E16D1" w:rsidRPr="00977979" w:rsidRDefault="002E16D1" w:rsidP="008C4C64">
            <w:pPr>
              <w:contextualSpacing/>
              <w:rPr>
                <w:rFonts w:eastAsia="Calibri"/>
                <w:color w:val="auto"/>
                <w:sz w:val="18"/>
                <w:szCs w:val="18"/>
              </w:rPr>
            </w:pPr>
            <w:r w:rsidRPr="00977979">
              <w:rPr>
                <w:rFonts w:eastAsia="Calibri"/>
                <w:color w:val="auto"/>
                <w:sz w:val="18"/>
                <w:szCs w:val="18"/>
              </w:rPr>
              <w:t>VA</w:t>
            </w:r>
            <w:r w:rsidRPr="00977979">
              <w:rPr>
                <w:rFonts w:eastAsiaTheme="minorHAnsi"/>
                <w:color w:val="auto"/>
                <w:sz w:val="18"/>
                <w:szCs w:val="18"/>
              </w:rPr>
              <w:t xml:space="preserve"> C&amp;P </w:t>
            </w:r>
            <w:r w:rsidRPr="00977979">
              <w:rPr>
                <w:rFonts w:eastAsia="Calibri"/>
                <w:color w:val="auto"/>
                <w:sz w:val="18"/>
                <w:szCs w:val="18"/>
              </w:rPr>
              <w:t>MEB – 7 Mo. Pre Sep</w:t>
            </w:r>
          </w:p>
        </w:tc>
        <w:tc>
          <w:tcPr>
            <w:tcW w:w="2696" w:type="dxa"/>
            <w:gridSpan w:val="2"/>
            <w:shd w:val="clear" w:color="auto" w:fill="D9D9D9" w:themeFill="background1" w:themeFillShade="D9"/>
          </w:tcPr>
          <w:p w:rsidR="002E16D1" w:rsidRPr="00977979" w:rsidRDefault="002E16D1" w:rsidP="008C4C64">
            <w:pPr>
              <w:contextualSpacing/>
              <w:rPr>
                <w:rFonts w:eastAsiaTheme="minorHAnsi"/>
                <w:color w:val="auto"/>
                <w:sz w:val="18"/>
                <w:szCs w:val="18"/>
              </w:rPr>
            </w:pPr>
            <w:r w:rsidRPr="00977979">
              <w:rPr>
                <w:rFonts w:eastAsia="Calibri"/>
                <w:color w:val="auto"/>
                <w:sz w:val="18"/>
                <w:szCs w:val="18"/>
              </w:rPr>
              <w:t>MEB</w:t>
            </w:r>
            <w:r w:rsidRPr="00977979">
              <w:rPr>
                <w:rFonts w:eastAsiaTheme="minorHAnsi"/>
                <w:color w:val="auto"/>
                <w:sz w:val="18"/>
                <w:szCs w:val="18"/>
              </w:rPr>
              <w:t xml:space="preserve"> –6 Mo. Pre Sep</w:t>
            </w:r>
          </w:p>
        </w:tc>
      </w:tr>
      <w:tr w:rsidR="002E16D1" w:rsidRPr="003C53E8" w:rsidTr="00D232EC">
        <w:trPr>
          <w:jc w:val="center"/>
        </w:trPr>
        <w:tc>
          <w:tcPr>
            <w:tcW w:w="2396" w:type="dxa"/>
            <w:vMerge/>
            <w:shd w:val="clear" w:color="auto" w:fill="D9D9D9" w:themeFill="background1" w:themeFillShade="D9"/>
          </w:tcPr>
          <w:p w:rsidR="002E16D1" w:rsidRPr="00977979" w:rsidRDefault="002E16D1" w:rsidP="00CC3A64">
            <w:pPr>
              <w:contextualSpacing/>
              <w:rPr>
                <w:rFonts w:eastAsia="Calibri"/>
                <w:color w:val="auto"/>
                <w:sz w:val="18"/>
                <w:szCs w:val="18"/>
              </w:rPr>
            </w:pPr>
          </w:p>
        </w:tc>
        <w:tc>
          <w:tcPr>
            <w:tcW w:w="1560" w:type="dxa"/>
            <w:tcBorders>
              <w:right w:val="single" w:sz="4" w:space="0" w:color="auto"/>
            </w:tcBorders>
            <w:shd w:val="clear" w:color="auto" w:fill="D9D9D9" w:themeFill="background1" w:themeFillShade="D9"/>
            <w:vAlign w:val="center"/>
          </w:tcPr>
          <w:p w:rsidR="002E16D1" w:rsidRPr="00977979" w:rsidRDefault="002E16D1" w:rsidP="00CC3A64">
            <w:pPr>
              <w:contextualSpacing/>
              <w:rPr>
                <w:rFonts w:eastAsia="Calibri"/>
                <w:color w:val="auto"/>
                <w:sz w:val="18"/>
                <w:szCs w:val="18"/>
              </w:rPr>
            </w:pPr>
            <w:r w:rsidRPr="00977979">
              <w:rPr>
                <w:rFonts w:eastAsia="Calibri"/>
                <w:color w:val="auto"/>
                <w:sz w:val="18"/>
                <w:szCs w:val="18"/>
              </w:rPr>
              <w:t>Left</w:t>
            </w:r>
          </w:p>
        </w:tc>
        <w:tc>
          <w:tcPr>
            <w:tcW w:w="1260" w:type="dxa"/>
            <w:tcBorders>
              <w:right w:val="single" w:sz="4" w:space="0" w:color="auto"/>
            </w:tcBorders>
            <w:shd w:val="clear" w:color="auto" w:fill="D9D9D9" w:themeFill="background1" w:themeFillShade="D9"/>
            <w:vAlign w:val="center"/>
          </w:tcPr>
          <w:p w:rsidR="002E16D1" w:rsidRPr="00977979" w:rsidRDefault="002E16D1" w:rsidP="00CC3A64">
            <w:pPr>
              <w:contextualSpacing/>
              <w:rPr>
                <w:rFonts w:eastAsia="Calibri"/>
                <w:color w:val="auto"/>
                <w:sz w:val="18"/>
                <w:szCs w:val="18"/>
              </w:rPr>
            </w:pPr>
            <w:r w:rsidRPr="00977979">
              <w:rPr>
                <w:rFonts w:eastAsia="Calibri"/>
                <w:color w:val="auto"/>
                <w:sz w:val="18"/>
                <w:szCs w:val="18"/>
              </w:rPr>
              <w:t>Right</w:t>
            </w:r>
          </w:p>
        </w:tc>
        <w:tc>
          <w:tcPr>
            <w:tcW w:w="1170" w:type="dxa"/>
            <w:tcBorders>
              <w:left w:val="single" w:sz="4" w:space="0" w:color="auto"/>
              <w:right w:val="single" w:sz="4" w:space="0" w:color="auto"/>
            </w:tcBorders>
            <w:shd w:val="clear" w:color="auto" w:fill="D9D9D9" w:themeFill="background1" w:themeFillShade="D9"/>
            <w:vAlign w:val="center"/>
          </w:tcPr>
          <w:p w:rsidR="002E16D1" w:rsidRPr="00977979" w:rsidRDefault="002E16D1" w:rsidP="00CC3A64">
            <w:pPr>
              <w:contextualSpacing/>
              <w:rPr>
                <w:rFonts w:eastAsia="Calibri"/>
                <w:color w:val="auto"/>
                <w:sz w:val="18"/>
                <w:szCs w:val="18"/>
              </w:rPr>
            </w:pPr>
            <w:r w:rsidRPr="00977979">
              <w:rPr>
                <w:rFonts w:eastAsia="Calibri"/>
                <w:color w:val="auto"/>
                <w:sz w:val="18"/>
                <w:szCs w:val="18"/>
              </w:rPr>
              <w:t>Left</w:t>
            </w:r>
          </w:p>
        </w:tc>
        <w:tc>
          <w:tcPr>
            <w:tcW w:w="1526" w:type="dxa"/>
            <w:tcBorders>
              <w:left w:val="single" w:sz="4" w:space="0" w:color="auto"/>
            </w:tcBorders>
            <w:shd w:val="clear" w:color="auto" w:fill="D9D9D9" w:themeFill="background1" w:themeFillShade="D9"/>
            <w:vAlign w:val="center"/>
          </w:tcPr>
          <w:p w:rsidR="002E16D1" w:rsidRPr="00977979" w:rsidRDefault="002E16D1" w:rsidP="00CC3A64">
            <w:pPr>
              <w:contextualSpacing/>
              <w:rPr>
                <w:rFonts w:eastAsia="Calibri"/>
                <w:color w:val="auto"/>
                <w:sz w:val="18"/>
                <w:szCs w:val="18"/>
              </w:rPr>
            </w:pPr>
            <w:r w:rsidRPr="00977979">
              <w:rPr>
                <w:rFonts w:eastAsia="Calibri"/>
                <w:color w:val="auto"/>
                <w:sz w:val="18"/>
                <w:szCs w:val="18"/>
              </w:rPr>
              <w:t>Right</w:t>
            </w:r>
          </w:p>
        </w:tc>
      </w:tr>
      <w:tr w:rsidR="002E16D1" w:rsidRPr="003C53E8" w:rsidTr="00D232EC">
        <w:trPr>
          <w:jc w:val="center"/>
        </w:trPr>
        <w:tc>
          <w:tcPr>
            <w:tcW w:w="2396" w:type="dxa"/>
          </w:tcPr>
          <w:p w:rsidR="002E16D1" w:rsidRPr="00977979" w:rsidRDefault="002E16D1" w:rsidP="00CC3A64">
            <w:pPr>
              <w:contextualSpacing/>
              <w:rPr>
                <w:rFonts w:eastAsia="Calibri"/>
                <w:color w:val="auto"/>
                <w:sz w:val="18"/>
                <w:szCs w:val="18"/>
              </w:rPr>
            </w:pPr>
            <w:r w:rsidRPr="00977979">
              <w:rPr>
                <w:rFonts w:eastAsia="Calibri"/>
                <w:color w:val="auto"/>
                <w:sz w:val="18"/>
                <w:szCs w:val="18"/>
              </w:rPr>
              <w:t>Flexion 0-140⁰ normal</w:t>
            </w:r>
          </w:p>
        </w:tc>
        <w:tc>
          <w:tcPr>
            <w:tcW w:w="1560" w:type="dxa"/>
            <w:tcBorders>
              <w:right w:val="single" w:sz="4" w:space="0" w:color="auto"/>
            </w:tcBorders>
            <w:vAlign w:val="center"/>
          </w:tcPr>
          <w:p w:rsidR="002E16D1" w:rsidRPr="00977979" w:rsidRDefault="002E16D1" w:rsidP="00CC3A64">
            <w:pPr>
              <w:contextualSpacing/>
              <w:rPr>
                <w:rFonts w:eastAsia="Calibri"/>
                <w:color w:val="auto"/>
                <w:sz w:val="18"/>
                <w:szCs w:val="18"/>
              </w:rPr>
            </w:pPr>
            <w:r w:rsidRPr="00977979">
              <w:rPr>
                <w:rFonts w:eastAsia="Calibri"/>
                <w:color w:val="auto"/>
                <w:sz w:val="18"/>
                <w:szCs w:val="18"/>
              </w:rPr>
              <w:t>140⁰</w:t>
            </w:r>
          </w:p>
        </w:tc>
        <w:tc>
          <w:tcPr>
            <w:tcW w:w="1260" w:type="dxa"/>
            <w:tcBorders>
              <w:left w:val="single" w:sz="4" w:space="0" w:color="auto"/>
            </w:tcBorders>
            <w:vAlign w:val="center"/>
          </w:tcPr>
          <w:p w:rsidR="002E16D1" w:rsidRPr="00977979" w:rsidRDefault="002E16D1" w:rsidP="00CC3A64">
            <w:pPr>
              <w:contextualSpacing/>
              <w:rPr>
                <w:rFonts w:eastAsia="Calibri"/>
                <w:color w:val="auto"/>
                <w:sz w:val="18"/>
                <w:szCs w:val="18"/>
              </w:rPr>
            </w:pPr>
            <w:r w:rsidRPr="00977979">
              <w:rPr>
                <w:rFonts w:eastAsia="Calibri"/>
                <w:color w:val="auto"/>
                <w:sz w:val="18"/>
                <w:szCs w:val="18"/>
              </w:rPr>
              <w:t>140⁰</w:t>
            </w:r>
          </w:p>
        </w:tc>
        <w:tc>
          <w:tcPr>
            <w:tcW w:w="1170" w:type="dxa"/>
            <w:tcBorders>
              <w:right w:val="single" w:sz="4" w:space="0" w:color="auto"/>
            </w:tcBorders>
            <w:vAlign w:val="center"/>
          </w:tcPr>
          <w:p w:rsidR="002E16D1" w:rsidRPr="00977979" w:rsidRDefault="002E16D1" w:rsidP="00CC3A64">
            <w:pPr>
              <w:contextualSpacing/>
              <w:rPr>
                <w:rFonts w:eastAsia="Calibri"/>
                <w:color w:val="auto"/>
                <w:sz w:val="18"/>
                <w:szCs w:val="18"/>
              </w:rPr>
            </w:pPr>
            <w:r w:rsidRPr="00977979">
              <w:rPr>
                <w:rFonts w:eastAsia="Calibri"/>
                <w:color w:val="auto"/>
                <w:sz w:val="18"/>
                <w:szCs w:val="18"/>
              </w:rPr>
              <w:t>135⁰</w:t>
            </w:r>
          </w:p>
        </w:tc>
        <w:tc>
          <w:tcPr>
            <w:tcW w:w="1526" w:type="dxa"/>
            <w:tcBorders>
              <w:left w:val="single" w:sz="4" w:space="0" w:color="auto"/>
            </w:tcBorders>
            <w:vAlign w:val="center"/>
          </w:tcPr>
          <w:p w:rsidR="002E16D1" w:rsidRPr="00977979" w:rsidRDefault="002E16D1" w:rsidP="00CC3A64">
            <w:pPr>
              <w:contextualSpacing/>
              <w:rPr>
                <w:rFonts w:eastAsia="Calibri"/>
                <w:color w:val="auto"/>
                <w:sz w:val="18"/>
                <w:szCs w:val="18"/>
              </w:rPr>
            </w:pPr>
            <w:r w:rsidRPr="00977979">
              <w:rPr>
                <w:rFonts w:eastAsia="Calibri"/>
                <w:color w:val="auto"/>
                <w:sz w:val="18"/>
                <w:szCs w:val="18"/>
              </w:rPr>
              <w:t>135⁰</w:t>
            </w:r>
          </w:p>
        </w:tc>
      </w:tr>
      <w:tr w:rsidR="002E16D1" w:rsidRPr="003C53E8" w:rsidTr="00D232EC">
        <w:trPr>
          <w:jc w:val="center"/>
        </w:trPr>
        <w:tc>
          <w:tcPr>
            <w:tcW w:w="2396" w:type="dxa"/>
          </w:tcPr>
          <w:p w:rsidR="002E16D1" w:rsidRPr="00977979" w:rsidRDefault="002E16D1" w:rsidP="00CC3A64">
            <w:pPr>
              <w:contextualSpacing/>
              <w:rPr>
                <w:rFonts w:eastAsia="Calibri"/>
                <w:color w:val="auto"/>
                <w:sz w:val="18"/>
                <w:szCs w:val="18"/>
              </w:rPr>
            </w:pPr>
            <w:r w:rsidRPr="00977979">
              <w:rPr>
                <w:rFonts w:eastAsia="Calibri"/>
                <w:color w:val="auto"/>
                <w:sz w:val="18"/>
                <w:szCs w:val="18"/>
              </w:rPr>
              <w:t>Combined 240⁰ normal</w:t>
            </w:r>
          </w:p>
        </w:tc>
        <w:tc>
          <w:tcPr>
            <w:tcW w:w="1560" w:type="dxa"/>
            <w:tcBorders>
              <w:right w:val="single" w:sz="4" w:space="0" w:color="auto"/>
            </w:tcBorders>
            <w:vAlign w:val="center"/>
          </w:tcPr>
          <w:p w:rsidR="002E16D1" w:rsidRPr="00977979" w:rsidRDefault="002E16D1" w:rsidP="00CC3A64">
            <w:pPr>
              <w:contextualSpacing/>
              <w:rPr>
                <w:rFonts w:eastAsia="Calibri"/>
                <w:color w:val="auto"/>
                <w:sz w:val="18"/>
                <w:szCs w:val="18"/>
              </w:rPr>
            </w:pPr>
            <w:r w:rsidRPr="00977979">
              <w:rPr>
                <w:rFonts w:eastAsia="Calibri"/>
                <w:color w:val="auto"/>
                <w:sz w:val="18"/>
                <w:szCs w:val="18"/>
              </w:rPr>
              <w:t>0⁰</w:t>
            </w:r>
          </w:p>
        </w:tc>
        <w:tc>
          <w:tcPr>
            <w:tcW w:w="1260" w:type="dxa"/>
            <w:tcBorders>
              <w:left w:val="single" w:sz="4" w:space="0" w:color="auto"/>
            </w:tcBorders>
            <w:vAlign w:val="center"/>
          </w:tcPr>
          <w:p w:rsidR="002E16D1" w:rsidRPr="00977979" w:rsidRDefault="002E16D1" w:rsidP="00CC3A64">
            <w:pPr>
              <w:contextualSpacing/>
              <w:rPr>
                <w:rFonts w:eastAsia="Calibri"/>
                <w:color w:val="auto"/>
                <w:sz w:val="18"/>
                <w:szCs w:val="18"/>
              </w:rPr>
            </w:pPr>
            <w:r w:rsidRPr="00977979">
              <w:rPr>
                <w:rFonts w:eastAsia="Calibri"/>
                <w:color w:val="auto"/>
                <w:sz w:val="18"/>
                <w:szCs w:val="18"/>
              </w:rPr>
              <w:t>0⁰</w:t>
            </w:r>
          </w:p>
        </w:tc>
        <w:tc>
          <w:tcPr>
            <w:tcW w:w="1170" w:type="dxa"/>
            <w:tcBorders>
              <w:right w:val="single" w:sz="4" w:space="0" w:color="auto"/>
            </w:tcBorders>
            <w:vAlign w:val="center"/>
          </w:tcPr>
          <w:p w:rsidR="002E16D1" w:rsidRPr="00977979" w:rsidRDefault="002E16D1" w:rsidP="00CC3A64">
            <w:pPr>
              <w:contextualSpacing/>
              <w:rPr>
                <w:rFonts w:eastAsia="Calibri"/>
                <w:color w:val="auto"/>
                <w:sz w:val="18"/>
                <w:szCs w:val="18"/>
              </w:rPr>
            </w:pPr>
            <w:r w:rsidRPr="00977979">
              <w:rPr>
                <w:rFonts w:eastAsia="Calibri"/>
                <w:color w:val="auto"/>
                <w:sz w:val="18"/>
                <w:szCs w:val="18"/>
              </w:rPr>
              <w:t>0⁰</w:t>
            </w:r>
          </w:p>
        </w:tc>
        <w:tc>
          <w:tcPr>
            <w:tcW w:w="1526" w:type="dxa"/>
            <w:tcBorders>
              <w:left w:val="single" w:sz="4" w:space="0" w:color="auto"/>
            </w:tcBorders>
            <w:vAlign w:val="center"/>
          </w:tcPr>
          <w:p w:rsidR="002E16D1" w:rsidRPr="00977979" w:rsidRDefault="002E16D1" w:rsidP="00CC3A64">
            <w:pPr>
              <w:contextualSpacing/>
              <w:rPr>
                <w:rFonts w:eastAsia="Calibri"/>
                <w:color w:val="auto"/>
                <w:sz w:val="18"/>
                <w:szCs w:val="18"/>
              </w:rPr>
            </w:pPr>
            <w:r w:rsidRPr="00977979">
              <w:rPr>
                <w:rFonts w:eastAsia="Calibri"/>
                <w:color w:val="auto"/>
                <w:sz w:val="18"/>
                <w:szCs w:val="18"/>
              </w:rPr>
              <w:t>0⁰</w:t>
            </w:r>
          </w:p>
        </w:tc>
      </w:tr>
      <w:tr w:rsidR="002E16D1" w:rsidRPr="003C53E8" w:rsidTr="00D232EC">
        <w:trPr>
          <w:jc w:val="center"/>
        </w:trPr>
        <w:tc>
          <w:tcPr>
            <w:tcW w:w="2396" w:type="dxa"/>
          </w:tcPr>
          <w:p w:rsidR="002E16D1" w:rsidRPr="00977979" w:rsidRDefault="002E16D1" w:rsidP="00CC3A64">
            <w:pPr>
              <w:tabs>
                <w:tab w:val="left" w:pos="288"/>
                <w:tab w:val="left" w:pos="4752"/>
              </w:tabs>
              <w:rPr>
                <w:rFonts w:eastAsiaTheme="minorHAnsi"/>
                <w:color w:val="auto"/>
                <w:sz w:val="18"/>
                <w:szCs w:val="18"/>
              </w:rPr>
            </w:pPr>
            <w:r w:rsidRPr="00977979">
              <w:rPr>
                <w:rFonts w:eastAsiaTheme="minorHAnsi"/>
                <w:color w:val="auto"/>
                <w:sz w:val="18"/>
                <w:szCs w:val="18"/>
              </w:rPr>
              <w:t>Comments</w:t>
            </w:r>
          </w:p>
        </w:tc>
        <w:tc>
          <w:tcPr>
            <w:tcW w:w="2820" w:type="dxa"/>
            <w:gridSpan w:val="2"/>
          </w:tcPr>
          <w:p w:rsidR="002E16D1" w:rsidRPr="00977979" w:rsidRDefault="002E16D1" w:rsidP="00CC3A64">
            <w:pPr>
              <w:tabs>
                <w:tab w:val="left" w:pos="288"/>
                <w:tab w:val="left" w:pos="4752"/>
              </w:tabs>
              <w:rPr>
                <w:rFonts w:eastAsiaTheme="minorHAnsi"/>
                <w:color w:val="auto"/>
                <w:sz w:val="18"/>
                <w:szCs w:val="18"/>
              </w:rPr>
            </w:pPr>
            <w:r w:rsidRPr="00977979">
              <w:rPr>
                <w:rFonts w:eastAsiaTheme="minorHAnsi"/>
                <w:color w:val="auto"/>
                <w:sz w:val="18"/>
                <w:szCs w:val="18"/>
              </w:rPr>
              <w:t>No instability</w:t>
            </w:r>
          </w:p>
        </w:tc>
        <w:tc>
          <w:tcPr>
            <w:tcW w:w="2696" w:type="dxa"/>
            <w:gridSpan w:val="2"/>
          </w:tcPr>
          <w:p w:rsidR="002E16D1" w:rsidRPr="00977979" w:rsidRDefault="002E16D1" w:rsidP="00CC3A64">
            <w:pPr>
              <w:tabs>
                <w:tab w:val="left" w:pos="288"/>
                <w:tab w:val="left" w:pos="4752"/>
              </w:tabs>
              <w:rPr>
                <w:rFonts w:eastAsiaTheme="minorHAnsi"/>
                <w:color w:val="auto"/>
                <w:sz w:val="18"/>
                <w:szCs w:val="18"/>
              </w:rPr>
            </w:pPr>
            <w:r w:rsidRPr="00977979">
              <w:rPr>
                <w:rFonts w:eastAsiaTheme="minorHAnsi"/>
                <w:color w:val="auto"/>
                <w:sz w:val="18"/>
                <w:szCs w:val="18"/>
              </w:rPr>
              <w:t>Normal gait, No instability</w:t>
            </w:r>
          </w:p>
        </w:tc>
      </w:tr>
      <w:tr w:rsidR="002E16D1" w:rsidRPr="003C53E8" w:rsidTr="00D232EC">
        <w:trPr>
          <w:trHeight w:val="70"/>
          <w:jc w:val="center"/>
        </w:trPr>
        <w:tc>
          <w:tcPr>
            <w:tcW w:w="2396" w:type="dxa"/>
          </w:tcPr>
          <w:p w:rsidR="002E16D1" w:rsidRPr="00977979" w:rsidRDefault="002E16D1" w:rsidP="002E16D1">
            <w:pPr>
              <w:tabs>
                <w:tab w:val="left" w:pos="288"/>
                <w:tab w:val="left" w:pos="4752"/>
              </w:tabs>
              <w:rPr>
                <w:rFonts w:eastAsiaTheme="minorHAnsi"/>
                <w:color w:val="auto"/>
                <w:sz w:val="18"/>
                <w:szCs w:val="18"/>
              </w:rPr>
            </w:pPr>
            <w:r w:rsidRPr="00977979">
              <w:rPr>
                <w:rFonts w:eastAsiaTheme="minorHAnsi"/>
                <w:color w:val="auto"/>
                <w:sz w:val="18"/>
                <w:szCs w:val="18"/>
              </w:rPr>
              <w:t>§4.71a Rating*</w:t>
            </w:r>
          </w:p>
        </w:tc>
        <w:tc>
          <w:tcPr>
            <w:tcW w:w="1560" w:type="dxa"/>
            <w:tcBorders>
              <w:right w:val="single" w:sz="4" w:space="0" w:color="auto"/>
            </w:tcBorders>
          </w:tcPr>
          <w:p w:rsidR="002E16D1" w:rsidRPr="00977979" w:rsidRDefault="002E16D1" w:rsidP="002E16D1">
            <w:pPr>
              <w:rPr>
                <w:sz w:val="18"/>
                <w:szCs w:val="18"/>
              </w:rPr>
            </w:pPr>
            <w:r w:rsidRPr="00977979">
              <w:rPr>
                <w:rFonts w:eastAsiaTheme="minorHAnsi"/>
                <w:color w:val="auto"/>
                <w:sz w:val="18"/>
                <w:szCs w:val="18"/>
              </w:rPr>
              <w:t>10%</w:t>
            </w:r>
          </w:p>
        </w:tc>
        <w:tc>
          <w:tcPr>
            <w:tcW w:w="1260" w:type="dxa"/>
            <w:tcBorders>
              <w:left w:val="single" w:sz="4" w:space="0" w:color="auto"/>
            </w:tcBorders>
          </w:tcPr>
          <w:p w:rsidR="002E16D1" w:rsidRPr="00977979" w:rsidRDefault="002E16D1" w:rsidP="002E16D1">
            <w:pPr>
              <w:rPr>
                <w:sz w:val="18"/>
                <w:szCs w:val="18"/>
              </w:rPr>
            </w:pPr>
            <w:r w:rsidRPr="00977979">
              <w:rPr>
                <w:rFonts w:eastAsiaTheme="minorHAnsi"/>
                <w:color w:val="auto"/>
                <w:sz w:val="18"/>
                <w:szCs w:val="18"/>
              </w:rPr>
              <w:t>10%</w:t>
            </w:r>
          </w:p>
        </w:tc>
        <w:tc>
          <w:tcPr>
            <w:tcW w:w="1170" w:type="dxa"/>
            <w:tcBorders>
              <w:right w:val="single" w:sz="4" w:space="0" w:color="auto"/>
            </w:tcBorders>
          </w:tcPr>
          <w:p w:rsidR="002E16D1" w:rsidRPr="00977979" w:rsidRDefault="002E16D1" w:rsidP="002E16D1">
            <w:pPr>
              <w:rPr>
                <w:sz w:val="18"/>
                <w:szCs w:val="18"/>
              </w:rPr>
            </w:pPr>
            <w:r w:rsidRPr="00977979">
              <w:rPr>
                <w:rFonts w:eastAsiaTheme="minorHAnsi"/>
                <w:color w:val="auto"/>
                <w:sz w:val="18"/>
                <w:szCs w:val="18"/>
              </w:rPr>
              <w:t>10%</w:t>
            </w:r>
          </w:p>
        </w:tc>
        <w:tc>
          <w:tcPr>
            <w:tcW w:w="1526" w:type="dxa"/>
            <w:tcBorders>
              <w:left w:val="single" w:sz="4" w:space="0" w:color="auto"/>
            </w:tcBorders>
          </w:tcPr>
          <w:p w:rsidR="002E16D1" w:rsidRPr="00977979" w:rsidRDefault="002E16D1" w:rsidP="002E16D1">
            <w:pPr>
              <w:rPr>
                <w:sz w:val="18"/>
                <w:szCs w:val="18"/>
              </w:rPr>
            </w:pPr>
            <w:r w:rsidRPr="00977979">
              <w:rPr>
                <w:rFonts w:eastAsiaTheme="minorHAnsi"/>
                <w:color w:val="auto"/>
                <w:sz w:val="18"/>
                <w:szCs w:val="18"/>
              </w:rPr>
              <w:t>10%</w:t>
            </w:r>
          </w:p>
        </w:tc>
      </w:tr>
    </w:tbl>
    <w:p w:rsidR="002E16D1" w:rsidRPr="00977979" w:rsidRDefault="002E16D1" w:rsidP="002E16D1">
      <w:pPr>
        <w:rPr>
          <w:color w:val="auto"/>
          <w:sz w:val="18"/>
          <w:szCs w:val="18"/>
        </w:rPr>
      </w:pPr>
      <w:r w:rsidRPr="00977979">
        <w:rPr>
          <w:color w:val="auto"/>
          <w:sz w:val="18"/>
          <w:szCs w:val="18"/>
        </w:rPr>
        <w:t xml:space="preserve">*Conceding painful motion </w:t>
      </w:r>
      <w:r w:rsidR="00D232EC" w:rsidRPr="00977979">
        <w:rPr>
          <w:rFonts w:eastAsiaTheme="minorHAnsi"/>
          <w:color w:val="auto"/>
          <w:sz w:val="18"/>
          <w:szCs w:val="18"/>
        </w:rPr>
        <w:t>§</w:t>
      </w:r>
      <w:r w:rsidRPr="00977979">
        <w:rPr>
          <w:color w:val="auto"/>
          <w:sz w:val="18"/>
          <w:szCs w:val="18"/>
        </w:rPr>
        <w:t>4.59</w:t>
      </w:r>
    </w:p>
    <w:p w:rsidR="002E16D1" w:rsidRDefault="002E16D1" w:rsidP="008834CF">
      <w:pPr>
        <w:jc w:val="both"/>
        <w:rPr>
          <w:color w:val="auto"/>
          <w:szCs w:val="24"/>
        </w:rPr>
      </w:pPr>
    </w:p>
    <w:p w:rsidR="008834CF" w:rsidRPr="00734AC8" w:rsidRDefault="002E16D1" w:rsidP="008834CF">
      <w:pPr>
        <w:jc w:val="both"/>
        <w:rPr>
          <w:rFonts w:ascii="Times New Roman" w:hAnsi="Times New Roman" w:cs="Times New Roman"/>
          <w:color w:val="auto"/>
          <w:szCs w:val="24"/>
        </w:rPr>
      </w:pPr>
      <w:r w:rsidRPr="0021220E">
        <w:rPr>
          <w:color w:val="auto"/>
          <w:szCs w:val="24"/>
        </w:rPr>
        <w:t xml:space="preserve">At </w:t>
      </w:r>
      <w:r w:rsidR="00D232EC" w:rsidRPr="0021220E">
        <w:rPr>
          <w:color w:val="auto"/>
          <w:szCs w:val="24"/>
        </w:rPr>
        <w:t xml:space="preserve">the MEB exam, the CI reported constant bilateral knee pain, 6 of 10 intensity </w:t>
      </w:r>
      <w:r w:rsidR="0021220E">
        <w:rPr>
          <w:color w:val="auto"/>
          <w:szCs w:val="24"/>
        </w:rPr>
        <w:t xml:space="preserve">of pain, </w:t>
      </w:r>
      <w:r w:rsidR="00D232EC" w:rsidRPr="0021220E">
        <w:rPr>
          <w:color w:val="auto"/>
          <w:szCs w:val="24"/>
        </w:rPr>
        <w:t xml:space="preserve">worsened with deep knee bends, squats, stairs, and prolong sitting and had some relief with use of knee braces.  </w:t>
      </w:r>
      <w:r w:rsidRPr="0021220E">
        <w:rPr>
          <w:color w:val="auto"/>
          <w:szCs w:val="24"/>
        </w:rPr>
        <w:t xml:space="preserve">The MEB physical exam </w:t>
      </w:r>
      <w:r w:rsidR="00FF29D5">
        <w:rPr>
          <w:color w:val="auto"/>
          <w:szCs w:val="24"/>
        </w:rPr>
        <w:t>documented</w:t>
      </w:r>
      <w:r w:rsidR="0021220E" w:rsidRPr="0021220E">
        <w:rPr>
          <w:color w:val="auto"/>
          <w:szCs w:val="24"/>
        </w:rPr>
        <w:t xml:space="preserve"> the left knee </w:t>
      </w:r>
      <w:r w:rsidRPr="0021220E">
        <w:rPr>
          <w:color w:val="auto"/>
          <w:szCs w:val="24"/>
        </w:rPr>
        <w:t>exam</w:t>
      </w:r>
      <w:r w:rsidR="0021220E" w:rsidRPr="0021220E">
        <w:rPr>
          <w:color w:val="auto"/>
          <w:szCs w:val="24"/>
        </w:rPr>
        <w:t xml:space="preserve"> had normal</w:t>
      </w:r>
      <w:r w:rsidRPr="0021220E">
        <w:rPr>
          <w:color w:val="auto"/>
          <w:szCs w:val="24"/>
        </w:rPr>
        <w:t xml:space="preserve"> </w:t>
      </w:r>
      <w:r w:rsidR="0021220E" w:rsidRPr="0021220E">
        <w:rPr>
          <w:color w:val="auto"/>
          <w:szCs w:val="24"/>
        </w:rPr>
        <w:t>n</w:t>
      </w:r>
      <w:r w:rsidRPr="0021220E">
        <w:rPr>
          <w:color w:val="auto"/>
          <w:szCs w:val="24"/>
        </w:rPr>
        <w:t xml:space="preserve">eurologic and vascular </w:t>
      </w:r>
      <w:r w:rsidR="00FF29D5">
        <w:rPr>
          <w:color w:val="auto"/>
          <w:szCs w:val="24"/>
        </w:rPr>
        <w:t>findings</w:t>
      </w:r>
      <w:r w:rsidR="0021220E" w:rsidRPr="0021220E">
        <w:rPr>
          <w:color w:val="auto"/>
          <w:szCs w:val="24"/>
        </w:rPr>
        <w:t xml:space="preserve"> negative </w:t>
      </w:r>
      <w:r w:rsidR="00FF29D5">
        <w:rPr>
          <w:color w:val="auto"/>
          <w:szCs w:val="24"/>
        </w:rPr>
        <w:t xml:space="preserve">ligament and meniscal testing </w:t>
      </w:r>
      <w:r w:rsidR="0021220E" w:rsidRPr="0021220E">
        <w:rPr>
          <w:color w:val="auto"/>
          <w:szCs w:val="24"/>
        </w:rPr>
        <w:t>however there was a</w:t>
      </w:r>
      <w:r w:rsidRPr="0021220E">
        <w:rPr>
          <w:color w:val="auto"/>
          <w:szCs w:val="24"/>
        </w:rPr>
        <w:t xml:space="preserve"> remarkably positive patellar</w:t>
      </w:r>
      <w:r w:rsidR="0021220E">
        <w:rPr>
          <w:color w:val="auto"/>
          <w:szCs w:val="24"/>
        </w:rPr>
        <w:t xml:space="preserve"> </w:t>
      </w:r>
      <w:r w:rsidRPr="0021220E">
        <w:rPr>
          <w:color w:val="auto"/>
          <w:szCs w:val="24"/>
        </w:rPr>
        <w:t xml:space="preserve">grind test. </w:t>
      </w:r>
      <w:r w:rsidR="00734AC8">
        <w:rPr>
          <w:color w:val="auto"/>
          <w:szCs w:val="24"/>
        </w:rPr>
        <w:t xml:space="preserve"> </w:t>
      </w:r>
      <w:r w:rsidR="0021220E" w:rsidRPr="0021220E">
        <w:rPr>
          <w:color w:val="auto"/>
          <w:szCs w:val="24"/>
        </w:rPr>
        <w:t>The right knee exam had normal</w:t>
      </w:r>
      <w:r w:rsidRPr="0021220E">
        <w:rPr>
          <w:color w:val="auto"/>
          <w:szCs w:val="24"/>
        </w:rPr>
        <w:t xml:space="preserve"> </w:t>
      </w:r>
      <w:r w:rsidR="0021220E" w:rsidRPr="0021220E">
        <w:rPr>
          <w:color w:val="auto"/>
          <w:szCs w:val="24"/>
        </w:rPr>
        <w:t>n</w:t>
      </w:r>
      <w:r w:rsidRPr="0021220E">
        <w:rPr>
          <w:color w:val="auto"/>
          <w:szCs w:val="24"/>
        </w:rPr>
        <w:t xml:space="preserve">eurologic and vascular </w:t>
      </w:r>
      <w:r w:rsidR="0021220E" w:rsidRPr="0021220E">
        <w:rPr>
          <w:color w:val="auto"/>
          <w:szCs w:val="24"/>
        </w:rPr>
        <w:t>findings, and negative</w:t>
      </w:r>
      <w:r w:rsidRPr="0021220E">
        <w:rPr>
          <w:color w:val="auto"/>
          <w:szCs w:val="24"/>
        </w:rPr>
        <w:t xml:space="preserve"> </w:t>
      </w:r>
      <w:r w:rsidR="00FF29D5">
        <w:rPr>
          <w:color w:val="auto"/>
          <w:szCs w:val="24"/>
        </w:rPr>
        <w:t>ligament testing with</w:t>
      </w:r>
      <w:r w:rsidR="00FF29D5" w:rsidRPr="00FF29D5">
        <w:rPr>
          <w:color w:val="auto"/>
          <w:szCs w:val="24"/>
        </w:rPr>
        <w:t xml:space="preserve"> </w:t>
      </w:r>
      <w:r w:rsidR="00FF29D5" w:rsidRPr="0021220E">
        <w:rPr>
          <w:color w:val="auto"/>
          <w:szCs w:val="24"/>
        </w:rPr>
        <w:t>slight tenderness to palpation over the medial collateral ligament</w:t>
      </w:r>
      <w:r w:rsidR="00FF29D5">
        <w:rPr>
          <w:color w:val="auto"/>
          <w:szCs w:val="24"/>
        </w:rPr>
        <w:t>.  However the right knee meniscal testing was positive and the</w:t>
      </w:r>
      <w:r w:rsidRPr="0021220E">
        <w:rPr>
          <w:color w:val="auto"/>
          <w:szCs w:val="24"/>
        </w:rPr>
        <w:t xml:space="preserve"> patellar grind test </w:t>
      </w:r>
      <w:r w:rsidR="0021220E" w:rsidRPr="0021220E">
        <w:rPr>
          <w:color w:val="auto"/>
          <w:szCs w:val="24"/>
        </w:rPr>
        <w:t>was</w:t>
      </w:r>
      <w:r w:rsidRPr="0021220E">
        <w:rPr>
          <w:color w:val="auto"/>
          <w:szCs w:val="24"/>
        </w:rPr>
        <w:t xml:space="preserve"> markedly positive. </w:t>
      </w:r>
      <w:r w:rsidR="0021220E">
        <w:rPr>
          <w:color w:val="auto"/>
          <w:szCs w:val="24"/>
        </w:rPr>
        <w:t xml:space="preserve"> </w:t>
      </w:r>
      <w:r w:rsidRPr="0021220E">
        <w:rPr>
          <w:color w:val="auto"/>
          <w:szCs w:val="24"/>
        </w:rPr>
        <w:t xml:space="preserve">There </w:t>
      </w:r>
      <w:r w:rsidR="0021220E" w:rsidRPr="0021220E">
        <w:rPr>
          <w:color w:val="auto"/>
          <w:szCs w:val="24"/>
        </w:rPr>
        <w:t>was</w:t>
      </w:r>
      <w:r w:rsidRPr="0021220E">
        <w:rPr>
          <w:color w:val="auto"/>
          <w:szCs w:val="24"/>
        </w:rPr>
        <w:t xml:space="preserve"> no obvious effusion, and no point</w:t>
      </w:r>
      <w:r w:rsidR="0021220E" w:rsidRPr="0021220E">
        <w:rPr>
          <w:color w:val="auto"/>
          <w:szCs w:val="24"/>
        </w:rPr>
        <w:t xml:space="preserve"> </w:t>
      </w:r>
      <w:r w:rsidRPr="0021220E">
        <w:rPr>
          <w:color w:val="auto"/>
          <w:szCs w:val="24"/>
        </w:rPr>
        <w:t xml:space="preserve">tenderness to palpation anywhere about either knee. </w:t>
      </w:r>
      <w:r w:rsidR="00E63CDA">
        <w:rPr>
          <w:color w:val="auto"/>
          <w:szCs w:val="24"/>
        </w:rPr>
        <w:t xml:space="preserve"> </w:t>
      </w:r>
      <w:r w:rsidRPr="0021220E">
        <w:rPr>
          <w:color w:val="auto"/>
          <w:szCs w:val="24"/>
        </w:rPr>
        <w:t xml:space="preserve">X-rays of the right </w:t>
      </w:r>
      <w:r w:rsidR="0021220E" w:rsidRPr="0021220E">
        <w:rPr>
          <w:color w:val="auto"/>
          <w:szCs w:val="24"/>
        </w:rPr>
        <w:t xml:space="preserve">and left knee were </w:t>
      </w:r>
      <w:r w:rsidRPr="0021220E">
        <w:rPr>
          <w:color w:val="auto"/>
          <w:szCs w:val="24"/>
        </w:rPr>
        <w:t>normal with</w:t>
      </w:r>
      <w:r w:rsidR="0021220E" w:rsidRPr="0021220E">
        <w:rPr>
          <w:color w:val="auto"/>
          <w:szCs w:val="24"/>
        </w:rPr>
        <w:t xml:space="preserve"> </w:t>
      </w:r>
      <w:r w:rsidRPr="0021220E">
        <w:rPr>
          <w:color w:val="auto"/>
          <w:szCs w:val="24"/>
        </w:rPr>
        <w:t>the exception of slight peaking of the intercondylar eminence</w:t>
      </w:r>
      <w:r w:rsidR="00734AC8">
        <w:rPr>
          <w:color w:val="auto"/>
          <w:szCs w:val="24"/>
        </w:rPr>
        <w:t xml:space="preserve"> on the left</w:t>
      </w:r>
      <w:r w:rsidRPr="006030DC">
        <w:rPr>
          <w:color w:val="auto"/>
          <w:szCs w:val="24"/>
        </w:rPr>
        <w:t>.</w:t>
      </w:r>
      <w:r w:rsidR="00FF29D5" w:rsidRPr="00FF29D5">
        <w:rPr>
          <w:color w:val="auto"/>
          <w:szCs w:val="24"/>
        </w:rPr>
        <w:t xml:space="preserve"> </w:t>
      </w:r>
      <w:r w:rsidR="00FF29D5">
        <w:rPr>
          <w:color w:val="auto"/>
          <w:szCs w:val="24"/>
        </w:rPr>
        <w:t xml:space="preserve"> </w:t>
      </w:r>
      <w:r w:rsidR="00FF29D5" w:rsidRPr="006030DC">
        <w:rPr>
          <w:color w:val="auto"/>
          <w:szCs w:val="24"/>
        </w:rPr>
        <w:t xml:space="preserve">A </w:t>
      </w:r>
      <w:r w:rsidR="00FF29D5">
        <w:rPr>
          <w:color w:val="auto"/>
          <w:szCs w:val="24"/>
        </w:rPr>
        <w:t>p</w:t>
      </w:r>
      <w:r w:rsidR="00FF29D5" w:rsidRPr="006030DC">
        <w:rPr>
          <w:color w:val="auto"/>
          <w:szCs w:val="24"/>
        </w:rPr>
        <w:t>ost</w:t>
      </w:r>
      <w:r w:rsidR="00610DAB">
        <w:rPr>
          <w:color w:val="auto"/>
          <w:szCs w:val="24"/>
        </w:rPr>
        <w:t>-</w:t>
      </w:r>
      <w:r w:rsidR="00FF29D5" w:rsidRPr="006030DC">
        <w:rPr>
          <w:color w:val="auto"/>
          <w:szCs w:val="24"/>
        </w:rPr>
        <w:t xml:space="preserve">operative MRI completed in 2002 </w:t>
      </w:r>
      <w:r w:rsidR="00FF29D5">
        <w:rPr>
          <w:color w:val="auto"/>
          <w:szCs w:val="24"/>
        </w:rPr>
        <w:t xml:space="preserve">of the left knee </w:t>
      </w:r>
      <w:r w:rsidR="00FF29D5" w:rsidRPr="006030DC">
        <w:rPr>
          <w:color w:val="auto"/>
          <w:szCs w:val="24"/>
        </w:rPr>
        <w:t xml:space="preserve">demonstrated chondromalacia and </w:t>
      </w:r>
      <w:r w:rsidR="00FF29D5">
        <w:rPr>
          <w:color w:val="auto"/>
          <w:szCs w:val="24"/>
        </w:rPr>
        <w:t xml:space="preserve">a </w:t>
      </w:r>
      <w:r w:rsidR="00FF29D5" w:rsidRPr="006030DC">
        <w:rPr>
          <w:color w:val="auto"/>
          <w:szCs w:val="24"/>
        </w:rPr>
        <w:t xml:space="preserve">torn PCL.  </w:t>
      </w:r>
      <w:r w:rsidR="008834CF" w:rsidRPr="006030DC">
        <w:rPr>
          <w:color w:val="auto"/>
          <w:szCs w:val="24"/>
        </w:rPr>
        <w:t xml:space="preserve">At the VA </w:t>
      </w:r>
      <w:r w:rsidR="004827E8">
        <w:rPr>
          <w:color w:val="auto"/>
          <w:szCs w:val="24"/>
        </w:rPr>
        <w:t>C&amp;P</w:t>
      </w:r>
      <w:r w:rsidR="008834CF" w:rsidRPr="006030DC">
        <w:rPr>
          <w:color w:val="auto"/>
          <w:szCs w:val="24"/>
        </w:rPr>
        <w:t xml:space="preserve"> exam the CI reported</w:t>
      </w:r>
      <w:r w:rsidR="00F926E2" w:rsidRPr="006030DC">
        <w:rPr>
          <w:color w:val="auto"/>
          <w:szCs w:val="24"/>
        </w:rPr>
        <w:t xml:space="preserve"> </w:t>
      </w:r>
      <w:r w:rsidR="0021220E" w:rsidRPr="006030DC">
        <w:rPr>
          <w:color w:val="auto"/>
          <w:szCs w:val="24"/>
        </w:rPr>
        <w:t>stiffness of the left knee in the morning with increasing pain throughout the day, worsened wit</w:t>
      </w:r>
      <w:r w:rsidR="006030DC" w:rsidRPr="006030DC">
        <w:rPr>
          <w:color w:val="auto"/>
          <w:szCs w:val="24"/>
        </w:rPr>
        <w:t xml:space="preserve">h standing and deep knee bends and </w:t>
      </w:r>
      <w:r w:rsidR="0021220E" w:rsidRPr="006030DC">
        <w:rPr>
          <w:color w:val="auto"/>
          <w:szCs w:val="24"/>
        </w:rPr>
        <w:t>swelling in the evening</w:t>
      </w:r>
      <w:r w:rsidR="004827E8">
        <w:rPr>
          <w:color w:val="auto"/>
          <w:szCs w:val="24"/>
        </w:rPr>
        <w:t xml:space="preserve"> causing him to miss </w:t>
      </w:r>
      <w:r w:rsidR="00610DAB">
        <w:rPr>
          <w:color w:val="auto"/>
          <w:szCs w:val="24"/>
        </w:rPr>
        <w:t>2</w:t>
      </w:r>
      <w:r w:rsidR="006030DC" w:rsidRPr="006030DC">
        <w:rPr>
          <w:color w:val="auto"/>
          <w:szCs w:val="24"/>
        </w:rPr>
        <w:t xml:space="preserve"> days of work a month. </w:t>
      </w:r>
      <w:r w:rsidR="0021220E" w:rsidRPr="006030DC">
        <w:rPr>
          <w:color w:val="auto"/>
          <w:szCs w:val="24"/>
        </w:rPr>
        <w:t xml:space="preserve"> </w:t>
      </w:r>
      <w:r w:rsidR="006030DC" w:rsidRPr="006030DC">
        <w:rPr>
          <w:color w:val="auto"/>
          <w:szCs w:val="24"/>
        </w:rPr>
        <w:t>He reported injuring his r</w:t>
      </w:r>
      <w:r w:rsidR="00F926E2" w:rsidRPr="006030DC">
        <w:rPr>
          <w:color w:val="auto"/>
          <w:szCs w:val="24"/>
        </w:rPr>
        <w:t xml:space="preserve">ight knee </w:t>
      </w:r>
      <w:r w:rsidR="006030DC" w:rsidRPr="006030DC">
        <w:rPr>
          <w:color w:val="auto"/>
          <w:szCs w:val="24"/>
        </w:rPr>
        <w:t>while in Iraq in 2002, with residual severe pain with bending, standing and walking.</w:t>
      </w:r>
      <w:r w:rsidR="006030DC">
        <w:rPr>
          <w:rFonts w:ascii="Times New Roman" w:hAnsi="Times New Roman" w:cs="Times New Roman"/>
          <w:color w:val="auto"/>
          <w:sz w:val="18"/>
          <w:szCs w:val="18"/>
        </w:rPr>
        <w:t xml:space="preserve">  </w:t>
      </w:r>
      <w:r w:rsidR="00DD71F7" w:rsidRPr="00F64312">
        <w:rPr>
          <w:color w:val="auto"/>
          <w:szCs w:val="24"/>
        </w:rPr>
        <w:t xml:space="preserve">The </w:t>
      </w:r>
      <w:r w:rsidR="00DD71F7">
        <w:rPr>
          <w:color w:val="auto"/>
          <w:szCs w:val="24"/>
        </w:rPr>
        <w:t>C&amp;P</w:t>
      </w:r>
      <w:r w:rsidR="00DD71F7" w:rsidRPr="00F64312">
        <w:rPr>
          <w:color w:val="auto"/>
          <w:szCs w:val="24"/>
        </w:rPr>
        <w:t xml:space="preserve"> physical exam </w:t>
      </w:r>
      <w:r w:rsidR="00FF29D5">
        <w:rPr>
          <w:color w:val="auto"/>
          <w:szCs w:val="24"/>
        </w:rPr>
        <w:t>documented</w:t>
      </w:r>
      <w:r w:rsidR="006030DC">
        <w:rPr>
          <w:color w:val="auto"/>
          <w:szCs w:val="24"/>
        </w:rPr>
        <w:t xml:space="preserve"> tenderness of the right medical joint line and left lateral aspect of the knee with a positive retropatellar apprehension sign for both knees, negative objective DeLu</w:t>
      </w:r>
      <w:r w:rsidR="00FF29D5">
        <w:rPr>
          <w:color w:val="auto"/>
          <w:szCs w:val="24"/>
        </w:rPr>
        <w:t>ca observations for either knee.  The right knee demonstrated positive meniscal testing and</w:t>
      </w:r>
      <w:r w:rsidR="006030DC">
        <w:rPr>
          <w:color w:val="auto"/>
          <w:szCs w:val="24"/>
        </w:rPr>
        <w:t xml:space="preserve"> </w:t>
      </w:r>
      <w:r w:rsidR="006030DC" w:rsidRPr="00623BB9">
        <w:rPr>
          <w:color w:val="auto"/>
          <w:szCs w:val="24"/>
        </w:rPr>
        <w:t xml:space="preserve">moderate </w:t>
      </w:r>
      <w:r w:rsidR="00FF29D5">
        <w:rPr>
          <w:color w:val="auto"/>
          <w:szCs w:val="24"/>
        </w:rPr>
        <w:t xml:space="preserve">ligament </w:t>
      </w:r>
      <w:r w:rsidR="006030DC" w:rsidRPr="00623BB9">
        <w:rPr>
          <w:color w:val="auto"/>
          <w:szCs w:val="24"/>
        </w:rPr>
        <w:t>instability</w:t>
      </w:r>
      <w:r w:rsidR="00FF29D5">
        <w:rPr>
          <w:color w:val="auto"/>
          <w:szCs w:val="24"/>
        </w:rPr>
        <w:t xml:space="preserve">.  The left knee demonstrated </w:t>
      </w:r>
      <w:r w:rsidR="006030DC" w:rsidRPr="00623BB9">
        <w:rPr>
          <w:color w:val="auto"/>
          <w:szCs w:val="24"/>
        </w:rPr>
        <w:t xml:space="preserve">and a slight lateral instability with </w:t>
      </w:r>
      <w:r w:rsidR="00FF29D5">
        <w:rPr>
          <w:color w:val="auto"/>
          <w:szCs w:val="24"/>
        </w:rPr>
        <w:t>ligament</w:t>
      </w:r>
      <w:r w:rsidR="006030DC" w:rsidRPr="00623BB9">
        <w:rPr>
          <w:color w:val="auto"/>
          <w:szCs w:val="24"/>
        </w:rPr>
        <w:t xml:space="preserve"> testing </w:t>
      </w:r>
      <w:r w:rsidR="004640B5">
        <w:rPr>
          <w:color w:val="auto"/>
          <w:szCs w:val="24"/>
        </w:rPr>
        <w:t xml:space="preserve">and </w:t>
      </w:r>
      <w:r w:rsidR="00FF29D5">
        <w:rPr>
          <w:color w:val="auto"/>
          <w:szCs w:val="24"/>
        </w:rPr>
        <w:t>negative meniscal testing</w:t>
      </w:r>
      <w:r w:rsidR="004827E8">
        <w:rPr>
          <w:color w:val="auto"/>
          <w:szCs w:val="24"/>
        </w:rPr>
        <w:t xml:space="preserve">.  A MRI </w:t>
      </w:r>
      <w:r w:rsidR="006030DC" w:rsidRPr="00623BB9">
        <w:rPr>
          <w:color w:val="auto"/>
          <w:szCs w:val="24"/>
        </w:rPr>
        <w:t>of the right knee</w:t>
      </w:r>
      <w:r w:rsidR="00610DAB">
        <w:rPr>
          <w:color w:val="auto"/>
          <w:szCs w:val="24"/>
        </w:rPr>
        <w:t xml:space="preserve"> completed 7</w:t>
      </w:r>
      <w:r w:rsidR="00610DAB" w:rsidRPr="00623BB9">
        <w:rPr>
          <w:color w:val="auto"/>
          <w:szCs w:val="24"/>
        </w:rPr>
        <w:t xml:space="preserve"> months </w:t>
      </w:r>
      <w:r w:rsidR="00610DAB">
        <w:rPr>
          <w:color w:val="auto"/>
          <w:szCs w:val="24"/>
        </w:rPr>
        <w:t xml:space="preserve">after </w:t>
      </w:r>
      <w:r w:rsidR="00610DAB" w:rsidRPr="00623BB9">
        <w:rPr>
          <w:color w:val="auto"/>
          <w:szCs w:val="24"/>
        </w:rPr>
        <w:t>separation</w:t>
      </w:r>
      <w:r w:rsidR="00610DAB">
        <w:rPr>
          <w:color w:val="auto"/>
          <w:szCs w:val="24"/>
        </w:rPr>
        <w:t>,</w:t>
      </w:r>
      <w:r w:rsidR="006030DC" w:rsidRPr="00623BB9">
        <w:rPr>
          <w:color w:val="auto"/>
          <w:szCs w:val="24"/>
        </w:rPr>
        <w:t xml:space="preserve"> well within the</w:t>
      </w:r>
      <w:r w:rsidR="00734AC8">
        <w:rPr>
          <w:rFonts w:ascii="Times New Roman" w:hAnsi="Times New Roman" w:cs="Times New Roman"/>
          <w:color w:val="auto"/>
          <w:szCs w:val="24"/>
        </w:rPr>
        <w:t xml:space="preserve"> </w:t>
      </w:r>
      <w:r w:rsidR="006030DC" w:rsidRPr="00623BB9">
        <w:rPr>
          <w:color w:val="auto"/>
          <w:szCs w:val="24"/>
        </w:rPr>
        <w:t>DoDI 6040.44 defined 12-month interval for special consideration of post-separation VA evidence</w:t>
      </w:r>
      <w:r w:rsidR="00734AC8">
        <w:rPr>
          <w:color w:val="auto"/>
          <w:szCs w:val="24"/>
        </w:rPr>
        <w:t>,</w:t>
      </w:r>
      <w:r w:rsidR="006030DC" w:rsidRPr="00623BB9">
        <w:rPr>
          <w:color w:val="auto"/>
          <w:szCs w:val="24"/>
        </w:rPr>
        <w:t xml:space="preserve"> revealed fraying or degenerative tear of the medial meniscus and normal ligament structures to include the </w:t>
      </w:r>
      <w:r w:rsidR="00623BB9" w:rsidRPr="00623BB9">
        <w:rPr>
          <w:color w:val="auto"/>
          <w:szCs w:val="24"/>
        </w:rPr>
        <w:t>collateral ligaments</w:t>
      </w:r>
      <w:r w:rsidR="006030DC" w:rsidRPr="00623BB9">
        <w:rPr>
          <w:color w:val="auto"/>
          <w:szCs w:val="24"/>
        </w:rPr>
        <w:t>.</w:t>
      </w:r>
    </w:p>
    <w:p w:rsidR="00623BB9" w:rsidRDefault="00623BB9" w:rsidP="008834CF">
      <w:pPr>
        <w:tabs>
          <w:tab w:val="left" w:pos="288"/>
          <w:tab w:val="left" w:pos="4752"/>
        </w:tabs>
        <w:jc w:val="both"/>
        <w:rPr>
          <w:rFonts w:cs="Times New Roman"/>
          <w:color w:val="auto"/>
        </w:rPr>
      </w:pPr>
    </w:p>
    <w:p w:rsidR="00623BB9" w:rsidRPr="00141A57" w:rsidRDefault="008834CF" w:rsidP="00623BB9">
      <w:pPr>
        <w:tabs>
          <w:tab w:val="left" w:pos="288"/>
          <w:tab w:val="left" w:pos="4752"/>
        </w:tabs>
        <w:jc w:val="both"/>
        <w:rPr>
          <w:rFonts w:cs="Times New Roman"/>
          <w:color w:val="auto"/>
          <w:szCs w:val="24"/>
        </w:rPr>
      </w:pPr>
      <w:r w:rsidRPr="00141A57">
        <w:rPr>
          <w:rFonts w:cs="Times New Roman"/>
          <w:color w:val="auto"/>
          <w:szCs w:val="24"/>
        </w:rPr>
        <w:t xml:space="preserve">The Board directs attention to its rating recommendation based on the above evidence.  </w:t>
      </w:r>
      <w:r w:rsidR="00F926E2" w:rsidRPr="00141A57">
        <w:rPr>
          <w:rFonts w:cs="Times New Roman"/>
          <w:color w:val="auto"/>
          <w:szCs w:val="24"/>
        </w:rPr>
        <w:t>The Board first consider</w:t>
      </w:r>
      <w:r w:rsidR="004827E8">
        <w:rPr>
          <w:rFonts w:cs="Times New Roman"/>
          <w:color w:val="auto"/>
          <w:szCs w:val="24"/>
        </w:rPr>
        <w:t>ed if each knee, having been de</w:t>
      </w:r>
      <w:r w:rsidR="00F926E2" w:rsidRPr="00141A57">
        <w:rPr>
          <w:rFonts w:cs="Times New Roman"/>
          <w:color w:val="auto"/>
          <w:szCs w:val="24"/>
        </w:rPr>
        <w:t xml:space="preserve">coupled from the combined PEB adjudication, remained independently unfitting as established above.  All members agreed that either knee, as an isolated condition, would have rendered the CI incapable of continued </w:t>
      </w:r>
      <w:r w:rsidR="00F926E2" w:rsidRPr="00141A57">
        <w:rPr>
          <w:rFonts w:cs="Times New Roman"/>
          <w:color w:val="auto"/>
          <w:szCs w:val="24"/>
        </w:rPr>
        <w:lastRenderedPageBreak/>
        <w:t>service within his MOS, and accordingly merits a separate rating.  There was evidence in the profile</w:t>
      </w:r>
      <w:r w:rsidR="00623BB9" w:rsidRPr="00141A57">
        <w:rPr>
          <w:rFonts w:cs="Times New Roman"/>
          <w:color w:val="auto"/>
          <w:szCs w:val="24"/>
        </w:rPr>
        <w:t xml:space="preserve"> and</w:t>
      </w:r>
      <w:r w:rsidR="00F926E2" w:rsidRPr="00141A57">
        <w:rPr>
          <w:rFonts w:cs="Times New Roman"/>
          <w:color w:val="auto"/>
          <w:szCs w:val="24"/>
        </w:rPr>
        <w:t xml:space="preserve"> the commander’s statement distinguish</w:t>
      </w:r>
      <w:r w:rsidR="00623BB9" w:rsidRPr="00141A57">
        <w:rPr>
          <w:rFonts w:cs="Times New Roman"/>
          <w:color w:val="auto"/>
          <w:szCs w:val="24"/>
        </w:rPr>
        <w:t>ing</w:t>
      </w:r>
      <w:r w:rsidR="00F926E2" w:rsidRPr="00141A57">
        <w:rPr>
          <w:rFonts w:cs="Times New Roman"/>
          <w:color w:val="auto"/>
          <w:szCs w:val="24"/>
        </w:rPr>
        <w:t xml:space="preserve"> one knee from the other in terms of duty impairment.  </w:t>
      </w:r>
      <w:r w:rsidR="00623BB9" w:rsidRPr="00141A57">
        <w:rPr>
          <w:rFonts w:cs="Times New Roman"/>
          <w:color w:val="auto"/>
          <w:szCs w:val="24"/>
        </w:rPr>
        <w:t>The Board notes that both the MEB and VA exams were complete, well documented, and compliant with VASRD §4.46 (accurate measurement) and similar in terms of ROM ratable data however there were discrepancies with the outcomes of specific orthopedic maneuvers</w:t>
      </w:r>
      <w:r w:rsidR="00FF29D5">
        <w:rPr>
          <w:rFonts w:cs="Times New Roman"/>
          <w:color w:val="auto"/>
          <w:szCs w:val="24"/>
        </w:rPr>
        <w:t xml:space="preserve"> for ligament and meniscal testing</w:t>
      </w:r>
      <w:r w:rsidR="00623BB9" w:rsidRPr="00141A57">
        <w:rPr>
          <w:rFonts w:cs="Times New Roman"/>
          <w:color w:val="auto"/>
          <w:szCs w:val="24"/>
        </w:rPr>
        <w:t xml:space="preserve"> between the MEB and the VA exam</w:t>
      </w:r>
      <w:r w:rsidR="00623BB9" w:rsidRPr="00141A57">
        <w:rPr>
          <w:color w:val="auto"/>
          <w:szCs w:val="24"/>
        </w:rPr>
        <w:t xml:space="preserve"> with very significant implications regarding the Board's rating recommendation.</w:t>
      </w:r>
      <w:r w:rsidR="00623BB9" w:rsidRPr="00141A57">
        <w:rPr>
          <w:rFonts w:cs="Times New Roman"/>
          <w:color w:val="auto"/>
          <w:szCs w:val="24"/>
        </w:rPr>
        <w:t xml:space="preserve">  </w:t>
      </w:r>
      <w:r w:rsidR="00623BB9" w:rsidRPr="00141A57">
        <w:rPr>
          <w:color w:val="auto"/>
          <w:szCs w:val="24"/>
        </w:rPr>
        <w:t xml:space="preserve">The Board thus carefully deliberated its probative value assignment to these conflicting evaluations, and carefully reviewed the </w:t>
      </w:r>
      <w:r w:rsidR="00610DAB">
        <w:rPr>
          <w:color w:val="auto"/>
          <w:szCs w:val="24"/>
        </w:rPr>
        <w:t>STR</w:t>
      </w:r>
      <w:r w:rsidR="00623BB9" w:rsidRPr="00141A57">
        <w:rPr>
          <w:color w:val="auto"/>
          <w:szCs w:val="24"/>
        </w:rPr>
        <w:t xml:space="preserve"> for corroborating evidence in the 12-month period prior to and after separation.  Clearly the right knee MRI reflects meniscal </w:t>
      </w:r>
      <w:r w:rsidR="00141A57" w:rsidRPr="00141A57">
        <w:rPr>
          <w:color w:val="auto"/>
          <w:szCs w:val="24"/>
        </w:rPr>
        <w:t>derangement</w:t>
      </w:r>
      <w:r w:rsidR="00FF29D5" w:rsidRPr="00FF29D5">
        <w:rPr>
          <w:color w:val="auto"/>
          <w:szCs w:val="24"/>
        </w:rPr>
        <w:t xml:space="preserve"> </w:t>
      </w:r>
      <w:r w:rsidR="00FF29D5" w:rsidRPr="00141A57">
        <w:rPr>
          <w:color w:val="auto"/>
          <w:szCs w:val="24"/>
        </w:rPr>
        <w:t>only</w:t>
      </w:r>
      <w:r w:rsidR="00141A57" w:rsidRPr="00141A57">
        <w:rPr>
          <w:color w:val="auto"/>
          <w:szCs w:val="24"/>
        </w:rPr>
        <w:t xml:space="preserve"> which brings speculation to the VA exam which implies instability from ligament derangement.  The MEB exam did not reflect ligament instability of the right knee and was performed by an orthopedic specialist.  Therefore, based on all evidence and associated conclusions just elaborated, the Board is assigning preponderant probative value to the MEB evaluation.</w:t>
      </w:r>
    </w:p>
    <w:p w:rsidR="00623BB9" w:rsidRDefault="00623BB9" w:rsidP="00623BB9">
      <w:pPr>
        <w:tabs>
          <w:tab w:val="left" w:pos="288"/>
          <w:tab w:val="left" w:pos="4752"/>
        </w:tabs>
        <w:jc w:val="both"/>
        <w:rPr>
          <w:rFonts w:cs="Times New Roman"/>
          <w:color w:val="auto"/>
        </w:rPr>
      </w:pPr>
    </w:p>
    <w:p w:rsidR="00F926E2" w:rsidRPr="00E63CDA" w:rsidRDefault="00F926E2" w:rsidP="00623BB9">
      <w:pPr>
        <w:tabs>
          <w:tab w:val="left" w:pos="288"/>
          <w:tab w:val="left" w:pos="4752"/>
        </w:tabs>
        <w:jc w:val="both"/>
        <w:rPr>
          <w:rFonts w:cs="Times New Roman"/>
          <w:color w:val="auto"/>
          <w:szCs w:val="24"/>
        </w:rPr>
      </w:pPr>
      <w:r w:rsidRPr="00E63CDA">
        <w:rPr>
          <w:rFonts w:cs="Times New Roman"/>
          <w:color w:val="auto"/>
          <w:szCs w:val="24"/>
        </w:rPr>
        <w:t xml:space="preserve">The PEB and VA chose different coding options for the condition, but this did not bear on rating.  </w:t>
      </w:r>
      <w:r w:rsidR="00623BB9" w:rsidRPr="00E63CDA">
        <w:rPr>
          <w:rFonts w:cs="Times New Roman"/>
          <w:color w:val="auto"/>
          <w:szCs w:val="24"/>
        </w:rPr>
        <w:t>The PEB decision</w:t>
      </w:r>
      <w:r w:rsidRPr="00E63CDA">
        <w:rPr>
          <w:rFonts w:cs="Times New Roman"/>
          <w:color w:val="auto"/>
          <w:szCs w:val="24"/>
        </w:rPr>
        <w:t xml:space="preserve"> reflected application of the USAPDA pain policy for rating, and its</w:t>
      </w:r>
      <w:r w:rsidR="00734AC8">
        <w:rPr>
          <w:rFonts w:cs="Times New Roman"/>
          <w:color w:val="auto"/>
          <w:szCs w:val="24"/>
        </w:rPr>
        <w:t xml:space="preserve"> </w:t>
      </w:r>
      <w:r w:rsidRPr="00E63CDA">
        <w:rPr>
          <w:rFonts w:cs="Times New Roman"/>
          <w:color w:val="auto"/>
          <w:szCs w:val="24"/>
        </w:rPr>
        <w:t>10% determination was not consistent with §4.71a standards.  The PEB’s chosen code 5003 specifies that, in the presence of degenerative arthritis established by X-ray findings, when “the limitation of motion of the specific joint or joints involved is noncompensable under the appropriate diagnostic codes, a rating of 10</w:t>
      </w:r>
      <w:r w:rsidR="004827E8">
        <w:rPr>
          <w:rFonts w:cs="Times New Roman"/>
          <w:color w:val="auto"/>
          <w:szCs w:val="24"/>
        </w:rPr>
        <w:t>%</w:t>
      </w:r>
      <w:r w:rsidRPr="00E63CDA">
        <w:rPr>
          <w:rFonts w:cs="Times New Roman"/>
          <w:color w:val="auto"/>
          <w:szCs w:val="24"/>
        </w:rPr>
        <w:t xml:space="preserve"> is for application for each such major joint or group of minor joints affected by limitation of motion, to be combined, not added under diagnostic code 5003.  Limitation of motion must be objectively confirmed by findings such as swelling, muscle spasm, or satisfactory evidence of painful motion.”  There was noncompensable ROM impairment of each knee, and the Board agreed that there was adequate documentation of painful motion of each joint in the pre-separation data to merit application of a minimal compensable rating under this code</w:t>
      </w:r>
      <w:r w:rsidR="00E63CDA" w:rsidRPr="00E63CDA">
        <w:rPr>
          <w:rFonts w:cs="Times New Roman"/>
          <w:color w:val="auto"/>
          <w:szCs w:val="24"/>
        </w:rPr>
        <w:t xml:space="preserve"> for each knee</w:t>
      </w:r>
      <w:r w:rsidRPr="00E63CDA">
        <w:rPr>
          <w:rFonts w:cs="Times New Roman"/>
          <w:color w:val="auto"/>
          <w:szCs w:val="24"/>
        </w:rPr>
        <w:t>.  The Bo</w:t>
      </w:r>
      <w:r w:rsidR="004827E8">
        <w:rPr>
          <w:rFonts w:cs="Times New Roman"/>
          <w:color w:val="auto"/>
          <w:szCs w:val="24"/>
        </w:rPr>
        <w:t>ard also considered code 5259 (c</w:t>
      </w:r>
      <w:r w:rsidRPr="00E63CDA">
        <w:rPr>
          <w:rFonts w:cs="Times New Roman"/>
          <w:color w:val="auto"/>
          <w:szCs w:val="24"/>
        </w:rPr>
        <w:t xml:space="preserve">artilage, semilunar, removal of, symptomatic) applicable to the underlying pathology, </w:t>
      </w:r>
      <w:r w:rsidR="00141A57" w:rsidRPr="00E63CDA">
        <w:rPr>
          <w:rFonts w:cs="Times New Roman"/>
          <w:color w:val="auto"/>
          <w:szCs w:val="24"/>
        </w:rPr>
        <w:t xml:space="preserve">of the right knee </w:t>
      </w:r>
      <w:r w:rsidRPr="00E63CDA">
        <w:rPr>
          <w:rFonts w:cs="Times New Roman"/>
          <w:color w:val="auto"/>
          <w:szCs w:val="24"/>
        </w:rPr>
        <w:t xml:space="preserve">which likewise results in a 10% rating.  The Board considered the VA choice of coding each knee </w:t>
      </w:r>
      <w:r w:rsidR="00141A57" w:rsidRPr="00E63CDA">
        <w:rPr>
          <w:rFonts w:cs="Times New Roman"/>
          <w:color w:val="auto"/>
          <w:szCs w:val="24"/>
        </w:rPr>
        <w:t>with 5257</w:t>
      </w:r>
      <w:r w:rsidR="00E63CDA" w:rsidRPr="00E63CDA">
        <w:rPr>
          <w:rFonts w:cs="Times New Roman"/>
          <w:color w:val="auto"/>
          <w:szCs w:val="24"/>
        </w:rPr>
        <w:t xml:space="preserve"> </w:t>
      </w:r>
      <w:r w:rsidR="00141A57" w:rsidRPr="00E63CDA">
        <w:rPr>
          <w:rFonts w:cs="Times New Roman"/>
          <w:color w:val="auto"/>
          <w:szCs w:val="24"/>
        </w:rPr>
        <w:t>(</w:t>
      </w:r>
      <w:r w:rsidR="00E63CDA" w:rsidRPr="00E63CDA">
        <w:rPr>
          <w:rFonts w:cs="Times New Roman"/>
          <w:color w:val="auto"/>
          <w:szCs w:val="24"/>
        </w:rPr>
        <w:t xml:space="preserve">knee impairment of with </w:t>
      </w:r>
      <w:r w:rsidR="00E63CDA" w:rsidRPr="00E63CDA">
        <w:rPr>
          <w:color w:val="auto"/>
          <w:szCs w:val="24"/>
        </w:rPr>
        <w:t>r</w:t>
      </w:r>
      <w:r w:rsidR="00141A57" w:rsidRPr="00E63CDA">
        <w:rPr>
          <w:color w:val="auto"/>
          <w:szCs w:val="24"/>
        </w:rPr>
        <w:t xml:space="preserve">ecurrent subluxation or lateral instability) </w:t>
      </w:r>
      <w:r w:rsidR="00141A57" w:rsidRPr="00E63CDA">
        <w:rPr>
          <w:rFonts w:cs="Times New Roman"/>
          <w:color w:val="auto"/>
          <w:szCs w:val="24"/>
        </w:rPr>
        <w:t xml:space="preserve">or </w:t>
      </w:r>
      <w:r w:rsidRPr="00E63CDA">
        <w:rPr>
          <w:rFonts w:cs="Times New Roman"/>
          <w:color w:val="auto"/>
          <w:szCs w:val="24"/>
        </w:rPr>
        <w:t>analogous</w:t>
      </w:r>
      <w:r w:rsidR="00141A57" w:rsidRPr="00E63CDA">
        <w:rPr>
          <w:rFonts w:cs="Times New Roman"/>
          <w:color w:val="auto"/>
          <w:szCs w:val="24"/>
        </w:rPr>
        <w:t xml:space="preserve"> </w:t>
      </w:r>
      <w:r w:rsidRPr="00E63CDA">
        <w:rPr>
          <w:rFonts w:cs="Times New Roman"/>
          <w:color w:val="auto"/>
          <w:szCs w:val="24"/>
        </w:rPr>
        <w:t>to 52</w:t>
      </w:r>
      <w:r w:rsidR="00141A57" w:rsidRPr="00E63CDA">
        <w:rPr>
          <w:rFonts w:cs="Times New Roman"/>
          <w:color w:val="auto"/>
          <w:szCs w:val="24"/>
        </w:rPr>
        <w:t>57</w:t>
      </w:r>
      <w:r w:rsidRPr="00E63CDA">
        <w:rPr>
          <w:rFonts w:cs="Times New Roman"/>
          <w:color w:val="auto"/>
          <w:szCs w:val="24"/>
        </w:rPr>
        <w:t xml:space="preserve">, </w:t>
      </w:r>
      <w:r w:rsidR="00E63CDA">
        <w:rPr>
          <w:color w:val="auto"/>
          <w:szCs w:val="24"/>
        </w:rPr>
        <w:t>and</w:t>
      </w:r>
      <w:r w:rsidR="00141A57" w:rsidRPr="00E63CDA">
        <w:rPr>
          <w:color w:val="auto"/>
          <w:szCs w:val="24"/>
        </w:rPr>
        <w:t xml:space="preserve"> agreed the evidence did not support instability</w:t>
      </w:r>
      <w:r w:rsidR="00141A57" w:rsidRPr="00E63CDA">
        <w:rPr>
          <w:rFonts w:cs="Times New Roman"/>
          <w:color w:val="auto"/>
          <w:szCs w:val="24"/>
        </w:rPr>
        <w:t xml:space="preserve"> of </w:t>
      </w:r>
      <w:r w:rsidR="00E63CDA">
        <w:rPr>
          <w:rFonts w:cs="Times New Roman"/>
          <w:color w:val="auto"/>
          <w:szCs w:val="24"/>
        </w:rPr>
        <w:t>the right</w:t>
      </w:r>
      <w:r w:rsidR="00141A57" w:rsidRPr="00E63CDA">
        <w:rPr>
          <w:rFonts w:cs="Times New Roman"/>
          <w:color w:val="auto"/>
          <w:szCs w:val="24"/>
        </w:rPr>
        <w:t xml:space="preserve"> knee</w:t>
      </w:r>
      <w:r w:rsidR="00E63CDA" w:rsidRPr="00E63CDA">
        <w:rPr>
          <w:rFonts w:cs="Times New Roman"/>
          <w:color w:val="auto"/>
          <w:szCs w:val="24"/>
        </w:rPr>
        <w:t xml:space="preserve"> and could not support the 20% rating assigned by the VA for the right knee instability. </w:t>
      </w:r>
      <w:r w:rsidR="00E63CDA">
        <w:rPr>
          <w:rFonts w:cs="Times New Roman"/>
          <w:color w:val="auto"/>
          <w:szCs w:val="24"/>
        </w:rPr>
        <w:t xml:space="preserve"> The evidence did reflect a torn posterior cruciate ligament of the left knee </w:t>
      </w:r>
      <w:r w:rsidR="00AE041A">
        <w:rPr>
          <w:rFonts w:cs="Times New Roman"/>
          <w:color w:val="auto"/>
          <w:szCs w:val="24"/>
        </w:rPr>
        <w:t>however there was no objective evidence of recurrent subluxation or lateral instability</w:t>
      </w:r>
      <w:r w:rsidR="00FF361F">
        <w:rPr>
          <w:rFonts w:cs="Times New Roman"/>
          <w:color w:val="auto"/>
          <w:szCs w:val="24"/>
        </w:rPr>
        <w:t xml:space="preserve"> to meet the higher 20% rating.</w:t>
      </w:r>
      <w:r w:rsidR="00E63CDA">
        <w:rPr>
          <w:rFonts w:cs="Times New Roman"/>
          <w:color w:val="auto"/>
          <w:szCs w:val="24"/>
        </w:rPr>
        <w:t xml:space="preserve"> </w:t>
      </w:r>
      <w:r w:rsidR="00141A57" w:rsidRPr="00E63CDA">
        <w:rPr>
          <w:rFonts w:cs="Times New Roman"/>
          <w:color w:val="auto"/>
          <w:szCs w:val="24"/>
        </w:rPr>
        <w:t xml:space="preserve"> Finally the Board considered </w:t>
      </w:r>
      <w:r w:rsidR="00610DAB">
        <w:rPr>
          <w:rFonts w:cs="Times New Roman"/>
          <w:color w:val="auto"/>
          <w:szCs w:val="24"/>
        </w:rPr>
        <w:t xml:space="preserve">code </w:t>
      </w:r>
      <w:r w:rsidR="00141A57" w:rsidRPr="00E63CDA">
        <w:rPr>
          <w:rFonts w:cs="Times New Roman"/>
          <w:color w:val="auto"/>
          <w:szCs w:val="24"/>
        </w:rPr>
        <w:t>5014 (</w:t>
      </w:r>
      <w:proofErr w:type="spellStart"/>
      <w:r w:rsidR="004827E8">
        <w:rPr>
          <w:color w:val="auto"/>
          <w:szCs w:val="24"/>
        </w:rPr>
        <w:t>o</w:t>
      </w:r>
      <w:r w:rsidR="00141A57" w:rsidRPr="00E63CDA">
        <w:rPr>
          <w:color w:val="auto"/>
          <w:szCs w:val="24"/>
        </w:rPr>
        <w:t>steomalacia</w:t>
      </w:r>
      <w:proofErr w:type="spellEnd"/>
      <w:r w:rsidR="00141A57" w:rsidRPr="00E63CDA">
        <w:rPr>
          <w:color w:val="auto"/>
          <w:szCs w:val="24"/>
        </w:rPr>
        <w:t xml:space="preserve">) which is clinically appropriate for both knees </w:t>
      </w:r>
      <w:r w:rsidR="00E63CDA" w:rsidRPr="00E63CDA">
        <w:rPr>
          <w:color w:val="auto"/>
          <w:szCs w:val="24"/>
        </w:rPr>
        <w:t>however this code</w:t>
      </w:r>
      <w:r w:rsidR="00141A57" w:rsidRPr="00E63CDA">
        <w:rPr>
          <w:color w:val="auto"/>
          <w:szCs w:val="24"/>
        </w:rPr>
        <w:t xml:space="preserve"> defaults to the 5003 code and does not yield a higher rating. </w:t>
      </w:r>
      <w:r w:rsidR="00FF361F">
        <w:rPr>
          <w:color w:val="auto"/>
          <w:szCs w:val="24"/>
        </w:rPr>
        <w:t xml:space="preserve"> </w:t>
      </w:r>
      <w:r w:rsidRPr="00E63CDA">
        <w:rPr>
          <w:rFonts w:cs="Times New Roman"/>
          <w:color w:val="auto"/>
          <w:szCs w:val="24"/>
        </w:rPr>
        <w:t>There was no VASRD compliant coding or rating approach that would yield higher than a minimal compensable rating for either knee.  After due deliberation, considering all of the evidence and mindful of VASRD §4.3 (reasonable doubt), the Board recommends that the bilateral knee condition be rated for two separate unfitting conditions as follows: right knee coded 5259</w:t>
      </w:r>
      <w:r w:rsidR="00E63CDA" w:rsidRPr="00E63CDA">
        <w:rPr>
          <w:rFonts w:cs="Times New Roman"/>
          <w:color w:val="auto"/>
          <w:szCs w:val="24"/>
        </w:rPr>
        <w:t>-5014</w:t>
      </w:r>
      <w:r w:rsidRPr="00E63CDA">
        <w:rPr>
          <w:rFonts w:cs="Times New Roman"/>
          <w:color w:val="auto"/>
          <w:szCs w:val="24"/>
        </w:rPr>
        <w:t xml:space="preserve"> </w:t>
      </w:r>
      <w:r w:rsidR="00E63CDA" w:rsidRPr="00E63CDA">
        <w:rPr>
          <w:rFonts w:cs="Times New Roman"/>
          <w:color w:val="auto"/>
          <w:szCs w:val="24"/>
        </w:rPr>
        <w:t xml:space="preserve">and for left knee </w:t>
      </w:r>
      <w:r w:rsidR="00FF361F">
        <w:rPr>
          <w:rFonts w:cs="Times New Roman"/>
          <w:color w:val="auto"/>
          <w:szCs w:val="24"/>
        </w:rPr>
        <w:t>5257-</w:t>
      </w:r>
      <w:r w:rsidR="00E63CDA" w:rsidRPr="00E63CDA">
        <w:rPr>
          <w:rFonts w:cs="Times New Roman"/>
          <w:color w:val="auto"/>
          <w:szCs w:val="24"/>
        </w:rPr>
        <w:t xml:space="preserve">5014 </w:t>
      </w:r>
      <w:r w:rsidRPr="00E63CDA">
        <w:rPr>
          <w:rFonts w:cs="Times New Roman"/>
          <w:color w:val="auto"/>
          <w:szCs w:val="24"/>
        </w:rPr>
        <w:t>for clinical specificity subsuming painful motion</w:t>
      </w:r>
      <w:r w:rsidR="00E63CDA" w:rsidRPr="00E63CDA">
        <w:rPr>
          <w:rFonts w:cs="Times New Roman"/>
          <w:color w:val="auto"/>
          <w:szCs w:val="24"/>
        </w:rPr>
        <w:t xml:space="preserve"> </w:t>
      </w:r>
      <w:r w:rsidRPr="00E63CDA">
        <w:rPr>
          <w:rFonts w:cs="Times New Roman"/>
          <w:color w:val="auto"/>
          <w:szCs w:val="24"/>
        </w:rPr>
        <w:t xml:space="preserve">and </w:t>
      </w:r>
      <w:r w:rsidR="00610A1E" w:rsidRPr="00E63CDA">
        <w:rPr>
          <w:rFonts w:cs="Times New Roman"/>
          <w:color w:val="auto"/>
          <w:szCs w:val="24"/>
        </w:rPr>
        <w:t>noncompensable</w:t>
      </w:r>
      <w:r w:rsidRPr="00E63CDA">
        <w:rPr>
          <w:rFonts w:cs="Times New Roman"/>
          <w:color w:val="auto"/>
          <w:szCs w:val="24"/>
        </w:rPr>
        <w:t xml:space="preserve"> loss of flexion</w:t>
      </w:r>
      <w:r w:rsidR="00734AC8">
        <w:rPr>
          <w:rFonts w:cs="Times New Roman"/>
          <w:color w:val="auto"/>
          <w:szCs w:val="24"/>
        </w:rPr>
        <w:t>,</w:t>
      </w:r>
      <w:r w:rsidRPr="00E63CDA">
        <w:rPr>
          <w:rFonts w:cs="Times New Roman"/>
          <w:color w:val="auto"/>
          <w:szCs w:val="24"/>
        </w:rPr>
        <w:t xml:space="preserve"> </w:t>
      </w:r>
      <w:r w:rsidR="00FF361F" w:rsidRPr="00E63CDA">
        <w:rPr>
          <w:rFonts w:cs="Times New Roman"/>
          <w:color w:val="auto"/>
          <w:szCs w:val="24"/>
        </w:rPr>
        <w:t xml:space="preserve">each </w:t>
      </w:r>
      <w:r w:rsidR="00FF361F">
        <w:rPr>
          <w:rFonts w:cs="Times New Roman"/>
          <w:color w:val="auto"/>
          <w:szCs w:val="24"/>
        </w:rPr>
        <w:t>rated</w:t>
      </w:r>
      <w:r w:rsidR="00E63CDA" w:rsidRPr="00E63CDA">
        <w:rPr>
          <w:rFonts w:cs="Times New Roman"/>
          <w:color w:val="auto"/>
          <w:szCs w:val="24"/>
        </w:rPr>
        <w:t xml:space="preserve"> 10%.</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9524B0" w:rsidRDefault="00AD2379" w:rsidP="00417BED">
      <w:pPr>
        <w:jc w:val="both"/>
        <w:rPr>
          <w:rFonts w:eastAsia="Calibri" w:cs="Times New Roman"/>
          <w:color w:val="auto"/>
          <w:szCs w:val="24"/>
        </w:rPr>
      </w:pPr>
      <w:r w:rsidRPr="00F64312">
        <w:rPr>
          <w:color w:val="auto"/>
          <w:u w:val="single"/>
        </w:rPr>
        <w:t>BOARD FINDINGS</w:t>
      </w:r>
      <w:r w:rsidRPr="00F64312">
        <w:rPr>
          <w:color w:val="auto"/>
        </w:rPr>
        <w:t xml:space="preserve">:  IAW DoDI 6040.44, provisions of DoD or Military Department regulations or guidelines relied upon by the PEB will not be </w:t>
      </w:r>
      <w:r w:rsidRPr="004640B5">
        <w:rPr>
          <w:color w:val="auto"/>
        </w:rPr>
        <w:t>considered by the Board to the extent they were inconsistent with the VASRD in effect at the time of the adjudication</w:t>
      </w:r>
      <w:r w:rsidRPr="004640B5">
        <w:rPr>
          <w:rFonts w:cs="Times New Roman"/>
          <w:color w:val="auto"/>
        </w:rPr>
        <w:t>.</w:t>
      </w:r>
      <w:r w:rsidR="006B690F" w:rsidRPr="004640B5">
        <w:rPr>
          <w:rFonts w:cs="Times New Roman"/>
          <w:color w:val="auto"/>
        </w:rPr>
        <w:t xml:space="preserve">  </w:t>
      </w:r>
      <w:r w:rsidRPr="004640B5">
        <w:rPr>
          <w:rFonts w:cs="Times New Roman"/>
          <w:color w:val="auto"/>
        </w:rPr>
        <w:t>The Board did not surmise from the record or PEB ruling in this case that any prerogatives outside the VASRD were exercised.</w:t>
      </w:r>
      <w:r w:rsidR="006B690F" w:rsidRPr="004640B5">
        <w:rPr>
          <w:rFonts w:cs="Times New Roman"/>
          <w:color w:val="auto"/>
        </w:rPr>
        <w:t xml:space="preserve">  </w:t>
      </w:r>
      <w:r w:rsidR="00241B01" w:rsidRPr="004640B5">
        <w:rPr>
          <w:rFonts w:eastAsia="Calibri" w:cs="Times New Roman"/>
          <w:color w:val="auto"/>
          <w:szCs w:val="24"/>
        </w:rPr>
        <w:t xml:space="preserve">As discussed above, PEB reliance on the USAPDA pain policy for rating </w:t>
      </w:r>
      <w:r w:rsidR="00FF361F" w:rsidRPr="004640B5">
        <w:rPr>
          <w:rFonts w:eastAsia="Calibri" w:cs="Times New Roman"/>
          <w:color w:val="auto"/>
          <w:szCs w:val="24"/>
        </w:rPr>
        <w:t>left hip, bilateral knees and post traumatic migraine headaches</w:t>
      </w:r>
      <w:r w:rsidR="00241B01" w:rsidRPr="004640B5">
        <w:rPr>
          <w:rFonts w:eastAsia="Calibri" w:cs="Times New Roman"/>
          <w:color w:val="auto"/>
          <w:szCs w:val="24"/>
        </w:rPr>
        <w:t xml:space="preserve"> was operant in this case and the condition</w:t>
      </w:r>
      <w:r w:rsidR="00FF361F" w:rsidRPr="004640B5">
        <w:rPr>
          <w:rFonts w:eastAsia="Calibri" w:cs="Times New Roman"/>
          <w:color w:val="auto"/>
          <w:szCs w:val="24"/>
        </w:rPr>
        <w:t>s</w:t>
      </w:r>
      <w:r w:rsidR="00241B01" w:rsidRPr="004640B5">
        <w:rPr>
          <w:rFonts w:eastAsia="Calibri" w:cs="Times New Roman"/>
          <w:color w:val="auto"/>
          <w:szCs w:val="24"/>
        </w:rPr>
        <w:t xml:space="preserve"> w</w:t>
      </w:r>
      <w:r w:rsidR="00FF361F" w:rsidRPr="004640B5">
        <w:rPr>
          <w:rFonts w:eastAsia="Calibri" w:cs="Times New Roman"/>
          <w:color w:val="auto"/>
          <w:szCs w:val="24"/>
        </w:rPr>
        <w:t>ere</w:t>
      </w:r>
      <w:r w:rsidR="00241B01" w:rsidRPr="004640B5">
        <w:rPr>
          <w:rFonts w:eastAsia="Calibri" w:cs="Times New Roman"/>
          <w:color w:val="auto"/>
          <w:szCs w:val="24"/>
        </w:rPr>
        <w:t xml:space="preserve"> adjudicated independently of that policy by the Board.</w:t>
      </w:r>
      <w:r w:rsidR="006B690F" w:rsidRPr="004640B5">
        <w:rPr>
          <w:rFonts w:eastAsia="Calibri" w:cs="Times New Roman"/>
          <w:color w:val="auto"/>
          <w:szCs w:val="24"/>
        </w:rPr>
        <w:t xml:space="preserve">  </w:t>
      </w:r>
      <w:r w:rsidR="009524B0" w:rsidRPr="004640B5">
        <w:rPr>
          <w:rFonts w:eastAsia="Calibri" w:cs="Times New Roman"/>
          <w:color w:val="auto"/>
          <w:szCs w:val="24"/>
        </w:rPr>
        <w:t xml:space="preserve">In the matter of the </w:t>
      </w:r>
      <w:r w:rsidR="004827E8">
        <w:rPr>
          <w:color w:val="auto"/>
        </w:rPr>
        <w:t>chronic p</w:t>
      </w:r>
      <w:r w:rsidR="009524B0" w:rsidRPr="004640B5">
        <w:rPr>
          <w:color w:val="auto"/>
        </w:rPr>
        <w:t>ost</w:t>
      </w:r>
      <w:r w:rsidR="004827E8">
        <w:rPr>
          <w:color w:val="auto"/>
        </w:rPr>
        <w:t>traumatic migraine h</w:t>
      </w:r>
      <w:r w:rsidR="009524B0" w:rsidRPr="004640B5">
        <w:rPr>
          <w:color w:val="auto"/>
        </w:rPr>
        <w:t>eadaches</w:t>
      </w:r>
      <w:r w:rsidR="009524B0" w:rsidRPr="004640B5">
        <w:rPr>
          <w:rFonts w:eastAsia="Calibri" w:cs="Times New Roman"/>
          <w:color w:val="auto"/>
          <w:szCs w:val="24"/>
        </w:rPr>
        <w:t xml:space="preserve"> condition, </w:t>
      </w:r>
      <w:r w:rsidR="004640B5" w:rsidRPr="004640B5">
        <w:rPr>
          <w:rFonts w:eastAsia="Calibri" w:cs="Times New Roman"/>
          <w:color w:val="auto"/>
          <w:szCs w:val="24"/>
        </w:rPr>
        <w:t xml:space="preserve">IAW VASRD §4.124a, the Board unanimously recommends no change in the PEB adjudication.  </w:t>
      </w:r>
      <w:r w:rsidR="00F926E2" w:rsidRPr="004640B5">
        <w:rPr>
          <w:rFonts w:eastAsiaTheme="minorHAnsi"/>
          <w:color w:val="auto"/>
          <w:szCs w:val="24"/>
        </w:rPr>
        <w:t xml:space="preserve">In the matter of the left hip and </w:t>
      </w:r>
      <w:r w:rsidR="00F926E2" w:rsidRPr="004640B5">
        <w:rPr>
          <w:rFonts w:eastAsiaTheme="minorHAnsi"/>
          <w:color w:val="auto"/>
          <w:szCs w:val="24"/>
        </w:rPr>
        <w:lastRenderedPageBreak/>
        <w:t>bilateral knee condition, the Board unanimously recommends that it be rated for three separate unfitting conditions as follows: left hip coded 5024 and rated 10%</w:t>
      </w:r>
      <w:r w:rsidR="00FF361F" w:rsidRPr="004640B5">
        <w:rPr>
          <w:rFonts w:eastAsiaTheme="minorHAnsi"/>
          <w:color w:val="auto"/>
          <w:szCs w:val="24"/>
        </w:rPr>
        <w:t>,</w:t>
      </w:r>
      <w:r w:rsidR="00F926E2" w:rsidRPr="004640B5">
        <w:rPr>
          <w:rFonts w:eastAsiaTheme="minorHAnsi"/>
          <w:color w:val="auto"/>
          <w:szCs w:val="24"/>
        </w:rPr>
        <w:t xml:space="preserve"> left knee coded 52</w:t>
      </w:r>
      <w:r w:rsidR="009524B0" w:rsidRPr="004640B5">
        <w:rPr>
          <w:rFonts w:eastAsiaTheme="minorHAnsi"/>
          <w:color w:val="auto"/>
          <w:szCs w:val="24"/>
        </w:rPr>
        <w:t>57</w:t>
      </w:r>
      <w:r w:rsidR="00FF361F" w:rsidRPr="004640B5">
        <w:rPr>
          <w:rFonts w:eastAsiaTheme="minorHAnsi"/>
          <w:color w:val="auto"/>
          <w:szCs w:val="24"/>
        </w:rPr>
        <w:t>-5014</w:t>
      </w:r>
      <w:r w:rsidR="00F926E2" w:rsidRPr="004640B5">
        <w:rPr>
          <w:rFonts w:eastAsiaTheme="minorHAnsi"/>
          <w:color w:val="auto"/>
          <w:szCs w:val="24"/>
        </w:rPr>
        <w:t xml:space="preserve"> and rated 10%; and, right knee coded </w:t>
      </w:r>
      <w:r w:rsidR="00FF361F" w:rsidRPr="004640B5">
        <w:rPr>
          <w:rFonts w:eastAsiaTheme="minorHAnsi"/>
          <w:color w:val="auto"/>
          <w:szCs w:val="24"/>
        </w:rPr>
        <w:t>5259-5014</w:t>
      </w:r>
      <w:r w:rsidR="00F926E2" w:rsidRPr="004640B5">
        <w:rPr>
          <w:rFonts w:eastAsiaTheme="minorHAnsi"/>
          <w:color w:val="auto"/>
          <w:szCs w:val="24"/>
        </w:rPr>
        <w:t xml:space="preserve"> and rated 10%; </w:t>
      </w:r>
      <w:r w:rsidR="009524B0" w:rsidRPr="004640B5">
        <w:rPr>
          <w:rFonts w:eastAsiaTheme="minorHAnsi"/>
          <w:color w:val="auto"/>
          <w:szCs w:val="24"/>
        </w:rPr>
        <w:t>all</w:t>
      </w:r>
      <w:r w:rsidR="00F926E2" w:rsidRPr="004640B5">
        <w:rPr>
          <w:rFonts w:eastAsiaTheme="minorHAnsi"/>
          <w:color w:val="auto"/>
          <w:szCs w:val="24"/>
        </w:rPr>
        <w:t xml:space="preserve"> </w:t>
      </w:r>
      <w:r w:rsidR="00F926E2" w:rsidRPr="004640B5">
        <w:rPr>
          <w:color w:val="auto"/>
          <w:szCs w:val="24"/>
        </w:rPr>
        <w:t>IAW VASRD §4.71a.</w:t>
      </w:r>
      <w:r w:rsidR="009524B0" w:rsidRPr="004640B5">
        <w:rPr>
          <w:rFonts w:eastAsia="Calibri"/>
          <w:color w:val="auto"/>
          <w:szCs w:val="24"/>
        </w:rPr>
        <w:t xml:space="preserve">  </w:t>
      </w:r>
      <w:r w:rsidR="00417BED" w:rsidRPr="004640B5">
        <w:rPr>
          <w:rFonts w:eastAsia="Calibri"/>
          <w:color w:val="auto"/>
          <w:szCs w:val="24"/>
        </w:rPr>
        <w:t>There were no other conditions within the Board’s scope of review for consideration.</w:t>
      </w:r>
      <w:r w:rsidR="00165C7B" w:rsidRPr="009524B0">
        <w:rPr>
          <w:rFonts w:eastAsia="Calibri"/>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565636" w:rsidRPr="00A40467" w:rsidRDefault="00AD2379" w:rsidP="00610DAB">
      <w:pPr>
        <w:jc w:val="both"/>
        <w:rPr>
          <w:color w:val="auto"/>
        </w:rPr>
      </w:pPr>
      <w:r w:rsidRPr="00F64312">
        <w:rPr>
          <w:color w:val="auto"/>
          <w:u w:val="single"/>
        </w:rPr>
        <w:t>RECOMMENDATION</w:t>
      </w:r>
      <w:r w:rsidRPr="00F64312">
        <w:rPr>
          <w:color w:val="auto"/>
        </w:rPr>
        <w:t xml:space="preserve">: </w:t>
      </w:r>
      <w:r w:rsidR="006B690F" w:rsidRPr="00F64312">
        <w:rPr>
          <w:color w:val="auto"/>
        </w:rPr>
        <w:t xml:space="preserve"> </w:t>
      </w:r>
      <w:r w:rsidR="00565636" w:rsidRPr="00F64312">
        <w:rPr>
          <w:rFonts w:eastAsia="Calibri" w:cs="Times New Roman"/>
          <w:color w:val="auto"/>
          <w:szCs w:val="24"/>
        </w:rPr>
        <w:t>The Board recommends that the CI’s prior determination be modified as follows</w:t>
      </w:r>
      <w:r w:rsidR="00417BED" w:rsidRPr="00F64312">
        <w:rPr>
          <w:rFonts w:eastAsia="Calibri" w:cs="Times New Roman"/>
          <w:color w:val="auto"/>
          <w:szCs w:val="24"/>
        </w:rPr>
        <w:t>;</w:t>
      </w:r>
      <w:r w:rsidR="00565636" w:rsidRPr="00F64312">
        <w:rPr>
          <w:rFonts w:eastAsia="Calibri" w:cs="Times New Roman"/>
          <w:color w:val="auto"/>
          <w:szCs w:val="24"/>
        </w:rPr>
        <w:t xml:space="preserve"> and</w:t>
      </w:r>
      <w:r w:rsidR="00417BED" w:rsidRPr="00F64312">
        <w:rPr>
          <w:rFonts w:eastAsia="Calibri" w:cs="Times New Roman"/>
          <w:color w:val="auto"/>
          <w:szCs w:val="24"/>
        </w:rPr>
        <w:t>,</w:t>
      </w:r>
      <w:r w:rsidR="00565636" w:rsidRPr="00F64312">
        <w:rPr>
          <w:rFonts w:eastAsia="Calibri" w:cs="Times New Roman"/>
          <w:color w:val="auto"/>
          <w:szCs w:val="24"/>
        </w:rPr>
        <w:t xml:space="preserve"> that the discharge with sever</w:t>
      </w:r>
      <w:bookmarkStart w:id="0" w:name="_GoBack"/>
      <w:bookmarkEnd w:id="0"/>
      <w:r w:rsidR="00565636" w:rsidRPr="00F64312">
        <w:rPr>
          <w:rFonts w:eastAsia="Calibri" w:cs="Times New Roman"/>
          <w:color w:val="auto"/>
          <w:szCs w:val="24"/>
        </w:rPr>
        <w:t>ance pay be recharacterized to reflect permanent disability retirement, effective as of the date of his</w:t>
      </w:r>
      <w:r w:rsidR="00417BED" w:rsidRPr="00F64312">
        <w:rPr>
          <w:rFonts w:eastAsia="Calibri" w:cs="Times New Roman"/>
          <w:color w:val="auto"/>
          <w:szCs w:val="24"/>
        </w:rPr>
        <w:t xml:space="preserve"> prior medical separation:</w:t>
      </w:r>
      <w:r w:rsidR="006B690F" w:rsidRPr="00F64312">
        <w:rPr>
          <w:rFonts w:eastAsia="Calibri" w:cs="Times New Roman"/>
          <w:color w:val="auto"/>
          <w:szCs w:val="24"/>
        </w:rPr>
        <w:t xml:space="preserve">  </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86"/>
        <w:gridCol w:w="810"/>
        <w:gridCol w:w="1620"/>
        <w:gridCol w:w="1116"/>
      </w:tblGrid>
      <w:tr w:rsidR="00AD2379" w:rsidRPr="004640B5" w:rsidTr="004827E8">
        <w:trPr>
          <w:trHeight w:val="233"/>
          <w:jc w:val="center"/>
        </w:trPr>
        <w:tc>
          <w:tcPr>
            <w:tcW w:w="6696" w:type="dxa"/>
            <w:gridSpan w:val="2"/>
            <w:shd w:val="clear" w:color="auto" w:fill="D9D9D9"/>
            <w:vAlign w:val="center"/>
          </w:tcPr>
          <w:p w:rsidR="00AD2379" w:rsidRPr="004640B5" w:rsidRDefault="00AD2379" w:rsidP="006B690F">
            <w:pPr>
              <w:tabs>
                <w:tab w:val="left" w:pos="288"/>
                <w:tab w:val="left" w:pos="4752"/>
              </w:tabs>
              <w:rPr>
                <w:b/>
                <w:color w:val="auto"/>
              </w:rPr>
            </w:pPr>
            <w:r w:rsidRPr="004640B5">
              <w:rPr>
                <w:b/>
                <w:color w:val="auto"/>
              </w:rPr>
              <w:t>UNFITTING CONDITION</w:t>
            </w:r>
          </w:p>
        </w:tc>
        <w:tc>
          <w:tcPr>
            <w:tcW w:w="1620" w:type="dxa"/>
            <w:shd w:val="clear" w:color="auto" w:fill="D9D9D9"/>
            <w:vAlign w:val="center"/>
          </w:tcPr>
          <w:p w:rsidR="00AD2379" w:rsidRPr="004640B5" w:rsidRDefault="00AD2379" w:rsidP="006B690F">
            <w:pPr>
              <w:tabs>
                <w:tab w:val="left" w:pos="288"/>
                <w:tab w:val="left" w:pos="4752"/>
              </w:tabs>
              <w:rPr>
                <w:b/>
                <w:color w:val="auto"/>
              </w:rPr>
            </w:pPr>
            <w:r w:rsidRPr="004640B5">
              <w:rPr>
                <w:b/>
                <w:color w:val="auto"/>
              </w:rPr>
              <w:t>VASRD CODE</w:t>
            </w:r>
          </w:p>
        </w:tc>
        <w:tc>
          <w:tcPr>
            <w:tcW w:w="1116" w:type="dxa"/>
            <w:shd w:val="clear" w:color="auto" w:fill="D9D9D9"/>
            <w:vAlign w:val="center"/>
          </w:tcPr>
          <w:p w:rsidR="00AD2379" w:rsidRPr="004640B5" w:rsidRDefault="00AD2379" w:rsidP="006B690F">
            <w:pPr>
              <w:tabs>
                <w:tab w:val="left" w:pos="288"/>
                <w:tab w:val="left" w:pos="4752"/>
              </w:tabs>
              <w:rPr>
                <w:b/>
                <w:color w:val="auto"/>
              </w:rPr>
            </w:pPr>
            <w:r w:rsidRPr="004640B5">
              <w:rPr>
                <w:b/>
                <w:color w:val="auto"/>
              </w:rPr>
              <w:t>RATING</w:t>
            </w:r>
          </w:p>
        </w:tc>
      </w:tr>
      <w:tr w:rsidR="00AD2379" w:rsidRPr="004640B5" w:rsidTr="004827E8">
        <w:trPr>
          <w:jc w:val="center"/>
        </w:trPr>
        <w:tc>
          <w:tcPr>
            <w:tcW w:w="6696" w:type="dxa"/>
            <w:gridSpan w:val="2"/>
            <w:vAlign w:val="center"/>
          </w:tcPr>
          <w:p w:rsidR="00AD2379" w:rsidRPr="004640B5" w:rsidRDefault="00A40467" w:rsidP="006B690F">
            <w:pPr>
              <w:tabs>
                <w:tab w:val="left" w:pos="288"/>
                <w:tab w:val="left" w:pos="4752"/>
              </w:tabs>
              <w:jc w:val="left"/>
              <w:rPr>
                <w:color w:val="auto"/>
              </w:rPr>
            </w:pPr>
            <w:r w:rsidRPr="004640B5">
              <w:rPr>
                <w:color w:val="auto"/>
              </w:rPr>
              <w:t>Chronic Post Traumatic Migraine Headaches</w:t>
            </w:r>
          </w:p>
        </w:tc>
        <w:tc>
          <w:tcPr>
            <w:tcW w:w="1620" w:type="dxa"/>
            <w:vAlign w:val="center"/>
          </w:tcPr>
          <w:p w:rsidR="00AD2379" w:rsidRPr="004640B5" w:rsidRDefault="00A40467" w:rsidP="00A54298">
            <w:pPr>
              <w:tabs>
                <w:tab w:val="left" w:pos="288"/>
                <w:tab w:val="left" w:pos="4752"/>
              </w:tabs>
              <w:rPr>
                <w:color w:val="auto"/>
              </w:rPr>
            </w:pPr>
            <w:r w:rsidRPr="004640B5">
              <w:rPr>
                <w:color w:val="auto"/>
              </w:rPr>
              <w:t>8045-9304</w:t>
            </w:r>
          </w:p>
        </w:tc>
        <w:tc>
          <w:tcPr>
            <w:tcW w:w="1116" w:type="dxa"/>
            <w:vAlign w:val="center"/>
          </w:tcPr>
          <w:p w:rsidR="00AD2379" w:rsidRPr="004640B5" w:rsidRDefault="00A40467" w:rsidP="00A54298">
            <w:pPr>
              <w:tabs>
                <w:tab w:val="left" w:pos="288"/>
                <w:tab w:val="left" w:pos="4752"/>
              </w:tabs>
              <w:rPr>
                <w:color w:val="auto"/>
              </w:rPr>
            </w:pPr>
            <w:r w:rsidRPr="004640B5">
              <w:rPr>
                <w:color w:val="auto"/>
              </w:rPr>
              <w:t>1</w:t>
            </w:r>
            <w:r w:rsidR="00AD2379" w:rsidRPr="004640B5">
              <w:rPr>
                <w:color w:val="auto"/>
              </w:rPr>
              <w:t>0%</w:t>
            </w:r>
          </w:p>
        </w:tc>
      </w:tr>
      <w:tr w:rsidR="00A40467" w:rsidRPr="004640B5" w:rsidTr="004827E8">
        <w:trPr>
          <w:jc w:val="center"/>
        </w:trPr>
        <w:tc>
          <w:tcPr>
            <w:tcW w:w="6696" w:type="dxa"/>
            <w:gridSpan w:val="2"/>
            <w:vAlign w:val="center"/>
          </w:tcPr>
          <w:p w:rsidR="00A40467" w:rsidRPr="004640B5" w:rsidRDefault="00A40467" w:rsidP="006B690F">
            <w:pPr>
              <w:tabs>
                <w:tab w:val="left" w:pos="288"/>
                <w:tab w:val="left" w:pos="4752"/>
              </w:tabs>
              <w:jc w:val="left"/>
              <w:rPr>
                <w:color w:val="auto"/>
              </w:rPr>
            </w:pPr>
            <w:r w:rsidRPr="004640B5">
              <w:rPr>
                <w:color w:val="auto"/>
              </w:rPr>
              <w:t>Tenosynovitis Left Hip</w:t>
            </w:r>
          </w:p>
        </w:tc>
        <w:tc>
          <w:tcPr>
            <w:tcW w:w="1620" w:type="dxa"/>
            <w:vAlign w:val="center"/>
          </w:tcPr>
          <w:p w:rsidR="00A40467" w:rsidRPr="004640B5" w:rsidRDefault="00A40467" w:rsidP="00777B20">
            <w:pPr>
              <w:tabs>
                <w:tab w:val="left" w:pos="288"/>
                <w:tab w:val="left" w:pos="4752"/>
              </w:tabs>
              <w:rPr>
                <w:color w:val="auto"/>
              </w:rPr>
            </w:pPr>
            <w:r w:rsidRPr="004640B5">
              <w:rPr>
                <w:color w:val="auto"/>
              </w:rPr>
              <w:t>5024</w:t>
            </w:r>
          </w:p>
        </w:tc>
        <w:tc>
          <w:tcPr>
            <w:tcW w:w="1116" w:type="dxa"/>
            <w:vAlign w:val="center"/>
          </w:tcPr>
          <w:p w:rsidR="00A40467" w:rsidRPr="004640B5" w:rsidRDefault="00A40467" w:rsidP="006B690F">
            <w:pPr>
              <w:tabs>
                <w:tab w:val="left" w:pos="288"/>
                <w:tab w:val="left" w:pos="4752"/>
              </w:tabs>
              <w:rPr>
                <w:color w:val="auto"/>
              </w:rPr>
            </w:pPr>
            <w:r w:rsidRPr="004640B5">
              <w:rPr>
                <w:color w:val="auto"/>
              </w:rPr>
              <w:t>10%</w:t>
            </w:r>
          </w:p>
        </w:tc>
      </w:tr>
      <w:tr w:rsidR="00A40467" w:rsidRPr="004640B5" w:rsidTr="004827E8">
        <w:trPr>
          <w:jc w:val="center"/>
        </w:trPr>
        <w:tc>
          <w:tcPr>
            <w:tcW w:w="6696" w:type="dxa"/>
            <w:gridSpan w:val="2"/>
            <w:vAlign w:val="center"/>
          </w:tcPr>
          <w:p w:rsidR="00A40467" w:rsidRPr="004640B5" w:rsidRDefault="00610A1E" w:rsidP="006B690F">
            <w:pPr>
              <w:tabs>
                <w:tab w:val="left" w:pos="288"/>
                <w:tab w:val="left" w:pos="4752"/>
              </w:tabs>
              <w:jc w:val="left"/>
              <w:rPr>
                <w:color w:val="auto"/>
              </w:rPr>
            </w:pPr>
            <w:r w:rsidRPr="004640B5">
              <w:rPr>
                <w:color w:val="auto"/>
              </w:rPr>
              <w:t>Chondromalacia</w:t>
            </w:r>
            <w:r w:rsidR="00A40467" w:rsidRPr="004640B5">
              <w:rPr>
                <w:color w:val="auto"/>
              </w:rPr>
              <w:t xml:space="preserve"> Patellae with Posterior Cruciate Ligament Tear, Left Knee</w:t>
            </w:r>
          </w:p>
        </w:tc>
        <w:tc>
          <w:tcPr>
            <w:tcW w:w="1620" w:type="dxa"/>
            <w:vAlign w:val="center"/>
          </w:tcPr>
          <w:p w:rsidR="00A40467" w:rsidRPr="004640B5" w:rsidRDefault="00A40467" w:rsidP="00777B20">
            <w:pPr>
              <w:tabs>
                <w:tab w:val="left" w:pos="288"/>
                <w:tab w:val="left" w:pos="4752"/>
              </w:tabs>
              <w:rPr>
                <w:color w:val="auto"/>
              </w:rPr>
            </w:pPr>
            <w:r w:rsidRPr="004640B5">
              <w:rPr>
                <w:color w:val="auto"/>
              </w:rPr>
              <w:t>5257</w:t>
            </w:r>
            <w:r w:rsidR="00323DA7" w:rsidRPr="004640B5">
              <w:rPr>
                <w:color w:val="auto"/>
              </w:rPr>
              <w:t>-5014</w:t>
            </w:r>
          </w:p>
        </w:tc>
        <w:tc>
          <w:tcPr>
            <w:tcW w:w="1116" w:type="dxa"/>
            <w:vAlign w:val="center"/>
          </w:tcPr>
          <w:p w:rsidR="00A40467" w:rsidRPr="004640B5" w:rsidRDefault="00A40467" w:rsidP="006B690F">
            <w:pPr>
              <w:tabs>
                <w:tab w:val="left" w:pos="288"/>
                <w:tab w:val="left" w:pos="4752"/>
              </w:tabs>
              <w:rPr>
                <w:color w:val="auto"/>
              </w:rPr>
            </w:pPr>
            <w:r w:rsidRPr="004640B5">
              <w:rPr>
                <w:color w:val="auto"/>
              </w:rPr>
              <w:t>10%</w:t>
            </w:r>
          </w:p>
        </w:tc>
      </w:tr>
      <w:tr w:rsidR="00A40467" w:rsidRPr="004640B5" w:rsidTr="004827E8">
        <w:trPr>
          <w:jc w:val="center"/>
        </w:trPr>
        <w:tc>
          <w:tcPr>
            <w:tcW w:w="6696" w:type="dxa"/>
            <w:gridSpan w:val="2"/>
            <w:vAlign w:val="center"/>
          </w:tcPr>
          <w:p w:rsidR="00A40467" w:rsidRPr="004640B5" w:rsidRDefault="00A40467" w:rsidP="006B690F">
            <w:pPr>
              <w:tabs>
                <w:tab w:val="left" w:pos="288"/>
                <w:tab w:val="left" w:pos="4752"/>
              </w:tabs>
              <w:jc w:val="left"/>
              <w:rPr>
                <w:color w:val="auto"/>
              </w:rPr>
            </w:pPr>
            <w:r w:rsidRPr="004640B5">
              <w:rPr>
                <w:color w:val="auto"/>
              </w:rPr>
              <w:t>Chondromalacia Patellae with Meniscal Tear, Right Knee</w:t>
            </w:r>
          </w:p>
        </w:tc>
        <w:tc>
          <w:tcPr>
            <w:tcW w:w="1620" w:type="dxa"/>
            <w:vAlign w:val="center"/>
          </w:tcPr>
          <w:p w:rsidR="00777B20" w:rsidRPr="004640B5" w:rsidRDefault="00A40467" w:rsidP="00A54298">
            <w:pPr>
              <w:tabs>
                <w:tab w:val="left" w:pos="288"/>
                <w:tab w:val="left" w:pos="4752"/>
              </w:tabs>
              <w:rPr>
                <w:color w:val="auto"/>
              </w:rPr>
            </w:pPr>
            <w:r w:rsidRPr="004640B5">
              <w:rPr>
                <w:color w:val="auto"/>
              </w:rPr>
              <w:t>525</w:t>
            </w:r>
            <w:r w:rsidR="00777B20" w:rsidRPr="004640B5">
              <w:rPr>
                <w:color w:val="auto"/>
              </w:rPr>
              <w:t>9</w:t>
            </w:r>
            <w:r w:rsidR="00323DA7" w:rsidRPr="004640B5">
              <w:rPr>
                <w:color w:val="auto"/>
              </w:rPr>
              <w:t>-5014</w:t>
            </w:r>
          </w:p>
        </w:tc>
        <w:tc>
          <w:tcPr>
            <w:tcW w:w="1116" w:type="dxa"/>
            <w:vAlign w:val="center"/>
          </w:tcPr>
          <w:p w:rsidR="00A40467" w:rsidRPr="004640B5" w:rsidRDefault="00A40467" w:rsidP="006B690F">
            <w:pPr>
              <w:tabs>
                <w:tab w:val="left" w:pos="288"/>
                <w:tab w:val="left" w:pos="4752"/>
              </w:tabs>
              <w:rPr>
                <w:color w:val="auto"/>
              </w:rPr>
            </w:pPr>
            <w:r w:rsidRPr="004640B5">
              <w:rPr>
                <w:color w:val="auto"/>
              </w:rPr>
              <w:t>10%</w:t>
            </w:r>
          </w:p>
        </w:tc>
      </w:tr>
      <w:tr w:rsidR="00A40467" w:rsidRPr="00F64312" w:rsidTr="004827E8">
        <w:tblPrEx>
          <w:tblLook w:val="0000"/>
        </w:tblPrEx>
        <w:trPr>
          <w:gridBefore w:val="1"/>
          <w:wBefore w:w="5886" w:type="dxa"/>
          <w:trHeight w:val="152"/>
          <w:jc w:val="center"/>
        </w:trPr>
        <w:tc>
          <w:tcPr>
            <w:tcW w:w="2430" w:type="dxa"/>
            <w:gridSpan w:val="2"/>
            <w:tcBorders>
              <w:left w:val="single" w:sz="4" w:space="0" w:color="auto"/>
            </w:tcBorders>
            <w:shd w:val="clear" w:color="auto" w:fill="D9D9D9"/>
            <w:vAlign w:val="center"/>
          </w:tcPr>
          <w:p w:rsidR="00A40467" w:rsidRPr="004640B5" w:rsidRDefault="00A40467" w:rsidP="00CC3A64">
            <w:pPr>
              <w:tabs>
                <w:tab w:val="left" w:pos="288"/>
                <w:tab w:val="left" w:pos="4752"/>
              </w:tabs>
              <w:rPr>
                <w:b/>
                <w:color w:val="auto"/>
              </w:rPr>
            </w:pPr>
            <w:r w:rsidRPr="004640B5">
              <w:rPr>
                <w:b/>
                <w:color w:val="auto"/>
              </w:rPr>
              <w:t>COMBINED (w/ BLF)</w:t>
            </w:r>
          </w:p>
        </w:tc>
        <w:tc>
          <w:tcPr>
            <w:tcW w:w="1116" w:type="dxa"/>
            <w:shd w:val="clear" w:color="auto" w:fill="D9D9D9"/>
            <w:vAlign w:val="center"/>
          </w:tcPr>
          <w:p w:rsidR="00A40467" w:rsidRPr="00F64312" w:rsidRDefault="00A40467" w:rsidP="00CC3A64">
            <w:pPr>
              <w:tabs>
                <w:tab w:val="left" w:pos="288"/>
                <w:tab w:val="left" w:pos="4752"/>
              </w:tabs>
              <w:rPr>
                <w:b/>
                <w:color w:val="auto"/>
              </w:rPr>
            </w:pPr>
            <w:r w:rsidRPr="004640B5">
              <w:rPr>
                <w:b/>
                <w:color w:val="auto"/>
              </w:rPr>
              <w:t>40%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852C05">
        <w:rPr>
          <w:color w:val="auto"/>
        </w:rPr>
        <w:t>20</w:t>
      </w:r>
      <w:r w:rsidR="00852C05" w:rsidRPr="00852C05">
        <w:rPr>
          <w:color w:val="auto"/>
        </w:rPr>
        <w:t>120130</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2659E4">
        <w:rPr>
          <w:color w:val="auto"/>
        </w:rPr>
        <w:t>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AD2379" w:rsidRDefault="00AD2379" w:rsidP="00BF0E94">
      <w:pPr>
        <w:tabs>
          <w:tab w:val="left" w:pos="0"/>
          <w:tab w:val="left" w:pos="4320"/>
        </w:tabs>
        <w:jc w:val="both"/>
        <w:rPr>
          <w:color w:val="auto"/>
        </w:rPr>
      </w:pPr>
      <w:r w:rsidRPr="00F64312">
        <w:rPr>
          <w:color w:val="auto"/>
        </w:rPr>
        <w:tab/>
        <w:t xml:space="preserve">           Physical Disability Board of Review</w:t>
      </w:r>
    </w:p>
    <w:p w:rsidR="00DF3B06" w:rsidRDefault="00DF3B06" w:rsidP="00BF0E94">
      <w:pPr>
        <w:tabs>
          <w:tab w:val="left" w:pos="0"/>
          <w:tab w:val="left" w:pos="4320"/>
        </w:tabs>
        <w:jc w:val="both"/>
        <w:rPr>
          <w:color w:val="auto"/>
        </w:rPr>
      </w:pPr>
    </w:p>
    <w:p w:rsidR="002659E4" w:rsidRDefault="002659E4" w:rsidP="00A40467">
      <w:pPr>
        <w:spacing w:line="240" w:lineRule="auto"/>
        <w:jc w:val="left"/>
        <w:rPr>
          <w:color w:val="auto"/>
        </w:rPr>
      </w:pPr>
    </w:p>
    <w:p w:rsidR="002659E4" w:rsidRDefault="002659E4">
      <w:pPr>
        <w:spacing w:line="240" w:lineRule="auto"/>
        <w:jc w:val="left"/>
        <w:rPr>
          <w:color w:val="auto"/>
        </w:rPr>
      </w:pPr>
      <w:r>
        <w:rPr>
          <w:color w:val="auto"/>
        </w:rPr>
        <w:br w:type="page"/>
      </w:r>
    </w:p>
    <w:p w:rsidR="002659E4" w:rsidRDefault="002659E4" w:rsidP="002659E4">
      <w:pPr>
        <w:pStyle w:val="Header"/>
        <w:tabs>
          <w:tab w:val="left" w:pos="720"/>
        </w:tabs>
        <w:jc w:val="left"/>
      </w:pPr>
    </w:p>
    <w:p w:rsidR="002659E4" w:rsidRDefault="002659E4" w:rsidP="002659E4">
      <w:pPr>
        <w:pStyle w:val="Header"/>
        <w:tabs>
          <w:tab w:val="left" w:pos="720"/>
        </w:tabs>
        <w:jc w:val="left"/>
      </w:pPr>
      <w:r>
        <w:t>SFMR-RB</w:t>
      </w:r>
      <w:r>
        <w:tab/>
      </w:r>
      <w:r>
        <w:tab/>
      </w:r>
      <w:r>
        <w:tab/>
      </w:r>
      <w:r>
        <w:tab/>
      </w:r>
      <w:r>
        <w:tab/>
      </w:r>
      <w:r>
        <w:tab/>
      </w:r>
      <w:r>
        <w:tab/>
      </w:r>
      <w:r>
        <w:tab/>
      </w:r>
      <w:r>
        <w:tab/>
      </w:r>
    </w:p>
    <w:p w:rsidR="002659E4" w:rsidRDefault="002659E4" w:rsidP="002659E4">
      <w:pPr>
        <w:pStyle w:val="Header"/>
        <w:tabs>
          <w:tab w:val="left" w:pos="720"/>
        </w:tabs>
        <w:jc w:val="left"/>
      </w:pPr>
    </w:p>
    <w:p w:rsidR="002659E4" w:rsidRDefault="002659E4" w:rsidP="002659E4">
      <w:pPr>
        <w:jc w:val="left"/>
      </w:pPr>
    </w:p>
    <w:p w:rsidR="002659E4" w:rsidRDefault="002659E4" w:rsidP="002659E4">
      <w:pPr>
        <w:jc w:val="left"/>
      </w:pPr>
      <w:r>
        <w:t xml:space="preserve">MEMORANDUM FOR Commander, US Army Physical Disability Agency </w:t>
      </w:r>
    </w:p>
    <w:p w:rsidR="002659E4" w:rsidRDefault="002659E4" w:rsidP="002659E4">
      <w:pPr>
        <w:jc w:val="left"/>
      </w:pPr>
      <w:r>
        <w:t xml:space="preserve">(TAPD-ZB </w:t>
      </w:r>
      <w:proofErr w:type="gramStart"/>
      <w:r>
        <w:t>/  )</w:t>
      </w:r>
      <w:proofErr w:type="gramEnd"/>
      <w:r>
        <w:t>, 2900 Crystal Drive, Suite 300, Arlington, VA 22202</w:t>
      </w:r>
    </w:p>
    <w:p w:rsidR="002659E4" w:rsidRDefault="002659E4" w:rsidP="002659E4">
      <w:pPr>
        <w:jc w:val="left"/>
      </w:pPr>
    </w:p>
    <w:p w:rsidR="002659E4" w:rsidRDefault="002659E4" w:rsidP="002659E4">
      <w:pPr>
        <w:ind w:right="-180"/>
        <w:jc w:val="left"/>
      </w:pPr>
      <w:r>
        <w:t xml:space="preserve">SUBJECT:  Department of Defense Physical Disability Board of Review Recommendation </w:t>
      </w:r>
    </w:p>
    <w:p w:rsidR="002659E4" w:rsidRDefault="002659E4" w:rsidP="002659E4">
      <w:pPr>
        <w:pStyle w:val="Header"/>
        <w:tabs>
          <w:tab w:val="left" w:pos="720"/>
        </w:tabs>
        <w:jc w:val="left"/>
      </w:pPr>
      <w:proofErr w:type="gramStart"/>
      <w:r>
        <w:t>for</w:t>
      </w:r>
      <w:proofErr w:type="gramEnd"/>
      <w:r>
        <w:t xml:space="preserve"> XXXXXXXXXXXXXXXXXXXXXXX, AR20120016854 (PD201200179)</w:t>
      </w:r>
    </w:p>
    <w:p w:rsidR="002659E4" w:rsidRDefault="002659E4" w:rsidP="002659E4">
      <w:pPr>
        <w:pStyle w:val="Header"/>
        <w:tabs>
          <w:tab w:val="left" w:pos="720"/>
        </w:tabs>
        <w:jc w:val="left"/>
      </w:pPr>
    </w:p>
    <w:p w:rsidR="002659E4" w:rsidRDefault="002659E4" w:rsidP="002659E4">
      <w:pPr>
        <w:jc w:val="left"/>
      </w:pPr>
    </w:p>
    <w:p w:rsidR="002659E4" w:rsidRDefault="002659E4" w:rsidP="002659E4">
      <w:pPr>
        <w:jc w:val="left"/>
      </w:pPr>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w:t>
      </w:r>
      <w:proofErr w:type="spellStart"/>
      <w:r>
        <w:t>recharacterize</w:t>
      </w:r>
      <w:proofErr w:type="spellEnd"/>
      <w:r>
        <w:t xml:space="preserve"> the individual’s separation as a permanent disability retirement with the combined disability rating of 40% effective the date of the individual’s original medical separation for disability with severance pay.  </w:t>
      </w:r>
    </w:p>
    <w:p w:rsidR="002659E4" w:rsidRDefault="002659E4" w:rsidP="002659E4">
      <w:pPr>
        <w:jc w:val="left"/>
      </w:pPr>
    </w:p>
    <w:p w:rsidR="002659E4" w:rsidRDefault="002659E4" w:rsidP="002659E4">
      <w:pPr>
        <w:jc w:val="left"/>
      </w:pPr>
      <w:r>
        <w:t>2.  I direct that all the Department of the Army records of the individual concerned be corrected accordingly no later than 120 days from the date of this memorandum.</w:t>
      </w:r>
    </w:p>
    <w:p w:rsidR="002659E4" w:rsidRDefault="002659E4" w:rsidP="002659E4">
      <w:pPr>
        <w:jc w:val="left"/>
      </w:pPr>
    </w:p>
    <w:p w:rsidR="002659E4" w:rsidRDefault="002659E4" w:rsidP="002659E4">
      <w:pPr>
        <w:jc w:val="left"/>
      </w:pPr>
      <w:r>
        <w:tab/>
        <w:t>a.  Providing a correction to the individual’s separation document showing that the individual was separated by reason of permanent disability retirement effective the date of the original medical separation for disability with severance pay.</w:t>
      </w:r>
    </w:p>
    <w:p w:rsidR="002659E4" w:rsidRDefault="002659E4" w:rsidP="002659E4">
      <w:pPr>
        <w:jc w:val="left"/>
      </w:pPr>
    </w:p>
    <w:p w:rsidR="002659E4" w:rsidRDefault="002659E4" w:rsidP="002659E4">
      <w:pPr>
        <w:jc w:val="left"/>
      </w:pPr>
      <w:r>
        <w:tab/>
      </w:r>
      <w:proofErr w:type="gramStart"/>
      <w:r>
        <w:t>b.  Providing</w:t>
      </w:r>
      <w:proofErr w:type="gramEnd"/>
      <w:r>
        <w:t xml:space="preserve"> orders showing that the individual was retired with permanent disability effective the date of the original medical separation for disability with severance pay.</w:t>
      </w:r>
    </w:p>
    <w:p w:rsidR="002659E4" w:rsidRDefault="002659E4" w:rsidP="002659E4">
      <w:pPr>
        <w:jc w:val="left"/>
      </w:pPr>
    </w:p>
    <w:p w:rsidR="002659E4" w:rsidRDefault="002659E4" w:rsidP="002659E4">
      <w:pPr>
        <w:jc w:val="left"/>
      </w:pPr>
      <w:r>
        <w:tab/>
      </w:r>
      <w:proofErr w:type="gramStart"/>
      <w:r>
        <w:t>c.  Adjusting</w:t>
      </w:r>
      <w:proofErr w:type="gramEnd"/>
      <w:r>
        <w:t xml:space="preserve"> pay and allowances accordingly.  Pay and allowance adjustment will account for recoupment of severance pay, and payment of permanent retired pay at 40% effective the date of the original medical separation for disability with severance pay.</w:t>
      </w:r>
    </w:p>
    <w:p w:rsidR="002659E4" w:rsidRDefault="002659E4" w:rsidP="002659E4">
      <w:pPr>
        <w:jc w:val="left"/>
      </w:pPr>
    </w:p>
    <w:p w:rsidR="002659E4" w:rsidRDefault="002659E4" w:rsidP="002659E4">
      <w:pPr>
        <w:jc w:val="left"/>
      </w:pPr>
      <w:r>
        <w:tab/>
      </w:r>
      <w:proofErr w:type="gramStart"/>
      <w:r>
        <w:t>d.  Affording</w:t>
      </w:r>
      <w:proofErr w:type="gramEnd"/>
      <w:r>
        <w:t xml:space="preserve"> the individual the opportunity to elect Survivor Benefit Plan (SBP) and medical TRICARE retiree options.</w:t>
      </w:r>
    </w:p>
    <w:p w:rsidR="002659E4" w:rsidRDefault="002659E4" w:rsidP="002659E4">
      <w:pPr>
        <w:jc w:val="left"/>
      </w:pPr>
    </w:p>
    <w:p w:rsidR="002659E4" w:rsidRDefault="002659E4" w:rsidP="002659E4">
      <w:pPr>
        <w:jc w:val="left"/>
      </w:pPr>
    </w:p>
    <w:p w:rsidR="002659E4" w:rsidRDefault="002659E4" w:rsidP="002659E4">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2659E4" w:rsidRDefault="002659E4" w:rsidP="002659E4">
      <w:pPr>
        <w:jc w:val="left"/>
      </w:pPr>
    </w:p>
    <w:p w:rsidR="002659E4" w:rsidRDefault="002659E4" w:rsidP="002659E4">
      <w:pPr>
        <w:jc w:val="left"/>
      </w:pPr>
      <w:r>
        <w:t>BY ORDER OF THE SECRETARY OF THE ARMY:</w:t>
      </w:r>
    </w:p>
    <w:p w:rsidR="002659E4" w:rsidRDefault="002659E4" w:rsidP="002659E4">
      <w:pPr>
        <w:jc w:val="left"/>
      </w:pPr>
    </w:p>
    <w:p w:rsidR="002659E4" w:rsidRDefault="002659E4" w:rsidP="002659E4">
      <w:pPr>
        <w:jc w:val="left"/>
      </w:pPr>
    </w:p>
    <w:p w:rsidR="002659E4" w:rsidRDefault="002659E4" w:rsidP="002659E4">
      <w:pPr>
        <w:pStyle w:val="Header"/>
        <w:tabs>
          <w:tab w:val="left" w:pos="720"/>
        </w:tabs>
        <w:jc w:val="left"/>
      </w:pPr>
    </w:p>
    <w:p w:rsidR="002659E4" w:rsidRDefault="002659E4" w:rsidP="002659E4">
      <w:pPr>
        <w:jc w:val="left"/>
      </w:pPr>
    </w:p>
    <w:p w:rsidR="002659E4" w:rsidRDefault="002659E4" w:rsidP="002659E4">
      <w:pPr>
        <w:jc w:val="left"/>
      </w:pPr>
      <w:bookmarkStart w:id="1" w:name="OLE_LINK4"/>
      <w:bookmarkStart w:id="2" w:name="OLE_LINK3"/>
      <w:r>
        <w:t>Encl</w:t>
      </w:r>
      <w:r>
        <w:tab/>
      </w:r>
      <w:r>
        <w:tab/>
      </w:r>
      <w:r>
        <w:tab/>
      </w:r>
      <w:r>
        <w:tab/>
      </w:r>
      <w:r>
        <w:tab/>
      </w:r>
      <w:r>
        <w:tab/>
        <w:t xml:space="preserve">     XXXXXXXXXXXXXXXXXXXXXXXXX</w:t>
      </w:r>
    </w:p>
    <w:p w:rsidR="002659E4" w:rsidRDefault="002659E4" w:rsidP="002659E4">
      <w:pPr>
        <w:jc w:val="left"/>
      </w:pPr>
      <w:r>
        <w:tab/>
      </w:r>
      <w:r>
        <w:tab/>
      </w:r>
      <w:r>
        <w:tab/>
      </w:r>
      <w:r>
        <w:tab/>
      </w:r>
      <w:r>
        <w:tab/>
      </w:r>
      <w:r>
        <w:tab/>
        <w:t xml:space="preserve">     Deputy Assistant Secretary</w:t>
      </w:r>
    </w:p>
    <w:p w:rsidR="002659E4" w:rsidRDefault="002659E4" w:rsidP="002659E4">
      <w:pPr>
        <w:jc w:val="left"/>
      </w:pPr>
      <w:r>
        <w:tab/>
      </w:r>
      <w:r>
        <w:tab/>
      </w:r>
      <w:r>
        <w:tab/>
      </w:r>
      <w:r>
        <w:tab/>
      </w:r>
      <w:r>
        <w:tab/>
      </w:r>
      <w:r>
        <w:tab/>
        <w:t xml:space="preserve">         (Army Review Boards)</w:t>
      </w:r>
      <w:bookmarkEnd w:id="1"/>
      <w:bookmarkEnd w:id="2"/>
    </w:p>
    <w:p w:rsidR="002659E4" w:rsidRDefault="002659E4" w:rsidP="002659E4">
      <w:pPr>
        <w:jc w:val="left"/>
      </w:pPr>
    </w:p>
    <w:p w:rsidR="002659E4" w:rsidRDefault="002659E4" w:rsidP="002659E4">
      <w:pPr>
        <w:jc w:val="left"/>
      </w:pPr>
      <w:r>
        <w:t xml:space="preserve">CF: </w:t>
      </w:r>
    </w:p>
    <w:p w:rsidR="002659E4" w:rsidRDefault="002659E4" w:rsidP="002659E4">
      <w:pPr>
        <w:jc w:val="left"/>
      </w:pPr>
      <w:r>
        <w:t xml:space="preserve">(  ) </w:t>
      </w:r>
      <w:proofErr w:type="spellStart"/>
      <w:proofErr w:type="gramStart"/>
      <w:r>
        <w:t>DoD</w:t>
      </w:r>
      <w:proofErr w:type="spellEnd"/>
      <w:proofErr w:type="gramEnd"/>
      <w:r>
        <w:t xml:space="preserve"> PDBR</w:t>
      </w:r>
    </w:p>
    <w:p w:rsidR="00A40467" w:rsidRPr="00F64312" w:rsidRDefault="002659E4" w:rsidP="002659E4">
      <w:pPr>
        <w:jc w:val="left"/>
        <w:rPr>
          <w:color w:val="auto"/>
        </w:rPr>
      </w:pPr>
      <w:r>
        <w:t>(  ) DVA</w:t>
      </w:r>
    </w:p>
    <w:sectPr w:rsidR="00A40467" w:rsidRPr="00F64312"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5F0" w:rsidRDefault="003925F0">
      <w:r>
        <w:separator/>
      </w:r>
    </w:p>
  </w:endnote>
  <w:endnote w:type="continuationSeparator" w:id="0">
    <w:p w:rsidR="003925F0" w:rsidRDefault="003925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A64" w:rsidRPr="00374247" w:rsidRDefault="00CC3A64" w:rsidP="00726F84">
    <w:pPr>
      <w:pStyle w:val="Footer"/>
      <w:ind w:firstLine="4320"/>
      <w:rPr>
        <w:color w:val="auto"/>
      </w:rPr>
    </w:pPr>
    <w:r w:rsidRPr="00374247">
      <w:rPr>
        <w:color w:val="auto"/>
      </w:rPr>
      <w:t xml:space="preserve">   </w:t>
    </w:r>
    <w:r w:rsidR="00DD0828" w:rsidRPr="00DD0828">
      <w:fldChar w:fldCharType="begin"/>
    </w:r>
    <w:r w:rsidR="00594E42">
      <w:instrText xml:space="preserve"> PAGE   \* MERGEFORMAT </w:instrText>
    </w:r>
    <w:r w:rsidR="00DD0828" w:rsidRPr="00DD0828">
      <w:fldChar w:fldCharType="separate"/>
    </w:r>
    <w:r w:rsidR="002659E4" w:rsidRPr="002659E4">
      <w:rPr>
        <w:noProof/>
        <w:color w:val="auto"/>
      </w:rPr>
      <w:t>8</w:t>
    </w:r>
    <w:r w:rsidR="00DD0828">
      <w:rPr>
        <w:noProof/>
        <w:color w:val="auto"/>
      </w:rPr>
      <w:fldChar w:fldCharType="end"/>
    </w:r>
    <w:r w:rsidRPr="00FF361F">
      <w:rPr>
        <w:color w:val="auto"/>
      </w:rPr>
      <w:t xml:space="preserve">                                                           PD1200179</w:t>
    </w:r>
  </w:p>
  <w:p w:rsidR="00CC3A64" w:rsidRPr="00684CE6" w:rsidRDefault="00CC3A64">
    <w:pPr>
      <w:pStyle w:val="Footer"/>
      <w:rPr>
        <w:color w:val="auto"/>
      </w:rPr>
    </w:pPr>
  </w:p>
  <w:p w:rsidR="00CC3A64" w:rsidRDefault="00CC3A6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5F0" w:rsidRDefault="003925F0">
      <w:r>
        <w:separator/>
      </w:r>
    </w:p>
  </w:footnote>
  <w:footnote w:type="continuationSeparator" w:id="0">
    <w:p w:rsidR="003925F0" w:rsidRDefault="003925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676"/>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551C"/>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17CF"/>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0F15"/>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1AFE"/>
    <w:rsid w:val="00133770"/>
    <w:rsid w:val="00134E0B"/>
    <w:rsid w:val="0013525F"/>
    <w:rsid w:val="00135385"/>
    <w:rsid w:val="00136204"/>
    <w:rsid w:val="001364D1"/>
    <w:rsid w:val="00137444"/>
    <w:rsid w:val="001374C7"/>
    <w:rsid w:val="00140FA4"/>
    <w:rsid w:val="00141A57"/>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5CB0"/>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0DDD"/>
    <w:rsid w:val="001C181A"/>
    <w:rsid w:val="001C1877"/>
    <w:rsid w:val="001C2053"/>
    <w:rsid w:val="001C252F"/>
    <w:rsid w:val="001C28D1"/>
    <w:rsid w:val="001C3473"/>
    <w:rsid w:val="001C50B9"/>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20E"/>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3561"/>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59E4"/>
    <w:rsid w:val="002660AF"/>
    <w:rsid w:val="00270864"/>
    <w:rsid w:val="002712F7"/>
    <w:rsid w:val="0027159C"/>
    <w:rsid w:val="002722F2"/>
    <w:rsid w:val="00274549"/>
    <w:rsid w:val="00274E46"/>
    <w:rsid w:val="002752AE"/>
    <w:rsid w:val="00275AFD"/>
    <w:rsid w:val="002769AF"/>
    <w:rsid w:val="00276C86"/>
    <w:rsid w:val="00276FD0"/>
    <w:rsid w:val="00277217"/>
    <w:rsid w:val="00280F19"/>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058C"/>
    <w:rsid w:val="002E16D1"/>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271A"/>
    <w:rsid w:val="00313C3A"/>
    <w:rsid w:val="00313D7A"/>
    <w:rsid w:val="00314517"/>
    <w:rsid w:val="003155FB"/>
    <w:rsid w:val="0032136A"/>
    <w:rsid w:val="003219E5"/>
    <w:rsid w:val="003224D8"/>
    <w:rsid w:val="00323A90"/>
    <w:rsid w:val="00323DA7"/>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25F0"/>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04EA"/>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4F58"/>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4D9D"/>
    <w:rsid w:val="00415EA4"/>
    <w:rsid w:val="0041604B"/>
    <w:rsid w:val="00416E5E"/>
    <w:rsid w:val="004172DB"/>
    <w:rsid w:val="004174F0"/>
    <w:rsid w:val="00417999"/>
    <w:rsid w:val="00417BED"/>
    <w:rsid w:val="00420A1D"/>
    <w:rsid w:val="00420B1E"/>
    <w:rsid w:val="004211FD"/>
    <w:rsid w:val="00421485"/>
    <w:rsid w:val="004216DA"/>
    <w:rsid w:val="00421DEA"/>
    <w:rsid w:val="00422B75"/>
    <w:rsid w:val="0042312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1FB4"/>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0"/>
    <w:rsid w:val="0046111A"/>
    <w:rsid w:val="004613A3"/>
    <w:rsid w:val="00462F68"/>
    <w:rsid w:val="00463478"/>
    <w:rsid w:val="0046369B"/>
    <w:rsid w:val="00463781"/>
    <w:rsid w:val="004640B5"/>
    <w:rsid w:val="004640E9"/>
    <w:rsid w:val="00464744"/>
    <w:rsid w:val="004647EB"/>
    <w:rsid w:val="00465230"/>
    <w:rsid w:val="00466CED"/>
    <w:rsid w:val="00466EB5"/>
    <w:rsid w:val="0046717D"/>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27E8"/>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1570"/>
    <w:rsid w:val="004F3222"/>
    <w:rsid w:val="004F3639"/>
    <w:rsid w:val="004F3BFA"/>
    <w:rsid w:val="004F4E3C"/>
    <w:rsid w:val="004F5A1A"/>
    <w:rsid w:val="004F675A"/>
    <w:rsid w:val="004F77A3"/>
    <w:rsid w:val="005000AB"/>
    <w:rsid w:val="00500EAF"/>
    <w:rsid w:val="00500F3C"/>
    <w:rsid w:val="00501FDD"/>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078D"/>
    <w:rsid w:val="005214A3"/>
    <w:rsid w:val="005222E7"/>
    <w:rsid w:val="00523488"/>
    <w:rsid w:val="00523A8B"/>
    <w:rsid w:val="00523E04"/>
    <w:rsid w:val="00524B2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6792F"/>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8D"/>
    <w:rsid w:val="005854F9"/>
    <w:rsid w:val="00586EC6"/>
    <w:rsid w:val="00587DDE"/>
    <w:rsid w:val="00593043"/>
    <w:rsid w:val="00594E42"/>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054"/>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0DC"/>
    <w:rsid w:val="006036C2"/>
    <w:rsid w:val="00605AAB"/>
    <w:rsid w:val="00606A34"/>
    <w:rsid w:val="00606BEB"/>
    <w:rsid w:val="00607AC8"/>
    <w:rsid w:val="0061010C"/>
    <w:rsid w:val="0061014A"/>
    <w:rsid w:val="0061054B"/>
    <w:rsid w:val="00610A1E"/>
    <w:rsid w:val="00610DAB"/>
    <w:rsid w:val="006110FB"/>
    <w:rsid w:val="006114BB"/>
    <w:rsid w:val="00612625"/>
    <w:rsid w:val="00612FB0"/>
    <w:rsid w:val="0061356D"/>
    <w:rsid w:val="00613E26"/>
    <w:rsid w:val="00615641"/>
    <w:rsid w:val="00615A66"/>
    <w:rsid w:val="00616959"/>
    <w:rsid w:val="0062036E"/>
    <w:rsid w:val="006211D0"/>
    <w:rsid w:val="00621595"/>
    <w:rsid w:val="00621822"/>
    <w:rsid w:val="0062359D"/>
    <w:rsid w:val="006235F5"/>
    <w:rsid w:val="00623634"/>
    <w:rsid w:val="00623BB9"/>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03B1"/>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A6E"/>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5F41"/>
    <w:rsid w:val="006F6005"/>
    <w:rsid w:val="006F63D0"/>
    <w:rsid w:val="006F674E"/>
    <w:rsid w:val="007005EA"/>
    <w:rsid w:val="007011CF"/>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9BF"/>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4AC8"/>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47C9F"/>
    <w:rsid w:val="00750C82"/>
    <w:rsid w:val="00750E3A"/>
    <w:rsid w:val="00752035"/>
    <w:rsid w:val="0076100C"/>
    <w:rsid w:val="00761127"/>
    <w:rsid w:val="007612A5"/>
    <w:rsid w:val="007635A8"/>
    <w:rsid w:val="00763CAE"/>
    <w:rsid w:val="00763F95"/>
    <w:rsid w:val="007651ED"/>
    <w:rsid w:val="00766C87"/>
    <w:rsid w:val="00767ADA"/>
    <w:rsid w:val="00771043"/>
    <w:rsid w:val="0077272B"/>
    <w:rsid w:val="00773AF7"/>
    <w:rsid w:val="00773C45"/>
    <w:rsid w:val="00774FFD"/>
    <w:rsid w:val="00777B20"/>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4D3"/>
    <w:rsid w:val="0080064F"/>
    <w:rsid w:val="00801B85"/>
    <w:rsid w:val="00803850"/>
    <w:rsid w:val="008039E8"/>
    <w:rsid w:val="00804385"/>
    <w:rsid w:val="00804E0E"/>
    <w:rsid w:val="008051EB"/>
    <w:rsid w:val="0080588E"/>
    <w:rsid w:val="00805AFD"/>
    <w:rsid w:val="00806397"/>
    <w:rsid w:val="008078D8"/>
    <w:rsid w:val="0080798E"/>
    <w:rsid w:val="0081098E"/>
    <w:rsid w:val="00811BD9"/>
    <w:rsid w:val="00811D5B"/>
    <w:rsid w:val="00813C51"/>
    <w:rsid w:val="00816273"/>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2A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2C05"/>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4CF"/>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B7256"/>
    <w:rsid w:val="008C22F3"/>
    <w:rsid w:val="008C3223"/>
    <w:rsid w:val="008C3FD0"/>
    <w:rsid w:val="008C4C64"/>
    <w:rsid w:val="008C4F01"/>
    <w:rsid w:val="008C5152"/>
    <w:rsid w:val="008C710E"/>
    <w:rsid w:val="008D1484"/>
    <w:rsid w:val="008D29E7"/>
    <w:rsid w:val="008D5104"/>
    <w:rsid w:val="008D75F4"/>
    <w:rsid w:val="008D795D"/>
    <w:rsid w:val="008D7B07"/>
    <w:rsid w:val="008E0CEA"/>
    <w:rsid w:val="008E0D8F"/>
    <w:rsid w:val="008E0F4E"/>
    <w:rsid w:val="008E1E94"/>
    <w:rsid w:val="008E2D99"/>
    <w:rsid w:val="008E30D4"/>
    <w:rsid w:val="008E38B0"/>
    <w:rsid w:val="008E3C90"/>
    <w:rsid w:val="008E4A60"/>
    <w:rsid w:val="008E744D"/>
    <w:rsid w:val="008F1E08"/>
    <w:rsid w:val="008F30F4"/>
    <w:rsid w:val="008F58E1"/>
    <w:rsid w:val="008F6E05"/>
    <w:rsid w:val="008F6FC8"/>
    <w:rsid w:val="008F6FD6"/>
    <w:rsid w:val="009001FA"/>
    <w:rsid w:val="0090045D"/>
    <w:rsid w:val="00900906"/>
    <w:rsid w:val="00900D8F"/>
    <w:rsid w:val="00901229"/>
    <w:rsid w:val="009014E3"/>
    <w:rsid w:val="00901C86"/>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530"/>
    <w:rsid w:val="00937F57"/>
    <w:rsid w:val="0094031E"/>
    <w:rsid w:val="009419B4"/>
    <w:rsid w:val="00941A4C"/>
    <w:rsid w:val="00942645"/>
    <w:rsid w:val="009461E6"/>
    <w:rsid w:val="00950A3A"/>
    <w:rsid w:val="009524B0"/>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208"/>
    <w:rsid w:val="00971810"/>
    <w:rsid w:val="00972266"/>
    <w:rsid w:val="00972996"/>
    <w:rsid w:val="009730B4"/>
    <w:rsid w:val="0097320E"/>
    <w:rsid w:val="009732B8"/>
    <w:rsid w:val="00974647"/>
    <w:rsid w:val="0097514A"/>
    <w:rsid w:val="009759C2"/>
    <w:rsid w:val="00975C72"/>
    <w:rsid w:val="00976869"/>
    <w:rsid w:val="00977740"/>
    <w:rsid w:val="00977979"/>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5F76"/>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20D"/>
    <w:rsid w:val="00A23B89"/>
    <w:rsid w:val="00A23C4F"/>
    <w:rsid w:val="00A23FE3"/>
    <w:rsid w:val="00A248C3"/>
    <w:rsid w:val="00A2496E"/>
    <w:rsid w:val="00A2515A"/>
    <w:rsid w:val="00A253E8"/>
    <w:rsid w:val="00A258B7"/>
    <w:rsid w:val="00A25A0C"/>
    <w:rsid w:val="00A25A83"/>
    <w:rsid w:val="00A262B6"/>
    <w:rsid w:val="00A27FB8"/>
    <w:rsid w:val="00A3051F"/>
    <w:rsid w:val="00A305AD"/>
    <w:rsid w:val="00A314B6"/>
    <w:rsid w:val="00A315C5"/>
    <w:rsid w:val="00A31DE7"/>
    <w:rsid w:val="00A31FE2"/>
    <w:rsid w:val="00A32743"/>
    <w:rsid w:val="00A361A2"/>
    <w:rsid w:val="00A36444"/>
    <w:rsid w:val="00A36CD4"/>
    <w:rsid w:val="00A40356"/>
    <w:rsid w:val="00A40467"/>
    <w:rsid w:val="00A40FFB"/>
    <w:rsid w:val="00A41468"/>
    <w:rsid w:val="00A414A9"/>
    <w:rsid w:val="00A43A71"/>
    <w:rsid w:val="00A44141"/>
    <w:rsid w:val="00A44CCA"/>
    <w:rsid w:val="00A44D75"/>
    <w:rsid w:val="00A47CF1"/>
    <w:rsid w:val="00A50418"/>
    <w:rsid w:val="00A50B17"/>
    <w:rsid w:val="00A53A9B"/>
    <w:rsid w:val="00A54298"/>
    <w:rsid w:val="00A54A47"/>
    <w:rsid w:val="00A558A5"/>
    <w:rsid w:val="00A567C2"/>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4F3B"/>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172"/>
    <w:rsid w:val="00AA28EF"/>
    <w:rsid w:val="00AA3593"/>
    <w:rsid w:val="00AA38CA"/>
    <w:rsid w:val="00AA493E"/>
    <w:rsid w:val="00AA6EB1"/>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366"/>
    <w:rsid w:val="00AD067E"/>
    <w:rsid w:val="00AD168B"/>
    <w:rsid w:val="00AD1B4E"/>
    <w:rsid w:val="00AD2379"/>
    <w:rsid w:val="00AD2801"/>
    <w:rsid w:val="00AD3496"/>
    <w:rsid w:val="00AD426A"/>
    <w:rsid w:val="00AD49A1"/>
    <w:rsid w:val="00AD5771"/>
    <w:rsid w:val="00AD6870"/>
    <w:rsid w:val="00AD68C5"/>
    <w:rsid w:val="00AD7F8F"/>
    <w:rsid w:val="00AE041A"/>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E7F5A"/>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7C7"/>
    <w:rsid w:val="00B14FAA"/>
    <w:rsid w:val="00B15BED"/>
    <w:rsid w:val="00B15D30"/>
    <w:rsid w:val="00B15F09"/>
    <w:rsid w:val="00B16D18"/>
    <w:rsid w:val="00B16D63"/>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0DBE"/>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0D8"/>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2EBE"/>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3FD2"/>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B76"/>
    <w:rsid w:val="00C22F3A"/>
    <w:rsid w:val="00C23311"/>
    <w:rsid w:val="00C2340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82E"/>
    <w:rsid w:val="00C45B27"/>
    <w:rsid w:val="00C4652E"/>
    <w:rsid w:val="00C472C7"/>
    <w:rsid w:val="00C5019E"/>
    <w:rsid w:val="00C50C8C"/>
    <w:rsid w:val="00C51962"/>
    <w:rsid w:val="00C51D13"/>
    <w:rsid w:val="00C5368C"/>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4DC"/>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292"/>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3A64"/>
    <w:rsid w:val="00CC55D6"/>
    <w:rsid w:val="00CC59B4"/>
    <w:rsid w:val="00CC69EC"/>
    <w:rsid w:val="00CC78A2"/>
    <w:rsid w:val="00CC7DF8"/>
    <w:rsid w:val="00CD15BE"/>
    <w:rsid w:val="00CD1EF2"/>
    <w:rsid w:val="00CD207C"/>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2EC"/>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0828"/>
    <w:rsid w:val="00DD286D"/>
    <w:rsid w:val="00DD2CAF"/>
    <w:rsid w:val="00DD3593"/>
    <w:rsid w:val="00DD462A"/>
    <w:rsid w:val="00DD5558"/>
    <w:rsid w:val="00DD628D"/>
    <w:rsid w:val="00DD6465"/>
    <w:rsid w:val="00DD64E0"/>
    <w:rsid w:val="00DD71F7"/>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5AD"/>
    <w:rsid w:val="00E24849"/>
    <w:rsid w:val="00E2536E"/>
    <w:rsid w:val="00E25A99"/>
    <w:rsid w:val="00E25B8A"/>
    <w:rsid w:val="00E25EF8"/>
    <w:rsid w:val="00E2632B"/>
    <w:rsid w:val="00E26F75"/>
    <w:rsid w:val="00E27423"/>
    <w:rsid w:val="00E3077F"/>
    <w:rsid w:val="00E322F7"/>
    <w:rsid w:val="00E33656"/>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1175"/>
    <w:rsid w:val="00E5130B"/>
    <w:rsid w:val="00E523FB"/>
    <w:rsid w:val="00E53460"/>
    <w:rsid w:val="00E54846"/>
    <w:rsid w:val="00E548FA"/>
    <w:rsid w:val="00E55CD9"/>
    <w:rsid w:val="00E57703"/>
    <w:rsid w:val="00E57ED4"/>
    <w:rsid w:val="00E57FED"/>
    <w:rsid w:val="00E6092F"/>
    <w:rsid w:val="00E61EE9"/>
    <w:rsid w:val="00E62049"/>
    <w:rsid w:val="00E629DA"/>
    <w:rsid w:val="00E63C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B75"/>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26E2"/>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29D5"/>
    <w:rsid w:val="00FF361F"/>
    <w:rsid w:val="00FF3A38"/>
    <w:rsid w:val="00FF3C25"/>
    <w:rsid w:val="00FF4129"/>
    <w:rsid w:val="00FF44F7"/>
    <w:rsid w:val="00FF4C90"/>
    <w:rsid w:val="00FF5806"/>
    <w:rsid w:val="00FF61BD"/>
    <w:rsid w:val="00FF715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7575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7A462-ABDC-4F68-81B1-D559E4B18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4086</Words>
  <Characters>23296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2012-09-06T15:07:00Z</cp:lastPrinted>
  <dcterms:created xsi:type="dcterms:W3CDTF">2012-10-09T18:08:00Z</dcterms:created>
  <dcterms:modified xsi:type="dcterms:W3CDTF">2012-10-09T18:08:00Z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