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0D79A8">
        <w:rPr>
          <w:caps/>
          <w:color w:val="auto"/>
        </w:rPr>
        <w:t>XXXXXXXXXXXXXXXXX</w:t>
      </w:r>
      <w:r w:rsidR="00D77915">
        <w:rPr>
          <w:caps/>
          <w:color w:val="auto"/>
        </w:rPr>
        <w:t xml:space="preserve">                                </w:t>
      </w:r>
      <w:r w:rsidR="00C343BF">
        <w:rPr>
          <w:caps/>
          <w:color w:val="auto"/>
        </w:rPr>
        <w:t xml:space="preserve">                           </w:t>
      </w:r>
      <w:r w:rsidR="00C029C4">
        <w:rPr>
          <w:caps/>
          <w:color w:val="auto"/>
        </w:rPr>
        <w:t xml:space="preserve"> </w:t>
      </w:r>
      <w:r w:rsidR="00C25BC1">
        <w:rPr>
          <w:caps/>
          <w:color w:val="auto"/>
        </w:rPr>
        <w:tab/>
      </w:r>
      <w:r w:rsidRPr="00F64312">
        <w:rPr>
          <w:caps/>
          <w:color w:val="auto"/>
        </w:rPr>
        <w:t>BRANCH OF SERVICE</w:t>
      </w:r>
      <w:r w:rsidRPr="00D77915">
        <w:rPr>
          <w:caps/>
          <w:color w:val="auto"/>
        </w:rPr>
        <w:t xml:space="preserve">: </w:t>
      </w:r>
      <w:r w:rsidR="0018208F" w:rsidRPr="00D77915">
        <w:rPr>
          <w:caps/>
          <w:color w:val="auto"/>
        </w:rPr>
        <w:t xml:space="preserve"> </w:t>
      </w:r>
      <w:r w:rsidR="00DF70F4" w:rsidRPr="00D77915">
        <w:rPr>
          <w:caps/>
          <w:color w:val="auto"/>
        </w:rPr>
        <w:t>Army</w:t>
      </w:r>
    </w:p>
    <w:p w:rsidR="0095270D" w:rsidRPr="00F64312" w:rsidRDefault="0095270D" w:rsidP="00DD5558">
      <w:pPr>
        <w:tabs>
          <w:tab w:val="right" w:pos="9360"/>
        </w:tabs>
        <w:jc w:val="both"/>
        <w:rPr>
          <w:color w:val="auto"/>
        </w:rPr>
      </w:pPr>
      <w:r w:rsidRPr="00F64312">
        <w:rPr>
          <w:caps/>
          <w:color w:val="auto"/>
        </w:rPr>
        <w:t>CASE NUMBER:  PD</w:t>
      </w:r>
      <w:r w:rsidR="001657BE" w:rsidRPr="00D77915">
        <w:rPr>
          <w:caps/>
          <w:color w:val="auto"/>
        </w:rPr>
        <w:t>12</w:t>
      </w:r>
      <w:r w:rsidRPr="00D77915">
        <w:rPr>
          <w:caps/>
          <w:color w:val="auto"/>
        </w:rPr>
        <w:t>00</w:t>
      </w:r>
      <w:r w:rsidR="00D77915" w:rsidRPr="00D77915">
        <w:rPr>
          <w:caps/>
          <w:color w:val="auto"/>
        </w:rPr>
        <w:t>177</w:t>
      </w:r>
      <w:r w:rsidR="008F4072">
        <w:rPr>
          <w:caps/>
          <w:color w:val="auto"/>
        </w:rPr>
        <w:t xml:space="preserve">                                           </w:t>
      </w:r>
      <w:r w:rsidR="00D77915">
        <w:rPr>
          <w:caps/>
          <w:color w:val="auto"/>
        </w:rPr>
        <w:tab/>
      </w:r>
      <w:r w:rsidR="0018208F" w:rsidRPr="00F64312">
        <w:rPr>
          <w:color w:val="auto"/>
        </w:rPr>
        <w:t>SE</w:t>
      </w:r>
      <w:r w:rsidRPr="00F64312">
        <w:rPr>
          <w:color w:val="auto"/>
        </w:rPr>
        <w:t>PARATION DATE:  200</w:t>
      </w:r>
      <w:r w:rsidR="00D77915">
        <w:rPr>
          <w:color w:val="auto"/>
        </w:rPr>
        <w:t>41020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C343BF">
        <w:rPr>
          <w:caps/>
          <w:color w:val="auto"/>
        </w:rPr>
        <w:t>1016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D64AFE" w:rsidRPr="004F5765" w:rsidRDefault="00AD2379" w:rsidP="00D64AFE">
      <w:pPr>
        <w:tabs>
          <w:tab w:val="left" w:pos="288"/>
          <w:tab w:val="left" w:pos="4752"/>
        </w:tabs>
        <w:jc w:val="both"/>
        <w:rPr>
          <w:color w:val="000000" w:themeColor="text1"/>
          <w:sz w:val="20"/>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964D1E">
        <w:rPr>
          <w:color w:val="auto"/>
        </w:rPr>
        <w:t>a</w:t>
      </w:r>
      <w:r w:rsidR="00C56649" w:rsidRPr="00964D1E">
        <w:rPr>
          <w:color w:val="auto"/>
        </w:rPr>
        <w:t>n AGR</w:t>
      </w:r>
      <w:r w:rsidRPr="00A76C02">
        <w:rPr>
          <w:color w:val="auto"/>
        </w:rPr>
        <w:t xml:space="preserve"> </w:t>
      </w:r>
      <w:r w:rsidR="0017172C" w:rsidRPr="00A76C02">
        <w:rPr>
          <w:color w:val="auto"/>
        </w:rPr>
        <w:t>S</w:t>
      </w:r>
      <w:r w:rsidR="00A76C02" w:rsidRPr="00A76C02">
        <w:rPr>
          <w:color w:val="auto"/>
        </w:rPr>
        <w:t>FC/E-7</w:t>
      </w:r>
      <w:r w:rsidRPr="00A76C02">
        <w:rPr>
          <w:color w:val="auto"/>
        </w:rPr>
        <w:t xml:space="preserve"> (</w:t>
      </w:r>
      <w:r w:rsidR="00A76C02" w:rsidRPr="00A76C02">
        <w:rPr>
          <w:color w:val="auto"/>
        </w:rPr>
        <w:t>79V40</w:t>
      </w:r>
      <w:r w:rsidR="00112F44" w:rsidRPr="00A76C02">
        <w:rPr>
          <w:color w:val="auto"/>
        </w:rPr>
        <w:t>/</w:t>
      </w:r>
      <w:r w:rsidR="00A76C02">
        <w:rPr>
          <w:color w:val="auto"/>
        </w:rPr>
        <w:t>Retention and Training NCO</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DD16A3">
        <w:rPr>
          <w:color w:val="auto"/>
        </w:rPr>
        <w:t>neck pain, fibromyalgia and rotator cuff tear.</w:t>
      </w:r>
      <w:r w:rsidR="00654430">
        <w:rPr>
          <w:color w:val="auto"/>
        </w:rPr>
        <w:t xml:space="preserve">  Ne</w:t>
      </w:r>
      <w:r w:rsidR="00147D3E" w:rsidRPr="00324C15">
        <w:rPr>
          <w:color w:val="auto"/>
        </w:rPr>
        <w:t>ck pain</w:t>
      </w:r>
      <w:r w:rsidR="00654430">
        <w:rPr>
          <w:color w:val="auto"/>
        </w:rPr>
        <w:t xml:space="preserve"> began in 1992, was</w:t>
      </w:r>
      <w:r w:rsidR="007E002F" w:rsidRPr="00324C15">
        <w:rPr>
          <w:color w:val="auto"/>
        </w:rPr>
        <w:t xml:space="preserve"> not a consequence of trauma</w:t>
      </w:r>
      <w:r w:rsidR="00654430">
        <w:rPr>
          <w:color w:val="auto"/>
        </w:rPr>
        <w:t>,</w:t>
      </w:r>
      <w:r w:rsidR="00147D3E" w:rsidRPr="00324C15">
        <w:rPr>
          <w:color w:val="auto"/>
        </w:rPr>
        <w:t xml:space="preserve"> </w:t>
      </w:r>
      <w:r w:rsidR="007E002F" w:rsidRPr="00324C15">
        <w:rPr>
          <w:color w:val="auto"/>
        </w:rPr>
        <w:t>and was not associated with a surgical indication.  F</w:t>
      </w:r>
      <w:r w:rsidR="00147D3E" w:rsidRPr="00324C15">
        <w:rPr>
          <w:color w:val="auto"/>
        </w:rPr>
        <w:t xml:space="preserve">ibromyalgia </w:t>
      </w:r>
      <w:r w:rsidR="007E002F" w:rsidRPr="00324C15">
        <w:rPr>
          <w:color w:val="auto"/>
        </w:rPr>
        <w:t xml:space="preserve">was diagnosed </w:t>
      </w:r>
      <w:r w:rsidR="00324C15" w:rsidRPr="00324C15">
        <w:rPr>
          <w:color w:val="auto"/>
        </w:rPr>
        <w:t xml:space="preserve">in </w:t>
      </w:r>
      <w:r w:rsidR="00147D3E" w:rsidRPr="00324C15">
        <w:rPr>
          <w:color w:val="auto"/>
        </w:rPr>
        <w:t>2001 after years of fatigue and generalized pain</w:t>
      </w:r>
      <w:r w:rsidR="00324C15" w:rsidRPr="00324C15">
        <w:rPr>
          <w:color w:val="auto"/>
        </w:rPr>
        <w:t>.  R</w:t>
      </w:r>
      <w:r w:rsidR="00147D3E" w:rsidRPr="00324C15">
        <w:rPr>
          <w:color w:val="auto"/>
        </w:rPr>
        <w:t xml:space="preserve">ight shoulder rotator cuff tear </w:t>
      </w:r>
      <w:r w:rsidR="00324C15" w:rsidRPr="00324C15">
        <w:rPr>
          <w:color w:val="auto"/>
        </w:rPr>
        <w:t xml:space="preserve">was </w:t>
      </w:r>
      <w:r w:rsidR="00147D3E" w:rsidRPr="00324C15">
        <w:rPr>
          <w:color w:val="auto"/>
        </w:rPr>
        <w:t>diagnosed after</w:t>
      </w:r>
      <w:r w:rsidR="00324C15" w:rsidRPr="00324C15">
        <w:rPr>
          <w:color w:val="auto"/>
        </w:rPr>
        <w:t xml:space="preserve"> a motor vehicle accident in </w:t>
      </w:r>
      <w:r w:rsidR="00147D3E" w:rsidRPr="00324C15">
        <w:rPr>
          <w:color w:val="auto"/>
        </w:rPr>
        <w:t xml:space="preserve">2004, </w:t>
      </w:r>
      <w:r w:rsidR="00324C15" w:rsidRPr="00324C15">
        <w:rPr>
          <w:color w:val="auto"/>
        </w:rPr>
        <w:t xml:space="preserve">and was </w:t>
      </w:r>
      <w:r w:rsidR="00CA77DE">
        <w:rPr>
          <w:color w:val="auto"/>
        </w:rPr>
        <w:t xml:space="preserve">treated </w:t>
      </w:r>
      <w:r w:rsidR="00324C15" w:rsidRPr="00324C15">
        <w:rPr>
          <w:color w:val="auto"/>
        </w:rPr>
        <w:t>surgically.  None of the</w:t>
      </w:r>
      <w:r w:rsidR="00324C15">
        <w:rPr>
          <w:color w:val="FF0000"/>
        </w:rPr>
        <w:t xml:space="preserve"> </w:t>
      </w:r>
      <w:r w:rsidR="002143E5" w:rsidRPr="00147D3E">
        <w:rPr>
          <w:color w:val="auto"/>
        </w:rPr>
        <w:t>c</w:t>
      </w:r>
      <w:r w:rsidR="002143E5" w:rsidRPr="00D64AFE">
        <w:rPr>
          <w:color w:val="auto"/>
        </w:rPr>
        <w:t>ondition</w:t>
      </w:r>
      <w:r w:rsidR="0051594B" w:rsidRPr="00D64AFE">
        <w:rPr>
          <w:color w:val="auto"/>
        </w:rPr>
        <w:t>s</w:t>
      </w:r>
      <w:r w:rsidR="00F566B7" w:rsidRPr="00D64AFE">
        <w:rPr>
          <w:color w:val="auto"/>
        </w:rPr>
        <w:t xml:space="preserve"> could </w:t>
      </w:r>
      <w:r w:rsidR="00F15483" w:rsidRPr="00D64AFE">
        <w:rPr>
          <w:color w:val="auto"/>
        </w:rPr>
        <w:t>be adequately rehabilitated</w:t>
      </w:r>
      <w:r w:rsidR="00D64AFE" w:rsidRPr="00D64AFE">
        <w:rPr>
          <w:color w:val="auto"/>
        </w:rPr>
        <w:t xml:space="preserve"> </w:t>
      </w:r>
      <w:r w:rsidR="00F566B7" w:rsidRPr="00D64AFE">
        <w:rPr>
          <w:color w:val="auto"/>
        </w:rPr>
        <w:t>to meet the physical requirements of</w:t>
      </w:r>
      <w:r w:rsidR="00D64AFE" w:rsidRPr="00D64AFE">
        <w:rPr>
          <w:color w:val="auto"/>
        </w:rPr>
        <w:t xml:space="preserve"> </w:t>
      </w:r>
      <w:r w:rsidR="0021565F" w:rsidRPr="00D64AFE">
        <w:rPr>
          <w:color w:val="auto"/>
        </w:rPr>
        <w:t>her</w:t>
      </w:r>
      <w:r w:rsidR="00F566B7" w:rsidRPr="00D64AFE">
        <w:rPr>
          <w:color w:val="auto"/>
        </w:rPr>
        <w:t xml:space="preserve"> Military Occupational Specialty (MOS)</w:t>
      </w:r>
      <w:r w:rsidR="006A0909" w:rsidRPr="00D64AFE">
        <w:rPr>
          <w:color w:val="auto"/>
        </w:rPr>
        <w:t xml:space="preserve"> </w:t>
      </w:r>
      <w:r w:rsidR="00F566B7" w:rsidRPr="00D64AFE">
        <w:rPr>
          <w:color w:val="auto"/>
        </w:rPr>
        <w:t>or</w:t>
      </w:r>
      <w:r w:rsidR="00F566B7" w:rsidRPr="00F64312">
        <w:rPr>
          <w:color w:val="auto"/>
        </w:rPr>
        <w:t xml:space="preserve"> satis</w:t>
      </w:r>
      <w:r w:rsidR="009C12A1" w:rsidRPr="00F64312">
        <w:rPr>
          <w:color w:val="auto"/>
        </w:rPr>
        <w:t>fy physical fitness standards</w:t>
      </w:r>
      <w:r w:rsidR="009C12A1" w:rsidRPr="00D64AFE">
        <w:rPr>
          <w:color w:val="auto"/>
        </w:rPr>
        <w:t>.</w:t>
      </w:r>
      <w:r w:rsidR="00D64AFE" w:rsidRPr="00D64AFE">
        <w:rPr>
          <w:color w:val="auto"/>
        </w:rPr>
        <w:t xml:space="preserve">  </w:t>
      </w:r>
      <w:r w:rsidR="006A0909" w:rsidRPr="00D64AFE">
        <w:rPr>
          <w:color w:val="auto"/>
        </w:rPr>
        <w:t>She</w:t>
      </w:r>
      <w:r w:rsidR="009C12A1" w:rsidRPr="00F64312">
        <w:rPr>
          <w:color w:val="auto"/>
        </w:rPr>
        <w:t xml:space="preserve"> </w:t>
      </w:r>
      <w:r w:rsidR="00F566B7" w:rsidRPr="00F64312">
        <w:rPr>
          <w:color w:val="auto"/>
        </w:rPr>
        <w:t xml:space="preserve">was issued a </w:t>
      </w:r>
      <w:r w:rsidR="00F566B7" w:rsidRPr="00D64AFE">
        <w:rPr>
          <w:color w:val="auto"/>
        </w:rPr>
        <w:t xml:space="preserve">permanent </w:t>
      </w:r>
      <w:r w:rsidR="00D64AFE" w:rsidRPr="00D64AFE">
        <w:rPr>
          <w:color w:val="auto"/>
        </w:rPr>
        <w:t>U3/</w:t>
      </w:r>
      <w:r w:rsidR="00F566B7" w:rsidRPr="00D64AFE">
        <w:rPr>
          <w:color w:val="auto"/>
        </w:rPr>
        <w:t xml:space="preserve">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157C3">
        <w:rPr>
          <w:color w:val="auto"/>
        </w:rPr>
        <w:t xml:space="preserve">  </w:t>
      </w:r>
      <w:r w:rsidR="009F44A2">
        <w:rPr>
          <w:color w:val="auto"/>
        </w:rPr>
        <w:t xml:space="preserve">The MEB forwarded </w:t>
      </w:r>
      <w:r w:rsidR="005C7571">
        <w:rPr>
          <w:color w:val="auto"/>
        </w:rPr>
        <w:t>cervical spinal stenosis, fibromyalgia and rotator cuff tear, right shoulder</w:t>
      </w:r>
      <w:r w:rsidR="006157C3">
        <w:rPr>
          <w:color w:val="auto"/>
        </w:rPr>
        <w:t>,</w:t>
      </w:r>
      <w:r w:rsidR="009F44A2">
        <w:rPr>
          <w:color w:val="auto"/>
        </w:rPr>
        <w:t xml:space="preserve"> to the Physical Evaluation Board (PEB) as medically unacceptable </w:t>
      </w:r>
      <w:r w:rsidR="009F44A2" w:rsidRPr="005C7571">
        <w:rPr>
          <w:color w:val="auto"/>
        </w:rPr>
        <w:t xml:space="preserve">IAW AR 40-501.  </w:t>
      </w:r>
      <w:r w:rsidR="007A4E77" w:rsidRPr="005C7571">
        <w:rPr>
          <w:color w:val="auto"/>
        </w:rPr>
        <w:t>No other conditions appeared on the MEB’s submission.</w:t>
      </w:r>
      <w:r w:rsidR="006157C3">
        <w:rPr>
          <w:color w:val="auto"/>
        </w:rPr>
        <w:t xml:space="preserve">  </w:t>
      </w:r>
      <w:r w:rsidRPr="00F64312">
        <w:rPr>
          <w:color w:val="auto"/>
        </w:rPr>
        <w:t xml:space="preserve">The PEB adjudicated the </w:t>
      </w:r>
      <w:r w:rsidR="00C3733B">
        <w:rPr>
          <w:color w:val="auto"/>
        </w:rPr>
        <w:t>neck pain from congenital spinal stenosis aggravated by bulging cervical discs, fibromyalgia and rotator cuff tear</w:t>
      </w:r>
      <w:r w:rsidR="008530E3" w:rsidRPr="00F64312">
        <w:rPr>
          <w:color w:val="auto"/>
        </w:rPr>
        <w:t xml:space="preserve"> as unfitting, rated </w:t>
      </w:r>
      <w:r w:rsidR="00C3733B" w:rsidRPr="00C3733B">
        <w:rPr>
          <w:color w:val="auto"/>
        </w:rPr>
        <w:t>10</w:t>
      </w:r>
      <w:r w:rsidRPr="00C3733B">
        <w:rPr>
          <w:color w:val="auto"/>
        </w:rPr>
        <w:t>%</w:t>
      </w:r>
      <w:r w:rsidR="00C3733B">
        <w:rPr>
          <w:color w:val="auto"/>
        </w:rPr>
        <w:t>, 10% and 0% respectively.  The neck pain and fibromyalgia were adjudicated</w:t>
      </w:r>
      <w:r w:rsidRPr="00C3733B">
        <w:rPr>
          <w:color w:val="auto"/>
        </w:rPr>
        <w:t xml:space="preserve"> </w:t>
      </w:r>
      <w:r w:rsidR="00E46D90" w:rsidRPr="00C3733B">
        <w:rPr>
          <w:color w:val="auto"/>
        </w:rPr>
        <w:t>w</w:t>
      </w:r>
      <w:r w:rsidR="00E46D90" w:rsidRPr="00F64312">
        <w:rPr>
          <w:color w:val="auto"/>
        </w:rPr>
        <w:t xml:space="preserve">ith application of </w:t>
      </w:r>
      <w:r w:rsidR="00E46D90" w:rsidRPr="006157C3">
        <w:rPr>
          <w:color w:val="auto"/>
        </w:rPr>
        <w:t xml:space="preserve">the </w:t>
      </w:r>
      <w:r w:rsidRPr="006157C3">
        <w:rPr>
          <w:color w:val="auto"/>
        </w:rPr>
        <w:t>Veteran</w:t>
      </w:r>
      <w:r w:rsidR="00BF72CA" w:rsidRPr="006157C3">
        <w:rPr>
          <w:color w:val="auto"/>
        </w:rPr>
        <w:t>’</w:t>
      </w:r>
      <w:r w:rsidRPr="006157C3">
        <w:rPr>
          <w:color w:val="auto"/>
        </w:rPr>
        <w:t>s A</w:t>
      </w:r>
      <w:r w:rsidR="00BF72CA" w:rsidRPr="006157C3">
        <w:rPr>
          <w:color w:val="auto"/>
        </w:rPr>
        <w:t>ffairs</w:t>
      </w:r>
      <w:r w:rsidRPr="006157C3">
        <w:rPr>
          <w:color w:val="auto"/>
        </w:rPr>
        <w:t xml:space="preserve"> Schedule for Rating Disabilities (VASRD)</w:t>
      </w:r>
      <w:r w:rsidR="00C3733B" w:rsidRPr="006157C3">
        <w:rPr>
          <w:color w:val="auto"/>
        </w:rPr>
        <w:t>, and the rotator cuff tear with application of</w:t>
      </w:r>
      <w:r w:rsidR="000B1C9E" w:rsidRPr="006157C3">
        <w:rPr>
          <w:color w:val="auto"/>
        </w:rPr>
        <w:t xml:space="preserve"> </w:t>
      </w:r>
      <w:r w:rsidR="005C7571" w:rsidRPr="006157C3">
        <w:rPr>
          <w:color w:val="auto"/>
        </w:rPr>
        <w:t xml:space="preserve">the </w:t>
      </w:r>
      <w:r w:rsidR="0065689C" w:rsidRPr="006157C3">
        <w:rPr>
          <w:color w:val="auto"/>
          <w:szCs w:val="24"/>
        </w:rPr>
        <w:t>US Army Physical Disability Agency (USAPDA) pain policy</w:t>
      </w:r>
      <w:r w:rsidR="00BF72CA" w:rsidRPr="006157C3">
        <w:rPr>
          <w:color w:val="auto"/>
        </w:rPr>
        <w:t>.</w:t>
      </w:r>
      <w:r w:rsidR="006157C3">
        <w:rPr>
          <w:color w:val="auto"/>
        </w:rPr>
        <w:t xml:space="preserve">  </w:t>
      </w:r>
      <w:r w:rsidRPr="00D64AFE">
        <w:rPr>
          <w:color w:val="auto"/>
        </w:rPr>
        <w:t xml:space="preserve">The CI made no appeals, and was medically separated with </w:t>
      </w:r>
      <w:r w:rsidR="0066684A" w:rsidRPr="00D64AFE">
        <w:rPr>
          <w:color w:val="auto"/>
        </w:rPr>
        <w:t xml:space="preserve">a </w:t>
      </w:r>
      <w:r w:rsidR="00D64AFE">
        <w:rPr>
          <w:color w:val="auto"/>
        </w:rPr>
        <w:t>20</w:t>
      </w:r>
      <w:r w:rsidR="0066684A" w:rsidRPr="00D64AFE">
        <w:rPr>
          <w:color w:val="auto"/>
        </w:rPr>
        <w:t xml:space="preserve">% </w:t>
      </w:r>
      <w:r w:rsidRPr="00D64AFE">
        <w:rPr>
          <w:color w:val="auto"/>
        </w:rPr>
        <w:t>disability rating</w:t>
      </w:r>
      <w:r w:rsidRPr="004F5765">
        <w:rPr>
          <w:color w:val="auto"/>
          <w:szCs w:val="24"/>
        </w:rPr>
        <w:t>.</w:t>
      </w:r>
      <w:r w:rsidR="00165C7B" w:rsidRPr="004F5765">
        <w:rPr>
          <w:color w:val="auto"/>
          <w:szCs w:val="24"/>
        </w:rPr>
        <w:t xml:space="preserve">  </w:t>
      </w:r>
      <w:r w:rsidR="00D64AFE" w:rsidRPr="004F5765">
        <w:rPr>
          <w:color w:val="000000" w:themeColor="text1"/>
          <w:szCs w:val="24"/>
        </w:rPr>
        <w:t xml:space="preserve">The CI elected disability severance pay in lieu of transfer to the </w:t>
      </w:r>
      <w:r w:rsidR="00894489">
        <w:rPr>
          <w:color w:val="000000" w:themeColor="text1"/>
          <w:szCs w:val="24"/>
        </w:rPr>
        <w:t xml:space="preserve">Retired </w:t>
      </w:r>
      <w:r w:rsidR="00D64AFE" w:rsidRPr="004F5765">
        <w:rPr>
          <w:color w:val="000000" w:themeColor="text1"/>
          <w:szCs w:val="24"/>
        </w:rPr>
        <w:t xml:space="preserve">Reserve </w:t>
      </w:r>
      <w:r w:rsidR="00C25BC1">
        <w:rPr>
          <w:color w:val="000000" w:themeColor="text1"/>
          <w:szCs w:val="24"/>
        </w:rPr>
        <w:t>List.</w:t>
      </w:r>
      <w:r w:rsidR="00894489">
        <w:rPr>
          <w:color w:val="000000" w:themeColor="text1"/>
          <w:szCs w:val="24"/>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BA6B29">
        <w:rPr>
          <w:color w:val="000000" w:themeColor="text1"/>
        </w:rPr>
        <w:t>“</w:t>
      </w:r>
      <w:r w:rsidR="00BA6B29" w:rsidRPr="00BF19A2">
        <w:rPr>
          <w:color w:val="000000" w:themeColor="text1"/>
        </w:rPr>
        <w:t>Currently I am I</w:t>
      </w:r>
      <w:r w:rsidR="00BA6B29">
        <w:rPr>
          <w:color w:val="000000" w:themeColor="text1"/>
        </w:rPr>
        <w:t>U</w:t>
      </w:r>
      <w:r w:rsidR="00BA6B29" w:rsidRPr="00BF19A2">
        <w:rPr>
          <w:color w:val="000000" w:themeColor="text1"/>
        </w:rPr>
        <w:t xml:space="preserve"> w</w:t>
      </w:r>
      <w:r w:rsidR="00BA6B29">
        <w:rPr>
          <w:color w:val="000000" w:themeColor="text1"/>
        </w:rPr>
        <w:t>ith the V</w:t>
      </w:r>
      <w:r w:rsidR="00BA6B29" w:rsidRPr="00BF19A2">
        <w:rPr>
          <w:color w:val="000000" w:themeColor="text1"/>
        </w:rPr>
        <w:t>A and at the time of discharge, all medical issues were not address in the rating</w:t>
      </w:r>
      <w:r w:rsidR="00894489">
        <w:rPr>
          <w:color w:val="000000" w:themeColor="text1"/>
        </w:rPr>
        <w:t xml:space="preserve"> </w:t>
      </w:r>
      <w:r w:rsidR="00BA6B29" w:rsidRPr="00BF19A2">
        <w:rPr>
          <w:color w:val="000000" w:themeColor="text1"/>
        </w:rPr>
        <w:t>given.</w:t>
      </w:r>
      <w:r w:rsidR="004F5765">
        <w:rPr>
          <w:color w:val="000000" w:themeColor="text1"/>
        </w:rPr>
        <w:t xml:space="preserve"> </w:t>
      </w:r>
      <w:r w:rsidR="00BA6B29" w:rsidRPr="00BF19A2">
        <w:rPr>
          <w:color w:val="000000" w:themeColor="text1"/>
        </w:rPr>
        <w:t xml:space="preserve"> I have suffered with numerous</w:t>
      </w:r>
      <w:r w:rsidR="00BA6B29">
        <w:rPr>
          <w:color w:val="000000" w:themeColor="text1"/>
        </w:rPr>
        <w:t xml:space="preserve"> </w:t>
      </w:r>
      <w:r w:rsidR="00BA6B29" w:rsidRPr="00BF19A2">
        <w:rPr>
          <w:color w:val="000000" w:themeColor="text1"/>
        </w:rPr>
        <w:t>medical issues that existed at time of discharge.</w:t>
      </w:r>
      <w:r w:rsidR="004F5765">
        <w:rPr>
          <w:color w:val="000000" w:themeColor="text1"/>
        </w:rPr>
        <w:t xml:space="preserve"> </w:t>
      </w:r>
      <w:r w:rsidR="00BA6B29" w:rsidRPr="00BF19A2">
        <w:rPr>
          <w:color w:val="000000" w:themeColor="text1"/>
        </w:rPr>
        <w:t xml:space="preserve"> Also at time of discharge I was not rated for issues with my shoulder which surgery was</w:t>
      </w:r>
      <w:r w:rsidR="00BA6B29">
        <w:rPr>
          <w:color w:val="000000" w:themeColor="text1"/>
        </w:rPr>
        <w:t xml:space="preserve"> </w:t>
      </w:r>
      <w:r w:rsidR="00BA6B29" w:rsidRPr="00BF19A2">
        <w:rPr>
          <w:color w:val="000000" w:themeColor="text1"/>
        </w:rPr>
        <w:t>recommended by the Army and at time of discharge was not evaluated which 30% was awarded by the VA.</w:t>
      </w:r>
      <w:r w:rsidR="00BA6B29">
        <w:rPr>
          <w:color w:val="000000" w:themeColor="text1"/>
        </w:rPr>
        <w:t xml:space="preserve"> </w:t>
      </w:r>
      <w:r w:rsidR="004F5765">
        <w:rPr>
          <w:color w:val="000000" w:themeColor="text1"/>
        </w:rPr>
        <w:t xml:space="preserve"> </w:t>
      </w:r>
      <w:r w:rsidR="00BA6B29" w:rsidRPr="00BF19A2">
        <w:rPr>
          <w:color w:val="000000" w:themeColor="text1"/>
        </w:rPr>
        <w:t>I was not evaluated for Mental disorder which was also a part of my records at time of discharge</w:t>
      </w:r>
      <w:r w:rsidR="00C3733B">
        <w:rPr>
          <w:rFonts w:eastAsia="Cambria"/>
          <w:color w:val="auto"/>
          <w:szCs w:val="24"/>
        </w:rPr>
        <w:t>.”</w:t>
      </w:r>
      <w:r w:rsidR="00654430">
        <w:rPr>
          <w:rFonts w:eastAsia="Cambria"/>
          <w:color w:val="auto"/>
          <w:szCs w:val="24"/>
        </w:rPr>
        <w:t xml:space="preserve"> [</w:t>
      </w:r>
      <w:r w:rsidR="00654430" w:rsidRPr="00654430">
        <w:rPr>
          <w:rFonts w:eastAsia="Cambria"/>
          <w:i/>
          <w:color w:val="auto"/>
          <w:szCs w:val="24"/>
        </w:rPr>
        <w:t>sic</w:t>
      </w:r>
      <w:r w:rsidR="00654430">
        <w:rPr>
          <w:rFonts w:eastAsia="Cambria"/>
          <w:color w:val="auto"/>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B1149E">
        <w:rPr>
          <w:color w:val="auto"/>
        </w:rPr>
        <w:t>the Department of Defense Instruction (</w:t>
      </w:r>
      <w:r w:rsidR="00AE2B85">
        <w:rPr>
          <w:color w:val="auto"/>
        </w:rPr>
        <w:t>DoDI</w:t>
      </w:r>
      <w:r w:rsidR="00B1149E">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0048567B">
        <w:rPr>
          <w:color w:val="auto"/>
        </w:rPr>
        <w:t xml:space="preserve">The </w:t>
      </w:r>
      <w:r w:rsidRPr="009239C0">
        <w:rPr>
          <w:color w:val="auto"/>
        </w:rPr>
        <w:t xml:space="preserve">ratings for unfitting conditions will be reviewed in all cases.  </w:t>
      </w:r>
      <w:r w:rsidRPr="004B0D9B">
        <w:rPr>
          <w:color w:val="auto"/>
        </w:rPr>
        <w:t xml:space="preserve">The </w:t>
      </w:r>
      <w:r w:rsidR="004B0D9B" w:rsidRPr="004B0D9B">
        <w:rPr>
          <w:color w:val="auto"/>
        </w:rPr>
        <w:t>shoulder</w:t>
      </w:r>
      <w:r w:rsidRPr="004B0D9B">
        <w:rPr>
          <w:color w:val="auto"/>
        </w:rPr>
        <w:t xml:space="preserve"> condition requested for consideration and the unfitting </w:t>
      </w:r>
      <w:r w:rsidR="004B0D9B" w:rsidRPr="004B0D9B">
        <w:rPr>
          <w:color w:val="auto"/>
        </w:rPr>
        <w:t>neck and fibromyalgia</w:t>
      </w:r>
      <w:r w:rsidRPr="004B0D9B">
        <w:rPr>
          <w:color w:val="auto"/>
        </w:rPr>
        <w:t xml:space="preserve"> conditions meet the criteria prescribed in DoDI 6040.44 for Board purview, and are accordingly addressed below</w:t>
      </w:r>
      <w:r w:rsidRPr="00573534">
        <w:rPr>
          <w:color w:val="auto"/>
        </w:rPr>
        <w:t xml:space="preserve">.  The </w:t>
      </w:r>
      <w:r w:rsidR="00573534" w:rsidRPr="00573534">
        <w:rPr>
          <w:color w:val="auto"/>
        </w:rPr>
        <w:t xml:space="preserve">mental disorder and other </w:t>
      </w:r>
      <w:r w:rsidRPr="00573534">
        <w:rPr>
          <w:color w:val="auto"/>
        </w:rPr>
        <w:t>remaining conditions rated by the VA at separa</w:t>
      </w:r>
      <w:r w:rsidR="00573534">
        <w:rPr>
          <w:color w:val="auto"/>
        </w:rPr>
        <w:t xml:space="preserve">tion and listed on the DA Form </w:t>
      </w:r>
      <w:r w:rsidRPr="00573534">
        <w:rPr>
          <w:color w:val="auto"/>
        </w:rPr>
        <w:t>294 application are not within the Board’s purview.</w:t>
      </w:r>
      <w:r w:rsidRPr="002A3A6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573534">
        <w:rPr>
          <w:color w:val="auto"/>
        </w:rPr>
        <w:t>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6157C3" w:rsidRDefault="006157C3" w:rsidP="00BF0E94">
      <w:pPr>
        <w:jc w:val="left"/>
        <w:rPr>
          <w:color w:val="auto"/>
          <w:u w:val="single"/>
        </w:rPr>
      </w:pPr>
    </w:p>
    <w:p w:rsidR="006157C3" w:rsidRDefault="006157C3" w:rsidP="00BF0E94">
      <w:pPr>
        <w:jc w:val="left"/>
        <w:rPr>
          <w:color w:val="auto"/>
          <w:u w:val="single"/>
        </w:rPr>
      </w:pPr>
    </w:p>
    <w:p w:rsidR="006157C3" w:rsidRDefault="006157C3" w:rsidP="00BF0E94">
      <w:pPr>
        <w:jc w:val="left"/>
        <w:rPr>
          <w:color w:val="auto"/>
          <w:u w:val="single"/>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DD16A3">
            <w:pPr>
              <w:spacing w:line="180" w:lineRule="exact"/>
              <w:contextualSpacing/>
              <w:rPr>
                <w:rFonts w:cs="Calibri"/>
                <w:b/>
                <w:color w:val="auto"/>
                <w:sz w:val="18"/>
              </w:rPr>
            </w:pPr>
            <w:r w:rsidRPr="00F64312">
              <w:rPr>
                <w:b/>
                <w:color w:val="auto"/>
                <w:sz w:val="18"/>
              </w:rPr>
              <w:t xml:space="preserve">Service </w:t>
            </w:r>
            <w:r w:rsidR="00DD16A3">
              <w:rPr>
                <w:b/>
                <w:color w:val="auto"/>
                <w:sz w:val="18"/>
              </w:rPr>
              <w:t>I</w:t>
            </w:r>
            <w:r w:rsidRPr="00F64312">
              <w:rPr>
                <w:b/>
                <w:color w:val="auto"/>
                <w:sz w:val="18"/>
              </w:rPr>
              <w:t xml:space="preserve">PEB – </w:t>
            </w:r>
            <w:r w:rsidRPr="00DD16A3">
              <w:rPr>
                <w:b/>
                <w:color w:val="auto"/>
                <w:sz w:val="18"/>
              </w:rPr>
              <w:t>Dated 200</w:t>
            </w:r>
            <w:r w:rsidR="00DD16A3" w:rsidRPr="00DD16A3">
              <w:rPr>
                <w:b/>
                <w:color w:val="auto"/>
                <w:sz w:val="18"/>
              </w:rPr>
              <w:t>40709</w:t>
            </w:r>
          </w:p>
        </w:tc>
        <w:tc>
          <w:tcPr>
            <w:tcW w:w="5400" w:type="dxa"/>
            <w:gridSpan w:val="4"/>
            <w:tcBorders>
              <w:left w:val="thinThickThinSmallGap" w:sz="24" w:space="0" w:color="auto"/>
            </w:tcBorders>
            <w:shd w:val="clear" w:color="auto" w:fill="D9D9D9"/>
            <w:vAlign w:val="center"/>
          </w:tcPr>
          <w:p w:rsidR="00F90376" w:rsidRPr="00F64312" w:rsidRDefault="00F90376" w:rsidP="005E5776">
            <w:pPr>
              <w:spacing w:line="180" w:lineRule="exact"/>
              <w:contextualSpacing/>
              <w:rPr>
                <w:rFonts w:cs="Calibri"/>
                <w:b/>
                <w:color w:val="auto"/>
                <w:sz w:val="18"/>
              </w:rPr>
            </w:pPr>
            <w:r w:rsidRPr="00F64312">
              <w:rPr>
                <w:b/>
                <w:color w:val="auto"/>
                <w:sz w:val="18"/>
              </w:rPr>
              <w:t>VA (</w:t>
            </w:r>
            <w:r w:rsidR="00DD16A3">
              <w:rPr>
                <w:b/>
                <w:color w:val="auto"/>
                <w:sz w:val="18"/>
              </w:rPr>
              <w:t>1</w:t>
            </w:r>
            <w:r w:rsidRPr="00F64312">
              <w:rPr>
                <w:b/>
                <w:color w:val="auto"/>
                <w:sz w:val="18"/>
              </w:rPr>
              <w:t xml:space="preserve"> Mo</w:t>
            </w:r>
            <w:r w:rsidRPr="00DD16A3">
              <w:rPr>
                <w:b/>
                <w:color w:val="auto"/>
                <w:sz w:val="18"/>
              </w:rPr>
              <w:t>. Pre-</w:t>
            </w:r>
            <w:r w:rsidRPr="00F64312">
              <w:rPr>
                <w:b/>
                <w:color w:val="auto"/>
                <w:sz w:val="18"/>
              </w:rPr>
              <w:t xml:space="preserve">Separation) – All Effective </w:t>
            </w:r>
            <w:r w:rsidRPr="00DD16A3">
              <w:rPr>
                <w:b/>
                <w:color w:val="auto"/>
                <w:sz w:val="18"/>
              </w:rPr>
              <w:t>Date 200</w:t>
            </w:r>
            <w:r w:rsidR="00DD16A3" w:rsidRPr="00DD16A3">
              <w:rPr>
                <w:b/>
                <w:color w:val="auto"/>
                <w:sz w:val="18"/>
              </w:rPr>
              <w:t>41021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DD16A3" w:rsidP="006B690F">
            <w:pPr>
              <w:spacing w:line="180" w:lineRule="exact"/>
              <w:contextualSpacing/>
              <w:jc w:val="left"/>
              <w:rPr>
                <w:rFonts w:cs="Calibri"/>
                <w:color w:val="auto"/>
                <w:sz w:val="18"/>
              </w:rPr>
            </w:pPr>
            <w:r>
              <w:rPr>
                <w:rFonts w:cs="Calibri"/>
                <w:color w:val="auto"/>
                <w:sz w:val="18"/>
              </w:rPr>
              <w:t>Neck Pain</w:t>
            </w:r>
          </w:p>
        </w:tc>
        <w:tc>
          <w:tcPr>
            <w:tcW w:w="1080" w:type="dxa"/>
            <w:tcBorders>
              <w:left w:val="single" w:sz="4" w:space="0" w:color="auto"/>
            </w:tcBorders>
            <w:shd w:val="clear" w:color="auto" w:fill="FFFFFF"/>
            <w:vAlign w:val="center"/>
          </w:tcPr>
          <w:p w:rsidR="00F90376" w:rsidRPr="00F64312" w:rsidRDefault="00DD16A3" w:rsidP="006B690F">
            <w:pPr>
              <w:spacing w:line="180" w:lineRule="exact"/>
              <w:contextualSpacing/>
              <w:rPr>
                <w:rFonts w:cs="Calibri"/>
                <w:color w:val="auto"/>
                <w:sz w:val="18"/>
              </w:rPr>
            </w:pPr>
            <w:r>
              <w:rPr>
                <w:rFonts w:cs="Calibri"/>
                <w:color w:val="auto"/>
                <w:sz w:val="18"/>
              </w:rPr>
              <w:t>5299-5237</w:t>
            </w:r>
          </w:p>
        </w:tc>
        <w:tc>
          <w:tcPr>
            <w:tcW w:w="720" w:type="dxa"/>
            <w:tcBorders>
              <w:right w:val="thinThickThinSmallGap" w:sz="24" w:space="0" w:color="auto"/>
            </w:tcBorders>
            <w:shd w:val="clear" w:color="auto" w:fill="FFFFFF"/>
            <w:vAlign w:val="center"/>
          </w:tcPr>
          <w:p w:rsidR="00F90376" w:rsidRPr="00F64312" w:rsidRDefault="00DD16A3"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DD16A3" w:rsidP="00DD16A3">
            <w:pPr>
              <w:spacing w:line="180" w:lineRule="exact"/>
              <w:contextualSpacing/>
              <w:jc w:val="left"/>
              <w:rPr>
                <w:rFonts w:cs="Calibri"/>
                <w:color w:val="auto"/>
                <w:sz w:val="18"/>
              </w:rPr>
            </w:pPr>
            <w:r>
              <w:rPr>
                <w:rFonts w:cs="Calibri"/>
                <w:color w:val="auto"/>
                <w:sz w:val="18"/>
              </w:rPr>
              <w:t>Cervical Spine Deg. Disc Disease</w:t>
            </w:r>
          </w:p>
        </w:tc>
        <w:tc>
          <w:tcPr>
            <w:tcW w:w="1080" w:type="dxa"/>
            <w:shd w:val="clear" w:color="auto" w:fill="FFFFFF"/>
            <w:vAlign w:val="center"/>
          </w:tcPr>
          <w:p w:rsidR="00F90376" w:rsidRPr="00F64312" w:rsidRDefault="00DD16A3" w:rsidP="0017172C">
            <w:pPr>
              <w:spacing w:line="180" w:lineRule="exact"/>
              <w:contextualSpacing/>
              <w:rPr>
                <w:rFonts w:cs="Calibri"/>
                <w:color w:val="auto"/>
                <w:sz w:val="18"/>
              </w:rPr>
            </w:pPr>
            <w:r>
              <w:rPr>
                <w:rFonts w:cs="Calibri"/>
                <w:color w:val="auto"/>
                <w:sz w:val="18"/>
              </w:rPr>
              <w:t>5242</w:t>
            </w:r>
          </w:p>
        </w:tc>
        <w:tc>
          <w:tcPr>
            <w:tcW w:w="720" w:type="dxa"/>
            <w:shd w:val="clear" w:color="auto" w:fill="FFFFFF"/>
            <w:vAlign w:val="center"/>
          </w:tcPr>
          <w:p w:rsidR="00F90376" w:rsidRPr="00F64312" w:rsidRDefault="00DD16A3"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C079F4">
            <w:pPr>
              <w:spacing w:line="180" w:lineRule="exact"/>
              <w:contextualSpacing/>
              <w:rPr>
                <w:rFonts w:cs="Calibri"/>
                <w:color w:val="auto"/>
                <w:sz w:val="18"/>
              </w:rPr>
            </w:pPr>
            <w:r w:rsidRPr="00C079F4">
              <w:rPr>
                <w:color w:val="auto"/>
                <w:sz w:val="18"/>
              </w:rPr>
              <w:t>200</w:t>
            </w:r>
            <w:r w:rsidR="00C079F4" w:rsidRPr="00C079F4">
              <w:rPr>
                <w:color w:val="auto"/>
                <w:sz w:val="18"/>
              </w:rPr>
              <w:t>4</w:t>
            </w:r>
            <w:r w:rsidR="00C079F4">
              <w:rPr>
                <w:color w:val="auto"/>
                <w:sz w:val="18"/>
              </w:rPr>
              <w:t>0927</w:t>
            </w:r>
          </w:p>
        </w:tc>
      </w:tr>
      <w:tr w:rsidR="0017172C" w:rsidRPr="00F64312" w:rsidTr="0017172C">
        <w:trPr>
          <w:trHeight w:val="118"/>
          <w:jc w:val="center"/>
        </w:trPr>
        <w:tc>
          <w:tcPr>
            <w:tcW w:w="2169" w:type="dxa"/>
            <w:tcBorders>
              <w:right w:val="single" w:sz="4" w:space="0" w:color="auto"/>
            </w:tcBorders>
            <w:shd w:val="clear" w:color="auto" w:fill="FFFFFF"/>
            <w:vAlign w:val="center"/>
          </w:tcPr>
          <w:p w:rsidR="0017172C" w:rsidRPr="00F64312" w:rsidRDefault="00DD16A3" w:rsidP="006B690F">
            <w:pPr>
              <w:spacing w:line="180" w:lineRule="exact"/>
              <w:contextualSpacing/>
              <w:jc w:val="left"/>
              <w:rPr>
                <w:color w:val="auto"/>
                <w:sz w:val="18"/>
              </w:rPr>
            </w:pPr>
            <w:r>
              <w:rPr>
                <w:color w:val="auto"/>
                <w:sz w:val="18"/>
              </w:rPr>
              <w:t>Fibromyalgia</w:t>
            </w:r>
          </w:p>
        </w:tc>
        <w:tc>
          <w:tcPr>
            <w:tcW w:w="1080" w:type="dxa"/>
            <w:tcBorders>
              <w:left w:val="single" w:sz="4" w:space="0" w:color="auto"/>
            </w:tcBorders>
            <w:shd w:val="clear" w:color="auto" w:fill="FFFFFF"/>
            <w:vAlign w:val="center"/>
          </w:tcPr>
          <w:p w:rsidR="0017172C" w:rsidRPr="00F64312" w:rsidRDefault="00DD16A3" w:rsidP="006B690F">
            <w:pPr>
              <w:spacing w:line="180" w:lineRule="exact"/>
              <w:contextualSpacing/>
              <w:rPr>
                <w:color w:val="auto"/>
                <w:sz w:val="18"/>
              </w:rPr>
            </w:pPr>
            <w:r>
              <w:rPr>
                <w:color w:val="auto"/>
                <w:sz w:val="18"/>
              </w:rPr>
              <w:t>5025</w:t>
            </w:r>
          </w:p>
        </w:tc>
        <w:tc>
          <w:tcPr>
            <w:tcW w:w="720" w:type="dxa"/>
            <w:tcBorders>
              <w:right w:val="thinThickThinSmallGap" w:sz="24" w:space="0" w:color="auto"/>
            </w:tcBorders>
            <w:shd w:val="clear" w:color="auto" w:fill="FFFFFF"/>
            <w:vAlign w:val="center"/>
          </w:tcPr>
          <w:p w:rsidR="0017172C" w:rsidRPr="00F64312" w:rsidRDefault="00DD16A3" w:rsidP="006B690F">
            <w:pPr>
              <w:spacing w:line="180" w:lineRule="exact"/>
              <w:rPr>
                <w:color w:val="auto"/>
                <w:sz w:val="18"/>
              </w:rPr>
            </w:pPr>
            <w:r>
              <w:rPr>
                <w:color w:val="auto"/>
                <w:sz w:val="18"/>
              </w:rPr>
              <w:t>10%</w:t>
            </w:r>
          </w:p>
        </w:tc>
        <w:tc>
          <w:tcPr>
            <w:tcW w:w="2610" w:type="dxa"/>
            <w:tcBorders>
              <w:left w:val="thinThickThinSmallGap" w:sz="24" w:space="0" w:color="auto"/>
            </w:tcBorders>
            <w:shd w:val="clear" w:color="auto" w:fill="FFFFFF"/>
            <w:vAlign w:val="center"/>
          </w:tcPr>
          <w:p w:rsidR="0017172C" w:rsidRPr="00F64312" w:rsidRDefault="00DD16A3" w:rsidP="0017172C">
            <w:pPr>
              <w:spacing w:line="180" w:lineRule="exact"/>
              <w:contextualSpacing/>
              <w:jc w:val="left"/>
              <w:rPr>
                <w:color w:val="auto"/>
                <w:sz w:val="18"/>
              </w:rPr>
            </w:pPr>
            <w:r>
              <w:rPr>
                <w:color w:val="auto"/>
                <w:sz w:val="18"/>
              </w:rPr>
              <w:t>Fibromyalgia</w:t>
            </w:r>
          </w:p>
        </w:tc>
        <w:tc>
          <w:tcPr>
            <w:tcW w:w="1080" w:type="dxa"/>
            <w:shd w:val="clear" w:color="auto" w:fill="FFFFFF"/>
            <w:vAlign w:val="center"/>
          </w:tcPr>
          <w:p w:rsidR="0017172C" w:rsidRPr="00F64312" w:rsidRDefault="00DD16A3" w:rsidP="0017172C">
            <w:pPr>
              <w:spacing w:line="180" w:lineRule="exact"/>
              <w:contextualSpacing/>
              <w:rPr>
                <w:color w:val="auto"/>
                <w:sz w:val="18"/>
              </w:rPr>
            </w:pPr>
            <w:r>
              <w:rPr>
                <w:color w:val="auto"/>
                <w:sz w:val="18"/>
              </w:rPr>
              <w:t>5025</w:t>
            </w:r>
          </w:p>
        </w:tc>
        <w:tc>
          <w:tcPr>
            <w:tcW w:w="720" w:type="dxa"/>
            <w:shd w:val="clear" w:color="auto" w:fill="FFFFFF"/>
            <w:vAlign w:val="center"/>
          </w:tcPr>
          <w:p w:rsidR="0017172C" w:rsidRPr="00F64312" w:rsidRDefault="00DD16A3" w:rsidP="0017172C">
            <w:pPr>
              <w:spacing w:line="180" w:lineRule="exact"/>
              <w:contextualSpacing/>
              <w:rPr>
                <w:color w:val="auto"/>
                <w:sz w:val="18"/>
              </w:rPr>
            </w:pPr>
            <w:r>
              <w:rPr>
                <w:color w:val="auto"/>
                <w:sz w:val="18"/>
              </w:rPr>
              <w:t>20%</w:t>
            </w:r>
          </w:p>
        </w:tc>
        <w:tc>
          <w:tcPr>
            <w:tcW w:w="990" w:type="dxa"/>
            <w:shd w:val="clear" w:color="auto" w:fill="FFFFFF"/>
            <w:vAlign w:val="center"/>
          </w:tcPr>
          <w:p w:rsidR="0017172C" w:rsidRPr="00F64312" w:rsidRDefault="00DD16A3" w:rsidP="0017172C">
            <w:pPr>
              <w:spacing w:line="180" w:lineRule="exact"/>
              <w:contextualSpacing/>
              <w:rPr>
                <w:color w:val="auto"/>
                <w:sz w:val="18"/>
                <w:highlight w:val="yellow"/>
              </w:rPr>
            </w:pPr>
            <w:r w:rsidRPr="00DD16A3">
              <w:rPr>
                <w:color w:val="auto"/>
                <w:sz w:val="18"/>
              </w:rPr>
              <w:t>20040927</w:t>
            </w:r>
          </w:p>
        </w:tc>
      </w:tr>
      <w:tr w:rsidR="0017172C" w:rsidRPr="00F64312" w:rsidTr="0017172C">
        <w:trPr>
          <w:trHeight w:val="118"/>
          <w:jc w:val="center"/>
        </w:trPr>
        <w:tc>
          <w:tcPr>
            <w:tcW w:w="2169" w:type="dxa"/>
            <w:tcBorders>
              <w:right w:val="single" w:sz="4" w:space="0" w:color="auto"/>
            </w:tcBorders>
            <w:shd w:val="clear" w:color="auto" w:fill="FFFFFF"/>
            <w:vAlign w:val="center"/>
          </w:tcPr>
          <w:p w:rsidR="0017172C" w:rsidRPr="00F64312" w:rsidRDefault="00DD16A3" w:rsidP="006B690F">
            <w:pPr>
              <w:spacing w:line="180" w:lineRule="exact"/>
              <w:contextualSpacing/>
              <w:jc w:val="left"/>
              <w:rPr>
                <w:color w:val="auto"/>
                <w:sz w:val="18"/>
              </w:rPr>
            </w:pPr>
            <w:r>
              <w:rPr>
                <w:color w:val="auto"/>
                <w:sz w:val="18"/>
              </w:rPr>
              <w:t>Rotator Cuff Tear</w:t>
            </w:r>
          </w:p>
        </w:tc>
        <w:tc>
          <w:tcPr>
            <w:tcW w:w="1080" w:type="dxa"/>
            <w:tcBorders>
              <w:left w:val="single" w:sz="4" w:space="0" w:color="auto"/>
            </w:tcBorders>
            <w:shd w:val="clear" w:color="auto" w:fill="FFFFFF"/>
            <w:vAlign w:val="center"/>
          </w:tcPr>
          <w:p w:rsidR="0017172C" w:rsidRPr="00F64312" w:rsidRDefault="00DD16A3" w:rsidP="006B690F">
            <w:pPr>
              <w:spacing w:line="180" w:lineRule="exact"/>
              <w:contextualSpacing/>
              <w:rPr>
                <w:color w:val="auto"/>
                <w:sz w:val="18"/>
              </w:rPr>
            </w:pPr>
            <w:r>
              <w:rPr>
                <w:color w:val="auto"/>
                <w:sz w:val="18"/>
              </w:rPr>
              <w:t>5099-5003</w:t>
            </w:r>
          </w:p>
        </w:tc>
        <w:tc>
          <w:tcPr>
            <w:tcW w:w="720" w:type="dxa"/>
            <w:tcBorders>
              <w:right w:val="thinThickThinSmallGap" w:sz="24" w:space="0" w:color="auto"/>
            </w:tcBorders>
            <w:shd w:val="clear" w:color="auto" w:fill="FFFFFF"/>
            <w:vAlign w:val="center"/>
          </w:tcPr>
          <w:p w:rsidR="0017172C" w:rsidRPr="00F64312" w:rsidRDefault="00DD16A3" w:rsidP="006B690F">
            <w:pPr>
              <w:spacing w:line="180" w:lineRule="exact"/>
              <w:rPr>
                <w:color w:val="auto"/>
                <w:sz w:val="18"/>
              </w:rPr>
            </w:pPr>
            <w:r>
              <w:rPr>
                <w:color w:val="auto"/>
                <w:sz w:val="18"/>
              </w:rPr>
              <w:t>0%</w:t>
            </w:r>
          </w:p>
        </w:tc>
        <w:tc>
          <w:tcPr>
            <w:tcW w:w="2610" w:type="dxa"/>
            <w:tcBorders>
              <w:left w:val="thinThickThinSmallGap" w:sz="24" w:space="0" w:color="auto"/>
            </w:tcBorders>
            <w:shd w:val="clear" w:color="auto" w:fill="FFFFFF"/>
            <w:vAlign w:val="center"/>
          </w:tcPr>
          <w:p w:rsidR="0017172C" w:rsidRPr="00F64312" w:rsidRDefault="00DD16A3" w:rsidP="0017172C">
            <w:pPr>
              <w:spacing w:line="180" w:lineRule="exact"/>
              <w:contextualSpacing/>
              <w:jc w:val="left"/>
              <w:rPr>
                <w:color w:val="auto"/>
                <w:sz w:val="18"/>
              </w:rPr>
            </w:pPr>
            <w:r>
              <w:rPr>
                <w:color w:val="auto"/>
                <w:sz w:val="18"/>
              </w:rPr>
              <w:t>Right Rotator Cuff Tear</w:t>
            </w:r>
          </w:p>
        </w:tc>
        <w:tc>
          <w:tcPr>
            <w:tcW w:w="1080" w:type="dxa"/>
            <w:shd w:val="clear" w:color="auto" w:fill="FFFFFF"/>
            <w:vAlign w:val="center"/>
          </w:tcPr>
          <w:p w:rsidR="0017172C" w:rsidRPr="00F64312" w:rsidRDefault="00DD16A3" w:rsidP="0017172C">
            <w:pPr>
              <w:spacing w:line="180" w:lineRule="exact"/>
              <w:contextualSpacing/>
              <w:rPr>
                <w:color w:val="auto"/>
                <w:sz w:val="18"/>
              </w:rPr>
            </w:pPr>
            <w:r>
              <w:rPr>
                <w:color w:val="auto"/>
                <w:sz w:val="18"/>
              </w:rPr>
              <w:t>5003-5201</w:t>
            </w:r>
          </w:p>
        </w:tc>
        <w:tc>
          <w:tcPr>
            <w:tcW w:w="720" w:type="dxa"/>
            <w:shd w:val="clear" w:color="auto" w:fill="FFFFFF"/>
            <w:vAlign w:val="center"/>
          </w:tcPr>
          <w:p w:rsidR="0017172C" w:rsidRPr="00F64312" w:rsidRDefault="00DD16A3" w:rsidP="0017172C">
            <w:pPr>
              <w:spacing w:line="180" w:lineRule="exact"/>
              <w:contextualSpacing/>
              <w:rPr>
                <w:color w:val="auto"/>
                <w:sz w:val="18"/>
              </w:rPr>
            </w:pPr>
            <w:r>
              <w:rPr>
                <w:color w:val="auto"/>
                <w:sz w:val="18"/>
              </w:rPr>
              <w:t>30%</w:t>
            </w:r>
          </w:p>
        </w:tc>
        <w:tc>
          <w:tcPr>
            <w:tcW w:w="990" w:type="dxa"/>
            <w:shd w:val="clear" w:color="auto" w:fill="FFFFFF"/>
            <w:vAlign w:val="center"/>
          </w:tcPr>
          <w:p w:rsidR="0017172C" w:rsidRPr="00F64312" w:rsidRDefault="00DD16A3" w:rsidP="0017172C">
            <w:pPr>
              <w:spacing w:line="180" w:lineRule="exact"/>
              <w:contextualSpacing/>
              <w:rPr>
                <w:color w:val="auto"/>
                <w:sz w:val="18"/>
                <w:highlight w:val="yellow"/>
              </w:rPr>
            </w:pPr>
            <w:r w:rsidRPr="00DD16A3">
              <w:rPr>
                <w:color w:val="auto"/>
                <w:sz w:val="18"/>
              </w:rPr>
              <w:t>20040927</w:t>
            </w:r>
          </w:p>
        </w:tc>
      </w:tr>
      <w:tr w:rsidR="00C079F4" w:rsidRPr="00F64312" w:rsidTr="00C079F4">
        <w:trPr>
          <w:trHeight w:val="118"/>
          <w:jc w:val="center"/>
        </w:trPr>
        <w:tc>
          <w:tcPr>
            <w:tcW w:w="3969" w:type="dxa"/>
            <w:gridSpan w:val="3"/>
            <w:vMerge w:val="restart"/>
            <w:tcBorders>
              <w:right w:val="thinThickThinSmallGap" w:sz="24" w:space="0" w:color="auto"/>
            </w:tcBorders>
            <w:shd w:val="clear" w:color="auto" w:fill="FFFFFF"/>
            <w:vAlign w:val="center"/>
          </w:tcPr>
          <w:p w:rsidR="00C079F4" w:rsidRPr="00F64312" w:rsidRDefault="00C079F4" w:rsidP="00C079F4">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C079F4" w:rsidRPr="00F64312" w:rsidRDefault="00C079F4" w:rsidP="0017172C">
            <w:pPr>
              <w:spacing w:line="180" w:lineRule="exact"/>
              <w:contextualSpacing/>
              <w:jc w:val="left"/>
              <w:rPr>
                <w:color w:val="auto"/>
                <w:sz w:val="18"/>
              </w:rPr>
            </w:pPr>
            <w:r>
              <w:rPr>
                <w:color w:val="auto"/>
                <w:sz w:val="18"/>
              </w:rPr>
              <w:t>Dysthymic / Panic Disorder</w:t>
            </w:r>
          </w:p>
        </w:tc>
        <w:tc>
          <w:tcPr>
            <w:tcW w:w="108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9433</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70%*</w:t>
            </w:r>
          </w:p>
        </w:tc>
        <w:tc>
          <w:tcPr>
            <w:tcW w:w="990" w:type="dxa"/>
            <w:shd w:val="clear" w:color="auto" w:fill="FFFFFF"/>
            <w:vAlign w:val="center"/>
          </w:tcPr>
          <w:p w:rsidR="00C079F4" w:rsidRPr="00F64312" w:rsidRDefault="004B0D9B" w:rsidP="0017172C">
            <w:pPr>
              <w:spacing w:line="180" w:lineRule="exact"/>
              <w:contextualSpacing/>
              <w:rPr>
                <w:color w:val="auto"/>
                <w:sz w:val="18"/>
                <w:highlight w:val="yellow"/>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Pr="00F64312" w:rsidRDefault="00C079F4" w:rsidP="000D6D6F">
            <w:pPr>
              <w:spacing w:line="180" w:lineRule="exact"/>
              <w:contextualSpacing/>
              <w:jc w:val="left"/>
              <w:rPr>
                <w:color w:val="auto"/>
                <w:sz w:val="18"/>
              </w:rPr>
            </w:pPr>
            <w:r>
              <w:rPr>
                <w:color w:val="auto"/>
                <w:sz w:val="18"/>
              </w:rPr>
              <w:t>Lumbar Spine Deg. Joint Disease</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5242</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F64312" w:rsidRDefault="00BC3A5C" w:rsidP="0017172C">
            <w:pPr>
              <w:spacing w:line="180" w:lineRule="exact"/>
              <w:contextualSpacing/>
              <w:rPr>
                <w:color w:val="auto"/>
                <w:sz w:val="18"/>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Default="00C079F4" w:rsidP="000D6D6F">
            <w:pPr>
              <w:spacing w:line="180" w:lineRule="exact"/>
              <w:contextualSpacing/>
              <w:jc w:val="left"/>
              <w:rPr>
                <w:color w:val="auto"/>
                <w:sz w:val="18"/>
              </w:rPr>
            </w:pPr>
            <w:r>
              <w:rPr>
                <w:color w:val="auto"/>
                <w:sz w:val="18"/>
              </w:rPr>
              <w:t>Plantar Fasciitis, Left Foot</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5284</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4B0D9B" w:rsidRDefault="00C94EDB" w:rsidP="0017172C">
            <w:pPr>
              <w:spacing w:line="180" w:lineRule="exact"/>
              <w:contextualSpacing/>
              <w:rPr>
                <w:color w:val="auto"/>
                <w:sz w:val="18"/>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Default="00C079F4" w:rsidP="000D6D6F">
            <w:pPr>
              <w:spacing w:line="180" w:lineRule="exact"/>
              <w:contextualSpacing/>
              <w:jc w:val="left"/>
              <w:rPr>
                <w:color w:val="auto"/>
                <w:sz w:val="18"/>
              </w:rPr>
            </w:pPr>
            <w:r>
              <w:rPr>
                <w:color w:val="auto"/>
                <w:sz w:val="18"/>
              </w:rPr>
              <w:t>Plantar Fasciitis, Right Foot</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5284</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F64312" w:rsidRDefault="00C94EDB" w:rsidP="0017172C">
            <w:pPr>
              <w:spacing w:line="180" w:lineRule="exact"/>
              <w:contextualSpacing/>
              <w:rPr>
                <w:color w:val="auto"/>
                <w:sz w:val="18"/>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Default="00C079F4" w:rsidP="000D6D6F">
            <w:pPr>
              <w:spacing w:line="180" w:lineRule="exact"/>
              <w:contextualSpacing/>
              <w:jc w:val="left"/>
              <w:rPr>
                <w:color w:val="auto"/>
                <w:sz w:val="18"/>
              </w:rPr>
            </w:pPr>
            <w:r>
              <w:rPr>
                <w:color w:val="auto"/>
                <w:sz w:val="18"/>
              </w:rPr>
              <w:t>Gastroesophageal Reflux</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7346</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F64312" w:rsidRDefault="00C079F4" w:rsidP="0017172C">
            <w:pPr>
              <w:spacing w:line="180" w:lineRule="exact"/>
              <w:contextualSpacing/>
              <w:rPr>
                <w:color w:val="auto"/>
                <w:sz w:val="18"/>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Default="00C079F4" w:rsidP="000D6D6F">
            <w:pPr>
              <w:spacing w:line="180" w:lineRule="exact"/>
              <w:contextualSpacing/>
              <w:jc w:val="left"/>
              <w:rPr>
                <w:color w:val="auto"/>
                <w:sz w:val="18"/>
              </w:rPr>
            </w:pPr>
            <w:r>
              <w:rPr>
                <w:color w:val="auto"/>
                <w:sz w:val="18"/>
              </w:rPr>
              <w:t>Iron Deficiency Anemia</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7700</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F64312" w:rsidRDefault="00C079F4" w:rsidP="0017172C">
            <w:pPr>
              <w:spacing w:line="180" w:lineRule="exact"/>
              <w:contextualSpacing/>
              <w:rPr>
                <w:color w:val="auto"/>
                <w:sz w:val="18"/>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Pr="00573534" w:rsidRDefault="00C079F4" w:rsidP="000D6D6F">
            <w:pPr>
              <w:spacing w:line="180" w:lineRule="exact"/>
              <w:contextualSpacing/>
              <w:jc w:val="left"/>
              <w:rPr>
                <w:color w:val="auto"/>
                <w:sz w:val="18"/>
              </w:rPr>
            </w:pPr>
            <w:r w:rsidRPr="00573534">
              <w:rPr>
                <w:color w:val="auto"/>
                <w:sz w:val="18"/>
              </w:rPr>
              <w:t>Herpes Labialis</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7819-7806</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F64312" w:rsidRDefault="00BC3A5C" w:rsidP="0017172C">
            <w:pPr>
              <w:spacing w:line="180" w:lineRule="exact"/>
              <w:contextualSpacing/>
              <w:rPr>
                <w:color w:val="auto"/>
                <w:sz w:val="18"/>
              </w:rPr>
            </w:pPr>
            <w:r w:rsidRPr="00DD16A3">
              <w:rPr>
                <w:color w:val="auto"/>
                <w:sz w:val="18"/>
              </w:rPr>
              <w:t>20040927</w:t>
            </w:r>
          </w:p>
        </w:tc>
      </w:tr>
      <w:tr w:rsidR="00C079F4" w:rsidRPr="00F64312" w:rsidTr="00FC09FA">
        <w:trPr>
          <w:trHeight w:val="97"/>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079F4" w:rsidRDefault="00C079F4" w:rsidP="000D6D6F">
            <w:pPr>
              <w:spacing w:line="180" w:lineRule="exact"/>
              <w:contextualSpacing/>
              <w:jc w:val="left"/>
              <w:rPr>
                <w:color w:val="auto"/>
                <w:sz w:val="18"/>
              </w:rPr>
            </w:pPr>
            <w:r w:rsidRPr="00BC3A5C">
              <w:rPr>
                <w:color w:val="auto"/>
                <w:sz w:val="18"/>
              </w:rPr>
              <w:t>Migraine Headaches</w:t>
            </w:r>
          </w:p>
        </w:tc>
        <w:tc>
          <w:tcPr>
            <w:tcW w:w="1080" w:type="dxa"/>
            <w:tcBorders>
              <w:left w:val="single" w:sz="4" w:space="0" w:color="auto"/>
            </w:tcBorders>
            <w:shd w:val="clear" w:color="auto" w:fill="FFFFFF"/>
            <w:vAlign w:val="center"/>
          </w:tcPr>
          <w:p w:rsidR="00C079F4" w:rsidRPr="00F64312" w:rsidRDefault="00C079F4" w:rsidP="0017172C">
            <w:pPr>
              <w:spacing w:line="180" w:lineRule="exact"/>
              <w:contextualSpacing/>
              <w:rPr>
                <w:color w:val="auto"/>
                <w:sz w:val="18"/>
              </w:rPr>
            </w:pPr>
            <w:r>
              <w:rPr>
                <w:color w:val="auto"/>
                <w:sz w:val="18"/>
              </w:rPr>
              <w:t>8100</w:t>
            </w:r>
          </w:p>
        </w:tc>
        <w:tc>
          <w:tcPr>
            <w:tcW w:w="720" w:type="dxa"/>
            <w:shd w:val="clear" w:color="auto" w:fill="FFFFFF"/>
            <w:vAlign w:val="center"/>
          </w:tcPr>
          <w:p w:rsidR="00C079F4" w:rsidRPr="00F64312" w:rsidRDefault="00C079F4" w:rsidP="0017172C">
            <w:pPr>
              <w:spacing w:line="180" w:lineRule="exact"/>
              <w:contextualSpacing/>
              <w:rPr>
                <w:color w:val="auto"/>
                <w:sz w:val="18"/>
              </w:rPr>
            </w:pPr>
            <w:r>
              <w:rPr>
                <w:color w:val="auto"/>
                <w:sz w:val="18"/>
              </w:rPr>
              <w:t>10%</w:t>
            </w:r>
          </w:p>
        </w:tc>
        <w:tc>
          <w:tcPr>
            <w:tcW w:w="990" w:type="dxa"/>
            <w:shd w:val="clear" w:color="auto" w:fill="FFFFFF"/>
            <w:vAlign w:val="center"/>
          </w:tcPr>
          <w:p w:rsidR="00C079F4" w:rsidRPr="00F64312" w:rsidRDefault="00BC3A5C" w:rsidP="0017172C">
            <w:pPr>
              <w:spacing w:line="180" w:lineRule="exact"/>
              <w:contextualSpacing/>
              <w:rPr>
                <w:color w:val="auto"/>
                <w:sz w:val="18"/>
              </w:rPr>
            </w:pPr>
            <w:r w:rsidRPr="00DD16A3">
              <w:rPr>
                <w:color w:val="auto"/>
                <w:sz w:val="18"/>
              </w:rPr>
              <w:t>20040927</w:t>
            </w:r>
          </w:p>
        </w:tc>
      </w:tr>
      <w:tr w:rsidR="00C079F4" w:rsidRPr="00F64312" w:rsidTr="00FC09FA">
        <w:trPr>
          <w:trHeight w:val="172"/>
          <w:jc w:val="center"/>
        </w:trPr>
        <w:tc>
          <w:tcPr>
            <w:tcW w:w="3969" w:type="dxa"/>
            <w:gridSpan w:val="3"/>
            <w:vMerge/>
            <w:tcBorders>
              <w:right w:val="thinThickThinSmallGap" w:sz="24" w:space="0" w:color="auto"/>
            </w:tcBorders>
            <w:shd w:val="clear" w:color="auto" w:fill="FFFFFF"/>
            <w:vAlign w:val="center"/>
          </w:tcPr>
          <w:p w:rsidR="00C079F4" w:rsidRPr="00F64312" w:rsidRDefault="00C079F4" w:rsidP="00C079F4">
            <w:pPr>
              <w:spacing w:line="180" w:lineRule="exact"/>
              <w:contextualSpacing/>
              <w:jc w:val="both"/>
              <w:rPr>
                <w:rFonts w:cs="Calibri"/>
                <w:color w:val="auto"/>
                <w:sz w:val="18"/>
              </w:rPr>
            </w:pPr>
          </w:p>
        </w:tc>
        <w:tc>
          <w:tcPr>
            <w:tcW w:w="4410" w:type="dxa"/>
            <w:gridSpan w:val="3"/>
            <w:tcBorders>
              <w:left w:val="thinThickThinSmallGap" w:sz="24" w:space="0" w:color="auto"/>
            </w:tcBorders>
            <w:shd w:val="clear" w:color="auto" w:fill="FFFFFF"/>
            <w:vAlign w:val="center"/>
          </w:tcPr>
          <w:p w:rsidR="00C079F4" w:rsidRPr="00F64312" w:rsidRDefault="00C079F4" w:rsidP="00915F44">
            <w:pPr>
              <w:spacing w:line="180" w:lineRule="exact"/>
              <w:contextualSpacing/>
              <w:rPr>
                <w:rFonts w:cs="Calibri"/>
                <w:color w:val="auto"/>
                <w:sz w:val="18"/>
              </w:rPr>
            </w:pPr>
            <w:r w:rsidRPr="00F64312">
              <w:rPr>
                <w:color w:val="auto"/>
                <w:sz w:val="18"/>
              </w:rPr>
              <w:t xml:space="preserve">0% X </w:t>
            </w:r>
            <w:r w:rsidR="00915F44">
              <w:rPr>
                <w:color w:val="auto"/>
                <w:sz w:val="18"/>
              </w:rPr>
              <w:t>4</w:t>
            </w:r>
            <w:r w:rsidRPr="00F64312">
              <w:rPr>
                <w:color w:val="auto"/>
                <w:sz w:val="18"/>
              </w:rPr>
              <w:t xml:space="preserve"> </w:t>
            </w:r>
            <w:r>
              <w:rPr>
                <w:color w:val="auto"/>
                <w:sz w:val="18"/>
              </w:rPr>
              <w:t>/ Not Service-</w:t>
            </w:r>
            <w:r w:rsidRPr="00F64312">
              <w:rPr>
                <w:color w:val="auto"/>
                <w:sz w:val="18"/>
              </w:rPr>
              <w:t xml:space="preserve">Connected x </w:t>
            </w:r>
            <w:r w:rsidR="00915F44">
              <w:rPr>
                <w:color w:val="auto"/>
                <w:sz w:val="18"/>
              </w:rPr>
              <w:t>4</w:t>
            </w:r>
          </w:p>
        </w:tc>
        <w:tc>
          <w:tcPr>
            <w:tcW w:w="990" w:type="dxa"/>
            <w:shd w:val="clear" w:color="auto" w:fill="FFFFFF"/>
            <w:vAlign w:val="center"/>
          </w:tcPr>
          <w:p w:rsidR="00C079F4" w:rsidRPr="00F64312" w:rsidRDefault="00BC3A5C" w:rsidP="0017172C">
            <w:pPr>
              <w:spacing w:line="180" w:lineRule="exact"/>
              <w:contextualSpacing/>
              <w:rPr>
                <w:rFonts w:cs="Calibri"/>
                <w:color w:val="auto"/>
                <w:sz w:val="18"/>
              </w:rPr>
            </w:pPr>
            <w:r w:rsidRPr="00DD16A3">
              <w:rPr>
                <w:color w:val="auto"/>
                <w:sz w:val="18"/>
              </w:rPr>
              <w:t>20040927</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0D6D6F">
            <w:pPr>
              <w:spacing w:line="180" w:lineRule="exact"/>
              <w:contextualSpacing/>
              <w:rPr>
                <w:rFonts w:cs="Calibri"/>
                <w:b/>
                <w:color w:val="auto"/>
                <w:sz w:val="18"/>
              </w:rPr>
            </w:pPr>
            <w:r w:rsidRPr="00F64312">
              <w:rPr>
                <w:b/>
                <w:color w:val="auto"/>
                <w:sz w:val="18"/>
              </w:rPr>
              <w:t xml:space="preserve">Combined: </w:t>
            </w:r>
            <w:r w:rsidR="000D6D6F">
              <w:rPr>
                <w:b/>
                <w:color w:val="auto"/>
                <w:sz w:val="18"/>
              </w:rPr>
              <w:t>20</w:t>
            </w:r>
            <w:r w:rsidR="00F2361E" w:rsidRPr="000D6D6F">
              <w:rPr>
                <w:b/>
                <w:color w:val="auto"/>
                <w:sz w:val="18"/>
              </w:rPr>
              <w:t>#</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0D6D6F">
            <w:pPr>
              <w:spacing w:line="180" w:lineRule="exact"/>
              <w:contextualSpacing/>
              <w:rPr>
                <w:rFonts w:cs="Calibri"/>
                <w:b/>
                <w:color w:val="auto"/>
                <w:sz w:val="18"/>
              </w:rPr>
            </w:pPr>
            <w:r w:rsidRPr="00F64312">
              <w:rPr>
                <w:b/>
                <w:color w:val="auto"/>
                <w:sz w:val="18"/>
              </w:rPr>
              <w:t xml:space="preserve">Combined:  </w:t>
            </w:r>
            <w:r w:rsidR="000D6D6F">
              <w:rPr>
                <w:b/>
                <w:color w:val="auto"/>
                <w:sz w:val="18"/>
              </w:rPr>
              <w:t>90</w:t>
            </w:r>
            <w:r w:rsidRPr="00F64312">
              <w:rPr>
                <w:b/>
                <w:color w:val="auto"/>
                <w:sz w:val="18"/>
              </w:rPr>
              <w:t>%</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4B0D9B">
        <w:rPr>
          <w:color w:val="auto"/>
          <w:sz w:val="18"/>
          <w:szCs w:val="18"/>
        </w:rPr>
        <w:t>10% rating for dysthymia and 0% for herpes labialis assigned by 20041217 VA decision</w:t>
      </w:r>
      <w:r w:rsidR="005E5776">
        <w:rPr>
          <w:color w:val="auto"/>
          <w:sz w:val="18"/>
          <w:szCs w:val="18"/>
        </w:rPr>
        <w:t>,</w:t>
      </w:r>
      <w:r w:rsidR="00573534">
        <w:rPr>
          <w:color w:val="auto"/>
          <w:sz w:val="18"/>
          <w:szCs w:val="18"/>
        </w:rPr>
        <w:t xml:space="preserve"> </w:t>
      </w:r>
      <w:r w:rsidR="004B0D9B">
        <w:rPr>
          <w:color w:val="auto"/>
          <w:sz w:val="18"/>
          <w:szCs w:val="18"/>
        </w:rPr>
        <w:t xml:space="preserve">increased to 70% and 10% respectively </w:t>
      </w:r>
      <w:r w:rsidR="00573534">
        <w:rPr>
          <w:color w:val="auto"/>
          <w:sz w:val="18"/>
          <w:szCs w:val="18"/>
        </w:rPr>
        <w:t xml:space="preserve">by </w:t>
      </w:r>
      <w:r w:rsidR="00F840E7">
        <w:rPr>
          <w:color w:val="auto"/>
          <w:sz w:val="18"/>
          <w:szCs w:val="18"/>
        </w:rPr>
        <w:t>20050504 decision,</w:t>
      </w:r>
      <w:r w:rsidR="00573534">
        <w:rPr>
          <w:color w:val="auto"/>
          <w:sz w:val="18"/>
          <w:szCs w:val="18"/>
        </w:rPr>
        <w:t xml:space="preserve"> </w:t>
      </w:r>
      <w:r w:rsidR="004B0D9B">
        <w:rPr>
          <w:color w:val="auto"/>
          <w:sz w:val="18"/>
          <w:szCs w:val="18"/>
        </w:rPr>
        <w:t>based on original exam</w:t>
      </w:r>
      <w:r w:rsidR="004F613B">
        <w:rPr>
          <w:color w:val="auto"/>
          <w:sz w:val="18"/>
          <w:szCs w:val="18"/>
        </w:rPr>
        <w:t>, effective 20041021;</w:t>
      </w:r>
      <w:r w:rsidR="00573534">
        <w:rPr>
          <w:color w:val="auto"/>
          <w:sz w:val="18"/>
          <w:szCs w:val="18"/>
        </w:rPr>
        <w:t xml:space="preserve"> </w:t>
      </w:r>
      <w:r w:rsidR="004F613B">
        <w:rPr>
          <w:color w:val="auto"/>
          <w:sz w:val="18"/>
          <w:szCs w:val="18"/>
        </w:rPr>
        <w:t>c</w:t>
      </w:r>
      <w:r w:rsidR="00573534">
        <w:rPr>
          <w:color w:val="auto"/>
          <w:sz w:val="18"/>
          <w:szCs w:val="18"/>
        </w:rPr>
        <w:t>ombined increased from 60% to 90%</w:t>
      </w:r>
      <w:r w:rsidR="004B0D9B">
        <w:rPr>
          <w:color w:val="auto"/>
          <w:sz w:val="18"/>
          <w:szCs w:val="18"/>
        </w:rPr>
        <w:t xml:space="preserve">. </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4EF" w:rsidRDefault="00AD2379" w:rsidP="00726F84">
      <w:pPr>
        <w:jc w:val="both"/>
        <w:rPr>
          <w:color w:val="auto"/>
        </w:rPr>
      </w:pPr>
      <w:r w:rsidRPr="00F64312">
        <w:rPr>
          <w:color w:val="auto"/>
          <w:u w:val="single"/>
        </w:rPr>
        <w:t>ANALYSIS SUMMARY</w:t>
      </w:r>
      <w:r w:rsidRPr="00EA5E52">
        <w:rPr>
          <w:color w:val="auto"/>
        </w:rPr>
        <w:t>:</w:t>
      </w:r>
      <w:r w:rsidR="00896C01" w:rsidRPr="00EA5E52">
        <w:rPr>
          <w:color w:val="auto"/>
        </w:rPr>
        <w:t xml:space="preserve"> </w:t>
      </w:r>
      <w:r w:rsidRPr="00EA5E52">
        <w:rPr>
          <w:color w:val="auto"/>
        </w:rPr>
        <w:t xml:space="preserve"> </w:t>
      </w:r>
      <w:r w:rsidR="00F644EF" w:rsidRPr="00F644EF">
        <w:rPr>
          <w:color w:val="auto"/>
          <w:szCs w:val="24"/>
        </w:rPr>
        <w:t xml:space="preserve">The Board acknowledges the CI’s assertions that the mental disorder was not evaluated by the </w:t>
      </w:r>
      <w:r w:rsidR="00B1149E">
        <w:rPr>
          <w:color w:val="auto"/>
          <w:szCs w:val="24"/>
        </w:rPr>
        <w:t>Army</w:t>
      </w:r>
      <w:r w:rsidR="00F644EF" w:rsidRPr="00F644EF">
        <w:rPr>
          <w:color w:val="auto"/>
          <w:szCs w:val="24"/>
        </w:rPr>
        <w:t>. It is noted for the record that the Board has neither the jurisdiction nor authority to scrutinize or render opinions in reference to the CI’s statements in the application regarding suspected service improprieties in the processing of her case.  The Board’s role is confined to the review of medical records and all evidence at hand to assess the fairness of PEB rating determinations, compared to VASRD standards, based on severity at the time of separation.</w:t>
      </w:r>
    </w:p>
    <w:p w:rsidR="00AD2379" w:rsidRPr="00F64312" w:rsidRDefault="00AD2379" w:rsidP="00B22D42">
      <w:pPr>
        <w:jc w:val="both"/>
        <w:rPr>
          <w:color w:val="auto"/>
          <w:highlight w:val="yellow"/>
        </w:rPr>
      </w:pPr>
    </w:p>
    <w:p w:rsidR="0069687C" w:rsidRPr="00F64312" w:rsidRDefault="0016280A" w:rsidP="0069687C">
      <w:pPr>
        <w:jc w:val="both"/>
        <w:rPr>
          <w:color w:val="auto"/>
          <w:szCs w:val="24"/>
        </w:rPr>
      </w:pPr>
      <w:r w:rsidRPr="0016280A">
        <w:rPr>
          <w:color w:val="auto"/>
          <w:u w:val="single"/>
        </w:rPr>
        <w:t>Neck Pain</w:t>
      </w:r>
      <w:r w:rsidR="00AD2379" w:rsidRPr="0016280A">
        <w:rPr>
          <w:color w:val="auto"/>
          <w:u w:val="single"/>
        </w:rPr>
        <w:t xml:space="preserve"> Condition</w:t>
      </w:r>
      <w:r w:rsidR="00AD2379" w:rsidRPr="00F64312">
        <w:rPr>
          <w:color w:val="auto"/>
        </w:rPr>
        <w:t xml:space="preserve">. </w:t>
      </w:r>
      <w:r w:rsidR="00385708" w:rsidRPr="00F64312">
        <w:rPr>
          <w:color w:val="auto"/>
        </w:rPr>
        <w:t xml:space="preserve"> </w:t>
      </w:r>
      <w:r w:rsidR="00B06528">
        <w:rPr>
          <w:color w:val="auto"/>
        </w:rPr>
        <w:t xml:space="preserve">Chronic neck pain led to a diagnosis </w:t>
      </w:r>
      <w:r w:rsidR="00AE4DE2">
        <w:rPr>
          <w:color w:val="auto"/>
        </w:rPr>
        <w:t xml:space="preserve">in 1996 </w:t>
      </w:r>
      <w:r w:rsidR="00B06528">
        <w:rPr>
          <w:color w:val="auto"/>
        </w:rPr>
        <w:t xml:space="preserve">of </w:t>
      </w:r>
      <w:r w:rsidR="00AE4DE2">
        <w:rPr>
          <w:color w:val="auto"/>
        </w:rPr>
        <w:t xml:space="preserve">congenital </w:t>
      </w:r>
      <w:r w:rsidR="00B06528">
        <w:rPr>
          <w:color w:val="auto"/>
        </w:rPr>
        <w:t xml:space="preserve">cervical spinal stenosis </w:t>
      </w:r>
      <w:r w:rsidR="00AE4DE2">
        <w:rPr>
          <w:color w:val="auto"/>
        </w:rPr>
        <w:t>with superimposed acquired stenosis due to C-4 through C-6 disc disease</w:t>
      </w:r>
      <w:r w:rsidR="00B06528">
        <w:rPr>
          <w:color w:val="auto"/>
        </w:rPr>
        <w:t>.</w:t>
      </w:r>
      <w:r w:rsidR="00293AA4">
        <w:rPr>
          <w:color w:val="auto"/>
        </w:rPr>
        <w:t xml:space="preserve">  </w:t>
      </w:r>
      <w:r w:rsidR="0069687C" w:rsidRPr="00F64312">
        <w:rPr>
          <w:color w:val="auto"/>
          <w:szCs w:val="24"/>
        </w:rPr>
        <w:t xml:space="preserve">There were </w:t>
      </w:r>
      <w:r w:rsidR="00293AA4">
        <w:rPr>
          <w:color w:val="auto"/>
          <w:szCs w:val="24"/>
        </w:rPr>
        <w:t>three</w:t>
      </w:r>
      <w:r w:rsidR="00001EFC">
        <w:rPr>
          <w:color w:val="auto"/>
          <w:szCs w:val="24"/>
        </w:rPr>
        <w:t xml:space="preserve"> goniometric range</w:t>
      </w:r>
      <w:r w:rsidR="00B1149E">
        <w:rPr>
          <w:color w:val="auto"/>
          <w:szCs w:val="24"/>
        </w:rPr>
        <w:t>-</w:t>
      </w:r>
      <w:r w:rsidR="00001EFC">
        <w:rPr>
          <w:color w:val="auto"/>
          <w:szCs w:val="24"/>
        </w:rPr>
        <w:t>of</w:t>
      </w:r>
      <w:r w:rsidR="00B1149E">
        <w:rPr>
          <w:color w:val="auto"/>
          <w:szCs w:val="24"/>
        </w:rPr>
        <w:t>-</w:t>
      </w:r>
      <w:r w:rsidR="0069687C" w:rsidRPr="00F64312">
        <w:rPr>
          <w:color w:val="auto"/>
          <w:szCs w:val="24"/>
        </w:rPr>
        <w:t>motion (ROM) evaluations in evidence, with documentation of additional ratable criteria, which the Board weighed in arrivi</w:t>
      </w:r>
      <w:r w:rsidR="000C0036">
        <w:rPr>
          <w:color w:val="auto"/>
          <w:szCs w:val="24"/>
        </w:rPr>
        <w:t>ng at its rating recommendation,</w:t>
      </w:r>
      <w:r w:rsidR="0069687C" w:rsidRPr="00F64312">
        <w:rPr>
          <w:color w:val="auto"/>
          <w:szCs w:val="24"/>
        </w:rPr>
        <w:t xml:space="preserve"> as summarized in the chart below.</w:t>
      </w:r>
      <w:r w:rsidR="00165C7B" w:rsidRPr="00F64312">
        <w:rPr>
          <w:color w:val="auto"/>
          <w:szCs w:val="24"/>
        </w:rPr>
        <w:t xml:space="preserve">  </w:t>
      </w:r>
    </w:p>
    <w:p w:rsidR="00293AA4" w:rsidRPr="00F64312" w:rsidRDefault="00293AA4" w:rsidP="0080231D">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2070"/>
        <w:gridCol w:w="2160"/>
        <w:gridCol w:w="2362"/>
      </w:tblGrid>
      <w:tr w:rsidR="0016280A"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6280A" w:rsidRPr="00F64312" w:rsidRDefault="0016280A" w:rsidP="00FC09FA">
            <w:pPr>
              <w:spacing w:line="180" w:lineRule="exact"/>
              <w:contextualSpacing/>
              <w:rPr>
                <w:rFonts w:asciiTheme="majorHAnsi" w:eastAsia="Calibri" w:hAnsiTheme="majorHAnsi" w:cstheme="majorHAnsi"/>
                <w:b/>
                <w:color w:val="auto"/>
                <w:sz w:val="18"/>
                <w:szCs w:val="18"/>
              </w:rPr>
            </w:pPr>
            <w:r w:rsidRPr="00F64312">
              <w:rPr>
                <w:rFonts w:asciiTheme="majorHAnsi" w:eastAsia="Calibri" w:hAnsiTheme="majorHAnsi" w:cstheme="majorHAnsi"/>
                <w:color w:val="auto"/>
                <w:sz w:val="18"/>
                <w:szCs w:val="18"/>
              </w:rPr>
              <w:t>Cervical ROM</w:t>
            </w:r>
          </w:p>
        </w:tc>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6280A" w:rsidRPr="00F64312" w:rsidRDefault="0016280A" w:rsidP="0080231D">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NARSUM</w:t>
            </w:r>
            <w:r w:rsidRPr="00F64312">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6</w:t>
            </w:r>
            <w:r w:rsidRPr="00F64312">
              <w:rPr>
                <w:rFonts w:asciiTheme="majorHAnsi" w:eastAsia="Calibri" w:hAnsiTheme="majorHAnsi" w:cstheme="majorHAnsi"/>
                <w:color w:val="auto"/>
                <w:sz w:val="18"/>
                <w:szCs w:val="18"/>
              </w:rPr>
              <w:t xml:space="preserve"> Mo. Pre-Sep</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6280A" w:rsidRPr="00F64312" w:rsidRDefault="00293AA4" w:rsidP="0080231D">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w:t>
            </w:r>
            <w:r w:rsidRPr="00F64312">
              <w:rPr>
                <w:rFonts w:asciiTheme="majorHAnsi" w:eastAsia="Calibri" w:hAnsiTheme="majorHAnsi" w:cstheme="majorHAnsi"/>
                <w:color w:val="auto"/>
                <w:sz w:val="18"/>
                <w:szCs w:val="18"/>
              </w:rPr>
              <w:t xml:space="preserve"> Mo. P</w:t>
            </w:r>
            <w:r>
              <w:rPr>
                <w:rFonts w:asciiTheme="majorHAnsi" w:eastAsia="Calibri" w:hAnsiTheme="majorHAnsi" w:cstheme="majorHAnsi"/>
                <w:color w:val="auto"/>
                <w:sz w:val="18"/>
                <w:szCs w:val="18"/>
              </w:rPr>
              <w:t>re</w:t>
            </w:r>
            <w:r w:rsidRPr="00F64312">
              <w:rPr>
                <w:rFonts w:asciiTheme="majorHAnsi" w:eastAsia="Calibri" w:hAnsiTheme="majorHAnsi" w:cstheme="majorHAnsi"/>
                <w:color w:val="auto"/>
                <w:sz w:val="18"/>
                <w:szCs w:val="18"/>
              </w:rPr>
              <w:t>-Sep</w:t>
            </w:r>
          </w:p>
        </w:tc>
        <w:tc>
          <w:tcPr>
            <w:tcW w:w="236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6280A" w:rsidRPr="0080231D" w:rsidRDefault="0016280A" w:rsidP="0080231D">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sidR="003D7ED6">
              <w:rPr>
                <w:rFonts w:asciiTheme="majorHAnsi" w:eastAsia="Calibri" w:hAnsiTheme="majorHAnsi" w:cstheme="majorHAnsi"/>
                <w:color w:val="auto"/>
                <w:sz w:val="18"/>
                <w:szCs w:val="18"/>
              </w:rPr>
              <w:t>4</w:t>
            </w:r>
            <w:r w:rsidRPr="00F64312">
              <w:rPr>
                <w:rFonts w:asciiTheme="majorHAnsi" w:eastAsia="Calibri" w:hAnsiTheme="majorHAnsi" w:cstheme="majorHAnsi"/>
                <w:color w:val="auto"/>
                <w:sz w:val="18"/>
                <w:szCs w:val="18"/>
              </w:rPr>
              <w:t xml:space="preserve"> Mo. </w:t>
            </w:r>
            <w:r w:rsidR="003D7ED6">
              <w:rPr>
                <w:rFonts w:asciiTheme="majorHAnsi" w:eastAsia="Calibri" w:hAnsiTheme="majorHAnsi" w:cstheme="majorHAnsi"/>
                <w:color w:val="auto"/>
                <w:sz w:val="18"/>
                <w:szCs w:val="18"/>
              </w:rPr>
              <w:t xml:space="preserve"> Post-</w:t>
            </w:r>
            <w:r w:rsidRPr="00F64312">
              <w:rPr>
                <w:rFonts w:asciiTheme="majorHAnsi" w:eastAsia="Calibri" w:hAnsiTheme="majorHAnsi" w:cstheme="majorHAnsi"/>
                <w:color w:val="auto"/>
                <w:sz w:val="18"/>
                <w:szCs w:val="18"/>
              </w:rPr>
              <w:t>Sep</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F64312" w:rsidRDefault="00293AA4" w:rsidP="00FC09FA">
            <w:pPr>
              <w:spacing w:line="180" w:lineRule="exact"/>
              <w:contextualSpacing/>
              <w:rPr>
                <w:rFonts w:asciiTheme="majorHAnsi" w:eastAsia="Calibri" w:hAnsiTheme="majorHAnsi" w:cstheme="majorHAnsi"/>
                <w:color w:val="auto"/>
                <w:sz w:val="18"/>
                <w:szCs w:val="18"/>
                <w:highlight w:val="yellow"/>
              </w:rPr>
            </w:pPr>
            <w:r w:rsidRPr="00F64312">
              <w:rPr>
                <w:rFonts w:asciiTheme="majorHAnsi" w:eastAsia="Calibri" w:hAnsiTheme="majorHAnsi" w:cstheme="majorHAnsi"/>
                <w:color w:val="auto"/>
                <w:sz w:val="18"/>
                <w:szCs w:val="18"/>
              </w:rPr>
              <w:t>Flex (45⁰ Normal)</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F64312" w:rsidRDefault="00293AA4" w:rsidP="00FC09FA">
            <w:pPr>
              <w:spacing w:line="180" w:lineRule="exact"/>
              <w:contextualSpacing/>
              <w:rPr>
                <w:rFonts w:asciiTheme="majorHAnsi" w:eastAsia="Calibri" w:hAnsiTheme="majorHAnsi" w:cstheme="majorHAnsi"/>
                <w:color w:val="auto"/>
                <w:sz w:val="18"/>
                <w:szCs w:val="18"/>
                <w:highlight w:val="yellow"/>
              </w:rPr>
            </w:pPr>
            <w:r w:rsidRPr="0016280A">
              <w:rPr>
                <w:rFonts w:asciiTheme="majorHAnsi" w:eastAsia="Calibri" w:hAnsiTheme="majorHAnsi" w:cstheme="majorHAnsi"/>
                <w:color w:val="auto"/>
                <w:sz w:val="18"/>
                <w:szCs w:val="18"/>
              </w:rPr>
              <w:t>45⁰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F64312" w:rsidRDefault="00293AA4" w:rsidP="00FC09FA">
            <w:pPr>
              <w:spacing w:line="180" w:lineRule="exact"/>
              <w:contextualSpacing/>
              <w:rPr>
                <w:rFonts w:asciiTheme="majorHAnsi" w:eastAsia="Calibri" w:hAnsiTheme="majorHAnsi" w:cstheme="majorHAnsi"/>
                <w:color w:val="auto"/>
                <w:sz w:val="18"/>
                <w:szCs w:val="18"/>
                <w:highlight w:val="yellow"/>
              </w:rPr>
            </w:pPr>
            <w:r w:rsidRPr="00A90E87">
              <w:rPr>
                <w:rFonts w:asciiTheme="majorHAnsi" w:eastAsia="Calibri" w:hAnsiTheme="majorHAnsi" w:cstheme="majorHAnsi"/>
                <w:color w:val="auto"/>
                <w:sz w:val="18"/>
                <w:szCs w:val="18"/>
              </w:rPr>
              <w:t>45⁰ (60⁰)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F64312" w:rsidRDefault="00293AA4" w:rsidP="00293AA4">
            <w:pPr>
              <w:spacing w:line="180" w:lineRule="exact"/>
              <w:contextualSpacing/>
              <w:rPr>
                <w:rFonts w:asciiTheme="majorHAnsi" w:eastAsia="Calibri" w:hAnsiTheme="majorHAnsi" w:cstheme="majorHAnsi"/>
                <w:color w:val="auto"/>
                <w:sz w:val="18"/>
                <w:szCs w:val="18"/>
                <w:highlight w:val="yellow"/>
              </w:rPr>
            </w:pPr>
            <w:r w:rsidRPr="00A90E87">
              <w:rPr>
                <w:rFonts w:asciiTheme="majorHAnsi" w:eastAsia="Calibri" w:hAnsiTheme="majorHAnsi" w:cstheme="majorHAnsi"/>
                <w:color w:val="auto"/>
                <w:sz w:val="18"/>
                <w:szCs w:val="18"/>
              </w:rPr>
              <w:t>4</w:t>
            </w:r>
            <w:r>
              <w:rPr>
                <w:rFonts w:asciiTheme="majorHAnsi" w:eastAsia="Calibri" w:hAnsiTheme="majorHAnsi" w:cstheme="majorHAnsi"/>
                <w:color w:val="auto"/>
                <w:sz w:val="18"/>
                <w:szCs w:val="18"/>
              </w:rPr>
              <w:t>0</w:t>
            </w:r>
            <w:r w:rsidRPr="00A90E87">
              <w:rPr>
                <w:rFonts w:asciiTheme="majorHAnsi" w:eastAsia="Calibri" w:hAnsiTheme="majorHAnsi" w:cstheme="majorHAnsi"/>
                <w:color w:val="auto"/>
                <w:sz w:val="18"/>
                <w:szCs w:val="18"/>
              </w:rPr>
              <w:t>⁰</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Ext (0-45)</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45⁰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45⁰ (75⁰)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293AA4">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40⁰</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R Lat Flex (0-45)</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30⁰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3D7ED6"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45</w:t>
            </w:r>
            <w:r w:rsidR="00293AA4" w:rsidRPr="0080231D">
              <w:rPr>
                <w:rFonts w:asciiTheme="majorHAnsi" w:eastAsia="Calibri" w:hAnsiTheme="majorHAnsi" w:cstheme="majorHAnsi"/>
                <w:color w:val="auto"/>
                <w:sz w:val="18"/>
                <w:szCs w:val="18"/>
              </w:rPr>
              <w:t>⁰</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L Lat Flex (0-45)</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25⁰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3D7ED6"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4</w:t>
            </w:r>
            <w:r w:rsidR="00293AA4" w:rsidRPr="0080231D">
              <w:rPr>
                <w:rFonts w:asciiTheme="majorHAnsi" w:eastAsia="Calibri" w:hAnsiTheme="majorHAnsi" w:cstheme="majorHAnsi"/>
                <w:color w:val="auto"/>
                <w:sz w:val="18"/>
                <w:szCs w:val="18"/>
              </w:rPr>
              <w:t>5⁰</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R Rotation (0-80)</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80⁰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55⁰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3D7ED6"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7</w:t>
            </w:r>
            <w:r w:rsidR="00293AA4" w:rsidRPr="0080231D">
              <w:rPr>
                <w:rFonts w:asciiTheme="majorHAnsi" w:eastAsia="Calibri" w:hAnsiTheme="majorHAnsi" w:cstheme="majorHAnsi"/>
                <w:color w:val="auto"/>
                <w:sz w:val="18"/>
                <w:szCs w:val="18"/>
              </w:rPr>
              <w:t>5⁰</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L Rotation (0-80)</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80⁰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293AA4"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55⁰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80231D" w:rsidRDefault="003D7ED6" w:rsidP="00FC09FA">
            <w:pPr>
              <w:spacing w:line="180" w:lineRule="exact"/>
              <w:contextualSpacing/>
              <w:rPr>
                <w:rFonts w:asciiTheme="majorHAnsi" w:eastAsia="Calibri" w:hAnsiTheme="majorHAnsi" w:cstheme="majorHAnsi"/>
                <w:color w:val="auto"/>
                <w:sz w:val="18"/>
                <w:szCs w:val="18"/>
              </w:rPr>
            </w:pPr>
            <w:r w:rsidRPr="0080231D">
              <w:rPr>
                <w:rFonts w:asciiTheme="majorHAnsi" w:eastAsia="Calibri" w:hAnsiTheme="majorHAnsi" w:cstheme="majorHAnsi"/>
                <w:color w:val="auto"/>
                <w:sz w:val="18"/>
                <w:szCs w:val="18"/>
              </w:rPr>
              <w:t>7</w:t>
            </w:r>
            <w:r w:rsidR="00293AA4" w:rsidRPr="0080231D">
              <w:rPr>
                <w:rFonts w:asciiTheme="majorHAnsi" w:eastAsia="Calibri" w:hAnsiTheme="majorHAnsi" w:cstheme="majorHAnsi"/>
                <w:color w:val="auto"/>
                <w:sz w:val="18"/>
                <w:szCs w:val="18"/>
              </w:rPr>
              <w:t>5⁰</w:t>
            </w:r>
          </w:p>
        </w:tc>
      </w:tr>
      <w:tr w:rsidR="00293AA4" w:rsidRPr="00F64312" w:rsidTr="005E5776">
        <w:trPr>
          <w:jc w:val="center"/>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293AA4" w:rsidRPr="00F64312" w:rsidRDefault="00293AA4" w:rsidP="00FC09F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COMBINED (340⁰)</w:t>
            </w:r>
          </w:p>
        </w:tc>
        <w:tc>
          <w:tcPr>
            <w:tcW w:w="2070" w:type="dxa"/>
            <w:tcBorders>
              <w:top w:val="single" w:sz="4" w:space="0" w:color="000000"/>
              <w:left w:val="single" w:sz="4" w:space="0" w:color="000000"/>
              <w:bottom w:val="single" w:sz="4" w:space="0" w:color="000000"/>
              <w:right w:val="single" w:sz="4" w:space="0" w:color="000000"/>
            </w:tcBorders>
            <w:vAlign w:val="center"/>
          </w:tcPr>
          <w:p w:rsidR="00293AA4" w:rsidRPr="00F64312" w:rsidRDefault="00293AA4" w:rsidP="00FC09FA">
            <w:pPr>
              <w:spacing w:line="180" w:lineRule="exact"/>
              <w:rPr>
                <w:rFonts w:asciiTheme="majorHAnsi" w:hAnsiTheme="majorHAnsi" w:cstheme="majorHAnsi"/>
                <w:color w:val="auto"/>
                <w:sz w:val="18"/>
                <w:szCs w:val="18"/>
                <w:highlight w:val="lightGray"/>
              </w:rPr>
            </w:pPr>
            <w:r w:rsidRPr="0016280A">
              <w:rPr>
                <w:rFonts w:asciiTheme="majorHAnsi" w:eastAsia="Calibri" w:hAnsiTheme="majorHAnsi" w:cstheme="majorHAnsi"/>
                <w:color w:val="auto"/>
                <w:sz w:val="18"/>
                <w:szCs w:val="18"/>
              </w:rPr>
              <w:t>330⁰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293AA4" w:rsidRPr="00F64312" w:rsidRDefault="00293AA4" w:rsidP="00FC09FA">
            <w:pPr>
              <w:spacing w:line="180" w:lineRule="exact"/>
              <w:rPr>
                <w:rFonts w:asciiTheme="majorHAnsi" w:hAnsiTheme="majorHAnsi" w:cstheme="majorHAnsi"/>
                <w:color w:val="auto"/>
                <w:sz w:val="18"/>
                <w:szCs w:val="18"/>
                <w:highlight w:val="lightGray"/>
              </w:rPr>
            </w:pPr>
            <w:r w:rsidRPr="00A90E87">
              <w:rPr>
                <w:rFonts w:asciiTheme="majorHAnsi" w:eastAsia="Calibri" w:hAnsiTheme="majorHAnsi" w:cstheme="majorHAnsi"/>
                <w:color w:val="auto"/>
                <w:sz w:val="18"/>
                <w:szCs w:val="18"/>
              </w:rPr>
              <w:t>270⁰</w:t>
            </w:r>
          </w:p>
        </w:tc>
        <w:tc>
          <w:tcPr>
            <w:tcW w:w="2362" w:type="dxa"/>
            <w:tcBorders>
              <w:top w:val="single" w:sz="4" w:space="0" w:color="000000"/>
              <w:left w:val="single" w:sz="4" w:space="0" w:color="000000"/>
              <w:bottom w:val="single" w:sz="4" w:space="0" w:color="000000"/>
              <w:right w:val="single" w:sz="4" w:space="0" w:color="000000"/>
            </w:tcBorders>
            <w:vAlign w:val="center"/>
          </w:tcPr>
          <w:p w:rsidR="00293AA4" w:rsidRPr="00F64312" w:rsidRDefault="003D7ED6" w:rsidP="00FC09FA">
            <w:pPr>
              <w:spacing w:line="180" w:lineRule="exact"/>
              <w:rPr>
                <w:rFonts w:asciiTheme="majorHAnsi" w:hAnsiTheme="majorHAnsi" w:cstheme="majorHAnsi"/>
                <w:color w:val="auto"/>
                <w:sz w:val="18"/>
                <w:szCs w:val="18"/>
                <w:highlight w:val="lightGray"/>
              </w:rPr>
            </w:pPr>
            <w:r>
              <w:rPr>
                <w:rFonts w:asciiTheme="majorHAnsi" w:eastAsia="Calibri" w:hAnsiTheme="majorHAnsi" w:cstheme="majorHAnsi"/>
                <w:color w:val="auto"/>
                <w:sz w:val="18"/>
                <w:szCs w:val="18"/>
              </w:rPr>
              <w:t>32</w:t>
            </w:r>
            <w:r w:rsidR="00293AA4" w:rsidRPr="00A90E87">
              <w:rPr>
                <w:rFonts w:asciiTheme="majorHAnsi" w:eastAsia="Calibri" w:hAnsiTheme="majorHAnsi" w:cstheme="majorHAnsi"/>
                <w:color w:val="auto"/>
                <w:sz w:val="18"/>
                <w:szCs w:val="18"/>
              </w:rPr>
              <w:t>0⁰</w:t>
            </w:r>
          </w:p>
        </w:tc>
      </w:tr>
      <w:tr w:rsidR="00293AA4" w:rsidRPr="00F64312" w:rsidTr="005E5776">
        <w:trPr>
          <w:jc w:val="center"/>
        </w:trPr>
        <w:tc>
          <w:tcPr>
            <w:tcW w:w="1913" w:type="dxa"/>
            <w:tcBorders>
              <w:top w:val="single" w:sz="4" w:space="0" w:color="000000"/>
              <w:left w:val="single" w:sz="4" w:space="0" w:color="000000"/>
              <w:bottom w:val="single" w:sz="4" w:space="0" w:color="auto"/>
              <w:right w:val="single" w:sz="4" w:space="0" w:color="000000"/>
            </w:tcBorders>
            <w:vAlign w:val="center"/>
            <w:hideMark/>
          </w:tcPr>
          <w:p w:rsidR="00293AA4" w:rsidRPr="00F64312" w:rsidRDefault="00293AA4" w:rsidP="00FC09F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Comment</w:t>
            </w:r>
          </w:p>
        </w:tc>
        <w:tc>
          <w:tcPr>
            <w:tcW w:w="2070" w:type="dxa"/>
            <w:tcBorders>
              <w:top w:val="single" w:sz="4" w:space="0" w:color="000000"/>
              <w:left w:val="single" w:sz="4" w:space="0" w:color="000000"/>
              <w:bottom w:val="single" w:sz="4" w:space="0" w:color="auto"/>
              <w:right w:val="single" w:sz="4" w:space="0" w:color="000000"/>
            </w:tcBorders>
            <w:vAlign w:val="center"/>
          </w:tcPr>
          <w:p w:rsidR="00293AA4" w:rsidRPr="00F64312" w:rsidRDefault="00293AA4" w:rsidP="0016280A">
            <w:pPr>
              <w:pStyle w:val="ListParagraph"/>
              <w:spacing w:after="0" w:line="200" w:lineRule="exact"/>
              <w:ind w:left="0"/>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P</w:t>
            </w:r>
            <w:r w:rsidRPr="00891E18">
              <w:rPr>
                <w:rFonts w:asciiTheme="majorHAnsi" w:eastAsia="Calibri" w:hAnsiTheme="majorHAnsi" w:cstheme="majorHAnsi"/>
                <w:sz w:val="18"/>
                <w:szCs w:val="18"/>
              </w:rPr>
              <w:t>ainful motion</w:t>
            </w:r>
          </w:p>
        </w:tc>
        <w:tc>
          <w:tcPr>
            <w:tcW w:w="2160" w:type="dxa"/>
            <w:tcBorders>
              <w:top w:val="single" w:sz="4" w:space="0" w:color="000000"/>
              <w:left w:val="single" w:sz="4" w:space="0" w:color="000000"/>
              <w:bottom w:val="single" w:sz="4" w:space="0" w:color="auto"/>
              <w:right w:val="single" w:sz="4" w:space="0" w:color="000000"/>
            </w:tcBorders>
            <w:vAlign w:val="center"/>
          </w:tcPr>
          <w:p w:rsidR="00293AA4" w:rsidRPr="00F64312" w:rsidRDefault="00293AA4" w:rsidP="00FC09FA">
            <w:pPr>
              <w:pStyle w:val="ListParagraph"/>
              <w:spacing w:after="0" w:line="200" w:lineRule="exact"/>
              <w:ind w:left="0"/>
              <w:rPr>
                <w:rFonts w:asciiTheme="majorHAnsi" w:eastAsia="Calibri" w:hAnsiTheme="majorHAnsi" w:cstheme="majorHAnsi"/>
                <w:sz w:val="18"/>
                <w:szCs w:val="18"/>
                <w:highlight w:val="lightGray"/>
              </w:rPr>
            </w:pPr>
            <w:r w:rsidRPr="00293AA4">
              <w:rPr>
                <w:rFonts w:asciiTheme="majorHAnsi" w:eastAsia="Calibri" w:hAnsiTheme="majorHAnsi" w:cstheme="majorHAnsi"/>
                <w:sz w:val="18"/>
                <w:szCs w:val="18"/>
              </w:rPr>
              <w:t>Pain with use</w:t>
            </w:r>
          </w:p>
        </w:tc>
        <w:tc>
          <w:tcPr>
            <w:tcW w:w="2362" w:type="dxa"/>
            <w:tcBorders>
              <w:top w:val="single" w:sz="4" w:space="0" w:color="000000"/>
              <w:left w:val="single" w:sz="4" w:space="0" w:color="000000"/>
              <w:bottom w:val="single" w:sz="4" w:space="0" w:color="auto"/>
              <w:right w:val="single" w:sz="4" w:space="0" w:color="000000"/>
            </w:tcBorders>
            <w:vAlign w:val="center"/>
          </w:tcPr>
          <w:p w:rsidR="00293AA4" w:rsidRPr="00F64312" w:rsidRDefault="005F6A38" w:rsidP="00FC09FA">
            <w:pPr>
              <w:pStyle w:val="ListParagraph"/>
              <w:spacing w:after="0" w:line="200" w:lineRule="exact"/>
              <w:ind w:left="0"/>
              <w:rPr>
                <w:rFonts w:asciiTheme="majorHAnsi" w:eastAsia="Calibri" w:hAnsiTheme="majorHAnsi" w:cstheme="majorHAnsi"/>
                <w:sz w:val="18"/>
                <w:szCs w:val="18"/>
                <w:highlight w:val="lightGray"/>
              </w:rPr>
            </w:pPr>
            <w:r w:rsidRPr="005F6A38">
              <w:rPr>
                <w:rFonts w:asciiTheme="majorHAnsi" w:eastAsia="Calibri" w:hAnsiTheme="majorHAnsi" w:cstheme="majorHAnsi"/>
                <w:sz w:val="18"/>
                <w:szCs w:val="18"/>
              </w:rPr>
              <w:t xml:space="preserve">Limitation </w:t>
            </w:r>
            <w:r>
              <w:rPr>
                <w:rFonts w:asciiTheme="majorHAnsi" w:eastAsia="Calibri" w:hAnsiTheme="majorHAnsi" w:cstheme="majorHAnsi"/>
                <w:sz w:val="18"/>
                <w:szCs w:val="18"/>
              </w:rPr>
              <w:t xml:space="preserve">of motion </w:t>
            </w:r>
            <w:r w:rsidRPr="005F6A38">
              <w:rPr>
                <w:rFonts w:asciiTheme="majorHAnsi" w:eastAsia="Calibri" w:hAnsiTheme="majorHAnsi" w:cstheme="majorHAnsi"/>
                <w:sz w:val="18"/>
                <w:szCs w:val="18"/>
              </w:rPr>
              <w:t>due to neck obesity</w:t>
            </w:r>
          </w:p>
        </w:tc>
      </w:tr>
      <w:tr w:rsidR="00293AA4" w:rsidRPr="00F64312" w:rsidTr="005E5776">
        <w:trPr>
          <w:jc w:val="center"/>
        </w:trPr>
        <w:tc>
          <w:tcPr>
            <w:tcW w:w="1913" w:type="dxa"/>
            <w:tcBorders>
              <w:top w:val="single" w:sz="4" w:space="0" w:color="000000"/>
              <w:left w:val="single" w:sz="4" w:space="0" w:color="000000"/>
              <w:bottom w:val="single" w:sz="4" w:space="0" w:color="auto"/>
              <w:right w:val="single" w:sz="4" w:space="0" w:color="000000"/>
            </w:tcBorders>
            <w:vAlign w:val="center"/>
            <w:hideMark/>
          </w:tcPr>
          <w:p w:rsidR="00293AA4" w:rsidRPr="00F64312" w:rsidRDefault="00293AA4" w:rsidP="00FC09F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§4.71a Rating</w:t>
            </w:r>
          </w:p>
        </w:tc>
        <w:tc>
          <w:tcPr>
            <w:tcW w:w="2070" w:type="dxa"/>
            <w:tcBorders>
              <w:top w:val="single" w:sz="4" w:space="0" w:color="000000"/>
              <w:left w:val="single" w:sz="4" w:space="0" w:color="000000"/>
              <w:bottom w:val="single" w:sz="4" w:space="0" w:color="auto"/>
              <w:right w:val="single" w:sz="4" w:space="0" w:color="000000"/>
            </w:tcBorders>
            <w:vAlign w:val="center"/>
          </w:tcPr>
          <w:p w:rsidR="00293AA4" w:rsidRPr="00F64312" w:rsidRDefault="00293AA4" w:rsidP="00FC09FA">
            <w:pPr>
              <w:pStyle w:val="ListParagraph"/>
              <w:spacing w:after="0" w:line="200" w:lineRule="exact"/>
              <w:ind w:left="0"/>
              <w:rPr>
                <w:rFonts w:asciiTheme="majorHAnsi" w:eastAsia="Calibri" w:hAnsiTheme="majorHAnsi" w:cstheme="majorHAnsi"/>
                <w:sz w:val="18"/>
                <w:szCs w:val="18"/>
                <w:highlight w:val="lightGray"/>
              </w:rPr>
            </w:pPr>
            <w:r w:rsidRPr="00891E18">
              <w:rPr>
                <w:rFonts w:asciiTheme="majorHAnsi" w:eastAsia="Calibri" w:hAnsiTheme="majorHAnsi" w:cstheme="majorHAnsi"/>
                <w:sz w:val="18"/>
                <w:szCs w:val="18"/>
              </w:rPr>
              <w:t>10%</w:t>
            </w:r>
          </w:p>
        </w:tc>
        <w:tc>
          <w:tcPr>
            <w:tcW w:w="2160" w:type="dxa"/>
            <w:tcBorders>
              <w:top w:val="single" w:sz="4" w:space="0" w:color="000000"/>
              <w:left w:val="single" w:sz="4" w:space="0" w:color="000000"/>
              <w:bottom w:val="single" w:sz="4" w:space="0" w:color="auto"/>
              <w:right w:val="single" w:sz="4" w:space="0" w:color="000000"/>
            </w:tcBorders>
            <w:vAlign w:val="center"/>
          </w:tcPr>
          <w:p w:rsidR="00293AA4" w:rsidRPr="00F64312" w:rsidRDefault="00293AA4" w:rsidP="00FC09FA">
            <w:pPr>
              <w:pStyle w:val="ListParagraph"/>
              <w:spacing w:after="0" w:line="200" w:lineRule="exact"/>
              <w:ind w:left="0"/>
              <w:rPr>
                <w:rFonts w:asciiTheme="majorHAnsi" w:eastAsia="Calibri" w:hAnsiTheme="majorHAnsi" w:cstheme="majorHAnsi"/>
                <w:sz w:val="18"/>
                <w:szCs w:val="18"/>
                <w:highlight w:val="lightGray"/>
              </w:rPr>
            </w:pPr>
            <w:r w:rsidRPr="00293AA4">
              <w:rPr>
                <w:rFonts w:asciiTheme="majorHAnsi" w:eastAsia="Calibri" w:hAnsiTheme="majorHAnsi" w:cstheme="majorHAnsi"/>
                <w:sz w:val="18"/>
                <w:szCs w:val="18"/>
              </w:rPr>
              <w:t>10%</w:t>
            </w:r>
          </w:p>
        </w:tc>
        <w:tc>
          <w:tcPr>
            <w:tcW w:w="2362" w:type="dxa"/>
            <w:tcBorders>
              <w:top w:val="single" w:sz="4" w:space="0" w:color="000000"/>
              <w:left w:val="single" w:sz="4" w:space="0" w:color="000000"/>
              <w:bottom w:val="single" w:sz="4" w:space="0" w:color="auto"/>
              <w:right w:val="single" w:sz="4" w:space="0" w:color="000000"/>
            </w:tcBorders>
            <w:vAlign w:val="center"/>
          </w:tcPr>
          <w:p w:rsidR="00293AA4" w:rsidRPr="00F64312" w:rsidRDefault="00293AA4" w:rsidP="00FC09FA">
            <w:pPr>
              <w:pStyle w:val="ListParagraph"/>
              <w:spacing w:after="0" w:line="200" w:lineRule="exact"/>
              <w:ind w:left="0"/>
              <w:rPr>
                <w:rFonts w:asciiTheme="majorHAnsi" w:eastAsia="Calibri" w:hAnsiTheme="majorHAnsi" w:cstheme="majorHAnsi"/>
                <w:sz w:val="18"/>
                <w:szCs w:val="18"/>
                <w:highlight w:val="lightGray"/>
              </w:rPr>
            </w:pPr>
            <w:r w:rsidRPr="00A90E87">
              <w:rPr>
                <w:rFonts w:asciiTheme="majorHAnsi" w:eastAsia="Calibri" w:hAnsiTheme="majorHAnsi" w:cstheme="majorHAnsi"/>
                <w:sz w:val="18"/>
                <w:szCs w:val="18"/>
              </w:rPr>
              <w:t>10%</w:t>
            </w:r>
          </w:p>
        </w:tc>
      </w:tr>
    </w:tbl>
    <w:p w:rsidR="00836B7B" w:rsidRPr="00F64312" w:rsidRDefault="00836B7B" w:rsidP="0069687C">
      <w:pPr>
        <w:jc w:val="both"/>
        <w:rPr>
          <w:color w:val="auto"/>
          <w:szCs w:val="24"/>
        </w:rPr>
      </w:pPr>
    </w:p>
    <w:p w:rsidR="00DD4833" w:rsidRDefault="00B06528" w:rsidP="00E7049C">
      <w:pPr>
        <w:jc w:val="both"/>
        <w:rPr>
          <w:color w:val="auto"/>
          <w:szCs w:val="24"/>
        </w:rPr>
      </w:pPr>
      <w:r w:rsidRPr="0016280A">
        <w:rPr>
          <w:color w:val="auto"/>
        </w:rPr>
        <w:t>The narrative summary (NARSUM) notes</w:t>
      </w:r>
      <w:r>
        <w:rPr>
          <w:color w:val="auto"/>
        </w:rPr>
        <w:t xml:space="preserve"> that pain occurred with moving the neck and was associated with pain radiating down the right shoulder and arm.  Examination </w:t>
      </w:r>
      <w:r w:rsidR="00B1149E">
        <w:rPr>
          <w:color w:val="auto"/>
        </w:rPr>
        <w:t>6</w:t>
      </w:r>
      <w:r>
        <w:rPr>
          <w:color w:val="auto"/>
        </w:rPr>
        <w:t xml:space="preserve"> months prior to separation</w:t>
      </w:r>
      <w:r w:rsidR="000E5A96">
        <w:rPr>
          <w:color w:val="auto"/>
        </w:rPr>
        <w:t xml:space="preserve"> </w:t>
      </w:r>
      <w:r>
        <w:rPr>
          <w:color w:val="auto"/>
        </w:rPr>
        <w:t>revealed normal motor, sensory and deep tendon reflex (DTR) findings.  X-ray</w:t>
      </w:r>
      <w:r w:rsidR="00B1149E">
        <w:rPr>
          <w:color w:val="auto"/>
        </w:rPr>
        <w:t>s</w:t>
      </w:r>
      <w:r>
        <w:rPr>
          <w:color w:val="auto"/>
        </w:rPr>
        <w:t xml:space="preserve"> showed some straightening of the normal lordotic curvature and minimal arthritic narrowing of the C5-6 disc.</w:t>
      </w:r>
      <w:r w:rsidR="000E5A96">
        <w:rPr>
          <w:color w:val="auto"/>
        </w:rPr>
        <w:t xml:space="preserve">  A NARSUM neurology addendum </w:t>
      </w:r>
      <w:r w:rsidR="00C25BC1">
        <w:rPr>
          <w:color w:val="auto"/>
        </w:rPr>
        <w:t xml:space="preserve">dated </w:t>
      </w:r>
      <w:r w:rsidR="000A7396">
        <w:rPr>
          <w:color w:val="auto"/>
        </w:rPr>
        <w:t>6</w:t>
      </w:r>
      <w:r w:rsidR="000E5A96">
        <w:rPr>
          <w:color w:val="auto"/>
        </w:rPr>
        <w:t xml:space="preserve"> months prior to separation reported the neck pain was increased with prolonged sitting or driving, heavy lifting, wearing a backpack or helmet, marching or high-impact activities.  A detailed neurologic examination was normal.</w:t>
      </w:r>
      <w:r w:rsidR="0098413E">
        <w:rPr>
          <w:color w:val="auto"/>
        </w:rPr>
        <w:t xml:space="preserve">  </w:t>
      </w:r>
      <w:r w:rsidR="0064301F">
        <w:rPr>
          <w:color w:val="auto"/>
        </w:rPr>
        <w:t>Previous m</w:t>
      </w:r>
      <w:r w:rsidR="0098413E">
        <w:rPr>
          <w:color w:val="auto"/>
        </w:rPr>
        <w:t>agnetic resonance imaging (MRI) revealed congenital spinal stenosis with superimposed disc bulges at C4-C6, but no disc herniation or neuroforaminal narrowing.</w:t>
      </w:r>
      <w:r w:rsidR="0080231D">
        <w:rPr>
          <w:color w:val="auto"/>
        </w:rPr>
        <w:t xml:space="preserve">  </w:t>
      </w:r>
      <w:r w:rsidR="00CF0280" w:rsidRPr="00F64312">
        <w:rPr>
          <w:color w:val="auto"/>
          <w:szCs w:val="24"/>
        </w:rPr>
        <w:t>At the VA Compensation and Pension (C&amp;P) exam</w:t>
      </w:r>
      <w:r w:rsidR="00ED7820">
        <w:rPr>
          <w:color w:val="auto"/>
          <w:szCs w:val="24"/>
        </w:rPr>
        <w:t xml:space="preserve"> </w:t>
      </w:r>
      <w:r w:rsidR="00C25BC1">
        <w:rPr>
          <w:color w:val="auto"/>
          <w:szCs w:val="24"/>
        </w:rPr>
        <w:t>performed a</w:t>
      </w:r>
      <w:r w:rsidR="00A90E87">
        <w:rPr>
          <w:color w:val="auto"/>
          <w:szCs w:val="24"/>
        </w:rPr>
        <w:t xml:space="preserve"> </w:t>
      </w:r>
      <w:r w:rsidR="00A90E87" w:rsidRPr="00A90E87">
        <w:rPr>
          <w:color w:val="auto"/>
          <w:szCs w:val="24"/>
        </w:rPr>
        <w:t xml:space="preserve">month </w:t>
      </w:r>
      <w:r w:rsidR="00ED7820" w:rsidRPr="00A90E87">
        <w:rPr>
          <w:color w:val="auto"/>
          <w:szCs w:val="24"/>
        </w:rPr>
        <w:t>prior</w:t>
      </w:r>
      <w:r w:rsidR="00A90E87" w:rsidRPr="00A90E87">
        <w:rPr>
          <w:color w:val="auto"/>
          <w:szCs w:val="24"/>
        </w:rPr>
        <w:t xml:space="preserve"> to</w:t>
      </w:r>
      <w:r w:rsidR="00ED7820">
        <w:rPr>
          <w:color w:val="auto"/>
          <w:szCs w:val="24"/>
        </w:rPr>
        <w:t xml:space="preserve"> separation</w:t>
      </w:r>
      <w:r w:rsidR="004E7CBD">
        <w:rPr>
          <w:color w:val="auto"/>
          <w:szCs w:val="24"/>
        </w:rPr>
        <w:t xml:space="preserve"> </w:t>
      </w:r>
      <w:r w:rsidR="00CF0280" w:rsidRPr="00F64312">
        <w:rPr>
          <w:color w:val="auto"/>
          <w:szCs w:val="24"/>
        </w:rPr>
        <w:t>the CI reported</w:t>
      </w:r>
      <w:r w:rsidR="00A90E87">
        <w:rPr>
          <w:color w:val="auto"/>
          <w:szCs w:val="24"/>
        </w:rPr>
        <w:t xml:space="preserve"> that prolonged sitting, immobility or flexing the neck precipitated pain.  The pain radiated to the thoracic spine and right shoulder, and there was some numbness in the </w:t>
      </w:r>
      <w:r w:rsidR="00A90E87">
        <w:rPr>
          <w:color w:val="auto"/>
          <w:szCs w:val="24"/>
        </w:rPr>
        <w:lastRenderedPageBreak/>
        <w:t>fingertips.  The condition did not interfere with activities of daily living.</w:t>
      </w:r>
      <w:r w:rsidR="0047338F">
        <w:rPr>
          <w:color w:val="auto"/>
          <w:szCs w:val="24"/>
        </w:rPr>
        <w:t xml:space="preserve">  Examination revealed normal posture and gait.</w:t>
      </w:r>
      <w:r w:rsidR="003D7ED6">
        <w:rPr>
          <w:color w:val="auto"/>
          <w:szCs w:val="24"/>
        </w:rPr>
        <w:t xml:space="preserve">  A</w:t>
      </w:r>
      <w:r w:rsidR="005F6A38">
        <w:rPr>
          <w:color w:val="auto"/>
          <w:szCs w:val="24"/>
        </w:rPr>
        <w:t>t a</w:t>
      </w:r>
      <w:r w:rsidR="003D7ED6">
        <w:rPr>
          <w:color w:val="auto"/>
          <w:szCs w:val="24"/>
        </w:rPr>
        <w:t xml:space="preserve"> second C&amp;P exam </w:t>
      </w:r>
      <w:r w:rsidR="00C25BC1">
        <w:rPr>
          <w:color w:val="auto"/>
          <w:szCs w:val="24"/>
        </w:rPr>
        <w:t xml:space="preserve">performed </w:t>
      </w:r>
      <w:r w:rsidR="000A7396">
        <w:rPr>
          <w:color w:val="auto"/>
          <w:szCs w:val="24"/>
        </w:rPr>
        <w:t xml:space="preserve">4 </w:t>
      </w:r>
      <w:r w:rsidR="003D7ED6">
        <w:rPr>
          <w:color w:val="auto"/>
          <w:szCs w:val="24"/>
        </w:rPr>
        <w:t>months after separation</w:t>
      </w:r>
      <w:r w:rsidR="00030763">
        <w:rPr>
          <w:color w:val="auto"/>
          <w:szCs w:val="24"/>
        </w:rPr>
        <w:t xml:space="preserve"> </w:t>
      </w:r>
      <w:r w:rsidR="005F6A38">
        <w:rPr>
          <w:color w:val="auto"/>
          <w:szCs w:val="24"/>
        </w:rPr>
        <w:t xml:space="preserve">the CI reported that stress made her neck worse, and that numbness and tingling of upper and lower extremities was present. </w:t>
      </w:r>
      <w:r w:rsidR="003D7ED6">
        <w:rPr>
          <w:color w:val="auto"/>
          <w:szCs w:val="24"/>
        </w:rPr>
        <w:t xml:space="preserve"> </w:t>
      </w:r>
      <w:r w:rsidR="005F6A38">
        <w:rPr>
          <w:color w:val="auto"/>
          <w:szCs w:val="24"/>
        </w:rPr>
        <w:t>Physical exam revealed normal strength and DTRs; neck tenderness was not present.</w:t>
      </w:r>
      <w:r w:rsidR="00DD4833">
        <w:rPr>
          <w:color w:val="auto"/>
          <w:szCs w:val="24"/>
        </w:rPr>
        <w:t xml:space="preserve">  </w:t>
      </w:r>
      <w:r w:rsidR="000C0036">
        <w:rPr>
          <w:rFonts w:cs="Times New Roman"/>
          <w:color w:val="auto"/>
        </w:rPr>
        <w:t xml:space="preserve">During the 45 minute interview, she did not appear to move about in the chair.  </w:t>
      </w:r>
      <w:r w:rsidR="00DD4833">
        <w:rPr>
          <w:color w:val="auto"/>
          <w:szCs w:val="24"/>
        </w:rPr>
        <w:t xml:space="preserve">An electrodiagnostic study </w:t>
      </w:r>
      <w:r w:rsidR="006D4B8E">
        <w:rPr>
          <w:color w:val="auto"/>
          <w:szCs w:val="24"/>
        </w:rPr>
        <w:t xml:space="preserve">(EMG) </w:t>
      </w:r>
      <w:r w:rsidR="00DD4833">
        <w:rPr>
          <w:color w:val="auto"/>
          <w:szCs w:val="24"/>
        </w:rPr>
        <w:t>was negative for radiculopathy.</w:t>
      </w:r>
      <w:r w:rsidR="00D60A59">
        <w:rPr>
          <w:color w:val="auto"/>
          <w:szCs w:val="24"/>
        </w:rPr>
        <w:t xml:space="preserve">  </w:t>
      </w:r>
    </w:p>
    <w:p w:rsidR="00DD4833" w:rsidRDefault="00DD4833" w:rsidP="00E7049C">
      <w:pPr>
        <w:jc w:val="both"/>
        <w:rPr>
          <w:color w:val="auto"/>
          <w:szCs w:val="24"/>
        </w:rPr>
      </w:pPr>
    </w:p>
    <w:p w:rsidR="00E7049C" w:rsidRPr="00F64312" w:rsidRDefault="00AD2379" w:rsidP="00E7049C">
      <w:pPr>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6D4B8E">
        <w:rPr>
          <w:rFonts w:cs="Times New Roman"/>
          <w:color w:val="auto"/>
        </w:rPr>
        <w:t>.</w:t>
      </w:r>
      <w:r w:rsidR="000D65D5" w:rsidRPr="006D4B8E">
        <w:rPr>
          <w:rFonts w:cs="Times New Roman"/>
          <w:color w:val="auto"/>
        </w:rPr>
        <w:t xml:space="preserve">  </w:t>
      </w:r>
      <w:r w:rsidR="006D4B8E" w:rsidRPr="006D4B8E">
        <w:rPr>
          <w:rFonts w:cs="Times New Roman"/>
          <w:color w:val="auto"/>
        </w:rPr>
        <w:t xml:space="preserve">The PEB and VA chose different coding options for the condition, but this did not bear on rating.  </w:t>
      </w:r>
      <w:r w:rsidR="000D65D5">
        <w:rPr>
          <w:rFonts w:cs="Times New Roman"/>
          <w:color w:val="auto"/>
        </w:rPr>
        <w:t xml:space="preserve">The </w:t>
      </w:r>
      <w:r w:rsidR="00BA335D">
        <w:rPr>
          <w:rFonts w:cs="Times New Roman"/>
          <w:color w:val="auto"/>
        </w:rPr>
        <w:t xml:space="preserve">assigned </w:t>
      </w:r>
      <w:r w:rsidR="000D65D5">
        <w:rPr>
          <w:rFonts w:cs="Times New Roman"/>
          <w:color w:val="auto"/>
        </w:rPr>
        <w:t xml:space="preserve">10% rating </w:t>
      </w:r>
      <w:r w:rsidR="00BA335D">
        <w:rPr>
          <w:rFonts w:cs="Times New Roman"/>
          <w:color w:val="auto"/>
        </w:rPr>
        <w:t xml:space="preserve">by the PEB and VA </w:t>
      </w:r>
      <w:r w:rsidR="000D65D5">
        <w:rPr>
          <w:rFonts w:cs="Times New Roman"/>
          <w:color w:val="auto"/>
        </w:rPr>
        <w:t xml:space="preserve">was appropriate </w:t>
      </w:r>
      <w:r w:rsidR="00BA335D">
        <w:rPr>
          <w:rFonts w:cs="Times New Roman"/>
          <w:color w:val="auto"/>
        </w:rPr>
        <w:t>given</w:t>
      </w:r>
      <w:r w:rsidR="000D65D5">
        <w:rPr>
          <w:rFonts w:cs="Times New Roman"/>
          <w:color w:val="auto"/>
        </w:rPr>
        <w:t xml:space="preserve"> the degree of compensable limitation of </w:t>
      </w:r>
      <w:r w:rsidR="00D60A59">
        <w:rPr>
          <w:rFonts w:cs="Times New Roman"/>
          <w:color w:val="auto"/>
        </w:rPr>
        <w:t xml:space="preserve">combined </w:t>
      </w:r>
      <w:r w:rsidR="000D65D5">
        <w:rPr>
          <w:rFonts w:cs="Times New Roman"/>
          <w:color w:val="auto"/>
        </w:rPr>
        <w:t xml:space="preserve">motion present on each </w:t>
      </w:r>
      <w:r w:rsidR="00BA335D">
        <w:rPr>
          <w:rFonts w:cs="Times New Roman"/>
          <w:color w:val="auto"/>
        </w:rPr>
        <w:t xml:space="preserve">of the </w:t>
      </w:r>
      <w:r w:rsidR="000D65D5">
        <w:rPr>
          <w:rFonts w:cs="Times New Roman"/>
          <w:color w:val="auto"/>
        </w:rPr>
        <w:t>exam</w:t>
      </w:r>
      <w:r w:rsidR="00BA335D">
        <w:rPr>
          <w:rFonts w:cs="Times New Roman"/>
          <w:color w:val="auto"/>
        </w:rPr>
        <w:t>inations</w:t>
      </w:r>
      <w:r w:rsidR="000D65D5">
        <w:rPr>
          <w:rFonts w:cs="Times New Roman"/>
          <w:color w:val="auto"/>
        </w:rPr>
        <w:t>.</w:t>
      </w:r>
      <w:r w:rsidR="00E7049C">
        <w:rPr>
          <w:rFonts w:cs="Times New Roman"/>
          <w:color w:val="auto"/>
        </w:rPr>
        <w:t xml:space="preserve">  </w:t>
      </w:r>
      <w:r w:rsidR="006D4B8E" w:rsidRPr="006D4B8E">
        <w:rPr>
          <w:rFonts w:cs="Times New Roman"/>
          <w:color w:val="auto"/>
        </w:rPr>
        <w:t xml:space="preserve">The Board also considered rating intervertebral disc disease under the alternative formula for incapacitating episodes, but could not find sufficient evidence which would meet even the 10% criteria under that formula.  The Board further deliberated if additional disability was justified for the history of </w:t>
      </w:r>
      <w:r w:rsidR="006D4B8E">
        <w:rPr>
          <w:rFonts w:cs="Times New Roman"/>
          <w:color w:val="auto"/>
        </w:rPr>
        <w:t>radiating pain suggestive of radiculopathy</w:t>
      </w:r>
      <w:r w:rsidR="006D4B8E" w:rsidRPr="006D4B8E">
        <w:rPr>
          <w:rFonts w:cs="Times New Roman"/>
          <w:color w:val="auto"/>
        </w:rPr>
        <w:t>.  Examiners however recorded normal neurologic findings, including muscle strength</w:t>
      </w:r>
      <w:r w:rsidR="006D4B8E">
        <w:rPr>
          <w:rFonts w:cs="Times New Roman"/>
          <w:color w:val="auto"/>
        </w:rPr>
        <w:t>, and the EMG performed by the VA was normal</w:t>
      </w:r>
      <w:r w:rsidR="006D4B8E" w:rsidRPr="006D4B8E">
        <w:rPr>
          <w:rFonts w:cs="Times New Roman"/>
          <w:color w:val="auto"/>
        </w:rPr>
        <w:t>.  There is no evidence in this case of functional impairment attrib</w:t>
      </w:r>
      <w:r w:rsidR="00A763E7">
        <w:rPr>
          <w:rFonts w:cs="Times New Roman"/>
          <w:color w:val="auto"/>
        </w:rPr>
        <w:t>utable to peripheral neuropathy, and the</w:t>
      </w:r>
      <w:r w:rsidR="00BA335D" w:rsidRPr="00BA335D">
        <w:rPr>
          <w:rFonts w:cs="Times New Roman"/>
          <w:color w:val="auto"/>
        </w:rPr>
        <w:t xml:space="preserve"> Board therefore concludes that additional disability was not justified on this basis.  </w:t>
      </w:r>
      <w:r w:rsidR="00E7049C"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E7049C">
        <w:rPr>
          <w:rFonts w:eastAsia="Calibri" w:cs="Times New Roman"/>
          <w:color w:val="auto"/>
          <w:szCs w:val="24"/>
        </w:rPr>
        <w:t>neck pain</w:t>
      </w:r>
      <w:r w:rsidR="00E7049C" w:rsidRPr="00F64312">
        <w:rPr>
          <w:rFonts w:eastAsia="Calibri" w:cs="Times New Roman"/>
          <w:color w:val="auto"/>
          <w:szCs w:val="24"/>
        </w:rPr>
        <w:t xml:space="preserve"> condition.  </w:t>
      </w:r>
    </w:p>
    <w:p w:rsidR="00417999" w:rsidRPr="00F64312" w:rsidRDefault="000D65D5" w:rsidP="00D60A59">
      <w:pPr>
        <w:jc w:val="both"/>
        <w:rPr>
          <w:rFonts w:cs="Times New Roman"/>
          <w:color w:val="auto"/>
        </w:rPr>
      </w:pPr>
      <w:r>
        <w:rPr>
          <w:rFonts w:cs="Times New Roman"/>
          <w:color w:val="auto"/>
        </w:rPr>
        <w:t xml:space="preserve"> </w:t>
      </w:r>
      <w:r w:rsidR="00165C7B" w:rsidRPr="00F64312">
        <w:rPr>
          <w:rFonts w:cs="Times New Roman"/>
          <w:color w:val="auto"/>
        </w:rPr>
        <w:t xml:space="preserve">  </w:t>
      </w:r>
    </w:p>
    <w:p w:rsidR="00770847" w:rsidRDefault="00BA335D" w:rsidP="00770847">
      <w:pPr>
        <w:tabs>
          <w:tab w:val="left" w:pos="288"/>
          <w:tab w:val="left" w:pos="4752"/>
        </w:tabs>
        <w:jc w:val="both"/>
        <w:rPr>
          <w:rFonts w:cs="Times New Roman"/>
          <w:color w:val="auto"/>
        </w:rPr>
      </w:pPr>
      <w:r>
        <w:rPr>
          <w:rFonts w:cs="Times New Roman"/>
          <w:color w:val="auto"/>
          <w:u w:val="single"/>
        </w:rPr>
        <w:t>Fibromyalgia Condition</w:t>
      </w:r>
      <w:r>
        <w:rPr>
          <w:rFonts w:cs="Times New Roman"/>
          <w:color w:val="auto"/>
        </w:rPr>
        <w:t xml:space="preserve">.  </w:t>
      </w:r>
      <w:r w:rsidR="00EF296C">
        <w:rPr>
          <w:rFonts w:cs="Times New Roman"/>
          <w:color w:val="auto"/>
        </w:rPr>
        <w:t>The</w:t>
      </w:r>
      <w:r w:rsidR="00545869">
        <w:rPr>
          <w:rFonts w:cs="Times New Roman"/>
          <w:color w:val="auto"/>
        </w:rPr>
        <w:t xml:space="preserve"> fibromyalgia diagnosis was made by a rheumatologist in 2001</w:t>
      </w:r>
      <w:r w:rsidR="00545869">
        <w:rPr>
          <w:rFonts w:cs="Times New Roman"/>
          <w:color w:val="auto"/>
          <w:szCs w:val="24"/>
        </w:rPr>
        <w:t xml:space="preserve">.  </w:t>
      </w:r>
      <w:r w:rsidR="00147D3E" w:rsidRPr="00512E80">
        <w:rPr>
          <w:rFonts w:cs="Times New Roman"/>
          <w:color w:val="auto"/>
          <w:szCs w:val="24"/>
        </w:rPr>
        <w:t xml:space="preserve">Symptoms included generalized pain, fatigue, </w:t>
      </w:r>
      <w:r w:rsidR="000C0036" w:rsidRPr="00512E80">
        <w:rPr>
          <w:rFonts w:cs="Times New Roman"/>
          <w:color w:val="auto"/>
          <w:szCs w:val="24"/>
        </w:rPr>
        <w:t xml:space="preserve">headaches, numbness and tingling in hands and feet, and </w:t>
      </w:r>
      <w:r w:rsidR="00147D3E" w:rsidRPr="00512E80">
        <w:rPr>
          <w:rFonts w:cs="Times New Roman"/>
          <w:color w:val="auto"/>
          <w:szCs w:val="24"/>
        </w:rPr>
        <w:t>sleep disturbance</w:t>
      </w:r>
      <w:r w:rsidR="00512E80">
        <w:rPr>
          <w:rFonts w:cs="Times New Roman"/>
          <w:color w:val="auto"/>
          <w:szCs w:val="24"/>
        </w:rPr>
        <w:t xml:space="preserve">.  </w:t>
      </w:r>
      <w:r w:rsidR="000E5A96">
        <w:rPr>
          <w:rFonts w:cs="Times New Roman"/>
          <w:color w:val="auto"/>
          <w:szCs w:val="24"/>
        </w:rPr>
        <w:t>The CI was followed by the rheumatologist since th</w:t>
      </w:r>
      <w:r w:rsidR="0098413E">
        <w:rPr>
          <w:rFonts w:cs="Times New Roman"/>
          <w:color w:val="auto"/>
          <w:szCs w:val="24"/>
        </w:rPr>
        <w:t>at time</w:t>
      </w:r>
      <w:r w:rsidR="000E5A96">
        <w:rPr>
          <w:rFonts w:cs="Times New Roman"/>
          <w:color w:val="auto"/>
          <w:szCs w:val="24"/>
        </w:rPr>
        <w:t>, although the last outpatient evaluation of the condition in evidence was 1</w:t>
      </w:r>
      <w:r w:rsidR="00512E80">
        <w:rPr>
          <w:rFonts w:cs="Times New Roman"/>
          <w:color w:val="auto"/>
          <w:szCs w:val="24"/>
        </w:rPr>
        <w:t>2</w:t>
      </w:r>
      <w:r w:rsidR="00C25BC1">
        <w:rPr>
          <w:rFonts w:cs="Times New Roman"/>
          <w:color w:val="auto"/>
          <w:szCs w:val="24"/>
        </w:rPr>
        <w:t xml:space="preserve"> </w:t>
      </w:r>
      <w:r w:rsidR="000E5A96">
        <w:rPr>
          <w:rFonts w:cs="Times New Roman"/>
          <w:color w:val="auto"/>
          <w:szCs w:val="24"/>
        </w:rPr>
        <w:t>mont</w:t>
      </w:r>
      <w:r w:rsidR="00B31EA0">
        <w:rPr>
          <w:rFonts w:cs="Times New Roman"/>
          <w:color w:val="auto"/>
          <w:szCs w:val="24"/>
        </w:rPr>
        <w:t>hs prior to separation</w:t>
      </w:r>
      <w:r w:rsidR="000E5A96">
        <w:rPr>
          <w:rFonts w:cs="Times New Roman"/>
          <w:color w:val="auto"/>
          <w:szCs w:val="24"/>
        </w:rPr>
        <w:t>.</w:t>
      </w:r>
      <w:r w:rsidR="00512E80">
        <w:rPr>
          <w:rFonts w:cs="Times New Roman"/>
          <w:color w:val="auto"/>
          <w:szCs w:val="24"/>
        </w:rPr>
        <w:t xml:space="preserve">  H</w:t>
      </w:r>
      <w:r w:rsidR="00741695">
        <w:rPr>
          <w:rFonts w:cs="Times New Roman"/>
          <w:color w:val="auto"/>
          <w:szCs w:val="24"/>
        </w:rPr>
        <w:t>er symptoms</w:t>
      </w:r>
      <w:r w:rsidR="00512E80">
        <w:rPr>
          <w:rFonts w:cs="Times New Roman"/>
          <w:color w:val="auto"/>
          <w:szCs w:val="24"/>
        </w:rPr>
        <w:t xml:space="preserve"> </w:t>
      </w:r>
      <w:r w:rsidR="0098413E">
        <w:rPr>
          <w:rFonts w:cs="Times New Roman"/>
          <w:color w:val="auto"/>
          <w:szCs w:val="24"/>
        </w:rPr>
        <w:t>waxed and waned,</w:t>
      </w:r>
      <w:r w:rsidR="00512E80">
        <w:rPr>
          <w:rFonts w:cs="Times New Roman"/>
          <w:color w:val="auto"/>
          <w:szCs w:val="24"/>
        </w:rPr>
        <w:t xml:space="preserve"> and were </w:t>
      </w:r>
      <w:r w:rsidR="003E55EB">
        <w:rPr>
          <w:rFonts w:cs="Times New Roman"/>
          <w:color w:val="auto"/>
          <w:szCs w:val="24"/>
        </w:rPr>
        <w:t xml:space="preserve">usually </w:t>
      </w:r>
      <w:r w:rsidR="00512E80">
        <w:rPr>
          <w:rFonts w:cs="Times New Roman"/>
          <w:color w:val="auto"/>
          <w:szCs w:val="24"/>
        </w:rPr>
        <w:t>related to whether or not she was taking her medications</w:t>
      </w:r>
      <w:r w:rsidR="0098413E">
        <w:rPr>
          <w:rFonts w:cs="Times New Roman"/>
          <w:color w:val="auto"/>
          <w:szCs w:val="24"/>
        </w:rPr>
        <w:t xml:space="preserve">.  </w:t>
      </w:r>
      <w:r w:rsidR="00C94EDB">
        <w:rPr>
          <w:rFonts w:cs="Times New Roman"/>
          <w:color w:val="auto"/>
          <w:szCs w:val="24"/>
        </w:rPr>
        <w:t xml:space="preserve">The NARSUM examination noted multiple tender spots throughout the body in accordance with her fibromyalgia.  </w:t>
      </w:r>
      <w:r w:rsidR="0098413E">
        <w:rPr>
          <w:rFonts w:cs="Times New Roman"/>
          <w:color w:val="auto"/>
          <w:szCs w:val="24"/>
        </w:rPr>
        <w:t xml:space="preserve">The NARSUM </w:t>
      </w:r>
      <w:r w:rsidR="00647890">
        <w:rPr>
          <w:rFonts w:cs="Times New Roman"/>
          <w:color w:val="auto"/>
          <w:szCs w:val="24"/>
        </w:rPr>
        <w:t>neurologist</w:t>
      </w:r>
      <w:r w:rsidR="0098413E">
        <w:rPr>
          <w:rFonts w:cs="Times New Roman"/>
          <w:color w:val="auto"/>
          <w:szCs w:val="24"/>
        </w:rPr>
        <w:t xml:space="preserve"> reported aches and pains throughout the body without signific</w:t>
      </w:r>
      <w:r w:rsidR="00EF296C">
        <w:rPr>
          <w:rFonts w:cs="Times New Roman"/>
          <w:color w:val="auto"/>
          <w:szCs w:val="24"/>
        </w:rPr>
        <w:t xml:space="preserve">ant improvement on medication.  </w:t>
      </w:r>
      <w:r w:rsidR="0098413E">
        <w:rPr>
          <w:rFonts w:cs="Times New Roman"/>
          <w:color w:val="auto"/>
          <w:szCs w:val="24"/>
        </w:rPr>
        <w:t xml:space="preserve">A commander’s statement </w:t>
      </w:r>
      <w:r w:rsidR="000A7396">
        <w:rPr>
          <w:rFonts w:cs="Times New Roman"/>
          <w:color w:val="auto"/>
          <w:szCs w:val="24"/>
        </w:rPr>
        <w:t>4</w:t>
      </w:r>
      <w:r w:rsidR="0098413E">
        <w:rPr>
          <w:rFonts w:cs="Times New Roman"/>
          <w:color w:val="auto"/>
          <w:szCs w:val="24"/>
        </w:rPr>
        <w:t xml:space="preserve"> months prior to separation noted that the CI</w:t>
      </w:r>
      <w:r w:rsidR="00647890">
        <w:rPr>
          <w:rFonts w:cs="Times New Roman"/>
          <w:color w:val="auto"/>
          <w:szCs w:val="24"/>
        </w:rPr>
        <w:t xml:space="preserve"> was a dedicated performer, and saw no reason her medical conditions should disqualify her from </w:t>
      </w:r>
      <w:r w:rsidR="000A7396">
        <w:rPr>
          <w:rFonts w:cs="Times New Roman"/>
          <w:color w:val="auto"/>
          <w:szCs w:val="24"/>
        </w:rPr>
        <w:t>performing within her MOS</w:t>
      </w:r>
      <w:r w:rsidR="00647890">
        <w:rPr>
          <w:rFonts w:cs="Times New Roman"/>
          <w:color w:val="auto"/>
          <w:szCs w:val="24"/>
        </w:rPr>
        <w:t>.</w:t>
      </w:r>
      <w:r w:rsidR="00770847">
        <w:rPr>
          <w:rFonts w:cs="Times New Roman"/>
          <w:color w:val="auto"/>
          <w:szCs w:val="24"/>
        </w:rPr>
        <w:t xml:space="preserve">  </w:t>
      </w:r>
      <w:r w:rsidR="00571E65">
        <w:rPr>
          <w:rFonts w:cs="Times New Roman"/>
          <w:color w:val="auto"/>
          <w:szCs w:val="24"/>
        </w:rPr>
        <w:t xml:space="preserve">A mental health </w:t>
      </w:r>
      <w:r w:rsidR="00DC2467">
        <w:rPr>
          <w:rFonts w:cs="Times New Roman"/>
          <w:color w:val="auto"/>
          <w:szCs w:val="24"/>
        </w:rPr>
        <w:t>VA</w:t>
      </w:r>
      <w:r w:rsidR="00571E65">
        <w:rPr>
          <w:rFonts w:cs="Times New Roman"/>
          <w:color w:val="auto"/>
          <w:szCs w:val="24"/>
        </w:rPr>
        <w:t xml:space="preserve"> examiner </w:t>
      </w:r>
      <w:r w:rsidR="000A7396">
        <w:rPr>
          <w:rFonts w:cs="Times New Roman"/>
          <w:color w:val="auto"/>
          <w:szCs w:val="24"/>
        </w:rPr>
        <w:t>2</w:t>
      </w:r>
      <w:r w:rsidR="00571E65">
        <w:rPr>
          <w:rFonts w:cs="Times New Roman"/>
          <w:color w:val="auto"/>
          <w:szCs w:val="24"/>
        </w:rPr>
        <w:t xml:space="preserve"> months prior to separation reported that symptoms of depression and anxiety included sleeping difficulty, fatigue and lack of energy.  </w:t>
      </w:r>
      <w:r w:rsidR="00741695">
        <w:rPr>
          <w:rFonts w:cs="Times New Roman"/>
          <w:color w:val="auto"/>
          <w:szCs w:val="24"/>
        </w:rPr>
        <w:t>The CI</w:t>
      </w:r>
      <w:r w:rsidR="00CF064F">
        <w:rPr>
          <w:rFonts w:cs="Times New Roman"/>
          <w:color w:val="auto"/>
          <w:szCs w:val="24"/>
        </w:rPr>
        <w:t xml:space="preserve"> had been prescribed an antidepressant medication for depression by her primary care provider, but she discontinued it.  </w:t>
      </w:r>
      <w:r w:rsidR="00770847">
        <w:rPr>
          <w:rFonts w:cs="Times New Roman"/>
          <w:color w:val="auto"/>
        </w:rPr>
        <w:t>The C&amp;P examiner reported difficulty sleeping, constant fatigue and widespread pain.</w:t>
      </w:r>
      <w:r w:rsidR="000125D1">
        <w:rPr>
          <w:rFonts w:cs="Times New Roman"/>
          <w:color w:val="auto"/>
        </w:rPr>
        <w:t xml:space="preserve">  She took amitriptyline daily and flexeril as needed for the </w:t>
      </w:r>
      <w:r w:rsidR="00741695">
        <w:rPr>
          <w:rFonts w:cs="Times New Roman"/>
          <w:color w:val="auto"/>
        </w:rPr>
        <w:t xml:space="preserve">fibromyalgia </w:t>
      </w:r>
      <w:r w:rsidR="000125D1">
        <w:rPr>
          <w:rFonts w:cs="Times New Roman"/>
          <w:color w:val="auto"/>
        </w:rPr>
        <w:t>condition.</w:t>
      </w:r>
      <w:r w:rsidR="00770847">
        <w:rPr>
          <w:rFonts w:cs="Times New Roman"/>
          <w:color w:val="auto"/>
        </w:rPr>
        <w:t xml:space="preserve">  </w:t>
      </w:r>
      <w:r w:rsidR="00006FDE">
        <w:rPr>
          <w:rFonts w:cs="Times New Roman"/>
          <w:color w:val="auto"/>
        </w:rPr>
        <w:t>Examination revealed no trigger point tenderness</w:t>
      </w:r>
      <w:r w:rsidR="00770847">
        <w:rPr>
          <w:rFonts w:cs="Times New Roman"/>
          <w:color w:val="auto"/>
        </w:rPr>
        <w:t>.</w:t>
      </w:r>
      <w:r w:rsidR="006E0CD3">
        <w:rPr>
          <w:rFonts w:cs="Times New Roman"/>
          <w:color w:val="auto"/>
        </w:rPr>
        <w:t xml:space="preserve">  The C&amp;P examiner</w:t>
      </w:r>
      <w:r w:rsidR="003A7116">
        <w:rPr>
          <w:rFonts w:cs="Times New Roman"/>
          <w:color w:val="auto"/>
        </w:rPr>
        <w:t xml:space="preserve"> reported </w:t>
      </w:r>
      <w:r w:rsidR="00C76291">
        <w:rPr>
          <w:rFonts w:cs="Times New Roman"/>
          <w:color w:val="auto"/>
        </w:rPr>
        <w:t>sleep disturbance and fatigue, although the examiner opined that fatigue could also be related to the CI’s chronic anemia.</w:t>
      </w:r>
      <w:r w:rsidR="003A7116">
        <w:rPr>
          <w:rFonts w:cs="Times New Roman"/>
          <w:color w:val="auto"/>
        </w:rPr>
        <w:t xml:space="preserve">  Pain was noted to be more constant than episodic.  </w:t>
      </w:r>
      <w:r w:rsidR="00EA47F5">
        <w:rPr>
          <w:rFonts w:cs="Times New Roman"/>
          <w:color w:val="auto"/>
        </w:rPr>
        <w:t xml:space="preserve">Hip and leg pain were reported on the right side, but she did complain of generalized pain in multiple other joints.  </w:t>
      </w:r>
      <w:r w:rsidR="003A7116">
        <w:rPr>
          <w:rFonts w:cs="Times New Roman"/>
          <w:color w:val="auto"/>
        </w:rPr>
        <w:t xml:space="preserve">She could not walk more than one or two blocks.  </w:t>
      </w:r>
      <w:r w:rsidR="00630099">
        <w:rPr>
          <w:rFonts w:cs="Times New Roman"/>
          <w:color w:val="auto"/>
        </w:rPr>
        <w:t xml:space="preserve">This examiner referred to a recent rheumatology visit at which the CI only had right sided musculoskeletal complaints.  </w:t>
      </w:r>
      <w:r w:rsidR="00EF296C">
        <w:rPr>
          <w:rFonts w:cs="Times New Roman"/>
          <w:color w:val="auto"/>
        </w:rPr>
        <w:t>Physical exam</w:t>
      </w:r>
      <w:r w:rsidR="003A7116">
        <w:rPr>
          <w:rFonts w:cs="Times New Roman"/>
          <w:color w:val="auto"/>
        </w:rPr>
        <w:t xml:space="preserve"> revealed the CI to </w:t>
      </w:r>
      <w:r w:rsidR="009F7671">
        <w:rPr>
          <w:rFonts w:cs="Times New Roman"/>
          <w:color w:val="auto"/>
        </w:rPr>
        <w:t>“</w:t>
      </w:r>
      <w:r w:rsidR="003A7116">
        <w:rPr>
          <w:rFonts w:cs="Times New Roman"/>
          <w:color w:val="auto"/>
        </w:rPr>
        <w:t>move freely on and off the table.</w:t>
      </w:r>
      <w:r w:rsidR="009F7671">
        <w:rPr>
          <w:rFonts w:cs="Times New Roman"/>
          <w:color w:val="auto"/>
        </w:rPr>
        <w:t>”</w:t>
      </w:r>
      <w:r w:rsidR="003A7116">
        <w:rPr>
          <w:rFonts w:cs="Times New Roman"/>
          <w:color w:val="auto"/>
        </w:rPr>
        <w:t xml:space="preserve">  </w:t>
      </w:r>
      <w:r w:rsidR="00AE19A2">
        <w:rPr>
          <w:rFonts w:cs="Times New Roman"/>
          <w:color w:val="auto"/>
        </w:rPr>
        <w:t xml:space="preserve">During the 45 minute interview, she did not appear to move about in the chair.  </w:t>
      </w:r>
      <w:r w:rsidR="003A7116">
        <w:rPr>
          <w:rFonts w:cs="Times New Roman"/>
          <w:color w:val="auto"/>
        </w:rPr>
        <w:t xml:space="preserve">Trigger points in the spine were inconsistently positive, and were negative in the arms and thighs. </w:t>
      </w:r>
      <w:r w:rsidR="00E01A6C">
        <w:rPr>
          <w:rFonts w:cs="Times New Roman"/>
          <w:color w:val="auto"/>
        </w:rPr>
        <w:t xml:space="preserve"> The assessment was that </w:t>
      </w:r>
      <w:r w:rsidR="00AE19A2">
        <w:rPr>
          <w:rFonts w:cs="Times New Roman"/>
          <w:color w:val="auto"/>
        </w:rPr>
        <w:t xml:space="preserve">“complaints are not congruent with physical exam,” and that </w:t>
      </w:r>
      <w:r w:rsidR="00E01A6C">
        <w:rPr>
          <w:rFonts w:cs="Times New Roman"/>
          <w:color w:val="auto"/>
        </w:rPr>
        <w:t>fibromyalgia trigger points were not evident.</w:t>
      </w:r>
    </w:p>
    <w:p w:rsidR="00241B01" w:rsidRPr="00545869" w:rsidRDefault="00241B01" w:rsidP="000E5A96">
      <w:pPr>
        <w:tabs>
          <w:tab w:val="left" w:pos="288"/>
          <w:tab w:val="left" w:pos="4752"/>
        </w:tabs>
        <w:jc w:val="both"/>
        <w:rPr>
          <w:rFonts w:cs="Times New Roman"/>
          <w:color w:val="auto"/>
          <w:szCs w:val="24"/>
        </w:rPr>
      </w:pPr>
    </w:p>
    <w:p w:rsidR="00770847" w:rsidRDefault="00C76291" w:rsidP="00A4463F">
      <w:pPr>
        <w:tabs>
          <w:tab w:val="left" w:pos="288"/>
          <w:tab w:val="left" w:pos="4752"/>
        </w:tabs>
        <w:jc w:val="both"/>
        <w:rPr>
          <w:rFonts w:eastAsia="Calibri" w:cs="Times New Roman"/>
          <w:color w:val="auto"/>
          <w:szCs w:val="24"/>
        </w:rPr>
      </w:pPr>
      <w:r w:rsidRPr="00F64312">
        <w:rPr>
          <w:rFonts w:cs="Times New Roman"/>
          <w:color w:val="auto"/>
        </w:rPr>
        <w:t>The Board directs attention to its rating recommendation based on the above evidence</w:t>
      </w:r>
      <w:r w:rsidRPr="006D4B8E">
        <w:rPr>
          <w:rFonts w:cs="Times New Roman"/>
          <w:color w:val="auto"/>
        </w:rPr>
        <w:t>.</w:t>
      </w:r>
      <w:r w:rsidR="009503C9">
        <w:rPr>
          <w:rFonts w:cs="Times New Roman"/>
          <w:color w:val="auto"/>
        </w:rPr>
        <w:t xml:space="preserve">  </w:t>
      </w:r>
      <w:r w:rsidR="00770847" w:rsidRPr="00EF296C">
        <w:rPr>
          <w:rFonts w:cs="Times New Roman"/>
          <w:color w:val="auto"/>
        </w:rPr>
        <w:t xml:space="preserve">The 5025 code </w:t>
      </w:r>
      <w:r w:rsidRPr="00EF296C">
        <w:rPr>
          <w:rFonts w:cs="Times New Roman"/>
          <w:color w:val="auto"/>
        </w:rPr>
        <w:t xml:space="preserve">used by the PEB and the VA </w:t>
      </w:r>
      <w:r w:rsidR="00770847" w:rsidRPr="00EF296C">
        <w:rPr>
          <w:rFonts w:cs="Times New Roman"/>
          <w:color w:val="auto"/>
        </w:rPr>
        <w:t xml:space="preserve">is </w:t>
      </w:r>
      <w:r w:rsidRPr="00EF296C">
        <w:rPr>
          <w:rFonts w:cs="Times New Roman"/>
          <w:color w:val="auto"/>
        </w:rPr>
        <w:t>appropriate given</w:t>
      </w:r>
      <w:r w:rsidR="00770847" w:rsidRPr="00EF296C">
        <w:rPr>
          <w:rFonts w:cs="Times New Roman"/>
          <w:color w:val="auto"/>
        </w:rPr>
        <w:t xml:space="preserve"> the rheumatolog</w:t>
      </w:r>
      <w:r w:rsidRPr="00EF296C">
        <w:rPr>
          <w:rFonts w:cs="Times New Roman"/>
          <w:color w:val="auto"/>
        </w:rPr>
        <w:t>ist’s diagnosis of fibromyalgia.  T</w:t>
      </w:r>
      <w:r w:rsidR="00770847" w:rsidRPr="00EF296C">
        <w:rPr>
          <w:rFonts w:cs="Times New Roman"/>
          <w:color w:val="auto"/>
        </w:rPr>
        <w:t xml:space="preserve">he </w:t>
      </w:r>
      <w:r w:rsidRPr="00EF296C">
        <w:rPr>
          <w:rFonts w:cs="Times New Roman"/>
          <w:color w:val="auto"/>
        </w:rPr>
        <w:t xml:space="preserve">PEB’s </w:t>
      </w:r>
      <w:r w:rsidR="00770847" w:rsidRPr="00EF296C">
        <w:rPr>
          <w:rFonts w:cs="Times New Roman"/>
          <w:color w:val="auto"/>
        </w:rPr>
        <w:t>10% rating reflects the judgment that the CI’s symptoms required continuous medication</w:t>
      </w:r>
      <w:r w:rsidR="00A4463F" w:rsidRPr="00EF296C">
        <w:rPr>
          <w:rFonts w:cs="Times New Roman"/>
          <w:color w:val="auto"/>
        </w:rPr>
        <w:t xml:space="preserve"> for control.  The</w:t>
      </w:r>
      <w:r w:rsidRPr="00EF296C">
        <w:rPr>
          <w:rFonts w:cs="Times New Roman"/>
          <w:color w:val="auto"/>
        </w:rPr>
        <w:t xml:space="preserve"> </w:t>
      </w:r>
      <w:r w:rsidR="00A4463F" w:rsidRPr="00EF296C">
        <w:rPr>
          <w:rFonts w:cs="Times New Roman"/>
          <w:color w:val="auto"/>
        </w:rPr>
        <w:t>conclusion that symptoms were episodic, with exacerbations often precipitated by environmental or emotional stress or by overexertion, but were present more than one-third of the time</w:t>
      </w:r>
      <w:r w:rsidR="00EF296C" w:rsidRPr="00EF296C">
        <w:rPr>
          <w:rFonts w:cs="Times New Roman"/>
          <w:color w:val="auto"/>
        </w:rPr>
        <w:t>,</w:t>
      </w:r>
      <w:r w:rsidR="00A4463F" w:rsidRPr="00EF296C">
        <w:rPr>
          <w:rFonts w:cs="Times New Roman"/>
          <w:color w:val="auto"/>
        </w:rPr>
        <w:t xml:space="preserve"> underpinned</w:t>
      </w:r>
      <w:r w:rsidR="00770847" w:rsidRPr="00EF296C">
        <w:rPr>
          <w:rFonts w:cs="Times New Roman"/>
          <w:color w:val="auto"/>
        </w:rPr>
        <w:t xml:space="preserve"> </w:t>
      </w:r>
      <w:r w:rsidR="00A4463F" w:rsidRPr="00EF296C">
        <w:rPr>
          <w:rFonts w:cs="Times New Roman"/>
          <w:color w:val="auto"/>
        </w:rPr>
        <w:t xml:space="preserve">the VA’s 20% </w:t>
      </w:r>
      <w:r w:rsidR="00A4463F" w:rsidRPr="0082610C">
        <w:rPr>
          <w:rFonts w:cs="Times New Roman"/>
          <w:color w:val="auto"/>
        </w:rPr>
        <w:t>rating.</w:t>
      </w:r>
      <w:r w:rsidR="00EF296C" w:rsidRPr="0082610C">
        <w:rPr>
          <w:rFonts w:cs="Times New Roman"/>
          <w:color w:val="auto"/>
        </w:rPr>
        <w:t xml:space="preserve"> </w:t>
      </w:r>
      <w:r w:rsidR="00770847" w:rsidRPr="0082610C">
        <w:rPr>
          <w:rFonts w:cs="Times New Roman"/>
          <w:color w:val="auto"/>
        </w:rPr>
        <w:t xml:space="preserve"> </w:t>
      </w:r>
      <w:r w:rsidR="009A58FB" w:rsidRPr="0082610C">
        <w:rPr>
          <w:rFonts w:cs="Times New Roman"/>
          <w:color w:val="auto"/>
        </w:rPr>
        <w:t xml:space="preserve">Under the </w:t>
      </w:r>
      <w:r w:rsidR="009A58FB" w:rsidRPr="0082610C">
        <w:rPr>
          <w:rFonts w:cs="Times New Roman"/>
          <w:color w:val="auto"/>
        </w:rPr>
        <w:lastRenderedPageBreak/>
        <w:t xml:space="preserve">5025 code, “widespread musculoskeletal pain and tender points” is the basis for rating.  </w:t>
      </w:r>
      <w:r w:rsidR="00B31EA0">
        <w:rPr>
          <w:rFonts w:cs="Times New Roman"/>
          <w:color w:val="auto"/>
        </w:rPr>
        <w:t>These symptoms may occur “</w:t>
      </w:r>
      <w:r w:rsidR="00B31EA0" w:rsidRPr="00B31EA0">
        <w:rPr>
          <w:rFonts w:cs="Times New Roman"/>
          <w:color w:val="auto"/>
        </w:rPr>
        <w:t>with or without associated fatigue, sleep disturbance, stiffness, paresthesias, headache, irritable bowel symptoms, depression, anxiety, or Raynaud’s-like symptoms</w:t>
      </w:r>
      <w:r w:rsidR="00B31EA0">
        <w:rPr>
          <w:rFonts w:cs="Times New Roman"/>
          <w:color w:val="auto"/>
        </w:rPr>
        <w:t>.”</w:t>
      </w:r>
      <w:r w:rsidR="00B31EA0" w:rsidRPr="00B31EA0">
        <w:rPr>
          <w:rFonts w:cs="Times New Roman"/>
          <w:color w:val="auto"/>
        </w:rPr>
        <w:t xml:space="preserve"> </w:t>
      </w:r>
      <w:r w:rsidR="00C25BC1">
        <w:rPr>
          <w:rFonts w:cs="Times New Roman"/>
          <w:color w:val="auto"/>
        </w:rPr>
        <w:t xml:space="preserve"> </w:t>
      </w:r>
      <w:r w:rsidR="00EF296C" w:rsidRPr="0082610C">
        <w:rPr>
          <w:rFonts w:cs="Times New Roman"/>
          <w:color w:val="auto"/>
        </w:rPr>
        <w:t>T</w:t>
      </w:r>
      <w:r w:rsidR="00770847" w:rsidRPr="0082610C">
        <w:rPr>
          <w:rFonts w:cs="Times New Roman"/>
          <w:color w:val="auto"/>
        </w:rPr>
        <w:t xml:space="preserve">he Board </w:t>
      </w:r>
      <w:r w:rsidR="00E46129" w:rsidRPr="0082610C">
        <w:rPr>
          <w:rFonts w:cs="Times New Roman"/>
          <w:color w:val="auto"/>
        </w:rPr>
        <w:t>considered</w:t>
      </w:r>
      <w:r w:rsidR="00B129F7" w:rsidRPr="0082610C">
        <w:rPr>
          <w:rFonts w:cs="Times New Roman"/>
          <w:color w:val="auto"/>
        </w:rPr>
        <w:t xml:space="preserve"> </w:t>
      </w:r>
      <w:r w:rsidR="009C77A9" w:rsidRPr="0082610C">
        <w:rPr>
          <w:rFonts w:cs="Times New Roman"/>
          <w:color w:val="auto"/>
        </w:rPr>
        <w:t xml:space="preserve">that the two VA exams </w:t>
      </w:r>
      <w:r w:rsidR="00DC2467" w:rsidRPr="0082610C">
        <w:rPr>
          <w:rFonts w:cs="Times New Roman"/>
          <w:color w:val="auto"/>
        </w:rPr>
        <w:t xml:space="preserve">prior to and after separation encompassed a </w:t>
      </w:r>
      <w:r w:rsidR="000A7396">
        <w:rPr>
          <w:rFonts w:cs="Times New Roman"/>
          <w:color w:val="auto"/>
        </w:rPr>
        <w:t>5</w:t>
      </w:r>
      <w:r w:rsidR="00DC2467" w:rsidRPr="0082610C">
        <w:rPr>
          <w:rFonts w:cs="Times New Roman"/>
          <w:color w:val="auto"/>
        </w:rPr>
        <w:t xml:space="preserve"> month interval, and </w:t>
      </w:r>
      <w:r w:rsidR="009C77A9" w:rsidRPr="0082610C">
        <w:rPr>
          <w:rFonts w:cs="Times New Roman"/>
          <w:color w:val="auto"/>
        </w:rPr>
        <w:t>were more proximal to separation tha</w:t>
      </w:r>
      <w:r w:rsidR="009503C9" w:rsidRPr="0082610C">
        <w:rPr>
          <w:rFonts w:cs="Times New Roman"/>
          <w:color w:val="auto"/>
        </w:rPr>
        <w:t>n</w:t>
      </w:r>
      <w:r w:rsidR="009C77A9" w:rsidRPr="0082610C">
        <w:rPr>
          <w:rFonts w:cs="Times New Roman"/>
          <w:color w:val="auto"/>
        </w:rPr>
        <w:t xml:space="preserve"> the NARSUM exam</w:t>
      </w:r>
      <w:r w:rsidR="00DC2467" w:rsidRPr="0082610C">
        <w:rPr>
          <w:rFonts w:cs="Times New Roman"/>
          <w:color w:val="auto"/>
        </w:rPr>
        <w:t>.  The</w:t>
      </w:r>
      <w:r w:rsidR="009503C9" w:rsidRPr="0082610C">
        <w:rPr>
          <w:rFonts w:cs="Times New Roman"/>
          <w:color w:val="auto"/>
        </w:rPr>
        <w:t xml:space="preserve"> absence of tender points on those exams </w:t>
      </w:r>
      <w:r w:rsidR="00DC2467" w:rsidRPr="0082610C">
        <w:rPr>
          <w:rFonts w:cs="Times New Roman"/>
          <w:color w:val="auto"/>
        </w:rPr>
        <w:t>pointed to</w:t>
      </w:r>
      <w:r w:rsidR="009503C9" w:rsidRPr="0082610C">
        <w:rPr>
          <w:rFonts w:cs="Times New Roman"/>
          <w:color w:val="auto"/>
        </w:rPr>
        <w:t xml:space="preserve"> an improved condition.  Furthermore, while the record indicates the occurrence of episodic exacerbations, the</w:t>
      </w:r>
      <w:r w:rsidR="00DC2467" w:rsidRPr="0082610C">
        <w:rPr>
          <w:rFonts w:cs="Times New Roman"/>
          <w:color w:val="auto"/>
        </w:rPr>
        <w:t>y</w:t>
      </w:r>
      <w:r w:rsidR="009503C9" w:rsidRPr="0082610C">
        <w:rPr>
          <w:rFonts w:cs="Times New Roman"/>
          <w:color w:val="auto"/>
        </w:rPr>
        <w:t xml:space="preserve"> occurred </w:t>
      </w:r>
      <w:r w:rsidR="00DC2467" w:rsidRPr="0082610C">
        <w:rPr>
          <w:rFonts w:cs="Times New Roman"/>
          <w:color w:val="auto"/>
        </w:rPr>
        <w:t>primarily</w:t>
      </w:r>
      <w:r w:rsidR="009503C9" w:rsidRPr="0082610C">
        <w:rPr>
          <w:rFonts w:cs="Times New Roman"/>
          <w:color w:val="auto"/>
        </w:rPr>
        <w:t xml:space="preserve"> in the context of not taking the prescribed medication</w:t>
      </w:r>
      <w:r w:rsidR="009A58FB" w:rsidRPr="0082610C">
        <w:rPr>
          <w:rFonts w:cs="Times New Roman"/>
          <w:color w:val="auto"/>
        </w:rPr>
        <w:t xml:space="preserve">.  </w:t>
      </w:r>
      <w:r w:rsidR="00DC2467" w:rsidRPr="0082610C">
        <w:rPr>
          <w:rFonts w:cs="Times New Roman"/>
          <w:color w:val="auto"/>
        </w:rPr>
        <w:t xml:space="preserve">Therefore, </w:t>
      </w:r>
      <w:r w:rsidR="00A4463F" w:rsidRPr="0082610C">
        <w:rPr>
          <w:rFonts w:cs="Times New Roman"/>
          <w:color w:val="auto"/>
        </w:rPr>
        <w:t xml:space="preserve">Board members </w:t>
      </w:r>
      <w:r w:rsidR="009A58FB" w:rsidRPr="0082610C">
        <w:rPr>
          <w:rFonts w:cs="Times New Roman"/>
          <w:color w:val="auto"/>
        </w:rPr>
        <w:t xml:space="preserve">agreed that the </w:t>
      </w:r>
      <w:r w:rsidR="00DC2467" w:rsidRPr="0082610C">
        <w:rPr>
          <w:rFonts w:cs="Times New Roman"/>
          <w:color w:val="auto"/>
        </w:rPr>
        <w:t xml:space="preserve">condition most closely approximated the 10% rating, and that </w:t>
      </w:r>
      <w:r w:rsidR="009A58FB" w:rsidRPr="0082610C">
        <w:rPr>
          <w:rFonts w:cs="Times New Roman"/>
          <w:color w:val="auto"/>
        </w:rPr>
        <w:t xml:space="preserve">criteria for the 20% rating </w:t>
      </w:r>
      <w:r w:rsidR="00DC2467" w:rsidRPr="0082610C">
        <w:rPr>
          <w:rFonts w:cs="Times New Roman"/>
          <w:color w:val="auto"/>
        </w:rPr>
        <w:t xml:space="preserve">were not met.  </w:t>
      </w:r>
      <w:r w:rsidR="00DC2467" w:rsidRPr="0082610C">
        <w:rPr>
          <w:rFonts w:eastAsia="Calibri" w:cs="Times New Roman"/>
          <w:color w:val="auto"/>
          <w:szCs w:val="24"/>
        </w:rPr>
        <w:t>Aft</w:t>
      </w:r>
      <w:r w:rsidR="00DC2467" w:rsidRPr="00F64312">
        <w:rPr>
          <w:rFonts w:eastAsia="Calibri" w:cs="Times New Roman"/>
          <w:color w:val="auto"/>
          <w:szCs w:val="24"/>
        </w:rPr>
        <w:t xml:space="preserve">er due deliberation, considering all of the evidence and mindful of VASRD §4.3 (reasonable doubt), the Board concluded that there was insufficient cause to recommend a change in the PEB adjudication for the </w:t>
      </w:r>
      <w:r w:rsidR="00DC2467">
        <w:rPr>
          <w:rFonts w:eastAsia="Calibri" w:cs="Times New Roman"/>
          <w:color w:val="auto"/>
          <w:szCs w:val="24"/>
        </w:rPr>
        <w:t>fibromyalgia</w:t>
      </w:r>
      <w:r w:rsidR="00DC2467" w:rsidRPr="00F64312">
        <w:rPr>
          <w:rFonts w:eastAsia="Calibri" w:cs="Times New Roman"/>
          <w:color w:val="auto"/>
          <w:szCs w:val="24"/>
        </w:rPr>
        <w:t xml:space="preserve"> condition</w:t>
      </w:r>
      <w:r w:rsidR="00DC2467" w:rsidRPr="00DC2467">
        <w:rPr>
          <w:rFonts w:eastAsia="Calibri" w:cs="Times New Roman"/>
          <w:color w:val="auto"/>
          <w:szCs w:val="24"/>
        </w:rPr>
        <w:t>.</w:t>
      </w:r>
    </w:p>
    <w:p w:rsidR="00770847" w:rsidRDefault="00770847" w:rsidP="000E5A96">
      <w:pPr>
        <w:tabs>
          <w:tab w:val="left" w:pos="288"/>
          <w:tab w:val="left" w:pos="4752"/>
        </w:tabs>
        <w:jc w:val="both"/>
        <w:rPr>
          <w:rFonts w:cs="Times New Roman"/>
          <w:color w:val="auto"/>
        </w:rPr>
      </w:pPr>
    </w:p>
    <w:p w:rsidR="00712272" w:rsidRPr="00AE188F" w:rsidRDefault="003669BA" w:rsidP="00A7288A">
      <w:pPr>
        <w:tabs>
          <w:tab w:val="left" w:pos="288"/>
          <w:tab w:val="left" w:pos="4752"/>
        </w:tabs>
        <w:jc w:val="both"/>
        <w:rPr>
          <w:rFonts w:eastAsia="Calibri" w:cs="Times New Roman"/>
          <w:i/>
          <w:color w:val="auto"/>
          <w:sz w:val="20"/>
        </w:rPr>
      </w:pPr>
      <w:r>
        <w:rPr>
          <w:rFonts w:cs="Times New Roman"/>
          <w:color w:val="auto"/>
          <w:u w:val="single"/>
        </w:rPr>
        <w:t>Rotator Cuff Tear Condition</w:t>
      </w:r>
      <w:r>
        <w:rPr>
          <w:rFonts w:cs="Times New Roman"/>
          <w:color w:val="auto"/>
        </w:rPr>
        <w:t xml:space="preserve">.  </w:t>
      </w:r>
      <w:r w:rsidR="00147D3E">
        <w:rPr>
          <w:rFonts w:cs="Times New Roman"/>
          <w:color w:val="auto"/>
        </w:rPr>
        <w:t xml:space="preserve">An MRI </w:t>
      </w:r>
      <w:r w:rsidR="000A7396">
        <w:rPr>
          <w:rFonts w:cs="Times New Roman"/>
          <w:color w:val="auto"/>
        </w:rPr>
        <w:t xml:space="preserve">performed </w:t>
      </w:r>
      <w:r w:rsidR="00147D3E">
        <w:rPr>
          <w:rFonts w:cs="Times New Roman"/>
          <w:color w:val="auto"/>
        </w:rPr>
        <w:t xml:space="preserve">on </w:t>
      </w:r>
      <w:r w:rsidR="00BC03A7">
        <w:rPr>
          <w:rFonts w:cs="Times New Roman"/>
          <w:color w:val="auto"/>
        </w:rPr>
        <w:t xml:space="preserve">13 January </w:t>
      </w:r>
      <w:r w:rsidR="00147D3E">
        <w:rPr>
          <w:rFonts w:cs="Times New Roman"/>
          <w:color w:val="auto"/>
        </w:rPr>
        <w:t xml:space="preserve">2004 showed a 50% rotator cuff tear.  </w:t>
      </w:r>
      <w:r w:rsidR="00C94EDB">
        <w:rPr>
          <w:rFonts w:cs="Times New Roman"/>
          <w:color w:val="auto"/>
        </w:rPr>
        <w:t xml:space="preserve">At the NARSUM exam, the CI reported that movement of the right arm caused pain, especially with overhead lifting, and that she could not sleep on that side.  </w:t>
      </w:r>
      <w:r w:rsidR="00385E04">
        <w:rPr>
          <w:rFonts w:cs="Times New Roman"/>
          <w:color w:val="auto"/>
        </w:rPr>
        <w:t xml:space="preserve">The examination was silent regarding shoulder ROM.  </w:t>
      </w:r>
      <w:r w:rsidR="00B32DA4">
        <w:rPr>
          <w:rFonts w:cs="Times New Roman"/>
          <w:color w:val="auto"/>
        </w:rPr>
        <w:t xml:space="preserve">On </w:t>
      </w:r>
      <w:r w:rsidR="00BC03A7">
        <w:rPr>
          <w:rFonts w:cs="Times New Roman"/>
          <w:color w:val="auto"/>
        </w:rPr>
        <w:t xml:space="preserve">24 June </w:t>
      </w:r>
      <w:r w:rsidR="00B32DA4">
        <w:rPr>
          <w:rFonts w:cs="Times New Roman"/>
          <w:color w:val="auto"/>
        </w:rPr>
        <w:t>2004</w:t>
      </w:r>
      <w:r w:rsidR="00C25BC1">
        <w:rPr>
          <w:rFonts w:cs="Times New Roman"/>
          <w:color w:val="auto"/>
        </w:rPr>
        <w:t>,</w:t>
      </w:r>
      <w:r w:rsidR="00B32DA4">
        <w:rPr>
          <w:rFonts w:cs="Times New Roman"/>
          <w:color w:val="auto"/>
        </w:rPr>
        <w:t xml:space="preserve"> she underwent arthroscopic repair of the rotator cuff and resection of the acromioclavicular joint.</w:t>
      </w:r>
      <w:r w:rsidR="00A7288A">
        <w:rPr>
          <w:rFonts w:cs="Times New Roman"/>
          <w:color w:val="auto"/>
        </w:rPr>
        <w:t xml:space="preserve">  </w:t>
      </w:r>
      <w:r w:rsidR="00712272">
        <w:rPr>
          <w:rFonts w:eastAsia="Calibri" w:cs="Times New Roman"/>
          <w:color w:val="auto"/>
          <w:szCs w:val="24"/>
        </w:rPr>
        <w:t xml:space="preserve">At the C&amp;P exam the </w:t>
      </w:r>
      <w:r w:rsidR="00BC60A3">
        <w:rPr>
          <w:rFonts w:eastAsia="Calibri" w:cs="Times New Roman"/>
          <w:color w:val="auto"/>
          <w:szCs w:val="24"/>
        </w:rPr>
        <w:t xml:space="preserve">right hand dominant </w:t>
      </w:r>
      <w:r w:rsidR="00712272">
        <w:rPr>
          <w:rFonts w:eastAsia="Calibri" w:cs="Times New Roman"/>
          <w:color w:val="auto"/>
          <w:szCs w:val="24"/>
        </w:rPr>
        <w:t>CI reported that physical therapy</w:t>
      </w:r>
      <w:r w:rsidR="00BC60A3">
        <w:rPr>
          <w:rFonts w:eastAsia="Calibri" w:cs="Times New Roman"/>
          <w:color w:val="auto"/>
          <w:szCs w:val="24"/>
        </w:rPr>
        <w:t xml:space="preserve"> was delayed post-operatively for</w:t>
      </w:r>
      <w:r w:rsidR="00712272">
        <w:rPr>
          <w:rFonts w:eastAsia="Calibri" w:cs="Times New Roman"/>
          <w:color w:val="auto"/>
          <w:szCs w:val="24"/>
        </w:rPr>
        <w:t xml:space="preserve"> </w:t>
      </w:r>
      <w:r w:rsidR="00C25BC1">
        <w:rPr>
          <w:rFonts w:eastAsia="Calibri" w:cs="Times New Roman"/>
          <w:color w:val="auto"/>
          <w:szCs w:val="24"/>
        </w:rPr>
        <w:t>4</w:t>
      </w:r>
      <w:r w:rsidR="00712272">
        <w:rPr>
          <w:rFonts w:eastAsia="Calibri" w:cs="Times New Roman"/>
          <w:color w:val="auto"/>
          <w:szCs w:val="24"/>
        </w:rPr>
        <w:t xml:space="preserve"> weeks.  She reported painful movement</w:t>
      </w:r>
      <w:r w:rsidR="00376924">
        <w:rPr>
          <w:rFonts w:eastAsia="Calibri" w:cs="Times New Roman"/>
          <w:color w:val="auto"/>
          <w:szCs w:val="24"/>
        </w:rPr>
        <w:t xml:space="preserve"> for which she took narcotic pain medication,</w:t>
      </w:r>
      <w:r w:rsidR="00712272">
        <w:rPr>
          <w:rFonts w:eastAsia="Calibri" w:cs="Times New Roman"/>
          <w:color w:val="auto"/>
          <w:szCs w:val="24"/>
        </w:rPr>
        <w:t xml:space="preserve"> and restricted ROM.</w:t>
      </w:r>
      <w:r w:rsidR="0061109E">
        <w:rPr>
          <w:rFonts w:eastAsia="Calibri" w:cs="Times New Roman"/>
          <w:color w:val="auto"/>
          <w:szCs w:val="24"/>
        </w:rPr>
        <w:t xml:space="preserve">  Examination showed a normal posture and gait.  A well-healed surgical scar was present over the right shoulder and diffuse tenderness was noted.  </w:t>
      </w:r>
      <w:r w:rsidR="00BC60A3" w:rsidRPr="00385E04">
        <w:rPr>
          <w:rFonts w:eastAsia="Calibri" w:cs="Times New Roman"/>
          <w:color w:val="auto"/>
          <w:szCs w:val="24"/>
        </w:rPr>
        <w:t>ROM showed forward flexion of 85 degrees (normal 180 degrees) with pain from 60 to 85 degrees, and abduction of 60 degrees (normal 180 degrees).</w:t>
      </w:r>
      <w:r w:rsidR="00BC60A3">
        <w:rPr>
          <w:rFonts w:eastAsia="Calibri" w:cs="Times New Roman"/>
          <w:color w:val="auto"/>
          <w:szCs w:val="24"/>
        </w:rPr>
        <w:t xml:space="preserve"> </w:t>
      </w:r>
      <w:r w:rsidR="00364404">
        <w:rPr>
          <w:rFonts w:eastAsia="Calibri" w:cs="Times New Roman"/>
          <w:color w:val="auto"/>
          <w:szCs w:val="24"/>
        </w:rPr>
        <w:t xml:space="preserve"> At the C&amp;P exam</w:t>
      </w:r>
      <w:r w:rsidR="00FF7E40">
        <w:rPr>
          <w:rFonts w:eastAsia="Calibri" w:cs="Times New Roman"/>
          <w:color w:val="auto"/>
          <w:szCs w:val="24"/>
        </w:rPr>
        <w:t xml:space="preserve"> </w:t>
      </w:r>
      <w:r w:rsidR="00F97B28">
        <w:rPr>
          <w:rFonts w:eastAsia="Calibri" w:cs="Times New Roman"/>
          <w:color w:val="auto"/>
          <w:szCs w:val="24"/>
        </w:rPr>
        <w:t>t</w:t>
      </w:r>
      <w:r w:rsidR="00AC05EB">
        <w:rPr>
          <w:rFonts w:eastAsia="Calibri" w:cs="Times New Roman"/>
          <w:color w:val="auto"/>
          <w:szCs w:val="24"/>
        </w:rPr>
        <w:t>he CI was noted to have “multiple somatic complaints that appear to be self-motivated.”</w:t>
      </w:r>
      <w:r w:rsidR="00F97B28">
        <w:rPr>
          <w:rFonts w:eastAsia="Calibri" w:cs="Times New Roman"/>
          <w:color w:val="auto"/>
          <w:szCs w:val="24"/>
        </w:rPr>
        <w:t xml:space="preserve">  Although the CI had been give</w:t>
      </w:r>
      <w:r w:rsidR="009D48CA">
        <w:rPr>
          <w:rFonts w:eastAsia="Calibri" w:cs="Times New Roman"/>
          <w:color w:val="auto"/>
          <w:szCs w:val="24"/>
        </w:rPr>
        <w:t>n</w:t>
      </w:r>
      <w:r w:rsidR="00F97B28">
        <w:rPr>
          <w:rFonts w:eastAsia="Calibri" w:cs="Times New Roman"/>
          <w:color w:val="auto"/>
          <w:szCs w:val="24"/>
        </w:rPr>
        <w:t xml:space="preserve"> physical therapy bands to exercise the right shoulder, the examiner stated it did not appear these exercises were being performed.  Physical examination of the CI reported that “when unobserved moves freely on and off the table.”  </w:t>
      </w:r>
      <w:r w:rsidR="00F97B28" w:rsidRPr="00964D1E">
        <w:rPr>
          <w:rFonts w:eastAsia="Calibri" w:cs="Times New Roman"/>
          <w:color w:val="auto"/>
          <w:szCs w:val="24"/>
        </w:rPr>
        <w:t xml:space="preserve">Shoulder ROM description was documented in an unclear way, but suggested that abduction was </w:t>
      </w:r>
      <w:r w:rsidR="00CF0152" w:rsidRPr="00964D1E">
        <w:rPr>
          <w:rFonts w:eastAsia="Calibri" w:cs="Times New Roman"/>
          <w:color w:val="auto"/>
          <w:szCs w:val="24"/>
        </w:rPr>
        <w:t>limited by</w:t>
      </w:r>
      <w:r w:rsidR="00F97B28" w:rsidRPr="00964D1E">
        <w:rPr>
          <w:rFonts w:eastAsia="Calibri" w:cs="Times New Roman"/>
          <w:color w:val="auto"/>
          <w:szCs w:val="24"/>
        </w:rPr>
        <w:t xml:space="preserve"> only 10 degrees.</w:t>
      </w:r>
      <w:r w:rsidR="00F97B28">
        <w:rPr>
          <w:rFonts w:eastAsia="Calibri" w:cs="Times New Roman"/>
          <w:color w:val="auto"/>
          <w:szCs w:val="24"/>
        </w:rPr>
        <w:t xml:space="preserve">  The examine</w:t>
      </w:r>
      <w:r w:rsidR="00CF0152">
        <w:rPr>
          <w:rFonts w:eastAsia="Calibri" w:cs="Times New Roman"/>
          <w:color w:val="auto"/>
          <w:szCs w:val="24"/>
        </w:rPr>
        <w:t>r also</w:t>
      </w:r>
      <w:r w:rsidR="00F97B28">
        <w:rPr>
          <w:rFonts w:eastAsia="Calibri" w:cs="Times New Roman"/>
          <w:color w:val="auto"/>
          <w:szCs w:val="24"/>
        </w:rPr>
        <w:t xml:space="preserve"> referred to a recent rheumatology note</w:t>
      </w:r>
      <w:r w:rsidR="008D4CCA">
        <w:rPr>
          <w:rFonts w:eastAsia="Calibri" w:cs="Times New Roman"/>
          <w:color w:val="auto"/>
          <w:szCs w:val="24"/>
        </w:rPr>
        <w:t xml:space="preserve"> </w:t>
      </w:r>
      <w:r w:rsidR="000A7396">
        <w:rPr>
          <w:rFonts w:eastAsia="Calibri" w:cs="Times New Roman"/>
          <w:color w:val="auto"/>
          <w:szCs w:val="24"/>
        </w:rPr>
        <w:t xml:space="preserve">performed on 10 December 2004 </w:t>
      </w:r>
      <w:r w:rsidR="008D4CCA">
        <w:rPr>
          <w:rFonts w:eastAsia="Calibri" w:cs="Times New Roman"/>
          <w:color w:val="auto"/>
          <w:szCs w:val="24"/>
        </w:rPr>
        <w:t>that reported</w:t>
      </w:r>
      <w:r w:rsidR="00F97B28">
        <w:rPr>
          <w:rFonts w:eastAsia="Calibri" w:cs="Times New Roman"/>
          <w:color w:val="auto"/>
          <w:szCs w:val="24"/>
        </w:rPr>
        <w:t xml:space="preserve"> </w:t>
      </w:r>
      <w:r w:rsidR="002045BA">
        <w:rPr>
          <w:rFonts w:eastAsia="Calibri" w:cs="Times New Roman"/>
          <w:color w:val="auto"/>
          <w:szCs w:val="24"/>
        </w:rPr>
        <w:t>“</w:t>
      </w:r>
      <w:r w:rsidR="00F97B28">
        <w:rPr>
          <w:rFonts w:eastAsia="Calibri" w:cs="Times New Roman"/>
          <w:color w:val="auto"/>
          <w:szCs w:val="24"/>
        </w:rPr>
        <w:t xml:space="preserve">full </w:t>
      </w:r>
      <w:r w:rsidR="000A7396">
        <w:rPr>
          <w:rFonts w:eastAsia="Calibri" w:cs="Times New Roman"/>
          <w:color w:val="auto"/>
          <w:szCs w:val="24"/>
        </w:rPr>
        <w:t>ROM</w:t>
      </w:r>
      <w:r w:rsidR="00F97B28">
        <w:rPr>
          <w:rFonts w:eastAsia="Calibri" w:cs="Times New Roman"/>
          <w:color w:val="auto"/>
          <w:szCs w:val="24"/>
        </w:rPr>
        <w:t xml:space="preserve"> of the right shoulder.</w:t>
      </w:r>
      <w:r w:rsidR="002045BA">
        <w:rPr>
          <w:rFonts w:eastAsia="Calibri" w:cs="Times New Roman"/>
          <w:color w:val="auto"/>
          <w:szCs w:val="24"/>
        </w:rPr>
        <w:t>”</w:t>
      </w:r>
    </w:p>
    <w:p w:rsidR="00BC60A3" w:rsidRDefault="00BC60A3" w:rsidP="00241B01">
      <w:pPr>
        <w:jc w:val="both"/>
        <w:rPr>
          <w:rFonts w:eastAsia="Calibri" w:cs="Times New Roman"/>
          <w:color w:val="auto"/>
          <w:szCs w:val="24"/>
        </w:rPr>
      </w:pPr>
    </w:p>
    <w:p w:rsidR="00241B01" w:rsidRDefault="00BC60A3" w:rsidP="00E6132D">
      <w:pPr>
        <w:tabs>
          <w:tab w:val="left" w:pos="288"/>
          <w:tab w:val="left" w:pos="4752"/>
        </w:tabs>
        <w:jc w:val="both"/>
        <w:rPr>
          <w:rFonts w:eastAsia="Calibri" w:cs="Times New Roman"/>
          <w:color w:val="auto"/>
          <w:szCs w:val="24"/>
        </w:rPr>
      </w:pPr>
      <w:r w:rsidRPr="00F64312">
        <w:rPr>
          <w:rFonts w:cs="Times New Roman"/>
          <w:color w:val="auto"/>
        </w:rPr>
        <w:t>The Board directs attention to its rating recommendation based on the above evidence</w:t>
      </w:r>
      <w:r w:rsidRPr="006D4B8E">
        <w:rPr>
          <w:rFonts w:cs="Times New Roman"/>
          <w:color w:val="auto"/>
        </w:rPr>
        <w:t>.</w:t>
      </w:r>
      <w:r>
        <w:rPr>
          <w:rFonts w:cs="Times New Roman"/>
          <w:color w:val="auto"/>
        </w:rPr>
        <w:t xml:space="preserve">  </w:t>
      </w:r>
      <w:r w:rsidR="007652AD" w:rsidRPr="007652AD">
        <w:rPr>
          <w:rFonts w:eastAsia="Calibri" w:cs="Times New Roman"/>
          <w:color w:val="auto"/>
          <w:szCs w:val="24"/>
        </w:rPr>
        <w:t>The VASRD §4.71a threshold for compensable ROM impairment is “shoulder level”, and</w:t>
      </w:r>
      <w:r w:rsidR="007652AD">
        <w:rPr>
          <w:rFonts w:eastAsia="Calibri" w:cs="Times New Roman"/>
          <w:color w:val="auto"/>
          <w:szCs w:val="24"/>
        </w:rPr>
        <w:t xml:space="preserve"> </w:t>
      </w:r>
      <w:r>
        <w:rPr>
          <w:rFonts w:eastAsia="Calibri" w:cs="Times New Roman"/>
          <w:color w:val="auto"/>
          <w:szCs w:val="24"/>
        </w:rPr>
        <w:t xml:space="preserve">the </w:t>
      </w:r>
      <w:r w:rsidR="009D48CA">
        <w:rPr>
          <w:rFonts w:eastAsia="Calibri" w:cs="Times New Roman"/>
          <w:color w:val="auto"/>
          <w:szCs w:val="24"/>
        </w:rPr>
        <w:t xml:space="preserve">first </w:t>
      </w:r>
      <w:r>
        <w:rPr>
          <w:rFonts w:eastAsia="Calibri" w:cs="Times New Roman"/>
          <w:color w:val="auto"/>
          <w:szCs w:val="24"/>
        </w:rPr>
        <w:t>C&amp;P exam</w:t>
      </w:r>
      <w:r w:rsidR="00FC09FA">
        <w:rPr>
          <w:rFonts w:eastAsia="Calibri" w:cs="Times New Roman"/>
          <w:color w:val="auto"/>
          <w:szCs w:val="24"/>
        </w:rPr>
        <w:t xml:space="preserve"> demonstra</w:t>
      </w:r>
      <w:r w:rsidR="00162C2C">
        <w:rPr>
          <w:rFonts w:eastAsia="Calibri" w:cs="Times New Roman"/>
          <w:color w:val="auto"/>
          <w:szCs w:val="24"/>
        </w:rPr>
        <w:t xml:space="preserve">ted motion below this level.  The PEB rated the condition 0% under an analogous 5003 code with application of the USAPDA pain policy.  </w:t>
      </w:r>
      <w:r w:rsidR="00162C2C" w:rsidRPr="00964D1E">
        <w:rPr>
          <w:rFonts w:eastAsia="Calibri" w:cs="Times New Roman"/>
          <w:color w:val="auto"/>
          <w:szCs w:val="24"/>
        </w:rPr>
        <w:t xml:space="preserve">The VA’s 30% rating </w:t>
      </w:r>
      <w:r w:rsidR="00AB3624" w:rsidRPr="00964D1E">
        <w:rPr>
          <w:rFonts w:eastAsia="Calibri" w:cs="Times New Roman"/>
          <w:color w:val="auto"/>
          <w:szCs w:val="24"/>
        </w:rPr>
        <w:t xml:space="preserve">under a 5003-5201 code </w:t>
      </w:r>
      <w:r w:rsidR="005D5491" w:rsidRPr="00964D1E">
        <w:rPr>
          <w:rFonts w:eastAsia="Calibri" w:cs="Times New Roman"/>
          <w:color w:val="auto"/>
          <w:szCs w:val="24"/>
        </w:rPr>
        <w:t>assumed limit</w:t>
      </w:r>
      <w:r w:rsidR="008C361A" w:rsidRPr="00964D1E">
        <w:rPr>
          <w:rFonts w:eastAsia="Calibri" w:cs="Times New Roman"/>
          <w:color w:val="auto"/>
          <w:szCs w:val="24"/>
        </w:rPr>
        <w:t>ed arm motion to midway between the side and shoulder level (</w:t>
      </w:r>
      <w:r w:rsidR="00964D1E" w:rsidRPr="00964D1E">
        <w:rPr>
          <w:rFonts w:eastAsia="Calibri" w:cs="Times New Roman"/>
          <w:color w:val="auto"/>
          <w:szCs w:val="24"/>
        </w:rPr>
        <w:t xml:space="preserve">i.e. </w:t>
      </w:r>
      <w:r w:rsidR="008C361A" w:rsidRPr="00964D1E">
        <w:rPr>
          <w:rFonts w:eastAsia="Calibri" w:cs="Times New Roman"/>
          <w:color w:val="auto"/>
          <w:szCs w:val="24"/>
        </w:rPr>
        <w:t>approximately</w:t>
      </w:r>
      <w:r w:rsidR="005D5491" w:rsidRPr="00964D1E">
        <w:rPr>
          <w:rFonts w:eastAsia="Calibri" w:cs="Times New Roman"/>
          <w:color w:val="auto"/>
          <w:szCs w:val="24"/>
        </w:rPr>
        <w:t xml:space="preserve"> 45 degrees</w:t>
      </w:r>
      <w:r w:rsidR="00964D1E" w:rsidRPr="00964D1E">
        <w:rPr>
          <w:rFonts w:eastAsia="Calibri" w:cs="Times New Roman"/>
          <w:color w:val="auto"/>
          <w:szCs w:val="24"/>
        </w:rPr>
        <w:t>)</w:t>
      </w:r>
      <w:r w:rsidR="005D5491" w:rsidRPr="00964D1E">
        <w:rPr>
          <w:rFonts w:eastAsia="Calibri" w:cs="Times New Roman"/>
          <w:color w:val="auto"/>
          <w:szCs w:val="24"/>
        </w:rPr>
        <w:t>.</w:t>
      </w:r>
      <w:r w:rsidR="005D5491">
        <w:rPr>
          <w:rFonts w:eastAsia="Calibri" w:cs="Times New Roman"/>
          <w:color w:val="auto"/>
          <w:szCs w:val="24"/>
        </w:rPr>
        <w:t xml:space="preserve">  </w:t>
      </w:r>
      <w:r w:rsidR="009F7671" w:rsidRPr="009F7671">
        <w:rPr>
          <w:rFonts w:eastAsia="Calibri" w:cs="Times New Roman"/>
          <w:color w:val="auto"/>
          <w:szCs w:val="24"/>
        </w:rPr>
        <w:t xml:space="preserve">Board members agreed that a 10% rating was easily supported based on painful use </w:t>
      </w:r>
      <w:r w:rsidR="00E6132D">
        <w:rPr>
          <w:rFonts w:eastAsia="Calibri" w:cs="Times New Roman"/>
          <w:color w:val="auto"/>
          <w:szCs w:val="24"/>
        </w:rPr>
        <w:t>(</w:t>
      </w:r>
      <w:r w:rsidR="009F7671" w:rsidRPr="009F7671">
        <w:rPr>
          <w:rFonts w:eastAsia="Calibri" w:cs="Times New Roman"/>
          <w:color w:val="auto"/>
          <w:szCs w:val="24"/>
        </w:rPr>
        <w:t>§4.40</w:t>
      </w:r>
      <w:r w:rsidR="00E6132D">
        <w:rPr>
          <w:rFonts w:eastAsia="Calibri" w:cs="Times New Roman"/>
          <w:color w:val="auto"/>
          <w:szCs w:val="24"/>
        </w:rPr>
        <w:t>)</w:t>
      </w:r>
      <w:r w:rsidR="009F7671" w:rsidRPr="009F7671">
        <w:rPr>
          <w:rFonts w:eastAsia="Calibri" w:cs="Times New Roman"/>
          <w:color w:val="auto"/>
          <w:szCs w:val="24"/>
        </w:rPr>
        <w:t xml:space="preserve"> or painful motion </w:t>
      </w:r>
      <w:r w:rsidR="00E6132D">
        <w:rPr>
          <w:rFonts w:eastAsia="Calibri" w:cs="Times New Roman"/>
          <w:color w:val="auto"/>
          <w:szCs w:val="24"/>
        </w:rPr>
        <w:t>(</w:t>
      </w:r>
      <w:r w:rsidR="009F7671" w:rsidRPr="009F7671">
        <w:rPr>
          <w:rFonts w:eastAsia="Calibri" w:cs="Times New Roman"/>
          <w:color w:val="auto"/>
          <w:szCs w:val="24"/>
        </w:rPr>
        <w:t>§4.59</w:t>
      </w:r>
      <w:r w:rsidR="00E6132D">
        <w:rPr>
          <w:rFonts w:eastAsia="Calibri" w:cs="Times New Roman"/>
          <w:color w:val="auto"/>
          <w:szCs w:val="24"/>
        </w:rPr>
        <w:t>)</w:t>
      </w:r>
      <w:r w:rsidR="009F7671" w:rsidRPr="009F7671">
        <w:rPr>
          <w:rFonts w:eastAsia="Calibri" w:cs="Times New Roman"/>
          <w:color w:val="auto"/>
          <w:szCs w:val="24"/>
        </w:rPr>
        <w:t xml:space="preserve">, but considered a rating under the 5201 code.  </w:t>
      </w:r>
      <w:r w:rsidR="00284948" w:rsidRPr="009F7671">
        <w:rPr>
          <w:rFonts w:eastAsia="Calibri" w:cs="Times New Roman"/>
          <w:color w:val="auto"/>
          <w:szCs w:val="24"/>
        </w:rPr>
        <w:t xml:space="preserve">The Board </w:t>
      </w:r>
      <w:r w:rsidR="0085147E">
        <w:rPr>
          <w:rFonts w:eastAsia="Calibri" w:cs="Times New Roman"/>
          <w:color w:val="auto"/>
          <w:szCs w:val="24"/>
        </w:rPr>
        <w:t>debated</w:t>
      </w:r>
      <w:r w:rsidR="002045BA" w:rsidRPr="009F7671">
        <w:rPr>
          <w:rFonts w:eastAsia="Calibri" w:cs="Times New Roman"/>
          <w:color w:val="auto"/>
          <w:szCs w:val="24"/>
        </w:rPr>
        <w:t xml:space="preserve"> </w:t>
      </w:r>
      <w:r w:rsidR="00284948" w:rsidRPr="009F7671">
        <w:rPr>
          <w:rFonts w:eastAsia="Calibri" w:cs="Times New Roman"/>
          <w:color w:val="auto"/>
          <w:szCs w:val="24"/>
        </w:rPr>
        <w:t xml:space="preserve">the </w:t>
      </w:r>
      <w:r w:rsidR="00E90ADA" w:rsidRPr="009F7671">
        <w:rPr>
          <w:rFonts w:eastAsia="Calibri" w:cs="Times New Roman"/>
          <w:color w:val="auto"/>
          <w:szCs w:val="24"/>
        </w:rPr>
        <w:t xml:space="preserve">60 degrees of abduction on </w:t>
      </w:r>
      <w:r w:rsidR="009F7671" w:rsidRPr="009F7671">
        <w:rPr>
          <w:rFonts w:eastAsia="Calibri" w:cs="Times New Roman"/>
          <w:color w:val="auto"/>
          <w:szCs w:val="24"/>
        </w:rPr>
        <w:t>the first C&amp;P</w:t>
      </w:r>
      <w:r w:rsidR="00E90ADA" w:rsidRPr="009F7671">
        <w:rPr>
          <w:rFonts w:eastAsia="Calibri" w:cs="Times New Roman"/>
          <w:color w:val="auto"/>
          <w:szCs w:val="24"/>
        </w:rPr>
        <w:t xml:space="preserve"> exam</w:t>
      </w:r>
      <w:r w:rsidR="00284948" w:rsidRPr="009F7671">
        <w:rPr>
          <w:rFonts w:eastAsia="Calibri" w:cs="Times New Roman"/>
          <w:color w:val="auto"/>
          <w:szCs w:val="24"/>
        </w:rPr>
        <w:t xml:space="preserve"> in the context of a post-operative state that did not reflect maximum healing</w:t>
      </w:r>
      <w:r w:rsidR="00E90ADA" w:rsidRPr="009F7671">
        <w:rPr>
          <w:rFonts w:eastAsia="Calibri" w:cs="Times New Roman"/>
          <w:color w:val="auto"/>
          <w:szCs w:val="24"/>
        </w:rPr>
        <w:t xml:space="preserve"> and had not been fully rehabilitated.  </w:t>
      </w:r>
      <w:r w:rsidR="00E90ADA" w:rsidRPr="00964D1E">
        <w:rPr>
          <w:rFonts w:eastAsia="Calibri" w:cs="Times New Roman"/>
          <w:color w:val="auto"/>
          <w:szCs w:val="24"/>
        </w:rPr>
        <w:t xml:space="preserve">It was agreed that </w:t>
      </w:r>
      <w:r w:rsidR="004B2EF6" w:rsidRPr="00964D1E">
        <w:rPr>
          <w:rFonts w:eastAsia="Calibri" w:cs="Times New Roman"/>
          <w:color w:val="auto"/>
          <w:szCs w:val="24"/>
        </w:rPr>
        <w:t>an actual ROM of 170 degrees was strongly suggested on the</w:t>
      </w:r>
      <w:r w:rsidR="00E90ADA" w:rsidRPr="00964D1E">
        <w:rPr>
          <w:rFonts w:eastAsia="Calibri" w:cs="Times New Roman"/>
          <w:color w:val="auto"/>
          <w:szCs w:val="24"/>
        </w:rPr>
        <w:t xml:space="preserve"> second C&amp;P exam</w:t>
      </w:r>
      <w:r w:rsidR="004B2EF6" w:rsidRPr="00964D1E">
        <w:rPr>
          <w:rFonts w:eastAsia="Calibri" w:cs="Times New Roman"/>
          <w:color w:val="auto"/>
          <w:szCs w:val="24"/>
        </w:rPr>
        <w:t xml:space="preserve">, and that this was </w:t>
      </w:r>
      <w:r w:rsidR="00E90ADA" w:rsidRPr="00964D1E">
        <w:rPr>
          <w:rFonts w:eastAsia="Calibri" w:cs="Times New Roman"/>
          <w:color w:val="auto"/>
          <w:szCs w:val="24"/>
        </w:rPr>
        <w:t xml:space="preserve">consistent with </w:t>
      </w:r>
      <w:r w:rsidR="00F6072D" w:rsidRPr="00964D1E">
        <w:rPr>
          <w:rFonts w:eastAsia="Calibri" w:cs="Times New Roman"/>
          <w:color w:val="auto"/>
          <w:szCs w:val="24"/>
        </w:rPr>
        <w:t>the</w:t>
      </w:r>
      <w:r w:rsidR="002045BA" w:rsidRPr="00964D1E">
        <w:rPr>
          <w:rFonts w:eastAsia="Calibri" w:cs="Times New Roman"/>
          <w:color w:val="auto"/>
          <w:szCs w:val="24"/>
        </w:rPr>
        <w:t xml:space="preserve"> “full </w:t>
      </w:r>
      <w:r w:rsidR="000A7396">
        <w:rPr>
          <w:rFonts w:eastAsia="Calibri" w:cs="Times New Roman"/>
          <w:color w:val="auto"/>
          <w:szCs w:val="24"/>
        </w:rPr>
        <w:t>ROM</w:t>
      </w:r>
      <w:r w:rsidR="002045BA" w:rsidRPr="00964D1E">
        <w:rPr>
          <w:rFonts w:eastAsia="Calibri" w:cs="Times New Roman"/>
          <w:color w:val="auto"/>
          <w:szCs w:val="24"/>
        </w:rPr>
        <w:t>”</w:t>
      </w:r>
      <w:r w:rsidR="00E90ADA" w:rsidRPr="00964D1E">
        <w:rPr>
          <w:rFonts w:eastAsia="Calibri" w:cs="Times New Roman"/>
          <w:color w:val="auto"/>
          <w:szCs w:val="24"/>
        </w:rPr>
        <w:t xml:space="preserve"> attributed to </w:t>
      </w:r>
      <w:r w:rsidR="004B2EF6" w:rsidRPr="00964D1E">
        <w:rPr>
          <w:rFonts w:eastAsia="Calibri" w:cs="Times New Roman"/>
          <w:color w:val="auto"/>
          <w:szCs w:val="24"/>
        </w:rPr>
        <w:t xml:space="preserve">the </w:t>
      </w:r>
      <w:r w:rsidR="00F6072D" w:rsidRPr="00964D1E">
        <w:rPr>
          <w:rFonts w:eastAsia="Calibri" w:cs="Times New Roman"/>
          <w:color w:val="auto"/>
          <w:szCs w:val="24"/>
        </w:rPr>
        <w:t>rheumatolog</w:t>
      </w:r>
      <w:r w:rsidR="004B2EF6" w:rsidRPr="00964D1E">
        <w:rPr>
          <w:rFonts w:eastAsia="Calibri" w:cs="Times New Roman"/>
          <w:color w:val="auto"/>
          <w:szCs w:val="24"/>
        </w:rPr>
        <w:t>ist</w:t>
      </w:r>
      <w:r w:rsidR="009F7671" w:rsidRPr="00964D1E">
        <w:rPr>
          <w:rFonts w:eastAsia="Calibri" w:cs="Times New Roman"/>
          <w:color w:val="auto"/>
          <w:szCs w:val="24"/>
        </w:rPr>
        <w:t>.</w:t>
      </w:r>
      <w:r w:rsidR="00E6132D" w:rsidRPr="00964D1E">
        <w:rPr>
          <w:rFonts w:eastAsia="Calibri" w:cs="Times New Roman"/>
          <w:color w:val="auto"/>
          <w:szCs w:val="24"/>
        </w:rPr>
        <w:t xml:space="preserve">  </w:t>
      </w:r>
      <w:r w:rsidR="004B2EF6" w:rsidRPr="00964D1E">
        <w:rPr>
          <w:rFonts w:eastAsia="Calibri" w:cs="Times New Roman"/>
          <w:color w:val="auto"/>
          <w:szCs w:val="24"/>
        </w:rPr>
        <w:t xml:space="preserve">After considerable debate, the Board consensus was that </w:t>
      </w:r>
      <w:r w:rsidR="00C35716" w:rsidRPr="00964D1E">
        <w:rPr>
          <w:rFonts w:eastAsia="Calibri" w:cs="Times New Roman"/>
          <w:color w:val="auto"/>
          <w:szCs w:val="24"/>
        </w:rPr>
        <w:t>the criteria for a minimal rating under the 5201 were not present.</w:t>
      </w:r>
      <w:r w:rsidR="00C35716">
        <w:rPr>
          <w:rFonts w:eastAsia="Calibri" w:cs="Times New Roman"/>
          <w:color w:val="auto"/>
          <w:szCs w:val="24"/>
        </w:rPr>
        <w:t xml:space="preserve">  </w:t>
      </w:r>
      <w:r w:rsidR="00241B01" w:rsidRPr="00F64312">
        <w:rPr>
          <w:rFonts w:eastAsia="Calibri" w:cs="Times New Roman"/>
          <w:color w:val="auto"/>
          <w:szCs w:val="24"/>
        </w:rPr>
        <w:t xml:space="preserve">After due deliberation, considering all of the evidence and mindful of VASRD §4.3 (reasonable doubt), the Board recommends a disability rating of </w:t>
      </w:r>
      <w:r w:rsidR="004B2EF6">
        <w:rPr>
          <w:rFonts w:eastAsia="Calibri" w:cs="Times New Roman"/>
          <w:color w:val="auto"/>
          <w:szCs w:val="24"/>
        </w:rPr>
        <w:t>1</w:t>
      </w:r>
      <w:r w:rsidR="00376924">
        <w:rPr>
          <w:rFonts w:eastAsia="Calibri" w:cs="Times New Roman"/>
          <w:color w:val="auto"/>
          <w:szCs w:val="24"/>
        </w:rPr>
        <w:t>0</w:t>
      </w:r>
      <w:r w:rsidR="00241B01" w:rsidRPr="00376924">
        <w:rPr>
          <w:rFonts w:eastAsia="Calibri" w:cs="Times New Roman"/>
          <w:color w:val="auto"/>
          <w:szCs w:val="24"/>
        </w:rPr>
        <w:t xml:space="preserve">% for the </w:t>
      </w:r>
      <w:r w:rsidR="00376924" w:rsidRPr="00376924">
        <w:rPr>
          <w:rFonts w:eastAsia="Calibri" w:cs="Times New Roman"/>
          <w:color w:val="auto"/>
          <w:szCs w:val="24"/>
        </w:rPr>
        <w:t>rotator cuff</w:t>
      </w:r>
      <w:r w:rsidR="00241B01" w:rsidRPr="00F64312">
        <w:rPr>
          <w:rFonts w:eastAsia="Calibri" w:cs="Times New Roman"/>
          <w:color w:val="auto"/>
          <w:szCs w:val="24"/>
        </w:rPr>
        <w:t xml:space="preserve"> condition.</w:t>
      </w:r>
    </w:p>
    <w:p w:rsidR="00AD2379"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bookmarkStart w:id="0" w:name="_GoBack"/>
      <w:bookmarkEnd w:id="0"/>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BD4218">
        <w:rPr>
          <w:rFonts w:cs="Times New Roman"/>
          <w:color w:val="auto"/>
        </w:rPr>
        <w:t xml:space="preserve">  </w:t>
      </w:r>
      <w:r w:rsidR="00241B01" w:rsidRPr="00F64312">
        <w:rPr>
          <w:rFonts w:eastAsia="Calibri" w:cs="Times New Roman"/>
          <w:color w:val="auto"/>
          <w:szCs w:val="24"/>
        </w:rPr>
        <w:t xml:space="preserve">As discussed above, PEB reliance </w:t>
      </w:r>
      <w:r w:rsidR="00241B01" w:rsidRPr="00BD4218">
        <w:rPr>
          <w:rFonts w:eastAsia="Calibri" w:cs="Times New Roman"/>
          <w:color w:val="auto"/>
          <w:szCs w:val="24"/>
        </w:rPr>
        <w:t>on the USAPDA pain policy for</w:t>
      </w:r>
      <w:r w:rsidR="00241B01" w:rsidRPr="00F64312">
        <w:rPr>
          <w:rFonts w:eastAsia="Calibri" w:cs="Times New Roman"/>
          <w:color w:val="auto"/>
          <w:szCs w:val="24"/>
        </w:rPr>
        <w:t xml:space="preserve"> rating </w:t>
      </w:r>
      <w:r w:rsidR="00BD4218">
        <w:rPr>
          <w:rFonts w:eastAsia="Calibri" w:cs="Times New Roman"/>
          <w:color w:val="auto"/>
          <w:szCs w:val="24"/>
        </w:rPr>
        <w:t>the rotator cuff tear</w:t>
      </w:r>
      <w:r w:rsidR="00241B01" w:rsidRPr="00F64312">
        <w:rPr>
          <w:rFonts w:eastAsia="Calibri" w:cs="Times New Roman"/>
          <w:color w:val="auto"/>
          <w:szCs w:val="24"/>
        </w:rPr>
        <w:t xml:space="preserve"> was operant in this case and the condition was adjudicated independently of that policy by the Board.</w:t>
      </w:r>
      <w:r w:rsidR="00C56649">
        <w:rPr>
          <w:rFonts w:eastAsia="Calibri" w:cs="Times New Roman"/>
          <w:color w:val="auto"/>
          <w:szCs w:val="24"/>
        </w:rPr>
        <w:t xml:space="preserve">  </w:t>
      </w:r>
      <w:r w:rsidR="00BA2145" w:rsidRPr="00F64312">
        <w:rPr>
          <w:rFonts w:eastAsia="Calibri" w:cs="Times New Roman"/>
          <w:color w:val="auto"/>
          <w:szCs w:val="24"/>
        </w:rPr>
        <w:t xml:space="preserve">In the matter of the </w:t>
      </w:r>
      <w:r w:rsidR="00BA2145">
        <w:rPr>
          <w:rFonts w:eastAsia="Calibri" w:cs="Times New Roman"/>
          <w:color w:val="auto"/>
          <w:szCs w:val="24"/>
        </w:rPr>
        <w:t>neck pain</w:t>
      </w:r>
      <w:r w:rsidR="00BA2145" w:rsidRPr="00F64312">
        <w:rPr>
          <w:rFonts w:eastAsia="Calibri" w:cs="Times New Roman"/>
          <w:color w:val="auto"/>
          <w:szCs w:val="24"/>
        </w:rPr>
        <w:t xml:space="preserve"> condition and IAW VASRD </w:t>
      </w:r>
      <w:r w:rsidR="00BA2145" w:rsidRPr="005E0748">
        <w:rPr>
          <w:rFonts w:eastAsia="Calibri" w:cs="Times New Roman"/>
          <w:color w:val="auto"/>
          <w:szCs w:val="24"/>
        </w:rPr>
        <w:t>§4.71a,</w:t>
      </w:r>
      <w:r w:rsidR="00BA2145" w:rsidRPr="00F64312">
        <w:rPr>
          <w:rFonts w:eastAsia="Calibri" w:cs="Times New Roman"/>
          <w:color w:val="auto"/>
          <w:szCs w:val="24"/>
        </w:rPr>
        <w:t xml:space="preserve"> the </w:t>
      </w:r>
      <w:r w:rsidR="00BA2145" w:rsidRPr="00C56649">
        <w:rPr>
          <w:rFonts w:eastAsia="Calibri" w:cs="Times New Roman"/>
          <w:color w:val="auto"/>
          <w:szCs w:val="24"/>
        </w:rPr>
        <w:t>Board unanimously</w:t>
      </w:r>
      <w:r w:rsidR="00BA2145" w:rsidRPr="00F64312">
        <w:rPr>
          <w:rFonts w:eastAsia="Calibri" w:cs="Times New Roman"/>
          <w:color w:val="auto"/>
          <w:szCs w:val="24"/>
        </w:rPr>
        <w:t xml:space="preserve"> recommends no change in </w:t>
      </w:r>
      <w:r w:rsidR="00BA2145" w:rsidRPr="00F64312">
        <w:rPr>
          <w:rFonts w:eastAsia="Calibri" w:cs="Times New Roman"/>
          <w:color w:val="auto"/>
          <w:szCs w:val="24"/>
        </w:rPr>
        <w:lastRenderedPageBreak/>
        <w:t>the PEB adjudication.</w:t>
      </w:r>
      <w:r w:rsidR="00C56649">
        <w:rPr>
          <w:rFonts w:eastAsia="Calibri" w:cs="Times New Roman"/>
          <w:color w:val="auto"/>
          <w:szCs w:val="24"/>
        </w:rPr>
        <w:t xml:space="preserve">  </w:t>
      </w:r>
      <w:r w:rsidR="005E0748" w:rsidRPr="00F64312">
        <w:rPr>
          <w:rFonts w:eastAsia="Calibri" w:cs="Times New Roman"/>
          <w:color w:val="auto"/>
          <w:szCs w:val="24"/>
        </w:rPr>
        <w:t xml:space="preserve">In the matter of the </w:t>
      </w:r>
      <w:r w:rsidR="005E0748">
        <w:rPr>
          <w:rFonts w:eastAsia="Calibri" w:cs="Times New Roman"/>
          <w:color w:val="auto"/>
          <w:szCs w:val="24"/>
        </w:rPr>
        <w:t>fibromyalgia</w:t>
      </w:r>
      <w:r w:rsidR="005E0748" w:rsidRPr="00F64312">
        <w:rPr>
          <w:rFonts w:eastAsia="Calibri" w:cs="Times New Roman"/>
          <w:color w:val="auto"/>
          <w:szCs w:val="24"/>
        </w:rPr>
        <w:t xml:space="preserve"> condition and IAW VASRD </w:t>
      </w:r>
      <w:r w:rsidR="005E0748" w:rsidRPr="005E0748">
        <w:rPr>
          <w:rFonts w:eastAsia="Calibri" w:cs="Times New Roman"/>
          <w:color w:val="auto"/>
          <w:szCs w:val="24"/>
        </w:rPr>
        <w:t>§4.71a,</w:t>
      </w:r>
      <w:r w:rsidR="005E0748" w:rsidRPr="00F64312">
        <w:rPr>
          <w:rFonts w:eastAsia="Calibri" w:cs="Times New Roman"/>
          <w:color w:val="auto"/>
          <w:szCs w:val="24"/>
        </w:rPr>
        <w:t xml:space="preserve"> the </w:t>
      </w:r>
      <w:r w:rsidR="005E0748" w:rsidRPr="00C56649">
        <w:rPr>
          <w:rFonts w:eastAsia="Calibri" w:cs="Times New Roman"/>
          <w:color w:val="auto"/>
          <w:szCs w:val="24"/>
        </w:rPr>
        <w:t>Board unanimously recommends</w:t>
      </w:r>
      <w:r w:rsidR="005E0748" w:rsidRPr="00F64312">
        <w:rPr>
          <w:rFonts w:eastAsia="Calibri" w:cs="Times New Roman"/>
          <w:color w:val="auto"/>
          <w:szCs w:val="24"/>
        </w:rPr>
        <w:t xml:space="preserve"> no change in the PEB adjudication.</w:t>
      </w:r>
      <w:r w:rsidR="00C56649">
        <w:rPr>
          <w:rFonts w:eastAsia="Calibri" w:cs="Times New Roman"/>
          <w:color w:val="auto"/>
          <w:szCs w:val="24"/>
        </w:rPr>
        <w:t xml:space="preserve">  </w:t>
      </w:r>
      <w:r w:rsidR="00241B01" w:rsidRPr="00964D1E">
        <w:rPr>
          <w:rFonts w:eastAsia="Calibri"/>
          <w:color w:val="auto"/>
          <w:szCs w:val="24"/>
        </w:rPr>
        <w:t xml:space="preserve">In the matter of the </w:t>
      </w:r>
      <w:r w:rsidR="005E0748" w:rsidRPr="00964D1E">
        <w:rPr>
          <w:rFonts w:eastAsia="Calibri"/>
          <w:color w:val="auto"/>
          <w:szCs w:val="24"/>
        </w:rPr>
        <w:t>rotator cuff tear</w:t>
      </w:r>
      <w:r w:rsidR="00241B01" w:rsidRPr="00964D1E">
        <w:rPr>
          <w:rFonts w:eastAsia="Calibri"/>
          <w:color w:val="auto"/>
          <w:szCs w:val="24"/>
        </w:rPr>
        <w:t xml:space="preserve"> condition, the Board </w:t>
      </w:r>
      <w:r w:rsidR="00C56649" w:rsidRPr="00964D1E">
        <w:rPr>
          <w:rFonts w:eastAsia="Calibri"/>
          <w:color w:val="auto"/>
          <w:szCs w:val="24"/>
        </w:rPr>
        <w:t>by a vote of 2:1</w:t>
      </w:r>
      <w:r w:rsidR="00241B01" w:rsidRPr="00964D1E">
        <w:rPr>
          <w:rFonts w:eastAsia="Calibri"/>
          <w:color w:val="auto"/>
          <w:szCs w:val="24"/>
        </w:rPr>
        <w:t xml:space="preserve"> recommends a disability rating of </w:t>
      </w:r>
      <w:r w:rsidR="00C56649" w:rsidRPr="00964D1E">
        <w:rPr>
          <w:rFonts w:eastAsia="Calibri"/>
          <w:color w:val="auto"/>
          <w:szCs w:val="24"/>
        </w:rPr>
        <w:t>1</w:t>
      </w:r>
      <w:r w:rsidR="005E0748" w:rsidRPr="00964D1E">
        <w:rPr>
          <w:rFonts w:eastAsia="Calibri"/>
          <w:color w:val="auto"/>
          <w:szCs w:val="24"/>
        </w:rPr>
        <w:t>0</w:t>
      </w:r>
      <w:r w:rsidR="00241B01" w:rsidRPr="00964D1E">
        <w:rPr>
          <w:rFonts w:eastAsia="Calibri"/>
          <w:color w:val="auto"/>
          <w:szCs w:val="24"/>
        </w:rPr>
        <w:t xml:space="preserve">%, coded </w:t>
      </w:r>
      <w:r w:rsidR="00C56649" w:rsidRPr="00964D1E">
        <w:rPr>
          <w:rFonts w:eastAsia="Calibri"/>
          <w:color w:val="auto"/>
          <w:szCs w:val="24"/>
        </w:rPr>
        <w:t>5099-5003</w:t>
      </w:r>
      <w:r w:rsidR="00241B01" w:rsidRPr="00964D1E">
        <w:rPr>
          <w:rFonts w:eastAsia="Calibri"/>
          <w:color w:val="auto"/>
          <w:szCs w:val="24"/>
        </w:rPr>
        <w:t xml:space="preserve"> IAW VASRD §4.71a.</w:t>
      </w:r>
      <w:r w:rsidR="006B690F" w:rsidRPr="00964D1E">
        <w:rPr>
          <w:rFonts w:eastAsia="Calibri"/>
          <w:color w:val="auto"/>
          <w:szCs w:val="24"/>
        </w:rPr>
        <w:t xml:space="preserve">  </w:t>
      </w:r>
      <w:r w:rsidR="00C56649" w:rsidRPr="00964D1E">
        <w:rPr>
          <w:rFonts w:eastAsia="Calibri"/>
          <w:color w:val="auto"/>
          <w:szCs w:val="24"/>
        </w:rPr>
        <w:t>The single voter for dissent (who recommended 20%</w:t>
      </w:r>
      <w:r w:rsidR="00C67A0C" w:rsidRPr="00964D1E">
        <w:rPr>
          <w:rFonts w:eastAsia="Calibri"/>
          <w:color w:val="auto"/>
          <w:szCs w:val="24"/>
        </w:rPr>
        <w:t xml:space="preserve"> under the 5201 code</w:t>
      </w:r>
      <w:r w:rsidR="00C56649" w:rsidRPr="00964D1E">
        <w:rPr>
          <w:rFonts w:eastAsia="Calibri"/>
          <w:color w:val="auto"/>
          <w:szCs w:val="24"/>
        </w:rPr>
        <w:t>) did not elect to submit a minority opinion.</w:t>
      </w:r>
      <w:r w:rsidR="00C56649">
        <w:rPr>
          <w:rFonts w:eastAsia="Calibri"/>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DB2F01">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w:t>
      </w:r>
      <w:r w:rsidR="00565636" w:rsidRPr="001E701A">
        <w:rPr>
          <w:rFonts w:eastAsia="Calibri" w:cs="Times New Roman"/>
          <w:color w:val="auto"/>
          <w:szCs w:val="24"/>
        </w:rPr>
        <w:t>of her</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AD2379" w:rsidRPr="00F64312" w:rsidRDefault="00AD2379" w:rsidP="00DB2F01">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376924" w:rsidP="006B690F">
            <w:pPr>
              <w:tabs>
                <w:tab w:val="left" w:pos="288"/>
                <w:tab w:val="left" w:pos="4752"/>
              </w:tabs>
              <w:jc w:val="left"/>
              <w:rPr>
                <w:color w:val="auto"/>
              </w:rPr>
            </w:pPr>
            <w:r>
              <w:rPr>
                <w:color w:val="auto"/>
              </w:rPr>
              <w:t>Neck Pain</w:t>
            </w:r>
          </w:p>
        </w:tc>
        <w:tc>
          <w:tcPr>
            <w:tcW w:w="1530" w:type="dxa"/>
            <w:vAlign w:val="center"/>
          </w:tcPr>
          <w:p w:rsidR="00AD2379" w:rsidRPr="00770227" w:rsidRDefault="00770227" w:rsidP="006B690F">
            <w:pPr>
              <w:tabs>
                <w:tab w:val="left" w:pos="288"/>
                <w:tab w:val="left" w:pos="4752"/>
              </w:tabs>
              <w:rPr>
                <w:color w:val="auto"/>
              </w:rPr>
            </w:pPr>
            <w:r w:rsidRPr="00770227">
              <w:rPr>
                <w:color w:val="auto"/>
              </w:rPr>
              <w:t>5299</w:t>
            </w:r>
            <w:r w:rsidR="00071071" w:rsidRPr="00770227">
              <w:rPr>
                <w:color w:val="auto"/>
              </w:rPr>
              <w:t>-</w:t>
            </w:r>
            <w:r w:rsidRPr="00770227">
              <w:rPr>
                <w:color w:val="auto"/>
              </w:rPr>
              <w:t>5237</w:t>
            </w:r>
          </w:p>
        </w:tc>
        <w:tc>
          <w:tcPr>
            <w:tcW w:w="1026" w:type="dxa"/>
            <w:vAlign w:val="center"/>
          </w:tcPr>
          <w:p w:rsidR="00AD2379" w:rsidRPr="00D7367D" w:rsidRDefault="00376924" w:rsidP="006B690F">
            <w:pPr>
              <w:tabs>
                <w:tab w:val="left" w:pos="288"/>
                <w:tab w:val="left" w:pos="4752"/>
              </w:tabs>
              <w:rPr>
                <w:color w:val="auto"/>
              </w:rPr>
            </w:pPr>
            <w:r w:rsidRPr="00D7367D">
              <w:rPr>
                <w:color w:val="auto"/>
              </w:rPr>
              <w:t>1</w:t>
            </w:r>
            <w:r w:rsidR="00AD2379" w:rsidRPr="00D7367D">
              <w:rPr>
                <w:color w:val="auto"/>
              </w:rPr>
              <w:t>0%</w:t>
            </w:r>
          </w:p>
        </w:tc>
      </w:tr>
      <w:tr w:rsidR="00376924" w:rsidRPr="00F64312" w:rsidTr="006B690F">
        <w:trPr>
          <w:jc w:val="center"/>
        </w:trPr>
        <w:tc>
          <w:tcPr>
            <w:tcW w:w="6768" w:type="dxa"/>
            <w:vAlign w:val="center"/>
          </w:tcPr>
          <w:p w:rsidR="00376924" w:rsidRDefault="00376924" w:rsidP="006B690F">
            <w:pPr>
              <w:tabs>
                <w:tab w:val="left" w:pos="288"/>
                <w:tab w:val="left" w:pos="4752"/>
              </w:tabs>
              <w:jc w:val="left"/>
              <w:rPr>
                <w:color w:val="auto"/>
              </w:rPr>
            </w:pPr>
            <w:r>
              <w:rPr>
                <w:color w:val="auto"/>
              </w:rPr>
              <w:t>Fibromyalgia</w:t>
            </w:r>
          </w:p>
        </w:tc>
        <w:tc>
          <w:tcPr>
            <w:tcW w:w="1530" w:type="dxa"/>
            <w:vAlign w:val="center"/>
          </w:tcPr>
          <w:p w:rsidR="00376924" w:rsidRPr="00770227" w:rsidRDefault="00770227" w:rsidP="006B690F">
            <w:pPr>
              <w:tabs>
                <w:tab w:val="left" w:pos="288"/>
                <w:tab w:val="left" w:pos="4752"/>
              </w:tabs>
              <w:rPr>
                <w:color w:val="auto"/>
              </w:rPr>
            </w:pPr>
            <w:r w:rsidRPr="00770227">
              <w:rPr>
                <w:color w:val="auto"/>
              </w:rPr>
              <w:t>5025</w:t>
            </w:r>
          </w:p>
        </w:tc>
        <w:tc>
          <w:tcPr>
            <w:tcW w:w="1026" w:type="dxa"/>
            <w:vAlign w:val="center"/>
          </w:tcPr>
          <w:p w:rsidR="00376924" w:rsidRPr="00D7367D" w:rsidRDefault="005E0748" w:rsidP="006B690F">
            <w:pPr>
              <w:tabs>
                <w:tab w:val="left" w:pos="288"/>
                <w:tab w:val="left" w:pos="4752"/>
              </w:tabs>
              <w:rPr>
                <w:color w:val="auto"/>
              </w:rPr>
            </w:pPr>
            <w:r>
              <w:rPr>
                <w:color w:val="auto"/>
              </w:rPr>
              <w:t>1</w:t>
            </w:r>
            <w:r w:rsidR="00376924" w:rsidRPr="00D7367D">
              <w:rPr>
                <w:color w:val="auto"/>
              </w:rPr>
              <w:t>0%</w:t>
            </w:r>
          </w:p>
        </w:tc>
      </w:tr>
      <w:tr w:rsidR="00376924" w:rsidRPr="00F64312" w:rsidTr="006B690F">
        <w:trPr>
          <w:jc w:val="center"/>
        </w:trPr>
        <w:tc>
          <w:tcPr>
            <w:tcW w:w="6768" w:type="dxa"/>
            <w:vAlign w:val="center"/>
          </w:tcPr>
          <w:p w:rsidR="00376924" w:rsidRDefault="00376924" w:rsidP="006B690F">
            <w:pPr>
              <w:tabs>
                <w:tab w:val="left" w:pos="288"/>
                <w:tab w:val="left" w:pos="4752"/>
              </w:tabs>
              <w:jc w:val="left"/>
              <w:rPr>
                <w:color w:val="auto"/>
              </w:rPr>
            </w:pPr>
            <w:r>
              <w:rPr>
                <w:color w:val="auto"/>
              </w:rPr>
              <w:t>Rotator Cuff Tear</w:t>
            </w:r>
          </w:p>
        </w:tc>
        <w:tc>
          <w:tcPr>
            <w:tcW w:w="1530" w:type="dxa"/>
            <w:vAlign w:val="center"/>
          </w:tcPr>
          <w:p w:rsidR="00376924" w:rsidRPr="00964D1E" w:rsidRDefault="00C56649" w:rsidP="006B690F">
            <w:pPr>
              <w:tabs>
                <w:tab w:val="left" w:pos="288"/>
                <w:tab w:val="left" w:pos="4752"/>
              </w:tabs>
              <w:rPr>
                <w:color w:val="auto"/>
              </w:rPr>
            </w:pPr>
            <w:r w:rsidRPr="00964D1E">
              <w:rPr>
                <w:color w:val="auto"/>
              </w:rPr>
              <w:t>5099-5003</w:t>
            </w:r>
          </w:p>
        </w:tc>
        <w:tc>
          <w:tcPr>
            <w:tcW w:w="1026" w:type="dxa"/>
            <w:vAlign w:val="center"/>
          </w:tcPr>
          <w:p w:rsidR="00376924" w:rsidRPr="00964D1E" w:rsidRDefault="00FF4B5C" w:rsidP="006B690F">
            <w:pPr>
              <w:tabs>
                <w:tab w:val="left" w:pos="288"/>
                <w:tab w:val="left" w:pos="4752"/>
              </w:tabs>
              <w:rPr>
                <w:color w:val="auto"/>
              </w:rPr>
            </w:pPr>
            <w:r w:rsidRPr="00964D1E">
              <w:rPr>
                <w:color w:val="auto"/>
              </w:rPr>
              <w:t>1</w:t>
            </w:r>
            <w:r w:rsidR="00376924" w:rsidRPr="00964D1E">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964D1E" w:rsidRDefault="00AD2379" w:rsidP="006B690F">
            <w:pPr>
              <w:tabs>
                <w:tab w:val="left" w:pos="288"/>
                <w:tab w:val="left" w:pos="4752"/>
              </w:tabs>
              <w:rPr>
                <w:b/>
                <w:color w:val="auto"/>
              </w:rPr>
            </w:pPr>
            <w:r w:rsidRPr="00964D1E">
              <w:rPr>
                <w:b/>
                <w:color w:val="auto"/>
              </w:rPr>
              <w:t>COMBINED</w:t>
            </w:r>
          </w:p>
        </w:tc>
        <w:tc>
          <w:tcPr>
            <w:tcW w:w="1026" w:type="dxa"/>
            <w:shd w:val="clear" w:color="auto" w:fill="D9D9D9"/>
            <w:vAlign w:val="center"/>
          </w:tcPr>
          <w:p w:rsidR="00AD2379" w:rsidRPr="00964D1E" w:rsidRDefault="00FF4B5C" w:rsidP="006B690F">
            <w:pPr>
              <w:tabs>
                <w:tab w:val="left" w:pos="288"/>
                <w:tab w:val="left" w:pos="4752"/>
              </w:tabs>
              <w:rPr>
                <w:b/>
                <w:color w:val="auto"/>
              </w:rPr>
            </w:pPr>
            <w:r w:rsidRPr="00964D1E">
              <w:rPr>
                <w:b/>
                <w:color w:val="auto"/>
              </w:rPr>
              <w:t>3</w:t>
            </w:r>
            <w:r w:rsidR="00AD2379" w:rsidRPr="00964D1E">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DB2F01">
        <w:rPr>
          <w:color w:val="auto"/>
        </w:rPr>
        <w:t>20</w:t>
      </w:r>
      <w:r w:rsidR="00BA6B29" w:rsidRPr="00DB2F01">
        <w:rPr>
          <w:color w:val="auto"/>
        </w:rPr>
        <w:t>120220</w:t>
      </w:r>
      <w:r w:rsidR="00ED7820" w:rsidRPr="00DB2F01">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D79A8">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0D79A8" w:rsidRDefault="000D79A8" w:rsidP="00BF0E94">
      <w:pPr>
        <w:tabs>
          <w:tab w:val="left" w:pos="0"/>
          <w:tab w:val="left" w:pos="4320"/>
        </w:tabs>
        <w:jc w:val="both"/>
        <w:rPr>
          <w:color w:val="auto"/>
        </w:rPr>
      </w:pPr>
    </w:p>
    <w:p w:rsidR="000D79A8" w:rsidRDefault="000D79A8">
      <w:pPr>
        <w:spacing w:line="240" w:lineRule="auto"/>
        <w:jc w:val="left"/>
        <w:rPr>
          <w:color w:val="auto"/>
        </w:rPr>
      </w:pPr>
      <w:r>
        <w:rPr>
          <w:color w:val="auto"/>
        </w:rPr>
        <w:br w:type="page"/>
      </w:r>
    </w:p>
    <w:p w:rsidR="000D79A8" w:rsidRDefault="000D79A8" w:rsidP="000D79A8">
      <w:pPr>
        <w:pStyle w:val="Header"/>
        <w:tabs>
          <w:tab w:val="left" w:pos="720"/>
        </w:tabs>
        <w:jc w:val="left"/>
      </w:pPr>
      <w:r>
        <w:lastRenderedPageBreak/>
        <w:t>SFMR-RB</w:t>
      </w:r>
      <w:r>
        <w:tab/>
      </w:r>
      <w:r>
        <w:tab/>
      </w:r>
      <w:r>
        <w:tab/>
      </w:r>
      <w:r>
        <w:tab/>
      </w:r>
      <w:r>
        <w:tab/>
      </w:r>
      <w:r>
        <w:tab/>
      </w:r>
      <w:r>
        <w:tab/>
      </w:r>
      <w:r>
        <w:tab/>
      </w:r>
      <w:r>
        <w:tab/>
      </w:r>
    </w:p>
    <w:p w:rsidR="000D79A8" w:rsidRDefault="000D79A8" w:rsidP="000D79A8">
      <w:pPr>
        <w:pStyle w:val="Header"/>
        <w:tabs>
          <w:tab w:val="left" w:pos="720"/>
        </w:tabs>
        <w:jc w:val="left"/>
      </w:pPr>
    </w:p>
    <w:p w:rsidR="000D79A8" w:rsidRDefault="000D79A8" w:rsidP="000D79A8">
      <w:pPr>
        <w:jc w:val="left"/>
      </w:pPr>
    </w:p>
    <w:p w:rsidR="000D79A8" w:rsidRDefault="000D79A8" w:rsidP="000D79A8">
      <w:pPr>
        <w:jc w:val="left"/>
      </w:pPr>
      <w:r>
        <w:t xml:space="preserve">MEMORANDUM FOR Commander, US Army Physical Disability Agency </w:t>
      </w:r>
    </w:p>
    <w:p w:rsidR="000D79A8" w:rsidRDefault="000D79A8" w:rsidP="000D79A8">
      <w:pPr>
        <w:jc w:val="left"/>
      </w:pPr>
      <w:r>
        <w:t xml:space="preserve">(TAPD-ZB </w:t>
      </w:r>
      <w:proofErr w:type="gramStart"/>
      <w:r>
        <w:t>/  )</w:t>
      </w:r>
      <w:proofErr w:type="gramEnd"/>
      <w:r>
        <w:t>, 2900 Crystal Drive, Suite 300, Arlington, VA  22202-3557</w:t>
      </w:r>
    </w:p>
    <w:p w:rsidR="000D79A8" w:rsidRDefault="000D79A8" w:rsidP="000D79A8">
      <w:pPr>
        <w:jc w:val="left"/>
      </w:pPr>
    </w:p>
    <w:p w:rsidR="000D79A8" w:rsidRDefault="000D79A8" w:rsidP="000D79A8">
      <w:pPr>
        <w:jc w:val="left"/>
      </w:pPr>
    </w:p>
    <w:p w:rsidR="000D79A8" w:rsidRDefault="000D79A8" w:rsidP="000D79A8">
      <w:pPr>
        <w:ind w:right="-180"/>
        <w:jc w:val="left"/>
      </w:pPr>
      <w:r>
        <w:t xml:space="preserve">SUBJECT:  Department of Defense Physical Disability Board of Review Recommendation </w:t>
      </w:r>
    </w:p>
    <w:p w:rsidR="000D79A8" w:rsidRDefault="000D79A8" w:rsidP="000D79A8">
      <w:pPr>
        <w:pStyle w:val="Header"/>
        <w:tabs>
          <w:tab w:val="left" w:pos="720"/>
        </w:tabs>
        <w:jc w:val="left"/>
      </w:pPr>
      <w:proofErr w:type="gramStart"/>
      <w:r>
        <w:t>for</w:t>
      </w:r>
      <w:proofErr w:type="gramEnd"/>
      <w:r>
        <w:t xml:space="preserve"> XXXXXXXXXXXXXXXXXXXX, AR20120019912 (PD201200177)</w:t>
      </w:r>
    </w:p>
    <w:p w:rsidR="000D79A8" w:rsidRDefault="000D79A8" w:rsidP="000D79A8">
      <w:pPr>
        <w:pStyle w:val="Header"/>
        <w:tabs>
          <w:tab w:val="left" w:pos="720"/>
        </w:tabs>
        <w:jc w:val="left"/>
      </w:pPr>
    </w:p>
    <w:p w:rsidR="000D79A8" w:rsidRDefault="000D79A8" w:rsidP="000D79A8">
      <w:pPr>
        <w:jc w:val="left"/>
      </w:pPr>
    </w:p>
    <w:p w:rsidR="000D79A8" w:rsidRDefault="000D79A8" w:rsidP="000D79A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0D79A8" w:rsidRDefault="000D79A8" w:rsidP="000D79A8">
      <w:pPr>
        <w:jc w:val="left"/>
      </w:pPr>
    </w:p>
    <w:p w:rsidR="000D79A8" w:rsidRDefault="000D79A8" w:rsidP="000D79A8">
      <w:pPr>
        <w:jc w:val="left"/>
      </w:pPr>
      <w:r>
        <w:t>2.  I direct that all the Department of the Army records of the individual concerned be corrected accordingly no later than 120 days from the date of this memorandum:</w:t>
      </w:r>
    </w:p>
    <w:p w:rsidR="000D79A8" w:rsidRDefault="000D79A8" w:rsidP="000D79A8">
      <w:pPr>
        <w:jc w:val="left"/>
      </w:pPr>
    </w:p>
    <w:p w:rsidR="000D79A8" w:rsidRDefault="000D79A8" w:rsidP="000D79A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0D79A8" w:rsidRDefault="000D79A8" w:rsidP="000D79A8">
      <w:pPr>
        <w:jc w:val="left"/>
      </w:pPr>
    </w:p>
    <w:p w:rsidR="000D79A8" w:rsidRDefault="000D79A8" w:rsidP="000D79A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0D79A8" w:rsidRDefault="000D79A8" w:rsidP="000D79A8">
      <w:pPr>
        <w:jc w:val="left"/>
      </w:pPr>
    </w:p>
    <w:p w:rsidR="000D79A8" w:rsidRDefault="000D79A8" w:rsidP="000D79A8">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0D79A8" w:rsidRDefault="000D79A8" w:rsidP="000D79A8">
      <w:pPr>
        <w:jc w:val="left"/>
      </w:pPr>
    </w:p>
    <w:p w:rsidR="000D79A8" w:rsidRDefault="000D79A8" w:rsidP="000D79A8">
      <w:pPr>
        <w:jc w:val="left"/>
      </w:pPr>
      <w:r>
        <w:tab/>
      </w:r>
      <w:proofErr w:type="gramStart"/>
      <w:r>
        <w:t>d.  Affording</w:t>
      </w:r>
      <w:proofErr w:type="gramEnd"/>
      <w:r>
        <w:t xml:space="preserve"> the individual the opportunity to elect Survivor Benefit Plan (SBP) and medical TRICARE retiree options.</w:t>
      </w:r>
    </w:p>
    <w:p w:rsidR="000D79A8" w:rsidRDefault="000D79A8" w:rsidP="000D79A8">
      <w:pPr>
        <w:jc w:val="left"/>
      </w:pPr>
    </w:p>
    <w:p w:rsidR="000D79A8" w:rsidRDefault="000D79A8" w:rsidP="000D79A8">
      <w:pPr>
        <w:jc w:val="left"/>
      </w:pPr>
    </w:p>
    <w:p w:rsidR="000D79A8" w:rsidRDefault="000D79A8" w:rsidP="000D79A8">
      <w:pPr>
        <w:jc w:val="left"/>
      </w:pPr>
    </w:p>
    <w:p w:rsidR="000D79A8" w:rsidRDefault="000D79A8" w:rsidP="000D79A8">
      <w:pPr>
        <w:jc w:val="left"/>
      </w:pPr>
    </w:p>
    <w:p w:rsidR="000D79A8" w:rsidRDefault="000D79A8" w:rsidP="000D79A8">
      <w:pPr>
        <w:jc w:val="left"/>
      </w:pPr>
    </w:p>
    <w:p w:rsidR="000D79A8" w:rsidRDefault="000D79A8" w:rsidP="000D79A8">
      <w:pPr>
        <w:jc w:val="left"/>
      </w:pPr>
    </w:p>
    <w:p w:rsidR="000D79A8" w:rsidRDefault="000D79A8" w:rsidP="000D79A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D79A8" w:rsidRDefault="000D79A8" w:rsidP="000D79A8">
      <w:pPr>
        <w:jc w:val="left"/>
      </w:pPr>
    </w:p>
    <w:p w:rsidR="000D79A8" w:rsidRDefault="000D79A8" w:rsidP="000D79A8">
      <w:pPr>
        <w:jc w:val="left"/>
      </w:pPr>
      <w:r>
        <w:t>BY ORDER OF THE SECRETARY OF THE ARMY:</w:t>
      </w:r>
    </w:p>
    <w:p w:rsidR="000D79A8" w:rsidRDefault="000D79A8" w:rsidP="000D79A8">
      <w:pPr>
        <w:jc w:val="left"/>
      </w:pPr>
    </w:p>
    <w:p w:rsidR="000D79A8" w:rsidRDefault="000D79A8" w:rsidP="000D79A8">
      <w:pPr>
        <w:jc w:val="left"/>
      </w:pPr>
    </w:p>
    <w:p w:rsidR="000D79A8" w:rsidRDefault="000D79A8" w:rsidP="000D79A8">
      <w:pPr>
        <w:pStyle w:val="Header"/>
        <w:tabs>
          <w:tab w:val="left" w:pos="720"/>
        </w:tabs>
        <w:jc w:val="left"/>
      </w:pPr>
    </w:p>
    <w:p w:rsidR="000D79A8" w:rsidRDefault="000D79A8" w:rsidP="000D79A8">
      <w:pPr>
        <w:jc w:val="left"/>
      </w:pPr>
    </w:p>
    <w:p w:rsidR="000D79A8" w:rsidRDefault="000D79A8" w:rsidP="000D79A8">
      <w:pPr>
        <w:jc w:val="left"/>
      </w:pPr>
      <w:bookmarkStart w:id="1" w:name="OLE_LINK4"/>
      <w:bookmarkStart w:id="2" w:name="OLE_LINK3"/>
      <w:r>
        <w:t>Encl</w:t>
      </w:r>
      <w:r>
        <w:tab/>
      </w:r>
      <w:r>
        <w:tab/>
      </w:r>
      <w:r>
        <w:tab/>
      </w:r>
      <w:r>
        <w:tab/>
      </w:r>
      <w:r>
        <w:tab/>
      </w:r>
      <w:r>
        <w:tab/>
        <w:t xml:space="preserve">     XXXXXXXXXXXXXXXXXXXXXX</w:t>
      </w:r>
    </w:p>
    <w:p w:rsidR="000D79A8" w:rsidRDefault="000D79A8" w:rsidP="000D79A8">
      <w:pPr>
        <w:jc w:val="left"/>
      </w:pPr>
      <w:r>
        <w:tab/>
      </w:r>
      <w:r>
        <w:tab/>
      </w:r>
      <w:r>
        <w:tab/>
      </w:r>
      <w:r>
        <w:tab/>
      </w:r>
      <w:r>
        <w:tab/>
      </w:r>
      <w:r>
        <w:tab/>
        <w:t xml:space="preserve">     Deputy Assistant Secretary</w:t>
      </w:r>
    </w:p>
    <w:p w:rsidR="000D79A8" w:rsidRDefault="000D79A8" w:rsidP="000D79A8">
      <w:pPr>
        <w:jc w:val="left"/>
      </w:pPr>
      <w:r>
        <w:tab/>
      </w:r>
      <w:r>
        <w:tab/>
      </w:r>
      <w:r>
        <w:tab/>
      </w:r>
      <w:r>
        <w:tab/>
      </w:r>
      <w:r>
        <w:tab/>
      </w:r>
      <w:r>
        <w:tab/>
        <w:t xml:space="preserve">         (Army Review Boards)</w:t>
      </w:r>
      <w:bookmarkEnd w:id="1"/>
      <w:bookmarkEnd w:id="2"/>
    </w:p>
    <w:p w:rsidR="000D79A8" w:rsidRDefault="000D79A8" w:rsidP="000D79A8">
      <w:pPr>
        <w:jc w:val="left"/>
      </w:pPr>
    </w:p>
    <w:p w:rsidR="000D79A8" w:rsidRDefault="000D79A8" w:rsidP="000D79A8">
      <w:pPr>
        <w:jc w:val="left"/>
      </w:pPr>
      <w:r>
        <w:t xml:space="preserve">CF: </w:t>
      </w:r>
    </w:p>
    <w:p w:rsidR="000D79A8" w:rsidRDefault="000D79A8" w:rsidP="000D79A8">
      <w:pPr>
        <w:jc w:val="left"/>
      </w:pPr>
      <w:r>
        <w:t xml:space="preserve">(  ) </w:t>
      </w:r>
      <w:proofErr w:type="spellStart"/>
      <w:proofErr w:type="gramStart"/>
      <w:r>
        <w:t>DoD</w:t>
      </w:r>
      <w:proofErr w:type="spellEnd"/>
      <w:proofErr w:type="gramEnd"/>
      <w:r>
        <w:t xml:space="preserve"> PDBR</w:t>
      </w:r>
    </w:p>
    <w:p w:rsidR="000D79A8" w:rsidRDefault="000D79A8" w:rsidP="000D79A8">
      <w:pPr>
        <w:jc w:val="left"/>
      </w:pPr>
      <w:r>
        <w:t>(  ) DVA</w:t>
      </w:r>
    </w:p>
    <w:p w:rsidR="00DF3B06" w:rsidRDefault="00DF3B06" w:rsidP="000D79A8">
      <w:pPr>
        <w:tabs>
          <w:tab w:val="left" w:pos="0"/>
          <w:tab w:val="left" w:pos="4320"/>
        </w:tabs>
        <w:jc w:val="left"/>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A3" w:rsidRDefault="00813AA3">
      <w:r>
        <w:separator/>
      </w:r>
    </w:p>
  </w:endnote>
  <w:endnote w:type="continuationSeparator" w:id="0">
    <w:p w:rsidR="00813AA3" w:rsidRDefault="00813A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A" w:rsidRPr="00374247" w:rsidRDefault="00FC09FA" w:rsidP="00726F84">
    <w:pPr>
      <w:pStyle w:val="Footer"/>
      <w:ind w:firstLine="4320"/>
      <w:rPr>
        <w:color w:val="auto"/>
      </w:rPr>
    </w:pPr>
    <w:r w:rsidRPr="00374247">
      <w:rPr>
        <w:color w:val="auto"/>
      </w:rPr>
      <w:t xml:space="preserve">   </w:t>
    </w:r>
    <w:r w:rsidR="00E55F91" w:rsidRPr="00E55F91">
      <w:fldChar w:fldCharType="begin"/>
    </w:r>
    <w:r w:rsidR="00813AA3">
      <w:instrText xml:space="preserve"> PAGE   \* MERGEFORMAT </w:instrText>
    </w:r>
    <w:r w:rsidR="00E55F91" w:rsidRPr="00E55F91">
      <w:fldChar w:fldCharType="separate"/>
    </w:r>
    <w:r w:rsidR="000D79A8" w:rsidRPr="000D79A8">
      <w:rPr>
        <w:noProof/>
        <w:color w:val="auto"/>
      </w:rPr>
      <w:t>6</w:t>
    </w:r>
    <w:r w:rsidR="00E55F91">
      <w:rPr>
        <w:noProof/>
        <w:color w:val="auto"/>
      </w:rPr>
      <w:fldChar w:fldCharType="end"/>
    </w:r>
    <w:r w:rsidRPr="00374247">
      <w:rPr>
        <w:color w:val="auto"/>
      </w:rPr>
      <w:t xml:space="preserve">                                                           </w:t>
    </w:r>
    <w:r w:rsidRPr="00D61D58">
      <w:rPr>
        <w:color w:val="auto"/>
      </w:rPr>
      <w:t>PD1200</w:t>
    </w:r>
    <w:r>
      <w:rPr>
        <w:color w:val="auto"/>
      </w:rPr>
      <w:t>177</w:t>
    </w:r>
  </w:p>
  <w:p w:rsidR="00FC09FA" w:rsidRPr="00684CE6" w:rsidRDefault="00FC09F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A3" w:rsidRDefault="00813AA3">
      <w:r>
        <w:separator/>
      </w:r>
    </w:p>
  </w:footnote>
  <w:footnote w:type="continuationSeparator" w:id="0">
    <w:p w:rsidR="00813AA3" w:rsidRDefault="00813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6FDE"/>
    <w:rsid w:val="00007107"/>
    <w:rsid w:val="00007BCC"/>
    <w:rsid w:val="0001011B"/>
    <w:rsid w:val="00010ABA"/>
    <w:rsid w:val="00010AF0"/>
    <w:rsid w:val="00010B0F"/>
    <w:rsid w:val="00012428"/>
    <w:rsid w:val="000125D1"/>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180"/>
    <w:rsid w:val="00027C24"/>
    <w:rsid w:val="00030763"/>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17A"/>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6977"/>
    <w:rsid w:val="0008708B"/>
    <w:rsid w:val="00092619"/>
    <w:rsid w:val="00092C66"/>
    <w:rsid w:val="00092CC9"/>
    <w:rsid w:val="000949DD"/>
    <w:rsid w:val="00094E4F"/>
    <w:rsid w:val="000A2BCE"/>
    <w:rsid w:val="000A31E2"/>
    <w:rsid w:val="000A33C8"/>
    <w:rsid w:val="000A41E3"/>
    <w:rsid w:val="000A4AB4"/>
    <w:rsid w:val="000A4BBA"/>
    <w:rsid w:val="000A5071"/>
    <w:rsid w:val="000A7396"/>
    <w:rsid w:val="000B0AD2"/>
    <w:rsid w:val="000B1022"/>
    <w:rsid w:val="000B1C9E"/>
    <w:rsid w:val="000B1DD1"/>
    <w:rsid w:val="000B2FB8"/>
    <w:rsid w:val="000B3927"/>
    <w:rsid w:val="000B471C"/>
    <w:rsid w:val="000B4C99"/>
    <w:rsid w:val="000B63CF"/>
    <w:rsid w:val="000C0036"/>
    <w:rsid w:val="000C06F6"/>
    <w:rsid w:val="000C15F8"/>
    <w:rsid w:val="000C1D34"/>
    <w:rsid w:val="000C2362"/>
    <w:rsid w:val="000C2FA8"/>
    <w:rsid w:val="000C3C13"/>
    <w:rsid w:val="000C4BDB"/>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78C"/>
    <w:rsid w:val="000D5DBE"/>
    <w:rsid w:val="000D6457"/>
    <w:rsid w:val="000D65D5"/>
    <w:rsid w:val="000D6D6F"/>
    <w:rsid w:val="000D79A8"/>
    <w:rsid w:val="000D7D55"/>
    <w:rsid w:val="000E0993"/>
    <w:rsid w:val="000E2E50"/>
    <w:rsid w:val="000E32DB"/>
    <w:rsid w:val="000E37E0"/>
    <w:rsid w:val="000E3BD6"/>
    <w:rsid w:val="000E3F20"/>
    <w:rsid w:val="000E4C25"/>
    <w:rsid w:val="000E4CBF"/>
    <w:rsid w:val="000E5302"/>
    <w:rsid w:val="000E5577"/>
    <w:rsid w:val="000E5A96"/>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697"/>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47D3E"/>
    <w:rsid w:val="00150B8A"/>
    <w:rsid w:val="00150DCB"/>
    <w:rsid w:val="00151906"/>
    <w:rsid w:val="00151912"/>
    <w:rsid w:val="00153740"/>
    <w:rsid w:val="001537D8"/>
    <w:rsid w:val="00153D88"/>
    <w:rsid w:val="00153EB0"/>
    <w:rsid w:val="001541C5"/>
    <w:rsid w:val="001554E4"/>
    <w:rsid w:val="0015623F"/>
    <w:rsid w:val="00156585"/>
    <w:rsid w:val="00156BA9"/>
    <w:rsid w:val="00161642"/>
    <w:rsid w:val="00161761"/>
    <w:rsid w:val="0016280A"/>
    <w:rsid w:val="00162C2C"/>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2D3D"/>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1AB"/>
    <w:rsid w:val="001E3FE1"/>
    <w:rsid w:val="001E41FE"/>
    <w:rsid w:val="001E4989"/>
    <w:rsid w:val="001E635C"/>
    <w:rsid w:val="001E701A"/>
    <w:rsid w:val="001F0297"/>
    <w:rsid w:val="001F29F9"/>
    <w:rsid w:val="001F6E0B"/>
    <w:rsid w:val="00200AA0"/>
    <w:rsid w:val="00200F21"/>
    <w:rsid w:val="00201C94"/>
    <w:rsid w:val="00202325"/>
    <w:rsid w:val="00202736"/>
    <w:rsid w:val="00203652"/>
    <w:rsid w:val="00204562"/>
    <w:rsid w:val="002045BA"/>
    <w:rsid w:val="002052B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40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602D"/>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2DD"/>
    <w:rsid w:val="00284948"/>
    <w:rsid w:val="00284A26"/>
    <w:rsid w:val="00284A55"/>
    <w:rsid w:val="00285095"/>
    <w:rsid w:val="002854EB"/>
    <w:rsid w:val="002869DE"/>
    <w:rsid w:val="00286A34"/>
    <w:rsid w:val="00287006"/>
    <w:rsid w:val="0029030A"/>
    <w:rsid w:val="0029073C"/>
    <w:rsid w:val="00291A69"/>
    <w:rsid w:val="00292397"/>
    <w:rsid w:val="00292AB2"/>
    <w:rsid w:val="00292B82"/>
    <w:rsid w:val="00293AA4"/>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6FA0"/>
    <w:rsid w:val="002B7710"/>
    <w:rsid w:val="002C0910"/>
    <w:rsid w:val="002C0DEA"/>
    <w:rsid w:val="002C2EA0"/>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37F"/>
    <w:rsid w:val="002F478B"/>
    <w:rsid w:val="002F6AD8"/>
    <w:rsid w:val="002F7C06"/>
    <w:rsid w:val="002F7F81"/>
    <w:rsid w:val="00300A36"/>
    <w:rsid w:val="00301B45"/>
    <w:rsid w:val="00302172"/>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4C15"/>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404"/>
    <w:rsid w:val="00364CAB"/>
    <w:rsid w:val="00365767"/>
    <w:rsid w:val="003659C0"/>
    <w:rsid w:val="003660DF"/>
    <w:rsid w:val="003669BA"/>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924"/>
    <w:rsid w:val="00376A07"/>
    <w:rsid w:val="00376B81"/>
    <w:rsid w:val="00376E08"/>
    <w:rsid w:val="00377916"/>
    <w:rsid w:val="00377BD2"/>
    <w:rsid w:val="00380601"/>
    <w:rsid w:val="00380FD4"/>
    <w:rsid w:val="00381E16"/>
    <w:rsid w:val="003821E1"/>
    <w:rsid w:val="003840F6"/>
    <w:rsid w:val="00384866"/>
    <w:rsid w:val="003851BA"/>
    <w:rsid w:val="00385708"/>
    <w:rsid w:val="003857D4"/>
    <w:rsid w:val="00385D6F"/>
    <w:rsid w:val="00385E04"/>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116"/>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D7ED6"/>
    <w:rsid w:val="003E024F"/>
    <w:rsid w:val="003E02C7"/>
    <w:rsid w:val="003E0543"/>
    <w:rsid w:val="003E061D"/>
    <w:rsid w:val="003E0B5A"/>
    <w:rsid w:val="003E1682"/>
    <w:rsid w:val="003E31E3"/>
    <w:rsid w:val="003E3E93"/>
    <w:rsid w:val="003E46D1"/>
    <w:rsid w:val="003E55EB"/>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81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12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38F"/>
    <w:rsid w:val="0047570F"/>
    <w:rsid w:val="004761CC"/>
    <w:rsid w:val="00476229"/>
    <w:rsid w:val="004766C9"/>
    <w:rsid w:val="0047695D"/>
    <w:rsid w:val="00480D4A"/>
    <w:rsid w:val="004815C2"/>
    <w:rsid w:val="00481DA1"/>
    <w:rsid w:val="00483A2B"/>
    <w:rsid w:val="00484212"/>
    <w:rsid w:val="004848C3"/>
    <w:rsid w:val="00484BA9"/>
    <w:rsid w:val="0048567B"/>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0D9B"/>
    <w:rsid w:val="004B1C61"/>
    <w:rsid w:val="004B2536"/>
    <w:rsid w:val="004B2EF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E7CBD"/>
    <w:rsid w:val="004F0C58"/>
    <w:rsid w:val="004F10EB"/>
    <w:rsid w:val="004F3222"/>
    <w:rsid w:val="004F3639"/>
    <w:rsid w:val="004F3BFA"/>
    <w:rsid w:val="004F4E3C"/>
    <w:rsid w:val="004F5765"/>
    <w:rsid w:val="004F5A1A"/>
    <w:rsid w:val="004F613B"/>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2E80"/>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9"/>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EB4"/>
    <w:rsid w:val="005701C1"/>
    <w:rsid w:val="005703BF"/>
    <w:rsid w:val="00570754"/>
    <w:rsid w:val="005709F7"/>
    <w:rsid w:val="00570EAA"/>
    <w:rsid w:val="005710A9"/>
    <w:rsid w:val="005716B0"/>
    <w:rsid w:val="00571B11"/>
    <w:rsid w:val="00571D1B"/>
    <w:rsid w:val="00571DA3"/>
    <w:rsid w:val="00571E65"/>
    <w:rsid w:val="00573534"/>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C7571"/>
    <w:rsid w:val="005D0ABC"/>
    <w:rsid w:val="005D2306"/>
    <w:rsid w:val="005D2562"/>
    <w:rsid w:val="005D2666"/>
    <w:rsid w:val="005D4548"/>
    <w:rsid w:val="005D4A74"/>
    <w:rsid w:val="005D519F"/>
    <w:rsid w:val="005D5491"/>
    <w:rsid w:val="005D56AD"/>
    <w:rsid w:val="005D5E91"/>
    <w:rsid w:val="005D67EF"/>
    <w:rsid w:val="005E0748"/>
    <w:rsid w:val="005E1416"/>
    <w:rsid w:val="005E2B83"/>
    <w:rsid w:val="005E3064"/>
    <w:rsid w:val="005E54DC"/>
    <w:rsid w:val="005E5776"/>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A38"/>
    <w:rsid w:val="005F6B6D"/>
    <w:rsid w:val="005F73CA"/>
    <w:rsid w:val="006002FE"/>
    <w:rsid w:val="006008F8"/>
    <w:rsid w:val="006036C2"/>
    <w:rsid w:val="00605668"/>
    <w:rsid w:val="00605AAB"/>
    <w:rsid w:val="00606BEB"/>
    <w:rsid w:val="00607AC8"/>
    <w:rsid w:val="0061010C"/>
    <w:rsid w:val="0061014A"/>
    <w:rsid w:val="0061054B"/>
    <w:rsid w:val="0061109E"/>
    <w:rsid w:val="006110FB"/>
    <w:rsid w:val="006114BB"/>
    <w:rsid w:val="00612625"/>
    <w:rsid w:val="00612FB0"/>
    <w:rsid w:val="0061356D"/>
    <w:rsid w:val="00613E26"/>
    <w:rsid w:val="00615641"/>
    <w:rsid w:val="006157C3"/>
    <w:rsid w:val="00615A66"/>
    <w:rsid w:val="00616959"/>
    <w:rsid w:val="0062036E"/>
    <w:rsid w:val="006211D0"/>
    <w:rsid w:val="00621595"/>
    <w:rsid w:val="0062359D"/>
    <w:rsid w:val="006235F5"/>
    <w:rsid w:val="00623634"/>
    <w:rsid w:val="00624D0C"/>
    <w:rsid w:val="00626902"/>
    <w:rsid w:val="00626A0F"/>
    <w:rsid w:val="006274B4"/>
    <w:rsid w:val="00630099"/>
    <w:rsid w:val="006307BA"/>
    <w:rsid w:val="006315BA"/>
    <w:rsid w:val="006315CB"/>
    <w:rsid w:val="00631CC8"/>
    <w:rsid w:val="00634C4A"/>
    <w:rsid w:val="0063532E"/>
    <w:rsid w:val="0063579F"/>
    <w:rsid w:val="006364ED"/>
    <w:rsid w:val="00637063"/>
    <w:rsid w:val="0063737C"/>
    <w:rsid w:val="00637BDC"/>
    <w:rsid w:val="00640363"/>
    <w:rsid w:val="00640622"/>
    <w:rsid w:val="006418C9"/>
    <w:rsid w:val="00641DEE"/>
    <w:rsid w:val="00642BD6"/>
    <w:rsid w:val="0064301F"/>
    <w:rsid w:val="00643C8F"/>
    <w:rsid w:val="00645046"/>
    <w:rsid w:val="0064527A"/>
    <w:rsid w:val="006458FD"/>
    <w:rsid w:val="00645DE8"/>
    <w:rsid w:val="00645EA2"/>
    <w:rsid w:val="00647890"/>
    <w:rsid w:val="00651E6D"/>
    <w:rsid w:val="0065237D"/>
    <w:rsid w:val="00652943"/>
    <w:rsid w:val="00653AB2"/>
    <w:rsid w:val="00653D2D"/>
    <w:rsid w:val="0065435E"/>
    <w:rsid w:val="00654430"/>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0C3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B8E"/>
    <w:rsid w:val="006D4E0E"/>
    <w:rsid w:val="006D5861"/>
    <w:rsid w:val="006D5CE2"/>
    <w:rsid w:val="006D5E1E"/>
    <w:rsid w:val="006D6490"/>
    <w:rsid w:val="006D7854"/>
    <w:rsid w:val="006E06D1"/>
    <w:rsid w:val="006E0CD3"/>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272"/>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28F1"/>
    <w:rsid w:val="007340F3"/>
    <w:rsid w:val="007347BB"/>
    <w:rsid w:val="00735704"/>
    <w:rsid w:val="00736A49"/>
    <w:rsid w:val="00741695"/>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52AD"/>
    <w:rsid w:val="00766C87"/>
    <w:rsid w:val="00770227"/>
    <w:rsid w:val="0077030D"/>
    <w:rsid w:val="0077084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9F3"/>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3AC"/>
    <w:rsid w:val="007A14A4"/>
    <w:rsid w:val="007A168F"/>
    <w:rsid w:val="007A2346"/>
    <w:rsid w:val="007A28E4"/>
    <w:rsid w:val="007A3BB3"/>
    <w:rsid w:val="007A3F91"/>
    <w:rsid w:val="007A3F9C"/>
    <w:rsid w:val="007A4E77"/>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77"/>
    <w:rsid w:val="007D21AC"/>
    <w:rsid w:val="007D24B0"/>
    <w:rsid w:val="007D3882"/>
    <w:rsid w:val="007D39E4"/>
    <w:rsid w:val="007D3FE7"/>
    <w:rsid w:val="007D4CFC"/>
    <w:rsid w:val="007D568A"/>
    <w:rsid w:val="007D574E"/>
    <w:rsid w:val="007D57C0"/>
    <w:rsid w:val="007D67CB"/>
    <w:rsid w:val="007D6BFE"/>
    <w:rsid w:val="007E002F"/>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31D"/>
    <w:rsid w:val="00803850"/>
    <w:rsid w:val="008039E8"/>
    <w:rsid w:val="00804385"/>
    <w:rsid w:val="00804E0E"/>
    <w:rsid w:val="008051EB"/>
    <w:rsid w:val="0080588E"/>
    <w:rsid w:val="00805AFD"/>
    <w:rsid w:val="00806397"/>
    <w:rsid w:val="008078D8"/>
    <w:rsid w:val="0080798E"/>
    <w:rsid w:val="00811BD9"/>
    <w:rsid w:val="00811D5B"/>
    <w:rsid w:val="00813AA3"/>
    <w:rsid w:val="00813C51"/>
    <w:rsid w:val="00816CCB"/>
    <w:rsid w:val="00817572"/>
    <w:rsid w:val="00817713"/>
    <w:rsid w:val="008208C3"/>
    <w:rsid w:val="008218FF"/>
    <w:rsid w:val="008220F1"/>
    <w:rsid w:val="0082340B"/>
    <w:rsid w:val="00823D6A"/>
    <w:rsid w:val="0082610C"/>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756"/>
    <w:rsid w:val="00836B7B"/>
    <w:rsid w:val="00837465"/>
    <w:rsid w:val="0083798E"/>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147E"/>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A3C"/>
    <w:rsid w:val="00881C17"/>
    <w:rsid w:val="00881D10"/>
    <w:rsid w:val="00881EA1"/>
    <w:rsid w:val="00882CC2"/>
    <w:rsid w:val="00883103"/>
    <w:rsid w:val="0088325A"/>
    <w:rsid w:val="00883930"/>
    <w:rsid w:val="00884535"/>
    <w:rsid w:val="008902BE"/>
    <w:rsid w:val="0089038F"/>
    <w:rsid w:val="00890CDA"/>
    <w:rsid w:val="00891BBA"/>
    <w:rsid w:val="00891BD9"/>
    <w:rsid w:val="00891E18"/>
    <w:rsid w:val="00892079"/>
    <w:rsid w:val="00892B90"/>
    <w:rsid w:val="00894489"/>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61A"/>
    <w:rsid w:val="008C3FD0"/>
    <w:rsid w:val="008C4F01"/>
    <w:rsid w:val="008C5152"/>
    <w:rsid w:val="008C710E"/>
    <w:rsid w:val="008D1484"/>
    <w:rsid w:val="008D29E7"/>
    <w:rsid w:val="008D4CC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072"/>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F44"/>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3C9"/>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4DB"/>
    <w:rsid w:val="00963A7A"/>
    <w:rsid w:val="00964D1E"/>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13E"/>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58F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5AB"/>
    <w:rsid w:val="009C0938"/>
    <w:rsid w:val="009C0C22"/>
    <w:rsid w:val="009C12A1"/>
    <w:rsid w:val="009C15D9"/>
    <w:rsid w:val="009C1A1D"/>
    <w:rsid w:val="009C22C8"/>
    <w:rsid w:val="009C3A52"/>
    <w:rsid w:val="009C3F82"/>
    <w:rsid w:val="009C582A"/>
    <w:rsid w:val="009C5C56"/>
    <w:rsid w:val="009C72DD"/>
    <w:rsid w:val="009C77A9"/>
    <w:rsid w:val="009C78FD"/>
    <w:rsid w:val="009C7DF5"/>
    <w:rsid w:val="009D056C"/>
    <w:rsid w:val="009D060F"/>
    <w:rsid w:val="009D0A91"/>
    <w:rsid w:val="009D1ADE"/>
    <w:rsid w:val="009D2666"/>
    <w:rsid w:val="009D297C"/>
    <w:rsid w:val="009D3652"/>
    <w:rsid w:val="009D37CA"/>
    <w:rsid w:val="009D4229"/>
    <w:rsid w:val="009D4268"/>
    <w:rsid w:val="009D48CA"/>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6292"/>
    <w:rsid w:val="009F6EC5"/>
    <w:rsid w:val="009F7671"/>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63F"/>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288A"/>
    <w:rsid w:val="00A730B0"/>
    <w:rsid w:val="00A7387A"/>
    <w:rsid w:val="00A73B84"/>
    <w:rsid w:val="00A7411D"/>
    <w:rsid w:val="00A756C4"/>
    <w:rsid w:val="00A7592B"/>
    <w:rsid w:val="00A75ED7"/>
    <w:rsid w:val="00A76094"/>
    <w:rsid w:val="00A763E7"/>
    <w:rsid w:val="00A768E2"/>
    <w:rsid w:val="00A76C02"/>
    <w:rsid w:val="00A82C52"/>
    <w:rsid w:val="00A838E8"/>
    <w:rsid w:val="00A83C15"/>
    <w:rsid w:val="00A84EC4"/>
    <w:rsid w:val="00A86530"/>
    <w:rsid w:val="00A86CB6"/>
    <w:rsid w:val="00A90D55"/>
    <w:rsid w:val="00A90E87"/>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3624"/>
    <w:rsid w:val="00AB4BA4"/>
    <w:rsid w:val="00AB592E"/>
    <w:rsid w:val="00AC05EB"/>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8F"/>
    <w:rsid w:val="00AE18C5"/>
    <w:rsid w:val="00AE19A2"/>
    <w:rsid w:val="00AE2540"/>
    <w:rsid w:val="00AE2B85"/>
    <w:rsid w:val="00AE2CF4"/>
    <w:rsid w:val="00AE2D29"/>
    <w:rsid w:val="00AE2F15"/>
    <w:rsid w:val="00AE3367"/>
    <w:rsid w:val="00AE4624"/>
    <w:rsid w:val="00AE4B3E"/>
    <w:rsid w:val="00AE4B90"/>
    <w:rsid w:val="00AE4DE2"/>
    <w:rsid w:val="00AE5E14"/>
    <w:rsid w:val="00AE6115"/>
    <w:rsid w:val="00AE625B"/>
    <w:rsid w:val="00AF01B2"/>
    <w:rsid w:val="00AF1103"/>
    <w:rsid w:val="00AF14E9"/>
    <w:rsid w:val="00AF1668"/>
    <w:rsid w:val="00AF1DBB"/>
    <w:rsid w:val="00AF25B2"/>
    <w:rsid w:val="00AF28DE"/>
    <w:rsid w:val="00AF3914"/>
    <w:rsid w:val="00AF41E6"/>
    <w:rsid w:val="00AF41EE"/>
    <w:rsid w:val="00AF4A87"/>
    <w:rsid w:val="00AF4FA5"/>
    <w:rsid w:val="00AF5BB4"/>
    <w:rsid w:val="00AF6ECC"/>
    <w:rsid w:val="00B02145"/>
    <w:rsid w:val="00B022DC"/>
    <w:rsid w:val="00B039DD"/>
    <w:rsid w:val="00B04562"/>
    <w:rsid w:val="00B0472F"/>
    <w:rsid w:val="00B0505F"/>
    <w:rsid w:val="00B06528"/>
    <w:rsid w:val="00B06930"/>
    <w:rsid w:val="00B076B6"/>
    <w:rsid w:val="00B0773A"/>
    <w:rsid w:val="00B07955"/>
    <w:rsid w:val="00B1149E"/>
    <w:rsid w:val="00B1176B"/>
    <w:rsid w:val="00B11858"/>
    <w:rsid w:val="00B129F7"/>
    <w:rsid w:val="00B13A51"/>
    <w:rsid w:val="00B140B8"/>
    <w:rsid w:val="00B1418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1EA0"/>
    <w:rsid w:val="00B32179"/>
    <w:rsid w:val="00B32341"/>
    <w:rsid w:val="00B32685"/>
    <w:rsid w:val="00B32C2B"/>
    <w:rsid w:val="00B32DA4"/>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7F8"/>
    <w:rsid w:val="00B57921"/>
    <w:rsid w:val="00B57E78"/>
    <w:rsid w:val="00B57EB8"/>
    <w:rsid w:val="00B609F6"/>
    <w:rsid w:val="00B60E75"/>
    <w:rsid w:val="00B643A6"/>
    <w:rsid w:val="00B644FE"/>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F2A"/>
    <w:rsid w:val="00B82277"/>
    <w:rsid w:val="00B83F87"/>
    <w:rsid w:val="00B843DD"/>
    <w:rsid w:val="00B8478F"/>
    <w:rsid w:val="00B84F93"/>
    <w:rsid w:val="00B91676"/>
    <w:rsid w:val="00B9322B"/>
    <w:rsid w:val="00B93640"/>
    <w:rsid w:val="00B94023"/>
    <w:rsid w:val="00B955D5"/>
    <w:rsid w:val="00B95833"/>
    <w:rsid w:val="00BA1824"/>
    <w:rsid w:val="00BA2145"/>
    <w:rsid w:val="00BA2D98"/>
    <w:rsid w:val="00BA2F0C"/>
    <w:rsid w:val="00BA30D1"/>
    <w:rsid w:val="00BA30E1"/>
    <w:rsid w:val="00BA335D"/>
    <w:rsid w:val="00BA4609"/>
    <w:rsid w:val="00BA5BE2"/>
    <w:rsid w:val="00BA60FC"/>
    <w:rsid w:val="00BA6A9C"/>
    <w:rsid w:val="00BA6B29"/>
    <w:rsid w:val="00BA7F46"/>
    <w:rsid w:val="00BB0388"/>
    <w:rsid w:val="00BB0A0A"/>
    <w:rsid w:val="00BB133C"/>
    <w:rsid w:val="00BB1F04"/>
    <w:rsid w:val="00BB45B5"/>
    <w:rsid w:val="00BB4DDE"/>
    <w:rsid w:val="00BB6064"/>
    <w:rsid w:val="00BB65CE"/>
    <w:rsid w:val="00BB7012"/>
    <w:rsid w:val="00BC03A7"/>
    <w:rsid w:val="00BC08E4"/>
    <w:rsid w:val="00BC09D1"/>
    <w:rsid w:val="00BC1CF3"/>
    <w:rsid w:val="00BC2BE0"/>
    <w:rsid w:val="00BC3573"/>
    <w:rsid w:val="00BC3A5C"/>
    <w:rsid w:val="00BC5860"/>
    <w:rsid w:val="00BC60A3"/>
    <w:rsid w:val="00BC60A5"/>
    <w:rsid w:val="00BC7F82"/>
    <w:rsid w:val="00BD1844"/>
    <w:rsid w:val="00BD2A49"/>
    <w:rsid w:val="00BD3683"/>
    <w:rsid w:val="00BD40AB"/>
    <w:rsid w:val="00BD40DE"/>
    <w:rsid w:val="00BD4218"/>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9C4"/>
    <w:rsid w:val="00C0359D"/>
    <w:rsid w:val="00C038EC"/>
    <w:rsid w:val="00C03C21"/>
    <w:rsid w:val="00C05C6D"/>
    <w:rsid w:val="00C0671A"/>
    <w:rsid w:val="00C072D7"/>
    <w:rsid w:val="00C079F4"/>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BC1"/>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3BF"/>
    <w:rsid w:val="00C34CEB"/>
    <w:rsid w:val="00C35716"/>
    <w:rsid w:val="00C36201"/>
    <w:rsid w:val="00C368E8"/>
    <w:rsid w:val="00C36C3D"/>
    <w:rsid w:val="00C372C7"/>
    <w:rsid w:val="00C3733B"/>
    <w:rsid w:val="00C376A7"/>
    <w:rsid w:val="00C42443"/>
    <w:rsid w:val="00C42AED"/>
    <w:rsid w:val="00C42CBA"/>
    <w:rsid w:val="00C4338C"/>
    <w:rsid w:val="00C43C2B"/>
    <w:rsid w:val="00C45B27"/>
    <w:rsid w:val="00C45DCC"/>
    <w:rsid w:val="00C4652E"/>
    <w:rsid w:val="00C472C7"/>
    <w:rsid w:val="00C5019E"/>
    <w:rsid w:val="00C50C8C"/>
    <w:rsid w:val="00C51962"/>
    <w:rsid w:val="00C5377C"/>
    <w:rsid w:val="00C53E8A"/>
    <w:rsid w:val="00C54DF3"/>
    <w:rsid w:val="00C560A7"/>
    <w:rsid w:val="00C56649"/>
    <w:rsid w:val="00C566C9"/>
    <w:rsid w:val="00C56FC8"/>
    <w:rsid w:val="00C60F23"/>
    <w:rsid w:val="00C6170B"/>
    <w:rsid w:val="00C62EB2"/>
    <w:rsid w:val="00C63431"/>
    <w:rsid w:val="00C64C87"/>
    <w:rsid w:val="00C65414"/>
    <w:rsid w:val="00C6590A"/>
    <w:rsid w:val="00C65BE0"/>
    <w:rsid w:val="00C665FE"/>
    <w:rsid w:val="00C67A0C"/>
    <w:rsid w:val="00C71BEC"/>
    <w:rsid w:val="00C73942"/>
    <w:rsid w:val="00C73A83"/>
    <w:rsid w:val="00C74D3A"/>
    <w:rsid w:val="00C75F3D"/>
    <w:rsid w:val="00C76291"/>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4EDB"/>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A729B"/>
    <w:rsid w:val="00CA77DE"/>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152"/>
    <w:rsid w:val="00CF0280"/>
    <w:rsid w:val="00CF064F"/>
    <w:rsid w:val="00CF095C"/>
    <w:rsid w:val="00CF158D"/>
    <w:rsid w:val="00CF1F33"/>
    <w:rsid w:val="00CF2166"/>
    <w:rsid w:val="00CF4340"/>
    <w:rsid w:val="00CF4394"/>
    <w:rsid w:val="00CF48B4"/>
    <w:rsid w:val="00CF5C12"/>
    <w:rsid w:val="00CF7B72"/>
    <w:rsid w:val="00CF7FC0"/>
    <w:rsid w:val="00D000A9"/>
    <w:rsid w:val="00D00384"/>
    <w:rsid w:val="00D005DB"/>
    <w:rsid w:val="00D0064E"/>
    <w:rsid w:val="00D006D7"/>
    <w:rsid w:val="00D00981"/>
    <w:rsid w:val="00D02596"/>
    <w:rsid w:val="00D0280D"/>
    <w:rsid w:val="00D02AEF"/>
    <w:rsid w:val="00D03EC9"/>
    <w:rsid w:val="00D05669"/>
    <w:rsid w:val="00D061EB"/>
    <w:rsid w:val="00D06952"/>
    <w:rsid w:val="00D07A72"/>
    <w:rsid w:val="00D10577"/>
    <w:rsid w:val="00D10E04"/>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0A59"/>
    <w:rsid w:val="00D61ABB"/>
    <w:rsid w:val="00D61D58"/>
    <w:rsid w:val="00D62D5C"/>
    <w:rsid w:val="00D63577"/>
    <w:rsid w:val="00D64AFE"/>
    <w:rsid w:val="00D64C50"/>
    <w:rsid w:val="00D65BAB"/>
    <w:rsid w:val="00D67FD7"/>
    <w:rsid w:val="00D704E4"/>
    <w:rsid w:val="00D71A04"/>
    <w:rsid w:val="00D72410"/>
    <w:rsid w:val="00D7367D"/>
    <w:rsid w:val="00D73D53"/>
    <w:rsid w:val="00D7402C"/>
    <w:rsid w:val="00D7408A"/>
    <w:rsid w:val="00D74261"/>
    <w:rsid w:val="00D7441B"/>
    <w:rsid w:val="00D74D38"/>
    <w:rsid w:val="00D75589"/>
    <w:rsid w:val="00D76AB2"/>
    <w:rsid w:val="00D77915"/>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2F01"/>
    <w:rsid w:val="00DB44E2"/>
    <w:rsid w:val="00DB4A6D"/>
    <w:rsid w:val="00DB5941"/>
    <w:rsid w:val="00DB626D"/>
    <w:rsid w:val="00DB6365"/>
    <w:rsid w:val="00DB756C"/>
    <w:rsid w:val="00DC07B7"/>
    <w:rsid w:val="00DC0BF1"/>
    <w:rsid w:val="00DC11B7"/>
    <w:rsid w:val="00DC1607"/>
    <w:rsid w:val="00DC17F2"/>
    <w:rsid w:val="00DC2467"/>
    <w:rsid w:val="00DC4001"/>
    <w:rsid w:val="00DC41C3"/>
    <w:rsid w:val="00DC4842"/>
    <w:rsid w:val="00DC4A3C"/>
    <w:rsid w:val="00DC4FA4"/>
    <w:rsid w:val="00DC5028"/>
    <w:rsid w:val="00DC5B37"/>
    <w:rsid w:val="00DD16A3"/>
    <w:rsid w:val="00DD286D"/>
    <w:rsid w:val="00DD2CAF"/>
    <w:rsid w:val="00DD3593"/>
    <w:rsid w:val="00DD462A"/>
    <w:rsid w:val="00DD4833"/>
    <w:rsid w:val="00DD501D"/>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1A6C"/>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129"/>
    <w:rsid w:val="00E464F0"/>
    <w:rsid w:val="00E46D90"/>
    <w:rsid w:val="00E46EF3"/>
    <w:rsid w:val="00E47370"/>
    <w:rsid w:val="00E473B7"/>
    <w:rsid w:val="00E473E9"/>
    <w:rsid w:val="00E47B47"/>
    <w:rsid w:val="00E47C6F"/>
    <w:rsid w:val="00E50BEB"/>
    <w:rsid w:val="00E523FB"/>
    <w:rsid w:val="00E53460"/>
    <w:rsid w:val="00E54846"/>
    <w:rsid w:val="00E548FA"/>
    <w:rsid w:val="00E55CD9"/>
    <w:rsid w:val="00E55F91"/>
    <w:rsid w:val="00E57703"/>
    <w:rsid w:val="00E57ED4"/>
    <w:rsid w:val="00E57FED"/>
    <w:rsid w:val="00E6092F"/>
    <w:rsid w:val="00E6132D"/>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049C"/>
    <w:rsid w:val="00E71485"/>
    <w:rsid w:val="00E71B80"/>
    <w:rsid w:val="00E7200B"/>
    <w:rsid w:val="00E736F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3FA4"/>
    <w:rsid w:val="00E84DDA"/>
    <w:rsid w:val="00E8608F"/>
    <w:rsid w:val="00E86C1D"/>
    <w:rsid w:val="00E90703"/>
    <w:rsid w:val="00E90A62"/>
    <w:rsid w:val="00E90ADA"/>
    <w:rsid w:val="00E9265E"/>
    <w:rsid w:val="00E956DB"/>
    <w:rsid w:val="00E957D7"/>
    <w:rsid w:val="00E9763D"/>
    <w:rsid w:val="00EA00A4"/>
    <w:rsid w:val="00EA1177"/>
    <w:rsid w:val="00EA118B"/>
    <w:rsid w:val="00EA11B6"/>
    <w:rsid w:val="00EA2181"/>
    <w:rsid w:val="00EA2DD8"/>
    <w:rsid w:val="00EA30FC"/>
    <w:rsid w:val="00EA4475"/>
    <w:rsid w:val="00EA47F5"/>
    <w:rsid w:val="00EA52FE"/>
    <w:rsid w:val="00EA5E52"/>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96C"/>
    <w:rsid w:val="00EF2E75"/>
    <w:rsid w:val="00EF4C74"/>
    <w:rsid w:val="00EF5268"/>
    <w:rsid w:val="00EF608E"/>
    <w:rsid w:val="00EF6AD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072D"/>
    <w:rsid w:val="00F611B3"/>
    <w:rsid w:val="00F6196E"/>
    <w:rsid w:val="00F61CCC"/>
    <w:rsid w:val="00F624DD"/>
    <w:rsid w:val="00F629C0"/>
    <w:rsid w:val="00F63FC7"/>
    <w:rsid w:val="00F64312"/>
    <w:rsid w:val="00F644EF"/>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40E7"/>
    <w:rsid w:val="00F853AE"/>
    <w:rsid w:val="00F90376"/>
    <w:rsid w:val="00F908D5"/>
    <w:rsid w:val="00F912A0"/>
    <w:rsid w:val="00F913B9"/>
    <w:rsid w:val="00F91B14"/>
    <w:rsid w:val="00F93C74"/>
    <w:rsid w:val="00F93DCC"/>
    <w:rsid w:val="00F93EA6"/>
    <w:rsid w:val="00F9435D"/>
    <w:rsid w:val="00F966F9"/>
    <w:rsid w:val="00F96F61"/>
    <w:rsid w:val="00F97740"/>
    <w:rsid w:val="00F97B28"/>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1FB9"/>
    <w:rsid w:val="00FB2493"/>
    <w:rsid w:val="00FB3573"/>
    <w:rsid w:val="00FB42B7"/>
    <w:rsid w:val="00FB4484"/>
    <w:rsid w:val="00FB593A"/>
    <w:rsid w:val="00FB6410"/>
    <w:rsid w:val="00FB6E82"/>
    <w:rsid w:val="00FB792E"/>
    <w:rsid w:val="00FB7CF0"/>
    <w:rsid w:val="00FC0042"/>
    <w:rsid w:val="00FC09FA"/>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D7FBF"/>
    <w:rsid w:val="00FE2A48"/>
    <w:rsid w:val="00FE2DEF"/>
    <w:rsid w:val="00FE323C"/>
    <w:rsid w:val="00FE3A27"/>
    <w:rsid w:val="00FE48A6"/>
    <w:rsid w:val="00FE5D0A"/>
    <w:rsid w:val="00FE6469"/>
    <w:rsid w:val="00FE7BE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B5C"/>
    <w:rsid w:val="00FF4C90"/>
    <w:rsid w:val="00FF5806"/>
    <w:rsid w:val="00FF61BD"/>
    <w:rsid w:val="00FF7E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05069">
      <w:bodyDiv w:val="1"/>
      <w:marLeft w:val="0"/>
      <w:marRight w:val="0"/>
      <w:marTop w:val="0"/>
      <w:marBottom w:val="0"/>
      <w:divBdr>
        <w:top w:val="none" w:sz="0" w:space="0" w:color="auto"/>
        <w:left w:val="none" w:sz="0" w:space="0" w:color="auto"/>
        <w:bottom w:val="none" w:sz="0" w:space="0" w:color="auto"/>
        <w:right w:val="none" w:sz="0" w:space="0" w:color="auto"/>
      </w:divBdr>
      <w:divsChild>
        <w:div w:id="1881167571">
          <w:marLeft w:val="0"/>
          <w:marRight w:val="0"/>
          <w:marTop w:val="0"/>
          <w:marBottom w:val="0"/>
          <w:divBdr>
            <w:top w:val="none" w:sz="0" w:space="0" w:color="auto"/>
            <w:left w:val="none" w:sz="0" w:space="0" w:color="auto"/>
            <w:bottom w:val="none" w:sz="0" w:space="0" w:color="auto"/>
            <w:right w:val="none" w:sz="0" w:space="0" w:color="auto"/>
          </w:divBdr>
          <w:divsChild>
            <w:div w:id="2141725428">
              <w:marLeft w:val="450"/>
              <w:marRight w:val="900"/>
              <w:marTop w:val="450"/>
              <w:marBottom w:val="450"/>
              <w:divBdr>
                <w:top w:val="none" w:sz="0" w:space="0" w:color="auto"/>
                <w:left w:val="none" w:sz="0" w:space="0" w:color="auto"/>
                <w:bottom w:val="none" w:sz="0" w:space="0" w:color="auto"/>
                <w:right w:val="none" w:sz="0" w:space="0" w:color="auto"/>
              </w:divBdr>
              <w:divsChild>
                <w:div w:id="15635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1277">
      <w:bodyDiv w:val="1"/>
      <w:marLeft w:val="0"/>
      <w:marRight w:val="0"/>
      <w:marTop w:val="0"/>
      <w:marBottom w:val="0"/>
      <w:divBdr>
        <w:top w:val="none" w:sz="0" w:space="0" w:color="auto"/>
        <w:left w:val="none" w:sz="0" w:space="0" w:color="auto"/>
        <w:bottom w:val="none" w:sz="0" w:space="0" w:color="auto"/>
        <w:right w:val="none" w:sz="0" w:space="0" w:color="auto"/>
      </w:divBdr>
    </w:div>
    <w:div w:id="1781293932">
      <w:bodyDiv w:val="1"/>
      <w:marLeft w:val="0"/>
      <w:marRight w:val="0"/>
      <w:marTop w:val="0"/>
      <w:marBottom w:val="0"/>
      <w:divBdr>
        <w:top w:val="none" w:sz="0" w:space="0" w:color="auto"/>
        <w:left w:val="none" w:sz="0" w:space="0" w:color="auto"/>
        <w:bottom w:val="none" w:sz="0" w:space="0" w:color="auto"/>
        <w:right w:val="none" w:sz="0" w:space="0" w:color="auto"/>
      </w:divBdr>
      <w:divsChild>
        <w:div w:id="1606308128">
          <w:marLeft w:val="0"/>
          <w:marRight w:val="0"/>
          <w:marTop w:val="0"/>
          <w:marBottom w:val="0"/>
          <w:divBdr>
            <w:top w:val="none" w:sz="0" w:space="0" w:color="auto"/>
            <w:left w:val="none" w:sz="0" w:space="0" w:color="auto"/>
            <w:bottom w:val="none" w:sz="0" w:space="0" w:color="auto"/>
            <w:right w:val="none" w:sz="0" w:space="0" w:color="auto"/>
          </w:divBdr>
          <w:divsChild>
            <w:div w:id="1370837697">
              <w:marLeft w:val="450"/>
              <w:marRight w:val="900"/>
              <w:marTop w:val="450"/>
              <w:marBottom w:val="450"/>
              <w:divBdr>
                <w:top w:val="none" w:sz="0" w:space="0" w:color="auto"/>
                <w:left w:val="none" w:sz="0" w:space="0" w:color="auto"/>
                <w:bottom w:val="none" w:sz="0" w:space="0" w:color="auto"/>
                <w:right w:val="none" w:sz="0" w:space="0" w:color="auto"/>
              </w:divBdr>
              <w:divsChild>
                <w:div w:id="4984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2012-10-23T12:15:00Z</cp:lastPrinted>
  <dcterms:created xsi:type="dcterms:W3CDTF">2012-11-21T16:03:00Z</dcterms:created>
  <dcterms:modified xsi:type="dcterms:W3CDTF">2012-11-21T16:03:00Z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