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8743FE" w:rsidRDefault="0095270D" w:rsidP="00501428">
      <w:pPr>
        <w:jc w:val="both"/>
        <w:rPr>
          <w:caps/>
          <w:color w:val="auto"/>
        </w:rPr>
      </w:pPr>
      <w:r w:rsidRPr="008743FE">
        <w:rPr>
          <w:caps/>
          <w:color w:val="auto"/>
        </w:rPr>
        <w:t xml:space="preserve">NAME:  </w:t>
      </w:r>
      <w:r w:rsidR="0098774B">
        <w:rPr>
          <w:caps/>
          <w:color w:val="auto"/>
        </w:rPr>
        <w:t>XXXXXXXXXXXX</w:t>
      </w:r>
      <w:r w:rsidR="00A42D28" w:rsidRPr="008743FE">
        <w:rPr>
          <w:caps/>
          <w:color w:val="auto"/>
        </w:rPr>
        <w:tab/>
      </w:r>
      <w:r w:rsidR="00501428">
        <w:rPr>
          <w:caps/>
          <w:color w:val="auto"/>
        </w:rPr>
        <w:t xml:space="preserve">                                                                   </w:t>
      </w:r>
      <w:r w:rsidRPr="008743FE">
        <w:rPr>
          <w:caps/>
          <w:color w:val="auto"/>
        </w:rPr>
        <w:t xml:space="preserve">BRANCH OF SERVICE:  </w:t>
      </w:r>
      <w:r w:rsidR="0018208F" w:rsidRPr="008743FE">
        <w:rPr>
          <w:caps/>
          <w:color w:val="auto"/>
        </w:rPr>
        <w:t xml:space="preserve"> </w:t>
      </w:r>
      <w:r w:rsidR="00501428">
        <w:rPr>
          <w:caps/>
          <w:color w:val="auto"/>
        </w:rPr>
        <w:t>Army</w:t>
      </w:r>
    </w:p>
    <w:p w:rsidR="0095270D" w:rsidRPr="00F64312" w:rsidRDefault="0095270D" w:rsidP="00501428">
      <w:pPr>
        <w:jc w:val="both"/>
        <w:rPr>
          <w:color w:val="auto"/>
        </w:rPr>
      </w:pPr>
      <w:r w:rsidRPr="008743FE">
        <w:rPr>
          <w:caps/>
          <w:color w:val="auto"/>
        </w:rPr>
        <w:t>CASE NUMBER:  PD</w:t>
      </w:r>
      <w:r w:rsidR="001657BE" w:rsidRPr="008743FE">
        <w:rPr>
          <w:caps/>
          <w:color w:val="auto"/>
        </w:rPr>
        <w:t>12</w:t>
      </w:r>
      <w:r w:rsidRPr="008743FE">
        <w:rPr>
          <w:caps/>
          <w:color w:val="auto"/>
        </w:rPr>
        <w:t>00</w:t>
      </w:r>
      <w:r w:rsidR="005F350A" w:rsidRPr="008743FE">
        <w:rPr>
          <w:caps/>
          <w:color w:val="auto"/>
        </w:rPr>
        <w:t>163</w:t>
      </w:r>
      <w:r w:rsidR="00DD5558" w:rsidRPr="008743FE">
        <w:rPr>
          <w:color w:val="auto"/>
        </w:rPr>
        <w:tab/>
      </w:r>
      <w:r w:rsidR="00501428">
        <w:rPr>
          <w:color w:val="auto"/>
        </w:rPr>
        <w:t xml:space="preserve">                                                                </w:t>
      </w:r>
      <w:r w:rsidR="0018208F" w:rsidRPr="008743FE">
        <w:rPr>
          <w:color w:val="auto"/>
        </w:rPr>
        <w:t>SE</w:t>
      </w:r>
      <w:r w:rsidRPr="008743FE">
        <w:rPr>
          <w:color w:val="auto"/>
        </w:rPr>
        <w:t>PARATION DATE:  200</w:t>
      </w:r>
      <w:r w:rsidR="005F350A" w:rsidRPr="008743FE">
        <w:rPr>
          <w:color w:val="auto"/>
        </w:rPr>
        <w:t>60721</w:t>
      </w:r>
    </w:p>
    <w:p w:rsidR="00A42D28"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202B1E">
        <w:rPr>
          <w:caps/>
          <w:color w:val="auto"/>
        </w:rPr>
        <w:t>1005</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B65CA7" w:rsidRDefault="00AD2379" w:rsidP="00B65CA7">
      <w:pPr>
        <w:autoSpaceDE w:val="0"/>
        <w:autoSpaceDN w:val="0"/>
        <w:adjustRightInd w:val="0"/>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Pr="00B65CA7">
        <w:rPr>
          <w:color w:val="auto"/>
          <w:szCs w:val="24"/>
        </w:rPr>
        <w:t xml:space="preserve">Data extracted from the available evidence of record reflects that this covered individual (CI) was </w:t>
      </w:r>
      <w:r w:rsidR="00A70270" w:rsidRPr="00B65CA7">
        <w:rPr>
          <w:color w:val="auto"/>
          <w:szCs w:val="24"/>
        </w:rPr>
        <w:t>an active duty</w:t>
      </w:r>
      <w:r w:rsidR="0021565F" w:rsidRPr="00B65CA7">
        <w:rPr>
          <w:color w:val="auto"/>
          <w:szCs w:val="24"/>
        </w:rPr>
        <w:t xml:space="preserve"> </w:t>
      </w:r>
      <w:r w:rsidR="0017172C" w:rsidRPr="00B65CA7">
        <w:rPr>
          <w:color w:val="auto"/>
          <w:szCs w:val="24"/>
        </w:rPr>
        <w:t>SGT/E-5</w:t>
      </w:r>
      <w:r w:rsidRPr="00B65CA7">
        <w:rPr>
          <w:color w:val="auto"/>
          <w:szCs w:val="24"/>
        </w:rPr>
        <w:t xml:space="preserve"> (</w:t>
      </w:r>
      <w:r w:rsidR="005F350A" w:rsidRPr="00B65CA7">
        <w:rPr>
          <w:color w:val="auto"/>
          <w:szCs w:val="24"/>
        </w:rPr>
        <w:t>11B</w:t>
      </w:r>
      <w:r w:rsidR="00112F44" w:rsidRPr="00B65CA7">
        <w:rPr>
          <w:color w:val="auto"/>
          <w:szCs w:val="24"/>
        </w:rPr>
        <w:t xml:space="preserve">, </w:t>
      </w:r>
      <w:r w:rsidR="005F350A" w:rsidRPr="00B65CA7">
        <w:rPr>
          <w:color w:val="auto"/>
          <w:szCs w:val="24"/>
        </w:rPr>
        <w:t>Infantry</w:t>
      </w:r>
      <w:r w:rsidR="00A70270" w:rsidRPr="00B65CA7">
        <w:rPr>
          <w:color w:val="auto"/>
          <w:szCs w:val="24"/>
        </w:rPr>
        <w:t>)</w:t>
      </w:r>
      <w:r w:rsidR="00565636" w:rsidRPr="00B65CA7">
        <w:rPr>
          <w:color w:val="auto"/>
          <w:szCs w:val="24"/>
        </w:rPr>
        <w:t>,</w:t>
      </w:r>
      <w:r w:rsidR="00A70270" w:rsidRPr="00B65CA7">
        <w:rPr>
          <w:color w:val="auto"/>
          <w:szCs w:val="24"/>
        </w:rPr>
        <w:t xml:space="preserve"> </w:t>
      </w:r>
      <w:r w:rsidRPr="00B65CA7">
        <w:rPr>
          <w:color w:val="auto"/>
          <w:szCs w:val="24"/>
        </w:rPr>
        <w:t>medically separated for</w:t>
      </w:r>
      <w:r w:rsidR="005F350A" w:rsidRPr="00B65CA7">
        <w:rPr>
          <w:color w:val="auto"/>
          <w:szCs w:val="24"/>
        </w:rPr>
        <w:t xml:space="preserve"> </w:t>
      </w:r>
      <w:r w:rsidR="007F6952" w:rsidRPr="00B65CA7">
        <w:rPr>
          <w:color w:val="auto"/>
          <w:szCs w:val="24"/>
        </w:rPr>
        <w:t>a headache condition</w:t>
      </w:r>
      <w:r w:rsidR="008743FE" w:rsidRPr="00B65CA7">
        <w:rPr>
          <w:color w:val="auto"/>
          <w:szCs w:val="24"/>
        </w:rPr>
        <w:t xml:space="preserve"> from post head trauma and</w:t>
      </w:r>
      <w:r w:rsidR="00B65CA7" w:rsidRPr="00B65CA7">
        <w:rPr>
          <w:color w:val="auto"/>
          <w:szCs w:val="24"/>
        </w:rPr>
        <w:t xml:space="preserve"> a chronic</w:t>
      </w:r>
      <w:r w:rsidR="008743FE" w:rsidRPr="00B65CA7">
        <w:rPr>
          <w:color w:val="auto"/>
          <w:szCs w:val="24"/>
        </w:rPr>
        <w:t xml:space="preserve"> pain</w:t>
      </w:r>
      <w:r w:rsidR="007F6952" w:rsidRPr="00B65CA7">
        <w:rPr>
          <w:color w:val="auto"/>
          <w:szCs w:val="24"/>
        </w:rPr>
        <w:t xml:space="preserve"> </w:t>
      </w:r>
      <w:r w:rsidR="008743FE" w:rsidRPr="00B65CA7">
        <w:rPr>
          <w:color w:val="auto"/>
          <w:szCs w:val="24"/>
        </w:rPr>
        <w:t xml:space="preserve">condition </w:t>
      </w:r>
      <w:r w:rsidR="007F6952" w:rsidRPr="00B65CA7">
        <w:rPr>
          <w:color w:val="auto"/>
          <w:szCs w:val="24"/>
        </w:rPr>
        <w:t xml:space="preserve">from multiple retained </w:t>
      </w:r>
      <w:r w:rsidR="007F6952" w:rsidRPr="00202B1E">
        <w:rPr>
          <w:color w:val="auto"/>
          <w:szCs w:val="24"/>
        </w:rPr>
        <w:t>shrapnel fragments.</w:t>
      </w:r>
      <w:r w:rsidR="005F350A" w:rsidRPr="00202B1E">
        <w:rPr>
          <w:color w:val="auto"/>
          <w:szCs w:val="24"/>
        </w:rPr>
        <w:t xml:space="preserve"> </w:t>
      </w:r>
      <w:r w:rsidR="00B65CA7" w:rsidRPr="00202B1E">
        <w:rPr>
          <w:color w:val="auto"/>
          <w:szCs w:val="24"/>
        </w:rPr>
        <w:t xml:space="preserve"> </w:t>
      </w:r>
      <w:r w:rsidR="007F6952" w:rsidRPr="00202B1E">
        <w:rPr>
          <w:color w:val="auto"/>
          <w:szCs w:val="24"/>
        </w:rPr>
        <w:t xml:space="preserve">The CI </w:t>
      </w:r>
      <w:r w:rsidR="00B65CA7" w:rsidRPr="00202B1E">
        <w:rPr>
          <w:color w:val="auto"/>
          <w:szCs w:val="24"/>
        </w:rPr>
        <w:t>sustained multiple blast injuries to include</w:t>
      </w:r>
      <w:r w:rsidR="00631798">
        <w:rPr>
          <w:color w:val="auto"/>
          <w:szCs w:val="24"/>
        </w:rPr>
        <w:t>:</w:t>
      </w:r>
      <w:r w:rsidR="007F6952" w:rsidRPr="00202B1E">
        <w:rPr>
          <w:color w:val="auto"/>
          <w:szCs w:val="24"/>
        </w:rPr>
        <w:t xml:space="preserve"> </w:t>
      </w:r>
      <w:r w:rsidR="00B65CA7" w:rsidRPr="00202B1E">
        <w:rPr>
          <w:color w:val="auto"/>
          <w:szCs w:val="24"/>
        </w:rPr>
        <w:t>shrapnel wounds to his face</w:t>
      </w:r>
      <w:r w:rsidR="00631798">
        <w:rPr>
          <w:color w:val="auto"/>
          <w:szCs w:val="24"/>
        </w:rPr>
        <w:t>;</w:t>
      </w:r>
      <w:r w:rsidR="00B65CA7" w:rsidRPr="00202B1E">
        <w:rPr>
          <w:color w:val="auto"/>
          <w:szCs w:val="24"/>
        </w:rPr>
        <w:t xml:space="preserve"> throat</w:t>
      </w:r>
      <w:r w:rsidR="00631798">
        <w:rPr>
          <w:color w:val="auto"/>
          <w:szCs w:val="24"/>
        </w:rPr>
        <w:t>;</w:t>
      </w:r>
      <w:r w:rsidR="00B65CA7" w:rsidRPr="00202B1E">
        <w:rPr>
          <w:color w:val="auto"/>
          <w:szCs w:val="24"/>
        </w:rPr>
        <w:t xml:space="preserve"> neck</w:t>
      </w:r>
      <w:r w:rsidR="00631798">
        <w:rPr>
          <w:color w:val="auto"/>
          <w:szCs w:val="24"/>
        </w:rPr>
        <w:t>;</w:t>
      </w:r>
      <w:r w:rsidR="00B65CA7" w:rsidRPr="00202B1E">
        <w:rPr>
          <w:color w:val="auto"/>
          <w:szCs w:val="24"/>
        </w:rPr>
        <w:t xml:space="preserve"> arms and hands</w:t>
      </w:r>
      <w:r w:rsidR="00631798">
        <w:rPr>
          <w:color w:val="auto"/>
          <w:szCs w:val="24"/>
        </w:rPr>
        <w:t>;</w:t>
      </w:r>
      <w:r w:rsidR="00B65CA7" w:rsidRPr="00202B1E">
        <w:rPr>
          <w:color w:val="auto"/>
          <w:szCs w:val="24"/>
        </w:rPr>
        <w:t xml:space="preserve"> and a closed head injury to include a skull fracture, broken jaw, broken teeth, and a ruptured eardrum</w:t>
      </w:r>
      <w:r w:rsidR="00386D89">
        <w:rPr>
          <w:color w:val="auto"/>
          <w:szCs w:val="24"/>
        </w:rPr>
        <w:t>.  Th</w:t>
      </w:r>
      <w:r w:rsidR="00793284">
        <w:rPr>
          <w:color w:val="auto"/>
          <w:szCs w:val="24"/>
        </w:rPr>
        <w:t xml:space="preserve">ese injuries </w:t>
      </w:r>
      <w:r w:rsidR="00386D89">
        <w:rPr>
          <w:color w:val="auto"/>
          <w:szCs w:val="24"/>
        </w:rPr>
        <w:t xml:space="preserve">occurred </w:t>
      </w:r>
      <w:r w:rsidR="00202B1E" w:rsidRPr="00202B1E">
        <w:rPr>
          <w:color w:val="auto"/>
          <w:szCs w:val="24"/>
        </w:rPr>
        <w:t xml:space="preserve">while </w:t>
      </w:r>
      <w:r w:rsidR="00793284">
        <w:rPr>
          <w:color w:val="auto"/>
          <w:szCs w:val="24"/>
        </w:rPr>
        <w:t xml:space="preserve">he was </w:t>
      </w:r>
      <w:r w:rsidR="00202B1E" w:rsidRPr="00202B1E">
        <w:rPr>
          <w:color w:val="auto"/>
          <w:szCs w:val="24"/>
        </w:rPr>
        <w:t>deployed to</w:t>
      </w:r>
      <w:r w:rsidR="00B65CA7" w:rsidRPr="00202B1E">
        <w:rPr>
          <w:color w:val="auto"/>
          <w:szCs w:val="24"/>
        </w:rPr>
        <w:t xml:space="preserve"> Iraq from an improvised explosive device explosion</w:t>
      </w:r>
      <w:r w:rsidR="00202B1E" w:rsidRPr="00202B1E">
        <w:rPr>
          <w:color w:val="auto"/>
          <w:szCs w:val="24"/>
        </w:rPr>
        <w:t xml:space="preserve"> in January 2004.  </w:t>
      </w:r>
      <w:r w:rsidR="007F6952" w:rsidRPr="00202B1E">
        <w:rPr>
          <w:color w:val="auto"/>
          <w:szCs w:val="24"/>
        </w:rPr>
        <w:t xml:space="preserve">After a </w:t>
      </w:r>
      <w:r w:rsidR="00EE255C">
        <w:rPr>
          <w:color w:val="auto"/>
          <w:szCs w:val="24"/>
        </w:rPr>
        <w:t>2</w:t>
      </w:r>
      <w:r w:rsidR="00386D89">
        <w:rPr>
          <w:color w:val="auto"/>
          <w:szCs w:val="24"/>
        </w:rPr>
        <w:t xml:space="preserve"> </w:t>
      </w:r>
      <w:r w:rsidR="004771B3" w:rsidRPr="00202B1E">
        <w:rPr>
          <w:color w:val="auto"/>
          <w:szCs w:val="24"/>
        </w:rPr>
        <w:t xml:space="preserve">week </w:t>
      </w:r>
      <w:r w:rsidR="00202B1E" w:rsidRPr="00202B1E">
        <w:rPr>
          <w:color w:val="auto"/>
          <w:szCs w:val="24"/>
        </w:rPr>
        <w:t>intensive care unit (</w:t>
      </w:r>
      <w:r w:rsidR="004771B3" w:rsidRPr="00202B1E">
        <w:rPr>
          <w:color w:val="auto"/>
          <w:szCs w:val="24"/>
        </w:rPr>
        <w:t>ICU</w:t>
      </w:r>
      <w:r w:rsidR="00202B1E" w:rsidRPr="00202B1E">
        <w:rPr>
          <w:color w:val="auto"/>
          <w:szCs w:val="24"/>
        </w:rPr>
        <w:t>)</w:t>
      </w:r>
      <w:r w:rsidR="00386D89">
        <w:rPr>
          <w:color w:val="auto"/>
          <w:szCs w:val="24"/>
        </w:rPr>
        <w:t xml:space="preserve"> treatment</w:t>
      </w:r>
      <w:r w:rsidR="004771B3" w:rsidRPr="00202B1E">
        <w:rPr>
          <w:color w:val="auto"/>
          <w:szCs w:val="24"/>
        </w:rPr>
        <w:t xml:space="preserve"> requiring a tracheotomy, feeding tube, chest tube and multiple drainage tubes in his face and neck</w:t>
      </w:r>
      <w:r w:rsidR="00386D89">
        <w:rPr>
          <w:color w:val="auto"/>
          <w:szCs w:val="24"/>
        </w:rPr>
        <w:t xml:space="preserve">, the CI </w:t>
      </w:r>
      <w:r w:rsidR="004771B3" w:rsidRPr="00202B1E">
        <w:rPr>
          <w:color w:val="auto"/>
          <w:szCs w:val="24"/>
        </w:rPr>
        <w:t xml:space="preserve">was </w:t>
      </w:r>
      <w:r w:rsidR="00B65CA7" w:rsidRPr="00202B1E">
        <w:rPr>
          <w:color w:val="auto"/>
          <w:szCs w:val="24"/>
        </w:rPr>
        <w:t xml:space="preserve">stabilized and </w:t>
      </w:r>
      <w:r w:rsidR="004771B3" w:rsidRPr="00202B1E">
        <w:rPr>
          <w:color w:val="auto"/>
          <w:szCs w:val="24"/>
        </w:rPr>
        <w:t xml:space="preserve">transferred </w:t>
      </w:r>
      <w:r w:rsidR="00793284">
        <w:rPr>
          <w:color w:val="auto"/>
          <w:szCs w:val="24"/>
        </w:rPr>
        <w:t>for further operative</w:t>
      </w:r>
      <w:r w:rsidR="00B65CA7" w:rsidRPr="00202B1E">
        <w:rPr>
          <w:color w:val="auto"/>
          <w:szCs w:val="24"/>
        </w:rPr>
        <w:t xml:space="preserve"> and rehabilitative care</w:t>
      </w:r>
      <w:r w:rsidR="001D7DBB" w:rsidRPr="00202B1E">
        <w:rPr>
          <w:color w:val="auto"/>
          <w:szCs w:val="24"/>
        </w:rPr>
        <w:t xml:space="preserve">.  </w:t>
      </w:r>
      <w:r w:rsidR="00202B1E" w:rsidRPr="00202B1E">
        <w:rPr>
          <w:color w:val="auto"/>
          <w:szCs w:val="24"/>
        </w:rPr>
        <w:t xml:space="preserve">He </w:t>
      </w:r>
      <w:r w:rsidR="00386D89">
        <w:rPr>
          <w:color w:val="auto"/>
          <w:szCs w:val="24"/>
        </w:rPr>
        <w:t>was hospitalized f</w:t>
      </w:r>
      <w:r w:rsidR="00202B1E" w:rsidRPr="00202B1E">
        <w:rPr>
          <w:color w:val="auto"/>
          <w:szCs w:val="24"/>
        </w:rPr>
        <w:t>or</w:t>
      </w:r>
      <w:r w:rsidR="004771B3" w:rsidRPr="00202B1E">
        <w:rPr>
          <w:color w:val="auto"/>
          <w:szCs w:val="24"/>
        </w:rPr>
        <w:t xml:space="preserve"> </w:t>
      </w:r>
      <w:r w:rsidR="00EE255C">
        <w:rPr>
          <w:color w:val="auto"/>
          <w:szCs w:val="24"/>
        </w:rPr>
        <w:t>2</w:t>
      </w:r>
      <w:r w:rsidR="00386D89">
        <w:rPr>
          <w:color w:val="auto"/>
          <w:szCs w:val="24"/>
        </w:rPr>
        <w:t xml:space="preserve"> more m</w:t>
      </w:r>
      <w:r w:rsidR="004771B3" w:rsidRPr="00202B1E">
        <w:rPr>
          <w:color w:val="auto"/>
          <w:szCs w:val="24"/>
        </w:rPr>
        <w:t>onth</w:t>
      </w:r>
      <w:r w:rsidR="00202B1E" w:rsidRPr="00202B1E">
        <w:rPr>
          <w:color w:val="auto"/>
          <w:szCs w:val="24"/>
        </w:rPr>
        <w:t>s</w:t>
      </w:r>
      <w:r w:rsidR="00386D89">
        <w:rPr>
          <w:color w:val="auto"/>
          <w:szCs w:val="24"/>
        </w:rPr>
        <w:t xml:space="preserve">, and then received </w:t>
      </w:r>
      <w:r w:rsidR="007F6952" w:rsidRPr="00202B1E">
        <w:rPr>
          <w:color w:val="auto"/>
          <w:szCs w:val="24"/>
        </w:rPr>
        <w:t>extensive outpatient treatment</w:t>
      </w:r>
      <w:r w:rsidR="004771B3" w:rsidRPr="00202B1E">
        <w:rPr>
          <w:color w:val="auto"/>
          <w:szCs w:val="24"/>
        </w:rPr>
        <w:t xml:space="preserve"> for </w:t>
      </w:r>
      <w:r w:rsidR="00202B1E" w:rsidRPr="00202B1E">
        <w:rPr>
          <w:color w:val="auto"/>
          <w:szCs w:val="24"/>
        </w:rPr>
        <w:t xml:space="preserve">greater than </w:t>
      </w:r>
      <w:r w:rsidR="00B6376E">
        <w:rPr>
          <w:color w:val="auto"/>
          <w:szCs w:val="24"/>
        </w:rPr>
        <w:t>2</w:t>
      </w:r>
      <w:r w:rsidR="00386D89">
        <w:rPr>
          <w:color w:val="auto"/>
          <w:szCs w:val="24"/>
        </w:rPr>
        <w:t xml:space="preserve"> </w:t>
      </w:r>
      <w:r w:rsidR="00202B1E" w:rsidRPr="00202B1E">
        <w:rPr>
          <w:color w:val="auto"/>
          <w:szCs w:val="24"/>
        </w:rPr>
        <w:t xml:space="preserve">years. </w:t>
      </w:r>
      <w:r w:rsidR="007F6952" w:rsidRPr="00202B1E">
        <w:rPr>
          <w:color w:val="auto"/>
          <w:szCs w:val="24"/>
        </w:rPr>
        <w:t xml:space="preserve"> </w:t>
      </w:r>
      <w:r w:rsidR="00202B1E" w:rsidRPr="00202B1E">
        <w:rPr>
          <w:color w:val="auto"/>
          <w:szCs w:val="24"/>
        </w:rPr>
        <w:t>H</w:t>
      </w:r>
      <w:r w:rsidR="007F6952" w:rsidRPr="00202B1E">
        <w:rPr>
          <w:color w:val="auto"/>
          <w:szCs w:val="24"/>
        </w:rPr>
        <w:t xml:space="preserve">e </w:t>
      </w:r>
      <w:r w:rsidR="004771B3" w:rsidRPr="00202B1E">
        <w:rPr>
          <w:color w:val="auto"/>
          <w:szCs w:val="24"/>
        </w:rPr>
        <w:t xml:space="preserve">did </w:t>
      </w:r>
      <w:r w:rsidR="00F15483" w:rsidRPr="00202B1E">
        <w:rPr>
          <w:color w:val="auto"/>
          <w:szCs w:val="24"/>
        </w:rPr>
        <w:t>not im</w:t>
      </w:r>
      <w:r w:rsidR="00A42D28" w:rsidRPr="00202B1E">
        <w:rPr>
          <w:color w:val="auto"/>
          <w:szCs w:val="24"/>
        </w:rPr>
        <w:t>prove adequately with</w:t>
      </w:r>
      <w:r w:rsidR="00202B1E" w:rsidRPr="00202B1E">
        <w:rPr>
          <w:color w:val="auto"/>
          <w:szCs w:val="24"/>
        </w:rPr>
        <w:t xml:space="preserve"> this</w:t>
      </w:r>
      <w:r w:rsidR="00A42D28" w:rsidRPr="00202B1E">
        <w:rPr>
          <w:color w:val="auto"/>
          <w:szCs w:val="24"/>
        </w:rPr>
        <w:t xml:space="preserve"> treatment </w:t>
      </w:r>
      <w:r w:rsidR="00F566B7" w:rsidRPr="00202B1E">
        <w:rPr>
          <w:color w:val="auto"/>
          <w:szCs w:val="24"/>
        </w:rPr>
        <w:t>to meet the physical requirements of his Military Occupational Specialty (MOS)</w:t>
      </w:r>
      <w:r w:rsidR="00386D89">
        <w:rPr>
          <w:color w:val="auto"/>
          <w:szCs w:val="24"/>
        </w:rPr>
        <w:t xml:space="preserve"> </w:t>
      </w:r>
      <w:r w:rsidR="00F566B7" w:rsidRPr="00202B1E">
        <w:rPr>
          <w:color w:val="auto"/>
          <w:szCs w:val="24"/>
        </w:rPr>
        <w:t>or satis</w:t>
      </w:r>
      <w:r w:rsidR="009C12A1" w:rsidRPr="00202B1E">
        <w:rPr>
          <w:color w:val="auto"/>
          <w:szCs w:val="24"/>
        </w:rPr>
        <w:t>fy physical fitness standards.</w:t>
      </w:r>
      <w:r w:rsidR="00F566B7" w:rsidRPr="00202B1E">
        <w:rPr>
          <w:color w:val="auto"/>
          <w:szCs w:val="24"/>
        </w:rPr>
        <w:t xml:space="preserve"> </w:t>
      </w:r>
      <w:r w:rsidR="009C12A1" w:rsidRPr="00202B1E">
        <w:rPr>
          <w:color w:val="auto"/>
          <w:szCs w:val="24"/>
        </w:rPr>
        <w:t xml:space="preserve"> He </w:t>
      </w:r>
      <w:r w:rsidR="00F566B7" w:rsidRPr="00202B1E">
        <w:rPr>
          <w:color w:val="auto"/>
          <w:szCs w:val="24"/>
        </w:rPr>
        <w:t xml:space="preserve">was issued a permanent </w:t>
      </w:r>
      <w:r w:rsidR="0094482F" w:rsidRPr="00202B1E">
        <w:rPr>
          <w:color w:val="auto"/>
          <w:szCs w:val="24"/>
        </w:rPr>
        <w:t>P3/</w:t>
      </w:r>
      <w:r w:rsidR="00F566B7" w:rsidRPr="00202B1E">
        <w:rPr>
          <w:color w:val="auto"/>
          <w:szCs w:val="24"/>
        </w:rPr>
        <w:t>L3</w:t>
      </w:r>
      <w:r w:rsidR="0094482F" w:rsidRPr="00202B1E">
        <w:rPr>
          <w:color w:val="auto"/>
          <w:szCs w:val="24"/>
        </w:rPr>
        <w:t>/S2 pr</w:t>
      </w:r>
      <w:r w:rsidR="00F566B7" w:rsidRPr="00202B1E">
        <w:rPr>
          <w:color w:val="auto"/>
          <w:szCs w:val="24"/>
        </w:rPr>
        <w:t>ofile and</w:t>
      </w:r>
      <w:r w:rsidR="009C12A1" w:rsidRPr="00202B1E">
        <w:rPr>
          <w:color w:val="auto"/>
          <w:szCs w:val="24"/>
        </w:rPr>
        <w:t xml:space="preserve"> </w:t>
      </w:r>
      <w:r w:rsidR="00F566B7" w:rsidRPr="00202B1E">
        <w:rPr>
          <w:color w:val="auto"/>
          <w:szCs w:val="24"/>
        </w:rPr>
        <w:t>referred for a Medical Evaluation Board (MEB).</w:t>
      </w:r>
      <w:r w:rsidR="006D5E1E" w:rsidRPr="00B65CA7">
        <w:rPr>
          <w:color w:val="auto"/>
          <w:szCs w:val="24"/>
        </w:rPr>
        <w:t xml:space="preserve">  </w:t>
      </w:r>
      <w:r w:rsidR="007F6952" w:rsidRPr="00B65CA7">
        <w:rPr>
          <w:color w:val="auto"/>
          <w:szCs w:val="24"/>
        </w:rPr>
        <w:t xml:space="preserve">Persistent left arm weakness and </w:t>
      </w:r>
      <w:r w:rsidR="00202B1E" w:rsidRPr="00B65CA7">
        <w:rPr>
          <w:color w:val="auto"/>
          <w:szCs w:val="24"/>
        </w:rPr>
        <w:t>paresthesias</w:t>
      </w:r>
      <w:r w:rsidR="007F6952" w:rsidRPr="00B65CA7">
        <w:rPr>
          <w:color w:val="auto"/>
          <w:szCs w:val="24"/>
        </w:rPr>
        <w:t>/ulnar neuropathy</w:t>
      </w:r>
      <w:r w:rsidR="00280128">
        <w:rPr>
          <w:color w:val="auto"/>
          <w:szCs w:val="24"/>
        </w:rPr>
        <w:t>;</w:t>
      </w:r>
      <w:r w:rsidR="007F6952" w:rsidRPr="00B65CA7">
        <w:rPr>
          <w:color w:val="auto"/>
          <w:szCs w:val="24"/>
        </w:rPr>
        <w:t xml:space="preserve"> </w:t>
      </w:r>
      <w:r w:rsidR="00202B1E">
        <w:rPr>
          <w:color w:val="auto"/>
          <w:szCs w:val="24"/>
        </w:rPr>
        <w:t>status post</w:t>
      </w:r>
      <w:r w:rsidR="00386D89">
        <w:rPr>
          <w:color w:val="auto"/>
          <w:szCs w:val="24"/>
        </w:rPr>
        <w:t xml:space="preserve"> (s/p)</w:t>
      </w:r>
      <w:r w:rsidR="007F6952" w:rsidRPr="00B65CA7">
        <w:rPr>
          <w:color w:val="auto"/>
          <w:szCs w:val="24"/>
        </w:rPr>
        <w:t xml:space="preserve"> large soft tissue injury with forearm tendon</w:t>
      </w:r>
      <w:r w:rsidR="00202B1E">
        <w:rPr>
          <w:color w:val="auto"/>
          <w:szCs w:val="24"/>
        </w:rPr>
        <w:t xml:space="preserve"> repair</w:t>
      </w:r>
      <w:r w:rsidR="00280128">
        <w:rPr>
          <w:color w:val="auto"/>
          <w:szCs w:val="24"/>
        </w:rPr>
        <w:t>;</w:t>
      </w:r>
      <w:r w:rsidR="007F6952" w:rsidRPr="00B65CA7">
        <w:rPr>
          <w:color w:val="auto"/>
          <w:szCs w:val="24"/>
        </w:rPr>
        <w:t xml:space="preserve"> chronic debilitating migraine headaches and </w:t>
      </w:r>
      <w:r w:rsidR="007F6952" w:rsidRPr="00202B1E">
        <w:rPr>
          <w:color w:val="auto"/>
          <w:szCs w:val="24"/>
        </w:rPr>
        <w:t>multiple fragments of retained shrapnel with mild persistent pain were forwarded to the Physical Evaluation Board (PEB)</w:t>
      </w:r>
      <w:r w:rsidR="00280128">
        <w:rPr>
          <w:color w:val="auto"/>
          <w:szCs w:val="24"/>
        </w:rPr>
        <w:t xml:space="preserve"> </w:t>
      </w:r>
      <w:r w:rsidR="00980A73">
        <w:rPr>
          <w:color w:val="auto"/>
          <w:szCs w:val="24"/>
        </w:rPr>
        <w:t xml:space="preserve">as </w:t>
      </w:r>
      <w:r w:rsidR="00EE255C">
        <w:rPr>
          <w:rFonts w:eastAsia="Calibri"/>
          <w:color w:val="auto"/>
          <w:szCs w:val="24"/>
        </w:rPr>
        <w:t>medically unacceptable</w:t>
      </w:r>
      <w:r w:rsidR="007F6952" w:rsidRPr="00202B1E">
        <w:rPr>
          <w:color w:val="auto"/>
          <w:szCs w:val="24"/>
        </w:rPr>
        <w:t>.  Two other conditions, as identified in the rating chart below, were forwarded on the MEB submission as medically acceptable conditions.</w:t>
      </w:r>
      <w:r w:rsidR="007F6952" w:rsidRPr="00202B1E">
        <w:rPr>
          <w:szCs w:val="24"/>
        </w:rPr>
        <w:t xml:space="preserve">  </w:t>
      </w:r>
      <w:r w:rsidRPr="00202B1E">
        <w:rPr>
          <w:color w:val="auto"/>
          <w:szCs w:val="24"/>
        </w:rPr>
        <w:t>T</w:t>
      </w:r>
      <w:r w:rsidR="00EE255C">
        <w:rPr>
          <w:color w:val="auto"/>
          <w:szCs w:val="24"/>
        </w:rPr>
        <w:t>he PEB</w:t>
      </w:r>
      <w:r w:rsidRPr="00202B1E">
        <w:rPr>
          <w:color w:val="auto"/>
          <w:szCs w:val="24"/>
        </w:rPr>
        <w:t xml:space="preserve"> adjudicated </w:t>
      </w:r>
      <w:r w:rsidR="007F6952" w:rsidRPr="00202B1E">
        <w:rPr>
          <w:color w:val="auto"/>
          <w:szCs w:val="24"/>
        </w:rPr>
        <w:t xml:space="preserve">debilitating headache post head trauma </w:t>
      </w:r>
      <w:r w:rsidR="0094482F" w:rsidRPr="00202B1E">
        <w:rPr>
          <w:color w:val="auto"/>
          <w:szCs w:val="24"/>
        </w:rPr>
        <w:t xml:space="preserve">and </w:t>
      </w:r>
      <w:r w:rsidR="007F6952" w:rsidRPr="00202B1E">
        <w:rPr>
          <w:color w:val="auto"/>
          <w:szCs w:val="24"/>
        </w:rPr>
        <w:t xml:space="preserve">bundled the left arm condition with the pain from multiple retained shrapnel fragments conditions </w:t>
      </w:r>
      <w:r w:rsidR="008530E3" w:rsidRPr="00202B1E">
        <w:rPr>
          <w:color w:val="auto"/>
          <w:szCs w:val="24"/>
        </w:rPr>
        <w:t xml:space="preserve">as unfitting, rated </w:t>
      </w:r>
      <w:r w:rsidR="0094482F" w:rsidRPr="00202B1E">
        <w:rPr>
          <w:color w:val="auto"/>
          <w:szCs w:val="24"/>
        </w:rPr>
        <w:t>10</w:t>
      </w:r>
      <w:r w:rsidRPr="00202B1E">
        <w:rPr>
          <w:color w:val="auto"/>
          <w:szCs w:val="24"/>
        </w:rPr>
        <w:t>%</w:t>
      </w:r>
      <w:r w:rsidR="000C647D" w:rsidRPr="00202B1E">
        <w:rPr>
          <w:color w:val="auto"/>
          <w:szCs w:val="24"/>
        </w:rPr>
        <w:t xml:space="preserve"> and </w:t>
      </w:r>
      <w:r w:rsidR="0094482F" w:rsidRPr="00202B1E">
        <w:rPr>
          <w:color w:val="auto"/>
          <w:szCs w:val="24"/>
        </w:rPr>
        <w:t>10</w:t>
      </w:r>
      <w:r w:rsidR="000C647D" w:rsidRPr="00202B1E">
        <w:rPr>
          <w:color w:val="auto"/>
          <w:szCs w:val="24"/>
        </w:rPr>
        <w:t>%</w:t>
      </w:r>
      <w:r w:rsidR="001D7DBB" w:rsidRPr="00202B1E">
        <w:rPr>
          <w:color w:val="auto"/>
          <w:szCs w:val="24"/>
        </w:rPr>
        <w:t xml:space="preserve"> respectively</w:t>
      </w:r>
      <w:r w:rsidRPr="00202B1E">
        <w:rPr>
          <w:color w:val="auto"/>
          <w:szCs w:val="24"/>
        </w:rPr>
        <w:t xml:space="preserve">, </w:t>
      </w:r>
      <w:r w:rsidR="007F6952" w:rsidRPr="00202B1E">
        <w:rPr>
          <w:color w:val="auto"/>
          <w:szCs w:val="24"/>
        </w:rPr>
        <w:t>with application of the US Army Physical Disability Agency (USAPDA) pain policy.</w:t>
      </w:r>
      <w:r w:rsidR="007F6952" w:rsidRPr="00202B1E">
        <w:rPr>
          <w:szCs w:val="24"/>
        </w:rPr>
        <w:t xml:space="preserve">  </w:t>
      </w:r>
      <w:r w:rsidR="00380601" w:rsidRPr="00202B1E">
        <w:rPr>
          <w:color w:val="auto"/>
          <w:szCs w:val="24"/>
        </w:rPr>
        <w:t>The remaining conditions were determined to be not unfitting</w:t>
      </w:r>
      <w:r w:rsidR="00220DB9" w:rsidRPr="00202B1E">
        <w:rPr>
          <w:color w:val="auto"/>
          <w:szCs w:val="24"/>
        </w:rPr>
        <w:t>.</w:t>
      </w:r>
      <w:r w:rsidR="001726BA" w:rsidRPr="00202B1E">
        <w:rPr>
          <w:color w:val="auto"/>
          <w:szCs w:val="24"/>
        </w:rPr>
        <w:t xml:space="preserve">  </w:t>
      </w:r>
      <w:r w:rsidRPr="00202B1E">
        <w:rPr>
          <w:color w:val="auto"/>
          <w:szCs w:val="24"/>
        </w:rPr>
        <w:t xml:space="preserve">The CI made no appeals, and was medically separated with </w:t>
      </w:r>
      <w:r w:rsidR="0066684A" w:rsidRPr="00202B1E">
        <w:rPr>
          <w:color w:val="auto"/>
          <w:szCs w:val="24"/>
        </w:rPr>
        <w:t xml:space="preserve">a </w:t>
      </w:r>
      <w:r w:rsidR="00220DB9" w:rsidRPr="00202B1E">
        <w:rPr>
          <w:color w:val="auto"/>
          <w:szCs w:val="24"/>
        </w:rPr>
        <w:t>20</w:t>
      </w:r>
      <w:r w:rsidR="0066684A" w:rsidRPr="00202B1E">
        <w:rPr>
          <w:color w:val="auto"/>
          <w:szCs w:val="24"/>
        </w:rPr>
        <w:t xml:space="preserve">% </w:t>
      </w:r>
      <w:r w:rsidRPr="00202B1E">
        <w:rPr>
          <w:color w:val="auto"/>
          <w:szCs w:val="24"/>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1112AD">
      <w:pPr>
        <w:autoSpaceDE w:val="0"/>
        <w:autoSpaceDN w:val="0"/>
        <w:adjustRightInd w:val="0"/>
        <w:jc w:val="left"/>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2263F0">
        <w:rPr>
          <w:color w:val="auto"/>
        </w:rPr>
        <w:t>“T</w:t>
      </w:r>
      <w:r w:rsidR="002263F0" w:rsidRPr="002263F0">
        <w:rPr>
          <w:rFonts w:asciiTheme="majorHAnsi" w:hAnsiTheme="majorHAnsi" w:cstheme="majorHAnsi"/>
          <w:color w:val="auto"/>
          <w:szCs w:val="24"/>
        </w:rPr>
        <w:t xml:space="preserve">he disability rating by the </w:t>
      </w:r>
      <w:r w:rsidR="002263F0">
        <w:rPr>
          <w:rFonts w:asciiTheme="majorHAnsi" w:hAnsiTheme="majorHAnsi" w:cstheme="majorHAnsi"/>
          <w:color w:val="auto"/>
          <w:szCs w:val="24"/>
        </w:rPr>
        <w:t>A</w:t>
      </w:r>
      <w:r w:rsidR="002263F0" w:rsidRPr="002263F0">
        <w:rPr>
          <w:rFonts w:asciiTheme="majorHAnsi" w:hAnsiTheme="majorHAnsi" w:cstheme="majorHAnsi"/>
          <w:color w:val="auto"/>
          <w:szCs w:val="24"/>
        </w:rPr>
        <w:t xml:space="preserve">rmy </w:t>
      </w:r>
      <w:r w:rsidR="002263F0">
        <w:rPr>
          <w:rFonts w:asciiTheme="majorHAnsi" w:hAnsiTheme="majorHAnsi" w:cstheme="majorHAnsi"/>
          <w:color w:val="auto"/>
          <w:szCs w:val="24"/>
        </w:rPr>
        <w:t>PEB</w:t>
      </w:r>
      <w:r w:rsidR="002263F0" w:rsidRPr="002263F0">
        <w:rPr>
          <w:rFonts w:asciiTheme="majorHAnsi" w:hAnsiTheme="majorHAnsi" w:cstheme="majorHAnsi"/>
          <w:color w:val="auto"/>
          <w:szCs w:val="24"/>
        </w:rPr>
        <w:t xml:space="preserve"> conflicts significantly with the disability ratings issued by the</w:t>
      </w:r>
      <w:r w:rsidR="002263F0">
        <w:rPr>
          <w:rFonts w:asciiTheme="majorHAnsi" w:hAnsiTheme="majorHAnsi" w:cstheme="majorHAnsi"/>
          <w:color w:val="auto"/>
          <w:szCs w:val="24"/>
        </w:rPr>
        <w:t xml:space="preserve"> D</w:t>
      </w:r>
      <w:r w:rsidR="002263F0" w:rsidRPr="002263F0">
        <w:rPr>
          <w:rFonts w:asciiTheme="majorHAnsi" w:hAnsiTheme="majorHAnsi" w:cstheme="majorHAnsi"/>
          <w:color w:val="auto"/>
          <w:szCs w:val="24"/>
        </w:rPr>
        <w:t xml:space="preserve">epartment of </w:t>
      </w:r>
      <w:r w:rsidR="002263F0">
        <w:rPr>
          <w:rFonts w:asciiTheme="majorHAnsi" w:hAnsiTheme="majorHAnsi" w:cstheme="majorHAnsi"/>
          <w:color w:val="auto"/>
          <w:szCs w:val="24"/>
        </w:rPr>
        <w:t>V</w:t>
      </w:r>
      <w:r w:rsidR="002263F0" w:rsidRPr="002263F0">
        <w:rPr>
          <w:rFonts w:asciiTheme="majorHAnsi" w:hAnsiTheme="majorHAnsi" w:cstheme="majorHAnsi"/>
          <w:color w:val="auto"/>
          <w:szCs w:val="24"/>
        </w:rPr>
        <w:t xml:space="preserve">eteran </w:t>
      </w:r>
      <w:r w:rsidR="002263F0">
        <w:rPr>
          <w:rFonts w:asciiTheme="majorHAnsi" w:hAnsiTheme="majorHAnsi" w:cstheme="majorHAnsi"/>
          <w:color w:val="auto"/>
          <w:szCs w:val="24"/>
        </w:rPr>
        <w:t>A</w:t>
      </w:r>
      <w:r w:rsidR="002263F0" w:rsidRPr="002263F0">
        <w:rPr>
          <w:rFonts w:asciiTheme="majorHAnsi" w:hAnsiTheme="majorHAnsi" w:cstheme="majorHAnsi"/>
          <w:color w:val="auto"/>
          <w:szCs w:val="24"/>
        </w:rPr>
        <w:t>ffairs for the same conditions</w:t>
      </w:r>
      <w:r w:rsidR="002263F0">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B6376E">
        <w:rPr>
          <w:color w:val="auto"/>
        </w:rPr>
        <w:t>the Department of Defense Instruction (</w:t>
      </w:r>
      <w:proofErr w:type="spellStart"/>
      <w:r w:rsidR="00AE2B85">
        <w:rPr>
          <w:color w:val="auto"/>
        </w:rPr>
        <w:t>DoDI</w:t>
      </w:r>
      <w:proofErr w:type="spellEnd"/>
      <w:r w:rsidR="00B6376E">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w:t>
      </w:r>
      <w:r w:rsidRPr="00202B1E">
        <w:rPr>
          <w:color w:val="auto"/>
        </w:rPr>
        <w:t>y the PEB to be specifically unfitting for continued military service; or, when requested by the CI, those condition(s) “identified but not determined to be unfitting by the PEB.</w:t>
      </w:r>
      <w:r w:rsidR="00B6376E">
        <w:rPr>
          <w:color w:val="auto"/>
        </w:rPr>
        <w:t>”</w:t>
      </w:r>
      <w:r w:rsidRPr="00202B1E">
        <w:rPr>
          <w:color w:val="auto"/>
        </w:rPr>
        <w:t xml:space="preserve">  The ratings for unfitting conditions will be reviewed in all cases.  The conditions</w:t>
      </w:r>
      <w:r w:rsidR="00FD448E">
        <w:rPr>
          <w:color w:val="auto"/>
        </w:rPr>
        <w:t xml:space="preserve"> posttraumatic stress d</w:t>
      </w:r>
      <w:r w:rsidR="008743FE" w:rsidRPr="00202B1E">
        <w:rPr>
          <w:color w:val="auto"/>
        </w:rPr>
        <w:t>isorder</w:t>
      </w:r>
      <w:r w:rsidR="00202B1E" w:rsidRPr="00202B1E">
        <w:rPr>
          <w:color w:val="auto"/>
        </w:rPr>
        <w:t xml:space="preserve"> (</w:t>
      </w:r>
      <w:r w:rsidR="00202B1E">
        <w:rPr>
          <w:color w:val="auto"/>
        </w:rPr>
        <w:t>PTSD)</w:t>
      </w:r>
      <w:r w:rsidR="008743FE">
        <w:rPr>
          <w:color w:val="auto"/>
        </w:rPr>
        <w:t xml:space="preserve"> and </w:t>
      </w:r>
      <w:r w:rsidR="00202B1E" w:rsidRPr="002263F0">
        <w:rPr>
          <w:color w:val="auto"/>
        </w:rPr>
        <w:t xml:space="preserve">mild cognitive deficit </w:t>
      </w:r>
      <w:r w:rsidRPr="002263F0">
        <w:rPr>
          <w:color w:val="auto"/>
        </w:rPr>
        <w:t xml:space="preserve">as requested for consideration meet the criteria prescribed in DoDI 6040.44 for Board purview; and, are addressed below, in addition to a review </w:t>
      </w:r>
      <w:r w:rsidR="00A42D28">
        <w:rPr>
          <w:color w:val="auto"/>
        </w:rPr>
        <w:t xml:space="preserve">of the ratings for the </w:t>
      </w:r>
      <w:r w:rsidR="008743FE">
        <w:rPr>
          <w:color w:val="auto"/>
        </w:rPr>
        <w:t>unfitting conditions.</w:t>
      </w:r>
      <w:r w:rsidR="002263F0" w:rsidRPr="002263F0">
        <w:rPr>
          <w:color w:val="auto"/>
        </w:rPr>
        <w:t xml:space="preserve">  </w:t>
      </w:r>
      <w:r w:rsidRPr="002263F0">
        <w:rPr>
          <w:color w:val="auto"/>
        </w:rPr>
        <w:t>Any conditions or contention not requested in this application, or otherwise outside the Board’s defined scope of review, remain eligible for future consideration by the Army Board for Correction of Military Records</w:t>
      </w:r>
      <w:r w:rsidR="002263F0" w:rsidRPr="002263F0">
        <w:rPr>
          <w:color w:val="auto"/>
        </w:rPr>
        <w:t>.</w:t>
      </w:r>
    </w:p>
    <w:p w:rsidR="00921F7F" w:rsidRPr="00F64312" w:rsidRDefault="00921F7F" w:rsidP="00BF0E94">
      <w:pPr>
        <w:tabs>
          <w:tab w:val="left" w:pos="288"/>
          <w:tab w:val="left" w:pos="4752"/>
        </w:tabs>
        <w:jc w:val="both"/>
        <w:rPr>
          <w:color w:val="auto"/>
        </w:rPr>
      </w:pPr>
    </w:p>
    <w:p w:rsidR="00EC305D" w:rsidRDefault="00EC305D">
      <w:pPr>
        <w:spacing w:line="240" w:lineRule="auto"/>
        <w:jc w:val="left"/>
        <w:rPr>
          <w:color w:val="auto"/>
          <w:u w:val="single"/>
        </w:rPr>
      </w:pPr>
      <w:r>
        <w:rPr>
          <w:color w:val="auto"/>
          <w:u w:val="single"/>
        </w:rPr>
        <w:br w:type="page"/>
      </w: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902" w:type="dxa"/>
        <w:jc w:val="center"/>
        <w:tblInd w:w="-346" w:type="dxa"/>
        <w:tblLayout w:type="fixed"/>
        <w:tblLook w:val="00A0"/>
      </w:tblPr>
      <w:tblGrid>
        <w:gridCol w:w="2518"/>
        <w:gridCol w:w="1083"/>
        <w:gridCol w:w="720"/>
        <w:gridCol w:w="2790"/>
        <w:gridCol w:w="1080"/>
        <w:gridCol w:w="720"/>
        <w:gridCol w:w="991"/>
      </w:tblGrid>
      <w:tr w:rsidR="00F90376" w:rsidRPr="00F64312" w:rsidTr="00D75FAE">
        <w:trPr>
          <w:trHeight w:val="170"/>
          <w:jc w:val="center"/>
        </w:trPr>
        <w:tc>
          <w:tcPr>
            <w:tcW w:w="4321" w:type="dxa"/>
            <w:gridSpan w:val="3"/>
            <w:tcBorders>
              <w:right w:val="thinThickThinSmallGap" w:sz="24" w:space="0" w:color="auto"/>
            </w:tcBorders>
            <w:shd w:val="clear" w:color="auto" w:fill="D9D9D9"/>
            <w:vAlign w:val="center"/>
          </w:tcPr>
          <w:p w:rsidR="00F90376" w:rsidRPr="00F64312" w:rsidRDefault="00F90376" w:rsidP="00191843">
            <w:pPr>
              <w:spacing w:line="180" w:lineRule="exact"/>
              <w:contextualSpacing/>
              <w:rPr>
                <w:rFonts w:cs="Calibri"/>
                <w:b/>
                <w:color w:val="auto"/>
                <w:sz w:val="18"/>
              </w:rPr>
            </w:pPr>
            <w:r w:rsidRPr="00F64312">
              <w:rPr>
                <w:b/>
                <w:color w:val="auto"/>
                <w:sz w:val="18"/>
              </w:rPr>
              <w:t xml:space="preserve">Service </w:t>
            </w:r>
            <w:r w:rsidR="00836B7B" w:rsidRPr="00191843">
              <w:rPr>
                <w:b/>
                <w:color w:val="auto"/>
                <w:sz w:val="18"/>
              </w:rPr>
              <w:t>Admin</w:t>
            </w:r>
            <w:r w:rsidRPr="00F64312">
              <w:rPr>
                <w:b/>
                <w:color w:val="auto"/>
                <w:sz w:val="18"/>
              </w:rPr>
              <w:t xml:space="preserve"> PEB – Dated </w:t>
            </w:r>
            <w:r w:rsidRPr="00191843">
              <w:rPr>
                <w:b/>
                <w:color w:val="auto"/>
                <w:sz w:val="18"/>
              </w:rPr>
              <w:t>200</w:t>
            </w:r>
            <w:r w:rsidR="00191843" w:rsidRPr="00191843">
              <w:rPr>
                <w:b/>
                <w:color w:val="auto"/>
                <w:sz w:val="18"/>
              </w:rPr>
              <w:t>60620</w:t>
            </w:r>
          </w:p>
        </w:tc>
        <w:tc>
          <w:tcPr>
            <w:tcW w:w="5581" w:type="dxa"/>
            <w:gridSpan w:val="4"/>
            <w:tcBorders>
              <w:left w:val="thinThickThinSmallGap" w:sz="24" w:space="0" w:color="auto"/>
            </w:tcBorders>
            <w:shd w:val="clear" w:color="auto" w:fill="D9D9D9"/>
            <w:vAlign w:val="center"/>
          </w:tcPr>
          <w:p w:rsidR="00F90376" w:rsidRPr="00F64312" w:rsidRDefault="00F90376" w:rsidP="00B85189">
            <w:pPr>
              <w:spacing w:line="180" w:lineRule="exact"/>
              <w:contextualSpacing/>
              <w:rPr>
                <w:rFonts w:cs="Calibri"/>
                <w:b/>
                <w:color w:val="auto"/>
                <w:sz w:val="18"/>
              </w:rPr>
            </w:pPr>
            <w:r w:rsidRPr="00F64312">
              <w:rPr>
                <w:b/>
                <w:color w:val="auto"/>
                <w:sz w:val="18"/>
              </w:rPr>
              <w:t>VA (</w:t>
            </w:r>
            <w:r w:rsidR="00B85189">
              <w:rPr>
                <w:b/>
                <w:color w:val="auto"/>
                <w:sz w:val="18"/>
              </w:rPr>
              <w:t>2</w:t>
            </w:r>
            <w:r w:rsidRPr="00F64312">
              <w:rPr>
                <w:b/>
                <w:color w:val="auto"/>
                <w:sz w:val="18"/>
              </w:rPr>
              <w:t xml:space="preserve"> Mos. </w:t>
            </w:r>
            <w:r w:rsidR="00B85189">
              <w:rPr>
                <w:b/>
                <w:color w:val="auto"/>
                <w:sz w:val="18"/>
              </w:rPr>
              <w:t>Pre-s</w:t>
            </w:r>
            <w:r w:rsidRPr="00F64312">
              <w:rPr>
                <w:b/>
                <w:color w:val="auto"/>
                <w:sz w:val="18"/>
              </w:rPr>
              <w:t xml:space="preserve">eparation) – All Effective Date </w:t>
            </w:r>
            <w:r w:rsidRPr="00B85189">
              <w:rPr>
                <w:b/>
                <w:color w:val="auto"/>
                <w:sz w:val="18"/>
              </w:rPr>
              <w:t>200</w:t>
            </w:r>
            <w:r w:rsidR="00B85189">
              <w:rPr>
                <w:b/>
                <w:color w:val="auto"/>
                <w:sz w:val="18"/>
              </w:rPr>
              <w:t>60722</w:t>
            </w:r>
          </w:p>
        </w:tc>
      </w:tr>
      <w:tr w:rsidR="00F90376" w:rsidRPr="00F64312" w:rsidTr="00D75FAE">
        <w:trPr>
          <w:trHeight w:val="97"/>
          <w:jc w:val="center"/>
        </w:trPr>
        <w:tc>
          <w:tcPr>
            <w:tcW w:w="2518"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3"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79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1"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D75FAE">
        <w:trPr>
          <w:trHeight w:val="118"/>
          <w:jc w:val="center"/>
        </w:trPr>
        <w:tc>
          <w:tcPr>
            <w:tcW w:w="2518" w:type="dxa"/>
            <w:tcBorders>
              <w:right w:val="single" w:sz="4" w:space="0" w:color="auto"/>
            </w:tcBorders>
            <w:shd w:val="clear" w:color="auto" w:fill="FFFFFF"/>
            <w:vAlign w:val="center"/>
          </w:tcPr>
          <w:p w:rsidR="00F90376" w:rsidRPr="00202B1E" w:rsidRDefault="00191843" w:rsidP="006B690F">
            <w:pPr>
              <w:spacing w:line="180" w:lineRule="exact"/>
              <w:contextualSpacing/>
              <w:jc w:val="left"/>
              <w:rPr>
                <w:rFonts w:cs="Calibri"/>
                <w:color w:val="auto"/>
                <w:sz w:val="18"/>
              </w:rPr>
            </w:pPr>
            <w:r w:rsidRPr="00202B1E">
              <w:rPr>
                <w:rFonts w:cs="Calibri"/>
                <w:color w:val="auto"/>
                <w:sz w:val="18"/>
              </w:rPr>
              <w:t>Chronic Debilitating Headaches Post Head Trauma Secondary to IED Blast</w:t>
            </w:r>
          </w:p>
        </w:tc>
        <w:tc>
          <w:tcPr>
            <w:tcW w:w="1083" w:type="dxa"/>
            <w:tcBorders>
              <w:left w:val="single" w:sz="4" w:space="0" w:color="auto"/>
            </w:tcBorders>
            <w:shd w:val="clear" w:color="auto" w:fill="FFFFFF"/>
            <w:vAlign w:val="center"/>
          </w:tcPr>
          <w:p w:rsidR="00F90376" w:rsidRPr="00202B1E" w:rsidRDefault="00191843" w:rsidP="006B690F">
            <w:pPr>
              <w:spacing w:line="180" w:lineRule="exact"/>
              <w:contextualSpacing/>
              <w:rPr>
                <w:rFonts w:cs="Calibri"/>
                <w:color w:val="auto"/>
                <w:sz w:val="18"/>
              </w:rPr>
            </w:pPr>
            <w:r w:rsidRPr="00202B1E">
              <w:rPr>
                <w:rFonts w:cs="Calibri"/>
                <w:color w:val="auto"/>
                <w:sz w:val="18"/>
              </w:rPr>
              <w:t>8045-9304</w:t>
            </w:r>
          </w:p>
        </w:tc>
        <w:tc>
          <w:tcPr>
            <w:tcW w:w="720" w:type="dxa"/>
            <w:tcBorders>
              <w:right w:val="thinThickThinSmallGap" w:sz="24" w:space="0" w:color="auto"/>
            </w:tcBorders>
            <w:shd w:val="clear" w:color="auto" w:fill="FFFFFF"/>
            <w:vAlign w:val="center"/>
          </w:tcPr>
          <w:p w:rsidR="00F90376" w:rsidRPr="00202B1E" w:rsidRDefault="00191843" w:rsidP="006B690F">
            <w:pPr>
              <w:spacing w:line="180" w:lineRule="exact"/>
              <w:rPr>
                <w:rFonts w:cs="Calibri"/>
                <w:color w:val="auto"/>
                <w:sz w:val="18"/>
              </w:rPr>
            </w:pPr>
            <w:r w:rsidRPr="00202B1E">
              <w:rPr>
                <w:rFonts w:cs="Calibri"/>
                <w:color w:val="auto"/>
                <w:sz w:val="18"/>
              </w:rPr>
              <w:t>10%</w:t>
            </w:r>
          </w:p>
        </w:tc>
        <w:tc>
          <w:tcPr>
            <w:tcW w:w="2790" w:type="dxa"/>
            <w:tcBorders>
              <w:left w:val="thinThickThinSmallGap" w:sz="24" w:space="0" w:color="auto"/>
            </w:tcBorders>
            <w:shd w:val="clear" w:color="auto" w:fill="FFFFFF"/>
            <w:vAlign w:val="center"/>
          </w:tcPr>
          <w:p w:rsidR="00F90376" w:rsidRPr="00202B1E" w:rsidRDefault="00B85189" w:rsidP="0017172C">
            <w:pPr>
              <w:spacing w:line="180" w:lineRule="exact"/>
              <w:contextualSpacing/>
              <w:jc w:val="left"/>
              <w:rPr>
                <w:rFonts w:cs="Calibri"/>
                <w:color w:val="auto"/>
                <w:sz w:val="18"/>
              </w:rPr>
            </w:pPr>
            <w:r w:rsidRPr="00202B1E">
              <w:rPr>
                <w:rFonts w:cs="Calibri"/>
                <w:color w:val="auto"/>
                <w:sz w:val="18"/>
              </w:rPr>
              <w:t>Migraine Headaches S/P Head Injury</w:t>
            </w:r>
          </w:p>
        </w:tc>
        <w:tc>
          <w:tcPr>
            <w:tcW w:w="1080" w:type="dxa"/>
            <w:shd w:val="clear" w:color="auto" w:fill="FFFFFF"/>
            <w:vAlign w:val="center"/>
          </w:tcPr>
          <w:p w:rsidR="00F90376" w:rsidRPr="00202B1E" w:rsidRDefault="00B85189" w:rsidP="0017172C">
            <w:pPr>
              <w:spacing w:line="180" w:lineRule="exact"/>
              <w:contextualSpacing/>
              <w:rPr>
                <w:rFonts w:cs="Calibri"/>
                <w:color w:val="auto"/>
                <w:sz w:val="18"/>
              </w:rPr>
            </w:pPr>
            <w:r w:rsidRPr="00202B1E">
              <w:rPr>
                <w:rFonts w:cs="Calibri"/>
                <w:color w:val="auto"/>
                <w:sz w:val="18"/>
              </w:rPr>
              <w:t>8100</w:t>
            </w:r>
          </w:p>
        </w:tc>
        <w:tc>
          <w:tcPr>
            <w:tcW w:w="720" w:type="dxa"/>
            <w:shd w:val="clear" w:color="auto" w:fill="FFFFFF"/>
            <w:vAlign w:val="center"/>
          </w:tcPr>
          <w:p w:rsidR="00F90376" w:rsidRPr="00202B1E" w:rsidRDefault="00B85189" w:rsidP="0017172C">
            <w:pPr>
              <w:spacing w:line="180" w:lineRule="exact"/>
              <w:contextualSpacing/>
              <w:rPr>
                <w:rFonts w:cs="Calibri"/>
                <w:color w:val="auto"/>
                <w:sz w:val="18"/>
              </w:rPr>
            </w:pPr>
            <w:r w:rsidRPr="00202B1E">
              <w:rPr>
                <w:rFonts w:cs="Calibri"/>
                <w:color w:val="auto"/>
                <w:sz w:val="18"/>
              </w:rPr>
              <w:t>30%</w:t>
            </w:r>
          </w:p>
        </w:tc>
        <w:tc>
          <w:tcPr>
            <w:tcW w:w="991" w:type="dxa"/>
            <w:shd w:val="clear" w:color="auto" w:fill="FFFFFF"/>
            <w:vAlign w:val="center"/>
          </w:tcPr>
          <w:p w:rsidR="00F90376" w:rsidRPr="00202B1E" w:rsidRDefault="00A314B6" w:rsidP="00B85189">
            <w:pPr>
              <w:spacing w:line="180" w:lineRule="exact"/>
              <w:contextualSpacing/>
              <w:rPr>
                <w:rFonts w:cs="Calibri"/>
                <w:color w:val="auto"/>
                <w:sz w:val="18"/>
              </w:rPr>
            </w:pPr>
            <w:r w:rsidRPr="00202B1E">
              <w:rPr>
                <w:color w:val="auto"/>
                <w:sz w:val="18"/>
              </w:rPr>
              <w:t>200</w:t>
            </w:r>
            <w:r w:rsidR="00B85189" w:rsidRPr="00202B1E">
              <w:rPr>
                <w:color w:val="auto"/>
                <w:sz w:val="18"/>
              </w:rPr>
              <w:t>60531</w:t>
            </w:r>
          </w:p>
        </w:tc>
      </w:tr>
      <w:tr w:rsidR="00F75BCB" w:rsidRPr="00F64312" w:rsidTr="00D75FAE">
        <w:trPr>
          <w:trHeight w:val="118"/>
          <w:jc w:val="center"/>
        </w:trPr>
        <w:tc>
          <w:tcPr>
            <w:tcW w:w="2518" w:type="dxa"/>
            <w:vMerge w:val="restart"/>
            <w:tcBorders>
              <w:right w:val="single" w:sz="4" w:space="0" w:color="auto"/>
            </w:tcBorders>
            <w:shd w:val="clear" w:color="auto" w:fill="FFFFFF"/>
            <w:vAlign w:val="center"/>
          </w:tcPr>
          <w:p w:rsidR="00F75BCB" w:rsidRDefault="00F75BCB" w:rsidP="006B690F">
            <w:pPr>
              <w:spacing w:line="180" w:lineRule="exact"/>
              <w:contextualSpacing/>
              <w:jc w:val="left"/>
              <w:rPr>
                <w:color w:val="auto"/>
                <w:sz w:val="18"/>
              </w:rPr>
            </w:pPr>
            <w:r>
              <w:rPr>
                <w:color w:val="auto"/>
                <w:sz w:val="18"/>
              </w:rPr>
              <w:t>Chronic Pain from Multiple Retained Shrapnel Fragments in Multiple Body Locations</w:t>
            </w:r>
          </w:p>
        </w:tc>
        <w:tc>
          <w:tcPr>
            <w:tcW w:w="1083" w:type="dxa"/>
            <w:vMerge w:val="restart"/>
            <w:tcBorders>
              <w:left w:val="single" w:sz="4" w:space="0" w:color="auto"/>
            </w:tcBorders>
            <w:shd w:val="clear" w:color="auto" w:fill="FFFFFF"/>
            <w:vAlign w:val="center"/>
          </w:tcPr>
          <w:p w:rsidR="00F75BCB" w:rsidRPr="00202B1E" w:rsidRDefault="00F75BCB" w:rsidP="006B690F">
            <w:pPr>
              <w:spacing w:line="180" w:lineRule="exact"/>
              <w:contextualSpacing/>
              <w:rPr>
                <w:color w:val="auto"/>
                <w:sz w:val="18"/>
              </w:rPr>
            </w:pPr>
            <w:r w:rsidRPr="00202B1E">
              <w:rPr>
                <w:color w:val="auto"/>
                <w:sz w:val="18"/>
              </w:rPr>
              <w:t>5099-5003</w:t>
            </w:r>
          </w:p>
        </w:tc>
        <w:tc>
          <w:tcPr>
            <w:tcW w:w="720" w:type="dxa"/>
            <w:vMerge w:val="restart"/>
            <w:tcBorders>
              <w:right w:val="thinThickThinSmallGap" w:sz="24" w:space="0" w:color="auto"/>
            </w:tcBorders>
            <w:shd w:val="clear" w:color="auto" w:fill="FFFFFF"/>
            <w:vAlign w:val="center"/>
          </w:tcPr>
          <w:p w:rsidR="00F75BCB" w:rsidRPr="001F5E79" w:rsidRDefault="00F75BCB" w:rsidP="006B690F">
            <w:pPr>
              <w:spacing w:line="180" w:lineRule="exact"/>
              <w:rPr>
                <w:color w:val="auto"/>
                <w:sz w:val="18"/>
                <w:highlight w:val="yellow"/>
              </w:rPr>
            </w:pPr>
            <w:r w:rsidRPr="001F5E79">
              <w:rPr>
                <w:color w:val="auto"/>
                <w:sz w:val="18"/>
              </w:rPr>
              <w:t>10%</w:t>
            </w:r>
          </w:p>
        </w:tc>
        <w:tc>
          <w:tcPr>
            <w:tcW w:w="2790" w:type="dxa"/>
            <w:tcBorders>
              <w:left w:val="thinThickThinSmallGap" w:sz="24" w:space="0" w:color="auto"/>
            </w:tcBorders>
            <w:shd w:val="clear" w:color="auto" w:fill="FFFFFF"/>
            <w:vAlign w:val="center"/>
          </w:tcPr>
          <w:p w:rsidR="00F75BCB" w:rsidRPr="001F5E79" w:rsidRDefault="00F75BCB" w:rsidP="00902187">
            <w:pPr>
              <w:autoSpaceDE w:val="0"/>
              <w:autoSpaceDN w:val="0"/>
              <w:adjustRightInd w:val="0"/>
              <w:spacing w:line="240" w:lineRule="auto"/>
              <w:jc w:val="left"/>
              <w:rPr>
                <w:rFonts w:asciiTheme="majorHAnsi" w:hAnsiTheme="majorHAnsi" w:cstheme="majorHAnsi"/>
                <w:color w:val="auto"/>
                <w:sz w:val="18"/>
                <w:szCs w:val="18"/>
              </w:rPr>
            </w:pPr>
            <w:r w:rsidRPr="001F5E79">
              <w:rPr>
                <w:rFonts w:asciiTheme="majorHAnsi" w:hAnsiTheme="majorHAnsi" w:cstheme="majorHAnsi"/>
                <w:color w:val="auto"/>
                <w:sz w:val="18"/>
                <w:szCs w:val="18"/>
              </w:rPr>
              <w:t>Scar, Left Distal Forearm</w:t>
            </w:r>
          </w:p>
        </w:tc>
        <w:tc>
          <w:tcPr>
            <w:tcW w:w="1080" w:type="dxa"/>
            <w:shd w:val="clear" w:color="auto" w:fill="FFFFFF"/>
            <w:vAlign w:val="center"/>
          </w:tcPr>
          <w:p w:rsidR="00F75BCB" w:rsidRPr="001F5E79" w:rsidRDefault="00F75BCB" w:rsidP="00902187">
            <w:pPr>
              <w:spacing w:line="180" w:lineRule="exact"/>
              <w:contextualSpacing/>
              <w:rPr>
                <w:color w:val="auto"/>
                <w:sz w:val="18"/>
              </w:rPr>
            </w:pPr>
            <w:r w:rsidRPr="001F5E79">
              <w:rPr>
                <w:color w:val="auto"/>
                <w:sz w:val="18"/>
              </w:rPr>
              <w:t>5228</w:t>
            </w:r>
          </w:p>
        </w:tc>
        <w:tc>
          <w:tcPr>
            <w:tcW w:w="720" w:type="dxa"/>
            <w:shd w:val="clear" w:color="auto" w:fill="FFFFFF"/>
            <w:vAlign w:val="center"/>
          </w:tcPr>
          <w:p w:rsidR="00F75BCB" w:rsidRPr="001F5E79" w:rsidRDefault="00F75BCB" w:rsidP="00902187">
            <w:pPr>
              <w:spacing w:line="180" w:lineRule="exact"/>
              <w:contextualSpacing/>
              <w:rPr>
                <w:color w:val="auto"/>
                <w:sz w:val="18"/>
              </w:rPr>
            </w:pPr>
            <w:r w:rsidRPr="001F5E79">
              <w:rPr>
                <w:color w:val="auto"/>
                <w:sz w:val="18"/>
              </w:rPr>
              <w:t>20%</w:t>
            </w:r>
          </w:p>
        </w:tc>
        <w:tc>
          <w:tcPr>
            <w:tcW w:w="991" w:type="dxa"/>
            <w:shd w:val="clear" w:color="auto" w:fill="FFFFFF"/>
            <w:vAlign w:val="center"/>
          </w:tcPr>
          <w:p w:rsidR="00F75BCB" w:rsidRPr="001F5E79" w:rsidRDefault="00F75BCB" w:rsidP="00902187">
            <w:pPr>
              <w:spacing w:line="180" w:lineRule="exact"/>
              <w:contextualSpacing/>
              <w:rPr>
                <w:color w:val="auto"/>
                <w:sz w:val="18"/>
              </w:rPr>
            </w:pPr>
            <w:r w:rsidRPr="001F5E79">
              <w:rPr>
                <w:color w:val="auto"/>
                <w:sz w:val="18"/>
              </w:rPr>
              <w:t>20060531</w:t>
            </w:r>
          </w:p>
        </w:tc>
      </w:tr>
      <w:tr w:rsidR="00F75BCB" w:rsidRPr="00F64312" w:rsidTr="00D75FAE">
        <w:trPr>
          <w:trHeight w:val="118"/>
          <w:jc w:val="center"/>
        </w:trPr>
        <w:tc>
          <w:tcPr>
            <w:tcW w:w="2518" w:type="dxa"/>
            <w:vMerge/>
            <w:tcBorders>
              <w:right w:val="single" w:sz="4" w:space="0" w:color="auto"/>
            </w:tcBorders>
            <w:shd w:val="clear" w:color="auto" w:fill="FFFFFF"/>
            <w:vAlign w:val="center"/>
          </w:tcPr>
          <w:p w:rsidR="00F75BCB" w:rsidRDefault="00F75BCB" w:rsidP="006B690F">
            <w:pPr>
              <w:spacing w:line="180" w:lineRule="exact"/>
              <w:contextualSpacing/>
              <w:jc w:val="left"/>
              <w:rPr>
                <w:color w:val="auto"/>
                <w:sz w:val="18"/>
              </w:rPr>
            </w:pPr>
          </w:p>
        </w:tc>
        <w:tc>
          <w:tcPr>
            <w:tcW w:w="1083" w:type="dxa"/>
            <w:vMerge/>
            <w:tcBorders>
              <w:left w:val="single" w:sz="4" w:space="0" w:color="auto"/>
            </w:tcBorders>
            <w:shd w:val="clear" w:color="auto" w:fill="FFFFFF"/>
            <w:vAlign w:val="center"/>
          </w:tcPr>
          <w:p w:rsidR="00F75BCB" w:rsidRPr="00202B1E" w:rsidRDefault="00F75BCB"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F75BCB" w:rsidRPr="001F5E79" w:rsidRDefault="00F75BCB" w:rsidP="006B690F">
            <w:pPr>
              <w:spacing w:line="180" w:lineRule="exact"/>
              <w:rPr>
                <w:color w:val="auto"/>
                <w:sz w:val="18"/>
                <w:highlight w:val="yellow"/>
              </w:rPr>
            </w:pPr>
          </w:p>
        </w:tc>
        <w:tc>
          <w:tcPr>
            <w:tcW w:w="2790" w:type="dxa"/>
            <w:tcBorders>
              <w:left w:val="thinThickThinSmallGap" w:sz="24" w:space="0" w:color="auto"/>
            </w:tcBorders>
            <w:shd w:val="clear" w:color="auto" w:fill="FFFFFF"/>
            <w:vAlign w:val="center"/>
          </w:tcPr>
          <w:p w:rsidR="00F75BCB" w:rsidRPr="001F5E79" w:rsidRDefault="00F75BCB" w:rsidP="008A6652">
            <w:pPr>
              <w:spacing w:line="180" w:lineRule="exact"/>
              <w:contextualSpacing/>
              <w:jc w:val="left"/>
              <w:rPr>
                <w:color w:val="auto"/>
                <w:sz w:val="18"/>
              </w:rPr>
            </w:pPr>
            <w:r w:rsidRPr="001F5E79">
              <w:rPr>
                <w:color w:val="auto"/>
                <w:sz w:val="18"/>
              </w:rPr>
              <w:t>Ulnar Neuropathy, Left Upper Extremity</w:t>
            </w:r>
          </w:p>
        </w:tc>
        <w:tc>
          <w:tcPr>
            <w:tcW w:w="1080" w:type="dxa"/>
            <w:shd w:val="clear" w:color="auto" w:fill="FFFFFF"/>
            <w:vAlign w:val="center"/>
          </w:tcPr>
          <w:p w:rsidR="00F75BCB" w:rsidRPr="001F5E79" w:rsidRDefault="00F75BCB" w:rsidP="008A6652">
            <w:pPr>
              <w:spacing w:line="180" w:lineRule="exact"/>
              <w:contextualSpacing/>
              <w:rPr>
                <w:color w:val="auto"/>
                <w:sz w:val="18"/>
              </w:rPr>
            </w:pPr>
            <w:r w:rsidRPr="001F5E79">
              <w:rPr>
                <w:color w:val="auto"/>
                <w:sz w:val="18"/>
              </w:rPr>
              <w:t>8516</w:t>
            </w:r>
          </w:p>
        </w:tc>
        <w:tc>
          <w:tcPr>
            <w:tcW w:w="720" w:type="dxa"/>
            <w:shd w:val="clear" w:color="auto" w:fill="FFFFFF"/>
            <w:vAlign w:val="center"/>
          </w:tcPr>
          <w:p w:rsidR="00F75BCB" w:rsidRPr="001F5E79" w:rsidRDefault="00F75BCB" w:rsidP="008A6652">
            <w:pPr>
              <w:spacing w:line="180" w:lineRule="exact"/>
              <w:contextualSpacing/>
              <w:rPr>
                <w:color w:val="auto"/>
                <w:sz w:val="18"/>
              </w:rPr>
            </w:pPr>
            <w:r w:rsidRPr="001F5E79">
              <w:rPr>
                <w:color w:val="auto"/>
                <w:sz w:val="18"/>
              </w:rPr>
              <w:t>10%</w:t>
            </w:r>
          </w:p>
        </w:tc>
        <w:tc>
          <w:tcPr>
            <w:tcW w:w="991" w:type="dxa"/>
            <w:shd w:val="clear" w:color="auto" w:fill="FFFFFF"/>
            <w:vAlign w:val="center"/>
          </w:tcPr>
          <w:p w:rsidR="00F75BCB" w:rsidRPr="001F5E79" w:rsidRDefault="00F75BCB" w:rsidP="008A6652">
            <w:pPr>
              <w:spacing w:line="180" w:lineRule="exact"/>
              <w:contextualSpacing/>
              <w:rPr>
                <w:color w:val="auto"/>
                <w:sz w:val="18"/>
              </w:rPr>
            </w:pPr>
            <w:r w:rsidRPr="001F5E79">
              <w:rPr>
                <w:color w:val="auto"/>
                <w:sz w:val="18"/>
              </w:rPr>
              <w:t>20060531</w:t>
            </w:r>
          </w:p>
        </w:tc>
      </w:tr>
      <w:tr w:rsidR="00F75BCB" w:rsidRPr="00F64312" w:rsidTr="00D75FAE">
        <w:trPr>
          <w:trHeight w:val="118"/>
          <w:jc w:val="center"/>
        </w:trPr>
        <w:tc>
          <w:tcPr>
            <w:tcW w:w="2518" w:type="dxa"/>
            <w:vMerge/>
            <w:tcBorders>
              <w:right w:val="single" w:sz="4" w:space="0" w:color="auto"/>
            </w:tcBorders>
            <w:shd w:val="clear" w:color="auto" w:fill="FFFFFF"/>
            <w:vAlign w:val="center"/>
          </w:tcPr>
          <w:p w:rsidR="00F75BCB" w:rsidRPr="00F64312" w:rsidRDefault="00F75BCB" w:rsidP="006B690F">
            <w:pPr>
              <w:spacing w:line="180" w:lineRule="exact"/>
              <w:contextualSpacing/>
              <w:jc w:val="left"/>
              <w:rPr>
                <w:color w:val="auto"/>
                <w:sz w:val="18"/>
              </w:rPr>
            </w:pPr>
          </w:p>
        </w:tc>
        <w:tc>
          <w:tcPr>
            <w:tcW w:w="1083" w:type="dxa"/>
            <w:vMerge/>
            <w:tcBorders>
              <w:left w:val="single" w:sz="4" w:space="0" w:color="auto"/>
            </w:tcBorders>
            <w:shd w:val="clear" w:color="auto" w:fill="FFFFFF"/>
            <w:vAlign w:val="center"/>
          </w:tcPr>
          <w:p w:rsidR="00F75BCB" w:rsidRPr="00202B1E" w:rsidRDefault="00F75BCB"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F75BCB" w:rsidRPr="00202B1E" w:rsidRDefault="00F75BCB" w:rsidP="006B690F">
            <w:pPr>
              <w:spacing w:line="180" w:lineRule="exact"/>
              <w:rPr>
                <w:color w:val="auto"/>
                <w:sz w:val="18"/>
              </w:rPr>
            </w:pPr>
          </w:p>
        </w:tc>
        <w:tc>
          <w:tcPr>
            <w:tcW w:w="2790" w:type="dxa"/>
            <w:tcBorders>
              <w:left w:val="thinThickThinSmallGap" w:sz="24" w:space="0" w:color="auto"/>
            </w:tcBorders>
            <w:shd w:val="clear" w:color="auto" w:fill="FFFFFF"/>
            <w:vAlign w:val="center"/>
          </w:tcPr>
          <w:p w:rsidR="00F75BCB" w:rsidRPr="00202B1E" w:rsidRDefault="00F75BCB" w:rsidP="00B85189">
            <w:pPr>
              <w:autoSpaceDE w:val="0"/>
              <w:autoSpaceDN w:val="0"/>
              <w:adjustRightInd w:val="0"/>
              <w:spacing w:line="240" w:lineRule="auto"/>
              <w:jc w:val="left"/>
              <w:rPr>
                <w:rFonts w:asciiTheme="majorHAnsi" w:hAnsiTheme="majorHAnsi" w:cstheme="majorHAnsi"/>
                <w:color w:val="auto"/>
                <w:sz w:val="18"/>
                <w:szCs w:val="18"/>
              </w:rPr>
            </w:pPr>
            <w:r w:rsidRPr="00202B1E">
              <w:rPr>
                <w:rFonts w:asciiTheme="majorHAnsi" w:hAnsiTheme="majorHAnsi" w:cstheme="majorHAnsi"/>
                <w:color w:val="auto"/>
                <w:sz w:val="18"/>
                <w:szCs w:val="18"/>
              </w:rPr>
              <w:t>Retained Conjunctival Foreign Body and Corneal Scar</w:t>
            </w:r>
          </w:p>
          <w:p w:rsidR="00F75BCB" w:rsidRPr="00202B1E" w:rsidRDefault="00F75BCB" w:rsidP="00B85189">
            <w:pPr>
              <w:spacing w:line="180" w:lineRule="exact"/>
              <w:contextualSpacing/>
              <w:jc w:val="left"/>
              <w:rPr>
                <w:color w:val="auto"/>
                <w:sz w:val="18"/>
              </w:rPr>
            </w:pPr>
            <w:r w:rsidRPr="00202B1E">
              <w:rPr>
                <w:rFonts w:asciiTheme="majorHAnsi" w:hAnsiTheme="majorHAnsi" w:cstheme="majorHAnsi"/>
                <w:iCs/>
                <w:color w:val="auto"/>
                <w:sz w:val="18"/>
                <w:szCs w:val="18"/>
              </w:rPr>
              <w:t xml:space="preserve">S/P </w:t>
            </w:r>
            <w:r w:rsidRPr="00202B1E">
              <w:rPr>
                <w:rFonts w:asciiTheme="majorHAnsi" w:hAnsiTheme="majorHAnsi" w:cstheme="majorHAnsi"/>
                <w:i/>
                <w:iCs/>
                <w:color w:val="auto"/>
                <w:sz w:val="18"/>
                <w:szCs w:val="18"/>
              </w:rPr>
              <w:t xml:space="preserve"> </w:t>
            </w:r>
            <w:r w:rsidRPr="00202B1E">
              <w:rPr>
                <w:rFonts w:asciiTheme="majorHAnsi" w:hAnsiTheme="majorHAnsi" w:cstheme="majorHAnsi"/>
                <w:color w:val="auto"/>
                <w:sz w:val="18"/>
                <w:szCs w:val="18"/>
              </w:rPr>
              <w:t>Shrapnel Injury, Right Eye</w:t>
            </w:r>
          </w:p>
        </w:tc>
        <w:tc>
          <w:tcPr>
            <w:tcW w:w="1080" w:type="dxa"/>
            <w:shd w:val="clear" w:color="auto" w:fill="FFFFFF"/>
            <w:vAlign w:val="center"/>
          </w:tcPr>
          <w:p w:rsidR="00F75BCB" w:rsidRPr="00F64312" w:rsidRDefault="00F75BCB" w:rsidP="0017172C">
            <w:pPr>
              <w:spacing w:line="180" w:lineRule="exact"/>
              <w:contextualSpacing/>
              <w:rPr>
                <w:color w:val="auto"/>
                <w:sz w:val="18"/>
              </w:rPr>
            </w:pPr>
            <w:r>
              <w:rPr>
                <w:color w:val="auto"/>
                <w:sz w:val="18"/>
              </w:rPr>
              <w:t>6009</w:t>
            </w:r>
          </w:p>
        </w:tc>
        <w:tc>
          <w:tcPr>
            <w:tcW w:w="720" w:type="dxa"/>
            <w:shd w:val="clear" w:color="auto" w:fill="FFFFFF"/>
            <w:vAlign w:val="center"/>
          </w:tcPr>
          <w:p w:rsidR="00F75BCB" w:rsidRPr="00F64312" w:rsidRDefault="00F75BCB" w:rsidP="0017172C">
            <w:pPr>
              <w:spacing w:line="180" w:lineRule="exact"/>
              <w:contextualSpacing/>
              <w:rPr>
                <w:color w:val="auto"/>
                <w:sz w:val="18"/>
              </w:rPr>
            </w:pPr>
            <w:r w:rsidRPr="003244D7">
              <w:rPr>
                <w:color w:val="auto"/>
                <w:sz w:val="18"/>
              </w:rPr>
              <w:t>10%</w:t>
            </w:r>
          </w:p>
        </w:tc>
        <w:tc>
          <w:tcPr>
            <w:tcW w:w="991" w:type="dxa"/>
            <w:shd w:val="clear" w:color="auto" w:fill="FFFFFF"/>
            <w:vAlign w:val="center"/>
          </w:tcPr>
          <w:p w:rsidR="00F75BCB" w:rsidRPr="00F64312" w:rsidRDefault="00F75BCB" w:rsidP="0017172C">
            <w:pPr>
              <w:spacing w:line="180" w:lineRule="exact"/>
              <w:contextualSpacing/>
              <w:rPr>
                <w:color w:val="auto"/>
                <w:sz w:val="18"/>
                <w:highlight w:val="yellow"/>
              </w:rPr>
            </w:pPr>
            <w:r w:rsidRPr="00EE7809">
              <w:rPr>
                <w:color w:val="auto"/>
                <w:sz w:val="18"/>
              </w:rPr>
              <w:t>20060531</w:t>
            </w:r>
          </w:p>
        </w:tc>
      </w:tr>
      <w:tr w:rsidR="00F75BCB" w:rsidRPr="00F64312" w:rsidTr="00D75FAE">
        <w:trPr>
          <w:trHeight w:val="118"/>
          <w:jc w:val="center"/>
        </w:trPr>
        <w:tc>
          <w:tcPr>
            <w:tcW w:w="2518" w:type="dxa"/>
            <w:vMerge/>
            <w:tcBorders>
              <w:right w:val="single" w:sz="4" w:space="0" w:color="auto"/>
            </w:tcBorders>
            <w:shd w:val="clear" w:color="auto" w:fill="FFFFFF"/>
            <w:vAlign w:val="center"/>
          </w:tcPr>
          <w:p w:rsidR="00F75BCB" w:rsidRDefault="00F75BCB" w:rsidP="006B690F">
            <w:pPr>
              <w:spacing w:line="180" w:lineRule="exact"/>
              <w:contextualSpacing/>
              <w:jc w:val="left"/>
              <w:rPr>
                <w:color w:val="auto"/>
                <w:sz w:val="18"/>
              </w:rPr>
            </w:pPr>
          </w:p>
        </w:tc>
        <w:tc>
          <w:tcPr>
            <w:tcW w:w="1083" w:type="dxa"/>
            <w:vMerge/>
            <w:tcBorders>
              <w:left w:val="single" w:sz="4" w:space="0" w:color="auto"/>
            </w:tcBorders>
            <w:shd w:val="clear" w:color="auto" w:fill="FFFFFF"/>
            <w:vAlign w:val="center"/>
          </w:tcPr>
          <w:p w:rsidR="00F75BCB" w:rsidRPr="00202B1E" w:rsidRDefault="00F75BCB"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F75BCB" w:rsidRPr="00202B1E" w:rsidRDefault="00F75BCB" w:rsidP="006B690F">
            <w:pPr>
              <w:spacing w:line="180" w:lineRule="exact"/>
              <w:rPr>
                <w:color w:val="auto"/>
                <w:sz w:val="18"/>
              </w:rPr>
            </w:pPr>
          </w:p>
        </w:tc>
        <w:tc>
          <w:tcPr>
            <w:tcW w:w="2790" w:type="dxa"/>
            <w:tcBorders>
              <w:left w:val="thinThickThinSmallGap" w:sz="24" w:space="0" w:color="auto"/>
            </w:tcBorders>
            <w:shd w:val="clear" w:color="auto" w:fill="FFFFFF"/>
            <w:vAlign w:val="center"/>
          </w:tcPr>
          <w:p w:rsidR="00F75BCB" w:rsidRPr="00202B1E" w:rsidRDefault="00F75BCB" w:rsidP="00B85189">
            <w:pPr>
              <w:autoSpaceDE w:val="0"/>
              <w:autoSpaceDN w:val="0"/>
              <w:adjustRightInd w:val="0"/>
              <w:spacing w:line="240" w:lineRule="auto"/>
              <w:jc w:val="left"/>
              <w:rPr>
                <w:rFonts w:asciiTheme="majorHAnsi" w:hAnsiTheme="majorHAnsi" w:cstheme="majorHAnsi"/>
                <w:color w:val="auto"/>
                <w:sz w:val="18"/>
                <w:szCs w:val="18"/>
              </w:rPr>
            </w:pPr>
            <w:r w:rsidRPr="00202B1E">
              <w:rPr>
                <w:rFonts w:asciiTheme="majorHAnsi" w:hAnsiTheme="majorHAnsi" w:cstheme="majorHAnsi"/>
                <w:color w:val="auto"/>
                <w:sz w:val="18"/>
                <w:szCs w:val="18"/>
              </w:rPr>
              <w:t>Facial Scar with Shrapnel Fragments</w:t>
            </w:r>
          </w:p>
        </w:tc>
        <w:tc>
          <w:tcPr>
            <w:tcW w:w="1080" w:type="dxa"/>
            <w:shd w:val="clear" w:color="auto" w:fill="FFFFFF"/>
            <w:vAlign w:val="center"/>
          </w:tcPr>
          <w:p w:rsidR="00F75BCB" w:rsidRDefault="00F75BCB" w:rsidP="0017172C">
            <w:pPr>
              <w:spacing w:line="180" w:lineRule="exact"/>
              <w:contextualSpacing/>
              <w:rPr>
                <w:color w:val="auto"/>
                <w:sz w:val="18"/>
              </w:rPr>
            </w:pPr>
            <w:r>
              <w:rPr>
                <w:color w:val="auto"/>
                <w:sz w:val="18"/>
              </w:rPr>
              <w:t>7800</w:t>
            </w:r>
          </w:p>
        </w:tc>
        <w:tc>
          <w:tcPr>
            <w:tcW w:w="720" w:type="dxa"/>
            <w:shd w:val="clear" w:color="auto" w:fill="FFFFFF"/>
            <w:vAlign w:val="center"/>
          </w:tcPr>
          <w:p w:rsidR="00F75BCB" w:rsidRDefault="00F75BCB" w:rsidP="0017172C">
            <w:pPr>
              <w:spacing w:line="180" w:lineRule="exact"/>
              <w:contextualSpacing/>
              <w:rPr>
                <w:color w:val="auto"/>
                <w:sz w:val="18"/>
              </w:rPr>
            </w:pPr>
            <w:r>
              <w:rPr>
                <w:color w:val="auto"/>
                <w:sz w:val="18"/>
              </w:rPr>
              <w:t>10%</w:t>
            </w:r>
          </w:p>
        </w:tc>
        <w:tc>
          <w:tcPr>
            <w:tcW w:w="991" w:type="dxa"/>
            <w:shd w:val="clear" w:color="auto" w:fill="FFFFFF"/>
            <w:vAlign w:val="center"/>
          </w:tcPr>
          <w:p w:rsidR="00F75BCB" w:rsidRPr="00F64312" w:rsidRDefault="00F75BCB" w:rsidP="0017172C">
            <w:pPr>
              <w:spacing w:line="180" w:lineRule="exact"/>
              <w:contextualSpacing/>
              <w:rPr>
                <w:color w:val="auto"/>
                <w:sz w:val="18"/>
                <w:highlight w:val="yellow"/>
              </w:rPr>
            </w:pPr>
            <w:r w:rsidRPr="00EE7809">
              <w:rPr>
                <w:color w:val="auto"/>
                <w:sz w:val="18"/>
              </w:rPr>
              <w:t>20060531</w:t>
            </w:r>
          </w:p>
        </w:tc>
      </w:tr>
      <w:tr w:rsidR="00F75BCB" w:rsidRPr="00F64312" w:rsidTr="00D75FAE">
        <w:trPr>
          <w:trHeight w:val="118"/>
          <w:jc w:val="center"/>
        </w:trPr>
        <w:tc>
          <w:tcPr>
            <w:tcW w:w="2518" w:type="dxa"/>
            <w:vMerge/>
            <w:tcBorders>
              <w:right w:val="single" w:sz="4" w:space="0" w:color="auto"/>
            </w:tcBorders>
            <w:shd w:val="clear" w:color="auto" w:fill="FFFFFF"/>
            <w:vAlign w:val="center"/>
          </w:tcPr>
          <w:p w:rsidR="00F75BCB" w:rsidRDefault="00F75BCB" w:rsidP="006B690F">
            <w:pPr>
              <w:spacing w:line="180" w:lineRule="exact"/>
              <w:contextualSpacing/>
              <w:jc w:val="left"/>
              <w:rPr>
                <w:color w:val="auto"/>
                <w:sz w:val="18"/>
              </w:rPr>
            </w:pPr>
          </w:p>
        </w:tc>
        <w:tc>
          <w:tcPr>
            <w:tcW w:w="1083" w:type="dxa"/>
            <w:vMerge/>
            <w:tcBorders>
              <w:left w:val="single" w:sz="4" w:space="0" w:color="auto"/>
            </w:tcBorders>
            <w:shd w:val="clear" w:color="auto" w:fill="FFFFFF"/>
            <w:vAlign w:val="center"/>
          </w:tcPr>
          <w:p w:rsidR="00F75BCB" w:rsidRPr="00202B1E" w:rsidRDefault="00F75BCB"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F75BCB" w:rsidRPr="00202B1E" w:rsidRDefault="00F75BCB" w:rsidP="006B690F">
            <w:pPr>
              <w:spacing w:line="180" w:lineRule="exact"/>
              <w:rPr>
                <w:color w:val="auto"/>
                <w:sz w:val="18"/>
              </w:rPr>
            </w:pPr>
          </w:p>
        </w:tc>
        <w:tc>
          <w:tcPr>
            <w:tcW w:w="2790" w:type="dxa"/>
            <w:tcBorders>
              <w:left w:val="thinThickThinSmallGap" w:sz="24" w:space="0" w:color="auto"/>
            </w:tcBorders>
            <w:shd w:val="clear" w:color="auto" w:fill="FFFFFF"/>
            <w:vAlign w:val="center"/>
          </w:tcPr>
          <w:p w:rsidR="00F75BCB" w:rsidRPr="00202B1E" w:rsidRDefault="00F75BCB" w:rsidP="00B85189">
            <w:pPr>
              <w:autoSpaceDE w:val="0"/>
              <w:autoSpaceDN w:val="0"/>
              <w:adjustRightInd w:val="0"/>
              <w:spacing w:line="240" w:lineRule="auto"/>
              <w:jc w:val="left"/>
              <w:rPr>
                <w:rFonts w:asciiTheme="majorHAnsi" w:hAnsiTheme="majorHAnsi" w:cstheme="majorHAnsi"/>
                <w:color w:val="auto"/>
                <w:sz w:val="18"/>
                <w:szCs w:val="18"/>
              </w:rPr>
            </w:pPr>
            <w:r w:rsidRPr="00202B1E">
              <w:rPr>
                <w:rFonts w:asciiTheme="majorHAnsi" w:hAnsiTheme="majorHAnsi" w:cstheme="majorHAnsi"/>
                <w:color w:val="auto"/>
                <w:sz w:val="18"/>
                <w:szCs w:val="18"/>
              </w:rPr>
              <w:t>Scars, Neck S/P Tracheostomy with Shrapnel Fragments in Neck</w:t>
            </w:r>
          </w:p>
        </w:tc>
        <w:tc>
          <w:tcPr>
            <w:tcW w:w="1080" w:type="dxa"/>
            <w:shd w:val="clear" w:color="auto" w:fill="FFFFFF"/>
            <w:vAlign w:val="center"/>
          </w:tcPr>
          <w:p w:rsidR="00F75BCB" w:rsidRDefault="00F75BCB" w:rsidP="0017172C">
            <w:pPr>
              <w:spacing w:line="180" w:lineRule="exact"/>
              <w:contextualSpacing/>
              <w:rPr>
                <w:color w:val="auto"/>
                <w:sz w:val="18"/>
              </w:rPr>
            </w:pPr>
            <w:r>
              <w:rPr>
                <w:color w:val="auto"/>
                <w:sz w:val="18"/>
              </w:rPr>
              <w:t>7800</w:t>
            </w:r>
          </w:p>
        </w:tc>
        <w:tc>
          <w:tcPr>
            <w:tcW w:w="720" w:type="dxa"/>
            <w:shd w:val="clear" w:color="auto" w:fill="FFFFFF"/>
            <w:vAlign w:val="center"/>
          </w:tcPr>
          <w:p w:rsidR="00F75BCB" w:rsidRDefault="00F75BCB" w:rsidP="0017172C">
            <w:pPr>
              <w:spacing w:line="180" w:lineRule="exact"/>
              <w:contextualSpacing/>
              <w:rPr>
                <w:color w:val="auto"/>
                <w:sz w:val="18"/>
              </w:rPr>
            </w:pPr>
            <w:r>
              <w:rPr>
                <w:color w:val="auto"/>
                <w:sz w:val="18"/>
              </w:rPr>
              <w:t>10%</w:t>
            </w:r>
          </w:p>
        </w:tc>
        <w:tc>
          <w:tcPr>
            <w:tcW w:w="991" w:type="dxa"/>
            <w:shd w:val="clear" w:color="auto" w:fill="FFFFFF"/>
            <w:vAlign w:val="center"/>
          </w:tcPr>
          <w:p w:rsidR="00F75BCB" w:rsidRPr="00F64312" w:rsidRDefault="00F75BCB" w:rsidP="0017172C">
            <w:pPr>
              <w:spacing w:line="180" w:lineRule="exact"/>
              <w:contextualSpacing/>
              <w:rPr>
                <w:color w:val="auto"/>
                <w:sz w:val="18"/>
                <w:highlight w:val="yellow"/>
              </w:rPr>
            </w:pPr>
            <w:r w:rsidRPr="00EE7809">
              <w:rPr>
                <w:color w:val="auto"/>
                <w:sz w:val="18"/>
              </w:rPr>
              <w:t>20060531</w:t>
            </w:r>
          </w:p>
        </w:tc>
      </w:tr>
      <w:tr w:rsidR="00F75BCB" w:rsidRPr="00202B1E" w:rsidTr="00D75FAE">
        <w:trPr>
          <w:trHeight w:val="118"/>
          <w:jc w:val="center"/>
        </w:trPr>
        <w:tc>
          <w:tcPr>
            <w:tcW w:w="2518" w:type="dxa"/>
            <w:vMerge/>
            <w:tcBorders>
              <w:right w:val="single" w:sz="4" w:space="0" w:color="auto"/>
            </w:tcBorders>
            <w:shd w:val="clear" w:color="auto" w:fill="FFFFFF"/>
            <w:vAlign w:val="center"/>
          </w:tcPr>
          <w:p w:rsidR="00F75BCB" w:rsidRDefault="00F75BCB" w:rsidP="006B690F">
            <w:pPr>
              <w:spacing w:line="180" w:lineRule="exact"/>
              <w:contextualSpacing/>
              <w:jc w:val="left"/>
              <w:rPr>
                <w:color w:val="auto"/>
                <w:sz w:val="18"/>
              </w:rPr>
            </w:pPr>
          </w:p>
        </w:tc>
        <w:tc>
          <w:tcPr>
            <w:tcW w:w="1083" w:type="dxa"/>
            <w:vMerge/>
            <w:tcBorders>
              <w:left w:val="single" w:sz="4" w:space="0" w:color="auto"/>
            </w:tcBorders>
            <w:shd w:val="clear" w:color="auto" w:fill="FFFFFF"/>
            <w:vAlign w:val="center"/>
          </w:tcPr>
          <w:p w:rsidR="00F75BCB" w:rsidRPr="00202B1E" w:rsidRDefault="00F75BCB"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F75BCB" w:rsidRPr="00202B1E" w:rsidRDefault="00F75BCB" w:rsidP="006B690F">
            <w:pPr>
              <w:spacing w:line="180" w:lineRule="exact"/>
              <w:rPr>
                <w:color w:val="auto"/>
                <w:sz w:val="18"/>
              </w:rPr>
            </w:pPr>
          </w:p>
        </w:tc>
        <w:tc>
          <w:tcPr>
            <w:tcW w:w="2790" w:type="dxa"/>
            <w:tcBorders>
              <w:left w:val="thinThickThinSmallGap" w:sz="24" w:space="0" w:color="auto"/>
            </w:tcBorders>
            <w:shd w:val="clear" w:color="auto" w:fill="FFFFFF"/>
            <w:vAlign w:val="center"/>
          </w:tcPr>
          <w:p w:rsidR="00F75BCB" w:rsidRPr="00202B1E" w:rsidRDefault="00F75BCB" w:rsidP="00B85189">
            <w:pPr>
              <w:autoSpaceDE w:val="0"/>
              <w:autoSpaceDN w:val="0"/>
              <w:adjustRightInd w:val="0"/>
              <w:spacing w:line="240" w:lineRule="auto"/>
              <w:jc w:val="left"/>
              <w:rPr>
                <w:rFonts w:asciiTheme="majorHAnsi" w:hAnsiTheme="majorHAnsi" w:cstheme="majorHAnsi"/>
                <w:color w:val="auto"/>
                <w:sz w:val="18"/>
                <w:szCs w:val="18"/>
              </w:rPr>
            </w:pPr>
            <w:r w:rsidRPr="00202B1E">
              <w:rPr>
                <w:rFonts w:asciiTheme="majorHAnsi" w:hAnsiTheme="majorHAnsi" w:cstheme="majorHAnsi"/>
                <w:color w:val="auto"/>
                <w:sz w:val="18"/>
                <w:szCs w:val="18"/>
              </w:rPr>
              <w:t>Scars, Right Hand with Loss of Motion of Thumb</w:t>
            </w:r>
          </w:p>
        </w:tc>
        <w:tc>
          <w:tcPr>
            <w:tcW w:w="1080" w:type="dxa"/>
            <w:shd w:val="clear" w:color="auto" w:fill="FFFFFF"/>
            <w:vAlign w:val="center"/>
          </w:tcPr>
          <w:p w:rsidR="00F75BCB" w:rsidRPr="00202B1E" w:rsidRDefault="00F75BCB" w:rsidP="0017172C">
            <w:pPr>
              <w:spacing w:line="180" w:lineRule="exact"/>
              <w:contextualSpacing/>
              <w:rPr>
                <w:color w:val="auto"/>
                <w:sz w:val="18"/>
              </w:rPr>
            </w:pPr>
            <w:r w:rsidRPr="00202B1E">
              <w:rPr>
                <w:color w:val="auto"/>
                <w:sz w:val="18"/>
              </w:rPr>
              <w:t>5228</w:t>
            </w:r>
          </w:p>
        </w:tc>
        <w:tc>
          <w:tcPr>
            <w:tcW w:w="720" w:type="dxa"/>
            <w:shd w:val="clear" w:color="auto" w:fill="FFFFFF"/>
            <w:vAlign w:val="center"/>
          </w:tcPr>
          <w:p w:rsidR="00F75BCB" w:rsidRPr="00202B1E" w:rsidRDefault="00F75BCB" w:rsidP="0017172C">
            <w:pPr>
              <w:spacing w:line="180" w:lineRule="exact"/>
              <w:contextualSpacing/>
              <w:rPr>
                <w:color w:val="auto"/>
                <w:sz w:val="18"/>
              </w:rPr>
            </w:pPr>
            <w:r w:rsidRPr="00202B1E">
              <w:rPr>
                <w:color w:val="auto"/>
                <w:sz w:val="18"/>
              </w:rPr>
              <w:t>10%</w:t>
            </w:r>
          </w:p>
        </w:tc>
        <w:tc>
          <w:tcPr>
            <w:tcW w:w="991" w:type="dxa"/>
            <w:shd w:val="clear" w:color="auto" w:fill="FFFFFF"/>
            <w:vAlign w:val="center"/>
          </w:tcPr>
          <w:p w:rsidR="00F75BCB" w:rsidRPr="00202B1E" w:rsidRDefault="00F75BCB" w:rsidP="0017172C">
            <w:pPr>
              <w:spacing w:line="180" w:lineRule="exact"/>
              <w:contextualSpacing/>
              <w:rPr>
                <w:color w:val="auto"/>
                <w:sz w:val="18"/>
              </w:rPr>
            </w:pPr>
            <w:r w:rsidRPr="00202B1E">
              <w:rPr>
                <w:color w:val="auto"/>
                <w:sz w:val="18"/>
              </w:rPr>
              <w:t>20060531</w:t>
            </w:r>
          </w:p>
        </w:tc>
      </w:tr>
      <w:tr w:rsidR="00F75BCB" w:rsidRPr="00F64312" w:rsidTr="00D75FAE">
        <w:trPr>
          <w:trHeight w:val="118"/>
          <w:jc w:val="center"/>
        </w:trPr>
        <w:tc>
          <w:tcPr>
            <w:tcW w:w="2518" w:type="dxa"/>
            <w:vMerge/>
            <w:tcBorders>
              <w:right w:val="single" w:sz="4" w:space="0" w:color="auto"/>
            </w:tcBorders>
            <w:shd w:val="clear" w:color="auto" w:fill="FFFFFF"/>
            <w:vAlign w:val="center"/>
          </w:tcPr>
          <w:p w:rsidR="00F75BCB" w:rsidRDefault="00F75BCB" w:rsidP="006B690F">
            <w:pPr>
              <w:spacing w:line="180" w:lineRule="exact"/>
              <w:contextualSpacing/>
              <w:jc w:val="left"/>
              <w:rPr>
                <w:color w:val="auto"/>
                <w:sz w:val="18"/>
              </w:rPr>
            </w:pPr>
          </w:p>
        </w:tc>
        <w:tc>
          <w:tcPr>
            <w:tcW w:w="1083" w:type="dxa"/>
            <w:vMerge/>
            <w:tcBorders>
              <w:left w:val="single" w:sz="4" w:space="0" w:color="auto"/>
            </w:tcBorders>
            <w:shd w:val="clear" w:color="auto" w:fill="FFFFFF"/>
            <w:vAlign w:val="center"/>
          </w:tcPr>
          <w:p w:rsidR="00F75BCB" w:rsidRDefault="00F75BCB"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F75BCB" w:rsidRDefault="00F75BCB" w:rsidP="006B690F">
            <w:pPr>
              <w:spacing w:line="180" w:lineRule="exact"/>
              <w:rPr>
                <w:color w:val="auto"/>
                <w:sz w:val="18"/>
              </w:rPr>
            </w:pPr>
          </w:p>
        </w:tc>
        <w:tc>
          <w:tcPr>
            <w:tcW w:w="2790" w:type="dxa"/>
            <w:tcBorders>
              <w:left w:val="thinThickThinSmallGap" w:sz="24" w:space="0" w:color="auto"/>
            </w:tcBorders>
            <w:shd w:val="clear" w:color="auto" w:fill="FFFFFF"/>
            <w:vAlign w:val="center"/>
          </w:tcPr>
          <w:p w:rsidR="00F75BCB" w:rsidRDefault="00F75BCB" w:rsidP="00B85189">
            <w:pPr>
              <w:autoSpaceDE w:val="0"/>
              <w:autoSpaceDN w:val="0"/>
              <w:adjustRightInd w:val="0"/>
              <w:spacing w:line="240" w:lineRule="auto"/>
              <w:jc w:val="left"/>
              <w:rPr>
                <w:rFonts w:asciiTheme="majorHAnsi" w:hAnsiTheme="majorHAnsi" w:cstheme="majorHAnsi"/>
                <w:color w:val="auto"/>
                <w:sz w:val="18"/>
                <w:szCs w:val="18"/>
              </w:rPr>
            </w:pPr>
            <w:r>
              <w:rPr>
                <w:rFonts w:asciiTheme="majorHAnsi" w:hAnsiTheme="majorHAnsi" w:cstheme="majorHAnsi"/>
                <w:color w:val="auto"/>
                <w:sz w:val="18"/>
                <w:szCs w:val="18"/>
              </w:rPr>
              <w:t>Shrapnel Fragments with Scar Formation of the Chest, Upper Extremities and Lower Extremities</w:t>
            </w:r>
          </w:p>
        </w:tc>
        <w:tc>
          <w:tcPr>
            <w:tcW w:w="1080" w:type="dxa"/>
            <w:shd w:val="clear" w:color="auto" w:fill="FFFFFF"/>
            <w:vAlign w:val="center"/>
          </w:tcPr>
          <w:p w:rsidR="00F75BCB" w:rsidRDefault="00F75BCB" w:rsidP="0017172C">
            <w:pPr>
              <w:spacing w:line="180" w:lineRule="exact"/>
              <w:contextualSpacing/>
              <w:rPr>
                <w:color w:val="auto"/>
                <w:sz w:val="18"/>
              </w:rPr>
            </w:pPr>
            <w:r>
              <w:rPr>
                <w:color w:val="auto"/>
                <w:sz w:val="18"/>
              </w:rPr>
              <w:t>7805</w:t>
            </w:r>
          </w:p>
        </w:tc>
        <w:tc>
          <w:tcPr>
            <w:tcW w:w="720" w:type="dxa"/>
            <w:shd w:val="clear" w:color="auto" w:fill="FFFFFF"/>
            <w:vAlign w:val="center"/>
          </w:tcPr>
          <w:p w:rsidR="00F75BCB" w:rsidRDefault="00F75BCB" w:rsidP="0017172C">
            <w:pPr>
              <w:spacing w:line="180" w:lineRule="exact"/>
              <w:contextualSpacing/>
              <w:rPr>
                <w:color w:val="auto"/>
                <w:sz w:val="18"/>
              </w:rPr>
            </w:pPr>
            <w:r>
              <w:rPr>
                <w:color w:val="auto"/>
                <w:sz w:val="18"/>
              </w:rPr>
              <w:t>0%</w:t>
            </w:r>
          </w:p>
        </w:tc>
        <w:tc>
          <w:tcPr>
            <w:tcW w:w="991" w:type="dxa"/>
            <w:shd w:val="clear" w:color="auto" w:fill="FFFFFF"/>
            <w:vAlign w:val="center"/>
          </w:tcPr>
          <w:p w:rsidR="00F75BCB" w:rsidRPr="00F64312" w:rsidRDefault="00F75BCB" w:rsidP="0017172C">
            <w:pPr>
              <w:spacing w:line="180" w:lineRule="exact"/>
              <w:contextualSpacing/>
              <w:rPr>
                <w:color w:val="auto"/>
                <w:sz w:val="18"/>
                <w:highlight w:val="yellow"/>
              </w:rPr>
            </w:pPr>
            <w:r w:rsidRPr="00EE7809">
              <w:rPr>
                <w:color w:val="auto"/>
                <w:sz w:val="18"/>
              </w:rPr>
              <w:t>20060531</w:t>
            </w:r>
          </w:p>
        </w:tc>
      </w:tr>
      <w:tr w:rsidR="00F75BCB" w:rsidRPr="00F64312" w:rsidTr="00D75FAE">
        <w:trPr>
          <w:trHeight w:val="118"/>
          <w:jc w:val="center"/>
        </w:trPr>
        <w:tc>
          <w:tcPr>
            <w:tcW w:w="2518" w:type="dxa"/>
            <w:vMerge/>
            <w:tcBorders>
              <w:right w:val="single" w:sz="4" w:space="0" w:color="auto"/>
            </w:tcBorders>
            <w:shd w:val="clear" w:color="auto" w:fill="FFFFFF"/>
            <w:vAlign w:val="center"/>
          </w:tcPr>
          <w:p w:rsidR="00F75BCB" w:rsidRDefault="00F75BCB" w:rsidP="006B690F">
            <w:pPr>
              <w:spacing w:line="180" w:lineRule="exact"/>
              <w:contextualSpacing/>
              <w:jc w:val="left"/>
              <w:rPr>
                <w:color w:val="auto"/>
                <w:sz w:val="18"/>
              </w:rPr>
            </w:pPr>
          </w:p>
        </w:tc>
        <w:tc>
          <w:tcPr>
            <w:tcW w:w="1083" w:type="dxa"/>
            <w:vMerge/>
            <w:tcBorders>
              <w:left w:val="single" w:sz="4" w:space="0" w:color="auto"/>
            </w:tcBorders>
            <w:shd w:val="clear" w:color="auto" w:fill="FFFFFF"/>
            <w:vAlign w:val="center"/>
          </w:tcPr>
          <w:p w:rsidR="00F75BCB" w:rsidRDefault="00F75BCB"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F75BCB" w:rsidRDefault="00F75BCB" w:rsidP="006B690F">
            <w:pPr>
              <w:spacing w:line="180" w:lineRule="exact"/>
              <w:rPr>
                <w:color w:val="auto"/>
                <w:sz w:val="18"/>
              </w:rPr>
            </w:pPr>
          </w:p>
        </w:tc>
        <w:tc>
          <w:tcPr>
            <w:tcW w:w="2790" w:type="dxa"/>
            <w:tcBorders>
              <w:left w:val="thinThickThinSmallGap" w:sz="24" w:space="0" w:color="auto"/>
            </w:tcBorders>
            <w:shd w:val="clear" w:color="auto" w:fill="FFFFFF"/>
            <w:vAlign w:val="center"/>
          </w:tcPr>
          <w:p w:rsidR="00F75BCB" w:rsidRDefault="00F75BCB" w:rsidP="00B85189">
            <w:pPr>
              <w:autoSpaceDE w:val="0"/>
              <w:autoSpaceDN w:val="0"/>
              <w:adjustRightInd w:val="0"/>
              <w:spacing w:line="240" w:lineRule="auto"/>
              <w:jc w:val="left"/>
              <w:rPr>
                <w:rFonts w:asciiTheme="majorHAnsi" w:hAnsiTheme="majorHAnsi" w:cstheme="majorHAnsi"/>
                <w:color w:val="auto"/>
                <w:sz w:val="18"/>
                <w:szCs w:val="18"/>
              </w:rPr>
            </w:pPr>
            <w:r>
              <w:rPr>
                <w:rFonts w:asciiTheme="majorHAnsi" w:hAnsiTheme="majorHAnsi" w:cstheme="majorHAnsi"/>
                <w:color w:val="auto"/>
                <w:sz w:val="18"/>
                <w:szCs w:val="18"/>
              </w:rPr>
              <w:t>Scar, Waist</w:t>
            </w:r>
          </w:p>
        </w:tc>
        <w:tc>
          <w:tcPr>
            <w:tcW w:w="1080" w:type="dxa"/>
            <w:shd w:val="clear" w:color="auto" w:fill="FFFFFF"/>
            <w:vAlign w:val="center"/>
          </w:tcPr>
          <w:p w:rsidR="00F75BCB" w:rsidRDefault="00F75BCB" w:rsidP="0017172C">
            <w:pPr>
              <w:spacing w:line="180" w:lineRule="exact"/>
              <w:contextualSpacing/>
              <w:rPr>
                <w:color w:val="auto"/>
                <w:sz w:val="18"/>
              </w:rPr>
            </w:pPr>
            <w:r>
              <w:rPr>
                <w:color w:val="auto"/>
                <w:sz w:val="18"/>
              </w:rPr>
              <w:t>7805</w:t>
            </w:r>
          </w:p>
        </w:tc>
        <w:tc>
          <w:tcPr>
            <w:tcW w:w="720" w:type="dxa"/>
            <w:shd w:val="clear" w:color="auto" w:fill="FFFFFF"/>
            <w:vAlign w:val="center"/>
          </w:tcPr>
          <w:p w:rsidR="00F75BCB" w:rsidRDefault="00F75BCB" w:rsidP="0017172C">
            <w:pPr>
              <w:spacing w:line="180" w:lineRule="exact"/>
              <w:contextualSpacing/>
              <w:rPr>
                <w:color w:val="auto"/>
                <w:sz w:val="18"/>
              </w:rPr>
            </w:pPr>
            <w:r>
              <w:rPr>
                <w:color w:val="auto"/>
                <w:sz w:val="18"/>
              </w:rPr>
              <w:t>0%</w:t>
            </w:r>
          </w:p>
        </w:tc>
        <w:tc>
          <w:tcPr>
            <w:tcW w:w="991" w:type="dxa"/>
            <w:shd w:val="clear" w:color="auto" w:fill="FFFFFF"/>
            <w:vAlign w:val="center"/>
          </w:tcPr>
          <w:p w:rsidR="00F75BCB" w:rsidRPr="00F64312" w:rsidRDefault="00F75BCB" w:rsidP="0017172C">
            <w:pPr>
              <w:spacing w:line="180" w:lineRule="exact"/>
              <w:contextualSpacing/>
              <w:rPr>
                <w:color w:val="auto"/>
                <w:sz w:val="18"/>
                <w:highlight w:val="yellow"/>
              </w:rPr>
            </w:pPr>
            <w:r w:rsidRPr="00EE7809">
              <w:rPr>
                <w:color w:val="auto"/>
                <w:sz w:val="18"/>
              </w:rPr>
              <w:t>20060531</w:t>
            </w:r>
          </w:p>
        </w:tc>
      </w:tr>
      <w:tr w:rsidR="00F75BCB" w:rsidRPr="00F64312" w:rsidTr="00D75FAE">
        <w:trPr>
          <w:trHeight w:val="118"/>
          <w:jc w:val="center"/>
        </w:trPr>
        <w:tc>
          <w:tcPr>
            <w:tcW w:w="2518" w:type="dxa"/>
            <w:vMerge/>
            <w:tcBorders>
              <w:right w:val="single" w:sz="4" w:space="0" w:color="auto"/>
            </w:tcBorders>
            <w:shd w:val="clear" w:color="auto" w:fill="FFFFFF"/>
            <w:vAlign w:val="center"/>
          </w:tcPr>
          <w:p w:rsidR="00F75BCB" w:rsidRDefault="00F75BCB" w:rsidP="006B690F">
            <w:pPr>
              <w:spacing w:line="180" w:lineRule="exact"/>
              <w:contextualSpacing/>
              <w:jc w:val="left"/>
              <w:rPr>
                <w:color w:val="auto"/>
                <w:sz w:val="18"/>
              </w:rPr>
            </w:pPr>
          </w:p>
        </w:tc>
        <w:tc>
          <w:tcPr>
            <w:tcW w:w="1083" w:type="dxa"/>
            <w:vMerge/>
            <w:tcBorders>
              <w:left w:val="single" w:sz="4" w:space="0" w:color="auto"/>
            </w:tcBorders>
            <w:shd w:val="clear" w:color="auto" w:fill="FFFFFF"/>
            <w:vAlign w:val="center"/>
          </w:tcPr>
          <w:p w:rsidR="00F75BCB" w:rsidRDefault="00F75BCB"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F75BCB" w:rsidRDefault="00F75BCB" w:rsidP="006B690F">
            <w:pPr>
              <w:spacing w:line="180" w:lineRule="exact"/>
              <w:rPr>
                <w:color w:val="auto"/>
                <w:sz w:val="18"/>
              </w:rPr>
            </w:pPr>
          </w:p>
        </w:tc>
        <w:tc>
          <w:tcPr>
            <w:tcW w:w="2790" w:type="dxa"/>
            <w:tcBorders>
              <w:left w:val="thinThickThinSmallGap" w:sz="24" w:space="0" w:color="auto"/>
            </w:tcBorders>
            <w:shd w:val="clear" w:color="auto" w:fill="FFFFFF"/>
            <w:vAlign w:val="center"/>
          </w:tcPr>
          <w:p w:rsidR="00F75BCB" w:rsidRPr="00202B1E" w:rsidRDefault="00F75BCB" w:rsidP="00B85189">
            <w:pPr>
              <w:autoSpaceDE w:val="0"/>
              <w:autoSpaceDN w:val="0"/>
              <w:adjustRightInd w:val="0"/>
              <w:spacing w:line="240" w:lineRule="auto"/>
              <w:jc w:val="left"/>
              <w:rPr>
                <w:rFonts w:asciiTheme="majorHAnsi" w:hAnsiTheme="majorHAnsi" w:cstheme="majorHAnsi"/>
                <w:color w:val="auto"/>
                <w:sz w:val="18"/>
                <w:szCs w:val="18"/>
              </w:rPr>
            </w:pPr>
            <w:r w:rsidRPr="00202B1E">
              <w:rPr>
                <w:rFonts w:asciiTheme="majorHAnsi" w:hAnsiTheme="majorHAnsi" w:cstheme="majorHAnsi"/>
                <w:color w:val="auto"/>
                <w:sz w:val="18"/>
                <w:szCs w:val="18"/>
              </w:rPr>
              <w:t>Healed Jaw Fracture with Residual Shrapnel</w:t>
            </w:r>
          </w:p>
        </w:tc>
        <w:tc>
          <w:tcPr>
            <w:tcW w:w="1080" w:type="dxa"/>
            <w:shd w:val="clear" w:color="auto" w:fill="FFFFFF"/>
            <w:vAlign w:val="center"/>
          </w:tcPr>
          <w:p w:rsidR="00F75BCB" w:rsidRPr="00202B1E" w:rsidRDefault="00F75BCB" w:rsidP="0017172C">
            <w:pPr>
              <w:spacing w:line="180" w:lineRule="exact"/>
              <w:contextualSpacing/>
              <w:rPr>
                <w:color w:val="auto"/>
                <w:sz w:val="18"/>
              </w:rPr>
            </w:pPr>
            <w:r w:rsidRPr="00202B1E">
              <w:rPr>
                <w:color w:val="auto"/>
                <w:sz w:val="18"/>
              </w:rPr>
              <w:t>9999-9904</w:t>
            </w:r>
          </w:p>
        </w:tc>
        <w:tc>
          <w:tcPr>
            <w:tcW w:w="720" w:type="dxa"/>
            <w:shd w:val="clear" w:color="auto" w:fill="FFFFFF"/>
            <w:vAlign w:val="center"/>
          </w:tcPr>
          <w:p w:rsidR="00F75BCB" w:rsidRPr="00202B1E" w:rsidRDefault="00F75BCB" w:rsidP="0017172C">
            <w:pPr>
              <w:spacing w:line="180" w:lineRule="exact"/>
              <w:contextualSpacing/>
              <w:rPr>
                <w:color w:val="auto"/>
                <w:sz w:val="18"/>
              </w:rPr>
            </w:pPr>
            <w:r w:rsidRPr="00202B1E">
              <w:rPr>
                <w:color w:val="auto"/>
                <w:sz w:val="18"/>
              </w:rPr>
              <w:t>0%</w:t>
            </w:r>
          </w:p>
        </w:tc>
        <w:tc>
          <w:tcPr>
            <w:tcW w:w="991" w:type="dxa"/>
            <w:shd w:val="clear" w:color="auto" w:fill="FFFFFF"/>
            <w:vAlign w:val="center"/>
          </w:tcPr>
          <w:p w:rsidR="00F75BCB" w:rsidRPr="00EE7809" w:rsidRDefault="00F75BCB" w:rsidP="0017172C">
            <w:pPr>
              <w:spacing w:line="180" w:lineRule="exact"/>
              <w:contextualSpacing/>
              <w:rPr>
                <w:color w:val="auto"/>
                <w:sz w:val="18"/>
              </w:rPr>
            </w:pPr>
            <w:r w:rsidRPr="00EE7809">
              <w:rPr>
                <w:color w:val="auto"/>
                <w:sz w:val="18"/>
              </w:rPr>
              <w:t>20060608</w:t>
            </w:r>
          </w:p>
        </w:tc>
      </w:tr>
      <w:tr w:rsidR="00F75BCB" w:rsidRPr="00F64312" w:rsidTr="00D75FAE">
        <w:trPr>
          <w:trHeight w:val="647"/>
          <w:jc w:val="center"/>
        </w:trPr>
        <w:tc>
          <w:tcPr>
            <w:tcW w:w="2518" w:type="dxa"/>
            <w:vMerge/>
            <w:tcBorders>
              <w:bottom w:val="single" w:sz="4" w:space="0" w:color="auto"/>
              <w:right w:val="single" w:sz="4" w:space="0" w:color="auto"/>
            </w:tcBorders>
            <w:shd w:val="clear" w:color="auto" w:fill="FFFFFF"/>
            <w:vAlign w:val="center"/>
          </w:tcPr>
          <w:p w:rsidR="00F75BCB" w:rsidRDefault="00F75BCB" w:rsidP="006B690F">
            <w:pPr>
              <w:spacing w:line="180" w:lineRule="exact"/>
              <w:contextualSpacing/>
              <w:jc w:val="left"/>
              <w:rPr>
                <w:color w:val="auto"/>
                <w:sz w:val="18"/>
              </w:rPr>
            </w:pPr>
          </w:p>
        </w:tc>
        <w:tc>
          <w:tcPr>
            <w:tcW w:w="1083" w:type="dxa"/>
            <w:vMerge/>
            <w:tcBorders>
              <w:left w:val="single" w:sz="4" w:space="0" w:color="auto"/>
              <w:bottom w:val="single" w:sz="4" w:space="0" w:color="auto"/>
            </w:tcBorders>
            <w:shd w:val="clear" w:color="auto" w:fill="FFFFFF"/>
            <w:vAlign w:val="center"/>
          </w:tcPr>
          <w:p w:rsidR="00F75BCB" w:rsidRDefault="00F75BCB" w:rsidP="006B690F">
            <w:pPr>
              <w:spacing w:line="180" w:lineRule="exact"/>
              <w:contextualSpacing/>
              <w:rPr>
                <w:color w:val="auto"/>
                <w:sz w:val="18"/>
              </w:rPr>
            </w:pPr>
          </w:p>
        </w:tc>
        <w:tc>
          <w:tcPr>
            <w:tcW w:w="720" w:type="dxa"/>
            <w:vMerge/>
            <w:tcBorders>
              <w:bottom w:val="single" w:sz="4" w:space="0" w:color="auto"/>
              <w:right w:val="thinThickThinSmallGap" w:sz="24" w:space="0" w:color="auto"/>
            </w:tcBorders>
            <w:shd w:val="clear" w:color="auto" w:fill="FFFFFF"/>
            <w:vAlign w:val="center"/>
          </w:tcPr>
          <w:p w:rsidR="00F75BCB" w:rsidRDefault="00F75BCB" w:rsidP="006B690F">
            <w:pPr>
              <w:spacing w:line="180" w:lineRule="exact"/>
              <w:rPr>
                <w:color w:val="auto"/>
                <w:sz w:val="18"/>
              </w:rPr>
            </w:pPr>
          </w:p>
        </w:tc>
        <w:tc>
          <w:tcPr>
            <w:tcW w:w="2790" w:type="dxa"/>
            <w:tcBorders>
              <w:left w:val="thinThickThinSmallGap" w:sz="24" w:space="0" w:color="auto"/>
            </w:tcBorders>
            <w:shd w:val="clear" w:color="auto" w:fill="FFFFFF"/>
            <w:vAlign w:val="center"/>
          </w:tcPr>
          <w:p w:rsidR="00F75BCB" w:rsidRPr="00202B1E" w:rsidRDefault="00F75BCB" w:rsidP="00B85189">
            <w:pPr>
              <w:autoSpaceDE w:val="0"/>
              <w:autoSpaceDN w:val="0"/>
              <w:adjustRightInd w:val="0"/>
              <w:spacing w:line="240" w:lineRule="auto"/>
              <w:jc w:val="left"/>
              <w:rPr>
                <w:rFonts w:asciiTheme="majorHAnsi" w:hAnsiTheme="majorHAnsi" w:cstheme="majorHAnsi"/>
                <w:color w:val="auto"/>
                <w:sz w:val="18"/>
                <w:szCs w:val="18"/>
              </w:rPr>
            </w:pPr>
            <w:r w:rsidRPr="00202B1E">
              <w:rPr>
                <w:rFonts w:asciiTheme="majorHAnsi" w:hAnsiTheme="majorHAnsi" w:cstheme="majorHAnsi"/>
                <w:color w:val="auto"/>
                <w:sz w:val="18"/>
                <w:szCs w:val="18"/>
              </w:rPr>
              <w:t>Dental Trauma Tooth #7, S/P Shrapnel</w:t>
            </w:r>
          </w:p>
        </w:tc>
        <w:tc>
          <w:tcPr>
            <w:tcW w:w="1080" w:type="dxa"/>
            <w:shd w:val="clear" w:color="auto" w:fill="FFFFFF"/>
            <w:vAlign w:val="center"/>
          </w:tcPr>
          <w:p w:rsidR="00F75BCB" w:rsidRPr="00202B1E" w:rsidRDefault="00F75BCB" w:rsidP="0017172C">
            <w:pPr>
              <w:spacing w:line="180" w:lineRule="exact"/>
              <w:contextualSpacing/>
              <w:rPr>
                <w:color w:val="auto"/>
                <w:sz w:val="18"/>
              </w:rPr>
            </w:pPr>
            <w:r w:rsidRPr="00202B1E">
              <w:rPr>
                <w:color w:val="auto"/>
                <w:sz w:val="18"/>
              </w:rPr>
              <w:t>9913</w:t>
            </w:r>
          </w:p>
        </w:tc>
        <w:tc>
          <w:tcPr>
            <w:tcW w:w="720" w:type="dxa"/>
            <w:shd w:val="clear" w:color="auto" w:fill="FFFFFF"/>
            <w:vAlign w:val="center"/>
          </w:tcPr>
          <w:p w:rsidR="00F75BCB" w:rsidRPr="00202B1E" w:rsidRDefault="00F75BCB" w:rsidP="0017172C">
            <w:pPr>
              <w:spacing w:line="180" w:lineRule="exact"/>
              <w:contextualSpacing/>
              <w:rPr>
                <w:color w:val="auto"/>
                <w:sz w:val="18"/>
              </w:rPr>
            </w:pPr>
            <w:r w:rsidRPr="00202B1E">
              <w:rPr>
                <w:color w:val="auto"/>
                <w:sz w:val="18"/>
              </w:rPr>
              <w:t>0%</w:t>
            </w:r>
          </w:p>
        </w:tc>
        <w:tc>
          <w:tcPr>
            <w:tcW w:w="991" w:type="dxa"/>
            <w:shd w:val="clear" w:color="auto" w:fill="FFFFFF"/>
            <w:vAlign w:val="center"/>
          </w:tcPr>
          <w:p w:rsidR="00F75BCB" w:rsidRPr="00EE7809" w:rsidRDefault="00F75BCB" w:rsidP="0017172C">
            <w:pPr>
              <w:spacing w:line="180" w:lineRule="exact"/>
              <w:contextualSpacing/>
              <w:rPr>
                <w:color w:val="auto"/>
                <w:sz w:val="18"/>
              </w:rPr>
            </w:pPr>
            <w:r w:rsidRPr="00EE7809">
              <w:rPr>
                <w:color w:val="auto"/>
                <w:sz w:val="18"/>
              </w:rPr>
              <w:t>20060608</w:t>
            </w:r>
          </w:p>
        </w:tc>
      </w:tr>
      <w:tr w:rsidR="00F75BCB" w:rsidRPr="00F64312" w:rsidTr="00D75FAE">
        <w:trPr>
          <w:trHeight w:val="118"/>
          <w:jc w:val="center"/>
        </w:trPr>
        <w:tc>
          <w:tcPr>
            <w:tcW w:w="2518" w:type="dxa"/>
            <w:tcBorders>
              <w:top w:val="single" w:sz="4" w:space="0" w:color="auto"/>
              <w:right w:val="single" w:sz="4" w:space="0" w:color="auto"/>
            </w:tcBorders>
            <w:shd w:val="clear" w:color="auto" w:fill="FFFFFF"/>
            <w:vAlign w:val="center"/>
          </w:tcPr>
          <w:p w:rsidR="00F75BCB" w:rsidRPr="00F64312" w:rsidRDefault="00F75BCB" w:rsidP="006B690F">
            <w:pPr>
              <w:spacing w:line="180" w:lineRule="exact"/>
              <w:contextualSpacing/>
              <w:jc w:val="left"/>
              <w:rPr>
                <w:color w:val="auto"/>
                <w:sz w:val="18"/>
              </w:rPr>
            </w:pPr>
            <w:r>
              <w:rPr>
                <w:color w:val="auto"/>
                <w:sz w:val="18"/>
              </w:rPr>
              <w:t>PTSD</w:t>
            </w:r>
          </w:p>
        </w:tc>
        <w:tc>
          <w:tcPr>
            <w:tcW w:w="1803" w:type="dxa"/>
            <w:gridSpan w:val="2"/>
            <w:tcBorders>
              <w:top w:val="nil"/>
              <w:left w:val="single" w:sz="4" w:space="0" w:color="auto"/>
              <w:right w:val="thinThickThinSmallGap" w:sz="24" w:space="0" w:color="auto"/>
            </w:tcBorders>
            <w:shd w:val="clear" w:color="auto" w:fill="FFFFFF"/>
            <w:vAlign w:val="center"/>
          </w:tcPr>
          <w:p w:rsidR="00F75BCB" w:rsidRPr="00F64312" w:rsidRDefault="00F75BCB" w:rsidP="006B690F">
            <w:pPr>
              <w:spacing w:line="180" w:lineRule="exact"/>
              <w:rPr>
                <w:color w:val="auto"/>
                <w:sz w:val="18"/>
              </w:rPr>
            </w:pPr>
            <w:r>
              <w:rPr>
                <w:color w:val="auto"/>
                <w:sz w:val="18"/>
              </w:rPr>
              <w:t>Not Unfitting</w:t>
            </w:r>
          </w:p>
        </w:tc>
        <w:tc>
          <w:tcPr>
            <w:tcW w:w="2790" w:type="dxa"/>
            <w:vMerge w:val="restart"/>
            <w:tcBorders>
              <w:left w:val="thinThickThinSmallGap" w:sz="24" w:space="0" w:color="auto"/>
            </w:tcBorders>
            <w:shd w:val="clear" w:color="auto" w:fill="FFFFFF"/>
            <w:vAlign w:val="center"/>
          </w:tcPr>
          <w:p w:rsidR="00F75BCB" w:rsidRPr="001F5E79" w:rsidRDefault="00F75BCB" w:rsidP="00DA3177">
            <w:pPr>
              <w:spacing w:line="180" w:lineRule="exact"/>
              <w:contextualSpacing/>
              <w:jc w:val="left"/>
              <w:rPr>
                <w:color w:val="auto"/>
                <w:sz w:val="18"/>
              </w:rPr>
            </w:pPr>
            <w:r w:rsidRPr="001F5E79">
              <w:rPr>
                <w:color w:val="auto"/>
                <w:sz w:val="18"/>
              </w:rPr>
              <w:t>PTSD (Also Claimed as Cognitive Disorder)</w:t>
            </w:r>
          </w:p>
        </w:tc>
        <w:tc>
          <w:tcPr>
            <w:tcW w:w="1080" w:type="dxa"/>
            <w:vMerge w:val="restart"/>
            <w:shd w:val="clear" w:color="auto" w:fill="FFFFFF"/>
            <w:vAlign w:val="center"/>
          </w:tcPr>
          <w:p w:rsidR="00F75BCB" w:rsidRPr="001F5E79" w:rsidRDefault="00F75BCB" w:rsidP="00DA3177">
            <w:pPr>
              <w:spacing w:line="180" w:lineRule="exact"/>
              <w:contextualSpacing/>
              <w:rPr>
                <w:color w:val="auto"/>
                <w:sz w:val="18"/>
              </w:rPr>
            </w:pPr>
            <w:r w:rsidRPr="001F5E79">
              <w:rPr>
                <w:color w:val="auto"/>
                <w:sz w:val="18"/>
              </w:rPr>
              <w:t>9411</w:t>
            </w:r>
          </w:p>
        </w:tc>
        <w:tc>
          <w:tcPr>
            <w:tcW w:w="720" w:type="dxa"/>
            <w:vMerge w:val="restart"/>
            <w:shd w:val="clear" w:color="auto" w:fill="FFFFFF"/>
            <w:vAlign w:val="center"/>
          </w:tcPr>
          <w:p w:rsidR="00F75BCB" w:rsidRPr="001F5E79" w:rsidRDefault="00F75BCB" w:rsidP="00DA3177">
            <w:pPr>
              <w:spacing w:line="180" w:lineRule="exact"/>
              <w:contextualSpacing/>
              <w:rPr>
                <w:color w:val="auto"/>
                <w:sz w:val="18"/>
              </w:rPr>
            </w:pPr>
            <w:r w:rsidRPr="001F5E79">
              <w:rPr>
                <w:color w:val="auto"/>
                <w:sz w:val="18"/>
              </w:rPr>
              <w:t>30%</w:t>
            </w:r>
          </w:p>
        </w:tc>
        <w:tc>
          <w:tcPr>
            <w:tcW w:w="991" w:type="dxa"/>
            <w:vMerge w:val="restart"/>
            <w:shd w:val="clear" w:color="auto" w:fill="FFFFFF"/>
            <w:vAlign w:val="center"/>
          </w:tcPr>
          <w:p w:rsidR="00F75BCB" w:rsidRPr="001F5E79" w:rsidRDefault="00F75BCB" w:rsidP="00DA3177">
            <w:pPr>
              <w:spacing w:line="180" w:lineRule="exact"/>
              <w:contextualSpacing/>
              <w:rPr>
                <w:color w:val="auto"/>
                <w:sz w:val="18"/>
              </w:rPr>
            </w:pPr>
            <w:r w:rsidRPr="001F5E79">
              <w:rPr>
                <w:color w:val="auto"/>
                <w:sz w:val="18"/>
              </w:rPr>
              <w:t>20060531</w:t>
            </w:r>
          </w:p>
        </w:tc>
      </w:tr>
      <w:tr w:rsidR="00F75BCB" w:rsidRPr="00F64312" w:rsidTr="00D75FAE">
        <w:trPr>
          <w:trHeight w:val="97"/>
          <w:jc w:val="center"/>
        </w:trPr>
        <w:tc>
          <w:tcPr>
            <w:tcW w:w="2518" w:type="dxa"/>
            <w:tcBorders>
              <w:right w:val="single" w:sz="4" w:space="0" w:color="auto"/>
            </w:tcBorders>
            <w:shd w:val="clear" w:color="auto" w:fill="FFFFFF"/>
            <w:vAlign w:val="center"/>
          </w:tcPr>
          <w:p w:rsidR="00F75BCB" w:rsidRPr="00F64312" w:rsidRDefault="00F75BCB" w:rsidP="006B690F">
            <w:pPr>
              <w:spacing w:line="180" w:lineRule="exact"/>
              <w:contextualSpacing/>
              <w:jc w:val="left"/>
              <w:rPr>
                <w:rFonts w:cs="Calibri"/>
                <w:color w:val="auto"/>
                <w:sz w:val="18"/>
              </w:rPr>
            </w:pPr>
            <w:r>
              <w:rPr>
                <w:rFonts w:cs="Calibri"/>
                <w:color w:val="auto"/>
                <w:sz w:val="18"/>
              </w:rPr>
              <w:t>Mild Cognitive Deficit Secondary to Right Hemisphere Dysfunctions, S/P IED Blast</w:t>
            </w:r>
          </w:p>
        </w:tc>
        <w:tc>
          <w:tcPr>
            <w:tcW w:w="1803" w:type="dxa"/>
            <w:gridSpan w:val="2"/>
            <w:tcBorders>
              <w:left w:val="single" w:sz="4" w:space="0" w:color="auto"/>
              <w:right w:val="thinThickThinSmallGap" w:sz="24" w:space="0" w:color="auto"/>
            </w:tcBorders>
            <w:shd w:val="clear" w:color="auto" w:fill="FFFFFF"/>
            <w:vAlign w:val="center"/>
          </w:tcPr>
          <w:p w:rsidR="00F75BCB" w:rsidRPr="00F64312" w:rsidRDefault="00F75BCB" w:rsidP="006B690F">
            <w:pPr>
              <w:spacing w:line="180" w:lineRule="exact"/>
              <w:contextualSpacing/>
              <w:rPr>
                <w:rFonts w:cs="Calibri"/>
                <w:color w:val="auto"/>
                <w:sz w:val="18"/>
              </w:rPr>
            </w:pPr>
            <w:r w:rsidRPr="00F64312">
              <w:rPr>
                <w:color w:val="auto"/>
                <w:sz w:val="18"/>
              </w:rPr>
              <w:t>Not Unfitting</w:t>
            </w:r>
          </w:p>
        </w:tc>
        <w:tc>
          <w:tcPr>
            <w:tcW w:w="2790" w:type="dxa"/>
            <w:vMerge/>
            <w:tcBorders>
              <w:left w:val="thinThickThinSmallGap" w:sz="24" w:space="0" w:color="auto"/>
            </w:tcBorders>
            <w:shd w:val="clear" w:color="auto" w:fill="FFFFFF"/>
            <w:vAlign w:val="center"/>
          </w:tcPr>
          <w:p w:rsidR="00F75BCB" w:rsidRPr="001F5E79" w:rsidRDefault="00F75BCB" w:rsidP="0017172C">
            <w:pPr>
              <w:spacing w:line="180" w:lineRule="exact"/>
              <w:contextualSpacing/>
              <w:rPr>
                <w:rFonts w:cs="Calibri"/>
                <w:color w:val="auto"/>
                <w:sz w:val="18"/>
              </w:rPr>
            </w:pPr>
          </w:p>
        </w:tc>
        <w:tc>
          <w:tcPr>
            <w:tcW w:w="1080" w:type="dxa"/>
            <w:vMerge/>
            <w:shd w:val="clear" w:color="auto" w:fill="FFFFFF"/>
            <w:vAlign w:val="center"/>
          </w:tcPr>
          <w:p w:rsidR="00F75BCB" w:rsidRPr="001F5E79" w:rsidRDefault="00F75BCB" w:rsidP="0017172C">
            <w:pPr>
              <w:spacing w:line="180" w:lineRule="exact"/>
              <w:contextualSpacing/>
              <w:rPr>
                <w:color w:val="auto"/>
                <w:sz w:val="18"/>
              </w:rPr>
            </w:pPr>
          </w:p>
        </w:tc>
        <w:tc>
          <w:tcPr>
            <w:tcW w:w="720" w:type="dxa"/>
            <w:vMerge/>
            <w:shd w:val="clear" w:color="auto" w:fill="FFFFFF"/>
            <w:vAlign w:val="center"/>
          </w:tcPr>
          <w:p w:rsidR="00F75BCB" w:rsidRPr="001F5E79" w:rsidRDefault="00F75BCB" w:rsidP="0017172C">
            <w:pPr>
              <w:spacing w:line="180" w:lineRule="exact"/>
              <w:contextualSpacing/>
              <w:rPr>
                <w:color w:val="auto"/>
                <w:sz w:val="18"/>
              </w:rPr>
            </w:pPr>
          </w:p>
        </w:tc>
        <w:tc>
          <w:tcPr>
            <w:tcW w:w="991" w:type="dxa"/>
            <w:vMerge/>
            <w:shd w:val="clear" w:color="auto" w:fill="FFFFFF"/>
            <w:vAlign w:val="center"/>
          </w:tcPr>
          <w:p w:rsidR="00F75BCB" w:rsidRPr="001F5E79" w:rsidRDefault="00F75BCB" w:rsidP="0017172C">
            <w:pPr>
              <w:spacing w:line="180" w:lineRule="exact"/>
              <w:contextualSpacing/>
              <w:rPr>
                <w:rFonts w:cs="Calibri"/>
                <w:color w:val="auto"/>
                <w:sz w:val="18"/>
              </w:rPr>
            </w:pPr>
          </w:p>
        </w:tc>
      </w:tr>
      <w:tr w:rsidR="00CD6B3B" w:rsidRPr="00F64312" w:rsidTr="00D75FAE">
        <w:trPr>
          <w:trHeight w:val="172"/>
          <w:jc w:val="center"/>
        </w:trPr>
        <w:tc>
          <w:tcPr>
            <w:tcW w:w="4321" w:type="dxa"/>
            <w:gridSpan w:val="3"/>
            <w:vMerge w:val="restart"/>
            <w:tcBorders>
              <w:right w:val="thinThickThinSmallGap" w:sz="24" w:space="0" w:color="auto"/>
            </w:tcBorders>
            <w:shd w:val="clear" w:color="auto" w:fill="FFFFFF"/>
            <w:vAlign w:val="center"/>
          </w:tcPr>
          <w:p w:rsidR="00CD6B3B" w:rsidRPr="00F64312" w:rsidRDefault="00CD6B3B" w:rsidP="006B690F">
            <w:pPr>
              <w:spacing w:line="180" w:lineRule="exact"/>
              <w:contextualSpacing/>
              <w:rPr>
                <w:color w:val="auto"/>
                <w:sz w:val="18"/>
                <w:szCs w:val="18"/>
              </w:rPr>
            </w:pPr>
            <w:r w:rsidRPr="00F64312">
              <w:rPr>
                <w:rFonts w:cs="Calibri"/>
                <w:color w:val="auto"/>
                <w:sz w:val="18"/>
                <w:szCs w:val="18"/>
              </w:rPr>
              <w:t>No Additional MEB/PEB Entries</w:t>
            </w:r>
          </w:p>
        </w:tc>
        <w:tc>
          <w:tcPr>
            <w:tcW w:w="2790" w:type="dxa"/>
            <w:tcBorders>
              <w:left w:val="thinThickThinSmallGap" w:sz="24" w:space="0" w:color="auto"/>
              <w:right w:val="single" w:sz="4" w:space="0" w:color="auto"/>
            </w:tcBorders>
            <w:shd w:val="clear" w:color="auto" w:fill="FFFFFF"/>
            <w:vAlign w:val="center"/>
          </w:tcPr>
          <w:p w:rsidR="00CD6B3B" w:rsidRPr="001F5E79" w:rsidRDefault="00CD6B3B" w:rsidP="00CD6B3B">
            <w:pPr>
              <w:spacing w:line="180" w:lineRule="exact"/>
              <w:contextualSpacing/>
              <w:jc w:val="left"/>
              <w:rPr>
                <w:color w:val="auto"/>
                <w:sz w:val="18"/>
              </w:rPr>
            </w:pPr>
            <w:r w:rsidRPr="001F5E79">
              <w:rPr>
                <w:color w:val="auto"/>
                <w:sz w:val="18"/>
              </w:rPr>
              <w:t>Constant Tinnitus, Right Ear</w:t>
            </w:r>
          </w:p>
        </w:tc>
        <w:tc>
          <w:tcPr>
            <w:tcW w:w="1080" w:type="dxa"/>
            <w:tcBorders>
              <w:left w:val="single" w:sz="4" w:space="0" w:color="auto"/>
              <w:right w:val="single" w:sz="4" w:space="0" w:color="auto"/>
            </w:tcBorders>
            <w:shd w:val="clear" w:color="auto" w:fill="FFFFFF"/>
            <w:vAlign w:val="center"/>
          </w:tcPr>
          <w:p w:rsidR="00CD6B3B" w:rsidRPr="001F5E79" w:rsidRDefault="00CD6B3B" w:rsidP="00EE7809">
            <w:pPr>
              <w:spacing w:line="180" w:lineRule="exact"/>
              <w:contextualSpacing/>
              <w:rPr>
                <w:color w:val="auto"/>
                <w:sz w:val="18"/>
              </w:rPr>
            </w:pPr>
            <w:r w:rsidRPr="001F5E79">
              <w:rPr>
                <w:color w:val="auto"/>
                <w:sz w:val="18"/>
              </w:rPr>
              <w:t>6260</w:t>
            </w:r>
          </w:p>
        </w:tc>
        <w:tc>
          <w:tcPr>
            <w:tcW w:w="720" w:type="dxa"/>
            <w:tcBorders>
              <w:left w:val="single" w:sz="4" w:space="0" w:color="auto"/>
            </w:tcBorders>
            <w:shd w:val="clear" w:color="auto" w:fill="FFFFFF"/>
            <w:vAlign w:val="center"/>
          </w:tcPr>
          <w:p w:rsidR="00CD6B3B" w:rsidRPr="001F5E79" w:rsidRDefault="00CD6B3B" w:rsidP="00EE7809">
            <w:pPr>
              <w:spacing w:line="180" w:lineRule="exact"/>
              <w:contextualSpacing/>
              <w:rPr>
                <w:color w:val="auto"/>
                <w:sz w:val="18"/>
              </w:rPr>
            </w:pPr>
            <w:r w:rsidRPr="001F5E79">
              <w:rPr>
                <w:color w:val="auto"/>
                <w:sz w:val="18"/>
              </w:rPr>
              <w:t>10%</w:t>
            </w:r>
          </w:p>
        </w:tc>
        <w:tc>
          <w:tcPr>
            <w:tcW w:w="991" w:type="dxa"/>
            <w:shd w:val="clear" w:color="auto" w:fill="FFFFFF"/>
            <w:vAlign w:val="center"/>
          </w:tcPr>
          <w:p w:rsidR="00CD6B3B" w:rsidRPr="001F5E79" w:rsidRDefault="00CD6B3B" w:rsidP="0017172C">
            <w:pPr>
              <w:spacing w:line="180" w:lineRule="exact"/>
              <w:contextualSpacing/>
              <w:rPr>
                <w:color w:val="auto"/>
                <w:sz w:val="18"/>
              </w:rPr>
            </w:pPr>
            <w:r w:rsidRPr="001F5E79">
              <w:rPr>
                <w:color w:val="auto"/>
                <w:sz w:val="18"/>
              </w:rPr>
              <w:t>20060531</w:t>
            </w:r>
          </w:p>
        </w:tc>
      </w:tr>
      <w:tr w:rsidR="00CD6B3B" w:rsidRPr="00F64312" w:rsidTr="00D75FAE">
        <w:trPr>
          <w:trHeight w:val="172"/>
          <w:jc w:val="center"/>
        </w:trPr>
        <w:tc>
          <w:tcPr>
            <w:tcW w:w="4321" w:type="dxa"/>
            <w:gridSpan w:val="3"/>
            <w:vMerge/>
            <w:tcBorders>
              <w:right w:val="thinThickThinSmallGap" w:sz="24" w:space="0" w:color="auto"/>
            </w:tcBorders>
            <w:shd w:val="clear" w:color="auto" w:fill="FFFFFF"/>
            <w:vAlign w:val="center"/>
          </w:tcPr>
          <w:p w:rsidR="00CD6B3B" w:rsidRPr="00F64312" w:rsidRDefault="00CD6B3B" w:rsidP="006B690F">
            <w:pPr>
              <w:spacing w:line="180" w:lineRule="exact"/>
              <w:contextualSpacing/>
              <w:rPr>
                <w:rFonts w:cs="Calibri"/>
                <w:color w:val="auto"/>
                <w:sz w:val="18"/>
              </w:rPr>
            </w:pPr>
          </w:p>
        </w:tc>
        <w:tc>
          <w:tcPr>
            <w:tcW w:w="4590" w:type="dxa"/>
            <w:gridSpan w:val="3"/>
            <w:tcBorders>
              <w:left w:val="thinThickThinSmallGap" w:sz="24" w:space="0" w:color="auto"/>
            </w:tcBorders>
            <w:shd w:val="clear" w:color="auto" w:fill="FFFFFF"/>
            <w:vAlign w:val="center"/>
          </w:tcPr>
          <w:p w:rsidR="00CD6B3B" w:rsidRPr="00F64312" w:rsidRDefault="00CD6B3B" w:rsidP="00EE7809">
            <w:pPr>
              <w:spacing w:line="180" w:lineRule="exact"/>
              <w:contextualSpacing/>
              <w:rPr>
                <w:rFonts w:cs="Calibri"/>
                <w:color w:val="auto"/>
                <w:sz w:val="18"/>
              </w:rPr>
            </w:pPr>
            <w:r>
              <w:rPr>
                <w:color w:val="auto"/>
                <w:sz w:val="18"/>
              </w:rPr>
              <w:t>Not Service-</w:t>
            </w:r>
            <w:r w:rsidRPr="00F64312">
              <w:rPr>
                <w:color w:val="auto"/>
                <w:sz w:val="18"/>
              </w:rPr>
              <w:t xml:space="preserve">Connected x </w:t>
            </w:r>
            <w:r>
              <w:rPr>
                <w:color w:val="auto"/>
                <w:sz w:val="18"/>
              </w:rPr>
              <w:t>3</w:t>
            </w:r>
          </w:p>
        </w:tc>
        <w:tc>
          <w:tcPr>
            <w:tcW w:w="991" w:type="dxa"/>
            <w:shd w:val="clear" w:color="auto" w:fill="FFFFFF"/>
            <w:vAlign w:val="center"/>
          </w:tcPr>
          <w:p w:rsidR="00CD6B3B" w:rsidRPr="00F64312" w:rsidRDefault="00CD6B3B" w:rsidP="0017172C">
            <w:pPr>
              <w:spacing w:line="180" w:lineRule="exact"/>
              <w:contextualSpacing/>
              <w:rPr>
                <w:rFonts w:cs="Calibri"/>
                <w:color w:val="auto"/>
                <w:sz w:val="18"/>
              </w:rPr>
            </w:pPr>
            <w:r>
              <w:rPr>
                <w:rFonts w:cs="Calibri"/>
                <w:color w:val="auto"/>
                <w:sz w:val="18"/>
              </w:rPr>
              <w:t>20060531</w:t>
            </w:r>
          </w:p>
        </w:tc>
      </w:tr>
      <w:tr w:rsidR="00F75BCB" w:rsidRPr="00F64312" w:rsidTr="00D75FAE">
        <w:trPr>
          <w:trHeight w:val="124"/>
          <w:jc w:val="center"/>
        </w:trPr>
        <w:tc>
          <w:tcPr>
            <w:tcW w:w="4321" w:type="dxa"/>
            <w:gridSpan w:val="3"/>
            <w:tcBorders>
              <w:right w:val="thinThickThinSmallGap" w:sz="24" w:space="0" w:color="auto"/>
            </w:tcBorders>
            <w:shd w:val="clear" w:color="auto" w:fill="D9D9D9"/>
          </w:tcPr>
          <w:p w:rsidR="00F75BCB" w:rsidRPr="00F64312" w:rsidRDefault="00F75BCB" w:rsidP="00EE75BB">
            <w:pPr>
              <w:spacing w:line="180" w:lineRule="exact"/>
              <w:contextualSpacing/>
              <w:rPr>
                <w:rFonts w:cs="Calibri"/>
                <w:b/>
                <w:color w:val="auto"/>
                <w:sz w:val="18"/>
              </w:rPr>
            </w:pPr>
            <w:r w:rsidRPr="00F64312">
              <w:rPr>
                <w:b/>
                <w:color w:val="auto"/>
                <w:sz w:val="18"/>
              </w:rPr>
              <w:t xml:space="preserve">Combined:  </w:t>
            </w:r>
            <w:r>
              <w:rPr>
                <w:b/>
                <w:color w:val="auto"/>
                <w:sz w:val="18"/>
              </w:rPr>
              <w:t>20</w:t>
            </w:r>
            <w:r w:rsidRPr="00F64312">
              <w:rPr>
                <w:b/>
                <w:color w:val="auto"/>
                <w:sz w:val="18"/>
              </w:rPr>
              <w:t>%</w:t>
            </w:r>
          </w:p>
        </w:tc>
        <w:tc>
          <w:tcPr>
            <w:tcW w:w="5581" w:type="dxa"/>
            <w:gridSpan w:val="4"/>
            <w:tcBorders>
              <w:left w:val="thinThickThinSmallGap" w:sz="24" w:space="0" w:color="auto"/>
            </w:tcBorders>
            <w:shd w:val="clear" w:color="auto" w:fill="D9D9D9"/>
          </w:tcPr>
          <w:p w:rsidR="00F75BCB" w:rsidRPr="00F64312" w:rsidRDefault="00F75BCB" w:rsidP="00EE7809">
            <w:pPr>
              <w:spacing w:line="180" w:lineRule="exact"/>
              <w:contextualSpacing/>
              <w:rPr>
                <w:rFonts w:cs="Calibri"/>
                <w:b/>
                <w:color w:val="auto"/>
                <w:sz w:val="18"/>
              </w:rPr>
            </w:pPr>
            <w:r w:rsidRPr="00F64312">
              <w:rPr>
                <w:b/>
                <w:color w:val="auto"/>
                <w:sz w:val="18"/>
              </w:rPr>
              <w:t xml:space="preserve">Combined:  </w:t>
            </w:r>
            <w:r>
              <w:rPr>
                <w:b/>
                <w:color w:val="auto"/>
                <w:sz w:val="18"/>
              </w:rPr>
              <w:t>80</w:t>
            </w:r>
            <w:r w:rsidRPr="00F64312">
              <w:rPr>
                <w:b/>
                <w:color w:val="auto"/>
                <w:sz w:val="18"/>
              </w:rPr>
              <w:t>%</w:t>
            </w:r>
          </w:p>
        </w:tc>
      </w:tr>
    </w:tbl>
    <w:p w:rsidR="00CD6B3B" w:rsidRPr="00F64312" w:rsidRDefault="00CD6B3B"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E754AD">
        <w:rPr>
          <w:color w:val="auto"/>
          <w:u w:val="single"/>
        </w:rPr>
        <w:t>ANALYSIS SUMMARY</w:t>
      </w:r>
      <w:r w:rsidRPr="00E754AD">
        <w:rPr>
          <w:color w:val="auto"/>
        </w:rPr>
        <w:t>:</w:t>
      </w:r>
      <w:r w:rsidR="00896C01" w:rsidRPr="00E754AD">
        <w:rPr>
          <w:color w:val="auto"/>
        </w:rPr>
        <w:t xml:space="preserve"> </w:t>
      </w:r>
      <w:r w:rsidRPr="00E754AD">
        <w:rPr>
          <w:color w:val="auto"/>
        </w:rPr>
        <w:t xml:space="preserve"> </w:t>
      </w:r>
      <w:r w:rsidR="00E754AD" w:rsidRPr="00E754AD">
        <w:rPr>
          <w:color w:val="auto"/>
        </w:rPr>
        <w:t xml:space="preserve">The Board acknowledges the CI’s contention that suggests ratings should have been conferred for other conditions documented at the time of separation. </w:t>
      </w:r>
      <w:r w:rsidR="00B6376E">
        <w:rPr>
          <w:color w:val="auto"/>
        </w:rPr>
        <w:t xml:space="preserve"> </w:t>
      </w:r>
      <w:r w:rsidR="00E754AD" w:rsidRPr="00E754AD">
        <w:rPr>
          <w:color w:val="auto"/>
        </w:rPr>
        <w:t>The Board wishes to clarify that it is subject to the same laws for disability entitlements as those under which the Disability Evaluation System (DES) operates.</w:t>
      </w:r>
      <w:r w:rsidR="007913A4">
        <w:rPr>
          <w:color w:val="auto"/>
        </w:rPr>
        <w:t xml:space="preserve"> </w:t>
      </w:r>
      <w:r w:rsidR="00E754AD" w:rsidRPr="00E754AD">
        <w:rPr>
          <w:color w:val="auto"/>
        </w:rPr>
        <w:t xml:space="preserve"> While the DES considers all of the member's medical conditions, compensation can only be offered for those medical conditions that cut short a member’s career, and then only to the degree of severity present at the time of final disposition. </w:t>
      </w:r>
      <w:r w:rsidR="007913A4">
        <w:rPr>
          <w:color w:val="auto"/>
        </w:rPr>
        <w:t xml:space="preserve"> </w:t>
      </w:r>
      <w:r w:rsidR="00E754AD" w:rsidRPr="00E754AD">
        <w:rPr>
          <w:color w:val="auto"/>
        </w:rPr>
        <w:t>However the Department of Veteran</w:t>
      </w:r>
      <w:r w:rsidR="00B6376E">
        <w:rPr>
          <w:color w:val="auto"/>
        </w:rPr>
        <w:t>s’</w:t>
      </w:r>
      <w:r w:rsidR="00E754AD" w:rsidRPr="00E754AD">
        <w:rPr>
          <w:color w:val="auto"/>
        </w:rPr>
        <w:t xml:space="preserve"> Affairs (DVA), operating under a different set of laws (Title 38, United States Code), is empowered to compensate all service</w:t>
      </w:r>
      <w:r w:rsidR="00B6376E">
        <w:rPr>
          <w:color w:val="auto"/>
        </w:rPr>
        <w:t>-</w:t>
      </w:r>
      <w:r w:rsidR="00E754AD" w:rsidRPr="00E754AD">
        <w:rPr>
          <w:color w:val="auto"/>
        </w:rPr>
        <w:t xml:space="preserve">connected conditions and to periodically reevaluate said conditions for the purpose of adjusting the </w:t>
      </w:r>
      <w:r w:rsidR="00B6376E">
        <w:rPr>
          <w:color w:val="auto"/>
        </w:rPr>
        <w:t>V</w:t>
      </w:r>
      <w:r w:rsidR="00E754AD" w:rsidRPr="00E754AD">
        <w:rPr>
          <w:color w:val="auto"/>
        </w:rPr>
        <w:t xml:space="preserve">eteran’s disability rating should </w:t>
      </w:r>
      <w:r w:rsidR="00EE255C">
        <w:rPr>
          <w:color w:val="auto"/>
        </w:rPr>
        <w:t>the</w:t>
      </w:r>
      <w:r w:rsidR="00E754AD" w:rsidRPr="00E754AD">
        <w:rPr>
          <w:color w:val="auto"/>
        </w:rPr>
        <w:t xml:space="preserve"> degree of impairment vary over time.</w:t>
      </w:r>
      <w:r w:rsidR="00165C7B" w:rsidRPr="00F64312">
        <w:rPr>
          <w:color w:val="auto"/>
        </w:rPr>
        <w:t xml:space="preserve">  </w:t>
      </w:r>
    </w:p>
    <w:p w:rsidR="00EE7809" w:rsidRDefault="00EE7809" w:rsidP="00B22D42">
      <w:pPr>
        <w:jc w:val="both"/>
        <w:rPr>
          <w:color w:val="auto"/>
          <w:u w:val="single"/>
        </w:rPr>
      </w:pPr>
    </w:p>
    <w:p w:rsidR="004771B3" w:rsidRDefault="00E754AD" w:rsidP="00801184">
      <w:pPr>
        <w:autoSpaceDE w:val="0"/>
        <w:autoSpaceDN w:val="0"/>
        <w:adjustRightInd w:val="0"/>
        <w:jc w:val="both"/>
        <w:rPr>
          <w:color w:val="auto"/>
        </w:rPr>
      </w:pPr>
      <w:proofErr w:type="gramStart"/>
      <w:r>
        <w:rPr>
          <w:color w:val="auto"/>
          <w:u w:val="single"/>
        </w:rPr>
        <w:t>Headache Condition Post Head Trauma</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7913A4">
        <w:rPr>
          <w:color w:val="auto"/>
        </w:rPr>
        <w:t xml:space="preserve">The CI sustained an IED blast 2 January 2004 which resulted in a </w:t>
      </w:r>
      <w:r w:rsidR="00B65CA7">
        <w:rPr>
          <w:color w:val="auto"/>
        </w:rPr>
        <w:t xml:space="preserve">closed </w:t>
      </w:r>
      <w:r w:rsidR="007913A4">
        <w:rPr>
          <w:color w:val="auto"/>
        </w:rPr>
        <w:t>head injury including a basilar skull fracture, a facial fracture with dental trauma, and a ruptured eardrum.  The facial fracture and dental trauma required operative intervention and the remaining head injuries required conservative treatment</w:t>
      </w:r>
      <w:r w:rsidR="00D86F69">
        <w:rPr>
          <w:color w:val="auto"/>
        </w:rPr>
        <w:t xml:space="preserve"> with pain medications</w:t>
      </w:r>
      <w:r w:rsidR="007913A4">
        <w:rPr>
          <w:color w:val="auto"/>
        </w:rPr>
        <w:t>.</w:t>
      </w:r>
      <w:r w:rsidR="00801184">
        <w:rPr>
          <w:color w:val="auto"/>
        </w:rPr>
        <w:t xml:space="preserve">  </w:t>
      </w:r>
      <w:r w:rsidR="00D86F69">
        <w:rPr>
          <w:color w:val="auto"/>
        </w:rPr>
        <w:t>After discontinuing the pain medication the CI noted the onset of chronic daily headaches</w:t>
      </w:r>
      <w:r w:rsidR="00801184">
        <w:rPr>
          <w:color w:val="auto"/>
        </w:rPr>
        <w:t xml:space="preserve"> </w:t>
      </w:r>
      <w:r w:rsidR="00D86F69">
        <w:rPr>
          <w:color w:val="auto"/>
        </w:rPr>
        <w:t xml:space="preserve">and severe incapacitating headaches.  The CI was evaluated by Neurology and was diagnosed </w:t>
      </w:r>
      <w:r w:rsidR="00801184">
        <w:rPr>
          <w:color w:val="auto"/>
        </w:rPr>
        <w:t>and treated for</w:t>
      </w:r>
      <w:r w:rsidR="00D86F69">
        <w:rPr>
          <w:color w:val="auto"/>
        </w:rPr>
        <w:t xml:space="preserve"> chronic recurrent migraine without aura and chronic recurrent muscle contraction tension headache</w:t>
      </w:r>
      <w:r w:rsidR="00202B1E">
        <w:rPr>
          <w:color w:val="auto"/>
        </w:rPr>
        <w:t>s</w:t>
      </w:r>
      <w:r w:rsidR="00D86F69">
        <w:rPr>
          <w:color w:val="auto"/>
        </w:rPr>
        <w:t xml:space="preserve">.  The CI responded to </w:t>
      </w:r>
      <w:r w:rsidR="002B3678">
        <w:rPr>
          <w:color w:val="auto"/>
        </w:rPr>
        <w:t>prevent</w:t>
      </w:r>
      <w:r w:rsidR="00202B1E">
        <w:rPr>
          <w:color w:val="auto"/>
        </w:rPr>
        <w:t>ive</w:t>
      </w:r>
      <w:r w:rsidR="002B3678">
        <w:rPr>
          <w:color w:val="auto"/>
        </w:rPr>
        <w:t xml:space="preserve"> treatment with </w:t>
      </w:r>
      <w:r w:rsidR="00202B1E">
        <w:rPr>
          <w:color w:val="auto"/>
        </w:rPr>
        <w:t xml:space="preserve">the medication </w:t>
      </w:r>
      <w:r w:rsidR="002B3678">
        <w:rPr>
          <w:color w:val="auto"/>
        </w:rPr>
        <w:t xml:space="preserve">Nortriptyline and the abortive </w:t>
      </w:r>
      <w:r w:rsidR="00202B1E">
        <w:rPr>
          <w:color w:val="auto"/>
        </w:rPr>
        <w:t xml:space="preserve">treatment with the </w:t>
      </w:r>
      <w:r w:rsidR="002B3678">
        <w:rPr>
          <w:color w:val="auto"/>
        </w:rPr>
        <w:t xml:space="preserve">medications </w:t>
      </w:r>
      <w:r w:rsidR="00202B1E">
        <w:rPr>
          <w:color w:val="auto"/>
        </w:rPr>
        <w:t>Fioricet</w:t>
      </w:r>
      <w:r w:rsidR="002B3678">
        <w:rPr>
          <w:color w:val="auto"/>
        </w:rPr>
        <w:t xml:space="preserve">, Zomig and </w:t>
      </w:r>
      <w:r w:rsidR="002B3678">
        <w:rPr>
          <w:color w:val="auto"/>
        </w:rPr>
        <w:lastRenderedPageBreak/>
        <w:t>Midrin.</w:t>
      </w:r>
      <w:r w:rsidR="00D86F69">
        <w:rPr>
          <w:color w:val="auto"/>
        </w:rPr>
        <w:t xml:space="preserve"> </w:t>
      </w:r>
      <w:r w:rsidR="00801184">
        <w:rPr>
          <w:color w:val="auto"/>
        </w:rPr>
        <w:t xml:space="preserve"> The </w:t>
      </w:r>
      <w:r w:rsidR="00B6376E">
        <w:rPr>
          <w:color w:val="auto"/>
        </w:rPr>
        <w:t>c</w:t>
      </w:r>
      <w:r w:rsidR="00801184">
        <w:rPr>
          <w:color w:val="auto"/>
        </w:rPr>
        <w:t xml:space="preserve">ommander’s statement documented the CI had migraine headaches each week, with no set pattern and required him to leave his duty assignment, take the prescribed medications and rest.  </w:t>
      </w:r>
    </w:p>
    <w:p w:rsidR="00CF0280" w:rsidRPr="00F64312" w:rsidRDefault="00CF0280" w:rsidP="0069687C">
      <w:pPr>
        <w:jc w:val="both"/>
        <w:rPr>
          <w:color w:val="auto"/>
          <w:szCs w:val="24"/>
        </w:rPr>
      </w:pPr>
    </w:p>
    <w:p w:rsidR="002D2577" w:rsidRPr="00CE7FA2" w:rsidRDefault="00CF0280" w:rsidP="002D2577">
      <w:pPr>
        <w:jc w:val="both"/>
        <w:rPr>
          <w:color w:val="auto"/>
          <w:szCs w:val="24"/>
        </w:rPr>
      </w:pPr>
      <w:r w:rsidRPr="00F64312">
        <w:rPr>
          <w:color w:val="auto"/>
          <w:szCs w:val="24"/>
        </w:rPr>
        <w:t>At the MEB exam, the CI reported</w:t>
      </w:r>
      <w:r w:rsidR="002B3678">
        <w:rPr>
          <w:color w:val="auto"/>
          <w:szCs w:val="24"/>
        </w:rPr>
        <w:t xml:space="preserve"> he </w:t>
      </w:r>
      <w:r w:rsidR="002B3678">
        <w:rPr>
          <w:color w:val="auto"/>
        </w:rPr>
        <w:t>continued to suffer from chronic daily headaches which were significant and had improved to some degree with medication, however he continued to have headaches on a frequent enough basis of several times a week.  In the Neurology addendum for the MEB the CI reported the daily severe headache</w:t>
      </w:r>
      <w:r w:rsidR="00FD448E">
        <w:rPr>
          <w:color w:val="auto"/>
        </w:rPr>
        <w:t>,</w:t>
      </w:r>
      <w:r w:rsidR="002B3678">
        <w:rPr>
          <w:color w:val="auto"/>
        </w:rPr>
        <w:t xml:space="preserve"> which would reached a pain level of 3 of 10 in intensity, lasted 6-8 hours and responded to</w:t>
      </w:r>
      <w:r w:rsidR="00202B1E">
        <w:rPr>
          <w:color w:val="auto"/>
        </w:rPr>
        <w:t xml:space="preserve"> the medications</w:t>
      </w:r>
      <w:r w:rsidR="002B3678">
        <w:rPr>
          <w:color w:val="auto"/>
        </w:rPr>
        <w:t xml:space="preserve"> Fiorcet and Zomig.  The second, less intense headache responded to </w:t>
      </w:r>
      <w:r w:rsidR="00202B1E">
        <w:rPr>
          <w:color w:val="auto"/>
        </w:rPr>
        <w:t xml:space="preserve">the medication </w:t>
      </w:r>
      <w:r w:rsidR="002B3678">
        <w:rPr>
          <w:color w:val="auto"/>
        </w:rPr>
        <w:t xml:space="preserve">Midrin.  </w:t>
      </w:r>
      <w:r w:rsidR="001127B3">
        <w:rPr>
          <w:color w:val="auto"/>
        </w:rPr>
        <w:t>He started a</w:t>
      </w:r>
      <w:r w:rsidR="002B3678">
        <w:rPr>
          <w:color w:val="auto"/>
        </w:rPr>
        <w:t xml:space="preserve"> trial of </w:t>
      </w:r>
      <w:r w:rsidR="001127B3">
        <w:rPr>
          <w:color w:val="auto"/>
        </w:rPr>
        <w:t>the</w:t>
      </w:r>
      <w:r w:rsidR="002B3678">
        <w:rPr>
          <w:color w:val="auto"/>
        </w:rPr>
        <w:t xml:space="preserve"> prevent</w:t>
      </w:r>
      <w:r w:rsidR="00202B1E">
        <w:rPr>
          <w:color w:val="auto"/>
        </w:rPr>
        <w:t>ive</w:t>
      </w:r>
      <w:r w:rsidR="002B3678">
        <w:rPr>
          <w:color w:val="auto"/>
        </w:rPr>
        <w:t xml:space="preserve"> medication, Topamax, </w:t>
      </w:r>
      <w:r w:rsidR="001127B3">
        <w:rPr>
          <w:color w:val="auto"/>
        </w:rPr>
        <w:t xml:space="preserve">which </w:t>
      </w:r>
      <w:r w:rsidR="002B3678">
        <w:rPr>
          <w:color w:val="auto"/>
        </w:rPr>
        <w:t>decreased the frequency and intensity of the severe headache.</w:t>
      </w:r>
      <w:r w:rsidR="00801184">
        <w:rPr>
          <w:color w:val="auto"/>
          <w:szCs w:val="24"/>
        </w:rPr>
        <w:t xml:space="preserve">  The MEB physical exam demonstrated </w:t>
      </w:r>
      <w:r w:rsidR="002204F1">
        <w:rPr>
          <w:color w:val="auto"/>
          <w:szCs w:val="24"/>
        </w:rPr>
        <w:t xml:space="preserve">normal neuromuscular </w:t>
      </w:r>
      <w:r w:rsidR="00801184">
        <w:rPr>
          <w:color w:val="auto"/>
          <w:szCs w:val="24"/>
        </w:rPr>
        <w:t>findings</w:t>
      </w:r>
      <w:r w:rsidR="002204F1">
        <w:rPr>
          <w:color w:val="auto"/>
          <w:szCs w:val="24"/>
        </w:rPr>
        <w:t xml:space="preserve"> </w:t>
      </w:r>
      <w:r w:rsidR="00801184">
        <w:rPr>
          <w:color w:val="auto"/>
          <w:szCs w:val="24"/>
        </w:rPr>
        <w:t>and a normal mini mental status exam.  The</w:t>
      </w:r>
      <w:r w:rsidR="002204F1">
        <w:rPr>
          <w:color w:val="auto"/>
          <w:szCs w:val="24"/>
        </w:rPr>
        <w:t xml:space="preserve"> Neurologist opined </w:t>
      </w:r>
      <w:r w:rsidR="00801184">
        <w:rPr>
          <w:color w:val="auto"/>
          <w:szCs w:val="24"/>
        </w:rPr>
        <w:t xml:space="preserve">the </w:t>
      </w:r>
      <w:r w:rsidR="002204F1">
        <w:rPr>
          <w:color w:val="auto"/>
          <w:szCs w:val="24"/>
        </w:rPr>
        <w:t xml:space="preserve">severe headaches </w:t>
      </w:r>
      <w:r w:rsidR="001127B3">
        <w:rPr>
          <w:color w:val="auto"/>
          <w:szCs w:val="24"/>
        </w:rPr>
        <w:t>occurred</w:t>
      </w:r>
      <w:r w:rsidR="002204F1">
        <w:rPr>
          <w:color w:val="auto"/>
          <w:szCs w:val="24"/>
        </w:rPr>
        <w:t xml:space="preserve"> at least 2-4 times a month and he will likely require continued </w:t>
      </w:r>
      <w:r w:rsidR="002204F1" w:rsidRPr="00801184">
        <w:rPr>
          <w:color w:val="auto"/>
          <w:szCs w:val="24"/>
        </w:rPr>
        <w:t>pharmacotherapy for the remainder of his life.</w:t>
      </w:r>
      <w:r w:rsidR="00801184" w:rsidRPr="00801184">
        <w:rPr>
          <w:color w:val="auto"/>
          <w:szCs w:val="24"/>
        </w:rPr>
        <w:t xml:space="preserve">  </w:t>
      </w:r>
      <w:r w:rsidRPr="00801184">
        <w:rPr>
          <w:color w:val="auto"/>
          <w:szCs w:val="24"/>
        </w:rPr>
        <w:t xml:space="preserve">At the VA Compensation and </w:t>
      </w:r>
      <w:r w:rsidRPr="00CE7FA2">
        <w:rPr>
          <w:color w:val="auto"/>
          <w:szCs w:val="24"/>
        </w:rPr>
        <w:t>Pension (C&amp;P) exam</w:t>
      </w:r>
      <w:r w:rsidR="00801184" w:rsidRPr="00CE7FA2">
        <w:rPr>
          <w:color w:val="auto"/>
          <w:szCs w:val="24"/>
        </w:rPr>
        <w:t>,</w:t>
      </w:r>
      <w:r w:rsidR="00ED7820" w:rsidRPr="00CE7FA2">
        <w:rPr>
          <w:color w:val="auto"/>
          <w:szCs w:val="24"/>
        </w:rPr>
        <w:t xml:space="preserve"> </w:t>
      </w:r>
      <w:r w:rsidR="00B6376E">
        <w:rPr>
          <w:color w:val="auto"/>
          <w:szCs w:val="24"/>
        </w:rPr>
        <w:t>2</w:t>
      </w:r>
      <w:r w:rsidR="00801184" w:rsidRPr="00CE7FA2">
        <w:rPr>
          <w:color w:val="auto"/>
          <w:szCs w:val="24"/>
        </w:rPr>
        <w:t xml:space="preserve"> </w:t>
      </w:r>
      <w:r w:rsidR="00801184" w:rsidRPr="001327AC">
        <w:rPr>
          <w:color w:val="auto"/>
          <w:szCs w:val="24"/>
        </w:rPr>
        <w:t xml:space="preserve">months </w:t>
      </w:r>
      <w:r w:rsidR="00ED7820" w:rsidRPr="001327AC">
        <w:rPr>
          <w:color w:val="auto"/>
          <w:szCs w:val="24"/>
        </w:rPr>
        <w:t>prior</w:t>
      </w:r>
      <w:r w:rsidR="00ED7820" w:rsidRPr="00CE7FA2">
        <w:rPr>
          <w:color w:val="auto"/>
          <w:szCs w:val="24"/>
        </w:rPr>
        <w:t xml:space="preserve"> to separation</w:t>
      </w:r>
      <w:r w:rsidRPr="00CE7FA2">
        <w:rPr>
          <w:color w:val="auto"/>
          <w:szCs w:val="24"/>
        </w:rPr>
        <w:t>, the CI reported</w:t>
      </w:r>
      <w:r w:rsidR="001127B3">
        <w:rPr>
          <w:color w:val="auto"/>
          <w:szCs w:val="24"/>
        </w:rPr>
        <w:t xml:space="preserve"> no</w:t>
      </w:r>
      <w:r w:rsidR="00801184" w:rsidRPr="00CE7FA2">
        <w:rPr>
          <w:color w:val="auto"/>
          <w:szCs w:val="24"/>
        </w:rPr>
        <w:t xml:space="preserve"> addition</w:t>
      </w:r>
      <w:r w:rsidR="001127B3">
        <w:rPr>
          <w:color w:val="auto"/>
          <w:szCs w:val="24"/>
        </w:rPr>
        <w:t>al</w:t>
      </w:r>
      <w:r w:rsidR="00801184" w:rsidRPr="00CE7FA2">
        <w:rPr>
          <w:color w:val="auto"/>
          <w:szCs w:val="24"/>
        </w:rPr>
        <w:t xml:space="preserve"> history </w:t>
      </w:r>
      <w:r w:rsidR="001127B3">
        <w:rPr>
          <w:color w:val="auto"/>
          <w:szCs w:val="24"/>
        </w:rPr>
        <w:t xml:space="preserve">already reported in the </w:t>
      </w:r>
      <w:r w:rsidR="00801184" w:rsidRPr="00CE7FA2">
        <w:rPr>
          <w:color w:val="auto"/>
          <w:szCs w:val="24"/>
        </w:rPr>
        <w:t>MEB</w:t>
      </w:r>
      <w:r w:rsidR="001127B3">
        <w:rPr>
          <w:color w:val="auto"/>
          <w:szCs w:val="24"/>
        </w:rPr>
        <w:t xml:space="preserve"> exam</w:t>
      </w:r>
      <w:r w:rsidR="00CE7FA2" w:rsidRPr="00CE7FA2">
        <w:rPr>
          <w:color w:val="auto"/>
          <w:szCs w:val="24"/>
        </w:rPr>
        <w:t>.  T</w:t>
      </w:r>
      <w:r w:rsidR="002204F1" w:rsidRPr="00CE7FA2">
        <w:rPr>
          <w:color w:val="auto"/>
          <w:szCs w:val="24"/>
        </w:rPr>
        <w:t xml:space="preserve">he C&amp;P exam </w:t>
      </w:r>
      <w:r w:rsidR="00CE7FA2" w:rsidRPr="00CE7FA2">
        <w:rPr>
          <w:color w:val="auto"/>
          <w:szCs w:val="24"/>
        </w:rPr>
        <w:t>demonstrated no additional physical findings.  The s</w:t>
      </w:r>
      <w:r w:rsidR="002D2577" w:rsidRPr="00CE7FA2">
        <w:rPr>
          <w:color w:val="auto"/>
          <w:szCs w:val="24"/>
        </w:rPr>
        <w:t xml:space="preserve">kull </w:t>
      </w:r>
      <w:r w:rsidR="00B6376E">
        <w:rPr>
          <w:color w:val="auto"/>
          <w:szCs w:val="24"/>
        </w:rPr>
        <w:t>X</w:t>
      </w:r>
      <w:r w:rsidR="002D2577" w:rsidRPr="00CE7FA2">
        <w:rPr>
          <w:color w:val="auto"/>
          <w:szCs w:val="24"/>
        </w:rPr>
        <w:t>-ray</w:t>
      </w:r>
      <w:r w:rsidR="00CE7FA2" w:rsidRPr="00CE7FA2">
        <w:rPr>
          <w:color w:val="auto"/>
          <w:szCs w:val="24"/>
        </w:rPr>
        <w:t xml:space="preserve"> revealed e</w:t>
      </w:r>
      <w:r w:rsidR="002D2577" w:rsidRPr="00CE7FA2">
        <w:rPr>
          <w:color w:val="auto"/>
          <w:szCs w:val="24"/>
        </w:rPr>
        <w:t xml:space="preserve">vidence of </w:t>
      </w:r>
      <w:r w:rsidR="001127B3">
        <w:rPr>
          <w:color w:val="auto"/>
          <w:szCs w:val="24"/>
        </w:rPr>
        <w:t>old</w:t>
      </w:r>
      <w:r w:rsidR="002D2577" w:rsidRPr="00CE7FA2">
        <w:rPr>
          <w:color w:val="auto"/>
          <w:szCs w:val="24"/>
        </w:rPr>
        <w:t xml:space="preserve"> shrapnel wound with</w:t>
      </w:r>
      <w:r w:rsidR="00CE7FA2" w:rsidRPr="00CE7FA2">
        <w:rPr>
          <w:color w:val="auto"/>
          <w:szCs w:val="24"/>
        </w:rPr>
        <w:t xml:space="preserve"> </w:t>
      </w:r>
      <w:r w:rsidR="002D2577" w:rsidRPr="00CE7FA2">
        <w:rPr>
          <w:color w:val="auto"/>
          <w:szCs w:val="24"/>
        </w:rPr>
        <w:t>multiple scattered metallic fragments in the right facial</w:t>
      </w:r>
      <w:r w:rsidR="00CE7FA2" w:rsidRPr="00CE7FA2">
        <w:rPr>
          <w:color w:val="auto"/>
          <w:szCs w:val="24"/>
        </w:rPr>
        <w:t xml:space="preserve"> </w:t>
      </w:r>
      <w:r w:rsidR="002D2577" w:rsidRPr="00CE7FA2">
        <w:rPr>
          <w:color w:val="auto"/>
          <w:szCs w:val="24"/>
        </w:rPr>
        <w:t>structures</w:t>
      </w:r>
      <w:r w:rsidR="00CE7FA2" w:rsidRPr="00CE7FA2">
        <w:rPr>
          <w:color w:val="auto"/>
          <w:szCs w:val="24"/>
        </w:rPr>
        <w:t xml:space="preserve"> and o</w:t>
      </w:r>
      <w:r w:rsidR="002D2577" w:rsidRPr="00CE7FA2">
        <w:rPr>
          <w:color w:val="auto"/>
          <w:szCs w:val="24"/>
        </w:rPr>
        <w:t>therwise</w:t>
      </w:r>
      <w:r w:rsidR="00CE7FA2" w:rsidRPr="00CE7FA2">
        <w:rPr>
          <w:color w:val="auto"/>
          <w:szCs w:val="24"/>
        </w:rPr>
        <w:t xml:space="preserve"> a </w:t>
      </w:r>
      <w:r w:rsidR="002D2577" w:rsidRPr="00CE7FA2">
        <w:rPr>
          <w:color w:val="auto"/>
          <w:szCs w:val="24"/>
        </w:rPr>
        <w:t>normal skull series</w:t>
      </w:r>
      <w:r w:rsidR="00CE7FA2" w:rsidRPr="00CE7FA2">
        <w:rPr>
          <w:color w:val="auto"/>
          <w:szCs w:val="24"/>
        </w:rPr>
        <w:t>.  The examiner diagnosed</w:t>
      </w:r>
      <w:r w:rsidR="002D2577" w:rsidRPr="00CE7FA2">
        <w:rPr>
          <w:color w:val="auto"/>
          <w:szCs w:val="24"/>
        </w:rPr>
        <w:t xml:space="preserve"> </w:t>
      </w:r>
      <w:r w:rsidR="00CE7FA2" w:rsidRPr="00CE7FA2">
        <w:rPr>
          <w:color w:val="auto"/>
          <w:szCs w:val="24"/>
        </w:rPr>
        <w:t>m</w:t>
      </w:r>
      <w:r w:rsidR="002D2577" w:rsidRPr="00CE7FA2">
        <w:rPr>
          <w:color w:val="auto"/>
          <w:szCs w:val="24"/>
        </w:rPr>
        <w:t xml:space="preserve">igraine headaches with a frequency of </w:t>
      </w:r>
      <w:r w:rsidR="00B6376E">
        <w:rPr>
          <w:color w:val="auto"/>
          <w:szCs w:val="24"/>
        </w:rPr>
        <w:t>4</w:t>
      </w:r>
      <w:r w:rsidR="00CE7FA2" w:rsidRPr="00CE7FA2">
        <w:rPr>
          <w:color w:val="auto"/>
          <w:szCs w:val="24"/>
        </w:rPr>
        <w:t xml:space="preserve"> </w:t>
      </w:r>
      <w:r w:rsidR="002D2577" w:rsidRPr="00CE7FA2">
        <w:rPr>
          <w:color w:val="auto"/>
          <w:szCs w:val="24"/>
        </w:rPr>
        <w:t>times a month, responsive to therapy without complications</w:t>
      </w:r>
      <w:r w:rsidR="00CE7FA2" w:rsidRPr="00CE7FA2">
        <w:rPr>
          <w:color w:val="auto"/>
          <w:szCs w:val="24"/>
        </w:rPr>
        <w:t xml:space="preserve"> </w:t>
      </w:r>
      <w:r w:rsidR="002D2577" w:rsidRPr="00CE7FA2">
        <w:rPr>
          <w:color w:val="auto"/>
          <w:szCs w:val="24"/>
        </w:rPr>
        <w:t>and milder headache</w:t>
      </w:r>
      <w:r w:rsidR="001127B3">
        <w:rPr>
          <w:color w:val="auto"/>
          <w:szCs w:val="24"/>
        </w:rPr>
        <w:t>s</w:t>
      </w:r>
      <w:r w:rsidR="002D2577" w:rsidRPr="00CE7FA2">
        <w:rPr>
          <w:color w:val="auto"/>
          <w:szCs w:val="24"/>
        </w:rPr>
        <w:t xml:space="preserve"> of unspecified nature, managed with</w:t>
      </w:r>
      <w:r w:rsidR="00CE7FA2">
        <w:rPr>
          <w:color w:val="auto"/>
          <w:szCs w:val="24"/>
        </w:rPr>
        <w:t xml:space="preserve"> </w:t>
      </w:r>
      <w:r w:rsidR="002D2577" w:rsidRPr="00CE7FA2">
        <w:rPr>
          <w:color w:val="auto"/>
          <w:szCs w:val="24"/>
        </w:rPr>
        <w:t>mild analgesics without complications.</w:t>
      </w:r>
    </w:p>
    <w:p w:rsidR="002D2577" w:rsidRDefault="002D2577" w:rsidP="002D2577">
      <w:pPr>
        <w:jc w:val="both"/>
        <w:rPr>
          <w:color w:val="auto"/>
          <w:szCs w:val="24"/>
        </w:rPr>
      </w:pPr>
    </w:p>
    <w:p w:rsidR="00A42D28" w:rsidRPr="00CE7FA2" w:rsidRDefault="00A42D28" w:rsidP="00CE7FA2">
      <w:pPr>
        <w:tabs>
          <w:tab w:val="left" w:pos="288"/>
          <w:tab w:val="left" w:pos="4752"/>
        </w:tabs>
        <w:jc w:val="both"/>
        <w:rPr>
          <w:rFonts w:cs="Times New Roman"/>
          <w:color w:val="auto"/>
        </w:rPr>
      </w:pPr>
      <w:r w:rsidRPr="00CE7FA2">
        <w:rPr>
          <w:rFonts w:cs="Times New Roman"/>
          <w:color w:val="auto"/>
        </w:rPr>
        <w:t xml:space="preserve">The Board directs attention to its rating recommendation based on the above evidence.  </w:t>
      </w:r>
      <w:r w:rsidR="002D2577" w:rsidRPr="00CE7FA2">
        <w:rPr>
          <w:rFonts w:cs="Times New Roman"/>
          <w:color w:val="auto"/>
          <w:szCs w:val="24"/>
        </w:rPr>
        <w:t xml:space="preserve">The PEB and VA chose different coding options for the condition, </w:t>
      </w:r>
      <w:r w:rsidR="002D2577" w:rsidRPr="00CE7FA2">
        <w:rPr>
          <w:color w:val="000000" w:themeColor="text1"/>
          <w:szCs w:val="24"/>
        </w:rPr>
        <w:t xml:space="preserve">which had significant implications on the rating for the Board to consider.  </w:t>
      </w:r>
      <w:r w:rsidR="002D2577" w:rsidRPr="00CE7FA2">
        <w:rPr>
          <w:rFonts w:cs="Times New Roman"/>
          <w:color w:val="auto"/>
          <w:szCs w:val="24"/>
        </w:rPr>
        <w:t>The PEB chose to code analogously to 8045 code (</w:t>
      </w:r>
      <w:r w:rsidR="00EE255C">
        <w:rPr>
          <w:color w:val="auto"/>
          <w:szCs w:val="24"/>
        </w:rPr>
        <w:t>Residuals of Traumatic B</w:t>
      </w:r>
      <w:r w:rsidR="002D2577" w:rsidRPr="00CE7FA2">
        <w:rPr>
          <w:color w:val="auto"/>
          <w:szCs w:val="24"/>
        </w:rPr>
        <w:t>rain</w:t>
      </w:r>
      <w:r w:rsidR="00EE255C">
        <w:rPr>
          <w:color w:val="auto"/>
          <w:szCs w:val="24"/>
        </w:rPr>
        <w:t xml:space="preserve"> I</w:t>
      </w:r>
      <w:r w:rsidR="002D2577" w:rsidRPr="00CE7FA2">
        <w:rPr>
          <w:color w:val="auto"/>
          <w:szCs w:val="24"/>
        </w:rPr>
        <w:t xml:space="preserve">njury </w:t>
      </w:r>
      <w:r w:rsidR="00513B24">
        <w:rPr>
          <w:color w:val="auto"/>
          <w:szCs w:val="24"/>
        </w:rPr>
        <w:t>[</w:t>
      </w:r>
      <w:r w:rsidR="002D2577" w:rsidRPr="00CE7FA2">
        <w:rPr>
          <w:color w:val="auto"/>
          <w:szCs w:val="24"/>
        </w:rPr>
        <w:t>TBI</w:t>
      </w:r>
      <w:r w:rsidR="00513B24">
        <w:rPr>
          <w:color w:val="auto"/>
          <w:szCs w:val="24"/>
        </w:rPr>
        <w:t>]</w:t>
      </w:r>
      <w:r w:rsidR="002D2577" w:rsidRPr="00CE7FA2">
        <w:rPr>
          <w:color w:val="auto"/>
          <w:szCs w:val="24"/>
        </w:rPr>
        <w:t xml:space="preserve">) which falls under </w:t>
      </w:r>
      <w:r w:rsidR="00EE255C">
        <w:rPr>
          <w:rFonts w:cs="Times New Roman"/>
          <w:color w:val="auto"/>
          <w:szCs w:val="24"/>
        </w:rPr>
        <w:t>§4.124a—Schedule of R</w:t>
      </w:r>
      <w:r w:rsidR="002D2577" w:rsidRPr="00CE7FA2">
        <w:rPr>
          <w:rFonts w:cs="Times New Roman"/>
          <w:color w:val="auto"/>
          <w:szCs w:val="24"/>
        </w:rPr>
        <w:t>atings–</w:t>
      </w:r>
      <w:r w:rsidR="00EE255C">
        <w:rPr>
          <w:rFonts w:cs="Times New Roman"/>
          <w:color w:val="auto"/>
          <w:szCs w:val="24"/>
        </w:rPr>
        <w:t>Neurological Conditions a</w:t>
      </w:r>
      <w:r w:rsidR="00EE255C" w:rsidRPr="00CE7FA2">
        <w:rPr>
          <w:rFonts w:cs="Times New Roman"/>
          <w:color w:val="auto"/>
          <w:szCs w:val="24"/>
        </w:rPr>
        <w:t xml:space="preserve">nd Convulsive Disorders </w:t>
      </w:r>
      <w:r w:rsidR="002D2577" w:rsidRPr="00CE7FA2">
        <w:rPr>
          <w:color w:val="auto"/>
          <w:szCs w:val="24"/>
        </w:rPr>
        <w:t>with the 9304 code (Dementia due to head trauma)</w:t>
      </w:r>
      <w:r w:rsidR="00763EFA">
        <w:rPr>
          <w:color w:val="auto"/>
          <w:szCs w:val="24"/>
        </w:rPr>
        <w:t>,</w:t>
      </w:r>
      <w:r w:rsidR="002D2577" w:rsidRPr="00CE7FA2">
        <w:rPr>
          <w:color w:val="auto"/>
          <w:szCs w:val="24"/>
        </w:rPr>
        <w:t xml:space="preserve"> which falls under </w:t>
      </w:r>
      <w:r w:rsidR="002D2577" w:rsidRPr="00CE7FA2">
        <w:rPr>
          <w:bCs/>
          <w:color w:val="auto"/>
          <w:szCs w:val="24"/>
        </w:rPr>
        <w:t xml:space="preserve">§4.130 Schedule </w:t>
      </w:r>
      <w:r w:rsidR="00EE255C">
        <w:rPr>
          <w:bCs/>
          <w:color w:val="auto"/>
          <w:szCs w:val="24"/>
        </w:rPr>
        <w:t>o</w:t>
      </w:r>
      <w:r w:rsidR="00EE255C" w:rsidRPr="00CE7FA2">
        <w:rPr>
          <w:bCs/>
          <w:color w:val="auto"/>
          <w:szCs w:val="24"/>
        </w:rPr>
        <w:t>f Ratings-Mental Disorders</w:t>
      </w:r>
      <w:r w:rsidR="002D2577" w:rsidRPr="00CE7FA2">
        <w:rPr>
          <w:bCs/>
          <w:color w:val="auto"/>
          <w:szCs w:val="24"/>
        </w:rPr>
        <w:t>.  The Board agreed while the evidence clearly did not support dementia the evidence did support a</w:t>
      </w:r>
      <w:r w:rsidR="00CE7FA2" w:rsidRPr="00CE7FA2">
        <w:rPr>
          <w:bCs/>
          <w:color w:val="auto"/>
          <w:szCs w:val="24"/>
        </w:rPr>
        <w:t xml:space="preserve"> significant</w:t>
      </w:r>
      <w:r w:rsidR="002D2577" w:rsidRPr="00CE7FA2">
        <w:rPr>
          <w:bCs/>
          <w:color w:val="auto"/>
          <w:szCs w:val="24"/>
        </w:rPr>
        <w:t xml:space="preserve"> head injury which clinically is </w:t>
      </w:r>
      <w:r w:rsidR="002D2577" w:rsidRPr="001127B3">
        <w:rPr>
          <w:bCs/>
          <w:color w:val="auto"/>
          <w:szCs w:val="24"/>
        </w:rPr>
        <w:t xml:space="preserve">synonymous to a TBI.  Therefore the Board agreed the PEB was consistent with applying the 8045 code to classify the disabling migraine headaches and the Board notes that the maximum allowable for this code is 10% for the CI’s separation date.  </w:t>
      </w:r>
      <w:r w:rsidR="002D2577" w:rsidRPr="00513B24">
        <w:rPr>
          <w:bCs/>
          <w:color w:val="auto"/>
          <w:szCs w:val="24"/>
        </w:rPr>
        <w:t>The</w:t>
      </w:r>
      <w:r w:rsidR="002D2577" w:rsidRPr="001127B3">
        <w:rPr>
          <w:bCs/>
          <w:color w:val="auto"/>
          <w:szCs w:val="24"/>
        </w:rPr>
        <w:t xml:space="preserve"> VA coded 8100 </w:t>
      </w:r>
      <w:r w:rsidR="00763EFA">
        <w:rPr>
          <w:bCs/>
          <w:color w:val="auto"/>
          <w:szCs w:val="24"/>
        </w:rPr>
        <w:t>(</w:t>
      </w:r>
      <w:r w:rsidR="00EE255C">
        <w:rPr>
          <w:bCs/>
          <w:color w:val="auto"/>
          <w:szCs w:val="24"/>
        </w:rPr>
        <w:t>Migraine H</w:t>
      </w:r>
      <w:r w:rsidR="00763EFA" w:rsidRPr="00763EFA">
        <w:rPr>
          <w:bCs/>
          <w:color w:val="auto"/>
          <w:szCs w:val="24"/>
        </w:rPr>
        <w:t>eadaches)</w:t>
      </w:r>
      <w:r w:rsidR="00763EFA">
        <w:rPr>
          <w:bCs/>
          <w:color w:val="auto"/>
          <w:szCs w:val="24"/>
        </w:rPr>
        <w:t xml:space="preserve"> </w:t>
      </w:r>
      <w:r w:rsidR="002D2577" w:rsidRPr="001127B3">
        <w:rPr>
          <w:bCs/>
          <w:color w:val="auto"/>
          <w:szCs w:val="24"/>
        </w:rPr>
        <w:t>and rated 30%</w:t>
      </w:r>
      <w:r w:rsidR="001127B3" w:rsidRPr="001127B3">
        <w:rPr>
          <w:bCs/>
          <w:color w:val="auto"/>
          <w:szCs w:val="24"/>
        </w:rPr>
        <w:t>.</w:t>
      </w:r>
      <w:r w:rsidR="002D2577" w:rsidRPr="001127B3">
        <w:rPr>
          <w:bCs/>
          <w:color w:val="auto"/>
          <w:szCs w:val="24"/>
        </w:rPr>
        <w:t xml:space="preserve">  </w:t>
      </w:r>
      <w:r w:rsidR="001127B3" w:rsidRPr="001127B3">
        <w:rPr>
          <w:color w:val="auto"/>
          <w:szCs w:val="24"/>
        </w:rPr>
        <w:t xml:space="preserve">The Board’s </w:t>
      </w:r>
      <w:r w:rsidR="00763EFA">
        <w:rPr>
          <w:color w:val="auto"/>
          <w:szCs w:val="24"/>
        </w:rPr>
        <w:t>rating recommendation for 8045 (</w:t>
      </w:r>
      <w:r w:rsidR="001127B3" w:rsidRPr="001127B3">
        <w:rPr>
          <w:color w:val="auto"/>
          <w:szCs w:val="24"/>
        </w:rPr>
        <w:t>TBI</w:t>
      </w:r>
      <w:r w:rsidR="00763EFA">
        <w:rPr>
          <w:color w:val="auto"/>
          <w:szCs w:val="24"/>
        </w:rPr>
        <w:t>)</w:t>
      </w:r>
      <w:r w:rsidR="001127B3" w:rsidRPr="001127B3">
        <w:rPr>
          <w:color w:val="auto"/>
          <w:szCs w:val="24"/>
        </w:rPr>
        <w:t xml:space="preserve"> in this case is subject to the following policy (established by precedent and prior legal opinion). </w:t>
      </w:r>
      <w:r w:rsidR="00855D22">
        <w:rPr>
          <w:color w:val="auto"/>
          <w:szCs w:val="24"/>
        </w:rPr>
        <w:t xml:space="preserve"> </w:t>
      </w:r>
      <w:r w:rsidR="001127B3" w:rsidRPr="001127B3">
        <w:rPr>
          <w:color w:val="auto"/>
          <w:szCs w:val="24"/>
        </w:rPr>
        <w:t>As an implied extension of the DoDI 6040.44 and NDAA 2008 mandates, the Board will comply with applicable VA disability rating policy changes issued via “FAST” or Training Letters effective at the time of separation.  The VA Training Letter, TL06-03 (dated 13 February 2006), specifically addressed the complexity of TBI and recomme</w:t>
      </w:r>
      <w:r w:rsidR="001127B3" w:rsidRPr="001F5E79">
        <w:rPr>
          <w:color w:val="auto"/>
          <w:szCs w:val="24"/>
        </w:rPr>
        <w:t>nded coding “outside” of 8045 when a more favorable rating could be achieved under an alternate code.</w:t>
      </w:r>
      <w:r w:rsidR="001F5E79" w:rsidRPr="001F5E79">
        <w:rPr>
          <w:color w:val="auto"/>
          <w:szCs w:val="24"/>
        </w:rPr>
        <w:t xml:space="preserve"> </w:t>
      </w:r>
      <w:r w:rsidR="00763EFA" w:rsidRPr="001F5E79">
        <w:rPr>
          <w:color w:val="auto"/>
          <w:szCs w:val="24"/>
        </w:rPr>
        <w:t xml:space="preserve"> </w:t>
      </w:r>
      <w:r w:rsidR="001F5E79" w:rsidRPr="001F5E79">
        <w:rPr>
          <w:color w:val="auto"/>
          <w:szCs w:val="24"/>
        </w:rPr>
        <w:t>Additionally, the</w:t>
      </w:r>
      <w:r w:rsidR="00763EFA" w:rsidRPr="001F5E79">
        <w:rPr>
          <w:color w:val="auto"/>
          <w:szCs w:val="24"/>
        </w:rPr>
        <w:t xml:space="preserve"> VA </w:t>
      </w:r>
      <w:r w:rsidR="009903AC" w:rsidRPr="001F5E79">
        <w:rPr>
          <w:color w:val="auto"/>
          <w:szCs w:val="24"/>
        </w:rPr>
        <w:t xml:space="preserve">Training letter </w:t>
      </w:r>
      <w:r w:rsidR="001127B3" w:rsidRPr="001F5E79">
        <w:rPr>
          <w:color w:val="auto"/>
          <w:szCs w:val="24"/>
        </w:rPr>
        <w:t xml:space="preserve">TL07-05 (dated 31 August 2007) went further in recommending separate ratings under the applicable codes for each ratable component of TBI in evidence; e.g., headache, tinnitus, dizziness, etc.  </w:t>
      </w:r>
      <w:r w:rsidR="002D2577" w:rsidRPr="001F5E79">
        <w:rPr>
          <w:bCs/>
          <w:color w:val="auto"/>
          <w:szCs w:val="24"/>
        </w:rPr>
        <w:t xml:space="preserve">Therefore the Board agreed based on the </w:t>
      </w:r>
      <w:r w:rsidR="00763EFA" w:rsidRPr="001F5E79">
        <w:rPr>
          <w:bCs/>
          <w:color w:val="auto"/>
          <w:szCs w:val="24"/>
        </w:rPr>
        <w:t xml:space="preserve">CI’s date </w:t>
      </w:r>
      <w:r w:rsidR="002D2577" w:rsidRPr="001F5E79">
        <w:rPr>
          <w:bCs/>
          <w:color w:val="auto"/>
          <w:szCs w:val="24"/>
        </w:rPr>
        <w:t>of separation</w:t>
      </w:r>
      <w:r w:rsidR="00763EFA" w:rsidRPr="001F5E79">
        <w:rPr>
          <w:bCs/>
          <w:color w:val="auto"/>
          <w:szCs w:val="24"/>
        </w:rPr>
        <w:t xml:space="preserve"> (21</w:t>
      </w:r>
      <w:r w:rsidR="00EE255C">
        <w:rPr>
          <w:bCs/>
          <w:color w:val="auto"/>
          <w:szCs w:val="24"/>
        </w:rPr>
        <w:t> </w:t>
      </w:r>
      <w:r w:rsidR="00763EFA" w:rsidRPr="001F5E79">
        <w:rPr>
          <w:bCs/>
          <w:color w:val="auto"/>
          <w:szCs w:val="24"/>
        </w:rPr>
        <w:t xml:space="preserve">July </w:t>
      </w:r>
      <w:r w:rsidR="00763EFA" w:rsidRPr="001F5E79">
        <w:rPr>
          <w:color w:val="auto"/>
        </w:rPr>
        <w:t>2006)</w:t>
      </w:r>
      <w:r w:rsidR="002D2577" w:rsidRPr="001F5E79">
        <w:rPr>
          <w:bCs/>
          <w:color w:val="auto"/>
          <w:szCs w:val="24"/>
        </w:rPr>
        <w:t xml:space="preserve"> </w:t>
      </w:r>
      <w:r w:rsidR="001F5E79" w:rsidRPr="001F5E79">
        <w:rPr>
          <w:color w:val="auto"/>
          <w:szCs w:val="24"/>
        </w:rPr>
        <w:t>that the 8045-9304 coding is correctly applied</w:t>
      </w:r>
      <w:r w:rsidR="001F5E79" w:rsidRPr="001127B3">
        <w:rPr>
          <w:bCs/>
          <w:color w:val="auto"/>
          <w:szCs w:val="24"/>
        </w:rPr>
        <w:t xml:space="preserve"> </w:t>
      </w:r>
      <w:r w:rsidR="002D2577" w:rsidRPr="001127B3">
        <w:rPr>
          <w:bCs/>
          <w:color w:val="auto"/>
          <w:szCs w:val="24"/>
        </w:rPr>
        <w:t>the 8100 code could not be considered for a higher rating.</w:t>
      </w:r>
      <w:r w:rsidR="00CE7FA2" w:rsidRPr="001127B3">
        <w:rPr>
          <w:rFonts w:cs="Times New Roman"/>
          <w:color w:val="auto"/>
          <w:szCs w:val="24"/>
        </w:rPr>
        <w:t xml:space="preserve">  </w:t>
      </w:r>
      <w:r w:rsidRPr="001127B3">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CE7FA2" w:rsidRPr="001127B3">
        <w:rPr>
          <w:rFonts w:eastAsia="Calibri" w:cs="Times New Roman"/>
          <w:color w:val="auto"/>
          <w:szCs w:val="24"/>
        </w:rPr>
        <w:t xml:space="preserve">headache condition post head trauma </w:t>
      </w:r>
      <w:r w:rsidRPr="001127B3">
        <w:rPr>
          <w:rFonts w:eastAsia="Calibri" w:cs="Times New Roman"/>
          <w:color w:val="auto"/>
          <w:szCs w:val="24"/>
        </w:rPr>
        <w:t>condition.</w:t>
      </w:r>
    </w:p>
    <w:p w:rsidR="00CF0280" w:rsidRPr="00F64312" w:rsidRDefault="00CF0280" w:rsidP="0069687C">
      <w:pPr>
        <w:jc w:val="both"/>
        <w:rPr>
          <w:color w:val="auto"/>
          <w:szCs w:val="24"/>
        </w:rPr>
      </w:pPr>
    </w:p>
    <w:p w:rsidR="004A27FE" w:rsidRPr="002A4E34" w:rsidRDefault="00EE7809" w:rsidP="002D2577">
      <w:pPr>
        <w:jc w:val="both"/>
        <w:rPr>
          <w:color w:val="000000" w:themeColor="text1"/>
          <w:szCs w:val="24"/>
        </w:rPr>
      </w:pPr>
      <w:proofErr w:type="gramStart"/>
      <w:r>
        <w:rPr>
          <w:color w:val="auto"/>
          <w:u w:val="single"/>
        </w:rPr>
        <w:t>Chronic Pain from Multiple Retained Shrapnel Fragments</w:t>
      </w:r>
      <w:r w:rsidRPr="00F64312">
        <w:rPr>
          <w:color w:val="auto"/>
        </w:rPr>
        <w:t>.</w:t>
      </w:r>
      <w:proofErr w:type="gramEnd"/>
      <w:r w:rsidRPr="00F64312">
        <w:rPr>
          <w:color w:val="auto"/>
        </w:rPr>
        <w:t xml:space="preserve">  </w:t>
      </w:r>
      <w:r w:rsidR="004A27FE" w:rsidRPr="00831A5F">
        <w:rPr>
          <w:color w:val="000000" w:themeColor="text1"/>
          <w:szCs w:val="24"/>
        </w:rPr>
        <w:t xml:space="preserve">The PEB combined the chronic pain from multiple retained shrapnel fragments to include the left arm </w:t>
      </w:r>
      <w:r w:rsidR="003F22A5" w:rsidRPr="00831A5F">
        <w:rPr>
          <w:color w:val="000000" w:themeColor="text1"/>
          <w:szCs w:val="24"/>
        </w:rPr>
        <w:t>pain</w:t>
      </w:r>
      <w:r w:rsidR="006D1CAE">
        <w:rPr>
          <w:color w:val="000000" w:themeColor="text1"/>
          <w:szCs w:val="24"/>
        </w:rPr>
        <w:t xml:space="preserve"> and weakness (left arm condition</w:t>
      </w:r>
      <w:r w:rsidR="003F22A5" w:rsidRPr="00831A5F">
        <w:rPr>
          <w:color w:val="000000" w:themeColor="text1"/>
          <w:szCs w:val="24"/>
        </w:rPr>
        <w:t>)</w:t>
      </w:r>
      <w:r w:rsidR="004A27FE" w:rsidRPr="00831A5F">
        <w:rPr>
          <w:color w:val="000000" w:themeColor="text1"/>
          <w:szCs w:val="24"/>
        </w:rPr>
        <w:t xml:space="preserve"> as a single unfitting condition, coded analogously to 5003 and rated 0%, relying on the USAPDA pain policy for not applying separately compensable VASRD codes.  The Board must apply separate codes and ratings in its recommendations if compensable ratings for each condition are achieved IAW VASRD §4.71a.  As elaborated below, a separate compensable </w:t>
      </w:r>
      <w:r w:rsidR="004A27FE" w:rsidRPr="00831A5F">
        <w:rPr>
          <w:color w:val="000000" w:themeColor="text1"/>
          <w:szCs w:val="24"/>
        </w:rPr>
        <w:lastRenderedPageBreak/>
        <w:t>rating for the left arm condition is supported by the evidence in this case.  Having determined that separate ratings are warranted</w:t>
      </w:r>
      <w:r w:rsidR="00FF5029">
        <w:rPr>
          <w:color w:val="000000" w:themeColor="text1"/>
          <w:szCs w:val="24"/>
        </w:rPr>
        <w:t>;</w:t>
      </w:r>
      <w:r w:rsidR="004A27FE" w:rsidRPr="00831A5F">
        <w:rPr>
          <w:color w:val="000000" w:themeColor="text1"/>
          <w:szCs w:val="24"/>
        </w:rPr>
        <w:t xml:space="preserve"> however, the Board must also satisfy the requirement that each ‘unbundled’ condition was unfitting in and of itself.  Not uncommonly, this approach by the PEB reflects its judgment that the constellation of conditions was unfitting and that there was no need for separate fitness adjudications, not a judgment that each condition was independently unfitting.  The Board therefore exercises the prerogative of separate fitness recommendations in this circumstance, with the caveat that its recommendations may not produce a lower combined rating than that of the PEB.  In this case, the </w:t>
      </w:r>
      <w:r w:rsidR="003F22A5" w:rsidRPr="00831A5F">
        <w:rPr>
          <w:color w:val="000000" w:themeColor="text1"/>
          <w:szCs w:val="24"/>
        </w:rPr>
        <w:t>left arm condition</w:t>
      </w:r>
      <w:r w:rsidR="004A27FE" w:rsidRPr="00831A5F">
        <w:rPr>
          <w:color w:val="000000" w:themeColor="text1"/>
          <w:szCs w:val="24"/>
        </w:rPr>
        <w:t xml:space="preserve"> w</w:t>
      </w:r>
      <w:r w:rsidR="003F22A5" w:rsidRPr="00831A5F">
        <w:rPr>
          <w:color w:val="000000" w:themeColor="text1"/>
          <w:szCs w:val="24"/>
        </w:rPr>
        <w:t>as</w:t>
      </w:r>
      <w:r w:rsidR="004A27FE" w:rsidRPr="00831A5F">
        <w:rPr>
          <w:color w:val="000000" w:themeColor="text1"/>
          <w:szCs w:val="24"/>
        </w:rPr>
        <w:t xml:space="preserve"> well supported as unfitting by evidence from the narrative summary (NARSUM) and service treatment record (STR)</w:t>
      </w:r>
      <w:r w:rsidR="003244D7">
        <w:rPr>
          <w:color w:val="000000" w:themeColor="text1"/>
          <w:szCs w:val="24"/>
        </w:rPr>
        <w:t xml:space="preserve">.  </w:t>
      </w:r>
      <w:r w:rsidR="002A4E34">
        <w:rPr>
          <w:color w:val="000000" w:themeColor="text1"/>
          <w:szCs w:val="24"/>
        </w:rPr>
        <w:t>The o</w:t>
      </w:r>
      <w:r w:rsidR="003244D7">
        <w:rPr>
          <w:color w:val="000000" w:themeColor="text1"/>
          <w:szCs w:val="24"/>
        </w:rPr>
        <w:t xml:space="preserve">ther shrapnel </w:t>
      </w:r>
      <w:r w:rsidR="00EE5134">
        <w:rPr>
          <w:color w:val="000000" w:themeColor="text1"/>
          <w:szCs w:val="24"/>
        </w:rPr>
        <w:t>injuries</w:t>
      </w:r>
      <w:r w:rsidR="003244D7">
        <w:rPr>
          <w:color w:val="000000" w:themeColor="text1"/>
          <w:szCs w:val="24"/>
        </w:rPr>
        <w:t xml:space="preserve"> reflected pain from scars and foreign bodies and the Board specifically looked at all these</w:t>
      </w:r>
      <w:r w:rsidR="002A4E34">
        <w:rPr>
          <w:color w:val="000000" w:themeColor="text1"/>
          <w:szCs w:val="24"/>
        </w:rPr>
        <w:t>.  The Board</w:t>
      </w:r>
      <w:r w:rsidR="003244D7">
        <w:rPr>
          <w:color w:val="000000" w:themeColor="text1"/>
          <w:szCs w:val="24"/>
        </w:rPr>
        <w:t xml:space="preserve"> </w:t>
      </w:r>
      <w:r w:rsidR="002A4E34">
        <w:rPr>
          <w:color w:val="000000" w:themeColor="text1"/>
          <w:szCs w:val="24"/>
        </w:rPr>
        <w:t xml:space="preserve">agreed that separately none of the remaining shrapnel injuries were well </w:t>
      </w:r>
      <w:r w:rsidR="003244D7">
        <w:rPr>
          <w:color w:val="000000" w:themeColor="text1"/>
          <w:szCs w:val="24"/>
        </w:rPr>
        <w:t xml:space="preserve">supported as </w:t>
      </w:r>
      <w:r w:rsidR="002A4E34">
        <w:rPr>
          <w:color w:val="000000" w:themeColor="text1"/>
          <w:szCs w:val="24"/>
        </w:rPr>
        <w:t xml:space="preserve">separately </w:t>
      </w:r>
      <w:r w:rsidR="003244D7">
        <w:rPr>
          <w:color w:val="000000" w:themeColor="text1"/>
          <w:szCs w:val="24"/>
        </w:rPr>
        <w:t>unfitting</w:t>
      </w:r>
      <w:r w:rsidR="002A4E34">
        <w:rPr>
          <w:color w:val="000000" w:themeColor="text1"/>
          <w:szCs w:val="24"/>
        </w:rPr>
        <w:t xml:space="preserve">.  </w:t>
      </w:r>
      <w:r w:rsidR="004A27FE" w:rsidRPr="00831A5F">
        <w:rPr>
          <w:color w:val="000000" w:themeColor="text1"/>
          <w:szCs w:val="24"/>
        </w:rPr>
        <w:t xml:space="preserve">After deliberation, all members agreed that (more likely than not) the </w:t>
      </w:r>
      <w:r w:rsidR="003F22A5" w:rsidRPr="00831A5F">
        <w:rPr>
          <w:color w:val="000000" w:themeColor="text1"/>
          <w:szCs w:val="24"/>
        </w:rPr>
        <w:t>left arm</w:t>
      </w:r>
      <w:r w:rsidR="004A27FE" w:rsidRPr="00831A5F">
        <w:rPr>
          <w:color w:val="000000" w:themeColor="text1"/>
          <w:szCs w:val="24"/>
        </w:rPr>
        <w:t xml:space="preserve"> </w:t>
      </w:r>
      <w:r w:rsidR="003F22A5" w:rsidRPr="00831A5F">
        <w:rPr>
          <w:color w:val="000000" w:themeColor="text1"/>
          <w:szCs w:val="24"/>
        </w:rPr>
        <w:t>condition</w:t>
      </w:r>
      <w:r w:rsidR="004A27FE" w:rsidRPr="00831A5F">
        <w:rPr>
          <w:color w:val="000000" w:themeColor="text1"/>
          <w:szCs w:val="24"/>
        </w:rPr>
        <w:t>, in isolation, would have rendered the CI incapable of continued service within his MOS; and,</w:t>
      </w:r>
      <w:r w:rsidR="003F22A5" w:rsidRPr="00831A5F">
        <w:rPr>
          <w:color w:val="000000" w:themeColor="text1"/>
          <w:szCs w:val="24"/>
        </w:rPr>
        <w:t xml:space="preserve"> accordingly</w:t>
      </w:r>
      <w:r w:rsidR="004A27FE" w:rsidRPr="00831A5F">
        <w:rPr>
          <w:color w:val="000000" w:themeColor="text1"/>
          <w:szCs w:val="24"/>
        </w:rPr>
        <w:t xml:space="preserve"> merits a separate disability rating.</w:t>
      </w:r>
    </w:p>
    <w:p w:rsidR="004A27FE" w:rsidRDefault="004A27FE" w:rsidP="002D2577">
      <w:pPr>
        <w:jc w:val="both"/>
        <w:rPr>
          <w:color w:val="auto"/>
        </w:rPr>
      </w:pPr>
    </w:p>
    <w:p w:rsidR="00CA5A4A" w:rsidRPr="001327AC" w:rsidRDefault="00831A5F" w:rsidP="00CA5A4A">
      <w:pPr>
        <w:jc w:val="both"/>
        <w:rPr>
          <w:rFonts w:ascii="Times New Roman" w:hAnsi="Times New Roman" w:cs="Times New Roman"/>
          <w:color w:val="auto"/>
          <w:sz w:val="20"/>
        </w:rPr>
      </w:pPr>
      <w:proofErr w:type="gramStart"/>
      <w:r w:rsidRPr="00831A5F">
        <w:rPr>
          <w:color w:val="auto"/>
          <w:u w:val="single"/>
        </w:rPr>
        <w:t>Left Arm Condition</w:t>
      </w:r>
      <w:r>
        <w:rPr>
          <w:color w:val="auto"/>
        </w:rPr>
        <w:t>.</w:t>
      </w:r>
      <w:proofErr w:type="gramEnd"/>
      <w:r>
        <w:rPr>
          <w:color w:val="auto"/>
        </w:rPr>
        <w:t xml:space="preserve">  </w:t>
      </w:r>
      <w:r w:rsidR="00B65CA7" w:rsidRPr="00F30E73">
        <w:rPr>
          <w:color w:val="auto"/>
          <w:szCs w:val="24"/>
        </w:rPr>
        <w:t>The CI is right-hand dominant who sustained multiple shrapnel wounds, multiple blast injuries from an IED explosion to include a flesh wound</w:t>
      </w:r>
      <w:r w:rsidR="00881C5E" w:rsidRPr="00F30E73">
        <w:rPr>
          <w:color w:val="auto"/>
          <w:szCs w:val="24"/>
        </w:rPr>
        <w:t xml:space="preserve"> </w:t>
      </w:r>
      <w:r w:rsidR="00855D22">
        <w:rPr>
          <w:color w:val="auto"/>
          <w:szCs w:val="24"/>
        </w:rPr>
        <w:t xml:space="preserve">( a </w:t>
      </w:r>
      <w:r w:rsidR="00881C5E" w:rsidRPr="00F30E73">
        <w:rPr>
          <w:color w:val="auto"/>
          <w:szCs w:val="24"/>
        </w:rPr>
        <w:t>soft tissue injury of</w:t>
      </w:r>
      <w:r w:rsidR="00B65CA7" w:rsidRPr="00F30E73">
        <w:rPr>
          <w:color w:val="auto"/>
          <w:szCs w:val="24"/>
        </w:rPr>
        <w:t xml:space="preserve"> his left forearm</w:t>
      </w:r>
      <w:r w:rsidR="00855D22">
        <w:rPr>
          <w:color w:val="auto"/>
          <w:szCs w:val="24"/>
        </w:rPr>
        <w:t>)</w:t>
      </w:r>
      <w:r w:rsidR="002452A9" w:rsidRPr="00F30E73">
        <w:rPr>
          <w:color w:val="auto"/>
          <w:szCs w:val="24"/>
        </w:rPr>
        <w:t xml:space="preserve"> measuring 8 cm x 8cm</w:t>
      </w:r>
      <w:r w:rsidR="00881C5E" w:rsidRPr="00F30E73">
        <w:rPr>
          <w:color w:val="auto"/>
          <w:szCs w:val="24"/>
        </w:rPr>
        <w:t xml:space="preserve"> with flexor tendon</w:t>
      </w:r>
      <w:r w:rsidR="00855D22">
        <w:rPr>
          <w:color w:val="auto"/>
          <w:szCs w:val="24"/>
        </w:rPr>
        <w:t xml:space="preserve">, </w:t>
      </w:r>
      <w:r w:rsidR="00881C5E" w:rsidRPr="00F30E73">
        <w:rPr>
          <w:color w:val="auto"/>
          <w:szCs w:val="24"/>
        </w:rPr>
        <w:t xml:space="preserve">ulnar artery and </w:t>
      </w:r>
      <w:r w:rsidR="002452A9" w:rsidRPr="00F30E73">
        <w:rPr>
          <w:color w:val="auto"/>
          <w:szCs w:val="24"/>
        </w:rPr>
        <w:t xml:space="preserve">radial </w:t>
      </w:r>
      <w:r w:rsidR="00881C5E" w:rsidRPr="00F30E73">
        <w:rPr>
          <w:color w:val="auto"/>
          <w:szCs w:val="24"/>
        </w:rPr>
        <w:t>nerve damage</w:t>
      </w:r>
      <w:r w:rsidR="0031338B" w:rsidRPr="00F30E73">
        <w:rPr>
          <w:color w:val="auto"/>
          <w:szCs w:val="24"/>
        </w:rPr>
        <w:t xml:space="preserve"> for which he underwent a protracted operative repair</w:t>
      </w:r>
      <w:r w:rsidR="00B65CA7" w:rsidRPr="00F30E73">
        <w:rPr>
          <w:color w:val="auto"/>
          <w:szCs w:val="24"/>
        </w:rPr>
        <w:t>.  Th</w:t>
      </w:r>
      <w:r w:rsidR="0031338B" w:rsidRPr="00F30E73">
        <w:rPr>
          <w:color w:val="auto"/>
          <w:szCs w:val="24"/>
        </w:rPr>
        <w:t>e</w:t>
      </w:r>
      <w:r w:rsidR="00B65CA7" w:rsidRPr="00F30E73">
        <w:rPr>
          <w:color w:val="auto"/>
          <w:szCs w:val="24"/>
        </w:rPr>
        <w:t xml:space="preserve"> </w:t>
      </w:r>
      <w:r w:rsidR="00855D22">
        <w:rPr>
          <w:color w:val="auto"/>
          <w:szCs w:val="24"/>
        </w:rPr>
        <w:t xml:space="preserve">flesh </w:t>
      </w:r>
      <w:r w:rsidR="00B65CA7" w:rsidRPr="00F30E73">
        <w:rPr>
          <w:color w:val="auto"/>
          <w:szCs w:val="24"/>
        </w:rPr>
        <w:t xml:space="preserve">wound required </w:t>
      </w:r>
      <w:r w:rsidR="00D808F2" w:rsidRPr="00F30E73">
        <w:rPr>
          <w:color w:val="auto"/>
          <w:szCs w:val="24"/>
        </w:rPr>
        <w:t xml:space="preserve">multiple procedures for irrigation and debridement of </w:t>
      </w:r>
      <w:r w:rsidR="00D808F2" w:rsidRPr="00855D22">
        <w:rPr>
          <w:color w:val="auto"/>
          <w:szCs w:val="24"/>
        </w:rPr>
        <w:t>the volar</w:t>
      </w:r>
      <w:r w:rsidR="007F1D7B" w:rsidRPr="00855D22">
        <w:rPr>
          <w:color w:val="auto"/>
          <w:szCs w:val="24"/>
        </w:rPr>
        <w:t xml:space="preserve"> (anterior</w:t>
      </w:r>
      <w:r w:rsidR="007F1D7B" w:rsidRPr="00F30E73">
        <w:rPr>
          <w:color w:val="auto"/>
          <w:szCs w:val="24"/>
        </w:rPr>
        <w:t>)</w:t>
      </w:r>
      <w:r w:rsidR="00D808F2" w:rsidRPr="00F30E73">
        <w:rPr>
          <w:color w:val="auto"/>
          <w:szCs w:val="24"/>
        </w:rPr>
        <w:t xml:space="preserve"> aspect</w:t>
      </w:r>
      <w:r w:rsidR="004E02EF" w:rsidRPr="00F30E73">
        <w:rPr>
          <w:color w:val="auto"/>
          <w:szCs w:val="24"/>
        </w:rPr>
        <w:t xml:space="preserve"> </w:t>
      </w:r>
      <w:r w:rsidR="00D808F2" w:rsidRPr="00F30E73">
        <w:rPr>
          <w:color w:val="auto"/>
          <w:szCs w:val="24"/>
        </w:rPr>
        <w:t>of the forearm</w:t>
      </w:r>
      <w:r w:rsidR="007F37B3">
        <w:rPr>
          <w:color w:val="auto"/>
          <w:szCs w:val="24"/>
        </w:rPr>
        <w:t>,</w:t>
      </w:r>
      <w:r w:rsidR="00855D22">
        <w:rPr>
          <w:color w:val="auto"/>
          <w:szCs w:val="24"/>
        </w:rPr>
        <w:t xml:space="preserve"> and</w:t>
      </w:r>
      <w:r w:rsidR="000F3561" w:rsidRPr="00F30E73">
        <w:rPr>
          <w:color w:val="auto"/>
          <w:szCs w:val="24"/>
        </w:rPr>
        <w:t xml:space="preserve"> then </w:t>
      </w:r>
      <w:r w:rsidR="007F1D7B" w:rsidRPr="00F30E73">
        <w:rPr>
          <w:color w:val="auto"/>
          <w:szCs w:val="24"/>
        </w:rPr>
        <w:t>required a skin graft</w:t>
      </w:r>
      <w:r w:rsidR="00881C5E" w:rsidRPr="00F30E73">
        <w:rPr>
          <w:color w:val="auto"/>
          <w:szCs w:val="24"/>
        </w:rPr>
        <w:t xml:space="preserve"> </w:t>
      </w:r>
      <w:r w:rsidR="00855D22">
        <w:rPr>
          <w:color w:val="auto"/>
          <w:szCs w:val="24"/>
        </w:rPr>
        <w:t>(</w:t>
      </w:r>
      <w:r w:rsidR="00881C5E" w:rsidRPr="00F30E73">
        <w:rPr>
          <w:color w:val="auto"/>
          <w:szCs w:val="24"/>
        </w:rPr>
        <w:t>a groin flap transfer</w:t>
      </w:r>
      <w:r w:rsidR="00855D22">
        <w:rPr>
          <w:color w:val="auto"/>
          <w:szCs w:val="24"/>
        </w:rPr>
        <w:t>)</w:t>
      </w:r>
      <w:r w:rsidR="000F3561" w:rsidRPr="00F30E73">
        <w:rPr>
          <w:color w:val="auto"/>
          <w:szCs w:val="24"/>
        </w:rPr>
        <w:t xml:space="preserve"> attaching his left wrist to his left hip</w:t>
      </w:r>
      <w:r w:rsidR="001D22BA" w:rsidRPr="00F30E73">
        <w:rPr>
          <w:color w:val="auto"/>
          <w:szCs w:val="24"/>
        </w:rPr>
        <w:t>.</w:t>
      </w:r>
      <w:r w:rsidR="000F3561" w:rsidRPr="00F30E73">
        <w:rPr>
          <w:color w:val="auto"/>
          <w:szCs w:val="24"/>
        </w:rPr>
        <w:t xml:space="preserve"> </w:t>
      </w:r>
      <w:r w:rsidR="001D22BA" w:rsidRPr="00F30E73">
        <w:rPr>
          <w:color w:val="auto"/>
          <w:szCs w:val="24"/>
        </w:rPr>
        <w:t xml:space="preserve"> This</w:t>
      </w:r>
      <w:r w:rsidR="000F3561" w:rsidRPr="00F30E73">
        <w:rPr>
          <w:color w:val="auto"/>
          <w:szCs w:val="24"/>
        </w:rPr>
        <w:t xml:space="preserve"> remained in place for </w:t>
      </w:r>
      <w:r w:rsidR="00513B24">
        <w:rPr>
          <w:color w:val="auto"/>
          <w:szCs w:val="24"/>
        </w:rPr>
        <w:t>3</w:t>
      </w:r>
      <w:r w:rsidR="000F3561" w:rsidRPr="00F30E73">
        <w:rPr>
          <w:color w:val="auto"/>
          <w:szCs w:val="24"/>
        </w:rPr>
        <w:t xml:space="preserve"> weeks</w:t>
      </w:r>
      <w:r w:rsidR="001D22BA" w:rsidRPr="00F30E73">
        <w:rPr>
          <w:color w:val="auto"/>
          <w:szCs w:val="24"/>
        </w:rPr>
        <w:t xml:space="preserve"> after which it was operatively divided with success.  </w:t>
      </w:r>
      <w:r w:rsidR="00881C5E" w:rsidRPr="00F30E73">
        <w:rPr>
          <w:color w:val="auto"/>
          <w:szCs w:val="24"/>
        </w:rPr>
        <w:t xml:space="preserve">In March 2004 </w:t>
      </w:r>
      <w:r w:rsidR="00855D22">
        <w:rPr>
          <w:color w:val="auto"/>
          <w:szCs w:val="24"/>
        </w:rPr>
        <w:t xml:space="preserve">an </w:t>
      </w:r>
      <w:r w:rsidR="00881C5E" w:rsidRPr="00F30E73">
        <w:rPr>
          <w:color w:val="auto"/>
          <w:szCs w:val="24"/>
        </w:rPr>
        <w:t xml:space="preserve">occupational therapy </w:t>
      </w:r>
      <w:r w:rsidR="00EC4DEC">
        <w:rPr>
          <w:color w:val="auto"/>
          <w:szCs w:val="24"/>
        </w:rPr>
        <w:t xml:space="preserve">found in the </w:t>
      </w:r>
      <w:r w:rsidR="00855D22">
        <w:rPr>
          <w:color w:val="auto"/>
          <w:szCs w:val="24"/>
        </w:rPr>
        <w:t xml:space="preserve">STR </w:t>
      </w:r>
      <w:r w:rsidR="00881C5E" w:rsidRPr="00F30E73">
        <w:rPr>
          <w:color w:val="auto"/>
          <w:szCs w:val="24"/>
        </w:rPr>
        <w:t xml:space="preserve">documented </w:t>
      </w:r>
      <w:r w:rsidR="00855D22">
        <w:rPr>
          <w:color w:val="auto"/>
          <w:szCs w:val="24"/>
        </w:rPr>
        <w:t xml:space="preserve">the CI had </w:t>
      </w:r>
      <w:r w:rsidR="00881C5E" w:rsidRPr="00F30E73">
        <w:rPr>
          <w:color w:val="auto"/>
          <w:szCs w:val="24"/>
        </w:rPr>
        <w:t>difficulties with</w:t>
      </w:r>
      <w:r w:rsidR="00855D22">
        <w:rPr>
          <w:color w:val="auto"/>
          <w:szCs w:val="24"/>
        </w:rPr>
        <w:t xml:space="preserve"> his</w:t>
      </w:r>
      <w:r w:rsidR="00881C5E" w:rsidRPr="00F30E73">
        <w:rPr>
          <w:color w:val="auto"/>
          <w:szCs w:val="24"/>
        </w:rPr>
        <w:t xml:space="preserve"> basic </w:t>
      </w:r>
      <w:r w:rsidR="00855D22">
        <w:rPr>
          <w:color w:val="auto"/>
          <w:szCs w:val="24"/>
        </w:rPr>
        <w:t>activities of daily living (</w:t>
      </w:r>
      <w:r w:rsidR="00881C5E" w:rsidRPr="00F30E73">
        <w:rPr>
          <w:color w:val="auto"/>
          <w:szCs w:val="24"/>
        </w:rPr>
        <w:t>ADL’s</w:t>
      </w:r>
      <w:r w:rsidR="00855D22">
        <w:rPr>
          <w:color w:val="auto"/>
          <w:szCs w:val="24"/>
        </w:rPr>
        <w:t>)</w:t>
      </w:r>
      <w:r w:rsidR="001D22BA" w:rsidRPr="00F30E73">
        <w:rPr>
          <w:color w:val="auto"/>
          <w:szCs w:val="24"/>
        </w:rPr>
        <w:t xml:space="preserve"> and </w:t>
      </w:r>
      <w:r w:rsidR="00881C5E" w:rsidRPr="00F30E73">
        <w:rPr>
          <w:color w:val="auto"/>
          <w:szCs w:val="24"/>
        </w:rPr>
        <w:t>lack of sensation of the flap</w:t>
      </w:r>
      <w:r w:rsidR="001D22BA" w:rsidRPr="00F30E73">
        <w:rPr>
          <w:color w:val="auto"/>
          <w:szCs w:val="24"/>
        </w:rPr>
        <w:t>.</w:t>
      </w:r>
      <w:r w:rsidR="00D808F2" w:rsidRPr="00F30E73">
        <w:rPr>
          <w:color w:val="auto"/>
          <w:szCs w:val="24"/>
        </w:rPr>
        <w:t xml:space="preserve"> </w:t>
      </w:r>
      <w:r w:rsidR="0031338B" w:rsidRPr="00F30E73">
        <w:rPr>
          <w:color w:val="auto"/>
          <w:szCs w:val="24"/>
        </w:rPr>
        <w:t xml:space="preserve"> </w:t>
      </w:r>
      <w:r w:rsidR="000043D5" w:rsidRPr="00F30E73">
        <w:rPr>
          <w:color w:val="auto"/>
          <w:szCs w:val="24"/>
        </w:rPr>
        <w:t xml:space="preserve">A March </w:t>
      </w:r>
      <w:r w:rsidR="00855D22">
        <w:rPr>
          <w:color w:val="auto"/>
          <w:szCs w:val="24"/>
        </w:rPr>
        <w:t>2004 electromyogram (</w:t>
      </w:r>
      <w:r w:rsidR="000043D5" w:rsidRPr="00F30E73">
        <w:rPr>
          <w:color w:val="auto"/>
          <w:szCs w:val="24"/>
        </w:rPr>
        <w:t>EMG</w:t>
      </w:r>
      <w:r w:rsidR="00855D22">
        <w:rPr>
          <w:color w:val="auto"/>
          <w:szCs w:val="24"/>
        </w:rPr>
        <w:t>)</w:t>
      </w:r>
      <w:r w:rsidR="000043D5" w:rsidRPr="00F30E73">
        <w:rPr>
          <w:color w:val="auto"/>
          <w:szCs w:val="24"/>
        </w:rPr>
        <w:t xml:space="preserve"> </w:t>
      </w:r>
      <w:r w:rsidR="00576AC8" w:rsidRPr="00F30E73">
        <w:rPr>
          <w:color w:val="auto"/>
          <w:szCs w:val="24"/>
        </w:rPr>
        <w:t xml:space="preserve">of the left hand </w:t>
      </w:r>
      <w:r w:rsidR="000043D5" w:rsidRPr="00F30E73">
        <w:rPr>
          <w:color w:val="auto"/>
          <w:szCs w:val="24"/>
        </w:rPr>
        <w:t>revealed severe demyelinating and axonal median nerve neuropathy</w:t>
      </w:r>
      <w:r w:rsidR="00EC4DEC">
        <w:rPr>
          <w:color w:val="auto"/>
          <w:szCs w:val="24"/>
        </w:rPr>
        <w:t xml:space="preserve">, </w:t>
      </w:r>
      <w:r w:rsidR="00855D22">
        <w:rPr>
          <w:color w:val="auto"/>
          <w:szCs w:val="24"/>
        </w:rPr>
        <w:t xml:space="preserve">which was </w:t>
      </w:r>
      <w:r w:rsidR="00855D22" w:rsidRPr="006D1CAE">
        <w:rPr>
          <w:color w:val="auto"/>
          <w:szCs w:val="24"/>
        </w:rPr>
        <w:t xml:space="preserve">followed conservatively per </w:t>
      </w:r>
      <w:r w:rsidR="000043D5" w:rsidRPr="006D1CAE">
        <w:rPr>
          <w:color w:val="auto"/>
          <w:szCs w:val="24"/>
        </w:rPr>
        <w:t>Orthopedics</w:t>
      </w:r>
      <w:r w:rsidR="00576AC8" w:rsidRPr="006D1CAE">
        <w:rPr>
          <w:color w:val="auto"/>
          <w:szCs w:val="24"/>
        </w:rPr>
        <w:t xml:space="preserve">.  </w:t>
      </w:r>
      <w:r w:rsidR="00855D22" w:rsidRPr="006D1CAE">
        <w:rPr>
          <w:color w:val="auto"/>
          <w:szCs w:val="24"/>
        </w:rPr>
        <w:t>Due to persistent pain</w:t>
      </w:r>
      <w:r w:rsidR="000043D5" w:rsidRPr="006D1CAE">
        <w:rPr>
          <w:color w:val="auto"/>
          <w:szCs w:val="24"/>
        </w:rPr>
        <w:t xml:space="preserve"> another EMG</w:t>
      </w:r>
      <w:r w:rsidR="00855D22" w:rsidRPr="006D1CAE">
        <w:rPr>
          <w:color w:val="auto"/>
          <w:szCs w:val="24"/>
        </w:rPr>
        <w:t xml:space="preserve"> in July 2004</w:t>
      </w:r>
      <w:r w:rsidR="000043D5" w:rsidRPr="006D1CAE">
        <w:rPr>
          <w:color w:val="auto"/>
          <w:szCs w:val="24"/>
        </w:rPr>
        <w:t xml:space="preserve"> </w:t>
      </w:r>
      <w:r w:rsidR="0031338B" w:rsidRPr="006D1CAE">
        <w:rPr>
          <w:color w:val="auto"/>
          <w:szCs w:val="24"/>
        </w:rPr>
        <w:t xml:space="preserve">revealed normal sensory conduction of his ulnar nerve, severe demyelinating and axonal median nerve neuropathy with significant clinical and electrodiagnostic resolution since his prior study in March 2004.  </w:t>
      </w:r>
      <w:r w:rsidR="00855D22" w:rsidRPr="006D1CAE">
        <w:rPr>
          <w:color w:val="auto"/>
          <w:szCs w:val="24"/>
        </w:rPr>
        <w:t>The CI</w:t>
      </w:r>
      <w:r w:rsidR="00F30E73" w:rsidRPr="006D1CAE">
        <w:rPr>
          <w:color w:val="auto"/>
          <w:szCs w:val="24"/>
        </w:rPr>
        <w:t xml:space="preserve"> continued to have surgery on the left hand for foreign body removal </w:t>
      </w:r>
      <w:r w:rsidR="00855D22" w:rsidRPr="006D1CAE">
        <w:rPr>
          <w:color w:val="auto"/>
          <w:szCs w:val="24"/>
        </w:rPr>
        <w:t xml:space="preserve">with the </w:t>
      </w:r>
      <w:r w:rsidR="00F30E73" w:rsidRPr="006D1CAE">
        <w:rPr>
          <w:color w:val="auto"/>
          <w:szCs w:val="24"/>
        </w:rPr>
        <w:t xml:space="preserve">last one in evidence in October 2004.  In January 2005 </w:t>
      </w:r>
      <w:r w:rsidR="000866CD" w:rsidRPr="006D1CAE">
        <w:rPr>
          <w:color w:val="auto"/>
          <w:szCs w:val="24"/>
        </w:rPr>
        <w:t xml:space="preserve">he </w:t>
      </w:r>
      <w:r w:rsidR="001D22BA" w:rsidRPr="006D1CAE">
        <w:rPr>
          <w:color w:val="auto"/>
          <w:szCs w:val="24"/>
        </w:rPr>
        <w:t xml:space="preserve">was noted to have adhesions and </w:t>
      </w:r>
      <w:r w:rsidR="00855D22" w:rsidRPr="006D1CAE">
        <w:rPr>
          <w:color w:val="auto"/>
          <w:szCs w:val="24"/>
        </w:rPr>
        <w:t xml:space="preserve">subjective </w:t>
      </w:r>
      <w:r w:rsidR="001D22BA" w:rsidRPr="006D1CAE">
        <w:rPr>
          <w:color w:val="auto"/>
          <w:szCs w:val="24"/>
        </w:rPr>
        <w:t>ulnar neuropathy</w:t>
      </w:r>
      <w:r w:rsidR="001D22BA" w:rsidRPr="00F30E73">
        <w:rPr>
          <w:color w:val="auto"/>
          <w:szCs w:val="24"/>
        </w:rPr>
        <w:t xml:space="preserve"> </w:t>
      </w:r>
      <w:r w:rsidR="00855D22">
        <w:rPr>
          <w:color w:val="auto"/>
          <w:szCs w:val="24"/>
        </w:rPr>
        <w:t>and underwent a recommended</w:t>
      </w:r>
      <w:r w:rsidR="001D22BA" w:rsidRPr="00F30E73">
        <w:rPr>
          <w:color w:val="auto"/>
          <w:szCs w:val="24"/>
        </w:rPr>
        <w:t xml:space="preserve"> </w:t>
      </w:r>
      <w:r w:rsidR="000866CD" w:rsidRPr="00F30E73">
        <w:rPr>
          <w:color w:val="auto"/>
          <w:szCs w:val="24"/>
        </w:rPr>
        <w:t xml:space="preserve">flap defattening and </w:t>
      </w:r>
      <w:r w:rsidR="001D22BA" w:rsidRPr="00F30E73">
        <w:rPr>
          <w:color w:val="auto"/>
          <w:szCs w:val="24"/>
        </w:rPr>
        <w:t>tenolysis with ulnar neurolysis</w:t>
      </w:r>
      <w:r w:rsidR="000866CD" w:rsidRPr="00F30E73">
        <w:rPr>
          <w:color w:val="auto"/>
          <w:szCs w:val="24"/>
        </w:rPr>
        <w:t xml:space="preserve"> </w:t>
      </w:r>
      <w:r w:rsidR="00855D22">
        <w:rPr>
          <w:color w:val="auto"/>
          <w:szCs w:val="24"/>
        </w:rPr>
        <w:t>procedure</w:t>
      </w:r>
      <w:r w:rsidR="000866CD" w:rsidRPr="00F30E73">
        <w:rPr>
          <w:color w:val="auto"/>
          <w:szCs w:val="24"/>
        </w:rPr>
        <w:t xml:space="preserve"> </w:t>
      </w:r>
      <w:r w:rsidR="00855D22">
        <w:rPr>
          <w:color w:val="auto"/>
          <w:szCs w:val="24"/>
        </w:rPr>
        <w:t>with</w:t>
      </w:r>
      <w:r w:rsidR="001D22BA" w:rsidRPr="00F30E73">
        <w:rPr>
          <w:color w:val="auto"/>
          <w:szCs w:val="24"/>
        </w:rPr>
        <w:t xml:space="preserve"> noted </w:t>
      </w:r>
      <w:r w:rsidR="000866CD" w:rsidRPr="00F30E73">
        <w:rPr>
          <w:color w:val="auto"/>
          <w:szCs w:val="24"/>
        </w:rPr>
        <w:t xml:space="preserve">improvement in his </w:t>
      </w:r>
      <w:r w:rsidR="001D22BA" w:rsidRPr="00F30E73">
        <w:rPr>
          <w:color w:val="auto"/>
          <w:szCs w:val="24"/>
        </w:rPr>
        <w:t xml:space="preserve">ulnar neuropathy and marked improvement in his </w:t>
      </w:r>
      <w:r w:rsidR="000866CD" w:rsidRPr="00F30E73">
        <w:rPr>
          <w:color w:val="auto"/>
          <w:szCs w:val="24"/>
        </w:rPr>
        <w:t>range</w:t>
      </w:r>
      <w:r w:rsidR="00513B24">
        <w:rPr>
          <w:color w:val="auto"/>
          <w:szCs w:val="24"/>
        </w:rPr>
        <w:t>-</w:t>
      </w:r>
      <w:r w:rsidR="000866CD" w:rsidRPr="00F30E73">
        <w:rPr>
          <w:color w:val="auto"/>
          <w:szCs w:val="24"/>
        </w:rPr>
        <w:t>of</w:t>
      </w:r>
      <w:r w:rsidR="00513B24">
        <w:rPr>
          <w:color w:val="auto"/>
          <w:szCs w:val="24"/>
        </w:rPr>
        <w:t>-</w:t>
      </w:r>
      <w:r w:rsidR="000866CD" w:rsidRPr="001327AC">
        <w:rPr>
          <w:color w:val="auto"/>
          <w:szCs w:val="24"/>
        </w:rPr>
        <w:t>motion</w:t>
      </w:r>
      <w:r w:rsidR="00513B24">
        <w:rPr>
          <w:color w:val="auto"/>
          <w:szCs w:val="24"/>
        </w:rPr>
        <w:t xml:space="preserve"> (</w:t>
      </w:r>
      <w:r w:rsidR="00513B24" w:rsidRPr="00986E28">
        <w:rPr>
          <w:color w:val="auto"/>
          <w:szCs w:val="24"/>
        </w:rPr>
        <w:t>ROM</w:t>
      </w:r>
      <w:r w:rsidR="00513B24">
        <w:rPr>
          <w:color w:val="auto"/>
          <w:szCs w:val="24"/>
        </w:rPr>
        <w:t>)</w:t>
      </w:r>
      <w:r w:rsidR="000866CD" w:rsidRPr="001327AC">
        <w:rPr>
          <w:color w:val="auto"/>
          <w:szCs w:val="24"/>
        </w:rPr>
        <w:t>.</w:t>
      </w:r>
      <w:r w:rsidR="001D22BA" w:rsidRPr="001327AC">
        <w:rPr>
          <w:color w:val="auto"/>
          <w:szCs w:val="24"/>
        </w:rPr>
        <w:t xml:space="preserve">  He underwent a</w:t>
      </w:r>
      <w:r w:rsidR="00855D22">
        <w:rPr>
          <w:color w:val="auto"/>
          <w:szCs w:val="24"/>
        </w:rPr>
        <w:t xml:space="preserve"> similar procedure </w:t>
      </w:r>
      <w:r w:rsidR="001D22BA" w:rsidRPr="001327AC">
        <w:rPr>
          <w:color w:val="auto"/>
          <w:szCs w:val="24"/>
        </w:rPr>
        <w:t>for the radial side of the flap</w:t>
      </w:r>
      <w:r w:rsidR="00855D22">
        <w:rPr>
          <w:color w:val="auto"/>
          <w:szCs w:val="24"/>
        </w:rPr>
        <w:t xml:space="preserve"> (</w:t>
      </w:r>
      <w:r w:rsidR="00855D22" w:rsidRPr="001327AC">
        <w:rPr>
          <w:color w:val="auto"/>
          <w:szCs w:val="24"/>
        </w:rPr>
        <w:t>flap defattening and tenolysis with median neurolysis</w:t>
      </w:r>
      <w:r w:rsidR="00855D22">
        <w:rPr>
          <w:color w:val="auto"/>
          <w:szCs w:val="24"/>
        </w:rPr>
        <w:t>)</w:t>
      </w:r>
      <w:r w:rsidR="0031338B" w:rsidRPr="001327AC">
        <w:rPr>
          <w:color w:val="auto"/>
          <w:szCs w:val="24"/>
        </w:rPr>
        <w:t xml:space="preserve"> in June 2005.  </w:t>
      </w:r>
      <w:r w:rsidR="00855D22">
        <w:rPr>
          <w:color w:val="auto"/>
          <w:szCs w:val="24"/>
        </w:rPr>
        <w:t>However he continued to have persistent pain.  His</w:t>
      </w:r>
      <w:r w:rsidR="001327AC" w:rsidRPr="001327AC">
        <w:rPr>
          <w:color w:val="auto"/>
          <w:szCs w:val="24"/>
        </w:rPr>
        <w:t xml:space="preserve"> p</w:t>
      </w:r>
      <w:r w:rsidR="00CA5A4A" w:rsidRPr="001327AC">
        <w:rPr>
          <w:color w:val="auto"/>
          <w:szCs w:val="24"/>
        </w:rPr>
        <w:t xml:space="preserve">rofile </w:t>
      </w:r>
      <w:r w:rsidR="001327AC" w:rsidRPr="001327AC">
        <w:rPr>
          <w:color w:val="auto"/>
          <w:szCs w:val="24"/>
        </w:rPr>
        <w:t xml:space="preserve">specifically listed </w:t>
      </w:r>
      <w:r w:rsidR="00CA5A4A" w:rsidRPr="001327AC">
        <w:rPr>
          <w:color w:val="auto"/>
          <w:szCs w:val="24"/>
        </w:rPr>
        <w:t>left arm pain and weakness s/p</w:t>
      </w:r>
      <w:r w:rsidR="00CA5A4A" w:rsidRPr="001327AC">
        <w:rPr>
          <w:i/>
          <w:iCs/>
          <w:color w:val="auto"/>
          <w:szCs w:val="24"/>
        </w:rPr>
        <w:t xml:space="preserve"> </w:t>
      </w:r>
      <w:r w:rsidR="00CA5A4A" w:rsidRPr="001327AC">
        <w:rPr>
          <w:color w:val="auto"/>
          <w:szCs w:val="24"/>
        </w:rPr>
        <w:t>shrapnel injury with tendon damage</w:t>
      </w:r>
      <w:r w:rsidR="001327AC" w:rsidRPr="001327AC">
        <w:rPr>
          <w:color w:val="auto"/>
          <w:szCs w:val="24"/>
        </w:rPr>
        <w:t xml:space="preserve"> </w:t>
      </w:r>
      <w:r w:rsidR="001327AC" w:rsidRPr="001B6F90">
        <w:rPr>
          <w:color w:val="auto"/>
          <w:szCs w:val="24"/>
        </w:rPr>
        <w:t>and included the following limitations</w:t>
      </w:r>
      <w:r w:rsidR="00EC4DEC">
        <w:rPr>
          <w:color w:val="auto"/>
          <w:szCs w:val="24"/>
        </w:rPr>
        <w:t xml:space="preserve">: </w:t>
      </w:r>
      <w:r w:rsidR="001327AC" w:rsidRPr="001B6F90">
        <w:rPr>
          <w:color w:val="auto"/>
          <w:szCs w:val="24"/>
        </w:rPr>
        <w:t xml:space="preserve"> n</w:t>
      </w:r>
      <w:r w:rsidR="00CA5A4A" w:rsidRPr="001B6F90">
        <w:rPr>
          <w:color w:val="auto"/>
          <w:szCs w:val="24"/>
        </w:rPr>
        <w:t xml:space="preserve">o lifting greater than </w:t>
      </w:r>
      <w:r w:rsidR="00EE255C">
        <w:rPr>
          <w:color w:val="auto"/>
          <w:szCs w:val="24"/>
        </w:rPr>
        <w:t>two</w:t>
      </w:r>
      <w:r w:rsidR="00CA5A4A" w:rsidRPr="001B6F90">
        <w:rPr>
          <w:color w:val="auto"/>
          <w:szCs w:val="24"/>
        </w:rPr>
        <w:t xml:space="preserve"> pounds left hand, unable to construct an individual fighting position</w:t>
      </w:r>
      <w:r w:rsidR="001327AC" w:rsidRPr="001B6F90">
        <w:rPr>
          <w:color w:val="auto"/>
          <w:szCs w:val="24"/>
        </w:rPr>
        <w:t xml:space="preserve"> and </w:t>
      </w:r>
      <w:r w:rsidR="00CA5A4A" w:rsidRPr="001B6F90">
        <w:rPr>
          <w:color w:val="auto"/>
          <w:szCs w:val="24"/>
        </w:rPr>
        <w:t>no pushups</w:t>
      </w:r>
      <w:r w:rsidR="00EC4DEC">
        <w:rPr>
          <w:color w:val="auto"/>
          <w:szCs w:val="24"/>
        </w:rPr>
        <w:t>.  The c</w:t>
      </w:r>
      <w:r w:rsidR="001327AC" w:rsidRPr="001B6F90">
        <w:rPr>
          <w:color w:val="auto"/>
          <w:szCs w:val="24"/>
        </w:rPr>
        <w:t xml:space="preserve">ommander’s statement documented due to </w:t>
      </w:r>
      <w:r w:rsidR="00EC4DEC">
        <w:rPr>
          <w:color w:val="auto"/>
          <w:szCs w:val="24"/>
        </w:rPr>
        <w:t xml:space="preserve">the CI’s </w:t>
      </w:r>
      <w:r w:rsidR="001327AC" w:rsidRPr="001B6F90">
        <w:rPr>
          <w:color w:val="auto"/>
          <w:szCs w:val="24"/>
        </w:rPr>
        <w:t>injuries he</w:t>
      </w:r>
      <w:r w:rsidR="00CA5A4A" w:rsidRPr="001B6F90">
        <w:rPr>
          <w:color w:val="auto"/>
          <w:szCs w:val="24"/>
        </w:rPr>
        <w:t xml:space="preserve"> has nerve damage, loss of strength and immobility causing</w:t>
      </w:r>
      <w:r w:rsidR="001327AC" w:rsidRPr="001B6F90">
        <w:rPr>
          <w:color w:val="auto"/>
          <w:szCs w:val="24"/>
        </w:rPr>
        <w:t xml:space="preserve"> </w:t>
      </w:r>
      <w:r w:rsidR="00CA5A4A" w:rsidRPr="001B6F90">
        <w:rPr>
          <w:color w:val="auto"/>
          <w:szCs w:val="24"/>
        </w:rPr>
        <w:t>him extreme pain and frustration.</w:t>
      </w:r>
      <w:r w:rsidR="001327AC" w:rsidRPr="001B6F90">
        <w:rPr>
          <w:color w:val="auto"/>
          <w:szCs w:val="24"/>
        </w:rPr>
        <w:t xml:space="preserve">  He has been compliant with treatment and </w:t>
      </w:r>
      <w:r w:rsidR="00CA5A4A" w:rsidRPr="001B6F90">
        <w:rPr>
          <w:color w:val="auto"/>
          <w:szCs w:val="24"/>
        </w:rPr>
        <w:t>“the Physician Assistant at Robinson Health Clinic</w:t>
      </w:r>
      <w:r w:rsidR="00986E28">
        <w:rPr>
          <w:color w:val="auto"/>
          <w:szCs w:val="24"/>
        </w:rPr>
        <w:t>”</w:t>
      </w:r>
      <w:r w:rsidR="00CA5A4A" w:rsidRPr="001B6F90">
        <w:rPr>
          <w:color w:val="auto"/>
          <w:szCs w:val="24"/>
        </w:rPr>
        <w:t xml:space="preserve"> expressed concern that the mobility in </w:t>
      </w:r>
      <w:r w:rsidR="001327AC" w:rsidRPr="001B6F90">
        <w:rPr>
          <w:color w:val="auto"/>
          <w:szCs w:val="24"/>
        </w:rPr>
        <w:t>his</w:t>
      </w:r>
      <w:r w:rsidR="00CA5A4A" w:rsidRPr="001B6F90">
        <w:rPr>
          <w:color w:val="auto"/>
          <w:szCs w:val="24"/>
        </w:rPr>
        <w:t xml:space="preserve"> hands may never be fully restored.</w:t>
      </w:r>
    </w:p>
    <w:p w:rsidR="00F30E73" w:rsidRDefault="00F30E73" w:rsidP="00831A5F">
      <w:pPr>
        <w:jc w:val="both"/>
        <w:rPr>
          <w:rFonts w:ascii="Arial" w:hAnsi="Arial" w:cs="Arial"/>
          <w:color w:val="auto"/>
          <w:sz w:val="23"/>
          <w:szCs w:val="23"/>
        </w:rPr>
      </w:pPr>
    </w:p>
    <w:p w:rsidR="00F30E73" w:rsidRDefault="00F30E73" w:rsidP="00F30E73">
      <w:pPr>
        <w:jc w:val="both"/>
        <w:rPr>
          <w:color w:val="auto"/>
          <w:szCs w:val="24"/>
        </w:rPr>
      </w:pPr>
      <w:r w:rsidRPr="00F64312">
        <w:rPr>
          <w:color w:val="auto"/>
          <w:szCs w:val="24"/>
        </w:rPr>
        <w:t xml:space="preserve">There were </w:t>
      </w:r>
      <w:r w:rsidR="007E1453">
        <w:rPr>
          <w:color w:val="auto"/>
          <w:szCs w:val="24"/>
        </w:rPr>
        <w:t>two</w:t>
      </w:r>
      <w:r>
        <w:rPr>
          <w:color w:val="auto"/>
          <w:szCs w:val="24"/>
        </w:rPr>
        <w:t xml:space="preserve"> goniometric </w:t>
      </w:r>
      <w:r w:rsidRPr="00F64312">
        <w:rPr>
          <w:color w:val="auto"/>
          <w:szCs w:val="24"/>
        </w:rPr>
        <w:t xml:space="preserve">ROM evaluations in evidence, with documentation of additional ratable criteria, which the Board weighed in arriving at its rating recommendation; as </w:t>
      </w:r>
      <w:r w:rsidR="00EC4DEC">
        <w:rPr>
          <w:color w:val="auto"/>
          <w:szCs w:val="24"/>
        </w:rPr>
        <w:t>summarized in the chart below.</w:t>
      </w:r>
    </w:p>
    <w:p w:rsidR="00F30E73" w:rsidRDefault="00F30E73" w:rsidP="00F30E73">
      <w:pPr>
        <w:jc w:val="both"/>
        <w:rPr>
          <w:color w:val="auto"/>
          <w:szCs w:val="24"/>
        </w:rPr>
      </w:pPr>
    </w:p>
    <w:p w:rsidR="00EC4DEC" w:rsidRDefault="00EC4DEC">
      <w:pPr>
        <w:spacing w:line="240" w:lineRule="auto"/>
        <w:jc w:val="left"/>
        <w:rPr>
          <w:rFonts w:asciiTheme="majorHAnsi" w:hAnsiTheme="majorHAnsi" w:cstheme="majorHAnsi"/>
          <w:color w:val="auto"/>
          <w:sz w:val="18"/>
          <w:szCs w:val="18"/>
          <w:u w:val="single"/>
        </w:rPr>
      </w:pPr>
      <w:r>
        <w:rPr>
          <w:rFonts w:asciiTheme="majorHAnsi" w:hAnsiTheme="majorHAnsi" w:cstheme="majorHAnsi"/>
          <w:color w:val="auto"/>
          <w:sz w:val="18"/>
          <w:szCs w:val="18"/>
          <w:u w:val="single"/>
        </w:rPr>
        <w:br w:type="page"/>
      </w:r>
    </w:p>
    <w:p w:rsidR="00F30E73" w:rsidRPr="00F30E73" w:rsidRDefault="00F30E73" w:rsidP="001B6F90">
      <w:pPr>
        <w:jc w:val="left"/>
        <w:rPr>
          <w:rFonts w:asciiTheme="majorHAnsi" w:hAnsiTheme="majorHAnsi" w:cstheme="majorHAnsi"/>
          <w:color w:val="auto"/>
          <w:sz w:val="18"/>
          <w:szCs w:val="18"/>
          <w:u w:val="single"/>
        </w:rPr>
      </w:pPr>
    </w:p>
    <w:tbl>
      <w:tblPr>
        <w:tblW w:w="6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250"/>
        <w:gridCol w:w="2250"/>
      </w:tblGrid>
      <w:tr w:rsidR="003244D7" w:rsidRPr="00F64312" w:rsidTr="003244D7">
        <w:trPr>
          <w:jc w:val="center"/>
        </w:trPr>
        <w:tc>
          <w:tcPr>
            <w:tcW w:w="2269" w:type="dxa"/>
            <w:shd w:val="clear" w:color="auto" w:fill="D9D9D9" w:themeFill="background1" w:themeFillShade="D9"/>
            <w:vAlign w:val="center"/>
          </w:tcPr>
          <w:p w:rsidR="003244D7" w:rsidRPr="00F64312" w:rsidRDefault="003244D7" w:rsidP="00960C7A">
            <w:pPr>
              <w:spacing w:line="220" w:lineRule="exact"/>
              <w:contextualSpacing/>
              <w:rPr>
                <w:rFonts w:asciiTheme="majorHAnsi" w:eastAsia="Calibri" w:hAnsiTheme="majorHAnsi" w:cstheme="majorHAnsi"/>
                <w:color w:val="auto"/>
                <w:sz w:val="18"/>
                <w:szCs w:val="18"/>
              </w:rPr>
            </w:pPr>
            <w:r w:rsidRPr="007A4076">
              <w:rPr>
                <w:rFonts w:asciiTheme="majorHAnsi" w:eastAsia="Calibri" w:hAnsiTheme="majorHAnsi" w:cstheme="majorHAnsi"/>
                <w:color w:val="auto"/>
                <w:sz w:val="18"/>
                <w:szCs w:val="18"/>
              </w:rPr>
              <w:t>Left</w:t>
            </w:r>
            <w:r w:rsidRPr="00F64312">
              <w:rPr>
                <w:rFonts w:asciiTheme="majorHAnsi" w:eastAsia="Calibri" w:hAnsiTheme="majorHAnsi" w:cstheme="majorHAnsi"/>
                <w:color w:val="auto"/>
                <w:sz w:val="18"/>
                <w:szCs w:val="18"/>
              </w:rPr>
              <w:t xml:space="preserve"> Wrist ROM</w:t>
            </w:r>
          </w:p>
        </w:tc>
        <w:tc>
          <w:tcPr>
            <w:tcW w:w="2250" w:type="dxa"/>
            <w:shd w:val="clear" w:color="auto" w:fill="D9D9D9" w:themeFill="background1" w:themeFillShade="D9"/>
            <w:vAlign w:val="center"/>
          </w:tcPr>
          <w:p w:rsidR="003244D7" w:rsidRPr="00F64312" w:rsidRDefault="003244D7" w:rsidP="001B6F90">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Ortho</w:t>
            </w:r>
            <w:r w:rsidRPr="00F64312">
              <w:rPr>
                <w:rFonts w:asciiTheme="majorHAnsi" w:hAnsiTheme="majorHAnsi" w:cstheme="majorHAnsi"/>
                <w:color w:val="auto"/>
                <w:sz w:val="18"/>
                <w:szCs w:val="18"/>
              </w:rPr>
              <w:t xml:space="preserve"> ~</w:t>
            </w:r>
            <w:r>
              <w:rPr>
                <w:rFonts w:asciiTheme="majorHAnsi" w:hAnsiTheme="majorHAnsi" w:cstheme="majorHAnsi"/>
                <w:color w:val="auto"/>
                <w:sz w:val="18"/>
                <w:szCs w:val="18"/>
              </w:rPr>
              <w:t xml:space="preserve">11 </w:t>
            </w:r>
            <w:r w:rsidRPr="00F64312">
              <w:rPr>
                <w:rFonts w:asciiTheme="majorHAnsi" w:hAnsiTheme="majorHAnsi" w:cstheme="majorHAnsi"/>
                <w:color w:val="auto"/>
                <w:sz w:val="18"/>
                <w:szCs w:val="18"/>
              </w:rPr>
              <w:t>Mo. Pre-Sep</w:t>
            </w:r>
          </w:p>
        </w:tc>
        <w:tc>
          <w:tcPr>
            <w:tcW w:w="2250" w:type="dxa"/>
            <w:shd w:val="clear" w:color="auto" w:fill="D9D9D9" w:themeFill="background1" w:themeFillShade="D9"/>
            <w:vAlign w:val="center"/>
          </w:tcPr>
          <w:p w:rsidR="003244D7" w:rsidRPr="00F64312" w:rsidRDefault="003244D7" w:rsidP="001B6F90">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O</w:t>
            </w:r>
            <w:r w:rsidRPr="00F64312">
              <w:rPr>
                <w:rFonts w:asciiTheme="majorHAnsi" w:hAnsiTheme="majorHAnsi" w:cstheme="majorHAnsi"/>
                <w:color w:val="auto"/>
                <w:sz w:val="18"/>
                <w:szCs w:val="18"/>
              </w:rPr>
              <w:t>T</w:t>
            </w:r>
            <w:r>
              <w:rPr>
                <w:rFonts w:asciiTheme="majorHAnsi" w:hAnsiTheme="majorHAnsi" w:cstheme="majorHAnsi"/>
                <w:color w:val="auto"/>
                <w:sz w:val="18"/>
                <w:szCs w:val="18"/>
              </w:rPr>
              <w:t xml:space="preserve"> for MEB</w:t>
            </w:r>
            <w:r w:rsidRPr="00F64312">
              <w:rPr>
                <w:rFonts w:asciiTheme="majorHAnsi" w:hAnsiTheme="majorHAnsi" w:cstheme="majorHAnsi"/>
                <w:color w:val="auto"/>
                <w:sz w:val="18"/>
                <w:szCs w:val="18"/>
              </w:rPr>
              <w:t xml:space="preserve"> ~</w:t>
            </w:r>
            <w:r>
              <w:rPr>
                <w:rFonts w:asciiTheme="majorHAnsi" w:hAnsiTheme="majorHAnsi" w:cstheme="majorHAnsi"/>
                <w:color w:val="auto"/>
                <w:sz w:val="18"/>
                <w:szCs w:val="18"/>
              </w:rPr>
              <w:t>8</w:t>
            </w:r>
            <w:r w:rsidRPr="00F64312">
              <w:rPr>
                <w:rFonts w:asciiTheme="majorHAnsi" w:hAnsiTheme="majorHAnsi" w:cstheme="majorHAnsi"/>
                <w:color w:val="auto"/>
                <w:sz w:val="18"/>
                <w:szCs w:val="18"/>
              </w:rPr>
              <w:t xml:space="preserve"> Mo. Pre-Sep</w:t>
            </w:r>
          </w:p>
        </w:tc>
      </w:tr>
      <w:tr w:rsidR="003244D7" w:rsidRPr="00F64312" w:rsidTr="003244D7">
        <w:trPr>
          <w:jc w:val="center"/>
        </w:trPr>
        <w:tc>
          <w:tcPr>
            <w:tcW w:w="2269" w:type="dxa"/>
            <w:vAlign w:val="center"/>
          </w:tcPr>
          <w:p w:rsidR="003244D7" w:rsidRPr="00F64312" w:rsidRDefault="003244D7" w:rsidP="00960C7A">
            <w:pPr>
              <w:spacing w:line="22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Dorsiflexion (0-70⁰)</w:t>
            </w:r>
          </w:p>
        </w:tc>
        <w:tc>
          <w:tcPr>
            <w:tcW w:w="2250" w:type="dxa"/>
            <w:vAlign w:val="center"/>
          </w:tcPr>
          <w:p w:rsidR="003244D7" w:rsidRPr="007A4076" w:rsidRDefault="003244D7" w:rsidP="00CA5A4A">
            <w:pPr>
              <w:spacing w:line="220" w:lineRule="exact"/>
              <w:contextualSpacing/>
              <w:rPr>
                <w:rFonts w:asciiTheme="majorHAnsi" w:eastAsia="Calibri" w:hAnsiTheme="majorHAnsi" w:cstheme="majorHAnsi"/>
                <w:color w:val="auto"/>
                <w:sz w:val="18"/>
                <w:szCs w:val="18"/>
              </w:rPr>
            </w:pPr>
            <w:r w:rsidRPr="007A4076">
              <w:rPr>
                <w:rFonts w:asciiTheme="majorHAnsi" w:eastAsia="Calibri" w:hAnsiTheme="majorHAnsi" w:cstheme="majorHAnsi"/>
                <w:color w:val="auto"/>
                <w:sz w:val="18"/>
                <w:szCs w:val="18"/>
              </w:rPr>
              <w:t>45⁰</w:t>
            </w:r>
          </w:p>
        </w:tc>
        <w:tc>
          <w:tcPr>
            <w:tcW w:w="2250" w:type="dxa"/>
            <w:vAlign w:val="center"/>
          </w:tcPr>
          <w:p w:rsidR="003244D7" w:rsidRPr="007A4076" w:rsidRDefault="003244D7" w:rsidP="00960C7A">
            <w:pPr>
              <w:spacing w:line="220" w:lineRule="exact"/>
              <w:contextualSpacing/>
              <w:rPr>
                <w:rFonts w:asciiTheme="majorHAnsi" w:eastAsia="Calibri" w:hAnsiTheme="majorHAnsi" w:cstheme="majorHAnsi"/>
                <w:color w:val="auto"/>
                <w:sz w:val="18"/>
                <w:szCs w:val="18"/>
              </w:rPr>
            </w:pPr>
            <w:r w:rsidRPr="007A4076">
              <w:rPr>
                <w:rFonts w:asciiTheme="majorHAnsi" w:eastAsia="Calibri" w:hAnsiTheme="majorHAnsi" w:cstheme="majorHAnsi"/>
                <w:color w:val="auto"/>
                <w:sz w:val="18"/>
                <w:szCs w:val="18"/>
              </w:rPr>
              <w:t>45⁰/45⁰/50⁰</w:t>
            </w:r>
          </w:p>
        </w:tc>
      </w:tr>
      <w:tr w:rsidR="003244D7" w:rsidRPr="00F64312" w:rsidTr="003244D7">
        <w:trPr>
          <w:jc w:val="center"/>
        </w:trPr>
        <w:tc>
          <w:tcPr>
            <w:tcW w:w="2269" w:type="dxa"/>
            <w:vAlign w:val="center"/>
          </w:tcPr>
          <w:p w:rsidR="003244D7" w:rsidRPr="00F64312" w:rsidRDefault="003244D7" w:rsidP="00960C7A">
            <w:pPr>
              <w:spacing w:line="22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Palmar Flexion (0-80⁰)</w:t>
            </w:r>
          </w:p>
        </w:tc>
        <w:tc>
          <w:tcPr>
            <w:tcW w:w="2250" w:type="dxa"/>
            <w:vAlign w:val="center"/>
          </w:tcPr>
          <w:p w:rsidR="003244D7" w:rsidRPr="007A4076" w:rsidRDefault="003244D7" w:rsidP="00960C7A">
            <w:pPr>
              <w:spacing w:line="220" w:lineRule="exact"/>
              <w:contextualSpacing/>
              <w:rPr>
                <w:rFonts w:asciiTheme="majorHAnsi" w:eastAsia="Calibri" w:hAnsiTheme="majorHAnsi" w:cstheme="majorHAnsi"/>
                <w:color w:val="auto"/>
                <w:sz w:val="18"/>
                <w:szCs w:val="18"/>
              </w:rPr>
            </w:pPr>
            <w:r w:rsidRPr="007A4076">
              <w:rPr>
                <w:rFonts w:asciiTheme="majorHAnsi" w:eastAsia="Calibri" w:hAnsiTheme="majorHAnsi" w:cstheme="majorHAnsi"/>
                <w:color w:val="auto"/>
                <w:sz w:val="18"/>
                <w:szCs w:val="18"/>
              </w:rPr>
              <w:t>55⁰</w:t>
            </w:r>
          </w:p>
        </w:tc>
        <w:tc>
          <w:tcPr>
            <w:tcW w:w="2250" w:type="dxa"/>
            <w:vAlign w:val="center"/>
          </w:tcPr>
          <w:p w:rsidR="003244D7" w:rsidRPr="007A4076" w:rsidRDefault="003244D7" w:rsidP="00960C7A">
            <w:pPr>
              <w:spacing w:line="220" w:lineRule="exact"/>
              <w:contextualSpacing/>
              <w:rPr>
                <w:rFonts w:asciiTheme="majorHAnsi" w:eastAsia="Calibri" w:hAnsiTheme="majorHAnsi" w:cstheme="majorHAnsi"/>
                <w:color w:val="auto"/>
                <w:sz w:val="18"/>
                <w:szCs w:val="18"/>
              </w:rPr>
            </w:pPr>
            <w:r w:rsidRPr="007A4076">
              <w:rPr>
                <w:rFonts w:asciiTheme="majorHAnsi" w:eastAsia="Calibri" w:hAnsiTheme="majorHAnsi" w:cstheme="majorHAnsi"/>
                <w:color w:val="auto"/>
                <w:sz w:val="18"/>
                <w:szCs w:val="18"/>
              </w:rPr>
              <w:t>50⁰/55⁰/55⁰</w:t>
            </w:r>
          </w:p>
        </w:tc>
      </w:tr>
      <w:tr w:rsidR="003244D7" w:rsidRPr="00F64312" w:rsidTr="003244D7">
        <w:trPr>
          <w:jc w:val="center"/>
        </w:trPr>
        <w:tc>
          <w:tcPr>
            <w:tcW w:w="2269" w:type="dxa"/>
            <w:vAlign w:val="center"/>
          </w:tcPr>
          <w:p w:rsidR="003244D7" w:rsidRPr="00F64312" w:rsidRDefault="003244D7" w:rsidP="00960C7A">
            <w:pPr>
              <w:spacing w:line="22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Ulnar Deviation (0-45⁰)</w:t>
            </w:r>
          </w:p>
        </w:tc>
        <w:tc>
          <w:tcPr>
            <w:tcW w:w="2250" w:type="dxa"/>
            <w:vAlign w:val="center"/>
          </w:tcPr>
          <w:p w:rsidR="003244D7" w:rsidRPr="007A4076" w:rsidRDefault="003244D7" w:rsidP="00960C7A">
            <w:pPr>
              <w:spacing w:line="220" w:lineRule="exact"/>
              <w:contextualSpacing/>
              <w:rPr>
                <w:rFonts w:asciiTheme="majorHAnsi" w:eastAsia="Calibri" w:hAnsiTheme="majorHAnsi" w:cstheme="majorHAnsi"/>
                <w:color w:val="auto"/>
                <w:sz w:val="18"/>
                <w:szCs w:val="18"/>
              </w:rPr>
            </w:pPr>
            <w:r w:rsidRPr="007A4076">
              <w:rPr>
                <w:rFonts w:asciiTheme="majorHAnsi" w:eastAsia="Calibri" w:hAnsiTheme="majorHAnsi" w:cstheme="majorHAnsi"/>
                <w:color w:val="auto"/>
                <w:sz w:val="18"/>
                <w:szCs w:val="18"/>
              </w:rPr>
              <w:t>15⁰</w:t>
            </w:r>
          </w:p>
        </w:tc>
        <w:tc>
          <w:tcPr>
            <w:tcW w:w="2250" w:type="dxa"/>
            <w:vAlign w:val="center"/>
          </w:tcPr>
          <w:p w:rsidR="003244D7" w:rsidRPr="007A4076" w:rsidRDefault="003244D7" w:rsidP="00960C7A">
            <w:pPr>
              <w:spacing w:line="220" w:lineRule="exact"/>
              <w:contextualSpacing/>
              <w:rPr>
                <w:rFonts w:asciiTheme="majorHAnsi" w:eastAsia="Calibri" w:hAnsiTheme="majorHAnsi" w:cstheme="majorHAnsi"/>
                <w:color w:val="auto"/>
                <w:sz w:val="18"/>
                <w:szCs w:val="18"/>
              </w:rPr>
            </w:pPr>
            <w:r w:rsidRPr="007A4076">
              <w:rPr>
                <w:rFonts w:asciiTheme="majorHAnsi" w:eastAsia="Calibri" w:hAnsiTheme="majorHAnsi" w:cstheme="majorHAnsi"/>
                <w:color w:val="auto"/>
                <w:sz w:val="18"/>
                <w:szCs w:val="18"/>
              </w:rPr>
              <w:t>12⁰/15⁰/12⁰</w:t>
            </w:r>
          </w:p>
        </w:tc>
      </w:tr>
      <w:tr w:rsidR="003244D7" w:rsidRPr="00F64312" w:rsidTr="003244D7">
        <w:trPr>
          <w:jc w:val="center"/>
        </w:trPr>
        <w:tc>
          <w:tcPr>
            <w:tcW w:w="2269" w:type="dxa"/>
            <w:vAlign w:val="center"/>
          </w:tcPr>
          <w:p w:rsidR="003244D7" w:rsidRPr="00F64312" w:rsidRDefault="003244D7" w:rsidP="00960C7A">
            <w:pPr>
              <w:spacing w:line="22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Radial Deviation (0-20⁰)</w:t>
            </w:r>
          </w:p>
        </w:tc>
        <w:tc>
          <w:tcPr>
            <w:tcW w:w="2250" w:type="dxa"/>
            <w:vAlign w:val="center"/>
          </w:tcPr>
          <w:p w:rsidR="003244D7" w:rsidRPr="007A4076" w:rsidRDefault="003244D7" w:rsidP="00960C7A">
            <w:pPr>
              <w:spacing w:line="220" w:lineRule="exact"/>
              <w:contextualSpacing/>
              <w:rPr>
                <w:rFonts w:asciiTheme="majorHAnsi" w:eastAsia="Calibri" w:hAnsiTheme="majorHAnsi" w:cstheme="majorHAnsi"/>
                <w:color w:val="auto"/>
                <w:sz w:val="18"/>
                <w:szCs w:val="18"/>
              </w:rPr>
            </w:pPr>
            <w:r w:rsidRPr="007A4076">
              <w:rPr>
                <w:rFonts w:asciiTheme="majorHAnsi" w:eastAsia="Calibri" w:hAnsiTheme="majorHAnsi" w:cstheme="majorHAnsi"/>
                <w:color w:val="auto"/>
                <w:sz w:val="18"/>
                <w:szCs w:val="18"/>
              </w:rPr>
              <w:t>15⁰</w:t>
            </w:r>
          </w:p>
        </w:tc>
        <w:tc>
          <w:tcPr>
            <w:tcW w:w="2250" w:type="dxa"/>
            <w:vAlign w:val="center"/>
          </w:tcPr>
          <w:p w:rsidR="003244D7" w:rsidRPr="007A4076" w:rsidRDefault="003244D7" w:rsidP="00960C7A">
            <w:pPr>
              <w:spacing w:line="220" w:lineRule="exact"/>
              <w:contextualSpacing/>
              <w:rPr>
                <w:rFonts w:asciiTheme="majorHAnsi" w:eastAsia="Calibri" w:hAnsiTheme="majorHAnsi" w:cstheme="majorHAnsi"/>
                <w:color w:val="auto"/>
                <w:sz w:val="18"/>
                <w:szCs w:val="18"/>
              </w:rPr>
            </w:pPr>
            <w:r w:rsidRPr="007A4076">
              <w:rPr>
                <w:rFonts w:asciiTheme="majorHAnsi" w:eastAsia="Calibri" w:hAnsiTheme="majorHAnsi" w:cstheme="majorHAnsi"/>
                <w:color w:val="auto"/>
                <w:sz w:val="18"/>
                <w:szCs w:val="18"/>
              </w:rPr>
              <w:t>10⁰/5⁰/10⁰</w:t>
            </w:r>
          </w:p>
        </w:tc>
      </w:tr>
      <w:tr w:rsidR="003244D7" w:rsidRPr="00F64312" w:rsidTr="003244D7">
        <w:trPr>
          <w:jc w:val="center"/>
        </w:trPr>
        <w:tc>
          <w:tcPr>
            <w:tcW w:w="2269" w:type="dxa"/>
            <w:vAlign w:val="center"/>
          </w:tcPr>
          <w:p w:rsidR="003244D7" w:rsidRPr="00F64312" w:rsidRDefault="003244D7" w:rsidP="00960C7A">
            <w:pPr>
              <w:tabs>
                <w:tab w:val="left" w:pos="288"/>
                <w:tab w:val="left" w:pos="4752"/>
              </w:tabs>
              <w:spacing w:line="220" w:lineRule="exact"/>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Comment</w:t>
            </w:r>
          </w:p>
        </w:tc>
        <w:tc>
          <w:tcPr>
            <w:tcW w:w="2250" w:type="dxa"/>
            <w:vAlign w:val="center"/>
          </w:tcPr>
          <w:p w:rsidR="003244D7" w:rsidRPr="001F5E79" w:rsidRDefault="003244D7" w:rsidP="00960C7A">
            <w:pPr>
              <w:pStyle w:val="ListParagraph"/>
              <w:spacing w:after="0" w:line="220" w:lineRule="exact"/>
              <w:ind w:left="0"/>
              <w:rPr>
                <w:rFonts w:asciiTheme="majorHAnsi" w:eastAsia="Calibri" w:hAnsiTheme="majorHAnsi" w:cstheme="majorHAnsi"/>
                <w:sz w:val="18"/>
                <w:szCs w:val="18"/>
              </w:rPr>
            </w:pPr>
          </w:p>
        </w:tc>
        <w:tc>
          <w:tcPr>
            <w:tcW w:w="2250" w:type="dxa"/>
            <w:vAlign w:val="center"/>
          </w:tcPr>
          <w:p w:rsidR="003244D7" w:rsidRPr="001F5E79" w:rsidRDefault="003244D7" w:rsidP="00960C7A">
            <w:pPr>
              <w:pStyle w:val="ListParagraph"/>
              <w:spacing w:after="0" w:line="220" w:lineRule="exact"/>
              <w:ind w:left="0"/>
              <w:rPr>
                <w:rFonts w:asciiTheme="majorHAnsi" w:eastAsia="Calibri" w:hAnsiTheme="majorHAnsi" w:cstheme="majorHAnsi"/>
                <w:sz w:val="18"/>
                <w:szCs w:val="18"/>
              </w:rPr>
            </w:pPr>
          </w:p>
        </w:tc>
      </w:tr>
      <w:tr w:rsidR="003244D7" w:rsidRPr="00F64312" w:rsidTr="003244D7">
        <w:trPr>
          <w:jc w:val="center"/>
        </w:trPr>
        <w:tc>
          <w:tcPr>
            <w:tcW w:w="2269" w:type="dxa"/>
            <w:vAlign w:val="center"/>
          </w:tcPr>
          <w:p w:rsidR="003244D7" w:rsidRPr="00F64312" w:rsidRDefault="003244D7" w:rsidP="00960C7A">
            <w:pPr>
              <w:tabs>
                <w:tab w:val="left" w:pos="288"/>
                <w:tab w:val="left" w:pos="4752"/>
              </w:tabs>
              <w:spacing w:line="220" w:lineRule="exact"/>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§4.71a Rating</w:t>
            </w:r>
          </w:p>
        </w:tc>
        <w:tc>
          <w:tcPr>
            <w:tcW w:w="2250" w:type="dxa"/>
            <w:vAlign w:val="center"/>
          </w:tcPr>
          <w:p w:rsidR="003244D7" w:rsidRPr="001F5E79" w:rsidRDefault="006B504E" w:rsidP="00960C7A">
            <w:pPr>
              <w:pStyle w:val="ListParagraph"/>
              <w:spacing w:after="0" w:line="220" w:lineRule="exact"/>
              <w:ind w:left="0"/>
              <w:rPr>
                <w:rFonts w:asciiTheme="majorHAnsi" w:eastAsia="Calibri" w:hAnsiTheme="majorHAnsi" w:cstheme="majorHAnsi"/>
                <w:sz w:val="18"/>
                <w:szCs w:val="18"/>
              </w:rPr>
            </w:pPr>
            <w:r w:rsidRPr="001F5E79">
              <w:rPr>
                <w:rFonts w:asciiTheme="majorHAnsi" w:eastAsia="Calibri" w:hAnsiTheme="majorHAnsi" w:cstheme="majorHAnsi"/>
                <w:sz w:val="18"/>
                <w:szCs w:val="18"/>
              </w:rPr>
              <w:t>10</w:t>
            </w:r>
            <w:r w:rsidR="003244D7" w:rsidRPr="001F5E79">
              <w:rPr>
                <w:rFonts w:asciiTheme="majorHAnsi" w:eastAsia="Calibri" w:hAnsiTheme="majorHAnsi" w:cstheme="majorHAnsi"/>
                <w:sz w:val="18"/>
                <w:szCs w:val="18"/>
              </w:rPr>
              <w:t>%</w:t>
            </w:r>
            <w:r w:rsidRPr="001F5E79">
              <w:rPr>
                <w:rFonts w:asciiTheme="majorHAnsi" w:eastAsia="Calibri" w:hAnsiTheme="majorHAnsi" w:cstheme="majorHAnsi"/>
                <w:sz w:val="18"/>
                <w:szCs w:val="18"/>
              </w:rPr>
              <w:t>*</w:t>
            </w:r>
          </w:p>
        </w:tc>
        <w:tc>
          <w:tcPr>
            <w:tcW w:w="2250" w:type="dxa"/>
            <w:vAlign w:val="center"/>
          </w:tcPr>
          <w:p w:rsidR="003244D7" w:rsidRPr="001F5E79" w:rsidRDefault="006B504E" w:rsidP="00960C7A">
            <w:pPr>
              <w:pStyle w:val="ListParagraph"/>
              <w:spacing w:after="0" w:line="220" w:lineRule="exact"/>
              <w:ind w:left="0"/>
              <w:rPr>
                <w:rFonts w:asciiTheme="majorHAnsi" w:eastAsia="Calibri" w:hAnsiTheme="majorHAnsi" w:cstheme="majorHAnsi"/>
                <w:sz w:val="18"/>
                <w:szCs w:val="18"/>
              </w:rPr>
            </w:pPr>
            <w:r w:rsidRPr="001F5E79">
              <w:rPr>
                <w:rFonts w:asciiTheme="majorHAnsi" w:eastAsia="Calibri" w:hAnsiTheme="majorHAnsi" w:cstheme="majorHAnsi"/>
                <w:sz w:val="18"/>
                <w:szCs w:val="18"/>
              </w:rPr>
              <w:t>10</w:t>
            </w:r>
            <w:r w:rsidR="003244D7" w:rsidRPr="001F5E79">
              <w:rPr>
                <w:rFonts w:asciiTheme="majorHAnsi" w:eastAsia="Calibri" w:hAnsiTheme="majorHAnsi" w:cstheme="majorHAnsi"/>
                <w:sz w:val="18"/>
                <w:szCs w:val="18"/>
              </w:rPr>
              <w:t>%</w:t>
            </w:r>
            <w:r w:rsidRPr="001F5E79">
              <w:rPr>
                <w:rFonts w:asciiTheme="majorHAnsi" w:eastAsia="Calibri" w:hAnsiTheme="majorHAnsi" w:cstheme="majorHAnsi"/>
                <w:sz w:val="18"/>
                <w:szCs w:val="18"/>
              </w:rPr>
              <w:t>*</w:t>
            </w:r>
          </w:p>
        </w:tc>
      </w:tr>
    </w:tbl>
    <w:p w:rsidR="001D22BA" w:rsidRPr="006B504E" w:rsidRDefault="006B504E" w:rsidP="006B504E">
      <w:pPr>
        <w:rPr>
          <w:color w:val="auto"/>
          <w:sz w:val="18"/>
          <w:szCs w:val="18"/>
        </w:rPr>
      </w:pPr>
      <w:r w:rsidRPr="006B504E">
        <w:rPr>
          <w:color w:val="auto"/>
          <w:sz w:val="18"/>
          <w:szCs w:val="18"/>
        </w:rPr>
        <w:t>*</w:t>
      </w:r>
      <w:r>
        <w:rPr>
          <w:color w:val="auto"/>
          <w:sz w:val="18"/>
          <w:szCs w:val="18"/>
        </w:rPr>
        <w:t>C</w:t>
      </w:r>
      <w:r w:rsidRPr="006B504E">
        <w:rPr>
          <w:color w:val="auto"/>
          <w:sz w:val="18"/>
          <w:szCs w:val="18"/>
        </w:rPr>
        <w:t xml:space="preserve">onceding </w:t>
      </w:r>
      <w:r w:rsidRPr="006B504E">
        <w:rPr>
          <w:rFonts w:eastAsiaTheme="minorEastAsia"/>
          <w:color w:val="auto"/>
          <w:sz w:val="18"/>
          <w:szCs w:val="18"/>
        </w:rPr>
        <w:t>§</w:t>
      </w:r>
      <w:r w:rsidRPr="006B504E">
        <w:rPr>
          <w:color w:val="auto"/>
          <w:sz w:val="18"/>
          <w:szCs w:val="18"/>
        </w:rPr>
        <w:t>4.59 painful motion</w:t>
      </w:r>
    </w:p>
    <w:p w:rsidR="001D22BA" w:rsidRDefault="001D22BA" w:rsidP="00831A5F">
      <w:pPr>
        <w:jc w:val="both"/>
        <w:rPr>
          <w:rFonts w:ascii="Arial" w:hAnsi="Arial" w:cs="Arial"/>
          <w:color w:val="auto"/>
          <w:sz w:val="23"/>
          <w:szCs w:val="23"/>
        </w:rPr>
      </w:pPr>
    </w:p>
    <w:p w:rsidR="00387B7F" w:rsidRPr="00EE5134" w:rsidRDefault="00F30E73" w:rsidP="00EE5134">
      <w:pPr>
        <w:autoSpaceDE w:val="0"/>
        <w:autoSpaceDN w:val="0"/>
        <w:adjustRightInd w:val="0"/>
        <w:jc w:val="both"/>
        <w:rPr>
          <w:color w:val="auto"/>
          <w:szCs w:val="24"/>
        </w:rPr>
      </w:pPr>
      <w:r w:rsidRPr="00E21956">
        <w:rPr>
          <w:color w:val="auto"/>
          <w:szCs w:val="24"/>
        </w:rPr>
        <w:t>At the MEB exam,</w:t>
      </w:r>
      <w:r w:rsidR="00EC4DEC">
        <w:rPr>
          <w:color w:val="auto"/>
          <w:szCs w:val="24"/>
        </w:rPr>
        <w:t xml:space="preserve"> </w:t>
      </w:r>
      <w:r w:rsidR="00986E28">
        <w:rPr>
          <w:color w:val="auto"/>
          <w:szCs w:val="24"/>
        </w:rPr>
        <w:t>4</w:t>
      </w:r>
      <w:r w:rsidR="00CA5A4A" w:rsidRPr="00E21956">
        <w:rPr>
          <w:color w:val="auto"/>
          <w:szCs w:val="24"/>
        </w:rPr>
        <w:t xml:space="preserve"> months prior to separation,</w:t>
      </w:r>
      <w:r w:rsidRPr="00E21956">
        <w:rPr>
          <w:color w:val="auto"/>
          <w:szCs w:val="24"/>
        </w:rPr>
        <w:t xml:space="preserve"> the CI reported </w:t>
      </w:r>
      <w:r w:rsidR="000866CD" w:rsidRPr="00E21956">
        <w:rPr>
          <w:color w:val="auto"/>
          <w:szCs w:val="24"/>
        </w:rPr>
        <w:t>significant weakness with respect to left as opposed to right-sided forearm strength</w:t>
      </w:r>
      <w:r w:rsidR="00EC4DEC">
        <w:rPr>
          <w:color w:val="auto"/>
          <w:szCs w:val="24"/>
        </w:rPr>
        <w:t>,</w:t>
      </w:r>
      <w:r w:rsidRPr="00E21956">
        <w:rPr>
          <w:color w:val="auto"/>
          <w:szCs w:val="24"/>
        </w:rPr>
        <w:t xml:space="preserve"> which</w:t>
      </w:r>
      <w:r w:rsidR="000866CD" w:rsidRPr="00E21956">
        <w:rPr>
          <w:color w:val="auto"/>
          <w:szCs w:val="24"/>
        </w:rPr>
        <w:t xml:space="preserve"> limit</w:t>
      </w:r>
      <w:r w:rsidR="001B6F90">
        <w:rPr>
          <w:color w:val="auto"/>
          <w:szCs w:val="24"/>
        </w:rPr>
        <w:t>ed</w:t>
      </w:r>
      <w:r w:rsidRPr="00E21956">
        <w:rPr>
          <w:color w:val="auto"/>
          <w:szCs w:val="24"/>
        </w:rPr>
        <w:t xml:space="preserve"> him</w:t>
      </w:r>
      <w:r w:rsidR="000866CD" w:rsidRPr="00E21956">
        <w:rPr>
          <w:color w:val="auto"/>
          <w:szCs w:val="24"/>
        </w:rPr>
        <w:t xml:space="preserve"> in doing many of his normal function</w:t>
      </w:r>
      <w:r w:rsidRPr="00E21956">
        <w:rPr>
          <w:color w:val="auto"/>
          <w:szCs w:val="24"/>
        </w:rPr>
        <w:t>s.</w:t>
      </w:r>
      <w:r w:rsidR="000866CD" w:rsidRPr="00E21956">
        <w:rPr>
          <w:color w:val="auto"/>
          <w:szCs w:val="24"/>
        </w:rPr>
        <w:t xml:space="preserve"> </w:t>
      </w:r>
      <w:r w:rsidR="00CA5A4A" w:rsidRPr="00E21956">
        <w:rPr>
          <w:color w:val="auto"/>
          <w:szCs w:val="24"/>
        </w:rPr>
        <w:t xml:space="preserve"> </w:t>
      </w:r>
      <w:r w:rsidRPr="00E21956">
        <w:rPr>
          <w:color w:val="auto"/>
          <w:szCs w:val="24"/>
        </w:rPr>
        <w:t xml:space="preserve">The MEB physical exam demonstrated a </w:t>
      </w:r>
      <w:r w:rsidR="00A1141B" w:rsidRPr="00E21956">
        <w:rPr>
          <w:color w:val="auto"/>
          <w:szCs w:val="24"/>
        </w:rPr>
        <w:t>visible surgical scar to the volar aspect of the left forearm with hypothesia to the distal hand in an ulnar distribution</w:t>
      </w:r>
      <w:r w:rsidRPr="00E21956">
        <w:rPr>
          <w:color w:val="auto"/>
          <w:szCs w:val="24"/>
        </w:rPr>
        <w:t>,</w:t>
      </w:r>
      <w:r w:rsidR="00A1141B" w:rsidRPr="00E21956">
        <w:rPr>
          <w:color w:val="auto"/>
          <w:szCs w:val="24"/>
        </w:rPr>
        <w:t xml:space="preserve"> grip strength testing </w:t>
      </w:r>
      <w:r w:rsidRPr="00E21956">
        <w:rPr>
          <w:color w:val="auto"/>
          <w:szCs w:val="24"/>
        </w:rPr>
        <w:t>displayed</w:t>
      </w:r>
      <w:r w:rsidR="00A1141B" w:rsidRPr="00E21956">
        <w:rPr>
          <w:color w:val="auto"/>
          <w:szCs w:val="24"/>
        </w:rPr>
        <w:t xml:space="preserve"> clear weakness on the l</w:t>
      </w:r>
      <w:r w:rsidR="001B6F90">
        <w:rPr>
          <w:color w:val="auto"/>
          <w:szCs w:val="24"/>
        </w:rPr>
        <w:t xml:space="preserve">eft </w:t>
      </w:r>
      <w:r w:rsidRPr="00E21956">
        <w:rPr>
          <w:color w:val="auto"/>
          <w:szCs w:val="24"/>
        </w:rPr>
        <w:t>relative to the right side</w:t>
      </w:r>
      <w:r w:rsidR="00EC4DEC">
        <w:rPr>
          <w:color w:val="auto"/>
          <w:szCs w:val="24"/>
        </w:rPr>
        <w:t xml:space="preserve">.  Additionally, </w:t>
      </w:r>
      <w:r w:rsidR="00A1141B" w:rsidRPr="00E21956">
        <w:rPr>
          <w:color w:val="auto"/>
          <w:szCs w:val="24"/>
        </w:rPr>
        <w:t>ROM</w:t>
      </w:r>
      <w:r w:rsidR="00CA5A4A" w:rsidRPr="00E21956">
        <w:rPr>
          <w:color w:val="auto"/>
          <w:szCs w:val="24"/>
        </w:rPr>
        <w:t xml:space="preserve"> testing</w:t>
      </w:r>
      <w:r w:rsidR="00A1141B" w:rsidRPr="00E21956">
        <w:rPr>
          <w:color w:val="auto"/>
          <w:szCs w:val="24"/>
        </w:rPr>
        <w:t xml:space="preserve"> appear</w:t>
      </w:r>
      <w:r w:rsidRPr="00E21956">
        <w:rPr>
          <w:color w:val="auto"/>
          <w:szCs w:val="24"/>
        </w:rPr>
        <w:t>ed</w:t>
      </w:r>
      <w:r w:rsidR="00A1141B" w:rsidRPr="00E21956">
        <w:rPr>
          <w:color w:val="auto"/>
          <w:szCs w:val="24"/>
        </w:rPr>
        <w:t xml:space="preserve"> to be relatively recovered </w:t>
      </w:r>
      <w:r w:rsidR="00EC4DEC">
        <w:rPr>
          <w:color w:val="auto"/>
          <w:szCs w:val="24"/>
        </w:rPr>
        <w:t>s/p</w:t>
      </w:r>
      <w:r w:rsidR="00A1141B" w:rsidRPr="00E21956">
        <w:rPr>
          <w:color w:val="auto"/>
          <w:szCs w:val="24"/>
        </w:rPr>
        <w:t xml:space="preserve"> tendon transfer.</w:t>
      </w:r>
      <w:r w:rsidR="00CA5A4A" w:rsidRPr="00E21956">
        <w:rPr>
          <w:color w:val="auto"/>
          <w:szCs w:val="24"/>
        </w:rPr>
        <w:t xml:space="preserve">  </w:t>
      </w:r>
      <w:r w:rsidR="001906DD">
        <w:rPr>
          <w:color w:val="auto"/>
          <w:szCs w:val="24"/>
        </w:rPr>
        <w:t xml:space="preserve">The photographs in evidence depicted a residual large oval shaped scar on the volar aspect of his left forearm proximal to his wrist.  </w:t>
      </w:r>
      <w:r w:rsidR="00E21956" w:rsidRPr="00E21956">
        <w:rPr>
          <w:color w:val="auto"/>
          <w:szCs w:val="24"/>
        </w:rPr>
        <w:t>The occupation therapy m</w:t>
      </w:r>
      <w:r w:rsidR="00EC4DEC">
        <w:rPr>
          <w:color w:val="auto"/>
          <w:szCs w:val="24"/>
        </w:rPr>
        <w:t>edical evaluation for the MEB, eight</w:t>
      </w:r>
      <w:r w:rsidR="00E21956" w:rsidRPr="00E21956">
        <w:rPr>
          <w:color w:val="auto"/>
          <w:szCs w:val="24"/>
        </w:rPr>
        <w:t xml:space="preserve"> months prior to separation, demonstrated supination and pronation of the right wrist 85/80 respectively</w:t>
      </w:r>
      <w:r w:rsidR="00EC4DEC">
        <w:rPr>
          <w:color w:val="auto"/>
          <w:szCs w:val="24"/>
        </w:rPr>
        <w:t xml:space="preserve">.  The </w:t>
      </w:r>
      <w:r w:rsidR="00E21956" w:rsidRPr="00E21956">
        <w:rPr>
          <w:color w:val="auto"/>
          <w:szCs w:val="24"/>
        </w:rPr>
        <w:t>left</w:t>
      </w:r>
      <w:r w:rsidR="00EC4DEC">
        <w:rPr>
          <w:color w:val="auto"/>
          <w:szCs w:val="24"/>
        </w:rPr>
        <w:t xml:space="preserve"> side showed </w:t>
      </w:r>
      <w:r w:rsidR="00EC4DEC" w:rsidRPr="00E21956">
        <w:rPr>
          <w:color w:val="auto"/>
          <w:szCs w:val="24"/>
        </w:rPr>
        <w:t>supination and pronation</w:t>
      </w:r>
      <w:r w:rsidR="00EC4DEC">
        <w:rPr>
          <w:color w:val="auto"/>
          <w:szCs w:val="24"/>
        </w:rPr>
        <w:t xml:space="preserve"> of </w:t>
      </w:r>
      <w:r w:rsidR="00E21956" w:rsidRPr="00E21956">
        <w:rPr>
          <w:color w:val="auto"/>
          <w:szCs w:val="24"/>
        </w:rPr>
        <w:t>65</w:t>
      </w:r>
      <w:r w:rsidR="001B6F90">
        <w:rPr>
          <w:color w:val="auto"/>
          <w:szCs w:val="24"/>
        </w:rPr>
        <w:t>/</w:t>
      </w:r>
      <w:r w:rsidR="00E21956" w:rsidRPr="00E21956">
        <w:rPr>
          <w:color w:val="auto"/>
          <w:szCs w:val="24"/>
        </w:rPr>
        <w:t>42 respectively, grip strength showed</w:t>
      </w:r>
      <w:r w:rsidR="001B6F90">
        <w:rPr>
          <w:color w:val="auto"/>
          <w:szCs w:val="24"/>
        </w:rPr>
        <w:t xml:space="preserve"> the most significant disparity</w:t>
      </w:r>
      <w:r w:rsidR="00E21956" w:rsidRPr="00E21956">
        <w:rPr>
          <w:color w:val="auto"/>
          <w:szCs w:val="24"/>
        </w:rPr>
        <w:t xml:space="preserve">, right 100 </w:t>
      </w:r>
      <w:r w:rsidR="001B6F90">
        <w:rPr>
          <w:color w:val="auto"/>
          <w:szCs w:val="24"/>
        </w:rPr>
        <w:t xml:space="preserve">pounds and </w:t>
      </w:r>
      <w:r w:rsidR="00E21956" w:rsidRPr="00E21956">
        <w:rPr>
          <w:color w:val="auto"/>
          <w:szCs w:val="24"/>
        </w:rPr>
        <w:t xml:space="preserve">left 58 </w:t>
      </w:r>
      <w:r w:rsidR="001B6F90">
        <w:rPr>
          <w:color w:val="auto"/>
          <w:szCs w:val="24"/>
        </w:rPr>
        <w:t>pounds</w:t>
      </w:r>
      <w:r w:rsidR="00EC4DEC">
        <w:rPr>
          <w:color w:val="auto"/>
          <w:szCs w:val="24"/>
        </w:rPr>
        <w:t>;</w:t>
      </w:r>
      <w:r w:rsidR="003244D7">
        <w:rPr>
          <w:color w:val="auto"/>
          <w:szCs w:val="24"/>
        </w:rPr>
        <w:t xml:space="preserve"> and p</w:t>
      </w:r>
      <w:r w:rsidR="00E21956" w:rsidRPr="00E21956">
        <w:rPr>
          <w:color w:val="auto"/>
          <w:szCs w:val="24"/>
        </w:rPr>
        <w:t xml:space="preserve">incher </w:t>
      </w:r>
      <w:r w:rsidR="003244D7">
        <w:rPr>
          <w:color w:val="auto"/>
          <w:szCs w:val="24"/>
        </w:rPr>
        <w:t>p</w:t>
      </w:r>
      <w:r w:rsidR="00E21956" w:rsidRPr="00E21956">
        <w:rPr>
          <w:color w:val="auto"/>
          <w:szCs w:val="24"/>
        </w:rPr>
        <w:t>incher strength average</w:t>
      </w:r>
      <w:r w:rsidR="001B6F90">
        <w:rPr>
          <w:color w:val="auto"/>
          <w:szCs w:val="24"/>
        </w:rPr>
        <w:t>d</w:t>
      </w:r>
      <w:r w:rsidR="00E21956" w:rsidRPr="00E21956">
        <w:rPr>
          <w:color w:val="auto"/>
          <w:szCs w:val="24"/>
        </w:rPr>
        <w:t xml:space="preserve"> of 14.3</w:t>
      </w:r>
      <w:r w:rsidR="001B6F90">
        <w:rPr>
          <w:color w:val="auto"/>
          <w:szCs w:val="24"/>
        </w:rPr>
        <w:t xml:space="preserve"> pounds</w:t>
      </w:r>
      <w:r w:rsidR="00E21956" w:rsidRPr="00E21956">
        <w:rPr>
          <w:color w:val="auto"/>
          <w:szCs w:val="24"/>
        </w:rPr>
        <w:t xml:space="preserve"> on the right and 7 </w:t>
      </w:r>
      <w:r w:rsidR="001B6F90">
        <w:rPr>
          <w:color w:val="auto"/>
          <w:szCs w:val="24"/>
        </w:rPr>
        <w:t>pounds</w:t>
      </w:r>
      <w:r w:rsidR="00E21956" w:rsidRPr="00E21956">
        <w:rPr>
          <w:color w:val="auto"/>
          <w:szCs w:val="24"/>
        </w:rPr>
        <w:t xml:space="preserve"> on the left.  The occupational therapy examiner opined the patient, although having made significant improvement, still ha</w:t>
      </w:r>
      <w:r w:rsidR="001B6F90">
        <w:rPr>
          <w:color w:val="auto"/>
          <w:szCs w:val="24"/>
        </w:rPr>
        <w:t>d</w:t>
      </w:r>
      <w:r w:rsidR="00E21956" w:rsidRPr="00E21956">
        <w:rPr>
          <w:color w:val="auto"/>
          <w:szCs w:val="24"/>
        </w:rPr>
        <w:t xml:space="preserve"> weakness in the left hand compared to the right</w:t>
      </w:r>
      <w:r w:rsidR="00CA7C26">
        <w:rPr>
          <w:color w:val="auto"/>
          <w:szCs w:val="24"/>
        </w:rPr>
        <w:t>.  The CI also had p</w:t>
      </w:r>
      <w:r w:rsidR="00E21956" w:rsidRPr="00E21956">
        <w:rPr>
          <w:color w:val="auto"/>
          <w:szCs w:val="24"/>
        </w:rPr>
        <w:t xml:space="preserve">roblems with </w:t>
      </w:r>
      <w:r w:rsidR="00CA7C26" w:rsidRPr="00E21956">
        <w:rPr>
          <w:color w:val="auto"/>
          <w:szCs w:val="24"/>
        </w:rPr>
        <w:t>hypo</w:t>
      </w:r>
      <w:r w:rsidR="00EE255C">
        <w:rPr>
          <w:color w:val="auto"/>
          <w:szCs w:val="24"/>
        </w:rPr>
        <w:t>-</w:t>
      </w:r>
      <w:r w:rsidR="00CA7C26" w:rsidRPr="00E21956">
        <w:rPr>
          <w:color w:val="auto"/>
          <w:szCs w:val="24"/>
        </w:rPr>
        <w:t>anesthesia</w:t>
      </w:r>
      <w:r w:rsidR="00E21956" w:rsidRPr="00E21956">
        <w:rPr>
          <w:color w:val="auto"/>
          <w:szCs w:val="24"/>
        </w:rPr>
        <w:t xml:space="preserve"> of areas of the flap and the distal hand that significantly impair his ability to perform simple working tasks.  </w:t>
      </w:r>
      <w:r w:rsidR="00CA5A4A" w:rsidRPr="00E21956">
        <w:rPr>
          <w:color w:val="auto"/>
          <w:szCs w:val="24"/>
        </w:rPr>
        <w:t>The orthopedic</w:t>
      </w:r>
      <w:r w:rsidR="00D808F2" w:rsidRPr="00E21956">
        <w:rPr>
          <w:color w:val="auto"/>
          <w:szCs w:val="24"/>
        </w:rPr>
        <w:t xml:space="preserve"> addendum </w:t>
      </w:r>
      <w:r w:rsidR="00CA5A4A" w:rsidRPr="00E21956">
        <w:rPr>
          <w:color w:val="auto"/>
          <w:szCs w:val="24"/>
        </w:rPr>
        <w:t>completed for the MEB, 10 months prior to separation, documented the CI’s</w:t>
      </w:r>
      <w:r w:rsidR="00D808F2" w:rsidRPr="00E21956">
        <w:rPr>
          <w:color w:val="auto"/>
          <w:szCs w:val="24"/>
        </w:rPr>
        <w:t xml:space="preserve"> postoperative</w:t>
      </w:r>
      <w:r w:rsidR="00E21956" w:rsidRPr="00E21956">
        <w:rPr>
          <w:color w:val="auto"/>
          <w:szCs w:val="24"/>
        </w:rPr>
        <w:t xml:space="preserve"> </w:t>
      </w:r>
      <w:r w:rsidR="00D808F2" w:rsidRPr="00E21956">
        <w:rPr>
          <w:color w:val="auto"/>
          <w:szCs w:val="24"/>
        </w:rPr>
        <w:t xml:space="preserve">rehabilitation and recovery </w:t>
      </w:r>
      <w:r w:rsidR="00CA5A4A" w:rsidRPr="00E21956">
        <w:rPr>
          <w:color w:val="auto"/>
          <w:szCs w:val="24"/>
        </w:rPr>
        <w:t>was</w:t>
      </w:r>
      <w:r w:rsidR="00D808F2" w:rsidRPr="00E21956">
        <w:rPr>
          <w:color w:val="auto"/>
          <w:szCs w:val="24"/>
        </w:rPr>
        <w:t xml:space="preserve"> dramatic for excellent function and restoration.</w:t>
      </w:r>
      <w:r w:rsidR="003244D7">
        <w:rPr>
          <w:color w:val="auto"/>
          <w:szCs w:val="24"/>
        </w:rPr>
        <w:t xml:space="preserve"> </w:t>
      </w:r>
      <w:r w:rsidR="00D808F2" w:rsidRPr="00E21956">
        <w:rPr>
          <w:color w:val="auto"/>
          <w:szCs w:val="24"/>
        </w:rPr>
        <w:t xml:space="preserve"> On his last</w:t>
      </w:r>
      <w:r w:rsidR="00E21956" w:rsidRPr="00E21956">
        <w:rPr>
          <w:color w:val="auto"/>
          <w:szCs w:val="24"/>
        </w:rPr>
        <w:t xml:space="preserve"> </w:t>
      </w:r>
      <w:r w:rsidR="00D808F2" w:rsidRPr="00E21956">
        <w:rPr>
          <w:color w:val="auto"/>
          <w:szCs w:val="24"/>
        </w:rPr>
        <w:t xml:space="preserve">examination </w:t>
      </w:r>
      <w:r w:rsidR="00986E28">
        <w:rPr>
          <w:color w:val="auto"/>
          <w:szCs w:val="24"/>
        </w:rPr>
        <w:t xml:space="preserve">performed </w:t>
      </w:r>
      <w:r w:rsidR="00D808F2" w:rsidRPr="00E21956">
        <w:rPr>
          <w:color w:val="auto"/>
          <w:szCs w:val="24"/>
        </w:rPr>
        <w:t xml:space="preserve">in August 2005 </w:t>
      </w:r>
      <w:r w:rsidR="001B6F90">
        <w:rPr>
          <w:color w:val="auto"/>
          <w:szCs w:val="24"/>
        </w:rPr>
        <w:t xml:space="preserve">there </w:t>
      </w:r>
      <w:r w:rsidR="008534F8">
        <w:rPr>
          <w:color w:val="auto"/>
          <w:szCs w:val="24"/>
        </w:rPr>
        <w:t>were very minimal proximal forearm adhesions</w:t>
      </w:r>
      <w:r w:rsidR="00E21956" w:rsidRPr="00E21956">
        <w:rPr>
          <w:color w:val="auto"/>
          <w:szCs w:val="24"/>
        </w:rPr>
        <w:t xml:space="preserve"> in his remaining </w:t>
      </w:r>
      <w:r w:rsidR="00D808F2" w:rsidRPr="00E21956">
        <w:rPr>
          <w:color w:val="auto"/>
          <w:szCs w:val="24"/>
        </w:rPr>
        <w:t>proximal scars</w:t>
      </w:r>
      <w:r w:rsidR="00CA7C26">
        <w:rPr>
          <w:color w:val="auto"/>
          <w:szCs w:val="24"/>
        </w:rPr>
        <w:t>,</w:t>
      </w:r>
      <w:r w:rsidR="00D808F2" w:rsidRPr="00E21956">
        <w:rPr>
          <w:color w:val="auto"/>
          <w:szCs w:val="24"/>
        </w:rPr>
        <w:t xml:space="preserve"> but no adhesions under the well-contoured</w:t>
      </w:r>
      <w:r w:rsidR="004E02EF" w:rsidRPr="00E21956">
        <w:rPr>
          <w:color w:val="auto"/>
          <w:szCs w:val="24"/>
        </w:rPr>
        <w:t xml:space="preserve"> </w:t>
      </w:r>
      <w:r w:rsidR="00D808F2" w:rsidRPr="00E21956">
        <w:rPr>
          <w:color w:val="auto"/>
          <w:szCs w:val="24"/>
        </w:rPr>
        <w:t>volar forearm flap</w:t>
      </w:r>
      <w:r w:rsidR="00CA7C26">
        <w:rPr>
          <w:color w:val="auto"/>
          <w:szCs w:val="24"/>
        </w:rPr>
        <w:t>,</w:t>
      </w:r>
      <w:r w:rsidR="00D808F2" w:rsidRPr="00E21956">
        <w:rPr>
          <w:color w:val="auto"/>
          <w:szCs w:val="24"/>
        </w:rPr>
        <w:t xml:space="preserve"> which </w:t>
      </w:r>
      <w:r w:rsidR="00E21956" w:rsidRPr="00E21956">
        <w:rPr>
          <w:color w:val="auto"/>
          <w:szCs w:val="24"/>
        </w:rPr>
        <w:t xml:space="preserve">had an excellent contour and viability.  </w:t>
      </w:r>
      <w:r w:rsidR="00CA5A4A" w:rsidRPr="00E21956">
        <w:rPr>
          <w:color w:val="auto"/>
          <w:szCs w:val="24"/>
        </w:rPr>
        <w:t>The</w:t>
      </w:r>
      <w:r w:rsidR="00D808F2" w:rsidRPr="00E21956">
        <w:rPr>
          <w:color w:val="auto"/>
          <w:szCs w:val="24"/>
        </w:rPr>
        <w:t xml:space="preserve"> median nerve and ulnar nerve functions </w:t>
      </w:r>
      <w:r w:rsidR="00CA5A4A" w:rsidRPr="00E21956">
        <w:rPr>
          <w:color w:val="auto"/>
          <w:szCs w:val="24"/>
        </w:rPr>
        <w:t>were</w:t>
      </w:r>
      <w:r w:rsidR="00D808F2" w:rsidRPr="00E21956">
        <w:rPr>
          <w:color w:val="auto"/>
          <w:szCs w:val="24"/>
        </w:rPr>
        <w:t xml:space="preserve"> normal. </w:t>
      </w:r>
      <w:r w:rsidR="00CA5A4A" w:rsidRPr="00E21956">
        <w:rPr>
          <w:color w:val="auto"/>
          <w:szCs w:val="24"/>
        </w:rPr>
        <w:t xml:space="preserve"> </w:t>
      </w:r>
      <w:r w:rsidR="00D808F2" w:rsidRPr="00E21956">
        <w:rPr>
          <w:color w:val="auto"/>
          <w:szCs w:val="24"/>
        </w:rPr>
        <w:t>He ha</w:t>
      </w:r>
      <w:r w:rsidR="00CA5A4A" w:rsidRPr="00E21956">
        <w:rPr>
          <w:color w:val="auto"/>
          <w:szCs w:val="24"/>
        </w:rPr>
        <w:t>d</w:t>
      </w:r>
      <w:r w:rsidR="00D808F2" w:rsidRPr="00E21956">
        <w:rPr>
          <w:color w:val="auto"/>
          <w:szCs w:val="24"/>
        </w:rPr>
        <w:t xml:space="preserve"> full pronation</w:t>
      </w:r>
      <w:r w:rsidR="00CA5A4A" w:rsidRPr="00E21956">
        <w:rPr>
          <w:color w:val="auto"/>
          <w:szCs w:val="24"/>
        </w:rPr>
        <w:t xml:space="preserve"> and </w:t>
      </w:r>
      <w:r w:rsidR="00D808F2" w:rsidRPr="00E21956">
        <w:rPr>
          <w:color w:val="auto"/>
          <w:szCs w:val="24"/>
        </w:rPr>
        <w:t>supination</w:t>
      </w:r>
      <w:r w:rsidR="00E21956" w:rsidRPr="00E21956">
        <w:rPr>
          <w:color w:val="auto"/>
          <w:szCs w:val="24"/>
        </w:rPr>
        <w:t>.  The orthopedic examiner</w:t>
      </w:r>
      <w:r w:rsidR="00D808F2" w:rsidRPr="00E21956">
        <w:rPr>
          <w:color w:val="auto"/>
          <w:szCs w:val="24"/>
        </w:rPr>
        <w:t xml:space="preserve"> </w:t>
      </w:r>
      <w:r w:rsidR="00E21956" w:rsidRPr="00E21956">
        <w:rPr>
          <w:color w:val="auto"/>
          <w:szCs w:val="24"/>
        </w:rPr>
        <w:t>opined the CI was doing well after left volar</w:t>
      </w:r>
      <w:r w:rsidR="001B6F90">
        <w:rPr>
          <w:color w:val="auto"/>
          <w:szCs w:val="24"/>
        </w:rPr>
        <w:t xml:space="preserve"> forearm flap, </w:t>
      </w:r>
      <w:r w:rsidR="00E21956" w:rsidRPr="00E21956">
        <w:rPr>
          <w:color w:val="auto"/>
          <w:szCs w:val="24"/>
        </w:rPr>
        <w:t xml:space="preserve">excellent cosmetic appearance of his scars and function on the left with no pain or soft tissue swelling and that he was neurovascularly intact. </w:t>
      </w:r>
      <w:r w:rsidR="001B6F90">
        <w:rPr>
          <w:color w:val="auto"/>
          <w:szCs w:val="24"/>
        </w:rPr>
        <w:t xml:space="preserve"> </w:t>
      </w:r>
      <w:r w:rsidR="00E21956" w:rsidRPr="00E21956">
        <w:rPr>
          <w:color w:val="auto"/>
          <w:szCs w:val="24"/>
        </w:rPr>
        <w:t xml:space="preserve">The examiner further </w:t>
      </w:r>
      <w:r w:rsidR="00D808F2" w:rsidRPr="00E21956">
        <w:rPr>
          <w:color w:val="auto"/>
          <w:szCs w:val="24"/>
        </w:rPr>
        <w:t>recommend</w:t>
      </w:r>
      <w:r w:rsidR="00E21956" w:rsidRPr="00E21956">
        <w:rPr>
          <w:color w:val="auto"/>
          <w:szCs w:val="24"/>
        </w:rPr>
        <w:t>ed</w:t>
      </w:r>
      <w:r w:rsidR="00D808F2" w:rsidRPr="00E21956">
        <w:rPr>
          <w:color w:val="auto"/>
          <w:szCs w:val="24"/>
        </w:rPr>
        <w:t xml:space="preserve"> continue</w:t>
      </w:r>
      <w:r w:rsidR="00E21956" w:rsidRPr="00E21956">
        <w:rPr>
          <w:color w:val="auto"/>
          <w:szCs w:val="24"/>
        </w:rPr>
        <w:t>d</w:t>
      </w:r>
      <w:r w:rsidR="00D808F2" w:rsidRPr="00E21956">
        <w:rPr>
          <w:color w:val="auto"/>
          <w:szCs w:val="24"/>
        </w:rPr>
        <w:t xml:space="preserve"> occupati</w:t>
      </w:r>
      <w:r w:rsidR="001B6F90">
        <w:rPr>
          <w:color w:val="auto"/>
          <w:szCs w:val="24"/>
        </w:rPr>
        <w:t>onal therapy and rehabilitation</w:t>
      </w:r>
      <w:r w:rsidR="00E21956" w:rsidRPr="00E21956">
        <w:rPr>
          <w:color w:val="auto"/>
          <w:szCs w:val="24"/>
        </w:rPr>
        <w:t xml:space="preserve"> and </w:t>
      </w:r>
      <w:r w:rsidR="00D808F2" w:rsidRPr="00E21956">
        <w:rPr>
          <w:color w:val="auto"/>
          <w:szCs w:val="24"/>
        </w:rPr>
        <w:t>that he be referre</w:t>
      </w:r>
      <w:r w:rsidR="004E02EF" w:rsidRPr="00E21956">
        <w:rPr>
          <w:color w:val="auto"/>
          <w:szCs w:val="24"/>
        </w:rPr>
        <w:t xml:space="preserve">d to TDRL status as his present </w:t>
      </w:r>
      <w:r w:rsidR="00D808F2" w:rsidRPr="00E21956">
        <w:rPr>
          <w:color w:val="auto"/>
          <w:szCs w:val="24"/>
        </w:rPr>
        <w:t>condition</w:t>
      </w:r>
      <w:r w:rsidR="00340CA6">
        <w:rPr>
          <w:color w:val="auto"/>
          <w:szCs w:val="24"/>
        </w:rPr>
        <w:t xml:space="preserve"> was</w:t>
      </w:r>
      <w:r w:rsidR="00D808F2" w:rsidRPr="00E21956">
        <w:rPr>
          <w:color w:val="auto"/>
          <w:szCs w:val="24"/>
        </w:rPr>
        <w:t xml:space="preserve"> likely to improve even</w:t>
      </w:r>
      <w:r w:rsidR="004E02EF" w:rsidRPr="00E21956">
        <w:rPr>
          <w:color w:val="auto"/>
          <w:szCs w:val="24"/>
        </w:rPr>
        <w:t xml:space="preserve"> </w:t>
      </w:r>
      <w:r w:rsidR="00D808F2" w:rsidRPr="00E21956">
        <w:rPr>
          <w:color w:val="auto"/>
          <w:szCs w:val="24"/>
        </w:rPr>
        <w:t>farther</w:t>
      </w:r>
      <w:r w:rsidR="00E21956" w:rsidRPr="00E21956">
        <w:rPr>
          <w:color w:val="auto"/>
          <w:szCs w:val="24"/>
        </w:rPr>
        <w:t>.</w:t>
      </w:r>
      <w:r w:rsidR="00EE5134">
        <w:rPr>
          <w:color w:val="auto"/>
          <w:szCs w:val="24"/>
        </w:rPr>
        <w:t xml:space="preserve">  </w:t>
      </w:r>
      <w:r w:rsidR="00EE7809" w:rsidRPr="00EE5134">
        <w:rPr>
          <w:color w:val="auto"/>
          <w:szCs w:val="24"/>
        </w:rPr>
        <w:t xml:space="preserve">At the C&amp;P exam </w:t>
      </w:r>
      <w:r w:rsidR="00986E28">
        <w:rPr>
          <w:color w:val="auto"/>
          <w:szCs w:val="24"/>
        </w:rPr>
        <w:t>2</w:t>
      </w:r>
      <w:r w:rsidR="000233DD" w:rsidRPr="00EE5134">
        <w:rPr>
          <w:color w:val="auto"/>
          <w:szCs w:val="24"/>
        </w:rPr>
        <w:t xml:space="preserve"> months </w:t>
      </w:r>
      <w:r w:rsidR="00EE7809" w:rsidRPr="00EE5134">
        <w:rPr>
          <w:color w:val="auto"/>
          <w:szCs w:val="24"/>
        </w:rPr>
        <w:t>prior to separation</w:t>
      </w:r>
      <w:r w:rsidR="00E21956" w:rsidRPr="00EE5134">
        <w:rPr>
          <w:color w:val="auto"/>
          <w:szCs w:val="24"/>
        </w:rPr>
        <w:t xml:space="preserve">, the CI reported no new additional history.  </w:t>
      </w:r>
      <w:r w:rsidR="000233DD" w:rsidRPr="00EE5134">
        <w:rPr>
          <w:color w:val="auto"/>
          <w:szCs w:val="24"/>
        </w:rPr>
        <w:t xml:space="preserve">He reported enjoying fishing, lawn work, football, baseball and basketball and </w:t>
      </w:r>
      <w:r w:rsidR="008C721C">
        <w:rPr>
          <w:color w:val="auto"/>
          <w:szCs w:val="24"/>
        </w:rPr>
        <w:t xml:space="preserve">could </w:t>
      </w:r>
      <w:r w:rsidR="000233DD" w:rsidRPr="00EE5134">
        <w:rPr>
          <w:color w:val="auto"/>
          <w:szCs w:val="24"/>
        </w:rPr>
        <w:t xml:space="preserve">sustain heavy physical activity without immediate distress.  </w:t>
      </w:r>
      <w:r w:rsidR="00F805E5" w:rsidRPr="00EE5134">
        <w:rPr>
          <w:color w:val="auto"/>
          <w:szCs w:val="24"/>
        </w:rPr>
        <w:t>T</w:t>
      </w:r>
      <w:r w:rsidR="00E21956" w:rsidRPr="00EE5134">
        <w:rPr>
          <w:color w:val="auto"/>
          <w:szCs w:val="24"/>
        </w:rPr>
        <w:t xml:space="preserve">he </w:t>
      </w:r>
      <w:r w:rsidR="00F805E5" w:rsidRPr="00EE5134">
        <w:rPr>
          <w:color w:val="auto"/>
          <w:szCs w:val="24"/>
        </w:rPr>
        <w:t xml:space="preserve">C&amp;P exam </w:t>
      </w:r>
      <w:r w:rsidR="00E21956" w:rsidRPr="00EE5134">
        <w:rPr>
          <w:color w:val="auto"/>
          <w:szCs w:val="24"/>
        </w:rPr>
        <w:t>demonstrated</w:t>
      </w:r>
      <w:r w:rsidR="000233DD" w:rsidRPr="00EE5134">
        <w:rPr>
          <w:color w:val="auto"/>
          <w:szCs w:val="24"/>
        </w:rPr>
        <w:t xml:space="preserve"> multiple shrapnel scars over</w:t>
      </w:r>
      <w:r w:rsidR="003244D7" w:rsidRPr="00EE5134">
        <w:rPr>
          <w:color w:val="auto"/>
          <w:szCs w:val="24"/>
        </w:rPr>
        <w:t xml:space="preserve"> </w:t>
      </w:r>
      <w:r w:rsidR="000233DD" w:rsidRPr="00EE5134">
        <w:rPr>
          <w:color w:val="auto"/>
          <w:szCs w:val="24"/>
        </w:rPr>
        <w:t>the chest, upper and lower extremities, and the face and head and surgical scars of the left forearm, left waist and right hand that were healthy in appearance and texture.</w:t>
      </w:r>
      <w:r w:rsidR="00F805E5" w:rsidRPr="00EE5134">
        <w:rPr>
          <w:color w:val="auto"/>
          <w:szCs w:val="24"/>
        </w:rPr>
        <w:t xml:space="preserve"> </w:t>
      </w:r>
      <w:r w:rsidR="000233DD" w:rsidRPr="00EE5134">
        <w:rPr>
          <w:color w:val="auto"/>
          <w:szCs w:val="24"/>
        </w:rPr>
        <w:t xml:space="preserve"> There were sensory deficits of the left forearm extending to his left hand</w:t>
      </w:r>
      <w:r w:rsidR="003244D7" w:rsidRPr="00EE5134">
        <w:rPr>
          <w:color w:val="auto"/>
          <w:szCs w:val="24"/>
        </w:rPr>
        <w:t xml:space="preserve"> and there was loss of movement of both thumbs so that the right and left thumb could not reach the base of the fifth finger, only reaching half the distance</w:t>
      </w:r>
      <w:r w:rsidR="001B6F90">
        <w:rPr>
          <w:color w:val="auto"/>
          <w:szCs w:val="24"/>
        </w:rPr>
        <w:t xml:space="preserve"> and</w:t>
      </w:r>
      <w:r w:rsidR="003244D7" w:rsidRPr="00EE5134">
        <w:rPr>
          <w:color w:val="auto"/>
          <w:szCs w:val="24"/>
        </w:rPr>
        <w:t xml:space="preserve"> without Deluca observations</w:t>
      </w:r>
      <w:r w:rsidR="001B6F90">
        <w:rPr>
          <w:color w:val="auto"/>
          <w:szCs w:val="24"/>
        </w:rPr>
        <w:t>.  However</w:t>
      </w:r>
      <w:r w:rsidR="008C721C">
        <w:rPr>
          <w:color w:val="auto"/>
          <w:szCs w:val="24"/>
        </w:rPr>
        <w:t xml:space="preserve"> the actual ROM measurements of the right and left thumb were </w:t>
      </w:r>
      <w:r w:rsidR="001B6F90">
        <w:rPr>
          <w:color w:val="auto"/>
          <w:szCs w:val="24"/>
        </w:rPr>
        <w:t xml:space="preserve">documented as </w:t>
      </w:r>
      <w:r w:rsidR="008C721C">
        <w:rPr>
          <w:color w:val="auto"/>
          <w:szCs w:val="24"/>
        </w:rPr>
        <w:t>normal</w:t>
      </w:r>
      <w:r w:rsidR="003244D7" w:rsidRPr="00EE5134">
        <w:rPr>
          <w:color w:val="auto"/>
          <w:szCs w:val="24"/>
        </w:rPr>
        <w:t xml:space="preserve">.  </w:t>
      </w:r>
      <w:r w:rsidR="00387B7F" w:rsidRPr="00EE5134">
        <w:rPr>
          <w:color w:val="auto"/>
          <w:szCs w:val="24"/>
        </w:rPr>
        <w:t xml:space="preserve">There </w:t>
      </w:r>
      <w:r w:rsidR="003244D7" w:rsidRPr="00EE5134">
        <w:rPr>
          <w:color w:val="auto"/>
          <w:szCs w:val="24"/>
        </w:rPr>
        <w:t>was</w:t>
      </w:r>
      <w:r w:rsidR="00387B7F" w:rsidRPr="00EE5134">
        <w:rPr>
          <w:color w:val="auto"/>
          <w:szCs w:val="24"/>
        </w:rPr>
        <w:t xml:space="preserve"> loss of strength in the </w:t>
      </w:r>
      <w:r w:rsidR="001B6F90">
        <w:rPr>
          <w:color w:val="auto"/>
          <w:szCs w:val="24"/>
        </w:rPr>
        <w:t xml:space="preserve">left </w:t>
      </w:r>
      <w:r w:rsidR="00387B7F" w:rsidRPr="00EE5134">
        <w:rPr>
          <w:color w:val="auto"/>
          <w:szCs w:val="24"/>
        </w:rPr>
        <w:t>forearm and the left hand</w:t>
      </w:r>
      <w:r w:rsidR="003244D7" w:rsidRPr="00EE5134">
        <w:rPr>
          <w:color w:val="auto"/>
          <w:szCs w:val="24"/>
        </w:rPr>
        <w:t xml:space="preserve"> </w:t>
      </w:r>
      <w:r w:rsidR="001B6F90">
        <w:rPr>
          <w:color w:val="auto"/>
          <w:szCs w:val="24"/>
        </w:rPr>
        <w:t xml:space="preserve">had a motor deficit, </w:t>
      </w:r>
      <w:r w:rsidR="003244D7" w:rsidRPr="00EE5134">
        <w:rPr>
          <w:color w:val="auto"/>
          <w:szCs w:val="24"/>
        </w:rPr>
        <w:t>3 of 5</w:t>
      </w:r>
      <w:r w:rsidR="001B6F90">
        <w:rPr>
          <w:color w:val="auto"/>
          <w:szCs w:val="24"/>
        </w:rPr>
        <w:t>,</w:t>
      </w:r>
      <w:r w:rsidR="003244D7" w:rsidRPr="00EE5134">
        <w:rPr>
          <w:color w:val="auto"/>
          <w:szCs w:val="24"/>
        </w:rPr>
        <w:t xml:space="preserve"> with motor testing</w:t>
      </w:r>
      <w:r w:rsidR="00387B7F" w:rsidRPr="00EE5134">
        <w:rPr>
          <w:color w:val="auto"/>
          <w:szCs w:val="24"/>
        </w:rPr>
        <w:t>.</w:t>
      </w:r>
      <w:r w:rsidR="00930776">
        <w:rPr>
          <w:color w:val="auto"/>
          <w:szCs w:val="24"/>
        </w:rPr>
        <w:t xml:space="preserve">  </w:t>
      </w:r>
      <w:r w:rsidR="001F5E79">
        <w:rPr>
          <w:color w:val="auto"/>
          <w:szCs w:val="24"/>
        </w:rPr>
        <w:t>X</w:t>
      </w:r>
      <w:r w:rsidR="003244D7" w:rsidRPr="00EE5134">
        <w:rPr>
          <w:color w:val="auto"/>
          <w:szCs w:val="24"/>
        </w:rPr>
        <w:t xml:space="preserve">-rays of the </w:t>
      </w:r>
      <w:r w:rsidR="00EE5134">
        <w:rPr>
          <w:color w:val="auto"/>
          <w:szCs w:val="24"/>
        </w:rPr>
        <w:t>r</w:t>
      </w:r>
      <w:r w:rsidR="00387B7F" w:rsidRPr="00EE5134">
        <w:rPr>
          <w:color w:val="auto"/>
          <w:szCs w:val="24"/>
        </w:rPr>
        <w:t xml:space="preserve">ight </w:t>
      </w:r>
      <w:r w:rsidR="003244D7" w:rsidRPr="00EE5134">
        <w:rPr>
          <w:color w:val="auto"/>
          <w:szCs w:val="24"/>
        </w:rPr>
        <w:t xml:space="preserve">and left </w:t>
      </w:r>
      <w:r w:rsidR="00387B7F" w:rsidRPr="00EE5134">
        <w:rPr>
          <w:color w:val="auto"/>
          <w:szCs w:val="24"/>
        </w:rPr>
        <w:t>hand</w:t>
      </w:r>
      <w:r w:rsidR="003244D7" w:rsidRPr="00EE5134">
        <w:rPr>
          <w:color w:val="auto"/>
          <w:szCs w:val="24"/>
        </w:rPr>
        <w:t xml:space="preserve"> revealed s</w:t>
      </w:r>
      <w:r w:rsidR="00387B7F" w:rsidRPr="00EE5134">
        <w:rPr>
          <w:color w:val="auto"/>
          <w:szCs w:val="24"/>
        </w:rPr>
        <w:t>cattered metallic fragments</w:t>
      </w:r>
      <w:r w:rsidR="003244D7" w:rsidRPr="00EE5134">
        <w:rPr>
          <w:color w:val="auto"/>
          <w:szCs w:val="24"/>
        </w:rPr>
        <w:t xml:space="preserve"> status </w:t>
      </w:r>
      <w:r w:rsidR="00387B7F" w:rsidRPr="00EE5134">
        <w:rPr>
          <w:color w:val="auto"/>
          <w:szCs w:val="24"/>
        </w:rPr>
        <w:t>post old shrapnel wound.</w:t>
      </w:r>
    </w:p>
    <w:p w:rsidR="00B4615A" w:rsidRDefault="00B4615A" w:rsidP="00FB00AD">
      <w:pPr>
        <w:tabs>
          <w:tab w:val="left" w:pos="288"/>
          <w:tab w:val="left" w:pos="4752"/>
        </w:tabs>
        <w:jc w:val="both"/>
        <w:rPr>
          <w:rFonts w:cs="Times New Roman"/>
          <w:color w:val="auto"/>
        </w:rPr>
      </w:pPr>
    </w:p>
    <w:p w:rsidR="00A772A3" w:rsidRPr="007F37B3" w:rsidRDefault="00A60425" w:rsidP="001327AC">
      <w:pPr>
        <w:tabs>
          <w:tab w:val="left" w:pos="288"/>
          <w:tab w:val="left" w:pos="4752"/>
        </w:tabs>
        <w:jc w:val="both"/>
        <w:rPr>
          <w:color w:val="auto"/>
          <w:szCs w:val="24"/>
        </w:rPr>
      </w:pPr>
      <w:r w:rsidRPr="002B5ACF">
        <w:rPr>
          <w:color w:val="auto"/>
        </w:rPr>
        <w:t xml:space="preserve">The Board directs attention to its rating recommendations based on the above evidence which includes consideration of functional loss lAW VASRD §4.10, §4.40, §4.45 and §4.59.  The Board notes that the MEB was complete, well documented, and compliant with VASRD §4.46 (accurate measurement).  The exam was similar in terms </w:t>
      </w:r>
      <w:r w:rsidR="001B6F90">
        <w:rPr>
          <w:color w:val="auto"/>
        </w:rPr>
        <w:t>to the</w:t>
      </w:r>
      <w:r w:rsidRPr="002B5ACF">
        <w:rPr>
          <w:color w:val="auto"/>
        </w:rPr>
        <w:t xml:space="preserve"> ratable data </w:t>
      </w:r>
      <w:r w:rsidR="001B6F90">
        <w:rPr>
          <w:color w:val="auto"/>
        </w:rPr>
        <w:t>in the</w:t>
      </w:r>
      <w:r w:rsidRPr="002B5ACF">
        <w:rPr>
          <w:color w:val="auto"/>
        </w:rPr>
        <w:t xml:space="preserve"> occupational therapy exam completed for the MEB, consistent with corroborating evidence, consistent with the other collateral physical findings, consistent with the diagnostic and clinical pathology in </w:t>
      </w:r>
      <w:r w:rsidRPr="002B5ACF">
        <w:rPr>
          <w:color w:val="auto"/>
        </w:rPr>
        <w:lastRenderedPageBreak/>
        <w:t xml:space="preserve">evidence and more complete than the VA exam.  </w:t>
      </w:r>
      <w:r w:rsidR="001F619D">
        <w:rPr>
          <w:color w:val="auto"/>
        </w:rPr>
        <w:t xml:space="preserve">While the orthopedic exam cited excellent postsurgical results, the Board notes the limited wrist ROM’s documented in the orthopedic exam corroborated with the OT MEB exam and further the orthopedic examiner opined the injury needed more time to recover and recommended the CI be placed on a TDRL.  </w:t>
      </w:r>
      <w:r w:rsidRPr="002B5ACF">
        <w:rPr>
          <w:color w:val="auto"/>
        </w:rPr>
        <w:t xml:space="preserve">Therefore, based on all evidence and associated conclusions just elaborated, the Board is assigning preponderant probative value to the MEB evaluation. </w:t>
      </w:r>
      <w:r w:rsidR="00C80DDC" w:rsidRPr="002B5ACF">
        <w:rPr>
          <w:color w:val="auto"/>
        </w:rPr>
        <w:t xml:space="preserve"> </w:t>
      </w:r>
      <w:r w:rsidR="001906DD" w:rsidRPr="002B5ACF">
        <w:rPr>
          <w:rFonts w:eastAsiaTheme="minorEastAsia"/>
          <w:color w:val="auto"/>
          <w:szCs w:val="24"/>
        </w:rPr>
        <w:t>The PEB and VA chose different coding options for</w:t>
      </w:r>
      <w:r w:rsidR="00C80DDC" w:rsidRPr="002B5ACF">
        <w:rPr>
          <w:rFonts w:eastAsiaTheme="minorEastAsia"/>
          <w:color w:val="auto"/>
          <w:szCs w:val="24"/>
        </w:rPr>
        <w:t xml:space="preserve"> the multiple retained</w:t>
      </w:r>
      <w:r w:rsidR="001906DD" w:rsidRPr="002B5ACF">
        <w:rPr>
          <w:rFonts w:eastAsiaTheme="minorEastAsia"/>
          <w:color w:val="auto"/>
          <w:szCs w:val="24"/>
        </w:rPr>
        <w:t xml:space="preserve"> </w:t>
      </w:r>
      <w:r w:rsidR="006B504E" w:rsidRPr="002B5ACF">
        <w:rPr>
          <w:rFonts w:eastAsiaTheme="minorEastAsia"/>
          <w:color w:val="auto"/>
          <w:szCs w:val="24"/>
        </w:rPr>
        <w:t>shrapnel injur</w:t>
      </w:r>
      <w:r w:rsidR="00C80DDC" w:rsidRPr="002B5ACF">
        <w:rPr>
          <w:rFonts w:eastAsiaTheme="minorEastAsia"/>
          <w:color w:val="auto"/>
          <w:szCs w:val="24"/>
        </w:rPr>
        <w:t>ies</w:t>
      </w:r>
      <w:r w:rsidR="001906DD" w:rsidRPr="002B5ACF">
        <w:rPr>
          <w:rFonts w:eastAsiaTheme="minorEastAsia"/>
          <w:color w:val="auto"/>
          <w:szCs w:val="24"/>
        </w:rPr>
        <w:t xml:space="preserve"> condition.  The PEB </w:t>
      </w:r>
      <w:r w:rsidR="006B504E" w:rsidRPr="002B5ACF">
        <w:rPr>
          <w:rFonts w:eastAsiaTheme="minorEastAsia"/>
          <w:color w:val="auto"/>
          <w:szCs w:val="24"/>
        </w:rPr>
        <w:t xml:space="preserve">bundled the </w:t>
      </w:r>
      <w:r w:rsidR="0045031C" w:rsidRPr="002B5ACF">
        <w:rPr>
          <w:rFonts w:eastAsiaTheme="minorEastAsia"/>
          <w:color w:val="auto"/>
          <w:szCs w:val="24"/>
        </w:rPr>
        <w:t xml:space="preserve">shrapnel </w:t>
      </w:r>
      <w:r w:rsidR="006B504E" w:rsidRPr="002B5ACF">
        <w:rPr>
          <w:rFonts w:eastAsiaTheme="minorEastAsia"/>
          <w:color w:val="auto"/>
          <w:szCs w:val="24"/>
        </w:rPr>
        <w:t>conditions</w:t>
      </w:r>
      <w:r w:rsidR="00C80DDC" w:rsidRPr="002B5ACF">
        <w:rPr>
          <w:rFonts w:eastAsiaTheme="minorEastAsia"/>
          <w:color w:val="auto"/>
          <w:szCs w:val="24"/>
        </w:rPr>
        <w:t>,</w:t>
      </w:r>
      <w:r w:rsidR="006B504E" w:rsidRPr="002B5ACF">
        <w:rPr>
          <w:rFonts w:eastAsiaTheme="minorEastAsia"/>
          <w:color w:val="auto"/>
          <w:szCs w:val="24"/>
        </w:rPr>
        <w:t xml:space="preserve"> </w:t>
      </w:r>
      <w:r w:rsidR="001906DD" w:rsidRPr="002B5ACF">
        <w:rPr>
          <w:rFonts w:eastAsiaTheme="minorEastAsia"/>
          <w:color w:val="auto"/>
          <w:szCs w:val="24"/>
        </w:rPr>
        <w:t xml:space="preserve">rated </w:t>
      </w:r>
      <w:r w:rsidR="0045031C" w:rsidRPr="002B5ACF">
        <w:rPr>
          <w:rFonts w:eastAsiaTheme="minorEastAsia"/>
          <w:color w:val="auto"/>
          <w:szCs w:val="24"/>
        </w:rPr>
        <w:t xml:space="preserve">10% </w:t>
      </w:r>
      <w:r w:rsidR="001906DD" w:rsidRPr="002B5ACF">
        <w:rPr>
          <w:rFonts w:eastAsiaTheme="minorEastAsia"/>
          <w:color w:val="auto"/>
          <w:szCs w:val="24"/>
        </w:rPr>
        <w:t xml:space="preserve">and coded </w:t>
      </w:r>
      <w:r w:rsidR="006B504E" w:rsidRPr="002B5ACF">
        <w:rPr>
          <w:rFonts w:eastAsiaTheme="minorEastAsia"/>
          <w:color w:val="auto"/>
          <w:szCs w:val="24"/>
        </w:rPr>
        <w:t>with the 5003 code (</w:t>
      </w:r>
      <w:r w:rsidR="006B504E" w:rsidRPr="002B5ACF">
        <w:rPr>
          <w:color w:val="auto"/>
          <w:szCs w:val="24"/>
        </w:rPr>
        <w:t xml:space="preserve">Arthritis, degenerative) </w:t>
      </w:r>
      <w:r w:rsidR="0045031C" w:rsidRPr="002B5ACF">
        <w:rPr>
          <w:color w:val="auto"/>
          <w:szCs w:val="24"/>
        </w:rPr>
        <w:t xml:space="preserve">which </w:t>
      </w:r>
      <w:r w:rsidR="006B504E" w:rsidRPr="002B5ACF">
        <w:rPr>
          <w:rFonts w:eastAsiaTheme="minorEastAsia"/>
          <w:color w:val="auto"/>
          <w:szCs w:val="24"/>
        </w:rPr>
        <w:t>includ</w:t>
      </w:r>
      <w:r w:rsidR="0045031C" w:rsidRPr="002B5ACF">
        <w:rPr>
          <w:rFonts w:eastAsiaTheme="minorEastAsia"/>
          <w:color w:val="auto"/>
          <w:szCs w:val="24"/>
        </w:rPr>
        <w:t>ed</w:t>
      </w:r>
      <w:r w:rsidR="006B504E" w:rsidRPr="002B5ACF">
        <w:rPr>
          <w:rFonts w:eastAsiaTheme="minorEastAsia"/>
          <w:color w:val="auto"/>
          <w:szCs w:val="24"/>
        </w:rPr>
        <w:t xml:space="preserve"> the left forearm condition</w:t>
      </w:r>
      <w:r w:rsidR="001906DD" w:rsidRPr="002B5ACF">
        <w:rPr>
          <w:rFonts w:eastAsiaTheme="minorEastAsia"/>
          <w:color w:val="auto"/>
          <w:szCs w:val="24"/>
        </w:rPr>
        <w:t xml:space="preserve"> IAW VASRD</w:t>
      </w:r>
      <w:r w:rsidR="0045031C" w:rsidRPr="002B5ACF">
        <w:rPr>
          <w:color w:val="auto"/>
          <w:szCs w:val="24"/>
        </w:rPr>
        <w:t xml:space="preserve"> §4.71a—Schedule of </w:t>
      </w:r>
      <w:r w:rsidR="00EE255C" w:rsidRPr="002B5ACF">
        <w:rPr>
          <w:color w:val="auto"/>
          <w:szCs w:val="24"/>
        </w:rPr>
        <w:t>Ratings–Musculoskeletal System</w:t>
      </w:r>
      <w:r w:rsidR="0045031C" w:rsidRPr="002B5ACF">
        <w:rPr>
          <w:color w:val="auto"/>
          <w:szCs w:val="24"/>
        </w:rPr>
        <w:t>.</w:t>
      </w:r>
      <w:r w:rsidR="001906DD" w:rsidRPr="002B5ACF">
        <w:rPr>
          <w:rFonts w:eastAsiaTheme="minorEastAsia"/>
          <w:color w:val="auto"/>
          <w:szCs w:val="24"/>
        </w:rPr>
        <w:t xml:space="preserve">  The VA coded and rated </w:t>
      </w:r>
      <w:r w:rsidR="0045031C" w:rsidRPr="002B5ACF">
        <w:rPr>
          <w:rFonts w:eastAsiaTheme="minorEastAsia"/>
          <w:color w:val="auto"/>
          <w:szCs w:val="24"/>
        </w:rPr>
        <w:t>each shrapnel injury</w:t>
      </w:r>
      <w:r w:rsidR="0045031C" w:rsidRPr="00F31F90">
        <w:rPr>
          <w:rFonts w:eastAsiaTheme="minorEastAsia"/>
          <w:color w:val="auto"/>
          <w:szCs w:val="24"/>
        </w:rPr>
        <w:t xml:space="preserve">.  </w:t>
      </w:r>
      <w:r w:rsidR="00C80DDC" w:rsidRPr="00F31F90">
        <w:rPr>
          <w:rFonts w:eastAsiaTheme="minorEastAsia"/>
          <w:color w:val="auto"/>
          <w:szCs w:val="24"/>
        </w:rPr>
        <w:t xml:space="preserve">The Board notes the VA unbundled each system impacting the left forearm condition to maximize the rating for the CI.  </w:t>
      </w:r>
      <w:r w:rsidR="006D1CAE" w:rsidRPr="00F31F90">
        <w:rPr>
          <w:rFonts w:eastAsiaTheme="minorEastAsia"/>
          <w:color w:val="auto"/>
          <w:szCs w:val="24"/>
        </w:rPr>
        <w:t>The VA</w:t>
      </w:r>
      <w:r w:rsidR="0045031C" w:rsidRPr="00F31F90">
        <w:rPr>
          <w:rFonts w:eastAsiaTheme="minorEastAsia"/>
          <w:color w:val="auto"/>
          <w:szCs w:val="24"/>
        </w:rPr>
        <w:t xml:space="preserve"> </w:t>
      </w:r>
      <w:r w:rsidR="006D1CAE" w:rsidRPr="00F31F90">
        <w:rPr>
          <w:rFonts w:eastAsiaTheme="minorEastAsia"/>
          <w:color w:val="auto"/>
          <w:szCs w:val="24"/>
        </w:rPr>
        <w:t>first</w:t>
      </w:r>
      <w:r w:rsidR="0045031C" w:rsidRPr="00F31F90">
        <w:rPr>
          <w:rFonts w:eastAsiaTheme="minorEastAsia"/>
          <w:color w:val="auto"/>
          <w:szCs w:val="24"/>
        </w:rPr>
        <w:t xml:space="preserve"> rated </w:t>
      </w:r>
      <w:r w:rsidR="006D1CAE" w:rsidRPr="00F31F90">
        <w:rPr>
          <w:rFonts w:eastAsiaTheme="minorEastAsia"/>
          <w:color w:val="auto"/>
          <w:szCs w:val="24"/>
        </w:rPr>
        <w:t xml:space="preserve">scar, left distal forearm </w:t>
      </w:r>
      <w:r w:rsidR="0045031C" w:rsidRPr="00F31F90">
        <w:rPr>
          <w:rFonts w:eastAsiaTheme="minorEastAsia"/>
          <w:color w:val="auto"/>
          <w:szCs w:val="24"/>
        </w:rPr>
        <w:t xml:space="preserve">20% </w:t>
      </w:r>
      <w:r w:rsidR="006D1CAE" w:rsidRPr="00F31F90">
        <w:rPr>
          <w:rFonts w:eastAsiaTheme="minorEastAsia"/>
          <w:color w:val="auto"/>
          <w:szCs w:val="24"/>
        </w:rPr>
        <w:t xml:space="preserve">with </w:t>
      </w:r>
      <w:r w:rsidR="0045031C" w:rsidRPr="00F31F90">
        <w:rPr>
          <w:rFonts w:eastAsiaTheme="minorEastAsia"/>
          <w:color w:val="auto"/>
          <w:szCs w:val="24"/>
        </w:rPr>
        <w:t>code 5228</w:t>
      </w:r>
      <w:r w:rsidR="001B6F90" w:rsidRPr="00F31F90">
        <w:rPr>
          <w:rFonts w:eastAsiaTheme="minorEastAsia"/>
          <w:color w:val="auto"/>
          <w:szCs w:val="24"/>
        </w:rPr>
        <w:t xml:space="preserve"> </w:t>
      </w:r>
      <w:r w:rsidR="006D1CAE" w:rsidRPr="00F31F90">
        <w:rPr>
          <w:rFonts w:eastAsiaTheme="minorEastAsia"/>
          <w:color w:val="auto"/>
          <w:szCs w:val="24"/>
        </w:rPr>
        <w:t>(</w:t>
      </w:r>
      <w:r w:rsidR="006D1CAE" w:rsidRPr="00F31F90">
        <w:rPr>
          <w:color w:val="auto"/>
          <w:szCs w:val="24"/>
        </w:rPr>
        <w:t>Thumb, limitation of motion)</w:t>
      </w:r>
      <w:r w:rsidR="00F31F90" w:rsidRPr="00F31F90">
        <w:rPr>
          <w:color w:val="auto"/>
          <w:szCs w:val="24"/>
        </w:rPr>
        <w:t xml:space="preserve"> IAW §4.71a—Schedule of ratings–musculoskeletal system</w:t>
      </w:r>
      <w:r w:rsidR="006D1CAE" w:rsidRPr="00F31F90">
        <w:rPr>
          <w:color w:val="auto"/>
          <w:szCs w:val="24"/>
        </w:rPr>
        <w:t xml:space="preserve">.  </w:t>
      </w:r>
      <w:r w:rsidR="006D1CAE" w:rsidRPr="00F31F90">
        <w:rPr>
          <w:rFonts w:eastAsiaTheme="minorEastAsia"/>
          <w:color w:val="auto"/>
          <w:szCs w:val="24"/>
        </w:rPr>
        <w:t>While the decision cited</w:t>
      </w:r>
      <w:r w:rsidR="0045031C" w:rsidRPr="00F31F90">
        <w:rPr>
          <w:rFonts w:eastAsiaTheme="minorEastAsia"/>
          <w:color w:val="auto"/>
          <w:szCs w:val="24"/>
        </w:rPr>
        <w:t xml:space="preserve"> the residual scar limiting motion with an area or areas exceeding 12 square inches</w:t>
      </w:r>
      <w:r w:rsidR="006D1CAE" w:rsidRPr="00F31F90">
        <w:rPr>
          <w:rFonts w:eastAsiaTheme="minorEastAsia"/>
          <w:color w:val="auto"/>
          <w:szCs w:val="24"/>
        </w:rPr>
        <w:t xml:space="preserve"> IAW §4.118</w:t>
      </w:r>
      <w:r w:rsidR="006D1CAE" w:rsidRPr="006D1CAE">
        <w:rPr>
          <w:rFonts w:eastAsiaTheme="minorEastAsia"/>
          <w:color w:val="auto"/>
          <w:szCs w:val="24"/>
        </w:rPr>
        <w:t>—Schedule of ratings–skin</w:t>
      </w:r>
      <w:r w:rsidR="006D1CAE">
        <w:rPr>
          <w:rFonts w:eastAsiaTheme="minorEastAsia"/>
          <w:color w:val="auto"/>
          <w:szCs w:val="24"/>
        </w:rPr>
        <w:t xml:space="preserve">, the VA </w:t>
      </w:r>
      <w:r w:rsidR="00F31F90">
        <w:rPr>
          <w:rFonts w:eastAsiaTheme="minorEastAsia"/>
          <w:color w:val="auto"/>
          <w:szCs w:val="24"/>
        </w:rPr>
        <w:t>chose to use</w:t>
      </w:r>
      <w:r w:rsidR="006D1CAE">
        <w:rPr>
          <w:rFonts w:eastAsiaTheme="minorEastAsia"/>
          <w:color w:val="auto"/>
          <w:szCs w:val="24"/>
        </w:rPr>
        <w:t xml:space="preserve"> the musculoskeletal code for the disabling effect the scar caused</w:t>
      </w:r>
      <w:r w:rsidR="001F619D">
        <w:rPr>
          <w:rFonts w:eastAsiaTheme="minorEastAsia"/>
          <w:color w:val="auto"/>
          <w:szCs w:val="24"/>
        </w:rPr>
        <w:t xml:space="preserve">, limitation of motion of the thumb, </w:t>
      </w:r>
      <w:r w:rsidR="00F31F90">
        <w:rPr>
          <w:rFonts w:eastAsiaTheme="minorEastAsia"/>
          <w:color w:val="auto"/>
          <w:szCs w:val="24"/>
        </w:rPr>
        <w:t xml:space="preserve">likely for </w:t>
      </w:r>
      <w:r w:rsidR="001F619D">
        <w:rPr>
          <w:rFonts w:eastAsiaTheme="minorEastAsia"/>
          <w:color w:val="auto"/>
          <w:szCs w:val="24"/>
        </w:rPr>
        <w:t>the</w:t>
      </w:r>
      <w:r w:rsidR="00F31F90">
        <w:rPr>
          <w:rFonts w:eastAsiaTheme="minorEastAsia"/>
          <w:color w:val="auto"/>
          <w:szCs w:val="24"/>
        </w:rPr>
        <w:t xml:space="preserve"> higher rating</w:t>
      </w:r>
      <w:r w:rsidR="006D1CAE">
        <w:rPr>
          <w:rFonts w:eastAsiaTheme="minorEastAsia"/>
          <w:color w:val="auto"/>
          <w:szCs w:val="24"/>
        </w:rPr>
        <w:t xml:space="preserve">.  </w:t>
      </w:r>
      <w:r w:rsidR="00F31F90">
        <w:rPr>
          <w:rFonts w:eastAsiaTheme="minorEastAsia"/>
          <w:color w:val="auto"/>
          <w:szCs w:val="24"/>
        </w:rPr>
        <w:t>The VA next rated ulnar neuropathy left upper extremity</w:t>
      </w:r>
      <w:r w:rsidR="001D62EC">
        <w:rPr>
          <w:rFonts w:eastAsiaTheme="minorEastAsia"/>
          <w:color w:val="auto"/>
          <w:szCs w:val="24"/>
        </w:rPr>
        <w:t xml:space="preserve"> </w:t>
      </w:r>
      <w:r w:rsidR="0045031C" w:rsidRPr="002B5ACF">
        <w:rPr>
          <w:rFonts w:eastAsiaTheme="minorEastAsia"/>
          <w:color w:val="auto"/>
          <w:szCs w:val="24"/>
        </w:rPr>
        <w:t xml:space="preserve">10% </w:t>
      </w:r>
      <w:r w:rsidR="00F31F90">
        <w:rPr>
          <w:rFonts w:eastAsiaTheme="minorEastAsia"/>
          <w:color w:val="auto"/>
          <w:szCs w:val="24"/>
        </w:rPr>
        <w:t>with code</w:t>
      </w:r>
      <w:r w:rsidR="0045031C" w:rsidRPr="002B5ACF">
        <w:rPr>
          <w:rFonts w:eastAsiaTheme="minorEastAsia"/>
          <w:color w:val="auto"/>
          <w:szCs w:val="24"/>
        </w:rPr>
        <w:t xml:space="preserve"> 8516 (</w:t>
      </w:r>
      <w:r w:rsidR="00930776">
        <w:rPr>
          <w:rFonts w:eastAsiaTheme="minorEastAsia"/>
          <w:color w:val="auto"/>
          <w:szCs w:val="24"/>
        </w:rPr>
        <w:t>U</w:t>
      </w:r>
      <w:r w:rsidR="00340CA6" w:rsidRPr="002B5ACF">
        <w:rPr>
          <w:rFonts w:eastAsiaTheme="minorEastAsia"/>
          <w:color w:val="auto"/>
          <w:szCs w:val="24"/>
        </w:rPr>
        <w:t>lnar nerve, paralysis of)</w:t>
      </w:r>
      <w:r w:rsidR="0045031C" w:rsidRPr="002B5ACF">
        <w:rPr>
          <w:rFonts w:eastAsiaTheme="minorEastAsia"/>
          <w:color w:val="auto"/>
          <w:szCs w:val="24"/>
        </w:rPr>
        <w:t xml:space="preserve"> </w:t>
      </w:r>
      <w:r w:rsidR="00340CA6" w:rsidRPr="002B5ACF">
        <w:rPr>
          <w:rFonts w:eastAsiaTheme="minorEastAsia"/>
          <w:color w:val="auto"/>
          <w:szCs w:val="24"/>
        </w:rPr>
        <w:t xml:space="preserve">IAW §4.124a—Schedule of ratings–neurological conditions and convulsive disorders for a §4.25 combined rating of 30%.  The Board deliberated </w:t>
      </w:r>
      <w:r w:rsidR="00340CA6" w:rsidRPr="001327AC">
        <w:rPr>
          <w:rFonts w:eastAsiaTheme="minorEastAsia"/>
          <w:color w:val="auto"/>
          <w:szCs w:val="24"/>
        </w:rPr>
        <w:t xml:space="preserve">on how best to code the CI’s left forearm condition.  By precedent, the Board does not recommend separation rating for scars unless their presence imposes a direct on limitation on fitness.  There was clear evidence that the functional </w:t>
      </w:r>
      <w:r w:rsidR="00F31F90">
        <w:rPr>
          <w:rFonts w:eastAsiaTheme="minorEastAsia"/>
          <w:color w:val="auto"/>
          <w:szCs w:val="24"/>
        </w:rPr>
        <w:t>impairments</w:t>
      </w:r>
      <w:r w:rsidR="00340CA6" w:rsidRPr="001327AC">
        <w:rPr>
          <w:rFonts w:eastAsiaTheme="minorEastAsia"/>
          <w:color w:val="auto"/>
          <w:szCs w:val="24"/>
        </w:rPr>
        <w:t xml:space="preserve"> from the left forearm injury w</w:t>
      </w:r>
      <w:r w:rsidR="00F31F90">
        <w:rPr>
          <w:rFonts w:eastAsiaTheme="minorEastAsia"/>
          <w:color w:val="auto"/>
          <w:szCs w:val="24"/>
        </w:rPr>
        <w:t>ere</w:t>
      </w:r>
      <w:r w:rsidR="00340CA6" w:rsidRPr="001327AC">
        <w:rPr>
          <w:rFonts w:eastAsiaTheme="minorEastAsia"/>
          <w:color w:val="auto"/>
          <w:szCs w:val="24"/>
        </w:rPr>
        <w:t xml:space="preserve"> pain, weakness of the forearm, weakness</w:t>
      </w:r>
      <w:r w:rsidRPr="001327AC">
        <w:rPr>
          <w:rFonts w:eastAsiaTheme="minorEastAsia"/>
          <w:color w:val="auto"/>
          <w:szCs w:val="24"/>
        </w:rPr>
        <w:t xml:space="preserve"> of the</w:t>
      </w:r>
      <w:r w:rsidR="00340CA6" w:rsidRPr="001327AC">
        <w:rPr>
          <w:rFonts w:eastAsiaTheme="minorEastAsia"/>
          <w:color w:val="auto"/>
          <w:szCs w:val="24"/>
        </w:rPr>
        <w:t xml:space="preserve"> hand affecting grip </w:t>
      </w:r>
      <w:r w:rsidR="00340CA6" w:rsidRPr="007C0A22">
        <w:rPr>
          <w:rFonts w:eastAsiaTheme="minorEastAsia"/>
          <w:color w:val="auto"/>
          <w:szCs w:val="24"/>
        </w:rPr>
        <w:t>strength</w:t>
      </w:r>
      <w:r w:rsidRPr="007C0A22">
        <w:rPr>
          <w:rFonts w:eastAsiaTheme="minorEastAsia"/>
          <w:color w:val="auto"/>
          <w:szCs w:val="24"/>
        </w:rPr>
        <w:t xml:space="preserve">, non compensable limited ROM of the </w:t>
      </w:r>
      <w:r w:rsidR="00C80DDC" w:rsidRPr="007C0A22">
        <w:rPr>
          <w:rFonts w:eastAsiaTheme="minorEastAsia"/>
          <w:color w:val="auto"/>
          <w:szCs w:val="24"/>
        </w:rPr>
        <w:t xml:space="preserve">left </w:t>
      </w:r>
      <w:r w:rsidRPr="007C0A22">
        <w:rPr>
          <w:rFonts w:eastAsiaTheme="minorEastAsia"/>
          <w:color w:val="auto"/>
          <w:szCs w:val="24"/>
        </w:rPr>
        <w:t xml:space="preserve">wrist and </w:t>
      </w:r>
      <w:r w:rsidR="00340CA6" w:rsidRPr="007C0A22">
        <w:rPr>
          <w:rFonts w:eastAsiaTheme="minorEastAsia"/>
          <w:color w:val="auto"/>
          <w:szCs w:val="24"/>
        </w:rPr>
        <w:t>sensory deficits</w:t>
      </w:r>
      <w:r w:rsidRPr="007C0A22">
        <w:rPr>
          <w:rFonts w:eastAsiaTheme="minorEastAsia"/>
          <w:color w:val="auto"/>
          <w:szCs w:val="24"/>
        </w:rPr>
        <w:t xml:space="preserve"> specifically in the ulnar nerve distribution.</w:t>
      </w:r>
      <w:r w:rsidR="00340CA6" w:rsidRPr="007C0A22">
        <w:rPr>
          <w:rFonts w:eastAsiaTheme="minorEastAsia"/>
          <w:color w:val="auto"/>
          <w:szCs w:val="24"/>
        </w:rPr>
        <w:t xml:space="preserve"> </w:t>
      </w:r>
      <w:r w:rsidR="00C80DDC" w:rsidRPr="007C0A22">
        <w:rPr>
          <w:color w:val="auto"/>
          <w:szCs w:val="24"/>
        </w:rPr>
        <w:t xml:space="preserve"> </w:t>
      </w:r>
      <w:r w:rsidR="007C0A22" w:rsidRPr="007C0A22">
        <w:rPr>
          <w:color w:val="auto"/>
          <w:szCs w:val="24"/>
        </w:rPr>
        <w:t>The Board agreed t</w:t>
      </w:r>
      <w:r w:rsidR="001906DD" w:rsidRPr="007C0A22">
        <w:rPr>
          <w:rFonts w:eastAsiaTheme="minorEastAsia"/>
          <w:color w:val="auto"/>
          <w:szCs w:val="24"/>
        </w:rPr>
        <w:t>he 53</w:t>
      </w:r>
      <w:r w:rsidR="00C80DDC" w:rsidRPr="007C0A22">
        <w:rPr>
          <w:rFonts w:eastAsiaTheme="minorEastAsia"/>
          <w:color w:val="auto"/>
          <w:szCs w:val="24"/>
        </w:rPr>
        <w:t>07</w:t>
      </w:r>
      <w:r w:rsidR="007C0A22" w:rsidRPr="007C0A22">
        <w:rPr>
          <w:rFonts w:eastAsiaTheme="minorEastAsia"/>
          <w:color w:val="auto"/>
          <w:szCs w:val="24"/>
        </w:rPr>
        <w:t xml:space="preserve"> </w:t>
      </w:r>
      <w:r w:rsidR="007C0A22" w:rsidRPr="002B5ACF">
        <w:rPr>
          <w:rFonts w:eastAsiaTheme="minorEastAsia"/>
          <w:color w:val="auto"/>
          <w:szCs w:val="24"/>
        </w:rPr>
        <w:t xml:space="preserve">muscle </w:t>
      </w:r>
      <w:r w:rsidR="007C0A22" w:rsidRPr="007C0A22">
        <w:rPr>
          <w:rFonts w:eastAsiaTheme="minorEastAsia"/>
          <w:color w:val="auto"/>
          <w:szCs w:val="24"/>
        </w:rPr>
        <w:t>code (</w:t>
      </w:r>
      <w:r w:rsidR="007C0A22">
        <w:rPr>
          <w:color w:val="auto"/>
          <w:szCs w:val="24"/>
        </w:rPr>
        <w:t xml:space="preserve">Group VII </w:t>
      </w:r>
      <w:r w:rsidR="007C0A22" w:rsidRPr="007C0A22">
        <w:rPr>
          <w:iCs/>
          <w:color w:val="auto"/>
          <w:szCs w:val="24"/>
        </w:rPr>
        <w:t>Function</w:t>
      </w:r>
      <w:r w:rsidR="007C0A22" w:rsidRPr="007C0A22">
        <w:rPr>
          <w:color w:val="auto"/>
          <w:szCs w:val="24"/>
        </w:rPr>
        <w:t>: Flexion of wrist and fingers)</w:t>
      </w:r>
      <w:r w:rsidR="001906DD" w:rsidRPr="002B5ACF">
        <w:rPr>
          <w:rFonts w:eastAsiaTheme="minorEastAsia"/>
          <w:color w:val="auto"/>
          <w:szCs w:val="24"/>
        </w:rPr>
        <w:t xml:space="preserve"> </w:t>
      </w:r>
      <w:r w:rsidR="007C0A22">
        <w:rPr>
          <w:rFonts w:eastAsiaTheme="minorEastAsia"/>
          <w:color w:val="auto"/>
          <w:szCs w:val="24"/>
        </w:rPr>
        <w:t xml:space="preserve">IAW </w:t>
      </w:r>
      <w:r w:rsidR="007C0A22" w:rsidRPr="007C0A22">
        <w:rPr>
          <w:rFonts w:eastAsiaTheme="minorEastAsia"/>
          <w:color w:val="auto"/>
          <w:szCs w:val="24"/>
        </w:rPr>
        <w:t xml:space="preserve">§4.73—Schedule of Ratings–Muscle Injuries </w:t>
      </w:r>
      <w:r w:rsidR="001906DD" w:rsidRPr="007C0A22">
        <w:rPr>
          <w:rFonts w:eastAsiaTheme="minorEastAsia"/>
          <w:color w:val="auto"/>
          <w:szCs w:val="24"/>
        </w:rPr>
        <w:t>best captures the</w:t>
      </w:r>
      <w:r w:rsidR="00C80DDC" w:rsidRPr="007C0A22">
        <w:rPr>
          <w:rFonts w:eastAsiaTheme="minorEastAsia"/>
          <w:color w:val="auto"/>
          <w:szCs w:val="24"/>
        </w:rPr>
        <w:t xml:space="preserve"> weak flexion injuries of the wrist and fingers</w:t>
      </w:r>
      <w:r w:rsidR="001F619D" w:rsidRPr="007C0A22">
        <w:rPr>
          <w:rFonts w:eastAsiaTheme="minorEastAsia"/>
          <w:color w:val="auto"/>
          <w:szCs w:val="24"/>
        </w:rPr>
        <w:t xml:space="preserve"> and limitation of motion</w:t>
      </w:r>
      <w:r w:rsidR="00930776" w:rsidRPr="007C0A22">
        <w:rPr>
          <w:rFonts w:eastAsiaTheme="minorEastAsia"/>
          <w:color w:val="auto"/>
          <w:szCs w:val="24"/>
        </w:rPr>
        <w:t xml:space="preserve">; </w:t>
      </w:r>
      <w:r w:rsidR="001F619D" w:rsidRPr="007C0A22">
        <w:rPr>
          <w:rFonts w:eastAsiaTheme="minorEastAsia"/>
          <w:color w:val="auto"/>
          <w:szCs w:val="24"/>
        </w:rPr>
        <w:t>therefore</w:t>
      </w:r>
      <w:r w:rsidR="007F37B3">
        <w:rPr>
          <w:rFonts w:eastAsiaTheme="minorEastAsia"/>
          <w:color w:val="auto"/>
          <w:szCs w:val="24"/>
        </w:rPr>
        <w:t>,</w:t>
      </w:r>
      <w:r w:rsidR="001F619D" w:rsidRPr="007C0A22">
        <w:rPr>
          <w:color w:val="auto"/>
          <w:szCs w:val="24"/>
        </w:rPr>
        <w:t xml:space="preserve"> IAW §4.14</w:t>
      </w:r>
      <w:r w:rsidR="007C0A22" w:rsidRPr="007C0A22">
        <w:rPr>
          <w:rFonts w:eastAsiaTheme="minorEastAsia"/>
          <w:color w:val="auto"/>
          <w:szCs w:val="24"/>
        </w:rPr>
        <w:t xml:space="preserve">, </w:t>
      </w:r>
      <w:r w:rsidR="007C0A22">
        <w:rPr>
          <w:rFonts w:eastAsiaTheme="minorEastAsia"/>
          <w:color w:val="auto"/>
          <w:szCs w:val="24"/>
        </w:rPr>
        <w:t>(</w:t>
      </w:r>
      <w:r w:rsidR="007C0A22" w:rsidRPr="007C0A22">
        <w:rPr>
          <w:rFonts w:eastAsiaTheme="minorEastAsia"/>
          <w:color w:val="auto"/>
          <w:szCs w:val="24"/>
        </w:rPr>
        <w:t xml:space="preserve">avoidance of </w:t>
      </w:r>
      <w:r w:rsidR="007C0A22" w:rsidRPr="007C0A22">
        <w:rPr>
          <w:color w:val="auto"/>
          <w:szCs w:val="24"/>
        </w:rPr>
        <w:t>pyramiding</w:t>
      </w:r>
      <w:r w:rsidR="007C0A22">
        <w:rPr>
          <w:color w:val="auto"/>
          <w:szCs w:val="24"/>
        </w:rPr>
        <w:t>)</w:t>
      </w:r>
      <w:r w:rsidR="001F619D" w:rsidRPr="007C0A22">
        <w:rPr>
          <w:color w:val="auto"/>
          <w:szCs w:val="24"/>
        </w:rPr>
        <w:t xml:space="preserve"> </w:t>
      </w:r>
      <w:r w:rsidR="001F619D" w:rsidRPr="007C0A22">
        <w:rPr>
          <w:rFonts w:eastAsiaTheme="minorEastAsia"/>
          <w:color w:val="auto"/>
          <w:szCs w:val="24"/>
        </w:rPr>
        <w:t>the Board did not consider a scar code</w:t>
      </w:r>
      <w:r w:rsidR="00C80DDC" w:rsidRPr="007C0A22">
        <w:rPr>
          <w:rFonts w:eastAsiaTheme="minorEastAsia"/>
          <w:color w:val="auto"/>
          <w:szCs w:val="24"/>
        </w:rPr>
        <w:t>.</w:t>
      </w:r>
      <w:r w:rsidR="001906DD" w:rsidRPr="007C0A22">
        <w:rPr>
          <w:rFonts w:eastAsiaTheme="minorEastAsia"/>
          <w:color w:val="auto"/>
          <w:szCs w:val="24"/>
        </w:rPr>
        <w:t xml:space="preserve"> </w:t>
      </w:r>
      <w:r w:rsidR="00C80DDC" w:rsidRPr="007C0A22">
        <w:rPr>
          <w:rFonts w:eastAsiaTheme="minorEastAsia"/>
          <w:color w:val="auto"/>
          <w:szCs w:val="24"/>
        </w:rPr>
        <w:t xml:space="preserve"> </w:t>
      </w:r>
      <w:r w:rsidR="007C0A22" w:rsidRPr="007C0A22">
        <w:rPr>
          <w:color w:val="auto"/>
          <w:szCs w:val="24"/>
        </w:rPr>
        <w:t>When considering</w:t>
      </w:r>
      <w:r w:rsidR="001F5E79" w:rsidRPr="007C0A22">
        <w:rPr>
          <w:rFonts w:eastAsiaTheme="minorEastAsia"/>
          <w:color w:val="auto"/>
          <w:szCs w:val="24"/>
        </w:rPr>
        <w:t xml:space="preserve"> the application of §4.56—evaluation of muscle disabilities, </w:t>
      </w:r>
      <w:r w:rsidR="007C0A22" w:rsidRPr="007C0A22">
        <w:rPr>
          <w:rFonts w:eastAsiaTheme="minorEastAsia"/>
          <w:color w:val="auto"/>
          <w:szCs w:val="24"/>
        </w:rPr>
        <w:t>the Board notes in this case</w:t>
      </w:r>
      <w:r w:rsidR="001F5E79" w:rsidRPr="007C0A22">
        <w:rPr>
          <w:rFonts w:eastAsiaTheme="minorEastAsia"/>
          <w:color w:val="auto"/>
          <w:szCs w:val="24"/>
        </w:rPr>
        <w:t xml:space="preserve"> the type of injury, the extensive, prolonged treatment of the left forearm, the CI’s </w:t>
      </w:r>
      <w:r w:rsidR="007C0A22" w:rsidRPr="007C0A22">
        <w:rPr>
          <w:rFonts w:eastAsiaTheme="minorEastAsia"/>
          <w:color w:val="auto"/>
          <w:szCs w:val="24"/>
        </w:rPr>
        <w:t>in</w:t>
      </w:r>
      <w:r w:rsidR="001F5E79" w:rsidRPr="007C0A22">
        <w:rPr>
          <w:rFonts w:eastAsiaTheme="minorEastAsia"/>
          <w:color w:val="auto"/>
          <w:szCs w:val="24"/>
        </w:rPr>
        <w:t xml:space="preserve">ability to function within his MOS, and the objective findings of pain, decreased strength, as </w:t>
      </w:r>
      <w:r w:rsidR="007C0A22" w:rsidRPr="007C0A22">
        <w:rPr>
          <w:rFonts w:eastAsiaTheme="minorEastAsia"/>
          <w:color w:val="auto"/>
          <w:szCs w:val="24"/>
        </w:rPr>
        <w:t>well as noncompensable ROM loss best fit the</w:t>
      </w:r>
      <w:r w:rsidR="001F5E79" w:rsidRPr="007C0A22">
        <w:rPr>
          <w:rFonts w:eastAsiaTheme="minorEastAsia"/>
          <w:color w:val="auto"/>
          <w:szCs w:val="24"/>
        </w:rPr>
        <w:t xml:space="preserve"> moderately severe disability of muscles.</w:t>
      </w:r>
      <w:r w:rsidR="007C0A22" w:rsidRPr="007C0A22">
        <w:rPr>
          <w:rFonts w:eastAsiaTheme="minorEastAsia"/>
          <w:color w:val="auto"/>
          <w:szCs w:val="24"/>
        </w:rPr>
        <w:t xml:space="preserve">  </w:t>
      </w:r>
      <w:r w:rsidR="003236EB" w:rsidRPr="007C0A22">
        <w:rPr>
          <w:rFonts w:eastAsiaTheme="minorEastAsia"/>
          <w:color w:val="auto"/>
          <w:szCs w:val="24"/>
        </w:rPr>
        <w:t>Additionally</w:t>
      </w:r>
      <w:r w:rsidR="001327AC" w:rsidRPr="007C0A22">
        <w:rPr>
          <w:rFonts w:eastAsiaTheme="minorEastAsia"/>
          <w:color w:val="auto"/>
          <w:szCs w:val="24"/>
        </w:rPr>
        <w:t>,</w:t>
      </w:r>
      <w:r w:rsidR="003236EB" w:rsidRPr="007C0A22">
        <w:rPr>
          <w:rFonts w:eastAsiaTheme="minorEastAsia"/>
          <w:color w:val="auto"/>
          <w:szCs w:val="24"/>
        </w:rPr>
        <w:t xml:space="preserve"> the Board considered VASRD </w:t>
      </w:r>
      <w:r w:rsidR="003236EB" w:rsidRPr="007C0A22">
        <w:rPr>
          <w:rFonts w:eastAsiaTheme="minorEastAsia"/>
          <w:bCs/>
          <w:color w:val="auto"/>
          <w:szCs w:val="24"/>
        </w:rPr>
        <w:t>§4.55 principles of combined ratings for muscle injuries specifically</w:t>
      </w:r>
      <w:r w:rsidR="002166A8" w:rsidRPr="007C0A22">
        <w:rPr>
          <w:rFonts w:eastAsiaTheme="minorEastAsia"/>
          <w:bCs/>
          <w:color w:val="auto"/>
          <w:szCs w:val="24"/>
        </w:rPr>
        <w:t xml:space="preserve">; however, </w:t>
      </w:r>
      <w:r w:rsidR="003236EB" w:rsidRPr="007C0A22">
        <w:rPr>
          <w:rFonts w:eastAsiaTheme="minorEastAsia"/>
          <w:color w:val="auto"/>
          <w:szCs w:val="24"/>
        </w:rPr>
        <w:t xml:space="preserve">“(a) A muscle injury rating will not be combined with a peripheral nerve paralysis rating of the same body part, unless the injuries affect entirely different functions.”  </w:t>
      </w:r>
      <w:r w:rsidR="007C0A22" w:rsidRPr="007C0A22">
        <w:rPr>
          <w:rFonts w:eastAsiaTheme="minorEastAsia"/>
          <w:color w:val="auto"/>
          <w:szCs w:val="24"/>
        </w:rPr>
        <w:t>The Board agreed the residual median nerve impairments (</w:t>
      </w:r>
      <w:r w:rsidR="007C0A22" w:rsidRPr="007C0A22">
        <w:rPr>
          <w:color w:val="auto"/>
          <w:szCs w:val="24"/>
        </w:rPr>
        <w:t xml:space="preserve">sensory, pain and weakness) affected similar functions of muscle Group VII </w:t>
      </w:r>
      <w:r w:rsidR="00F31F90" w:rsidRPr="007C0A22">
        <w:rPr>
          <w:color w:val="auto"/>
          <w:szCs w:val="24"/>
        </w:rPr>
        <w:t xml:space="preserve">and </w:t>
      </w:r>
      <w:r w:rsidR="007C0A22" w:rsidRPr="007C0A22">
        <w:rPr>
          <w:color w:val="auto"/>
          <w:szCs w:val="24"/>
        </w:rPr>
        <w:t xml:space="preserve">therefore the Board could not invoke </w:t>
      </w:r>
      <w:r w:rsidR="00F31F90" w:rsidRPr="007C0A22">
        <w:rPr>
          <w:rFonts w:eastAsiaTheme="minorEastAsia"/>
          <w:bCs/>
          <w:color w:val="auto"/>
          <w:szCs w:val="24"/>
        </w:rPr>
        <w:t>§4.55</w:t>
      </w:r>
      <w:r w:rsidR="007C0A22" w:rsidRPr="007C0A22">
        <w:rPr>
          <w:rFonts w:eastAsiaTheme="minorEastAsia"/>
          <w:bCs/>
          <w:color w:val="auto"/>
          <w:szCs w:val="24"/>
        </w:rPr>
        <w:t xml:space="preserve"> for additional rating.</w:t>
      </w:r>
      <w:r w:rsidR="004A5DC5" w:rsidRPr="007C0A22">
        <w:rPr>
          <w:color w:val="auto"/>
          <w:szCs w:val="24"/>
        </w:rPr>
        <w:t xml:space="preserve"> </w:t>
      </w:r>
      <w:r w:rsidR="007C0A22" w:rsidRPr="007C0A22">
        <w:rPr>
          <w:color w:val="auto"/>
          <w:szCs w:val="24"/>
        </w:rPr>
        <w:t xml:space="preserve"> </w:t>
      </w:r>
      <w:r w:rsidR="00A772A3" w:rsidRPr="007C0A22">
        <w:rPr>
          <w:rFonts w:eastAsia="Calibri" w:cs="Times New Roman"/>
          <w:color w:val="auto"/>
          <w:szCs w:val="24"/>
        </w:rPr>
        <w:t xml:space="preserve">After due deliberation, considering all of the evidence and mindful of VASRD §4.3 (reasonable doubt), the Board recommends a </w:t>
      </w:r>
      <w:r w:rsidR="001327AC" w:rsidRPr="007C0A22">
        <w:rPr>
          <w:rFonts w:eastAsia="Calibri" w:cs="Times New Roman"/>
          <w:color w:val="auto"/>
          <w:szCs w:val="24"/>
        </w:rPr>
        <w:t xml:space="preserve">combined </w:t>
      </w:r>
      <w:r w:rsidR="00A772A3" w:rsidRPr="007C0A22">
        <w:rPr>
          <w:rFonts w:eastAsia="Calibri" w:cs="Times New Roman"/>
          <w:color w:val="auto"/>
          <w:szCs w:val="24"/>
        </w:rPr>
        <w:t xml:space="preserve">disability rating of </w:t>
      </w:r>
      <w:r w:rsidR="00F31F90" w:rsidRPr="007C0A22">
        <w:rPr>
          <w:rFonts w:eastAsia="Calibri" w:cs="Times New Roman"/>
          <w:color w:val="auto"/>
          <w:szCs w:val="24"/>
        </w:rPr>
        <w:t>2</w:t>
      </w:r>
      <w:r w:rsidR="001327AC" w:rsidRPr="007C0A22">
        <w:rPr>
          <w:rFonts w:eastAsia="Calibri" w:cs="Times New Roman"/>
          <w:color w:val="auto"/>
          <w:szCs w:val="24"/>
        </w:rPr>
        <w:t>0</w:t>
      </w:r>
      <w:r w:rsidR="00A772A3" w:rsidRPr="007C0A22">
        <w:rPr>
          <w:rFonts w:eastAsia="Calibri" w:cs="Times New Roman"/>
          <w:color w:val="auto"/>
          <w:szCs w:val="24"/>
        </w:rPr>
        <w:t xml:space="preserve">% for the </w:t>
      </w:r>
      <w:r w:rsidR="001327AC" w:rsidRPr="007C0A22">
        <w:rPr>
          <w:rFonts w:eastAsia="Calibri" w:cs="Times New Roman"/>
          <w:color w:val="auto"/>
          <w:szCs w:val="24"/>
        </w:rPr>
        <w:t>left forearm</w:t>
      </w:r>
      <w:r w:rsidR="00A772A3" w:rsidRPr="007C0A22">
        <w:rPr>
          <w:rFonts w:eastAsia="Calibri" w:cs="Times New Roman"/>
          <w:color w:val="auto"/>
          <w:szCs w:val="24"/>
        </w:rPr>
        <w:t xml:space="preserve"> condition.</w:t>
      </w:r>
    </w:p>
    <w:p w:rsidR="00AD2379" w:rsidRPr="00F64312" w:rsidRDefault="00AD2379" w:rsidP="00BF0E94">
      <w:pPr>
        <w:jc w:val="left"/>
        <w:rPr>
          <w:rFonts w:eastAsia="HiddenHorzOCR"/>
          <w:color w:val="auto"/>
          <w:highlight w:val="magenta"/>
          <w:u w:val="single"/>
        </w:rPr>
      </w:pPr>
    </w:p>
    <w:p w:rsidR="003863E9" w:rsidRPr="00C40435" w:rsidRDefault="006B690F" w:rsidP="00C40435">
      <w:pPr>
        <w:jc w:val="both"/>
        <w:rPr>
          <w:rFonts w:eastAsia="Calibri"/>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 xml:space="preserve">unfitting by the PEB were </w:t>
      </w:r>
      <w:r w:rsidR="00980A73">
        <w:rPr>
          <w:rFonts w:eastAsia="Calibri" w:cs="Times New Roman"/>
          <w:color w:val="auto"/>
          <w:szCs w:val="24"/>
        </w:rPr>
        <w:t>PTSD and cognitive d</w:t>
      </w:r>
      <w:r w:rsidR="00EE7809">
        <w:rPr>
          <w:rFonts w:eastAsia="Calibri" w:cs="Times New Roman"/>
          <w:color w:val="auto"/>
          <w:szCs w:val="24"/>
        </w:rPr>
        <w:t>eficit</w:t>
      </w:r>
      <w:r w:rsidR="00A772A3">
        <w:rPr>
          <w:rFonts w:eastAsia="Calibri" w:cs="Times New Roman"/>
          <w:color w:val="auto"/>
          <w:szCs w:val="24"/>
        </w:rPr>
        <w:t xml:space="preserve">.  </w:t>
      </w:r>
      <w:r w:rsidR="003863E9" w:rsidRPr="00792790">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8377DB" w:rsidRPr="001E1457">
        <w:rPr>
          <w:rFonts w:eastAsia="Calibri"/>
          <w:color w:val="auto"/>
          <w:szCs w:val="24"/>
        </w:rPr>
        <w:t xml:space="preserve">The MEB forwarded PTSD as not disqualifying and </w:t>
      </w:r>
      <w:r w:rsidR="00EF339E" w:rsidRPr="001E1457">
        <w:rPr>
          <w:rFonts w:eastAsia="Calibri"/>
          <w:color w:val="auto"/>
          <w:szCs w:val="24"/>
        </w:rPr>
        <w:t xml:space="preserve">the PEB adjudicated </w:t>
      </w:r>
      <w:r w:rsidR="001D62EC">
        <w:rPr>
          <w:rFonts w:eastAsia="Calibri"/>
          <w:color w:val="auto"/>
          <w:szCs w:val="24"/>
        </w:rPr>
        <w:t xml:space="preserve">as </w:t>
      </w:r>
      <w:r w:rsidR="00EF339E" w:rsidRPr="001E1457">
        <w:rPr>
          <w:rFonts w:eastAsia="Calibri"/>
          <w:color w:val="auto"/>
          <w:szCs w:val="24"/>
        </w:rPr>
        <w:t>not unfitting.</w:t>
      </w:r>
      <w:r w:rsidR="00311A00" w:rsidRPr="001E1457">
        <w:rPr>
          <w:rFonts w:eastAsia="Calibri"/>
          <w:color w:val="auto"/>
          <w:szCs w:val="24"/>
        </w:rPr>
        <w:t xml:space="preserve">  </w:t>
      </w:r>
      <w:r w:rsidR="00EF339E" w:rsidRPr="001E1457">
        <w:rPr>
          <w:rFonts w:eastAsia="Calibri"/>
          <w:color w:val="auto"/>
          <w:szCs w:val="24"/>
        </w:rPr>
        <w:t>The condition was profil</w:t>
      </w:r>
      <w:r w:rsidR="001D62EC">
        <w:rPr>
          <w:rFonts w:eastAsia="Calibri"/>
          <w:color w:val="auto"/>
          <w:szCs w:val="24"/>
        </w:rPr>
        <w:t>ed as an S2</w:t>
      </w:r>
      <w:r w:rsidR="00C40435">
        <w:rPr>
          <w:rFonts w:eastAsia="Calibri"/>
          <w:color w:val="auto"/>
          <w:szCs w:val="24"/>
        </w:rPr>
        <w:t xml:space="preserve"> not an S3 profile</w:t>
      </w:r>
      <w:r w:rsidR="008A0EF6">
        <w:rPr>
          <w:rFonts w:eastAsia="Calibri"/>
          <w:color w:val="auto"/>
          <w:szCs w:val="24"/>
        </w:rPr>
        <w:t xml:space="preserve">.  An S3 profile </w:t>
      </w:r>
      <w:r w:rsidR="00C40435">
        <w:rPr>
          <w:rFonts w:eastAsia="Calibri"/>
          <w:color w:val="auto"/>
          <w:szCs w:val="24"/>
        </w:rPr>
        <w:t>per AR-40-501 allows the utilization of a service member under specific conditions</w:t>
      </w:r>
      <w:r w:rsidR="008A0EF6">
        <w:rPr>
          <w:rFonts w:eastAsia="Calibri"/>
          <w:color w:val="auto"/>
          <w:szCs w:val="24"/>
        </w:rPr>
        <w:t xml:space="preserve"> after a remission from a psychiatric illness.</w:t>
      </w:r>
      <w:r w:rsidR="00C40435">
        <w:rPr>
          <w:rFonts w:eastAsia="Calibri"/>
          <w:color w:val="auto"/>
          <w:szCs w:val="24"/>
        </w:rPr>
        <w:t xml:space="preserve"> </w:t>
      </w:r>
      <w:r w:rsidR="008A0EF6">
        <w:rPr>
          <w:rFonts w:eastAsia="Calibri"/>
          <w:color w:val="auto"/>
          <w:szCs w:val="24"/>
        </w:rPr>
        <w:t xml:space="preserve"> </w:t>
      </w:r>
      <w:r w:rsidR="00C40435">
        <w:rPr>
          <w:rFonts w:eastAsia="Calibri"/>
          <w:color w:val="auto"/>
          <w:szCs w:val="24"/>
        </w:rPr>
        <w:t>The Board look</w:t>
      </w:r>
      <w:r w:rsidR="008A0EF6">
        <w:rPr>
          <w:rFonts w:eastAsia="Calibri"/>
          <w:color w:val="auto"/>
          <w:szCs w:val="24"/>
        </w:rPr>
        <w:t>ed</w:t>
      </w:r>
      <w:r w:rsidR="00C40435">
        <w:rPr>
          <w:rFonts w:eastAsia="Calibri"/>
          <w:color w:val="auto"/>
          <w:szCs w:val="24"/>
        </w:rPr>
        <w:t xml:space="preserve"> for evidence to support </w:t>
      </w:r>
      <w:r w:rsidR="008A0EF6">
        <w:rPr>
          <w:rFonts w:eastAsia="Calibri"/>
          <w:color w:val="auto"/>
          <w:szCs w:val="24"/>
        </w:rPr>
        <w:t>an</w:t>
      </w:r>
      <w:r w:rsidR="00C40435">
        <w:rPr>
          <w:rFonts w:eastAsia="Calibri"/>
          <w:color w:val="auto"/>
          <w:szCs w:val="24"/>
        </w:rPr>
        <w:t xml:space="preserve"> S3 profile and found the profile </w:t>
      </w:r>
      <w:r w:rsidR="00EF339E" w:rsidRPr="001E1457">
        <w:rPr>
          <w:rFonts w:eastAsia="Calibri"/>
          <w:color w:val="auto"/>
          <w:szCs w:val="24"/>
        </w:rPr>
        <w:t>did limit him from being unable to carry and fire a weapon</w:t>
      </w:r>
      <w:r w:rsidR="001D62EC">
        <w:rPr>
          <w:rFonts w:eastAsia="Calibri"/>
          <w:color w:val="auto"/>
          <w:szCs w:val="24"/>
        </w:rPr>
        <w:t xml:space="preserve"> </w:t>
      </w:r>
      <w:r w:rsidR="008A0EF6">
        <w:rPr>
          <w:rFonts w:eastAsia="Calibri"/>
          <w:color w:val="auto"/>
          <w:szCs w:val="24"/>
        </w:rPr>
        <w:t>however</w:t>
      </w:r>
      <w:r w:rsidR="001D62EC">
        <w:rPr>
          <w:rFonts w:eastAsia="Calibri"/>
          <w:color w:val="auto"/>
          <w:szCs w:val="24"/>
        </w:rPr>
        <w:t xml:space="preserve"> there is speculation if this was due to his multiple shrapnel wounds or his mental health condition or both</w:t>
      </w:r>
      <w:r w:rsidR="00EF339E" w:rsidRPr="001E1457">
        <w:rPr>
          <w:rFonts w:eastAsia="Calibri"/>
          <w:color w:val="auto"/>
          <w:szCs w:val="24"/>
        </w:rPr>
        <w:t xml:space="preserve">. </w:t>
      </w:r>
      <w:r w:rsidR="00C40435">
        <w:rPr>
          <w:rFonts w:eastAsia="Calibri"/>
          <w:color w:val="auto"/>
          <w:szCs w:val="24"/>
        </w:rPr>
        <w:t xml:space="preserve"> The Board did not find </w:t>
      </w:r>
      <w:r w:rsidR="008A0EF6">
        <w:rPr>
          <w:rFonts w:eastAsia="Calibri"/>
          <w:color w:val="auto"/>
          <w:szCs w:val="24"/>
        </w:rPr>
        <w:t xml:space="preserve">any other </w:t>
      </w:r>
      <w:r w:rsidR="00C40435">
        <w:rPr>
          <w:rFonts w:eastAsia="Calibri"/>
          <w:color w:val="auto"/>
          <w:szCs w:val="24"/>
        </w:rPr>
        <w:t xml:space="preserve">evidence that prevented the CI from certain duties or citation of duty assignments where outpatient psychiatric treatment </w:t>
      </w:r>
      <w:r w:rsidR="008A0EF6">
        <w:rPr>
          <w:rFonts w:eastAsia="Calibri"/>
          <w:color w:val="auto"/>
          <w:szCs w:val="24"/>
        </w:rPr>
        <w:t>was</w:t>
      </w:r>
      <w:r w:rsidR="00C40435">
        <w:rPr>
          <w:rFonts w:eastAsia="Calibri"/>
          <w:color w:val="auto"/>
          <w:szCs w:val="24"/>
        </w:rPr>
        <w:t xml:space="preserve"> required. </w:t>
      </w:r>
      <w:r w:rsidR="00EF339E" w:rsidRPr="001E1457">
        <w:rPr>
          <w:rFonts w:eastAsia="Calibri"/>
          <w:color w:val="auto"/>
          <w:szCs w:val="24"/>
        </w:rPr>
        <w:t xml:space="preserve"> The CI was diagnosed with PTSD in December 2004 by psychiatry</w:t>
      </w:r>
      <w:r w:rsidR="001D62EC">
        <w:rPr>
          <w:rFonts w:eastAsia="Calibri"/>
          <w:color w:val="auto"/>
          <w:szCs w:val="24"/>
        </w:rPr>
        <w:t xml:space="preserve"> and there are no</w:t>
      </w:r>
      <w:r w:rsidR="00EF339E" w:rsidRPr="001E1457">
        <w:rPr>
          <w:rFonts w:eastAsia="Calibri"/>
          <w:color w:val="auto"/>
          <w:szCs w:val="24"/>
        </w:rPr>
        <w:t xml:space="preserve"> further STR’s </w:t>
      </w:r>
      <w:r w:rsidR="00311A00" w:rsidRPr="001E1457">
        <w:rPr>
          <w:rFonts w:eastAsia="Calibri"/>
          <w:color w:val="auto"/>
          <w:szCs w:val="24"/>
        </w:rPr>
        <w:t xml:space="preserve">in evidence </w:t>
      </w:r>
      <w:r w:rsidR="00EF339E" w:rsidRPr="001E1457">
        <w:rPr>
          <w:rFonts w:eastAsia="Calibri"/>
          <w:color w:val="auto"/>
          <w:szCs w:val="24"/>
        </w:rPr>
        <w:t xml:space="preserve">after this </w:t>
      </w:r>
      <w:r w:rsidR="00EF339E" w:rsidRPr="001E1457">
        <w:rPr>
          <w:rFonts w:eastAsia="Calibri"/>
          <w:color w:val="auto"/>
          <w:szCs w:val="24"/>
        </w:rPr>
        <w:lastRenderedPageBreak/>
        <w:t xml:space="preserve">intake until the MEB exam.  The </w:t>
      </w:r>
      <w:r w:rsidR="00F04AAC">
        <w:rPr>
          <w:rFonts w:eastAsia="Calibri"/>
          <w:color w:val="auto"/>
          <w:szCs w:val="24"/>
        </w:rPr>
        <w:t>c</w:t>
      </w:r>
      <w:r w:rsidR="001D62EC">
        <w:rPr>
          <w:rFonts w:eastAsia="Calibri"/>
          <w:color w:val="auto"/>
          <w:szCs w:val="24"/>
        </w:rPr>
        <w:t>ommander</w:t>
      </w:r>
      <w:r w:rsidR="00F04AAC">
        <w:rPr>
          <w:rFonts w:eastAsia="Calibri"/>
          <w:color w:val="auto"/>
          <w:szCs w:val="24"/>
        </w:rPr>
        <w:t>’s</w:t>
      </w:r>
      <w:r w:rsidR="001D62EC">
        <w:rPr>
          <w:rFonts w:eastAsia="Calibri"/>
          <w:color w:val="auto"/>
          <w:szCs w:val="24"/>
        </w:rPr>
        <w:t xml:space="preserve"> statement documented </w:t>
      </w:r>
      <w:r w:rsidR="001E1457">
        <w:rPr>
          <w:color w:val="auto"/>
          <w:szCs w:val="24"/>
        </w:rPr>
        <w:t>a</w:t>
      </w:r>
      <w:r w:rsidR="00EF339E" w:rsidRPr="001E1457">
        <w:rPr>
          <w:color w:val="auto"/>
          <w:szCs w:val="24"/>
        </w:rPr>
        <w:t xml:space="preserve">ccording to the </w:t>
      </w:r>
      <w:r w:rsidR="001E1457" w:rsidRPr="001E1457">
        <w:rPr>
          <w:color w:val="auto"/>
          <w:szCs w:val="24"/>
        </w:rPr>
        <w:t xml:space="preserve">division mental health </w:t>
      </w:r>
      <w:r w:rsidR="00F04AAC">
        <w:rPr>
          <w:color w:val="auto"/>
          <w:szCs w:val="24"/>
        </w:rPr>
        <w:t xml:space="preserve">provider the CI </w:t>
      </w:r>
      <w:r w:rsidR="00EF339E" w:rsidRPr="001E1457">
        <w:rPr>
          <w:color w:val="auto"/>
          <w:szCs w:val="24"/>
        </w:rPr>
        <w:t>will suffer from PTSD for an uncertain amount of time</w:t>
      </w:r>
      <w:r w:rsidR="001E1457">
        <w:rPr>
          <w:color w:val="auto"/>
          <w:szCs w:val="24"/>
        </w:rPr>
        <w:t xml:space="preserve"> </w:t>
      </w:r>
      <w:r w:rsidR="00311A00" w:rsidRPr="001E1457">
        <w:rPr>
          <w:color w:val="auto"/>
          <w:szCs w:val="24"/>
        </w:rPr>
        <w:t>a</w:t>
      </w:r>
      <w:r w:rsidR="00EF339E" w:rsidRPr="001E1457">
        <w:rPr>
          <w:color w:val="auto"/>
          <w:szCs w:val="24"/>
        </w:rPr>
        <w:t xml:space="preserve">nd </w:t>
      </w:r>
      <w:r w:rsidR="00311A00" w:rsidRPr="001E1457">
        <w:rPr>
          <w:color w:val="auto"/>
          <w:szCs w:val="24"/>
        </w:rPr>
        <w:t xml:space="preserve">that he </w:t>
      </w:r>
      <w:r w:rsidR="00EF339E" w:rsidRPr="001E1457">
        <w:rPr>
          <w:color w:val="auto"/>
          <w:szCs w:val="24"/>
        </w:rPr>
        <w:t xml:space="preserve">was taking mental health medications </w:t>
      </w:r>
      <w:r w:rsidR="001D62EC">
        <w:rPr>
          <w:color w:val="auto"/>
          <w:szCs w:val="24"/>
        </w:rPr>
        <w:t>for this condition</w:t>
      </w:r>
      <w:r w:rsidR="00EF339E" w:rsidRPr="001E1457">
        <w:rPr>
          <w:color w:val="auto"/>
          <w:szCs w:val="24"/>
        </w:rPr>
        <w:t xml:space="preserve">.  </w:t>
      </w:r>
      <w:r w:rsidR="00F04AAC">
        <w:rPr>
          <w:color w:val="auto"/>
          <w:szCs w:val="24"/>
        </w:rPr>
        <w:t>The c</w:t>
      </w:r>
      <w:r w:rsidR="001E1457">
        <w:rPr>
          <w:color w:val="auto"/>
          <w:szCs w:val="24"/>
        </w:rPr>
        <w:t xml:space="preserve">ommander further documented that </w:t>
      </w:r>
      <w:r w:rsidR="00F04AAC">
        <w:rPr>
          <w:color w:val="auto"/>
          <w:szCs w:val="24"/>
        </w:rPr>
        <w:t>t</w:t>
      </w:r>
      <w:r w:rsidR="001E1457">
        <w:rPr>
          <w:color w:val="auto"/>
          <w:szCs w:val="24"/>
        </w:rPr>
        <w:t xml:space="preserve">he </w:t>
      </w:r>
      <w:r w:rsidR="00F04AAC">
        <w:rPr>
          <w:color w:val="auto"/>
          <w:szCs w:val="24"/>
        </w:rPr>
        <w:t xml:space="preserve">CI </w:t>
      </w:r>
      <w:r w:rsidR="001E1457">
        <w:rPr>
          <w:color w:val="auto"/>
          <w:szCs w:val="24"/>
        </w:rPr>
        <w:t xml:space="preserve">was currently </w:t>
      </w:r>
      <w:r w:rsidR="003A099F">
        <w:rPr>
          <w:color w:val="auto"/>
          <w:szCs w:val="24"/>
        </w:rPr>
        <w:t xml:space="preserve">attached </w:t>
      </w:r>
      <w:r w:rsidR="001E1457">
        <w:rPr>
          <w:color w:val="auto"/>
          <w:szCs w:val="24"/>
        </w:rPr>
        <w:t xml:space="preserve">to Bravo </w:t>
      </w:r>
      <w:r w:rsidR="008534F8">
        <w:rPr>
          <w:color w:val="auto"/>
          <w:szCs w:val="24"/>
        </w:rPr>
        <w:t>Company</w:t>
      </w:r>
      <w:r w:rsidR="00F04AAC">
        <w:rPr>
          <w:color w:val="auto"/>
          <w:szCs w:val="24"/>
        </w:rPr>
        <w:t>,</w:t>
      </w:r>
      <w:r w:rsidR="001E1457">
        <w:rPr>
          <w:color w:val="auto"/>
          <w:szCs w:val="24"/>
        </w:rPr>
        <w:t xml:space="preserve"> but could not </w:t>
      </w:r>
      <w:r w:rsidR="009903AC">
        <w:rPr>
          <w:color w:val="auto"/>
          <w:szCs w:val="24"/>
        </w:rPr>
        <w:t>perform</w:t>
      </w:r>
      <w:r w:rsidR="001E1457">
        <w:rPr>
          <w:color w:val="auto"/>
          <w:szCs w:val="24"/>
        </w:rPr>
        <w:t xml:space="preserve"> duties for t</w:t>
      </w:r>
      <w:r w:rsidR="003A099F">
        <w:rPr>
          <w:color w:val="auto"/>
          <w:szCs w:val="24"/>
        </w:rPr>
        <w:t xml:space="preserve">he company “because of the constant fast paced physical and mental stress…day in and day out”.  </w:t>
      </w:r>
      <w:r w:rsidR="00EF339E" w:rsidRPr="001E1457">
        <w:rPr>
          <w:color w:val="auto"/>
          <w:szCs w:val="24"/>
        </w:rPr>
        <w:t xml:space="preserve">The MEB documented the CI had been under consistent psychiatric care and was </w:t>
      </w:r>
      <w:r w:rsidR="001D62EC">
        <w:rPr>
          <w:color w:val="auto"/>
          <w:szCs w:val="24"/>
        </w:rPr>
        <w:t xml:space="preserve">under </w:t>
      </w:r>
      <w:r w:rsidR="00EF339E" w:rsidRPr="001E1457">
        <w:rPr>
          <w:color w:val="auto"/>
          <w:szCs w:val="24"/>
        </w:rPr>
        <w:t xml:space="preserve">both medical therapy and psychotherapy and that care would be ongoing.  The MEB physical exam demonstrated a </w:t>
      </w:r>
      <w:r w:rsidR="00A1141B" w:rsidRPr="001E1457">
        <w:rPr>
          <w:color w:val="auto"/>
          <w:szCs w:val="24"/>
        </w:rPr>
        <w:t>well adjusted</w:t>
      </w:r>
      <w:r w:rsidR="00311A00" w:rsidRPr="001E1457">
        <w:rPr>
          <w:color w:val="auto"/>
          <w:szCs w:val="24"/>
        </w:rPr>
        <w:t xml:space="preserve"> CI without evidence of a MSE</w:t>
      </w:r>
      <w:r w:rsidR="00A1141B" w:rsidRPr="001E1457">
        <w:rPr>
          <w:color w:val="auto"/>
          <w:szCs w:val="24"/>
        </w:rPr>
        <w:t xml:space="preserve">. </w:t>
      </w:r>
      <w:r w:rsidR="00311A00" w:rsidRPr="001E1457">
        <w:rPr>
          <w:color w:val="auto"/>
          <w:szCs w:val="24"/>
        </w:rPr>
        <w:t xml:space="preserve"> </w:t>
      </w:r>
      <w:r w:rsidR="001D62EC">
        <w:rPr>
          <w:color w:val="auto"/>
          <w:szCs w:val="24"/>
        </w:rPr>
        <w:t>T</w:t>
      </w:r>
      <w:r w:rsidR="00311A00" w:rsidRPr="001E1457">
        <w:rPr>
          <w:color w:val="auto"/>
          <w:szCs w:val="24"/>
        </w:rPr>
        <w:t>he neuropsychiatry c</w:t>
      </w:r>
      <w:r w:rsidR="00A1141B" w:rsidRPr="001E1457">
        <w:rPr>
          <w:color w:val="auto"/>
          <w:szCs w:val="24"/>
        </w:rPr>
        <w:t>onsult</w:t>
      </w:r>
      <w:r w:rsidR="00311A00" w:rsidRPr="001E1457">
        <w:rPr>
          <w:color w:val="auto"/>
          <w:szCs w:val="24"/>
        </w:rPr>
        <w:t xml:space="preserve"> completed in October 2005, </w:t>
      </w:r>
      <w:r w:rsidR="00F04AAC">
        <w:rPr>
          <w:color w:val="auto"/>
          <w:szCs w:val="24"/>
        </w:rPr>
        <w:t xml:space="preserve">nine </w:t>
      </w:r>
      <w:r w:rsidR="00311A00" w:rsidRPr="001E1457">
        <w:rPr>
          <w:color w:val="auto"/>
          <w:szCs w:val="24"/>
        </w:rPr>
        <w:t>months prior to separation, documented symptoms of;</w:t>
      </w:r>
      <w:r w:rsidR="00A1141B" w:rsidRPr="001E1457">
        <w:rPr>
          <w:color w:val="auto"/>
          <w:szCs w:val="24"/>
        </w:rPr>
        <w:t xml:space="preserve"> intrusive recollections, detachment from others, avoidant behaviors, foreshortened future, sleep problems, irritability and acts of </w:t>
      </w:r>
      <w:r w:rsidR="009903AC" w:rsidRPr="001E1457">
        <w:rPr>
          <w:color w:val="auto"/>
          <w:szCs w:val="24"/>
        </w:rPr>
        <w:t>hypervigilance</w:t>
      </w:r>
      <w:r w:rsidR="00A1141B" w:rsidRPr="001E1457">
        <w:rPr>
          <w:color w:val="auto"/>
          <w:szCs w:val="24"/>
        </w:rPr>
        <w:t>.</w:t>
      </w:r>
      <w:r w:rsidR="00BA2872" w:rsidRPr="001E1457">
        <w:rPr>
          <w:color w:val="auto"/>
          <w:szCs w:val="24"/>
        </w:rPr>
        <w:t xml:space="preserve"> </w:t>
      </w:r>
      <w:r w:rsidR="00311A00" w:rsidRPr="001E1457">
        <w:rPr>
          <w:color w:val="auto"/>
          <w:szCs w:val="24"/>
        </w:rPr>
        <w:t xml:space="preserve"> The </w:t>
      </w:r>
      <w:r w:rsidR="001D62EC">
        <w:rPr>
          <w:color w:val="auto"/>
          <w:szCs w:val="24"/>
        </w:rPr>
        <w:t>neuropsychiatrist</w:t>
      </w:r>
      <w:r w:rsidR="00BA2872" w:rsidRPr="001E1457">
        <w:rPr>
          <w:color w:val="auto"/>
          <w:szCs w:val="24"/>
        </w:rPr>
        <w:t xml:space="preserve"> opined technically </w:t>
      </w:r>
      <w:r w:rsidR="00311A00" w:rsidRPr="001E1457">
        <w:rPr>
          <w:color w:val="auto"/>
          <w:szCs w:val="24"/>
        </w:rPr>
        <w:t xml:space="preserve">he </w:t>
      </w:r>
      <w:r w:rsidR="00BA2872" w:rsidRPr="001E1457">
        <w:rPr>
          <w:color w:val="auto"/>
          <w:szCs w:val="24"/>
        </w:rPr>
        <w:t>d</w:t>
      </w:r>
      <w:r w:rsidR="001D62EC">
        <w:rPr>
          <w:color w:val="auto"/>
          <w:szCs w:val="24"/>
        </w:rPr>
        <w:t>id</w:t>
      </w:r>
      <w:r w:rsidR="00BA2872" w:rsidRPr="001E1457">
        <w:rPr>
          <w:color w:val="auto"/>
          <w:szCs w:val="24"/>
        </w:rPr>
        <w:t xml:space="preserve"> not meet boardable </w:t>
      </w:r>
      <w:r w:rsidR="009903AC" w:rsidRPr="001E1457">
        <w:rPr>
          <w:color w:val="auto"/>
          <w:szCs w:val="24"/>
        </w:rPr>
        <w:t>criteria;</w:t>
      </w:r>
      <w:r w:rsidR="00BA2872" w:rsidRPr="001E1457">
        <w:rPr>
          <w:color w:val="auto"/>
          <w:szCs w:val="24"/>
        </w:rPr>
        <w:t xml:space="preserve"> he ha</w:t>
      </w:r>
      <w:r w:rsidR="00311A00" w:rsidRPr="001E1457">
        <w:rPr>
          <w:color w:val="auto"/>
          <w:szCs w:val="24"/>
        </w:rPr>
        <w:t>d</w:t>
      </w:r>
      <w:r w:rsidR="001D62EC">
        <w:rPr>
          <w:color w:val="auto"/>
          <w:szCs w:val="24"/>
        </w:rPr>
        <w:t xml:space="preserve"> a significant case of PTSD, </w:t>
      </w:r>
      <w:r w:rsidR="00BA2872" w:rsidRPr="001E1457">
        <w:rPr>
          <w:color w:val="auto"/>
          <w:szCs w:val="24"/>
        </w:rPr>
        <w:t>requir</w:t>
      </w:r>
      <w:r w:rsidR="001D62EC">
        <w:rPr>
          <w:color w:val="auto"/>
          <w:szCs w:val="24"/>
        </w:rPr>
        <w:t xml:space="preserve">ed </w:t>
      </w:r>
      <w:r w:rsidR="00BA2872" w:rsidRPr="001E1457">
        <w:rPr>
          <w:color w:val="auto"/>
          <w:szCs w:val="24"/>
        </w:rPr>
        <w:t xml:space="preserve">medications for sleep and </w:t>
      </w:r>
      <w:r w:rsidR="00311A00" w:rsidRPr="001E1457">
        <w:rPr>
          <w:color w:val="auto"/>
          <w:szCs w:val="24"/>
        </w:rPr>
        <w:t>for his secondary mood disorder</w:t>
      </w:r>
      <w:r w:rsidR="001D62EC">
        <w:rPr>
          <w:color w:val="auto"/>
          <w:szCs w:val="24"/>
        </w:rPr>
        <w:t xml:space="preserve"> and </w:t>
      </w:r>
      <w:r w:rsidR="00BA2872" w:rsidRPr="001E1457">
        <w:rPr>
          <w:color w:val="auto"/>
          <w:szCs w:val="24"/>
        </w:rPr>
        <w:t>likely need</w:t>
      </w:r>
      <w:r w:rsidR="00311A00" w:rsidRPr="001E1457">
        <w:rPr>
          <w:color w:val="auto"/>
          <w:szCs w:val="24"/>
        </w:rPr>
        <w:t xml:space="preserve">ed continued ongoing therapy.  </w:t>
      </w:r>
      <w:r w:rsidR="008A0EF6">
        <w:rPr>
          <w:color w:val="auto"/>
          <w:szCs w:val="24"/>
        </w:rPr>
        <w:t>The Board looked for evidence to support interference of his duty from this condition</w:t>
      </w:r>
      <w:r w:rsidR="00F04AAC">
        <w:rPr>
          <w:color w:val="auto"/>
          <w:szCs w:val="24"/>
        </w:rPr>
        <w:t>, outside the reference in the c</w:t>
      </w:r>
      <w:r w:rsidR="008A0EF6">
        <w:rPr>
          <w:color w:val="auto"/>
          <w:szCs w:val="24"/>
        </w:rPr>
        <w:t xml:space="preserve">ommander’s statement, and did not find any.  </w:t>
      </w:r>
      <w:r w:rsidR="009903AC">
        <w:rPr>
          <w:color w:val="000000"/>
        </w:rPr>
        <w:t xml:space="preserve">This condition was </w:t>
      </w:r>
      <w:r w:rsidR="001D62EC" w:rsidRPr="001F29F9">
        <w:rPr>
          <w:color w:val="000000"/>
        </w:rPr>
        <w:t xml:space="preserve">reviewed by the </w:t>
      </w:r>
      <w:r w:rsidR="003F3ECB">
        <w:rPr>
          <w:color w:val="000000"/>
        </w:rPr>
        <w:t>a</w:t>
      </w:r>
      <w:r w:rsidR="001D62EC" w:rsidRPr="001F29F9">
        <w:rPr>
          <w:color w:val="000000"/>
        </w:rPr>
        <w:t xml:space="preserve">ction </w:t>
      </w:r>
      <w:r w:rsidR="003F3ECB">
        <w:rPr>
          <w:color w:val="000000"/>
        </w:rPr>
        <w:t>o</w:t>
      </w:r>
      <w:r w:rsidR="001D62EC" w:rsidRPr="001F29F9">
        <w:rPr>
          <w:color w:val="000000"/>
        </w:rPr>
        <w:t>fficer and</w:t>
      </w:r>
      <w:r w:rsidR="009903AC">
        <w:rPr>
          <w:color w:val="000000"/>
        </w:rPr>
        <w:t xml:space="preserve"> carefully</w:t>
      </w:r>
      <w:r w:rsidR="001D62EC" w:rsidRPr="001F29F9">
        <w:rPr>
          <w:color w:val="000000"/>
        </w:rPr>
        <w:t xml:space="preserve"> considered by the Board. </w:t>
      </w:r>
      <w:r w:rsidR="001D62EC">
        <w:rPr>
          <w:color w:val="000000"/>
        </w:rPr>
        <w:t xml:space="preserve"> </w:t>
      </w:r>
      <w:r w:rsidR="001D62EC" w:rsidRPr="00792790">
        <w:rPr>
          <w:rFonts w:eastAsia="Calibri" w:cs="Times New Roman"/>
          <w:color w:val="auto"/>
          <w:szCs w:val="24"/>
        </w:rPr>
        <w:t>After due deliberation in consideration of the preponderance of the evidence</w:t>
      </w:r>
      <w:r w:rsidR="009903AC">
        <w:rPr>
          <w:rFonts w:eastAsia="Calibri" w:cs="Times New Roman"/>
          <w:color w:val="auto"/>
          <w:szCs w:val="24"/>
        </w:rPr>
        <w:t xml:space="preserve"> and weighing higher than reasonable doubt, </w:t>
      </w:r>
      <w:r w:rsidR="009903AC" w:rsidRPr="00792790">
        <w:rPr>
          <w:rFonts w:eastAsia="Calibri" w:cs="Times New Roman"/>
          <w:color w:val="auto"/>
          <w:szCs w:val="24"/>
        </w:rPr>
        <w:t>VASRD §4.3</w:t>
      </w:r>
      <w:r w:rsidR="001D62EC" w:rsidRPr="00792790">
        <w:rPr>
          <w:rFonts w:eastAsia="Calibri" w:cs="Times New Roman"/>
          <w:color w:val="auto"/>
          <w:szCs w:val="24"/>
        </w:rPr>
        <w:t xml:space="preserve">, the Board </w:t>
      </w:r>
      <w:r w:rsidR="009903AC">
        <w:rPr>
          <w:rFonts w:eastAsia="Calibri" w:cs="Times New Roman"/>
          <w:color w:val="auto"/>
          <w:szCs w:val="24"/>
        </w:rPr>
        <w:t xml:space="preserve">majority </w:t>
      </w:r>
      <w:r w:rsidR="001D62EC" w:rsidRPr="00792790">
        <w:rPr>
          <w:rFonts w:eastAsia="Calibri" w:cs="Times New Roman"/>
          <w:color w:val="auto"/>
          <w:szCs w:val="24"/>
        </w:rPr>
        <w:t>concluded that there was insufficient cause to recommend a change in the PE</w:t>
      </w:r>
      <w:r w:rsidR="009903AC">
        <w:rPr>
          <w:rFonts w:eastAsia="Calibri" w:cs="Times New Roman"/>
          <w:color w:val="auto"/>
          <w:szCs w:val="24"/>
        </w:rPr>
        <w:t>B fitness determination for the</w:t>
      </w:r>
      <w:r w:rsidR="001D62EC" w:rsidRPr="00792790">
        <w:rPr>
          <w:rFonts w:eastAsia="Calibri" w:cs="Times New Roman"/>
          <w:color w:val="auto"/>
          <w:szCs w:val="24"/>
        </w:rPr>
        <w:t xml:space="preserve"> contended </w:t>
      </w:r>
      <w:r w:rsidR="009903AC">
        <w:rPr>
          <w:rFonts w:eastAsia="Calibri" w:cs="Times New Roman"/>
          <w:color w:val="auto"/>
          <w:szCs w:val="24"/>
        </w:rPr>
        <w:t xml:space="preserve">PTSD condition.  </w:t>
      </w:r>
      <w:r w:rsidR="009903AC" w:rsidRPr="009903AC">
        <w:rPr>
          <w:color w:val="auto"/>
          <w:szCs w:val="24"/>
        </w:rPr>
        <w:t xml:space="preserve">The mild cognitive deficit secondary to right hemisphere dysfunctions, s/p </w:t>
      </w:r>
      <w:r w:rsidR="003A099F" w:rsidRPr="009903AC">
        <w:rPr>
          <w:color w:val="auto"/>
          <w:szCs w:val="24"/>
        </w:rPr>
        <w:t xml:space="preserve">IED </w:t>
      </w:r>
      <w:r w:rsidR="009903AC" w:rsidRPr="009903AC">
        <w:rPr>
          <w:color w:val="auto"/>
          <w:szCs w:val="24"/>
        </w:rPr>
        <w:t>blast</w:t>
      </w:r>
      <w:r w:rsidR="003A099F" w:rsidRPr="009903AC">
        <w:rPr>
          <w:color w:val="000000"/>
          <w:szCs w:val="24"/>
        </w:rPr>
        <w:t xml:space="preserve"> condition</w:t>
      </w:r>
      <w:r w:rsidR="003863E9" w:rsidRPr="003A099F">
        <w:rPr>
          <w:color w:val="000000"/>
          <w:szCs w:val="24"/>
        </w:rPr>
        <w:t xml:space="preserve"> w</w:t>
      </w:r>
      <w:r w:rsidR="003A099F" w:rsidRPr="003A099F">
        <w:rPr>
          <w:color w:val="000000"/>
          <w:szCs w:val="24"/>
        </w:rPr>
        <w:t>as not</w:t>
      </w:r>
      <w:r w:rsidR="003863E9" w:rsidRPr="003A099F">
        <w:rPr>
          <w:color w:val="000000"/>
          <w:szCs w:val="24"/>
        </w:rPr>
        <w:t xml:space="preserve"> profiled; </w:t>
      </w:r>
      <w:r w:rsidR="003A099F" w:rsidRPr="003A099F">
        <w:rPr>
          <w:color w:val="000000"/>
          <w:szCs w:val="24"/>
        </w:rPr>
        <w:t xml:space="preserve">was not </w:t>
      </w:r>
      <w:r w:rsidR="003863E9" w:rsidRPr="003A099F">
        <w:rPr>
          <w:color w:val="000000"/>
          <w:szCs w:val="24"/>
        </w:rPr>
        <w:t xml:space="preserve">implicated in the commander’s statement; and, </w:t>
      </w:r>
      <w:r w:rsidR="003A099F" w:rsidRPr="003A099F">
        <w:rPr>
          <w:color w:val="000000"/>
          <w:szCs w:val="24"/>
        </w:rPr>
        <w:t>was not</w:t>
      </w:r>
      <w:r w:rsidR="003863E9" w:rsidRPr="003A099F">
        <w:rPr>
          <w:color w:val="000000"/>
          <w:szCs w:val="24"/>
        </w:rPr>
        <w:t xml:space="preserve"> judged to fail retention standards.  All were reviewed by the </w:t>
      </w:r>
      <w:r w:rsidR="003F3ECB">
        <w:rPr>
          <w:color w:val="000000"/>
          <w:szCs w:val="24"/>
        </w:rPr>
        <w:t>a</w:t>
      </w:r>
      <w:r w:rsidR="003863E9" w:rsidRPr="003A099F">
        <w:rPr>
          <w:color w:val="000000"/>
          <w:szCs w:val="24"/>
        </w:rPr>
        <w:t xml:space="preserve">ction </w:t>
      </w:r>
      <w:r w:rsidR="003F3ECB">
        <w:rPr>
          <w:color w:val="000000"/>
          <w:szCs w:val="24"/>
        </w:rPr>
        <w:t>o</w:t>
      </w:r>
      <w:r w:rsidR="003863E9" w:rsidRPr="003A099F">
        <w:rPr>
          <w:color w:val="000000"/>
          <w:szCs w:val="24"/>
        </w:rPr>
        <w:t xml:space="preserve">fficer and considered by the Board.  There was no indication from the record that </w:t>
      </w:r>
      <w:r w:rsidR="003863E9" w:rsidRPr="007C0A22">
        <w:rPr>
          <w:color w:val="000000"/>
          <w:szCs w:val="24"/>
        </w:rPr>
        <w:t xml:space="preserve">any of these conditions significantly interfered with satisfactory duty performance.  </w:t>
      </w:r>
      <w:r w:rsidR="003863E9" w:rsidRPr="007C0A22">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w:t>
      </w:r>
      <w:r w:rsidR="00F04AAC" w:rsidRPr="007C0A22">
        <w:rPr>
          <w:rFonts w:eastAsia="Calibri" w:cs="Times New Roman"/>
          <w:color w:val="auto"/>
          <w:szCs w:val="24"/>
        </w:rPr>
        <w:t xml:space="preserve">PTSD and cognitive deficit; </w:t>
      </w:r>
      <w:r w:rsidR="003863E9" w:rsidRPr="007C0A22">
        <w:rPr>
          <w:rFonts w:eastAsia="Calibri" w:cs="Times New Roman"/>
          <w:color w:val="auto"/>
          <w:szCs w:val="24"/>
        </w:rPr>
        <w:t xml:space="preserve">therefore, </w:t>
      </w:r>
      <w:r w:rsidR="003A099F" w:rsidRPr="007C0A22">
        <w:rPr>
          <w:rFonts w:eastAsia="Calibri" w:cs="Times New Roman"/>
          <w:color w:val="auto"/>
          <w:szCs w:val="24"/>
        </w:rPr>
        <w:t>no additional disability rating</w:t>
      </w:r>
      <w:r w:rsidR="003863E9" w:rsidRPr="007C0A22">
        <w:rPr>
          <w:rFonts w:eastAsia="Calibri" w:cs="Times New Roman"/>
          <w:color w:val="auto"/>
          <w:szCs w:val="24"/>
        </w:rPr>
        <w:t xml:space="preserve">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w:t>
      </w:r>
      <w:r w:rsidRPr="008534F8">
        <w:rPr>
          <w:color w:val="auto"/>
        </w:rPr>
        <w:t>by the PEB will not be considered by the Board to the extent they were inconsistent with the VASRD in effect at the time of the adjudication</w:t>
      </w:r>
      <w:r w:rsidRPr="008534F8">
        <w:rPr>
          <w:rFonts w:cs="Times New Roman"/>
          <w:color w:val="auto"/>
        </w:rPr>
        <w:t>.</w:t>
      </w:r>
      <w:r w:rsidR="006B690F" w:rsidRPr="008534F8">
        <w:rPr>
          <w:rFonts w:cs="Times New Roman"/>
          <w:color w:val="auto"/>
        </w:rPr>
        <w:t xml:space="preserve">  </w:t>
      </w:r>
      <w:r w:rsidRPr="008534F8">
        <w:rPr>
          <w:rFonts w:cs="Times New Roman"/>
          <w:color w:val="auto"/>
        </w:rPr>
        <w:t>The Board did not surmise from the record or PEB ruling in this case that any prerogatives outside the VASRD were exercised.</w:t>
      </w:r>
      <w:r w:rsidR="006B690F" w:rsidRPr="008534F8">
        <w:rPr>
          <w:rFonts w:cs="Times New Roman"/>
          <w:color w:val="auto"/>
        </w:rPr>
        <w:t xml:space="preserve">  </w:t>
      </w:r>
      <w:r w:rsidR="00241B01" w:rsidRPr="008534F8">
        <w:rPr>
          <w:rFonts w:eastAsia="Calibri" w:cs="Times New Roman"/>
          <w:color w:val="auto"/>
          <w:szCs w:val="24"/>
        </w:rPr>
        <w:t xml:space="preserve">As discussed above, PEB reliance on the USAPDA pain policy for rating </w:t>
      </w:r>
      <w:r w:rsidR="003A099F" w:rsidRPr="008534F8">
        <w:rPr>
          <w:rFonts w:eastAsia="Calibri" w:cs="Times New Roman"/>
          <w:color w:val="auto"/>
          <w:szCs w:val="24"/>
        </w:rPr>
        <w:t>headache condition</w:t>
      </w:r>
      <w:r w:rsidR="00241B01" w:rsidRPr="008534F8">
        <w:rPr>
          <w:rFonts w:eastAsia="Calibri" w:cs="Times New Roman"/>
          <w:color w:val="auto"/>
          <w:szCs w:val="24"/>
        </w:rPr>
        <w:t xml:space="preserve"> </w:t>
      </w:r>
      <w:r w:rsidR="003A099F" w:rsidRPr="008534F8">
        <w:rPr>
          <w:rFonts w:eastAsia="Calibri" w:cs="Times New Roman"/>
          <w:color w:val="auto"/>
          <w:szCs w:val="24"/>
        </w:rPr>
        <w:t xml:space="preserve">and chronic pain from multiple retained shrapnel condition </w:t>
      </w:r>
      <w:r w:rsidR="00241B01" w:rsidRPr="008534F8">
        <w:rPr>
          <w:rFonts w:eastAsia="Calibri" w:cs="Times New Roman"/>
          <w:color w:val="auto"/>
          <w:szCs w:val="24"/>
        </w:rPr>
        <w:t>was operant in this case and the condition was adjudicated independently of that policy by the Board.</w:t>
      </w:r>
      <w:r w:rsidR="006B690F" w:rsidRPr="008534F8">
        <w:rPr>
          <w:rFonts w:eastAsia="Calibri" w:cs="Times New Roman"/>
          <w:color w:val="auto"/>
          <w:szCs w:val="24"/>
        </w:rPr>
        <w:t xml:space="preserve">  </w:t>
      </w:r>
      <w:r w:rsidR="00560F12" w:rsidRPr="008534F8">
        <w:rPr>
          <w:rFonts w:eastAsia="Calibri" w:cs="Times New Roman"/>
          <w:color w:val="auto"/>
          <w:szCs w:val="24"/>
        </w:rPr>
        <w:t xml:space="preserve">In the matter of the </w:t>
      </w:r>
      <w:r w:rsidR="003A099F" w:rsidRPr="008534F8">
        <w:rPr>
          <w:rFonts w:eastAsia="Calibri" w:cs="Times New Roman"/>
          <w:color w:val="auto"/>
          <w:szCs w:val="24"/>
        </w:rPr>
        <w:t>headache</w:t>
      </w:r>
      <w:r w:rsidR="00560F12" w:rsidRPr="008534F8">
        <w:rPr>
          <w:rFonts w:eastAsia="Calibri" w:cs="Times New Roman"/>
          <w:color w:val="auto"/>
          <w:szCs w:val="24"/>
        </w:rPr>
        <w:t xml:space="preserve"> condition</w:t>
      </w:r>
      <w:r w:rsidR="009903AC" w:rsidRPr="008534F8">
        <w:rPr>
          <w:rFonts w:eastAsia="Calibri" w:cs="Times New Roman"/>
          <w:color w:val="auto"/>
          <w:szCs w:val="24"/>
        </w:rPr>
        <w:t xml:space="preserve"> and IAW the VASRD at the time of separation with consideration of the VA Training </w:t>
      </w:r>
      <w:r w:rsidR="007C0A22">
        <w:rPr>
          <w:rFonts w:eastAsia="Calibri" w:cs="Times New Roman"/>
          <w:color w:val="auto"/>
          <w:szCs w:val="24"/>
        </w:rPr>
        <w:t xml:space="preserve">and Fast </w:t>
      </w:r>
      <w:r w:rsidR="009903AC" w:rsidRPr="008534F8">
        <w:rPr>
          <w:rFonts w:eastAsia="Calibri" w:cs="Times New Roman"/>
          <w:color w:val="auto"/>
          <w:szCs w:val="24"/>
        </w:rPr>
        <w:t>letters</w:t>
      </w:r>
      <w:r w:rsidR="00560F12" w:rsidRPr="008534F8">
        <w:rPr>
          <w:rFonts w:eastAsia="Calibri" w:cs="Times New Roman"/>
          <w:color w:val="auto"/>
          <w:szCs w:val="24"/>
        </w:rPr>
        <w:t>, the Board unanimously recommends no change in the PEB adjudication.</w:t>
      </w:r>
      <w:r w:rsidR="006B690F" w:rsidRPr="008534F8">
        <w:rPr>
          <w:rFonts w:eastAsia="Calibri" w:cs="Times New Roman"/>
          <w:color w:val="auto"/>
          <w:szCs w:val="24"/>
        </w:rPr>
        <w:t xml:space="preserve">  </w:t>
      </w:r>
      <w:r w:rsidR="003A099F" w:rsidRPr="008534F8">
        <w:rPr>
          <w:rFonts w:eastAsia="Calibri" w:cs="Times New Roman"/>
          <w:color w:val="auto"/>
          <w:szCs w:val="24"/>
        </w:rPr>
        <w:t>In the matter of the left arm condition, the Board unanimously recommends a disability rating of 20%, coded 5307 IAW VASRD §4.73</w:t>
      </w:r>
      <w:r w:rsidR="009903AC" w:rsidRPr="008534F8">
        <w:rPr>
          <w:rFonts w:eastAsia="Calibri" w:cs="Times New Roman"/>
          <w:color w:val="auto"/>
          <w:szCs w:val="24"/>
        </w:rPr>
        <w:t xml:space="preserve">.  </w:t>
      </w:r>
      <w:r w:rsidR="003A099F" w:rsidRPr="008534F8">
        <w:rPr>
          <w:rFonts w:eastAsia="Calibri" w:cs="Times New Roman"/>
          <w:color w:val="auto"/>
          <w:szCs w:val="24"/>
        </w:rPr>
        <w:t xml:space="preserve">In the matter of the chronic pain multiple shrapnel condition and IAW VASRD §4.71a, the Board unanimously recommends no change in the PEB adjudication.  </w:t>
      </w:r>
      <w:r w:rsidR="00DA1BA0" w:rsidRPr="008534F8">
        <w:rPr>
          <w:rFonts w:eastAsia="Calibri" w:cs="Times New Roman"/>
          <w:color w:val="auto"/>
          <w:szCs w:val="24"/>
        </w:rPr>
        <w:t>In the matter of the contended PTSD</w:t>
      </w:r>
      <w:r w:rsidR="00F04AAC">
        <w:rPr>
          <w:rFonts w:eastAsia="Calibri" w:cs="Times New Roman"/>
          <w:color w:val="auto"/>
          <w:szCs w:val="24"/>
        </w:rPr>
        <w:t xml:space="preserve"> </w:t>
      </w:r>
      <w:r w:rsidR="00DA1BA0" w:rsidRPr="008534F8">
        <w:rPr>
          <w:rFonts w:eastAsia="Calibri" w:cs="Times New Roman"/>
          <w:color w:val="auto"/>
          <w:szCs w:val="24"/>
        </w:rPr>
        <w:t xml:space="preserve">condition, the Board </w:t>
      </w:r>
      <w:r w:rsidR="009903AC" w:rsidRPr="008534F8">
        <w:rPr>
          <w:rFonts w:eastAsiaTheme="minorHAnsi"/>
          <w:color w:val="auto"/>
        </w:rPr>
        <w:t xml:space="preserve">by a vote of </w:t>
      </w:r>
      <w:r w:rsidR="008534F8" w:rsidRPr="008534F8">
        <w:rPr>
          <w:rFonts w:eastAsiaTheme="minorHAnsi"/>
          <w:color w:val="auto"/>
        </w:rPr>
        <w:t xml:space="preserve">2:1 </w:t>
      </w:r>
      <w:r w:rsidR="008534F8" w:rsidRPr="008534F8">
        <w:rPr>
          <w:rFonts w:eastAsia="Calibri" w:cs="Times New Roman"/>
          <w:color w:val="auto"/>
          <w:szCs w:val="24"/>
        </w:rPr>
        <w:t>recommends</w:t>
      </w:r>
      <w:r w:rsidR="009903AC" w:rsidRPr="008534F8">
        <w:rPr>
          <w:rFonts w:eastAsia="Calibri" w:cs="Times New Roman"/>
          <w:color w:val="auto"/>
          <w:szCs w:val="24"/>
        </w:rPr>
        <w:t xml:space="preserve"> no change in the PEB adjudication</w:t>
      </w:r>
      <w:r w:rsidR="008534F8">
        <w:rPr>
          <w:rFonts w:eastAsia="Calibri" w:cs="Times New Roman"/>
          <w:color w:val="auto"/>
          <w:szCs w:val="24"/>
        </w:rPr>
        <w:t xml:space="preserve">. </w:t>
      </w:r>
      <w:r w:rsidR="009903AC" w:rsidRPr="008534F8">
        <w:rPr>
          <w:rFonts w:eastAsia="Calibri" w:cs="Times New Roman"/>
          <w:color w:val="auto"/>
          <w:szCs w:val="24"/>
        </w:rPr>
        <w:t xml:space="preserve"> </w:t>
      </w:r>
      <w:r w:rsidR="009903AC" w:rsidRPr="008534F8">
        <w:rPr>
          <w:rFonts w:eastAsiaTheme="minorHAnsi"/>
          <w:color w:val="auto"/>
        </w:rPr>
        <w:t xml:space="preserve">The single voter for dissent (who </w:t>
      </w:r>
      <w:r w:rsidR="009903AC" w:rsidRPr="008A0EF6">
        <w:rPr>
          <w:rFonts w:eastAsiaTheme="minorHAnsi"/>
          <w:color w:val="auto"/>
        </w:rPr>
        <w:t xml:space="preserve">recommended </w:t>
      </w:r>
      <w:r w:rsidR="008534F8" w:rsidRPr="008A0EF6">
        <w:rPr>
          <w:rFonts w:eastAsia="Calibri"/>
          <w:color w:val="auto"/>
          <w:szCs w:val="24"/>
        </w:rPr>
        <w:t>there was sufficient cause to recommend a change in the PEB fitness determination for the PTSD condition</w:t>
      </w:r>
      <w:r w:rsidR="008534F8" w:rsidRPr="008A0EF6">
        <w:rPr>
          <w:rFonts w:eastAsiaTheme="minorHAnsi"/>
          <w:color w:val="auto"/>
        </w:rPr>
        <w:t xml:space="preserve"> and further recommended a TDRL rating of 50% IAW </w:t>
      </w:r>
      <w:r w:rsidR="008534F8" w:rsidRPr="008A0EF6">
        <w:rPr>
          <w:color w:val="auto"/>
        </w:rPr>
        <w:t xml:space="preserve">§4.129 and a permanent rating of </w:t>
      </w:r>
      <w:r w:rsidR="00DA1BA0" w:rsidRPr="008A0EF6">
        <w:rPr>
          <w:rFonts w:eastAsia="Calibri"/>
          <w:color w:val="auto"/>
          <w:szCs w:val="24"/>
        </w:rPr>
        <w:t>30%, coded 9411 IAW VASRD §4.130</w:t>
      </w:r>
      <w:r w:rsidR="008534F8" w:rsidRPr="008A0EF6">
        <w:rPr>
          <w:rFonts w:eastAsia="Calibri"/>
          <w:color w:val="auto"/>
          <w:szCs w:val="24"/>
        </w:rPr>
        <w:t>)</w:t>
      </w:r>
      <w:r w:rsidR="008A0EF6" w:rsidRPr="008A0EF6">
        <w:rPr>
          <w:rFonts w:eastAsiaTheme="minorHAnsi"/>
          <w:color w:val="auto"/>
          <w:szCs w:val="24"/>
        </w:rPr>
        <w:t xml:space="preserve">.  The single voter </w:t>
      </w:r>
      <w:r w:rsidR="008534F8" w:rsidRPr="008A0EF6">
        <w:rPr>
          <w:rFonts w:eastAsia="Calibri"/>
          <w:color w:val="auto"/>
          <w:szCs w:val="24"/>
        </w:rPr>
        <w:t>did not elect to submit a minority opinion</w:t>
      </w:r>
      <w:r w:rsidR="00DA1BA0" w:rsidRPr="008A0EF6">
        <w:rPr>
          <w:rFonts w:eastAsia="Calibri"/>
          <w:color w:val="auto"/>
          <w:szCs w:val="24"/>
        </w:rPr>
        <w:t>.</w:t>
      </w:r>
      <w:r w:rsidR="00DA1BA0" w:rsidRPr="008534F8">
        <w:rPr>
          <w:rFonts w:eastAsia="Calibri" w:cs="Times New Roman"/>
          <w:color w:val="auto"/>
          <w:szCs w:val="24"/>
        </w:rPr>
        <w:t xml:space="preserve">  </w:t>
      </w:r>
      <w:r w:rsidR="00560F12" w:rsidRPr="008534F8">
        <w:rPr>
          <w:rFonts w:eastAsia="Calibri" w:cs="Times New Roman"/>
          <w:color w:val="auto"/>
          <w:szCs w:val="24"/>
        </w:rPr>
        <w:t xml:space="preserve">In the matter of the contended </w:t>
      </w:r>
      <w:r w:rsidR="003A099F" w:rsidRPr="008534F8">
        <w:rPr>
          <w:rFonts w:eastAsia="Calibri" w:cs="Times New Roman"/>
          <w:color w:val="auto"/>
          <w:szCs w:val="24"/>
        </w:rPr>
        <w:t>mild cognitive deficit</w:t>
      </w:r>
      <w:r w:rsidR="00560F12" w:rsidRPr="008534F8">
        <w:rPr>
          <w:rFonts w:eastAsia="Calibri" w:cs="Times New Roman"/>
          <w:color w:val="auto"/>
          <w:szCs w:val="24"/>
        </w:rPr>
        <w:t xml:space="preserve"> condition, the Board unanimously </w:t>
      </w:r>
      <w:r w:rsidR="00417BED" w:rsidRPr="008534F8">
        <w:rPr>
          <w:rFonts w:eastAsia="Calibri" w:cs="Times New Roman"/>
          <w:color w:val="auto"/>
          <w:szCs w:val="24"/>
        </w:rPr>
        <w:t>recommends no change from the PEB determination as not unfitting.</w:t>
      </w:r>
      <w:r w:rsidR="00165C7B" w:rsidRPr="008534F8">
        <w:rPr>
          <w:rFonts w:eastAsia="Calibri" w:cs="Times New Roman"/>
          <w:color w:val="auto"/>
          <w:szCs w:val="24"/>
        </w:rPr>
        <w:t xml:space="preserve">  </w:t>
      </w:r>
      <w:r w:rsidR="00417BED" w:rsidRPr="008534F8">
        <w:rPr>
          <w:rFonts w:eastAsia="Calibri" w:cs="Times New Roman"/>
          <w:color w:val="auto"/>
          <w:szCs w:val="24"/>
        </w:rPr>
        <w:t>There were no other conditions within the Board’s scope of review for consideration.</w:t>
      </w:r>
    </w:p>
    <w:p w:rsidR="00AD2379" w:rsidRPr="00F64312" w:rsidRDefault="00AD2379" w:rsidP="006364ED">
      <w:pPr>
        <w:jc w:val="left"/>
        <w:rPr>
          <w:color w:val="auto"/>
          <w:highlight w:val="magenta"/>
        </w:rPr>
      </w:pPr>
    </w:p>
    <w:p w:rsidR="00565636" w:rsidRPr="008534F8" w:rsidRDefault="00AD2379" w:rsidP="008534F8">
      <w:pPr>
        <w:jc w:val="left"/>
        <w:rPr>
          <w:color w:val="auto"/>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of his</w:t>
      </w:r>
      <w:r w:rsidR="00417BED" w:rsidRPr="00F64312">
        <w:rPr>
          <w:rFonts w:eastAsia="Calibri" w:cs="Times New Roman"/>
          <w:color w:val="auto"/>
          <w:szCs w:val="24"/>
        </w:rPr>
        <w:t xml:space="preserve"> prior medical separation:</w:t>
      </w:r>
      <w:r w:rsidR="006B690F" w:rsidRPr="00F64312">
        <w:rPr>
          <w:rFonts w:eastAsia="Calibri" w:cs="Times New Roman"/>
          <w:color w:val="auto"/>
          <w:szCs w:val="24"/>
        </w:rPr>
        <w:t xml:space="preserve">  </w:t>
      </w:r>
    </w:p>
    <w:p w:rsidR="00071071" w:rsidRDefault="00071071"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8"/>
        <w:gridCol w:w="1620"/>
        <w:gridCol w:w="1336"/>
      </w:tblGrid>
      <w:tr w:rsidR="00972A4F" w:rsidRPr="00F64312" w:rsidTr="008534F8">
        <w:trPr>
          <w:trHeight w:val="490"/>
          <w:jc w:val="center"/>
        </w:trPr>
        <w:tc>
          <w:tcPr>
            <w:tcW w:w="6418" w:type="dxa"/>
            <w:shd w:val="clear" w:color="auto" w:fill="D9D9D9"/>
            <w:vAlign w:val="center"/>
          </w:tcPr>
          <w:p w:rsidR="00972A4F" w:rsidRPr="00F64312" w:rsidRDefault="00972A4F" w:rsidP="00960C7A">
            <w:pPr>
              <w:tabs>
                <w:tab w:val="left" w:pos="288"/>
                <w:tab w:val="left" w:pos="4752"/>
              </w:tabs>
              <w:rPr>
                <w:rFonts w:eastAsia="Calibri" w:cs="Times New Roman"/>
                <w:b/>
                <w:color w:val="auto"/>
                <w:szCs w:val="24"/>
              </w:rPr>
            </w:pPr>
            <w:r w:rsidRPr="00F64312">
              <w:rPr>
                <w:rFonts w:eastAsia="Calibri" w:cs="Times New Roman"/>
                <w:b/>
                <w:color w:val="auto"/>
                <w:szCs w:val="24"/>
              </w:rPr>
              <w:t>UNFITTING CONDITION</w:t>
            </w:r>
          </w:p>
        </w:tc>
        <w:tc>
          <w:tcPr>
            <w:tcW w:w="1620" w:type="dxa"/>
            <w:shd w:val="clear" w:color="auto" w:fill="D9D9D9"/>
            <w:vAlign w:val="center"/>
          </w:tcPr>
          <w:p w:rsidR="00972A4F" w:rsidRPr="008534F8" w:rsidRDefault="00972A4F" w:rsidP="00960C7A">
            <w:pPr>
              <w:tabs>
                <w:tab w:val="left" w:pos="288"/>
                <w:tab w:val="left" w:pos="4752"/>
              </w:tabs>
              <w:rPr>
                <w:rFonts w:eastAsia="Calibri" w:cs="Times New Roman"/>
                <w:b/>
                <w:color w:val="auto"/>
                <w:szCs w:val="24"/>
              </w:rPr>
            </w:pPr>
            <w:r w:rsidRPr="008534F8">
              <w:rPr>
                <w:rFonts w:eastAsia="Calibri" w:cs="Times New Roman"/>
                <w:b/>
                <w:color w:val="auto"/>
                <w:szCs w:val="24"/>
              </w:rPr>
              <w:t>VASRD CODE</w:t>
            </w:r>
          </w:p>
        </w:tc>
        <w:tc>
          <w:tcPr>
            <w:tcW w:w="1336" w:type="dxa"/>
            <w:shd w:val="clear" w:color="auto" w:fill="D9D9D9"/>
            <w:vAlign w:val="center"/>
          </w:tcPr>
          <w:p w:rsidR="00972A4F" w:rsidRPr="008534F8" w:rsidRDefault="00972A4F" w:rsidP="00960C7A">
            <w:pPr>
              <w:rPr>
                <w:color w:val="auto"/>
              </w:rPr>
            </w:pPr>
            <w:r w:rsidRPr="008534F8">
              <w:rPr>
                <w:rFonts w:eastAsia="Calibri" w:cs="Times New Roman"/>
                <w:b/>
                <w:color w:val="auto"/>
                <w:szCs w:val="24"/>
              </w:rPr>
              <w:t>RATING</w:t>
            </w:r>
          </w:p>
        </w:tc>
      </w:tr>
      <w:tr w:rsidR="00972A4F" w:rsidRPr="00F64312" w:rsidTr="008534F8">
        <w:trPr>
          <w:trHeight w:val="197"/>
          <w:jc w:val="center"/>
        </w:trPr>
        <w:tc>
          <w:tcPr>
            <w:tcW w:w="6418" w:type="dxa"/>
            <w:vAlign w:val="center"/>
          </w:tcPr>
          <w:p w:rsidR="00972A4F" w:rsidRPr="0094482D" w:rsidRDefault="00972A4F" w:rsidP="00960C7A">
            <w:pPr>
              <w:tabs>
                <w:tab w:val="left" w:pos="288"/>
                <w:tab w:val="left" w:pos="4752"/>
              </w:tabs>
              <w:jc w:val="left"/>
              <w:rPr>
                <w:rFonts w:eastAsia="Calibri" w:cs="Times New Roman"/>
                <w:color w:val="auto"/>
                <w:szCs w:val="24"/>
              </w:rPr>
            </w:pPr>
            <w:r w:rsidRPr="0094482D">
              <w:rPr>
                <w:color w:val="auto"/>
                <w:szCs w:val="24"/>
              </w:rPr>
              <w:t>Chronic Debilitating Headaches Post Head Trauma Secondary to IED Blast Condition</w:t>
            </w:r>
          </w:p>
        </w:tc>
        <w:tc>
          <w:tcPr>
            <w:tcW w:w="1620" w:type="dxa"/>
            <w:tcBorders>
              <w:bottom w:val="single" w:sz="4" w:space="0" w:color="000000"/>
            </w:tcBorders>
            <w:vAlign w:val="center"/>
          </w:tcPr>
          <w:p w:rsidR="00972A4F" w:rsidRPr="008534F8" w:rsidRDefault="00972A4F" w:rsidP="00960C7A">
            <w:pPr>
              <w:tabs>
                <w:tab w:val="left" w:pos="288"/>
                <w:tab w:val="left" w:pos="4752"/>
              </w:tabs>
              <w:rPr>
                <w:color w:val="auto"/>
              </w:rPr>
            </w:pPr>
            <w:r w:rsidRPr="008534F8">
              <w:rPr>
                <w:color w:val="auto"/>
              </w:rPr>
              <w:t>8045-9304</w:t>
            </w:r>
          </w:p>
        </w:tc>
        <w:tc>
          <w:tcPr>
            <w:tcW w:w="1336" w:type="dxa"/>
            <w:tcBorders>
              <w:bottom w:val="single" w:sz="4" w:space="0" w:color="000000"/>
            </w:tcBorders>
            <w:vAlign w:val="center"/>
          </w:tcPr>
          <w:p w:rsidR="00972A4F" w:rsidRPr="008534F8" w:rsidRDefault="00972A4F" w:rsidP="00960C7A">
            <w:pPr>
              <w:tabs>
                <w:tab w:val="left" w:pos="288"/>
                <w:tab w:val="left" w:pos="4752"/>
              </w:tabs>
              <w:rPr>
                <w:rFonts w:eastAsia="Calibri" w:cs="Times New Roman"/>
                <w:color w:val="auto"/>
                <w:szCs w:val="24"/>
              </w:rPr>
            </w:pPr>
            <w:r w:rsidRPr="008534F8">
              <w:rPr>
                <w:rFonts w:eastAsia="Calibri" w:cs="Times New Roman"/>
                <w:color w:val="auto"/>
                <w:szCs w:val="24"/>
              </w:rPr>
              <w:t>10%</w:t>
            </w:r>
          </w:p>
        </w:tc>
      </w:tr>
      <w:tr w:rsidR="0041121C" w:rsidRPr="00F64312" w:rsidTr="008534F8">
        <w:trPr>
          <w:trHeight w:val="490"/>
          <w:jc w:val="center"/>
        </w:trPr>
        <w:tc>
          <w:tcPr>
            <w:tcW w:w="6418" w:type="dxa"/>
            <w:vAlign w:val="center"/>
          </w:tcPr>
          <w:p w:rsidR="0041121C" w:rsidRPr="0094482D" w:rsidRDefault="0041121C" w:rsidP="00960C7A">
            <w:pPr>
              <w:tabs>
                <w:tab w:val="left" w:pos="288"/>
                <w:tab w:val="left" w:pos="4752"/>
              </w:tabs>
              <w:jc w:val="left"/>
              <w:rPr>
                <w:color w:val="auto"/>
                <w:szCs w:val="24"/>
              </w:rPr>
            </w:pPr>
            <w:r w:rsidRPr="0094482D">
              <w:rPr>
                <w:color w:val="auto"/>
                <w:szCs w:val="24"/>
              </w:rPr>
              <w:t>Persistent Left Arm Weakness S/P Large Soft Tissue Injury from IED Injury with S/P Forearm Tendon Transfer</w:t>
            </w:r>
          </w:p>
        </w:tc>
        <w:tc>
          <w:tcPr>
            <w:tcW w:w="1620" w:type="dxa"/>
            <w:vAlign w:val="center"/>
          </w:tcPr>
          <w:p w:rsidR="0041121C" w:rsidRPr="008534F8" w:rsidRDefault="0041121C" w:rsidP="00960C7A">
            <w:pPr>
              <w:tabs>
                <w:tab w:val="left" w:pos="288"/>
                <w:tab w:val="left" w:pos="4752"/>
              </w:tabs>
              <w:rPr>
                <w:color w:val="auto"/>
              </w:rPr>
            </w:pPr>
            <w:r w:rsidRPr="008534F8">
              <w:rPr>
                <w:color w:val="auto"/>
              </w:rPr>
              <w:t>5307</w:t>
            </w:r>
          </w:p>
        </w:tc>
        <w:tc>
          <w:tcPr>
            <w:tcW w:w="1336" w:type="dxa"/>
            <w:vAlign w:val="center"/>
          </w:tcPr>
          <w:p w:rsidR="0041121C" w:rsidRPr="008534F8" w:rsidRDefault="0041121C" w:rsidP="00960C7A">
            <w:pPr>
              <w:tabs>
                <w:tab w:val="left" w:pos="288"/>
                <w:tab w:val="left" w:pos="4752"/>
              </w:tabs>
              <w:rPr>
                <w:rFonts w:eastAsia="Calibri" w:cs="Times New Roman"/>
                <w:color w:val="auto"/>
                <w:szCs w:val="24"/>
              </w:rPr>
            </w:pPr>
            <w:r w:rsidRPr="008534F8">
              <w:rPr>
                <w:rFonts w:eastAsia="Calibri" w:cs="Times New Roman"/>
                <w:color w:val="auto"/>
                <w:szCs w:val="24"/>
              </w:rPr>
              <w:t>20%</w:t>
            </w:r>
          </w:p>
        </w:tc>
      </w:tr>
      <w:tr w:rsidR="00972A4F" w:rsidRPr="00F64312" w:rsidTr="008534F8">
        <w:trPr>
          <w:trHeight w:val="730"/>
          <w:jc w:val="center"/>
        </w:trPr>
        <w:tc>
          <w:tcPr>
            <w:tcW w:w="6418" w:type="dxa"/>
            <w:vAlign w:val="center"/>
          </w:tcPr>
          <w:p w:rsidR="00972A4F" w:rsidRPr="0094482D" w:rsidRDefault="00972A4F" w:rsidP="00960C7A">
            <w:pPr>
              <w:tabs>
                <w:tab w:val="left" w:pos="288"/>
                <w:tab w:val="left" w:pos="4752"/>
              </w:tabs>
              <w:jc w:val="left"/>
              <w:rPr>
                <w:color w:val="auto"/>
                <w:szCs w:val="24"/>
              </w:rPr>
            </w:pPr>
            <w:r w:rsidRPr="009B0F28">
              <w:rPr>
                <w:color w:val="auto"/>
                <w:szCs w:val="24"/>
              </w:rPr>
              <w:t>Chronic Pain from Multiple Retained Shrapnel Fragments in Multiple Body Locations</w:t>
            </w:r>
          </w:p>
        </w:tc>
        <w:tc>
          <w:tcPr>
            <w:tcW w:w="1620" w:type="dxa"/>
            <w:vAlign w:val="center"/>
          </w:tcPr>
          <w:p w:rsidR="00972A4F" w:rsidRPr="008534F8" w:rsidRDefault="00972A4F" w:rsidP="00960C7A">
            <w:pPr>
              <w:tabs>
                <w:tab w:val="left" w:pos="288"/>
                <w:tab w:val="left" w:pos="4752"/>
              </w:tabs>
              <w:rPr>
                <w:color w:val="auto"/>
              </w:rPr>
            </w:pPr>
            <w:r w:rsidRPr="008534F8">
              <w:rPr>
                <w:color w:val="auto"/>
              </w:rPr>
              <w:t>5099-5003</w:t>
            </w:r>
          </w:p>
        </w:tc>
        <w:tc>
          <w:tcPr>
            <w:tcW w:w="1336" w:type="dxa"/>
            <w:vAlign w:val="center"/>
          </w:tcPr>
          <w:p w:rsidR="00972A4F" w:rsidRPr="008534F8" w:rsidRDefault="00972A4F" w:rsidP="00960C7A">
            <w:pPr>
              <w:tabs>
                <w:tab w:val="left" w:pos="288"/>
                <w:tab w:val="left" w:pos="4752"/>
              </w:tabs>
              <w:rPr>
                <w:rFonts w:eastAsia="Calibri" w:cs="Times New Roman"/>
                <w:color w:val="auto"/>
                <w:szCs w:val="24"/>
              </w:rPr>
            </w:pPr>
            <w:r w:rsidRPr="008534F8">
              <w:rPr>
                <w:rFonts w:eastAsia="Calibri" w:cs="Times New Roman"/>
                <w:color w:val="auto"/>
                <w:szCs w:val="24"/>
              </w:rPr>
              <w:t>10%</w:t>
            </w:r>
          </w:p>
        </w:tc>
      </w:tr>
      <w:tr w:rsidR="00972A4F" w:rsidRPr="00F64312" w:rsidTr="008534F8">
        <w:tblPrEx>
          <w:tblLook w:val="0000"/>
        </w:tblPrEx>
        <w:trPr>
          <w:gridBefore w:val="1"/>
          <w:wBefore w:w="6418" w:type="dxa"/>
          <w:trHeight w:val="161"/>
          <w:jc w:val="center"/>
        </w:trPr>
        <w:tc>
          <w:tcPr>
            <w:tcW w:w="1620" w:type="dxa"/>
            <w:tcBorders>
              <w:left w:val="single" w:sz="4" w:space="0" w:color="auto"/>
            </w:tcBorders>
            <w:shd w:val="pct15" w:color="auto" w:fill="auto"/>
            <w:vAlign w:val="center"/>
          </w:tcPr>
          <w:p w:rsidR="00972A4F" w:rsidRPr="008534F8" w:rsidRDefault="00972A4F" w:rsidP="00960C7A">
            <w:pPr>
              <w:tabs>
                <w:tab w:val="left" w:pos="288"/>
                <w:tab w:val="left" w:pos="4752"/>
              </w:tabs>
              <w:rPr>
                <w:rFonts w:eastAsia="Calibri" w:cs="Times New Roman"/>
                <w:b/>
                <w:color w:val="auto"/>
                <w:szCs w:val="24"/>
              </w:rPr>
            </w:pPr>
            <w:r w:rsidRPr="008534F8">
              <w:rPr>
                <w:rFonts w:eastAsia="Calibri" w:cs="Times New Roman"/>
                <w:b/>
                <w:color w:val="auto"/>
                <w:szCs w:val="24"/>
              </w:rPr>
              <w:t>COMBINED</w:t>
            </w:r>
          </w:p>
        </w:tc>
        <w:tc>
          <w:tcPr>
            <w:tcW w:w="1336" w:type="dxa"/>
            <w:tcBorders>
              <w:left w:val="single" w:sz="4" w:space="0" w:color="auto"/>
            </w:tcBorders>
            <w:shd w:val="pct15" w:color="auto" w:fill="auto"/>
            <w:vAlign w:val="center"/>
          </w:tcPr>
          <w:p w:rsidR="00972A4F" w:rsidRPr="008534F8" w:rsidRDefault="00972A4F" w:rsidP="00960DBD">
            <w:pPr>
              <w:tabs>
                <w:tab w:val="left" w:pos="288"/>
                <w:tab w:val="left" w:pos="4752"/>
              </w:tabs>
              <w:rPr>
                <w:rFonts w:eastAsia="Calibri" w:cs="Times New Roman"/>
                <w:b/>
                <w:color w:val="auto"/>
                <w:szCs w:val="24"/>
              </w:rPr>
            </w:pPr>
            <w:r w:rsidRPr="008534F8">
              <w:rPr>
                <w:rFonts w:eastAsia="Calibri" w:cs="Times New Roman"/>
                <w:b/>
                <w:color w:val="auto"/>
                <w:szCs w:val="24"/>
              </w:rPr>
              <w:t>40%</w:t>
            </w:r>
          </w:p>
        </w:tc>
      </w:tr>
    </w:tbl>
    <w:p w:rsidR="00972A4F" w:rsidRPr="00F64312" w:rsidRDefault="00972A4F"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7D304D">
        <w:rPr>
          <w:color w:val="auto"/>
        </w:rPr>
        <w:t>20</w:t>
      </w:r>
      <w:r w:rsidR="007D304D" w:rsidRPr="007D304D">
        <w:rPr>
          <w:color w:val="auto"/>
        </w:rPr>
        <w:t>120320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98774B">
        <w:rPr>
          <w:color w:val="auto"/>
        </w:rPr>
        <w:t>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98774B" w:rsidRDefault="00AD2379" w:rsidP="00885A44">
      <w:pPr>
        <w:tabs>
          <w:tab w:val="left" w:pos="0"/>
          <w:tab w:val="left" w:pos="4320"/>
        </w:tabs>
        <w:jc w:val="both"/>
        <w:rPr>
          <w:color w:val="auto"/>
        </w:rPr>
      </w:pPr>
      <w:r w:rsidRPr="00F64312">
        <w:rPr>
          <w:color w:val="auto"/>
        </w:rPr>
        <w:tab/>
        <w:t xml:space="preserve">           Physical Disability Board of Review</w:t>
      </w:r>
    </w:p>
    <w:p w:rsidR="0098774B" w:rsidRDefault="0098774B">
      <w:pPr>
        <w:spacing w:line="240" w:lineRule="auto"/>
        <w:jc w:val="left"/>
        <w:rPr>
          <w:color w:val="auto"/>
        </w:rPr>
      </w:pPr>
      <w:r>
        <w:rPr>
          <w:color w:val="auto"/>
        </w:rPr>
        <w:br w:type="page"/>
      </w:r>
    </w:p>
    <w:p w:rsidR="0098774B" w:rsidRDefault="0098774B" w:rsidP="0098774B">
      <w:pPr>
        <w:pStyle w:val="Header"/>
        <w:tabs>
          <w:tab w:val="left" w:pos="720"/>
        </w:tabs>
        <w:jc w:val="left"/>
      </w:pPr>
      <w:r>
        <w:lastRenderedPageBreak/>
        <w:t>SFMR-RB</w:t>
      </w:r>
      <w:r>
        <w:tab/>
      </w:r>
      <w:r>
        <w:tab/>
      </w:r>
      <w:r>
        <w:tab/>
      </w:r>
      <w:r>
        <w:tab/>
      </w:r>
      <w:r>
        <w:tab/>
      </w:r>
      <w:r>
        <w:tab/>
      </w:r>
      <w:r>
        <w:tab/>
      </w:r>
      <w:r>
        <w:tab/>
      </w:r>
      <w:r>
        <w:tab/>
      </w:r>
    </w:p>
    <w:p w:rsidR="0098774B" w:rsidRDefault="0098774B" w:rsidP="0098774B">
      <w:pPr>
        <w:pStyle w:val="Header"/>
        <w:tabs>
          <w:tab w:val="left" w:pos="720"/>
        </w:tabs>
        <w:jc w:val="left"/>
      </w:pPr>
    </w:p>
    <w:p w:rsidR="0098774B" w:rsidRDefault="0098774B" w:rsidP="0098774B">
      <w:pPr>
        <w:jc w:val="left"/>
      </w:pPr>
    </w:p>
    <w:p w:rsidR="0098774B" w:rsidRDefault="0098774B" w:rsidP="0098774B">
      <w:pPr>
        <w:jc w:val="left"/>
      </w:pPr>
      <w:r>
        <w:t xml:space="preserve">MEMORANDUM FOR Commander, US Army Physical Disability Agency </w:t>
      </w:r>
    </w:p>
    <w:p w:rsidR="0098774B" w:rsidRDefault="0098774B" w:rsidP="0098774B">
      <w:pPr>
        <w:jc w:val="left"/>
      </w:pPr>
      <w:r>
        <w:t xml:space="preserve">(TAPD-ZB </w:t>
      </w:r>
      <w:proofErr w:type="gramStart"/>
      <w:r>
        <w:t>/  )</w:t>
      </w:r>
      <w:proofErr w:type="gramEnd"/>
      <w:r>
        <w:t>, 2900 Crystal Drive, Suite 300, Arlington, VA  22202-3557</w:t>
      </w:r>
    </w:p>
    <w:p w:rsidR="0098774B" w:rsidRDefault="0098774B" w:rsidP="0098774B">
      <w:pPr>
        <w:jc w:val="left"/>
      </w:pPr>
    </w:p>
    <w:p w:rsidR="0098774B" w:rsidRDefault="0098774B" w:rsidP="0098774B">
      <w:pPr>
        <w:jc w:val="left"/>
      </w:pPr>
    </w:p>
    <w:p w:rsidR="0098774B" w:rsidRDefault="0098774B" w:rsidP="0098774B">
      <w:pPr>
        <w:ind w:right="-180"/>
        <w:jc w:val="left"/>
      </w:pPr>
      <w:r>
        <w:t xml:space="preserve">SUBJECT:  Department of Defense Physical Disability Board of Review Recommendation </w:t>
      </w:r>
    </w:p>
    <w:p w:rsidR="0098774B" w:rsidRDefault="0098774B" w:rsidP="0098774B">
      <w:pPr>
        <w:pStyle w:val="Header"/>
        <w:tabs>
          <w:tab w:val="left" w:pos="720"/>
        </w:tabs>
        <w:jc w:val="left"/>
      </w:pPr>
      <w:proofErr w:type="gramStart"/>
      <w:r>
        <w:t>for</w:t>
      </w:r>
      <w:proofErr w:type="gramEnd"/>
      <w:r>
        <w:t xml:space="preserve"> XXXXXXXXXXXXXXXXX, AR20120019887 (PD201200163)</w:t>
      </w:r>
    </w:p>
    <w:p w:rsidR="0098774B" w:rsidRDefault="0098774B" w:rsidP="0098774B">
      <w:pPr>
        <w:pStyle w:val="Header"/>
        <w:tabs>
          <w:tab w:val="left" w:pos="720"/>
        </w:tabs>
        <w:jc w:val="left"/>
      </w:pPr>
    </w:p>
    <w:p w:rsidR="0098774B" w:rsidRDefault="0098774B" w:rsidP="0098774B">
      <w:pPr>
        <w:jc w:val="left"/>
      </w:pPr>
    </w:p>
    <w:p w:rsidR="0098774B" w:rsidRDefault="0098774B" w:rsidP="0098774B">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98774B" w:rsidRDefault="0098774B" w:rsidP="0098774B">
      <w:pPr>
        <w:jc w:val="left"/>
      </w:pPr>
    </w:p>
    <w:p w:rsidR="0098774B" w:rsidRDefault="0098774B" w:rsidP="0098774B">
      <w:pPr>
        <w:jc w:val="left"/>
      </w:pPr>
      <w:r>
        <w:t>2.  I direct that all the Department of the Army records of the individual concerned be corrected accordingly no later than 120 days from the date of this memorandum.</w:t>
      </w:r>
    </w:p>
    <w:p w:rsidR="0098774B" w:rsidRDefault="0098774B" w:rsidP="0098774B">
      <w:pPr>
        <w:jc w:val="left"/>
      </w:pPr>
    </w:p>
    <w:p w:rsidR="0098774B" w:rsidRDefault="0098774B" w:rsidP="0098774B">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98774B" w:rsidRDefault="0098774B" w:rsidP="0098774B">
      <w:pPr>
        <w:jc w:val="left"/>
      </w:pPr>
    </w:p>
    <w:p w:rsidR="0098774B" w:rsidRDefault="0098774B" w:rsidP="0098774B">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98774B" w:rsidRDefault="0098774B" w:rsidP="0098774B">
      <w:pPr>
        <w:jc w:val="left"/>
      </w:pPr>
    </w:p>
    <w:p w:rsidR="0098774B" w:rsidRDefault="0098774B" w:rsidP="0098774B">
      <w:pPr>
        <w:jc w:val="left"/>
      </w:pPr>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98774B" w:rsidRDefault="0098774B" w:rsidP="0098774B">
      <w:pPr>
        <w:jc w:val="left"/>
      </w:pPr>
    </w:p>
    <w:p w:rsidR="0098774B" w:rsidRDefault="0098774B" w:rsidP="0098774B">
      <w:pPr>
        <w:jc w:val="left"/>
      </w:pPr>
      <w:r>
        <w:tab/>
      </w:r>
      <w:proofErr w:type="gramStart"/>
      <w:r>
        <w:t>d.  Affording</w:t>
      </w:r>
      <w:proofErr w:type="gramEnd"/>
      <w:r>
        <w:t xml:space="preserve"> the individual the opportunity to elect Survivor Benefit Plan (SBP) and medical TRICARE retiree options.</w:t>
      </w:r>
    </w:p>
    <w:p w:rsidR="0098774B" w:rsidRDefault="0098774B" w:rsidP="0098774B">
      <w:pPr>
        <w:jc w:val="left"/>
      </w:pPr>
    </w:p>
    <w:p w:rsidR="0098774B" w:rsidRDefault="0098774B" w:rsidP="0098774B">
      <w:pPr>
        <w:jc w:val="left"/>
      </w:pPr>
    </w:p>
    <w:p w:rsidR="0098774B" w:rsidRDefault="0098774B" w:rsidP="0098774B">
      <w:pPr>
        <w:jc w:val="left"/>
      </w:pPr>
    </w:p>
    <w:p w:rsidR="0098774B" w:rsidRDefault="0098774B" w:rsidP="0098774B">
      <w:pPr>
        <w:jc w:val="left"/>
      </w:pPr>
    </w:p>
    <w:p w:rsidR="0098774B" w:rsidRDefault="0098774B" w:rsidP="0098774B">
      <w:pPr>
        <w:jc w:val="left"/>
      </w:pPr>
    </w:p>
    <w:p w:rsidR="0098774B" w:rsidRDefault="0098774B" w:rsidP="0098774B">
      <w:pPr>
        <w:jc w:val="left"/>
      </w:pPr>
    </w:p>
    <w:p w:rsidR="0098774B" w:rsidRDefault="0098774B" w:rsidP="0098774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8774B" w:rsidRDefault="0098774B" w:rsidP="0098774B">
      <w:pPr>
        <w:jc w:val="left"/>
      </w:pPr>
    </w:p>
    <w:p w:rsidR="0098774B" w:rsidRDefault="0098774B" w:rsidP="0098774B">
      <w:pPr>
        <w:jc w:val="left"/>
      </w:pPr>
      <w:r>
        <w:t>BY ORDER OF THE SECRETARY OF THE ARMY:</w:t>
      </w:r>
    </w:p>
    <w:p w:rsidR="0098774B" w:rsidRDefault="0098774B" w:rsidP="0098774B">
      <w:pPr>
        <w:jc w:val="left"/>
      </w:pPr>
    </w:p>
    <w:p w:rsidR="0098774B" w:rsidRDefault="0098774B" w:rsidP="0098774B">
      <w:pPr>
        <w:jc w:val="left"/>
      </w:pPr>
    </w:p>
    <w:p w:rsidR="0098774B" w:rsidRDefault="0098774B" w:rsidP="0098774B">
      <w:pPr>
        <w:pStyle w:val="Header"/>
        <w:tabs>
          <w:tab w:val="left" w:pos="720"/>
        </w:tabs>
        <w:jc w:val="left"/>
      </w:pPr>
    </w:p>
    <w:p w:rsidR="0098774B" w:rsidRDefault="0098774B" w:rsidP="0098774B">
      <w:pPr>
        <w:jc w:val="left"/>
      </w:pPr>
    </w:p>
    <w:p w:rsidR="0098774B" w:rsidRDefault="0098774B" w:rsidP="0098774B">
      <w:pPr>
        <w:jc w:val="left"/>
      </w:pPr>
      <w:bookmarkStart w:id="0" w:name="OLE_LINK4"/>
      <w:bookmarkStart w:id="1" w:name="OLE_LINK3"/>
      <w:r>
        <w:t>Encl</w:t>
      </w:r>
      <w:r>
        <w:tab/>
      </w:r>
      <w:r>
        <w:tab/>
      </w:r>
      <w:r>
        <w:tab/>
      </w:r>
      <w:r>
        <w:tab/>
      </w:r>
      <w:r>
        <w:tab/>
      </w:r>
      <w:r>
        <w:tab/>
        <w:t xml:space="preserve">     XXXXXXXXXXXXXXXXXX</w:t>
      </w:r>
    </w:p>
    <w:p w:rsidR="0098774B" w:rsidRDefault="0098774B" w:rsidP="0098774B">
      <w:pPr>
        <w:jc w:val="left"/>
      </w:pPr>
      <w:r>
        <w:tab/>
      </w:r>
      <w:r>
        <w:tab/>
      </w:r>
      <w:r>
        <w:tab/>
      </w:r>
      <w:r>
        <w:tab/>
      </w:r>
      <w:r>
        <w:tab/>
      </w:r>
      <w:r>
        <w:tab/>
        <w:t xml:space="preserve">     Deputy Assistant Secretary</w:t>
      </w:r>
    </w:p>
    <w:p w:rsidR="0098774B" w:rsidRDefault="0098774B" w:rsidP="0098774B">
      <w:pPr>
        <w:jc w:val="left"/>
      </w:pPr>
      <w:r>
        <w:tab/>
      </w:r>
      <w:r>
        <w:tab/>
      </w:r>
      <w:r>
        <w:tab/>
      </w:r>
      <w:r>
        <w:tab/>
      </w:r>
      <w:r>
        <w:tab/>
      </w:r>
      <w:r>
        <w:tab/>
        <w:t xml:space="preserve">         (Army Review Boards)</w:t>
      </w:r>
      <w:bookmarkEnd w:id="0"/>
      <w:bookmarkEnd w:id="1"/>
    </w:p>
    <w:p w:rsidR="0098774B" w:rsidRDefault="0098774B" w:rsidP="0098774B">
      <w:pPr>
        <w:jc w:val="left"/>
      </w:pPr>
    </w:p>
    <w:p w:rsidR="0098774B" w:rsidRDefault="0098774B" w:rsidP="0098774B">
      <w:pPr>
        <w:jc w:val="left"/>
      </w:pPr>
      <w:r>
        <w:t xml:space="preserve">CF: </w:t>
      </w:r>
    </w:p>
    <w:p w:rsidR="0098774B" w:rsidRDefault="0098774B" w:rsidP="0098774B">
      <w:pPr>
        <w:jc w:val="left"/>
      </w:pPr>
      <w:r>
        <w:t xml:space="preserve">(  ) </w:t>
      </w:r>
      <w:proofErr w:type="spellStart"/>
      <w:proofErr w:type="gramStart"/>
      <w:r>
        <w:t>DoD</w:t>
      </w:r>
      <w:proofErr w:type="spellEnd"/>
      <w:proofErr w:type="gramEnd"/>
      <w:r>
        <w:t xml:space="preserve"> PDBR</w:t>
      </w:r>
    </w:p>
    <w:p w:rsidR="0098774B" w:rsidRDefault="0098774B" w:rsidP="0098774B">
      <w:pPr>
        <w:jc w:val="left"/>
      </w:pPr>
      <w:r>
        <w:t>(  ) DVA</w:t>
      </w:r>
    </w:p>
    <w:p w:rsidR="00831A5F" w:rsidRPr="008534F8" w:rsidRDefault="00831A5F" w:rsidP="0098774B">
      <w:pPr>
        <w:tabs>
          <w:tab w:val="left" w:pos="0"/>
          <w:tab w:val="left" w:pos="4320"/>
        </w:tabs>
        <w:jc w:val="left"/>
        <w:rPr>
          <w:color w:val="auto"/>
        </w:rPr>
      </w:pPr>
    </w:p>
    <w:sectPr w:rsidR="00831A5F" w:rsidRPr="008534F8"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C6" w:rsidRDefault="00051DC6">
      <w:r>
        <w:separator/>
      </w:r>
    </w:p>
  </w:endnote>
  <w:endnote w:type="continuationSeparator" w:id="0">
    <w:p w:rsidR="00051DC6" w:rsidRDefault="00051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90" w:rsidRPr="00374247" w:rsidRDefault="00F31F90" w:rsidP="00726F84">
    <w:pPr>
      <w:pStyle w:val="Footer"/>
      <w:ind w:firstLine="4320"/>
      <w:rPr>
        <w:color w:val="auto"/>
      </w:rPr>
    </w:pPr>
    <w:r w:rsidRPr="00374247">
      <w:rPr>
        <w:color w:val="auto"/>
      </w:rPr>
      <w:t xml:space="preserve">   </w:t>
    </w:r>
    <w:fldSimple w:instr=" PAGE   \* MERGEFORMAT ">
      <w:r w:rsidR="0098774B" w:rsidRPr="0098774B">
        <w:rPr>
          <w:noProof/>
          <w:color w:val="auto"/>
        </w:rPr>
        <w:t>2</w:t>
      </w:r>
    </w:fldSimple>
    <w:r w:rsidRPr="00374247">
      <w:rPr>
        <w:color w:val="auto"/>
      </w:rPr>
      <w:t xml:space="preserve">                                                           </w:t>
    </w:r>
    <w:r w:rsidRPr="005F350A">
      <w:rPr>
        <w:color w:val="auto"/>
      </w:rPr>
      <w:t>PD1200163</w:t>
    </w:r>
  </w:p>
  <w:p w:rsidR="00F31F90" w:rsidRPr="00684CE6" w:rsidRDefault="00F31F9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C6" w:rsidRDefault="00051DC6">
      <w:r>
        <w:separator/>
      </w:r>
    </w:p>
  </w:footnote>
  <w:footnote w:type="continuationSeparator" w:id="0">
    <w:p w:rsidR="00051DC6" w:rsidRDefault="00051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43D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3DD"/>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DC6"/>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66CD"/>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3561"/>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2AD"/>
    <w:rsid w:val="00111D3F"/>
    <w:rsid w:val="001127B3"/>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27AC"/>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6C4F"/>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6DD"/>
    <w:rsid w:val="00190E48"/>
    <w:rsid w:val="0019114B"/>
    <w:rsid w:val="00191843"/>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3A71"/>
    <w:rsid w:val="001A5320"/>
    <w:rsid w:val="001A5E62"/>
    <w:rsid w:val="001A6848"/>
    <w:rsid w:val="001A7538"/>
    <w:rsid w:val="001A768A"/>
    <w:rsid w:val="001B06FB"/>
    <w:rsid w:val="001B0B1A"/>
    <w:rsid w:val="001B20E6"/>
    <w:rsid w:val="001B4C0B"/>
    <w:rsid w:val="001B4D12"/>
    <w:rsid w:val="001B4EC2"/>
    <w:rsid w:val="001B5B59"/>
    <w:rsid w:val="001B60E0"/>
    <w:rsid w:val="001B6F9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22BA"/>
    <w:rsid w:val="001D2BAF"/>
    <w:rsid w:val="001D31AA"/>
    <w:rsid w:val="001D37B9"/>
    <w:rsid w:val="001D3DC0"/>
    <w:rsid w:val="001D4F88"/>
    <w:rsid w:val="001D62EC"/>
    <w:rsid w:val="001D64F3"/>
    <w:rsid w:val="001D68CF"/>
    <w:rsid w:val="001D6A8C"/>
    <w:rsid w:val="001D7A56"/>
    <w:rsid w:val="001D7DBB"/>
    <w:rsid w:val="001E0291"/>
    <w:rsid w:val="001E1457"/>
    <w:rsid w:val="001E15C0"/>
    <w:rsid w:val="001E18E0"/>
    <w:rsid w:val="001E18E2"/>
    <w:rsid w:val="001E19D0"/>
    <w:rsid w:val="001E2A30"/>
    <w:rsid w:val="001E2FF1"/>
    <w:rsid w:val="001E3FE1"/>
    <w:rsid w:val="001E41FE"/>
    <w:rsid w:val="001E4989"/>
    <w:rsid w:val="001E635C"/>
    <w:rsid w:val="001F0297"/>
    <w:rsid w:val="001F29F9"/>
    <w:rsid w:val="001F5E79"/>
    <w:rsid w:val="001F619D"/>
    <w:rsid w:val="001F6DBA"/>
    <w:rsid w:val="001F6E0B"/>
    <w:rsid w:val="00200AA0"/>
    <w:rsid w:val="00202325"/>
    <w:rsid w:val="00202736"/>
    <w:rsid w:val="00202B1E"/>
    <w:rsid w:val="00202BDF"/>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6A8"/>
    <w:rsid w:val="00216FCB"/>
    <w:rsid w:val="00217606"/>
    <w:rsid w:val="00217C09"/>
    <w:rsid w:val="002204F1"/>
    <w:rsid w:val="00220DB9"/>
    <w:rsid w:val="00220F5C"/>
    <w:rsid w:val="00220FA9"/>
    <w:rsid w:val="002216BF"/>
    <w:rsid w:val="00221B9B"/>
    <w:rsid w:val="00222268"/>
    <w:rsid w:val="00225080"/>
    <w:rsid w:val="00225196"/>
    <w:rsid w:val="00225CB4"/>
    <w:rsid w:val="002263F0"/>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52A9"/>
    <w:rsid w:val="00246860"/>
    <w:rsid w:val="002468D9"/>
    <w:rsid w:val="00246995"/>
    <w:rsid w:val="00246DFF"/>
    <w:rsid w:val="00246E89"/>
    <w:rsid w:val="0025183C"/>
    <w:rsid w:val="00251FED"/>
    <w:rsid w:val="00252351"/>
    <w:rsid w:val="002528EC"/>
    <w:rsid w:val="00252A84"/>
    <w:rsid w:val="00253EAA"/>
    <w:rsid w:val="00255049"/>
    <w:rsid w:val="00257230"/>
    <w:rsid w:val="00257538"/>
    <w:rsid w:val="00257AFF"/>
    <w:rsid w:val="00257DE5"/>
    <w:rsid w:val="00260531"/>
    <w:rsid w:val="00260B9A"/>
    <w:rsid w:val="00261B7E"/>
    <w:rsid w:val="00262EA5"/>
    <w:rsid w:val="0026318D"/>
    <w:rsid w:val="00264148"/>
    <w:rsid w:val="00264187"/>
    <w:rsid w:val="002660AF"/>
    <w:rsid w:val="00270864"/>
    <w:rsid w:val="002712F7"/>
    <w:rsid w:val="0027159C"/>
    <w:rsid w:val="002722F2"/>
    <w:rsid w:val="00274549"/>
    <w:rsid w:val="00274E46"/>
    <w:rsid w:val="002752AE"/>
    <w:rsid w:val="00275AFD"/>
    <w:rsid w:val="002769AF"/>
    <w:rsid w:val="00276C86"/>
    <w:rsid w:val="00276FD0"/>
    <w:rsid w:val="00277217"/>
    <w:rsid w:val="00280128"/>
    <w:rsid w:val="002810A4"/>
    <w:rsid w:val="0028261C"/>
    <w:rsid w:val="00282DB6"/>
    <w:rsid w:val="00284A26"/>
    <w:rsid w:val="00285095"/>
    <w:rsid w:val="002854EB"/>
    <w:rsid w:val="00285989"/>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4E34"/>
    <w:rsid w:val="002A58B7"/>
    <w:rsid w:val="002A5943"/>
    <w:rsid w:val="002A5C3C"/>
    <w:rsid w:val="002A685E"/>
    <w:rsid w:val="002A72C7"/>
    <w:rsid w:val="002B0204"/>
    <w:rsid w:val="002B03B2"/>
    <w:rsid w:val="002B0749"/>
    <w:rsid w:val="002B0763"/>
    <w:rsid w:val="002B2645"/>
    <w:rsid w:val="002B2D0B"/>
    <w:rsid w:val="002B303A"/>
    <w:rsid w:val="002B32E9"/>
    <w:rsid w:val="002B3678"/>
    <w:rsid w:val="002B4E22"/>
    <w:rsid w:val="002B5ACF"/>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2577"/>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1A00"/>
    <w:rsid w:val="0031338B"/>
    <w:rsid w:val="00313C3A"/>
    <w:rsid w:val="00313D7A"/>
    <w:rsid w:val="00314517"/>
    <w:rsid w:val="003155FB"/>
    <w:rsid w:val="00317AAB"/>
    <w:rsid w:val="0032136A"/>
    <w:rsid w:val="003219E5"/>
    <w:rsid w:val="003224D8"/>
    <w:rsid w:val="003236EB"/>
    <w:rsid w:val="00323A90"/>
    <w:rsid w:val="00323E70"/>
    <w:rsid w:val="003244D7"/>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0CA6"/>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1F93"/>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6D89"/>
    <w:rsid w:val="00387095"/>
    <w:rsid w:val="00387B7F"/>
    <w:rsid w:val="00387E95"/>
    <w:rsid w:val="00390092"/>
    <w:rsid w:val="00390CFA"/>
    <w:rsid w:val="00391858"/>
    <w:rsid w:val="00393651"/>
    <w:rsid w:val="00393D7D"/>
    <w:rsid w:val="00394926"/>
    <w:rsid w:val="00394FF9"/>
    <w:rsid w:val="00395651"/>
    <w:rsid w:val="00395DAD"/>
    <w:rsid w:val="00395E12"/>
    <w:rsid w:val="003962A8"/>
    <w:rsid w:val="00396779"/>
    <w:rsid w:val="00397DB7"/>
    <w:rsid w:val="003A099F"/>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4FE"/>
    <w:rsid w:val="003F22A5"/>
    <w:rsid w:val="003F2418"/>
    <w:rsid w:val="003F28DB"/>
    <w:rsid w:val="003F2EEE"/>
    <w:rsid w:val="003F3ECB"/>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121C"/>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31C"/>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174"/>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771B3"/>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27FE"/>
    <w:rsid w:val="004A3214"/>
    <w:rsid w:val="004A4136"/>
    <w:rsid w:val="004A417B"/>
    <w:rsid w:val="004A4378"/>
    <w:rsid w:val="004A5A77"/>
    <w:rsid w:val="004A5DC5"/>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02EF"/>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1428"/>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3B2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244"/>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AC1"/>
    <w:rsid w:val="00573D34"/>
    <w:rsid w:val="00574A1B"/>
    <w:rsid w:val="00575963"/>
    <w:rsid w:val="00575EBE"/>
    <w:rsid w:val="00576AC8"/>
    <w:rsid w:val="0058039C"/>
    <w:rsid w:val="00580A63"/>
    <w:rsid w:val="00583379"/>
    <w:rsid w:val="0058417C"/>
    <w:rsid w:val="005854F9"/>
    <w:rsid w:val="00586EC6"/>
    <w:rsid w:val="00587904"/>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D5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0A"/>
    <w:rsid w:val="005F3567"/>
    <w:rsid w:val="005F3AFE"/>
    <w:rsid w:val="005F424D"/>
    <w:rsid w:val="005F5342"/>
    <w:rsid w:val="005F55F5"/>
    <w:rsid w:val="005F5B74"/>
    <w:rsid w:val="005F5EC1"/>
    <w:rsid w:val="005F67A9"/>
    <w:rsid w:val="005F6B6D"/>
    <w:rsid w:val="005F73CA"/>
    <w:rsid w:val="006002FE"/>
    <w:rsid w:val="006008F8"/>
    <w:rsid w:val="0060250B"/>
    <w:rsid w:val="006036C2"/>
    <w:rsid w:val="00604BAC"/>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1798"/>
    <w:rsid w:val="00634C4A"/>
    <w:rsid w:val="0063532E"/>
    <w:rsid w:val="0063579F"/>
    <w:rsid w:val="0063624B"/>
    <w:rsid w:val="006364ED"/>
    <w:rsid w:val="00637063"/>
    <w:rsid w:val="0063737C"/>
    <w:rsid w:val="00637BDC"/>
    <w:rsid w:val="00640363"/>
    <w:rsid w:val="00640622"/>
    <w:rsid w:val="006418C9"/>
    <w:rsid w:val="00641DEE"/>
    <w:rsid w:val="00642BD6"/>
    <w:rsid w:val="00643C8F"/>
    <w:rsid w:val="006445B9"/>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4E65"/>
    <w:rsid w:val="00674E6E"/>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AF0"/>
    <w:rsid w:val="006B4C4D"/>
    <w:rsid w:val="006B504E"/>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1CAE"/>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B72"/>
    <w:rsid w:val="00711CA6"/>
    <w:rsid w:val="00713DA0"/>
    <w:rsid w:val="007165CE"/>
    <w:rsid w:val="00717CEB"/>
    <w:rsid w:val="0072035D"/>
    <w:rsid w:val="00720968"/>
    <w:rsid w:val="00721705"/>
    <w:rsid w:val="00721B7A"/>
    <w:rsid w:val="00721D12"/>
    <w:rsid w:val="00721F8B"/>
    <w:rsid w:val="00722147"/>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EFA"/>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4F6C"/>
    <w:rsid w:val="00785C75"/>
    <w:rsid w:val="00785D77"/>
    <w:rsid w:val="00786111"/>
    <w:rsid w:val="00790963"/>
    <w:rsid w:val="007913A4"/>
    <w:rsid w:val="0079150B"/>
    <w:rsid w:val="0079154B"/>
    <w:rsid w:val="00791EED"/>
    <w:rsid w:val="00791F1E"/>
    <w:rsid w:val="007927BE"/>
    <w:rsid w:val="00793284"/>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076"/>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A22"/>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04D"/>
    <w:rsid w:val="007D3882"/>
    <w:rsid w:val="007D39E4"/>
    <w:rsid w:val="007D3FE7"/>
    <w:rsid w:val="007D4CFC"/>
    <w:rsid w:val="007D568A"/>
    <w:rsid w:val="007D574E"/>
    <w:rsid w:val="007D57C0"/>
    <w:rsid w:val="007D67CB"/>
    <w:rsid w:val="007D6BFE"/>
    <w:rsid w:val="007E1453"/>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1D7B"/>
    <w:rsid w:val="007F30E4"/>
    <w:rsid w:val="007F37B3"/>
    <w:rsid w:val="007F6952"/>
    <w:rsid w:val="0080064F"/>
    <w:rsid w:val="00801184"/>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1A5F"/>
    <w:rsid w:val="008324D9"/>
    <w:rsid w:val="00833418"/>
    <w:rsid w:val="0083387F"/>
    <w:rsid w:val="00834458"/>
    <w:rsid w:val="00834AEA"/>
    <w:rsid w:val="00835841"/>
    <w:rsid w:val="00835BF8"/>
    <w:rsid w:val="00835FB7"/>
    <w:rsid w:val="00836B7B"/>
    <w:rsid w:val="00837465"/>
    <w:rsid w:val="008377DB"/>
    <w:rsid w:val="0084002E"/>
    <w:rsid w:val="00840159"/>
    <w:rsid w:val="00840621"/>
    <w:rsid w:val="00840E8C"/>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4F8"/>
    <w:rsid w:val="00853718"/>
    <w:rsid w:val="008541EF"/>
    <w:rsid w:val="00855D22"/>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0176"/>
    <w:rsid w:val="00871262"/>
    <w:rsid w:val="0087170E"/>
    <w:rsid w:val="00871D4E"/>
    <w:rsid w:val="00871E7B"/>
    <w:rsid w:val="008721BB"/>
    <w:rsid w:val="008734E7"/>
    <w:rsid w:val="008743FE"/>
    <w:rsid w:val="00874C0C"/>
    <w:rsid w:val="0087566D"/>
    <w:rsid w:val="00875B50"/>
    <w:rsid w:val="00875B51"/>
    <w:rsid w:val="00875F2D"/>
    <w:rsid w:val="008762E7"/>
    <w:rsid w:val="008764DC"/>
    <w:rsid w:val="00881C17"/>
    <w:rsid w:val="00881C5E"/>
    <w:rsid w:val="00881D10"/>
    <w:rsid w:val="00882CC2"/>
    <w:rsid w:val="00883103"/>
    <w:rsid w:val="0088325A"/>
    <w:rsid w:val="00883930"/>
    <w:rsid w:val="00884535"/>
    <w:rsid w:val="00885A44"/>
    <w:rsid w:val="008902BE"/>
    <w:rsid w:val="0089038F"/>
    <w:rsid w:val="00890CDA"/>
    <w:rsid w:val="00891BBA"/>
    <w:rsid w:val="00891BD9"/>
    <w:rsid w:val="00892079"/>
    <w:rsid w:val="00892B90"/>
    <w:rsid w:val="00896032"/>
    <w:rsid w:val="00896535"/>
    <w:rsid w:val="00896683"/>
    <w:rsid w:val="00896C01"/>
    <w:rsid w:val="00896E71"/>
    <w:rsid w:val="0089750B"/>
    <w:rsid w:val="00897589"/>
    <w:rsid w:val="008A0C99"/>
    <w:rsid w:val="008A0D4F"/>
    <w:rsid w:val="008A0EF6"/>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7A33"/>
    <w:rsid w:val="008C22F3"/>
    <w:rsid w:val="008C3223"/>
    <w:rsid w:val="008C3FD0"/>
    <w:rsid w:val="008C4F01"/>
    <w:rsid w:val="008C5152"/>
    <w:rsid w:val="008C710E"/>
    <w:rsid w:val="008C721C"/>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0776"/>
    <w:rsid w:val="0093108A"/>
    <w:rsid w:val="009319EF"/>
    <w:rsid w:val="00931B6D"/>
    <w:rsid w:val="0093311A"/>
    <w:rsid w:val="009346D0"/>
    <w:rsid w:val="009369A6"/>
    <w:rsid w:val="00936E38"/>
    <w:rsid w:val="00937433"/>
    <w:rsid w:val="00937F57"/>
    <w:rsid w:val="0094031E"/>
    <w:rsid w:val="009419B4"/>
    <w:rsid w:val="00941A4C"/>
    <w:rsid w:val="00942645"/>
    <w:rsid w:val="0094482D"/>
    <w:rsid w:val="0094482F"/>
    <w:rsid w:val="009461E6"/>
    <w:rsid w:val="00950A3A"/>
    <w:rsid w:val="009522B9"/>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C7A"/>
    <w:rsid w:val="00960DBD"/>
    <w:rsid w:val="0096168C"/>
    <w:rsid w:val="00961840"/>
    <w:rsid w:val="009625E3"/>
    <w:rsid w:val="00962F2D"/>
    <w:rsid w:val="00963A7A"/>
    <w:rsid w:val="009672CD"/>
    <w:rsid w:val="00971810"/>
    <w:rsid w:val="00972266"/>
    <w:rsid w:val="00972996"/>
    <w:rsid w:val="00972A4F"/>
    <w:rsid w:val="009730B4"/>
    <w:rsid w:val="0097320E"/>
    <w:rsid w:val="009732B8"/>
    <w:rsid w:val="00974647"/>
    <w:rsid w:val="0097514A"/>
    <w:rsid w:val="009759C2"/>
    <w:rsid w:val="00975C72"/>
    <w:rsid w:val="00976869"/>
    <w:rsid w:val="00977740"/>
    <w:rsid w:val="00977CB4"/>
    <w:rsid w:val="009809B8"/>
    <w:rsid w:val="00980A73"/>
    <w:rsid w:val="00981086"/>
    <w:rsid w:val="009818AF"/>
    <w:rsid w:val="00981B1C"/>
    <w:rsid w:val="0098222D"/>
    <w:rsid w:val="009842F3"/>
    <w:rsid w:val="00984B1A"/>
    <w:rsid w:val="00984EBF"/>
    <w:rsid w:val="00985099"/>
    <w:rsid w:val="00985D32"/>
    <w:rsid w:val="00986514"/>
    <w:rsid w:val="00986E28"/>
    <w:rsid w:val="00986FCC"/>
    <w:rsid w:val="0098774B"/>
    <w:rsid w:val="009903A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0F28"/>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41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2D28"/>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42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772A3"/>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615A"/>
    <w:rsid w:val="00B475CD"/>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376E"/>
    <w:rsid w:val="00B643A6"/>
    <w:rsid w:val="00B64DD6"/>
    <w:rsid w:val="00B64F78"/>
    <w:rsid w:val="00B65CA7"/>
    <w:rsid w:val="00B66505"/>
    <w:rsid w:val="00B6710C"/>
    <w:rsid w:val="00B67E84"/>
    <w:rsid w:val="00B708EC"/>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14C"/>
    <w:rsid w:val="00B843DD"/>
    <w:rsid w:val="00B8478F"/>
    <w:rsid w:val="00B84F93"/>
    <w:rsid w:val="00B85189"/>
    <w:rsid w:val="00B91676"/>
    <w:rsid w:val="00B9322B"/>
    <w:rsid w:val="00B93640"/>
    <w:rsid w:val="00B94023"/>
    <w:rsid w:val="00B955D5"/>
    <w:rsid w:val="00B95833"/>
    <w:rsid w:val="00B9690B"/>
    <w:rsid w:val="00BA1824"/>
    <w:rsid w:val="00BA2872"/>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3FE7"/>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4E4"/>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0435"/>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70C"/>
    <w:rsid w:val="00C64C87"/>
    <w:rsid w:val="00C65414"/>
    <w:rsid w:val="00C6590A"/>
    <w:rsid w:val="00C65BE0"/>
    <w:rsid w:val="00C665FE"/>
    <w:rsid w:val="00C71BEC"/>
    <w:rsid w:val="00C73942"/>
    <w:rsid w:val="00C73A83"/>
    <w:rsid w:val="00C74D3A"/>
    <w:rsid w:val="00C75F3D"/>
    <w:rsid w:val="00C80511"/>
    <w:rsid w:val="00C80655"/>
    <w:rsid w:val="00C80DDC"/>
    <w:rsid w:val="00C81937"/>
    <w:rsid w:val="00C826F5"/>
    <w:rsid w:val="00C83740"/>
    <w:rsid w:val="00C84527"/>
    <w:rsid w:val="00C845FF"/>
    <w:rsid w:val="00C84AD1"/>
    <w:rsid w:val="00C85579"/>
    <w:rsid w:val="00C8590C"/>
    <w:rsid w:val="00C862F1"/>
    <w:rsid w:val="00C863E5"/>
    <w:rsid w:val="00C87BE6"/>
    <w:rsid w:val="00C87F76"/>
    <w:rsid w:val="00C90FE1"/>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A4A"/>
    <w:rsid w:val="00CA5F89"/>
    <w:rsid w:val="00CA6B1A"/>
    <w:rsid w:val="00CA720B"/>
    <w:rsid w:val="00CA7C26"/>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27CF"/>
    <w:rsid w:val="00CD32BD"/>
    <w:rsid w:val="00CD34C7"/>
    <w:rsid w:val="00CD5653"/>
    <w:rsid w:val="00CD5E6D"/>
    <w:rsid w:val="00CD63C8"/>
    <w:rsid w:val="00CD6B3B"/>
    <w:rsid w:val="00CD76F8"/>
    <w:rsid w:val="00CD78A5"/>
    <w:rsid w:val="00CE02E8"/>
    <w:rsid w:val="00CE069E"/>
    <w:rsid w:val="00CE0DE0"/>
    <w:rsid w:val="00CE214F"/>
    <w:rsid w:val="00CE2B1F"/>
    <w:rsid w:val="00CE2CC2"/>
    <w:rsid w:val="00CE3722"/>
    <w:rsid w:val="00CE449C"/>
    <w:rsid w:val="00CE7FA2"/>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196"/>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25E9"/>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E5A"/>
    <w:rsid w:val="00D53F14"/>
    <w:rsid w:val="00D54BE4"/>
    <w:rsid w:val="00D54DDB"/>
    <w:rsid w:val="00D554BC"/>
    <w:rsid w:val="00D560DC"/>
    <w:rsid w:val="00D56602"/>
    <w:rsid w:val="00D60483"/>
    <w:rsid w:val="00D614F1"/>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5FAE"/>
    <w:rsid w:val="00D76AB2"/>
    <w:rsid w:val="00D80490"/>
    <w:rsid w:val="00D808F2"/>
    <w:rsid w:val="00D828F9"/>
    <w:rsid w:val="00D829AD"/>
    <w:rsid w:val="00D82EE2"/>
    <w:rsid w:val="00D8352E"/>
    <w:rsid w:val="00D83746"/>
    <w:rsid w:val="00D83D1B"/>
    <w:rsid w:val="00D84133"/>
    <w:rsid w:val="00D84B8D"/>
    <w:rsid w:val="00D8545C"/>
    <w:rsid w:val="00D86AB5"/>
    <w:rsid w:val="00D86E57"/>
    <w:rsid w:val="00D86F69"/>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5D0F"/>
    <w:rsid w:val="00D9706F"/>
    <w:rsid w:val="00D972D4"/>
    <w:rsid w:val="00DA0614"/>
    <w:rsid w:val="00DA0FE3"/>
    <w:rsid w:val="00DA195B"/>
    <w:rsid w:val="00DA1BA0"/>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B39"/>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1956"/>
    <w:rsid w:val="00E2421B"/>
    <w:rsid w:val="00E242AF"/>
    <w:rsid w:val="00E24849"/>
    <w:rsid w:val="00E2536E"/>
    <w:rsid w:val="00E25A99"/>
    <w:rsid w:val="00E25B8A"/>
    <w:rsid w:val="00E25EF8"/>
    <w:rsid w:val="00E2632B"/>
    <w:rsid w:val="00E26F75"/>
    <w:rsid w:val="00E27423"/>
    <w:rsid w:val="00E3077F"/>
    <w:rsid w:val="00E30824"/>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3D9"/>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4A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05D"/>
    <w:rsid w:val="00EC337D"/>
    <w:rsid w:val="00EC38EF"/>
    <w:rsid w:val="00EC4849"/>
    <w:rsid w:val="00EC4DEC"/>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255C"/>
    <w:rsid w:val="00EE48BB"/>
    <w:rsid w:val="00EE5134"/>
    <w:rsid w:val="00EE6FE0"/>
    <w:rsid w:val="00EE704A"/>
    <w:rsid w:val="00EE75BB"/>
    <w:rsid w:val="00EE7809"/>
    <w:rsid w:val="00EE7840"/>
    <w:rsid w:val="00EF2346"/>
    <w:rsid w:val="00EF2E75"/>
    <w:rsid w:val="00EF339E"/>
    <w:rsid w:val="00EF4C74"/>
    <w:rsid w:val="00EF5268"/>
    <w:rsid w:val="00EF608E"/>
    <w:rsid w:val="00EF6C4A"/>
    <w:rsid w:val="00F0044B"/>
    <w:rsid w:val="00F00E60"/>
    <w:rsid w:val="00F01458"/>
    <w:rsid w:val="00F020E5"/>
    <w:rsid w:val="00F02F9F"/>
    <w:rsid w:val="00F03525"/>
    <w:rsid w:val="00F039A8"/>
    <w:rsid w:val="00F0424D"/>
    <w:rsid w:val="00F04957"/>
    <w:rsid w:val="00F04AAC"/>
    <w:rsid w:val="00F053F0"/>
    <w:rsid w:val="00F05807"/>
    <w:rsid w:val="00F06451"/>
    <w:rsid w:val="00F07052"/>
    <w:rsid w:val="00F0706C"/>
    <w:rsid w:val="00F111B6"/>
    <w:rsid w:val="00F11EBE"/>
    <w:rsid w:val="00F12293"/>
    <w:rsid w:val="00F12BA8"/>
    <w:rsid w:val="00F12D7A"/>
    <w:rsid w:val="00F130D0"/>
    <w:rsid w:val="00F13AC6"/>
    <w:rsid w:val="00F14933"/>
    <w:rsid w:val="00F14F6E"/>
    <w:rsid w:val="00F1516A"/>
    <w:rsid w:val="00F15483"/>
    <w:rsid w:val="00F15EE5"/>
    <w:rsid w:val="00F171F9"/>
    <w:rsid w:val="00F1737C"/>
    <w:rsid w:val="00F173AA"/>
    <w:rsid w:val="00F20DA4"/>
    <w:rsid w:val="00F22A26"/>
    <w:rsid w:val="00F2361E"/>
    <w:rsid w:val="00F24072"/>
    <w:rsid w:val="00F25635"/>
    <w:rsid w:val="00F26432"/>
    <w:rsid w:val="00F30E73"/>
    <w:rsid w:val="00F3197A"/>
    <w:rsid w:val="00F31F90"/>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BCB"/>
    <w:rsid w:val="00F75C12"/>
    <w:rsid w:val="00F764AF"/>
    <w:rsid w:val="00F76D01"/>
    <w:rsid w:val="00F805E5"/>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48E"/>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029"/>
    <w:rsid w:val="00FF5806"/>
    <w:rsid w:val="00FF61BD"/>
    <w:rsid w:val="00FF7A8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rmalWeb">
    <w:name w:val="Normal (Web)"/>
    <w:basedOn w:val="Normal"/>
    <w:uiPriority w:val="99"/>
    <w:semiHidden/>
    <w:unhideWhenUsed/>
    <w:rsid w:val="00831A5F"/>
    <w:pPr>
      <w:spacing w:before="100" w:beforeAutospacing="1" w:after="100" w:afterAutospacing="1" w:line="240" w:lineRule="auto"/>
      <w:jc w:val="left"/>
    </w:pPr>
    <w:rPr>
      <w:rFonts w:ascii="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41710903">
      <w:bodyDiv w:val="1"/>
      <w:marLeft w:val="0"/>
      <w:marRight w:val="0"/>
      <w:marTop w:val="0"/>
      <w:marBottom w:val="0"/>
      <w:divBdr>
        <w:top w:val="none" w:sz="0" w:space="0" w:color="auto"/>
        <w:left w:val="none" w:sz="0" w:space="0" w:color="auto"/>
        <w:bottom w:val="none" w:sz="0" w:space="0" w:color="auto"/>
        <w:right w:val="none" w:sz="0" w:space="0" w:color="auto"/>
      </w:divBdr>
    </w:div>
    <w:div w:id="1376808944">
      <w:bodyDiv w:val="1"/>
      <w:marLeft w:val="0"/>
      <w:marRight w:val="0"/>
      <w:marTop w:val="0"/>
      <w:marBottom w:val="0"/>
      <w:divBdr>
        <w:top w:val="none" w:sz="0" w:space="0" w:color="auto"/>
        <w:left w:val="none" w:sz="0" w:space="0" w:color="auto"/>
        <w:bottom w:val="none" w:sz="0" w:space="0" w:color="auto"/>
        <w:right w:val="none" w:sz="0" w:space="0" w:color="auto"/>
      </w:divBdr>
      <w:divsChild>
        <w:div w:id="1642613377">
          <w:marLeft w:val="0"/>
          <w:marRight w:val="0"/>
          <w:marTop w:val="0"/>
          <w:marBottom w:val="0"/>
          <w:divBdr>
            <w:top w:val="none" w:sz="0" w:space="0" w:color="auto"/>
            <w:left w:val="none" w:sz="0" w:space="0" w:color="auto"/>
            <w:bottom w:val="none" w:sz="0" w:space="0" w:color="auto"/>
            <w:right w:val="none" w:sz="0" w:space="0" w:color="auto"/>
          </w:divBdr>
          <w:divsChild>
            <w:div w:id="2049795969">
              <w:marLeft w:val="0"/>
              <w:marRight w:val="0"/>
              <w:marTop w:val="0"/>
              <w:marBottom w:val="0"/>
              <w:divBdr>
                <w:top w:val="none" w:sz="0" w:space="0" w:color="auto"/>
                <w:left w:val="none" w:sz="0" w:space="0" w:color="auto"/>
                <w:bottom w:val="none" w:sz="0" w:space="0" w:color="auto"/>
                <w:right w:val="none" w:sz="0" w:space="0" w:color="auto"/>
              </w:divBdr>
              <w:divsChild>
                <w:div w:id="5863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3154">
      <w:bodyDiv w:val="1"/>
      <w:marLeft w:val="0"/>
      <w:marRight w:val="0"/>
      <w:marTop w:val="0"/>
      <w:marBottom w:val="0"/>
      <w:divBdr>
        <w:top w:val="none" w:sz="0" w:space="0" w:color="auto"/>
        <w:left w:val="none" w:sz="0" w:space="0" w:color="auto"/>
        <w:bottom w:val="none" w:sz="0" w:space="0" w:color="auto"/>
        <w:right w:val="none" w:sz="0" w:space="0" w:color="auto"/>
      </w:divBdr>
      <w:divsChild>
        <w:div w:id="1557934453">
          <w:marLeft w:val="0"/>
          <w:marRight w:val="0"/>
          <w:marTop w:val="0"/>
          <w:marBottom w:val="0"/>
          <w:divBdr>
            <w:top w:val="none" w:sz="0" w:space="0" w:color="auto"/>
            <w:left w:val="none" w:sz="0" w:space="0" w:color="auto"/>
            <w:bottom w:val="none" w:sz="0" w:space="0" w:color="auto"/>
            <w:right w:val="none" w:sz="0" w:space="0" w:color="auto"/>
          </w:divBdr>
          <w:divsChild>
            <w:div w:id="101263919">
              <w:marLeft w:val="0"/>
              <w:marRight w:val="0"/>
              <w:marTop w:val="0"/>
              <w:marBottom w:val="0"/>
              <w:divBdr>
                <w:top w:val="none" w:sz="0" w:space="0" w:color="auto"/>
                <w:left w:val="none" w:sz="0" w:space="0" w:color="auto"/>
                <w:bottom w:val="none" w:sz="0" w:space="0" w:color="auto"/>
                <w:right w:val="none" w:sz="0" w:space="0" w:color="auto"/>
              </w:divBdr>
              <w:divsChild>
                <w:div w:id="19692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C517-EE6A-47FF-A037-E23CB604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2012-10-22T17:50:00Z</cp:lastPrinted>
  <dcterms:created xsi:type="dcterms:W3CDTF">2012-11-21T16:25:00Z</dcterms:created>
  <dcterms:modified xsi:type="dcterms:W3CDTF">2012-11-21T16:25:00Z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