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77265C" w:rsidRDefault="00AD2379" w:rsidP="00BF0E94">
      <w:pPr>
        <w:tabs>
          <w:tab w:val="left" w:pos="288"/>
          <w:tab w:val="left" w:pos="4752"/>
        </w:tabs>
        <w:rPr>
          <w:color w:val="auto"/>
        </w:rPr>
      </w:pPr>
      <w:r w:rsidRPr="0077265C">
        <w:rPr>
          <w:color w:val="auto"/>
        </w:rPr>
        <w:t>PHYSICAL DISABILITY BOARD OF REVIEW</w:t>
      </w:r>
    </w:p>
    <w:p w:rsidR="00AD2379" w:rsidRPr="0077265C" w:rsidRDefault="00AD2379" w:rsidP="00BF0E94">
      <w:pPr>
        <w:tabs>
          <w:tab w:val="left" w:pos="288"/>
          <w:tab w:val="left" w:pos="4752"/>
        </w:tabs>
        <w:jc w:val="both"/>
        <w:rPr>
          <w:caps/>
          <w:color w:val="auto"/>
        </w:rPr>
      </w:pPr>
    </w:p>
    <w:p w:rsidR="0095270D" w:rsidRPr="0077265C" w:rsidRDefault="0095270D" w:rsidP="00DD5558">
      <w:pPr>
        <w:tabs>
          <w:tab w:val="right" w:pos="9360"/>
        </w:tabs>
        <w:jc w:val="both"/>
        <w:rPr>
          <w:caps/>
          <w:color w:val="auto"/>
        </w:rPr>
      </w:pPr>
      <w:r w:rsidRPr="0077265C">
        <w:rPr>
          <w:caps/>
          <w:color w:val="auto"/>
        </w:rPr>
        <w:t xml:space="preserve">NAME:  </w:t>
      </w:r>
      <w:r w:rsidR="00340D87">
        <w:rPr>
          <w:caps/>
          <w:color w:val="auto"/>
        </w:rPr>
        <w:t>XXXXXXXXXXXXXXX</w:t>
      </w:r>
      <w:r w:rsidR="00ED3063">
        <w:rPr>
          <w:caps/>
          <w:color w:val="auto"/>
        </w:rPr>
        <w:t xml:space="preserve">                                                                 </w:t>
      </w:r>
      <w:r w:rsidR="00B10FFE">
        <w:rPr>
          <w:caps/>
          <w:color w:val="auto"/>
        </w:rPr>
        <w:t xml:space="preserve">    </w:t>
      </w:r>
      <w:r w:rsidR="00ED3063">
        <w:rPr>
          <w:caps/>
          <w:color w:val="auto"/>
        </w:rPr>
        <w:t xml:space="preserve">   B</w:t>
      </w:r>
      <w:r w:rsidRPr="0077265C">
        <w:rPr>
          <w:caps/>
          <w:color w:val="auto"/>
        </w:rPr>
        <w:t xml:space="preserve">RANCH OF SERVICE:  </w:t>
      </w:r>
      <w:r w:rsidR="0077265C" w:rsidRPr="0077265C">
        <w:rPr>
          <w:caps/>
          <w:color w:val="auto"/>
        </w:rPr>
        <w:t>Army</w:t>
      </w:r>
    </w:p>
    <w:p w:rsidR="0095270D" w:rsidRPr="00F64312" w:rsidRDefault="0095270D" w:rsidP="00DD5558">
      <w:pPr>
        <w:tabs>
          <w:tab w:val="right" w:pos="9360"/>
        </w:tabs>
        <w:jc w:val="both"/>
        <w:rPr>
          <w:color w:val="auto"/>
        </w:rPr>
      </w:pPr>
      <w:r w:rsidRPr="0077265C">
        <w:rPr>
          <w:caps/>
          <w:color w:val="auto"/>
        </w:rPr>
        <w:t>CASE NUMBER:  PD</w:t>
      </w:r>
      <w:r w:rsidR="001657BE" w:rsidRPr="0077265C">
        <w:rPr>
          <w:caps/>
          <w:color w:val="auto"/>
        </w:rPr>
        <w:t>12</w:t>
      </w:r>
      <w:r w:rsidRPr="0077265C">
        <w:rPr>
          <w:caps/>
          <w:color w:val="auto"/>
        </w:rPr>
        <w:t>00</w:t>
      </w:r>
      <w:r w:rsidR="0077265C" w:rsidRPr="0077265C">
        <w:rPr>
          <w:caps/>
          <w:color w:val="auto"/>
        </w:rPr>
        <w:t>156</w:t>
      </w:r>
      <w:r w:rsidR="00ED3063">
        <w:rPr>
          <w:caps/>
          <w:color w:val="auto"/>
        </w:rPr>
        <w:t xml:space="preserve">                                                               </w:t>
      </w:r>
      <w:r w:rsidR="00ED3063">
        <w:rPr>
          <w:color w:val="auto"/>
        </w:rPr>
        <w:t xml:space="preserve">  </w:t>
      </w:r>
      <w:r w:rsidR="0018208F" w:rsidRPr="00F64312">
        <w:rPr>
          <w:color w:val="auto"/>
        </w:rPr>
        <w:t>SE</w:t>
      </w:r>
      <w:r w:rsidRPr="00F64312">
        <w:rPr>
          <w:color w:val="auto"/>
        </w:rPr>
        <w:t>PARATION DATE:  200</w:t>
      </w:r>
      <w:r w:rsidR="0077265C">
        <w:rPr>
          <w:color w:val="auto"/>
        </w:rPr>
        <w:t>6081</w:t>
      </w:r>
      <w:r w:rsidR="00321A28">
        <w:rPr>
          <w:color w:val="auto"/>
        </w:rPr>
        <w:t>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10FFE">
        <w:rPr>
          <w:caps/>
          <w:color w:val="auto"/>
        </w:rPr>
        <w:t>0927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321A28">
        <w:rPr>
          <w:color w:val="auto"/>
          <w:u w:val="single"/>
        </w:rPr>
        <w:t>SUMMARY OF CASE</w:t>
      </w:r>
      <w:r w:rsidRPr="00321A28">
        <w:rPr>
          <w:color w:val="auto"/>
        </w:rPr>
        <w:t>:</w:t>
      </w:r>
      <w:r w:rsidR="00532B33" w:rsidRPr="00321A28">
        <w:rPr>
          <w:color w:val="auto"/>
        </w:rPr>
        <w:t xml:space="preserve"> </w:t>
      </w:r>
      <w:r w:rsidRPr="00321A28">
        <w:rPr>
          <w:color w:val="auto"/>
        </w:rPr>
        <w:t xml:space="preserve"> Data extracted from the available evidence of record reflects that this covered individual (CI) was </w:t>
      </w:r>
      <w:r w:rsidR="0077265C" w:rsidRPr="00321A28">
        <w:rPr>
          <w:color w:val="auto"/>
        </w:rPr>
        <w:t>a</w:t>
      </w:r>
      <w:r w:rsidR="006E0599" w:rsidRPr="00321A28">
        <w:rPr>
          <w:color w:val="auto"/>
        </w:rPr>
        <w:t xml:space="preserve">n activated </w:t>
      </w:r>
      <w:r w:rsidR="00463478" w:rsidRPr="00321A28">
        <w:rPr>
          <w:color w:val="auto"/>
        </w:rPr>
        <w:t xml:space="preserve">National </w:t>
      </w:r>
      <w:r w:rsidRPr="00321A28">
        <w:rPr>
          <w:color w:val="auto"/>
        </w:rPr>
        <w:t>Guard</w:t>
      </w:r>
      <w:r w:rsidR="0021565F" w:rsidRPr="00321A28">
        <w:rPr>
          <w:color w:val="auto"/>
        </w:rPr>
        <w:t xml:space="preserve"> </w:t>
      </w:r>
      <w:r w:rsidR="0017172C" w:rsidRPr="00321A28">
        <w:rPr>
          <w:color w:val="auto"/>
        </w:rPr>
        <w:t>SGT/E-5</w:t>
      </w:r>
      <w:r w:rsidRPr="00321A28">
        <w:rPr>
          <w:color w:val="auto"/>
        </w:rPr>
        <w:t xml:space="preserve"> (</w:t>
      </w:r>
      <w:r w:rsidR="0077265C" w:rsidRPr="00321A28">
        <w:rPr>
          <w:color w:val="auto"/>
        </w:rPr>
        <w:t>13M20</w:t>
      </w:r>
      <w:r w:rsidR="00594204">
        <w:rPr>
          <w:color w:val="auto"/>
        </w:rPr>
        <w:t xml:space="preserve">, </w:t>
      </w:r>
      <w:r w:rsidR="0077265C" w:rsidRPr="00321A28">
        <w:rPr>
          <w:color w:val="auto"/>
        </w:rPr>
        <w:t>MLRS/HIMARS Crew</w:t>
      </w:r>
      <w:r w:rsidR="00A70270" w:rsidRPr="00321A28">
        <w:rPr>
          <w:color w:val="auto"/>
        </w:rPr>
        <w:t>)</w:t>
      </w:r>
      <w:r w:rsidR="00565636" w:rsidRPr="00321A28">
        <w:rPr>
          <w:color w:val="auto"/>
        </w:rPr>
        <w:t>,</w:t>
      </w:r>
      <w:r w:rsidR="00A70270" w:rsidRPr="00321A28">
        <w:rPr>
          <w:color w:val="auto"/>
        </w:rPr>
        <w:t xml:space="preserve"> </w:t>
      </w:r>
      <w:r w:rsidRPr="00321A28">
        <w:rPr>
          <w:color w:val="auto"/>
        </w:rPr>
        <w:t xml:space="preserve">medically separated for </w:t>
      </w:r>
      <w:r w:rsidR="00B10FFE" w:rsidRPr="00321A28">
        <w:rPr>
          <w:color w:val="auto"/>
          <w:szCs w:val="24"/>
        </w:rPr>
        <w:t>chronic neck pain and conversion disorder</w:t>
      </w:r>
      <w:r w:rsidR="0077265C" w:rsidRPr="00321A28">
        <w:rPr>
          <w:color w:val="auto"/>
          <w:szCs w:val="24"/>
        </w:rPr>
        <w:t>.</w:t>
      </w:r>
      <w:r w:rsidR="00CF48D0" w:rsidRPr="00321A28">
        <w:rPr>
          <w:color w:val="auto"/>
          <w:szCs w:val="24"/>
        </w:rPr>
        <w:t xml:space="preserve">  His i</w:t>
      </w:r>
      <w:r w:rsidR="00206769" w:rsidRPr="00321A28">
        <w:rPr>
          <w:color w:val="auto"/>
          <w:szCs w:val="24"/>
        </w:rPr>
        <w:t xml:space="preserve">nitial injury occurred </w:t>
      </w:r>
      <w:r w:rsidR="006E0599" w:rsidRPr="00321A28">
        <w:rPr>
          <w:color w:val="auto"/>
          <w:szCs w:val="24"/>
        </w:rPr>
        <w:t xml:space="preserve">after a fall </w:t>
      </w:r>
      <w:r w:rsidR="00206769" w:rsidRPr="00321A28">
        <w:rPr>
          <w:color w:val="auto"/>
          <w:szCs w:val="24"/>
        </w:rPr>
        <w:t>while deployed to Iraq</w:t>
      </w:r>
      <w:r w:rsidR="00CF48D0" w:rsidRPr="00321A28">
        <w:rPr>
          <w:color w:val="auto"/>
          <w:szCs w:val="24"/>
        </w:rPr>
        <w:t xml:space="preserve">.  </w:t>
      </w:r>
      <w:r w:rsidR="00206769" w:rsidRPr="00321A28">
        <w:rPr>
          <w:color w:val="auto"/>
          <w:szCs w:val="24"/>
        </w:rPr>
        <w:t xml:space="preserve">After conservative measures failed to relieve his neck pain, a surgical fusion was performed.  Subsequent to that procedure, the CI began experiencing intermittent episodes of alteration in consciousness and </w:t>
      </w:r>
      <w:r w:rsidR="00E52D21" w:rsidRPr="00321A28">
        <w:rPr>
          <w:color w:val="auto"/>
          <w:szCs w:val="24"/>
        </w:rPr>
        <w:t xml:space="preserve">abnormal body </w:t>
      </w:r>
      <w:r w:rsidR="006E0599" w:rsidRPr="00321A28">
        <w:rPr>
          <w:color w:val="auto"/>
          <w:szCs w:val="24"/>
        </w:rPr>
        <w:t>movements that</w:t>
      </w:r>
      <w:r w:rsidR="00E52D21" w:rsidRPr="00321A28">
        <w:rPr>
          <w:color w:val="auto"/>
          <w:szCs w:val="24"/>
        </w:rPr>
        <w:t xml:space="preserve"> after a </w:t>
      </w:r>
      <w:r w:rsidR="006E0599" w:rsidRPr="00321A28">
        <w:rPr>
          <w:color w:val="auto"/>
          <w:szCs w:val="24"/>
        </w:rPr>
        <w:t xml:space="preserve">normal </w:t>
      </w:r>
      <w:r w:rsidR="00E52D21" w:rsidRPr="00321A28">
        <w:rPr>
          <w:color w:val="auto"/>
          <w:szCs w:val="24"/>
        </w:rPr>
        <w:t xml:space="preserve">neurological evaluation was </w:t>
      </w:r>
      <w:r w:rsidR="00206769" w:rsidRPr="00321A28">
        <w:rPr>
          <w:color w:val="auto"/>
          <w:szCs w:val="24"/>
        </w:rPr>
        <w:t xml:space="preserve">diagnosed as conversion disorder.  The </w:t>
      </w:r>
      <w:r w:rsidR="00B10FFE" w:rsidRPr="00321A28">
        <w:rPr>
          <w:color w:val="auto"/>
          <w:szCs w:val="24"/>
        </w:rPr>
        <w:t>n</w:t>
      </w:r>
      <w:r w:rsidR="00B10FFE" w:rsidRPr="00321A28">
        <w:rPr>
          <w:color w:val="auto"/>
        </w:rPr>
        <w:t xml:space="preserve">eck pain and conversion disorder </w:t>
      </w:r>
      <w:r w:rsidR="002143E5" w:rsidRPr="00321A28">
        <w:rPr>
          <w:color w:val="auto"/>
        </w:rPr>
        <w:t>condition</w:t>
      </w:r>
      <w:r w:rsidR="0051594B" w:rsidRPr="00321A28">
        <w:rPr>
          <w:color w:val="auto"/>
        </w:rPr>
        <w:t>s</w:t>
      </w:r>
      <w:r w:rsidR="00F566B7" w:rsidRPr="00321A28">
        <w:rPr>
          <w:color w:val="auto"/>
        </w:rPr>
        <w:t xml:space="preserve"> could </w:t>
      </w:r>
      <w:r w:rsidR="00F15483" w:rsidRPr="00321A28">
        <w:rPr>
          <w:color w:val="auto"/>
        </w:rPr>
        <w:t>not be adequately rehabilitated</w:t>
      </w:r>
      <w:r w:rsidR="00CF48D0" w:rsidRPr="00321A28">
        <w:rPr>
          <w:color w:val="auto"/>
        </w:rPr>
        <w:t xml:space="preserve"> </w:t>
      </w:r>
      <w:r w:rsidR="00F566B7" w:rsidRPr="00321A28">
        <w:rPr>
          <w:color w:val="auto"/>
        </w:rPr>
        <w:t>to meet the physical requirements of his Military Occupational Specialty (MOS)</w:t>
      </w:r>
      <w:r w:rsidR="0021565F" w:rsidRPr="00321A28">
        <w:rPr>
          <w:color w:val="auto"/>
        </w:rPr>
        <w:t xml:space="preserve"> </w:t>
      </w:r>
      <w:r w:rsidR="00F566B7" w:rsidRPr="00321A28">
        <w:rPr>
          <w:color w:val="auto"/>
        </w:rPr>
        <w:t>or satis</w:t>
      </w:r>
      <w:r w:rsidR="009C12A1" w:rsidRPr="00321A28">
        <w:rPr>
          <w:color w:val="auto"/>
        </w:rPr>
        <w:t>fy physical fitness standards.</w:t>
      </w:r>
      <w:r w:rsidR="00F566B7" w:rsidRPr="00321A28">
        <w:rPr>
          <w:color w:val="auto"/>
        </w:rPr>
        <w:t xml:space="preserve"> </w:t>
      </w:r>
      <w:r w:rsidR="009C12A1" w:rsidRPr="00321A28">
        <w:rPr>
          <w:color w:val="auto"/>
        </w:rPr>
        <w:t xml:space="preserve"> He </w:t>
      </w:r>
      <w:r w:rsidR="00F566B7" w:rsidRPr="00321A28">
        <w:rPr>
          <w:color w:val="auto"/>
        </w:rPr>
        <w:t xml:space="preserve">was issued a permanent </w:t>
      </w:r>
      <w:r w:rsidR="0077265C" w:rsidRPr="00321A28">
        <w:rPr>
          <w:color w:val="auto"/>
        </w:rPr>
        <w:t>P3/U3/S3</w:t>
      </w:r>
      <w:r w:rsidR="00F566B7" w:rsidRPr="00321A28">
        <w:rPr>
          <w:color w:val="auto"/>
        </w:rPr>
        <w:t xml:space="preserve"> profile and</w:t>
      </w:r>
      <w:r w:rsidR="009C12A1" w:rsidRPr="00321A28">
        <w:rPr>
          <w:color w:val="auto"/>
        </w:rPr>
        <w:t xml:space="preserve"> </w:t>
      </w:r>
      <w:r w:rsidR="00F566B7" w:rsidRPr="00321A28">
        <w:rPr>
          <w:color w:val="auto"/>
        </w:rPr>
        <w:t>referred for a Medical Evaluation Board (MEB).</w:t>
      </w:r>
      <w:r w:rsidR="00CF48D0" w:rsidRPr="00321A28">
        <w:rPr>
          <w:color w:val="auto"/>
        </w:rPr>
        <w:t xml:space="preserve">  The MEB referred the cervical disk disease (chronic neck pain), sleep apnea, conversion disorder and right shoulder pain for Physical Evaluation </w:t>
      </w:r>
      <w:r w:rsidR="00594204">
        <w:rPr>
          <w:color w:val="auto"/>
        </w:rPr>
        <w:t xml:space="preserve">Board (PEB) adjudication.  The </w:t>
      </w:r>
      <w:r w:rsidR="00CF48D0" w:rsidRPr="00321A28">
        <w:rPr>
          <w:color w:val="auto"/>
        </w:rPr>
        <w:t>PEB adjudicated the chronic neck pain</w:t>
      </w:r>
      <w:r w:rsidR="00E52D21" w:rsidRPr="00321A28">
        <w:rPr>
          <w:color w:val="auto"/>
        </w:rPr>
        <w:t xml:space="preserve">, </w:t>
      </w:r>
      <w:r w:rsidR="00CF48D0" w:rsidRPr="00321A28">
        <w:rPr>
          <w:color w:val="auto"/>
        </w:rPr>
        <w:t xml:space="preserve">unfitting </w:t>
      </w:r>
      <w:r w:rsidR="006E0599" w:rsidRPr="00321A28">
        <w:rPr>
          <w:color w:val="auto"/>
        </w:rPr>
        <w:t xml:space="preserve">and </w:t>
      </w:r>
      <w:r w:rsidR="00CF48D0" w:rsidRPr="00321A28">
        <w:rPr>
          <w:color w:val="auto"/>
        </w:rPr>
        <w:t xml:space="preserve">rated zero percent with </w:t>
      </w:r>
      <w:r w:rsidR="006E0599" w:rsidRPr="00321A28">
        <w:rPr>
          <w:color w:val="auto"/>
        </w:rPr>
        <w:t xml:space="preserve">likely </w:t>
      </w:r>
      <w:r w:rsidR="00CF48D0" w:rsidRPr="00321A28">
        <w:rPr>
          <w:color w:val="auto"/>
        </w:rPr>
        <w:t xml:space="preserve">application of the </w:t>
      </w:r>
      <w:r w:rsidR="00CF48D0" w:rsidRPr="00321A28">
        <w:rPr>
          <w:color w:val="auto"/>
          <w:szCs w:val="24"/>
        </w:rPr>
        <w:t>US Army Physical Disability Agency (USAPDA) pain policy</w:t>
      </w:r>
      <w:r w:rsidR="00B326D8" w:rsidRPr="00321A28">
        <w:rPr>
          <w:color w:val="auto"/>
          <w:szCs w:val="24"/>
        </w:rPr>
        <w:t>;</w:t>
      </w:r>
      <w:r w:rsidR="00E52D21" w:rsidRPr="00321A28">
        <w:rPr>
          <w:color w:val="auto"/>
          <w:szCs w:val="24"/>
        </w:rPr>
        <w:t xml:space="preserve"> </w:t>
      </w:r>
      <w:r w:rsidR="00CF48D0" w:rsidRPr="00321A28">
        <w:rPr>
          <w:color w:val="auto"/>
          <w:szCs w:val="24"/>
        </w:rPr>
        <w:t>and</w:t>
      </w:r>
      <w:r w:rsidR="00E52D21" w:rsidRPr="00321A28">
        <w:rPr>
          <w:color w:val="auto"/>
          <w:szCs w:val="24"/>
        </w:rPr>
        <w:t xml:space="preserve"> the </w:t>
      </w:r>
      <w:r w:rsidR="00CF48D0" w:rsidRPr="00321A28">
        <w:rPr>
          <w:color w:val="auto"/>
        </w:rPr>
        <w:t>conversion disorder</w:t>
      </w:r>
      <w:r w:rsidR="00E52D21" w:rsidRPr="00321A28">
        <w:rPr>
          <w:color w:val="auto"/>
        </w:rPr>
        <w:t xml:space="preserve"> also </w:t>
      </w:r>
      <w:r w:rsidR="00FB2154" w:rsidRPr="00321A28">
        <w:rPr>
          <w:color w:val="auto"/>
        </w:rPr>
        <w:t xml:space="preserve">adjudicated as </w:t>
      </w:r>
      <w:r w:rsidR="00CF48D0" w:rsidRPr="00321A28">
        <w:rPr>
          <w:color w:val="auto"/>
        </w:rPr>
        <w:t xml:space="preserve">unfitting </w:t>
      </w:r>
      <w:r w:rsidR="00E52D21" w:rsidRPr="00321A28">
        <w:rPr>
          <w:color w:val="auto"/>
        </w:rPr>
        <w:t xml:space="preserve">and </w:t>
      </w:r>
      <w:r w:rsidR="00CF48D0" w:rsidRPr="00321A28">
        <w:rPr>
          <w:color w:val="auto"/>
        </w:rPr>
        <w:t>rated zero percent</w:t>
      </w:r>
      <w:r w:rsidR="00B326D8" w:rsidRPr="00321A28">
        <w:rPr>
          <w:color w:val="auto"/>
        </w:rPr>
        <w:t xml:space="preserve"> with likely application of Department of Defense Instruction (DoDI) 1332.39</w:t>
      </w:r>
      <w:r w:rsidR="00E52D21" w:rsidRPr="00321A28">
        <w:rPr>
          <w:color w:val="auto"/>
        </w:rPr>
        <w:t xml:space="preserve">.  The </w:t>
      </w:r>
      <w:r w:rsidR="00CF48D0" w:rsidRPr="00321A28">
        <w:rPr>
          <w:color w:val="auto"/>
        </w:rPr>
        <w:t>sleep apnea and right shoulder pain</w:t>
      </w:r>
      <w:r w:rsidR="00E52D21" w:rsidRPr="00321A28">
        <w:rPr>
          <w:color w:val="auto"/>
        </w:rPr>
        <w:t xml:space="preserve"> were adjudicated as </w:t>
      </w:r>
      <w:r w:rsidR="00CF48D0" w:rsidRPr="00321A28">
        <w:rPr>
          <w:color w:val="auto"/>
        </w:rPr>
        <w:t>not unfitting an</w:t>
      </w:r>
      <w:r w:rsidR="0077265C" w:rsidRPr="00321A28">
        <w:rPr>
          <w:color w:val="auto"/>
        </w:rPr>
        <w:t>d therefore not ratable</w:t>
      </w:r>
      <w:r w:rsidR="00DF70F4" w:rsidRPr="00321A28">
        <w:rPr>
          <w:color w:val="auto"/>
        </w:rPr>
        <w:t>.</w:t>
      </w:r>
      <w:r w:rsidR="00CF48D0" w:rsidRPr="00321A28">
        <w:rPr>
          <w:color w:val="auto"/>
        </w:rPr>
        <w:t xml:space="preserve">  </w:t>
      </w:r>
      <w:r w:rsidRPr="00321A28">
        <w:rPr>
          <w:color w:val="auto"/>
        </w:rPr>
        <w:t xml:space="preserve">The CI made no appeals and was medically separated with </w:t>
      </w:r>
      <w:r w:rsidR="0077265C" w:rsidRPr="00321A28">
        <w:rPr>
          <w:color w:val="auto"/>
        </w:rPr>
        <w:t>a 0</w:t>
      </w:r>
      <w:r w:rsidR="0066684A" w:rsidRPr="00321A28">
        <w:rPr>
          <w:color w:val="auto"/>
        </w:rPr>
        <w:t xml:space="preserve">% </w:t>
      </w:r>
      <w:r w:rsidRPr="00321A28">
        <w:rPr>
          <w:color w:val="auto"/>
        </w:rPr>
        <w:t>disability rating.</w:t>
      </w:r>
      <w:r w:rsidR="00BB3AF0">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321A28">
        <w:rPr>
          <w:color w:val="auto"/>
          <w:u w:val="single"/>
        </w:rPr>
        <w:t>CI CONTENTION</w:t>
      </w:r>
      <w:r w:rsidRPr="00321A28">
        <w:rPr>
          <w:color w:val="auto"/>
        </w:rPr>
        <w:t>:</w:t>
      </w:r>
      <w:r w:rsidR="0066684A" w:rsidRPr="00321A28">
        <w:rPr>
          <w:color w:val="auto"/>
        </w:rPr>
        <w:t xml:space="preserve"> </w:t>
      </w:r>
      <w:r w:rsidR="006F674E" w:rsidRPr="00321A28">
        <w:rPr>
          <w:color w:val="auto"/>
        </w:rPr>
        <w:t xml:space="preserve"> </w:t>
      </w:r>
      <w:r w:rsidR="0077265C" w:rsidRPr="00321A28">
        <w:rPr>
          <w:color w:val="auto"/>
        </w:rPr>
        <w:t>“</w:t>
      </w:r>
      <w:r w:rsidR="0077265C" w:rsidRPr="00321A28">
        <w:rPr>
          <w:color w:val="000000" w:themeColor="text1"/>
        </w:rPr>
        <w:t xml:space="preserve">Member was injured in Iraq while serving in the Army. </w:t>
      </w:r>
      <w:r w:rsidR="00B326D8" w:rsidRPr="00321A28">
        <w:rPr>
          <w:color w:val="000000" w:themeColor="text1"/>
        </w:rPr>
        <w:t xml:space="preserve"> </w:t>
      </w:r>
      <w:r w:rsidR="0077265C" w:rsidRPr="00321A28">
        <w:rPr>
          <w:color w:val="000000" w:themeColor="text1"/>
        </w:rPr>
        <w:t>Upon returning home from this tour in February 2005, a fusion was performed on neck at B</w:t>
      </w:r>
      <w:r w:rsidR="003B0494">
        <w:rPr>
          <w:color w:val="000000" w:themeColor="text1"/>
        </w:rPr>
        <w:t>AMC (Brooke Army Medical Center)</w:t>
      </w:r>
      <w:r w:rsidR="0077265C" w:rsidRPr="00321A28">
        <w:rPr>
          <w:color w:val="000000" w:themeColor="text1"/>
        </w:rPr>
        <w:t xml:space="preserve"> in San Antonio, TX.  Six months later at Irwin Medical Center at Fort Riley, surgery was performed on right shoulder.  Following the first surgery, several reports were completed by </w:t>
      </w:r>
      <w:r w:rsidR="00DD605B" w:rsidRPr="00321A28">
        <w:rPr>
          <w:color w:val="000000" w:themeColor="text1"/>
        </w:rPr>
        <w:t>member’s</w:t>
      </w:r>
      <w:r w:rsidR="0077265C" w:rsidRPr="00321A28">
        <w:rPr>
          <w:color w:val="000000" w:themeColor="text1"/>
        </w:rPr>
        <w:t xml:space="preserve"> case worker for spouse reporting “seizure” like activity.  The MED board in 2006 found nothing wrong with member but was discharged with an </w:t>
      </w:r>
      <w:r w:rsidR="003B0494" w:rsidRPr="00321A28">
        <w:rPr>
          <w:color w:val="000000" w:themeColor="text1"/>
        </w:rPr>
        <w:t>honorable discharge and medical disability severance pay</w:t>
      </w:r>
      <w:r w:rsidR="0077265C" w:rsidRPr="00321A28">
        <w:rPr>
          <w:color w:val="000000" w:themeColor="text1"/>
        </w:rPr>
        <w:t xml:space="preserve">.  As of today in 2012, members VA primary physician has said that at this time member </w:t>
      </w:r>
      <w:r w:rsidR="00861946" w:rsidRPr="00321A28">
        <w:rPr>
          <w:color w:val="000000" w:themeColor="text1"/>
        </w:rPr>
        <w:t>cannot</w:t>
      </w:r>
      <w:r w:rsidR="0077265C" w:rsidRPr="00321A28">
        <w:rPr>
          <w:color w:val="000000" w:themeColor="text1"/>
        </w:rPr>
        <w:t xml:space="preserve"> work.  The VA has also recognized TBI/PTSD </w:t>
      </w:r>
      <w:r w:rsidR="003B0494">
        <w:rPr>
          <w:color w:val="000000" w:themeColor="text1"/>
        </w:rPr>
        <w:t xml:space="preserve">(traumatic brain injury and posttraumatic stress disorder) </w:t>
      </w:r>
      <w:r w:rsidR="0077265C" w:rsidRPr="00321A28">
        <w:rPr>
          <w:color w:val="000000" w:themeColor="text1"/>
        </w:rPr>
        <w:t xml:space="preserve">and awarded disability of 80%.  There is a review pending at this time for </w:t>
      </w:r>
      <w:proofErr w:type="spellStart"/>
      <w:r w:rsidR="0077265C" w:rsidRPr="00321A28">
        <w:rPr>
          <w:color w:val="000000" w:themeColor="text1"/>
        </w:rPr>
        <w:t>unemployability</w:t>
      </w:r>
      <w:proofErr w:type="spellEnd"/>
      <w:r w:rsidR="0077265C" w:rsidRPr="00321A28">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321A28">
        <w:rPr>
          <w:color w:val="auto"/>
          <w:u w:val="single"/>
        </w:rPr>
        <w:t>SCOPE OF REVIEW</w:t>
      </w:r>
      <w:r w:rsidRPr="00321A28">
        <w:rPr>
          <w:color w:val="auto"/>
        </w:rPr>
        <w:t>:  The Board wishes to clarify that the scope of its re</w:t>
      </w:r>
      <w:r w:rsidR="00AE2B85" w:rsidRPr="00321A28">
        <w:rPr>
          <w:color w:val="auto"/>
        </w:rPr>
        <w:t>view as defined in DoDI 6040.44, Enclosure 3, paragraph 5.e</w:t>
      </w:r>
      <w:proofErr w:type="gramStart"/>
      <w:r w:rsidR="00AE2B85" w:rsidRPr="00321A28">
        <w:rPr>
          <w:color w:val="auto"/>
        </w:rPr>
        <w:t>.(</w:t>
      </w:r>
      <w:proofErr w:type="gramEnd"/>
      <w:r w:rsidR="00AE2B85" w:rsidRPr="00321A28">
        <w:rPr>
          <w:color w:val="auto"/>
        </w:rPr>
        <w:t>2)</w:t>
      </w:r>
      <w:r w:rsidRPr="00321A28">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3B0494">
        <w:rPr>
          <w:color w:val="auto"/>
        </w:rPr>
        <w:t>.</w:t>
      </w:r>
      <w:r w:rsidRPr="00321A28">
        <w:rPr>
          <w:color w:val="auto"/>
        </w:rPr>
        <w:t xml:space="preserve">”  The ratings for unfitting conditions will be reviewed in all cases.  The conditions </w:t>
      </w:r>
      <w:r w:rsidR="00212B23" w:rsidRPr="00321A28">
        <w:rPr>
          <w:color w:val="auto"/>
        </w:rPr>
        <w:t>chronic neck pain, r</w:t>
      </w:r>
      <w:r w:rsidR="0077265C" w:rsidRPr="00321A28">
        <w:rPr>
          <w:color w:val="auto"/>
        </w:rPr>
        <w:t xml:space="preserve">ight </w:t>
      </w:r>
      <w:r w:rsidR="00212B23" w:rsidRPr="00321A28">
        <w:rPr>
          <w:color w:val="auto"/>
        </w:rPr>
        <w:t>s</w:t>
      </w:r>
      <w:r w:rsidR="0077265C" w:rsidRPr="00321A28">
        <w:rPr>
          <w:color w:val="auto"/>
        </w:rPr>
        <w:t>houlder</w:t>
      </w:r>
      <w:r w:rsidR="00212B23" w:rsidRPr="00321A28">
        <w:rPr>
          <w:color w:val="auto"/>
        </w:rPr>
        <w:t xml:space="preserve"> pain</w:t>
      </w:r>
      <w:r w:rsidRPr="00321A28">
        <w:rPr>
          <w:color w:val="auto"/>
        </w:rPr>
        <w:t xml:space="preserve"> </w:t>
      </w:r>
      <w:r w:rsidR="00212B23" w:rsidRPr="00321A28">
        <w:rPr>
          <w:color w:val="auto"/>
        </w:rPr>
        <w:t>and “seizure” like activity (</w:t>
      </w:r>
      <w:r w:rsidR="00B10FFE">
        <w:rPr>
          <w:color w:val="auto"/>
        </w:rPr>
        <w:t>c</w:t>
      </w:r>
      <w:r w:rsidR="00212B23" w:rsidRPr="00321A28">
        <w:rPr>
          <w:color w:val="auto"/>
        </w:rPr>
        <w:t xml:space="preserve">onversion disorder) </w:t>
      </w:r>
      <w:r w:rsidRPr="00321A28">
        <w:rPr>
          <w:color w:val="auto"/>
        </w:rPr>
        <w:t>as requested for consideration meet the criteria prescribed in DoDI 6040.44 for Board purview; and, are addressed below</w:t>
      </w:r>
      <w:r w:rsidR="001D6F0A" w:rsidRPr="00321A28">
        <w:rPr>
          <w:color w:val="auto"/>
        </w:rPr>
        <w:t xml:space="preserve">.  </w:t>
      </w:r>
      <w:r w:rsidRPr="00321A28">
        <w:rPr>
          <w:color w:val="auto"/>
        </w:rPr>
        <w:t>The other requested condition</w:t>
      </w:r>
      <w:r w:rsidR="00212B23" w:rsidRPr="00321A28">
        <w:rPr>
          <w:color w:val="auto"/>
        </w:rPr>
        <w:t>,</w:t>
      </w:r>
      <w:r w:rsidRPr="00321A28">
        <w:rPr>
          <w:color w:val="auto"/>
        </w:rPr>
        <w:t xml:space="preserve"> </w:t>
      </w:r>
      <w:r w:rsidR="0077265C" w:rsidRPr="00321A28">
        <w:rPr>
          <w:color w:val="auto"/>
        </w:rPr>
        <w:t>TBI</w:t>
      </w:r>
      <w:r w:rsidR="00212B23" w:rsidRPr="00321A28">
        <w:rPr>
          <w:color w:val="auto"/>
        </w:rPr>
        <w:t>/</w:t>
      </w:r>
      <w:r w:rsidR="0077265C" w:rsidRPr="00321A28">
        <w:rPr>
          <w:color w:val="auto"/>
        </w:rPr>
        <w:t>PTSD</w:t>
      </w:r>
      <w:r w:rsidR="00212B23" w:rsidRPr="00321A28">
        <w:rPr>
          <w:color w:val="auto"/>
        </w:rPr>
        <w:t xml:space="preserve">, is </w:t>
      </w:r>
      <w:r w:rsidRPr="00321A28">
        <w:rPr>
          <w:color w:val="auto"/>
        </w:rPr>
        <w:t>not within the Board’s purview.  Any conditions or contention not requested in this application, or otherwise outside the Board’s defined scope of review, remain eligible for future consider</w:t>
      </w:r>
      <w:r w:rsidR="003B0494">
        <w:rPr>
          <w:color w:val="auto"/>
        </w:rPr>
        <w:t xml:space="preserve">ation by the Army Board for </w:t>
      </w:r>
      <w:r w:rsidRPr="00321A28">
        <w:rPr>
          <w:color w:val="auto"/>
        </w:rPr>
        <w:t>Corre</w:t>
      </w:r>
      <w:r w:rsidR="003B0494">
        <w:rPr>
          <w:color w:val="auto"/>
        </w:rPr>
        <w:t>ction of Military Records</w:t>
      </w:r>
      <w:r w:rsidR="0077265C" w:rsidRPr="00321A28">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BB3AF0" w:rsidRDefault="00AD2379" w:rsidP="00BF0E94">
      <w:pPr>
        <w:jc w:val="left"/>
        <w:rPr>
          <w:color w:val="auto"/>
        </w:rPr>
      </w:pPr>
      <w:r w:rsidRPr="00743361">
        <w:rPr>
          <w:color w:val="auto"/>
          <w:u w:val="single"/>
        </w:rPr>
        <w:lastRenderedPageBreak/>
        <w:t>RATING COMPARISON</w:t>
      </w:r>
      <w:r w:rsidRPr="00743361">
        <w:rPr>
          <w:color w:val="auto"/>
        </w:rPr>
        <w:t xml:space="preserve">: </w:t>
      </w:r>
      <w:r w:rsidR="00855E73" w:rsidRPr="00743361">
        <w:rPr>
          <w:color w:val="auto"/>
        </w:rPr>
        <w:t xml:space="preserve"> </w:t>
      </w:r>
    </w:p>
    <w:p w:rsidR="0077265C" w:rsidRPr="00BB3AF0" w:rsidRDefault="0077265C" w:rsidP="0077265C">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358"/>
        <w:gridCol w:w="900"/>
        <w:gridCol w:w="900"/>
        <w:gridCol w:w="2610"/>
        <w:gridCol w:w="792"/>
        <w:gridCol w:w="828"/>
        <w:gridCol w:w="990"/>
      </w:tblGrid>
      <w:tr w:rsidR="0077265C" w:rsidRPr="00BB3AF0" w:rsidTr="0077265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Service IPEB – Dated 20060711</w:t>
            </w:r>
          </w:p>
        </w:tc>
        <w:tc>
          <w:tcPr>
            <w:tcW w:w="5220" w:type="dxa"/>
            <w:gridSpan w:val="4"/>
            <w:tcBorders>
              <w:left w:val="thinThickThinSmallGap" w:sz="2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VA (4 Mo. After Separation) – All Effective Date 20060820</w:t>
            </w:r>
          </w:p>
        </w:tc>
      </w:tr>
      <w:tr w:rsidR="0077265C" w:rsidRPr="00BB3AF0" w:rsidTr="00B10FFE">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Condition</w:t>
            </w:r>
          </w:p>
        </w:tc>
        <w:tc>
          <w:tcPr>
            <w:tcW w:w="792" w:type="dxa"/>
            <w:tcBorders>
              <w:bottom w:val="single" w:sz="4" w:space="0" w:color="000000" w:themeColor="text1"/>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Exam</w:t>
            </w:r>
          </w:p>
        </w:tc>
      </w:tr>
      <w:tr w:rsidR="0077265C" w:rsidRPr="00BB3AF0" w:rsidTr="00B10FFE">
        <w:trPr>
          <w:trHeight w:val="287"/>
          <w:jc w:val="center"/>
        </w:trPr>
        <w:tc>
          <w:tcPr>
            <w:tcW w:w="2358" w:type="dxa"/>
            <w:tcBorders>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Chronic Radiating Neck Pain</w:t>
            </w:r>
          </w:p>
        </w:tc>
        <w:tc>
          <w:tcPr>
            <w:tcW w:w="900" w:type="dxa"/>
            <w:tcBorders>
              <w:left w:val="single" w:sz="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5241</w:t>
            </w:r>
          </w:p>
        </w:tc>
        <w:tc>
          <w:tcPr>
            <w:tcW w:w="900" w:type="dxa"/>
            <w:tcBorders>
              <w:right w:val="thinThickThinSmallGap" w:sz="24" w:space="0" w:color="auto"/>
            </w:tcBorders>
            <w:shd w:val="clear" w:color="auto" w:fill="FFFFFF" w:themeFill="background1"/>
            <w:vAlign w:val="center"/>
          </w:tcPr>
          <w:p w:rsidR="0077265C" w:rsidRPr="00BB3AF0" w:rsidRDefault="0077265C" w:rsidP="0077265C">
            <w:pPr>
              <w:spacing w:line="180" w:lineRule="exact"/>
              <w:rPr>
                <w:rFonts w:cs="Calibri"/>
                <w:color w:val="auto"/>
                <w:sz w:val="18"/>
                <w:szCs w:val="18"/>
              </w:rPr>
            </w:pPr>
            <w:r w:rsidRPr="00BB3AF0">
              <w:rPr>
                <w:rFonts w:cs="Calibri"/>
                <w:color w:val="auto"/>
                <w:sz w:val="18"/>
                <w:szCs w:val="18"/>
              </w:rPr>
              <w:t>0%</w:t>
            </w:r>
          </w:p>
        </w:tc>
        <w:tc>
          <w:tcPr>
            <w:tcW w:w="2610" w:type="dxa"/>
            <w:tcBorders>
              <w:left w:val="thinThickThinSmallGap" w:sz="2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Cervical Spondylosis</w:t>
            </w:r>
          </w:p>
        </w:tc>
        <w:tc>
          <w:tcPr>
            <w:tcW w:w="792"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5241</w:t>
            </w:r>
          </w:p>
        </w:tc>
        <w:tc>
          <w:tcPr>
            <w:tcW w:w="828" w:type="dxa"/>
            <w:shd w:val="clear" w:color="auto" w:fill="FFFFFF" w:themeFill="background1"/>
            <w:vAlign w:val="center"/>
          </w:tcPr>
          <w:p w:rsidR="0077265C" w:rsidRPr="00BB3AF0" w:rsidRDefault="0077265C" w:rsidP="007F3077">
            <w:pPr>
              <w:spacing w:line="180" w:lineRule="exact"/>
              <w:contextualSpacing/>
              <w:rPr>
                <w:rFonts w:cs="Calibri"/>
                <w:color w:val="auto"/>
                <w:sz w:val="18"/>
                <w:szCs w:val="18"/>
              </w:rPr>
            </w:pPr>
            <w:r w:rsidRPr="00BB3AF0">
              <w:rPr>
                <w:rFonts w:cs="Calibri"/>
                <w:color w:val="auto"/>
                <w:sz w:val="18"/>
                <w:szCs w:val="18"/>
              </w:rPr>
              <w:t>10%</w:t>
            </w:r>
          </w:p>
        </w:tc>
        <w:tc>
          <w:tcPr>
            <w:tcW w:w="990"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20070221</w:t>
            </w:r>
          </w:p>
        </w:tc>
      </w:tr>
      <w:tr w:rsidR="0077265C" w:rsidRPr="00BB3AF0" w:rsidTr="00B10FFE">
        <w:trPr>
          <w:trHeight w:val="287"/>
          <w:jc w:val="center"/>
        </w:trPr>
        <w:tc>
          <w:tcPr>
            <w:tcW w:w="2358" w:type="dxa"/>
            <w:tcBorders>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Conversion Disorder</w:t>
            </w:r>
          </w:p>
        </w:tc>
        <w:tc>
          <w:tcPr>
            <w:tcW w:w="900" w:type="dxa"/>
            <w:tcBorders>
              <w:left w:val="single" w:sz="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9424</w:t>
            </w:r>
          </w:p>
        </w:tc>
        <w:tc>
          <w:tcPr>
            <w:tcW w:w="900" w:type="dxa"/>
            <w:tcBorders>
              <w:right w:val="thinThickThinSmallGap" w:sz="24" w:space="0" w:color="auto"/>
            </w:tcBorders>
            <w:shd w:val="clear" w:color="auto" w:fill="FFFFFF" w:themeFill="background1"/>
            <w:vAlign w:val="center"/>
          </w:tcPr>
          <w:p w:rsidR="0077265C" w:rsidRPr="00BB3AF0" w:rsidRDefault="0077265C" w:rsidP="0077265C">
            <w:pPr>
              <w:spacing w:line="180" w:lineRule="exact"/>
              <w:rPr>
                <w:rFonts w:cs="Calibri"/>
                <w:color w:val="auto"/>
                <w:sz w:val="18"/>
                <w:szCs w:val="18"/>
              </w:rPr>
            </w:pPr>
            <w:r w:rsidRPr="00BB3AF0">
              <w:rPr>
                <w:rFonts w:cs="Calibri"/>
                <w:color w:val="auto"/>
                <w:sz w:val="18"/>
                <w:szCs w:val="18"/>
              </w:rPr>
              <w:t>0%</w:t>
            </w:r>
          </w:p>
        </w:tc>
        <w:tc>
          <w:tcPr>
            <w:tcW w:w="2610" w:type="dxa"/>
            <w:tcBorders>
              <w:left w:val="thinThickThinSmallGap" w:sz="24" w:space="0" w:color="auto"/>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Conversion Disorder w/ Seizures</w:t>
            </w:r>
          </w:p>
        </w:tc>
        <w:tc>
          <w:tcPr>
            <w:tcW w:w="792" w:type="dxa"/>
            <w:tcBorders>
              <w:left w:val="single" w:sz="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9434</w:t>
            </w:r>
          </w:p>
        </w:tc>
        <w:tc>
          <w:tcPr>
            <w:tcW w:w="828"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10%</w:t>
            </w:r>
            <w:r w:rsidR="00ED3063" w:rsidRPr="00BB3AF0">
              <w:rPr>
                <w:rFonts w:cs="Calibri"/>
                <w:color w:val="auto"/>
                <w:sz w:val="18"/>
                <w:szCs w:val="18"/>
              </w:rPr>
              <w:t>*</w:t>
            </w:r>
          </w:p>
        </w:tc>
        <w:tc>
          <w:tcPr>
            <w:tcW w:w="990"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20070221</w:t>
            </w:r>
          </w:p>
        </w:tc>
      </w:tr>
      <w:tr w:rsidR="0077265C" w:rsidRPr="00BB3AF0" w:rsidTr="00B10FFE">
        <w:trPr>
          <w:trHeight w:val="287"/>
          <w:jc w:val="center"/>
        </w:trPr>
        <w:tc>
          <w:tcPr>
            <w:tcW w:w="2358" w:type="dxa"/>
            <w:tcBorders>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Sleep Apnea</w:t>
            </w:r>
          </w:p>
        </w:tc>
        <w:tc>
          <w:tcPr>
            <w:tcW w:w="1800" w:type="dxa"/>
            <w:gridSpan w:val="2"/>
            <w:tcBorders>
              <w:left w:val="single" w:sz="4" w:space="0" w:color="auto"/>
              <w:right w:val="thinThickThinSmallGap" w:sz="2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Obstructive Sleep Apnea</w:t>
            </w:r>
          </w:p>
        </w:tc>
        <w:tc>
          <w:tcPr>
            <w:tcW w:w="792" w:type="dxa"/>
            <w:tcBorders>
              <w:left w:val="single" w:sz="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6847</w:t>
            </w:r>
          </w:p>
        </w:tc>
        <w:tc>
          <w:tcPr>
            <w:tcW w:w="828"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NSC</w:t>
            </w:r>
          </w:p>
        </w:tc>
        <w:tc>
          <w:tcPr>
            <w:tcW w:w="990"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20070221</w:t>
            </w:r>
          </w:p>
        </w:tc>
      </w:tr>
      <w:tr w:rsidR="0077265C" w:rsidRPr="00BB3AF0" w:rsidTr="00B10FFE">
        <w:trPr>
          <w:trHeight w:val="287"/>
          <w:jc w:val="center"/>
        </w:trPr>
        <w:tc>
          <w:tcPr>
            <w:tcW w:w="2358" w:type="dxa"/>
            <w:tcBorders>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Rt Shoulder Pain</w:t>
            </w:r>
          </w:p>
        </w:tc>
        <w:tc>
          <w:tcPr>
            <w:tcW w:w="1800" w:type="dxa"/>
            <w:gridSpan w:val="2"/>
            <w:tcBorders>
              <w:left w:val="single" w:sz="4" w:space="0" w:color="auto"/>
              <w:right w:val="thinThickThinSmallGap" w:sz="2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77265C" w:rsidRPr="00BB3AF0" w:rsidRDefault="0077265C" w:rsidP="0077265C">
            <w:pPr>
              <w:spacing w:line="180" w:lineRule="exact"/>
              <w:contextualSpacing/>
              <w:jc w:val="left"/>
              <w:rPr>
                <w:rFonts w:cs="Calibri"/>
                <w:color w:val="auto"/>
                <w:sz w:val="18"/>
                <w:szCs w:val="18"/>
              </w:rPr>
            </w:pPr>
            <w:r w:rsidRPr="00BB3AF0">
              <w:rPr>
                <w:rFonts w:cs="Calibri"/>
                <w:color w:val="auto"/>
                <w:sz w:val="18"/>
                <w:szCs w:val="18"/>
              </w:rPr>
              <w:t>Rt Shoulder Impingement Syndrome</w:t>
            </w:r>
          </w:p>
        </w:tc>
        <w:tc>
          <w:tcPr>
            <w:tcW w:w="792" w:type="dxa"/>
            <w:tcBorders>
              <w:left w:val="single" w:sz="4" w:space="0" w:color="auto"/>
            </w:tcBorders>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5203</w:t>
            </w:r>
          </w:p>
        </w:tc>
        <w:tc>
          <w:tcPr>
            <w:tcW w:w="828" w:type="dxa"/>
            <w:shd w:val="clear" w:color="auto" w:fill="FFFFFF" w:themeFill="background1"/>
            <w:vAlign w:val="center"/>
          </w:tcPr>
          <w:p w:rsidR="0077265C" w:rsidRPr="00BB3AF0" w:rsidRDefault="0077265C" w:rsidP="00F76566">
            <w:pPr>
              <w:spacing w:line="180" w:lineRule="exact"/>
              <w:contextualSpacing/>
              <w:rPr>
                <w:rFonts w:cs="Calibri"/>
                <w:color w:val="auto"/>
                <w:sz w:val="18"/>
                <w:szCs w:val="18"/>
              </w:rPr>
            </w:pPr>
            <w:r w:rsidRPr="00BB3AF0">
              <w:rPr>
                <w:rFonts w:cs="Calibri"/>
                <w:color w:val="auto"/>
                <w:sz w:val="18"/>
                <w:szCs w:val="18"/>
              </w:rPr>
              <w:t>0%</w:t>
            </w:r>
            <w:r w:rsidR="00C23293" w:rsidRPr="00BB3AF0">
              <w:rPr>
                <w:rFonts w:cs="Calibri"/>
                <w:color w:val="auto"/>
                <w:sz w:val="18"/>
                <w:szCs w:val="18"/>
              </w:rPr>
              <w:t>*</w:t>
            </w:r>
          </w:p>
        </w:tc>
        <w:tc>
          <w:tcPr>
            <w:tcW w:w="990"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20070221</w:t>
            </w:r>
          </w:p>
        </w:tc>
      </w:tr>
      <w:tr w:rsidR="0077265C" w:rsidRPr="00BB3AF0" w:rsidTr="00BB3AF0">
        <w:trPr>
          <w:trHeight w:val="260"/>
          <w:jc w:val="center"/>
        </w:trPr>
        <w:tc>
          <w:tcPr>
            <w:tcW w:w="4158" w:type="dxa"/>
            <w:gridSpan w:val="3"/>
            <w:tcBorders>
              <w:right w:val="thinThickThinSmallGap" w:sz="24" w:space="0" w:color="auto"/>
            </w:tcBorders>
            <w:shd w:val="clear" w:color="auto" w:fill="FFFFFF" w:themeFill="background1"/>
            <w:vAlign w:val="center"/>
          </w:tcPr>
          <w:p w:rsidR="0077265C" w:rsidRPr="00BB3AF0" w:rsidRDefault="0077265C" w:rsidP="00BB3AF0">
            <w:pPr>
              <w:spacing w:line="180" w:lineRule="exact"/>
              <w:contextualSpacing/>
              <w:rPr>
                <w:rFonts w:cs="Calibri"/>
                <w:color w:val="auto"/>
                <w:sz w:val="18"/>
                <w:szCs w:val="18"/>
              </w:rPr>
            </w:pPr>
            <w:r w:rsidRPr="00BB3AF0">
              <w:rPr>
                <w:rFonts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77265C" w:rsidRPr="00BB3AF0" w:rsidRDefault="0077265C" w:rsidP="00FB2154">
            <w:pPr>
              <w:spacing w:line="180" w:lineRule="exact"/>
              <w:contextualSpacing/>
              <w:rPr>
                <w:rFonts w:cs="Calibri"/>
                <w:color w:val="auto"/>
                <w:sz w:val="18"/>
                <w:szCs w:val="18"/>
              </w:rPr>
            </w:pPr>
            <w:r w:rsidRPr="00BB3AF0">
              <w:rPr>
                <w:rFonts w:cs="Calibri"/>
                <w:color w:val="auto"/>
                <w:sz w:val="18"/>
                <w:szCs w:val="18"/>
              </w:rPr>
              <w:t xml:space="preserve">Not Service Connected x </w:t>
            </w:r>
            <w:r w:rsidR="00FB2154" w:rsidRPr="00BB3AF0">
              <w:rPr>
                <w:rFonts w:cs="Calibri"/>
                <w:color w:val="auto"/>
                <w:sz w:val="18"/>
                <w:szCs w:val="18"/>
              </w:rPr>
              <w:t>1</w:t>
            </w:r>
          </w:p>
        </w:tc>
        <w:tc>
          <w:tcPr>
            <w:tcW w:w="990" w:type="dxa"/>
            <w:shd w:val="clear" w:color="auto" w:fill="FFFFFF" w:themeFill="background1"/>
            <w:vAlign w:val="center"/>
          </w:tcPr>
          <w:p w:rsidR="0077265C" w:rsidRPr="00BB3AF0" w:rsidRDefault="0077265C" w:rsidP="0077265C">
            <w:pPr>
              <w:spacing w:line="180" w:lineRule="exact"/>
              <w:contextualSpacing/>
              <w:rPr>
                <w:rFonts w:cs="Calibri"/>
                <w:color w:val="auto"/>
                <w:sz w:val="18"/>
                <w:szCs w:val="18"/>
              </w:rPr>
            </w:pPr>
            <w:r w:rsidRPr="00BB3AF0">
              <w:rPr>
                <w:rFonts w:cs="Calibri"/>
                <w:color w:val="auto"/>
                <w:sz w:val="18"/>
                <w:szCs w:val="18"/>
              </w:rPr>
              <w:t>20070221</w:t>
            </w:r>
          </w:p>
        </w:tc>
      </w:tr>
      <w:tr w:rsidR="0077265C" w:rsidRPr="00BB3AF0" w:rsidTr="0077265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Combined:  0%</w:t>
            </w:r>
          </w:p>
        </w:tc>
        <w:tc>
          <w:tcPr>
            <w:tcW w:w="5220" w:type="dxa"/>
            <w:gridSpan w:val="4"/>
            <w:tcBorders>
              <w:left w:val="thinThickThinSmallGap" w:sz="24" w:space="0" w:color="auto"/>
            </w:tcBorders>
            <w:shd w:val="clear" w:color="auto" w:fill="D9D9D9" w:themeFill="background1" w:themeFillShade="D9"/>
            <w:vAlign w:val="center"/>
          </w:tcPr>
          <w:p w:rsidR="0077265C" w:rsidRPr="00BB3AF0" w:rsidRDefault="0077265C" w:rsidP="0077265C">
            <w:pPr>
              <w:contextualSpacing/>
              <w:rPr>
                <w:rFonts w:cs="Calibri"/>
                <w:b/>
                <w:color w:val="auto"/>
                <w:sz w:val="18"/>
                <w:szCs w:val="18"/>
              </w:rPr>
            </w:pPr>
            <w:r w:rsidRPr="00BB3AF0">
              <w:rPr>
                <w:rFonts w:cs="Calibri"/>
                <w:b/>
                <w:color w:val="auto"/>
                <w:sz w:val="18"/>
                <w:szCs w:val="18"/>
              </w:rPr>
              <w:t>Combined:  20%</w:t>
            </w:r>
            <w:r w:rsidR="007F3077" w:rsidRPr="00BB3AF0">
              <w:rPr>
                <w:rFonts w:cs="Calibri"/>
                <w:b/>
                <w:color w:val="auto"/>
                <w:sz w:val="18"/>
                <w:szCs w:val="18"/>
              </w:rPr>
              <w:t>*</w:t>
            </w:r>
          </w:p>
        </w:tc>
      </w:tr>
    </w:tbl>
    <w:p w:rsidR="00F90376" w:rsidRPr="00BB3AF0" w:rsidRDefault="00ED3063" w:rsidP="00E02BB3">
      <w:pPr>
        <w:pBdr>
          <w:bottom w:val="single" w:sz="12" w:space="1" w:color="auto"/>
        </w:pBdr>
        <w:tabs>
          <w:tab w:val="left" w:pos="288"/>
          <w:tab w:val="left" w:pos="4752"/>
        </w:tabs>
        <w:spacing w:line="180" w:lineRule="exact"/>
        <w:jc w:val="both"/>
        <w:rPr>
          <w:color w:val="auto"/>
          <w:sz w:val="18"/>
          <w:szCs w:val="18"/>
        </w:rPr>
      </w:pPr>
      <w:r w:rsidRPr="00BB3AF0">
        <w:rPr>
          <w:color w:val="auto"/>
          <w:sz w:val="18"/>
          <w:szCs w:val="18"/>
        </w:rPr>
        <w:t xml:space="preserve">* </w:t>
      </w:r>
      <w:r w:rsidR="00743361" w:rsidRPr="00BB3AF0">
        <w:rPr>
          <w:color w:val="auto"/>
          <w:sz w:val="18"/>
          <w:szCs w:val="18"/>
        </w:rPr>
        <w:t>Increased right shoulder</w:t>
      </w:r>
      <w:r w:rsidR="00E02BB3" w:rsidRPr="00BB3AF0">
        <w:rPr>
          <w:color w:val="auto"/>
          <w:sz w:val="18"/>
          <w:szCs w:val="18"/>
        </w:rPr>
        <w:t xml:space="preserve"> coded 5201</w:t>
      </w:r>
      <w:r w:rsidR="00743361" w:rsidRPr="00BB3AF0">
        <w:rPr>
          <w:color w:val="auto"/>
          <w:sz w:val="18"/>
          <w:szCs w:val="18"/>
        </w:rPr>
        <w:t xml:space="preserve"> to 30%</w:t>
      </w:r>
      <w:r w:rsidR="00E02BB3" w:rsidRPr="00BB3AF0">
        <w:rPr>
          <w:color w:val="auto"/>
          <w:sz w:val="18"/>
          <w:szCs w:val="18"/>
        </w:rPr>
        <w:t xml:space="preserve"> </w:t>
      </w:r>
      <w:r w:rsidR="00743361" w:rsidRPr="00BB3AF0">
        <w:rPr>
          <w:color w:val="auto"/>
          <w:sz w:val="18"/>
          <w:szCs w:val="18"/>
        </w:rPr>
        <w:t>effective 20090330 (combined 40%)</w:t>
      </w:r>
      <w:r w:rsidR="00B10FFE">
        <w:rPr>
          <w:color w:val="auto"/>
          <w:sz w:val="18"/>
          <w:szCs w:val="18"/>
        </w:rPr>
        <w:t>; Conversion d</w:t>
      </w:r>
      <w:r w:rsidR="00C23293" w:rsidRPr="00BB3AF0">
        <w:rPr>
          <w:color w:val="auto"/>
          <w:sz w:val="18"/>
          <w:szCs w:val="18"/>
        </w:rPr>
        <w:t xml:space="preserve">isorder increased to 30% with PTSD and MDD effective 20090605 (combined 60%) </w:t>
      </w:r>
    </w:p>
    <w:p w:rsidR="00E02BB3" w:rsidRPr="00BB3AF0" w:rsidRDefault="00E02BB3" w:rsidP="00E02BB3">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DE56C1" w:rsidRDefault="00AD2379" w:rsidP="0069687C">
      <w:pPr>
        <w:jc w:val="both"/>
        <w:rPr>
          <w:color w:val="auto"/>
        </w:rPr>
      </w:pPr>
      <w:r w:rsidRPr="00F64312">
        <w:rPr>
          <w:color w:val="auto"/>
          <w:u w:val="single"/>
        </w:rPr>
        <w:t>ANALYSIS SUMMARY</w:t>
      </w:r>
      <w:r w:rsidRPr="00F64312">
        <w:rPr>
          <w:color w:val="auto"/>
        </w:rPr>
        <w:t>:</w:t>
      </w:r>
      <w:r w:rsidR="00E02BB3">
        <w:rPr>
          <w:color w:val="auto"/>
        </w:rPr>
        <w:t xml:space="preserve">  </w:t>
      </w:r>
    </w:p>
    <w:p w:rsidR="00DE56C1" w:rsidRDefault="00DE56C1" w:rsidP="0069687C">
      <w:pPr>
        <w:jc w:val="both"/>
        <w:rPr>
          <w:color w:val="auto"/>
        </w:rPr>
      </w:pPr>
    </w:p>
    <w:p w:rsidR="0069687C" w:rsidRPr="00F64312" w:rsidRDefault="0077265C" w:rsidP="0069687C">
      <w:pPr>
        <w:jc w:val="both"/>
        <w:rPr>
          <w:color w:val="auto"/>
          <w:szCs w:val="24"/>
        </w:rPr>
      </w:pPr>
      <w:proofErr w:type="gramStart"/>
      <w:r w:rsidRPr="0077265C">
        <w:rPr>
          <w:color w:val="auto"/>
          <w:u w:val="single"/>
        </w:rPr>
        <w:t>Neck</w:t>
      </w:r>
      <w:r w:rsidR="00AD2379" w:rsidRPr="0077265C">
        <w:rPr>
          <w:color w:val="auto"/>
          <w:u w:val="single"/>
        </w:rPr>
        <w:t xml:space="preserve"> Condition</w:t>
      </w:r>
      <w:r w:rsidR="00AD2379" w:rsidRPr="0077265C">
        <w:rPr>
          <w:color w:val="auto"/>
        </w:rPr>
        <w:t>.</w:t>
      </w:r>
      <w:proofErr w:type="gramEnd"/>
      <w:r w:rsidR="005E3CC6">
        <w:rPr>
          <w:color w:val="auto"/>
        </w:rPr>
        <w:t xml:space="preserve">  </w:t>
      </w:r>
      <w:r w:rsidR="0069687C" w:rsidRPr="00F64312">
        <w:rPr>
          <w:color w:val="auto"/>
          <w:szCs w:val="24"/>
        </w:rPr>
        <w:t xml:space="preserve">There </w:t>
      </w:r>
      <w:r w:rsidR="00C97147">
        <w:rPr>
          <w:color w:val="auto"/>
          <w:szCs w:val="24"/>
        </w:rPr>
        <w:t>w</w:t>
      </w:r>
      <w:r w:rsidR="00036C26">
        <w:rPr>
          <w:color w:val="auto"/>
          <w:szCs w:val="24"/>
        </w:rPr>
        <w:t xml:space="preserve">ere </w:t>
      </w:r>
      <w:r w:rsidR="009E015C">
        <w:rPr>
          <w:color w:val="auto"/>
          <w:szCs w:val="24"/>
        </w:rPr>
        <w:t>two</w:t>
      </w:r>
      <w:r w:rsidR="00001EFC">
        <w:rPr>
          <w:color w:val="auto"/>
          <w:szCs w:val="24"/>
        </w:rPr>
        <w:t xml:space="preserve"> goniometric range</w:t>
      </w:r>
      <w:r w:rsidR="009E015C">
        <w:rPr>
          <w:color w:val="auto"/>
          <w:szCs w:val="24"/>
        </w:rPr>
        <w:t>-</w:t>
      </w:r>
      <w:r w:rsidR="00001EFC">
        <w:rPr>
          <w:color w:val="auto"/>
          <w:szCs w:val="24"/>
        </w:rPr>
        <w:t>of</w:t>
      </w:r>
      <w:r w:rsidR="009E015C">
        <w:rPr>
          <w:color w:val="auto"/>
          <w:szCs w:val="24"/>
        </w:rPr>
        <w:t>-</w:t>
      </w:r>
      <w:r w:rsidR="00C97147">
        <w:rPr>
          <w:color w:val="auto"/>
          <w:szCs w:val="24"/>
        </w:rPr>
        <w:t>motion (ROM) evaluation</w:t>
      </w:r>
      <w:r w:rsidR="00036C26">
        <w:rPr>
          <w:color w:val="auto"/>
          <w:szCs w:val="24"/>
        </w:rPr>
        <w:t xml:space="preserve">s </w:t>
      </w:r>
      <w:r w:rsidR="0069687C" w:rsidRPr="00F64312">
        <w:rPr>
          <w:color w:val="auto"/>
          <w:szCs w:val="24"/>
        </w:rPr>
        <w:t>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BB3AF0" w:rsidRDefault="00836B7B" w:rsidP="0069687C">
      <w:pPr>
        <w:jc w:val="both"/>
        <w:rPr>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600"/>
        <w:gridCol w:w="3420"/>
      </w:tblGrid>
      <w:tr w:rsidR="00F833B7" w:rsidRPr="00BB3AF0" w:rsidTr="00321A28">
        <w:trPr>
          <w:trHeight w:val="238"/>
        </w:trPr>
        <w:tc>
          <w:tcPr>
            <w:tcW w:w="2268" w:type="dxa"/>
            <w:tcBorders>
              <w:top w:val="single" w:sz="4" w:space="0" w:color="000000"/>
              <w:left w:val="single" w:sz="4" w:space="0" w:color="000000"/>
              <w:right w:val="single" w:sz="4" w:space="0" w:color="000000"/>
            </w:tcBorders>
            <w:shd w:val="pct15" w:color="auto" w:fill="auto"/>
            <w:vAlign w:val="center"/>
            <w:hideMark/>
          </w:tcPr>
          <w:p w:rsidR="00F833B7" w:rsidRPr="00BB3AF0" w:rsidRDefault="00F833B7" w:rsidP="00C23293">
            <w:pPr>
              <w:spacing w:line="200" w:lineRule="exact"/>
              <w:contextualSpacing/>
              <w:rPr>
                <w:rFonts w:eastAsia="Calibri"/>
                <w:b/>
                <w:color w:val="auto"/>
                <w:sz w:val="18"/>
                <w:szCs w:val="18"/>
              </w:rPr>
            </w:pPr>
            <w:r w:rsidRPr="00BB3AF0">
              <w:rPr>
                <w:rFonts w:eastAsia="Calibri"/>
                <w:color w:val="auto"/>
                <w:sz w:val="18"/>
                <w:szCs w:val="18"/>
              </w:rPr>
              <w:t>ROM – Cervical</w:t>
            </w:r>
          </w:p>
        </w:tc>
        <w:tc>
          <w:tcPr>
            <w:tcW w:w="36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833B7" w:rsidRPr="00BB3AF0" w:rsidRDefault="00F833B7" w:rsidP="00BB3AF0">
            <w:pPr>
              <w:spacing w:line="200" w:lineRule="exact"/>
              <w:contextualSpacing/>
              <w:rPr>
                <w:rFonts w:asciiTheme="minorHAnsi" w:eastAsia="Calibri" w:hAnsiTheme="minorHAnsi"/>
                <w:color w:val="auto"/>
                <w:sz w:val="18"/>
                <w:szCs w:val="18"/>
              </w:rPr>
            </w:pPr>
            <w:r w:rsidRPr="00BB3AF0">
              <w:rPr>
                <w:rFonts w:eastAsia="Calibri"/>
                <w:color w:val="auto"/>
                <w:sz w:val="18"/>
                <w:szCs w:val="18"/>
              </w:rPr>
              <w:t>NARSUM/PT ~2 Mo. Pre-Sep</w:t>
            </w:r>
          </w:p>
        </w:tc>
        <w:tc>
          <w:tcPr>
            <w:tcW w:w="3420" w:type="dxa"/>
            <w:tcBorders>
              <w:top w:val="single" w:sz="4" w:space="0" w:color="000000"/>
              <w:left w:val="single" w:sz="4" w:space="0" w:color="000000"/>
              <w:right w:val="single" w:sz="4" w:space="0" w:color="000000"/>
            </w:tcBorders>
            <w:shd w:val="pct15" w:color="auto" w:fill="auto"/>
            <w:vAlign w:val="center"/>
            <w:hideMark/>
          </w:tcPr>
          <w:p w:rsidR="00F833B7" w:rsidRPr="00BB3AF0" w:rsidRDefault="00F833B7" w:rsidP="00BB3AF0">
            <w:pPr>
              <w:spacing w:line="200" w:lineRule="exact"/>
              <w:contextualSpacing/>
              <w:rPr>
                <w:rFonts w:asciiTheme="minorHAnsi" w:eastAsia="Calibri" w:hAnsiTheme="minorHAnsi"/>
                <w:color w:val="auto"/>
                <w:sz w:val="18"/>
                <w:szCs w:val="18"/>
              </w:rPr>
            </w:pPr>
            <w:r w:rsidRPr="00BB3AF0">
              <w:rPr>
                <w:rFonts w:eastAsia="Calibri"/>
                <w:color w:val="auto"/>
                <w:sz w:val="18"/>
                <w:szCs w:val="18"/>
              </w:rPr>
              <w:t>VA</w:t>
            </w:r>
            <w:r w:rsidRPr="00BB3AF0">
              <w:rPr>
                <w:rFonts w:eastAsiaTheme="minorHAnsi"/>
                <w:color w:val="auto"/>
                <w:sz w:val="18"/>
                <w:szCs w:val="18"/>
              </w:rPr>
              <w:t xml:space="preserve"> C&amp;P </w:t>
            </w:r>
            <w:r w:rsidRPr="00BB3AF0">
              <w:rPr>
                <w:rFonts w:eastAsia="Calibri"/>
                <w:color w:val="auto"/>
                <w:sz w:val="18"/>
                <w:szCs w:val="18"/>
              </w:rPr>
              <w:t>~6 Mo. After-Sep</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Flex (0-45)</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321A28">
            <w:pPr>
              <w:spacing w:line="200" w:lineRule="exact"/>
              <w:contextualSpacing/>
              <w:rPr>
                <w:rFonts w:eastAsia="Calibri"/>
                <w:color w:val="auto"/>
                <w:sz w:val="18"/>
                <w:szCs w:val="18"/>
              </w:rPr>
            </w:pPr>
            <w:r w:rsidRPr="00BB3AF0">
              <w:rPr>
                <w:rFonts w:eastAsia="Calibri"/>
                <w:color w:val="auto"/>
                <w:sz w:val="18"/>
                <w:szCs w:val="18"/>
              </w:rPr>
              <w:t>25</w:t>
            </w:r>
            <w:r w:rsidRPr="00BB3AF0">
              <w:rPr>
                <w:rFonts w:eastAsia="Calibri"/>
                <w:color w:val="auto"/>
                <w:sz w:val="18"/>
                <w:szCs w:val="18"/>
                <w:vertAlign w:val="superscript"/>
              </w:rPr>
              <w:t>0</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321A28">
            <w:pPr>
              <w:spacing w:line="200" w:lineRule="exact"/>
              <w:contextualSpacing/>
              <w:rPr>
                <w:rFonts w:eastAsia="Calibri"/>
                <w:color w:val="auto"/>
                <w:sz w:val="18"/>
                <w:szCs w:val="18"/>
              </w:rPr>
            </w:pPr>
            <w:r w:rsidRPr="00BB3AF0">
              <w:rPr>
                <w:rFonts w:eastAsia="Calibri"/>
                <w:color w:val="auto"/>
                <w:sz w:val="18"/>
                <w:szCs w:val="18"/>
              </w:rPr>
              <w:t>35⁰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Ext (0-45)</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contextualSpacing/>
              <w:rPr>
                <w:rFonts w:eastAsia="Calibri"/>
                <w:color w:val="auto"/>
                <w:sz w:val="18"/>
                <w:szCs w:val="18"/>
              </w:rPr>
            </w:pPr>
            <w:r w:rsidRPr="00BB3AF0">
              <w:rPr>
                <w:rFonts w:eastAsia="Calibri"/>
                <w:color w:val="auto"/>
                <w:sz w:val="18"/>
                <w:szCs w:val="18"/>
              </w:rPr>
              <w:t>25</w:t>
            </w:r>
            <w:r w:rsidRPr="00BB3AF0">
              <w:rPr>
                <w:rFonts w:eastAsia="Calibri"/>
                <w:color w:val="auto"/>
                <w:sz w:val="18"/>
                <w:szCs w:val="18"/>
                <w:vertAlign w:val="superscript"/>
              </w:rPr>
              <w:t>0</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321A28">
            <w:pPr>
              <w:spacing w:line="200" w:lineRule="exact"/>
              <w:contextualSpacing/>
              <w:rPr>
                <w:rFonts w:eastAsia="Calibri"/>
                <w:color w:val="auto"/>
                <w:sz w:val="18"/>
                <w:szCs w:val="18"/>
              </w:rPr>
            </w:pPr>
            <w:r w:rsidRPr="00BB3AF0">
              <w:rPr>
                <w:rFonts w:eastAsia="Calibri"/>
                <w:color w:val="auto"/>
                <w:sz w:val="18"/>
                <w:szCs w:val="18"/>
              </w:rPr>
              <w:t>35⁰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R Lat Flex (0-45)</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contextualSpacing/>
              <w:rPr>
                <w:rFonts w:eastAsia="Calibri"/>
                <w:color w:val="auto"/>
                <w:sz w:val="18"/>
                <w:szCs w:val="18"/>
              </w:rPr>
            </w:pPr>
            <w:r w:rsidRPr="00BB3AF0">
              <w:rPr>
                <w:rFonts w:eastAsia="Calibri"/>
                <w:color w:val="auto"/>
                <w:sz w:val="18"/>
                <w:szCs w:val="18"/>
              </w:rPr>
              <w:t>10⁰</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321A28">
            <w:pPr>
              <w:spacing w:line="200" w:lineRule="exact"/>
              <w:contextualSpacing/>
              <w:rPr>
                <w:rFonts w:eastAsia="Calibri"/>
                <w:color w:val="auto"/>
                <w:sz w:val="18"/>
                <w:szCs w:val="18"/>
              </w:rPr>
            </w:pPr>
            <w:r w:rsidRPr="00BB3AF0">
              <w:rPr>
                <w:rFonts w:eastAsia="Calibri"/>
                <w:color w:val="auto"/>
                <w:sz w:val="18"/>
                <w:szCs w:val="18"/>
              </w:rPr>
              <w:t>40⁰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L Lat Flex (0-45)</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contextualSpacing/>
              <w:rPr>
                <w:rFonts w:eastAsia="Calibri"/>
                <w:color w:val="auto"/>
                <w:sz w:val="18"/>
                <w:szCs w:val="18"/>
              </w:rPr>
            </w:pPr>
            <w:r w:rsidRPr="00BB3AF0">
              <w:rPr>
                <w:rFonts w:eastAsia="Calibri"/>
                <w:color w:val="auto"/>
                <w:sz w:val="18"/>
                <w:szCs w:val="18"/>
              </w:rPr>
              <w:t>10⁰</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321A28">
            <w:pPr>
              <w:spacing w:line="200" w:lineRule="exact"/>
              <w:contextualSpacing/>
              <w:rPr>
                <w:rFonts w:eastAsia="Calibri"/>
                <w:color w:val="auto"/>
                <w:sz w:val="18"/>
                <w:szCs w:val="18"/>
              </w:rPr>
            </w:pPr>
            <w:r w:rsidRPr="00BB3AF0">
              <w:rPr>
                <w:rFonts w:eastAsia="Calibri"/>
                <w:color w:val="auto"/>
                <w:sz w:val="18"/>
                <w:szCs w:val="18"/>
              </w:rPr>
              <w:t>30⁰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R Rotation (0-80)</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contextualSpacing/>
              <w:rPr>
                <w:rFonts w:eastAsia="Calibri"/>
                <w:color w:val="auto"/>
                <w:sz w:val="18"/>
                <w:szCs w:val="18"/>
              </w:rPr>
            </w:pPr>
            <w:r w:rsidRPr="00BB3AF0">
              <w:rPr>
                <w:rFonts w:eastAsia="Calibri"/>
                <w:color w:val="auto"/>
                <w:sz w:val="18"/>
                <w:szCs w:val="18"/>
              </w:rPr>
              <w:t>4</w:t>
            </w:r>
            <w:r w:rsidR="00E02BB3" w:rsidRPr="00BB3AF0">
              <w:rPr>
                <w:rFonts w:eastAsia="Calibri"/>
                <w:color w:val="auto"/>
                <w:sz w:val="18"/>
                <w:szCs w:val="18"/>
              </w:rPr>
              <w:t>0</w:t>
            </w:r>
            <w:r w:rsidRPr="00BB3AF0">
              <w:rPr>
                <w:rFonts w:eastAsia="Calibri"/>
                <w:color w:val="auto"/>
                <w:sz w:val="18"/>
                <w:szCs w:val="18"/>
              </w:rPr>
              <w:t>⁰</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50⁰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L Rotation (0-80)</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contextualSpacing/>
              <w:rPr>
                <w:rFonts w:eastAsia="Calibri"/>
                <w:color w:val="auto"/>
                <w:sz w:val="18"/>
                <w:szCs w:val="18"/>
              </w:rPr>
            </w:pPr>
            <w:r w:rsidRPr="00BB3AF0">
              <w:rPr>
                <w:rFonts w:eastAsia="Calibri"/>
                <w:color w:val="auto"/>
                <w:sz w:val="18"/>
                <w:szCs w:val="18"/>
              </w:rPr>
              <w:t>50⁰</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45⁰</w:t>
            </w:r>
          </w:p>
        </w:tc>
      </w:tr>
      <w:tr w:rsidR="00321A28" w:rsidRPr="00BB3AF0" w:rsidTr="00321A28">
        <w:tc>
          <w:tcPr>
            <w:tcW w:w="2268" w:type="dxa"/>
            <w:tcBorders>
              <w:top w:val="single" w:sz="4" w:space="0" w:color="000000"/>
              <w:left w:val="single" w:sz="4" w:space="0" w:color="000000"/>
              <w:bottom w:val="single" w:sz="4" w:space="0" w:color="000000"/>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COMBINED (340)</w:t>
            </w:r>
          </w:p>
        </w:tc>
        <w:tc>
          <w:tcPr>
            <w:tcW w:w="360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BB3AF0">
            <w:pPr>
              <w:spacing w:line="200" w:lineRule="exact"/>
              <w:rPr>
                <w:color w:val="auto"/>
                <w:sz w:val="18"/>
                <w:szCs w:val="18"/>
              </w:rPr>
            </w:pPr>
            <w:r w:rsidRPr="00BB3AF0">
              <w:rPr>
                <w:rFonts w:eastAsia="Calibri"/>
                <w:color w:val="auto"/>
                <w:sz w:val="18"/>
                <w:szCs w:val="18"/>
              </w:rPr>
              <w:t>16</w:t>
            </w:r>
            <w:r w:rsidR="00E02BB3" w:rsidRPr="00BB3AF0">
              <w:rPr>
                <w:rFonts w:eastAsia="Calibri"/>
                <w:color w:val="auto"/>
                <w:sz w:val="18"/>
                <w:szCs w:val="18"/>
              </w:rPr>
              <w:t>0</w:t>
            </w:r>
            <w:r w:rsidRPr="00BB3AF0">
              <w:rPr>
                <w:rFonts w:eastAsia="Calibri"/>
                <w:color w:val="auto"/>
                <w:sz w:val="18"/>
                <w:szCs w:val="18"/>
              </w:rPr>
              <w:t>⁰</w:t>
            </w:r>
          </w:p>
        </w:tc>
        <w:tc>
          <w:tcPr>
            <w:tcW w:w="3420" w:type="dxa"/>
            <w:tcBorders>
              <w:top w:val="single" w:sz="4" w:space="0" w:color="000000"/>
              <w:left w:val="single" w:sz="4" w:space="0" w:color="000000"/>
              <w:bottom w:val="single" w:sz="4" w:space="0" w:color="000000"/>
              <w:right w:val="single" w:sz="4" w:space="0" w:color="000000"/>
            </w:tcBorders>
            <w:vAlign w:val="center"/>
          </w:tcPr>
          <w:p w:rsidR="00321A28" w:rsidRPr="00BB3AF0" w:rsidRDefault="00321A28" w:rsidP="00C23293">
            <w:pPr>
              <w:spacing w:line="200" w:lineRule="exact"/>
              <w:rPr>
                <w:color w:val="auto"/>
                <w:sz w:val="18"/>
                <w:szCs w:val="18"/>
              </w:rPr>
            </w:pPr>
            <w:r w:rsidRPr="00BB3AF0">
              <w:rPr>
                <w:rFonts w:eastAsia="Calibri"/>
                <w:color w:val="auto"/>
                <w:sz w:val="18"/>
                <w:szCs w:val="18"/>
              </w:rPr>
              <w:t>235⁰</w:t>
            </w:r>
          </w:p>
        </w:tc>
      </w:tr>
      <w:tr w:rsidR="00321A28" w:rsidRPr="00BB3AF0" w:rsidTr="00321A28">
        <w:tc>
          <w:tcPr>
            <w:tcW w:w="2268" w:type="dxa"/>
            <w:tcBorders>
              <w:top w:val="single" w:sz="4" w:space="0" w:color="000000"/>
              <w:left w:val="single" w:sz="4" w:space="0" w:color="000000"/>
              <w:bottom w:val="single" w:sz="4" w:space="0" w:color="auto"/>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Comment:  Surgery ~14 Mo. Pre-Sep</w:t>
            </w:r>
          </w:p>
        </w:tc>
        <w:tc>
          <w:tcPr>
            <w:tcW w:w="3600" w:type="dxa"/>
            <w:tcBorders>
              <w:top w:val="single" w:sz="4" w:space="0" w:color="000000"/>
              <w:left w:val="single" w:sz="4" w:space="0" w:color="000000"/>
              <w:bottom w:val="single" w:sz="4" w:space="0" w:color="auto"/>
              <w:right w:val="single" w:sz="4" w:space="0" w:color="000000"/>
            </w:tcBorders>
            <w:vAlign w:val="center"/>
          </w:tcPr>
          <w:p w:rsidR="00321A28" w:rsidRPr="00BB3AF0" w:rsidRDefault="00321A28" w:rsidP="00F47C85">
            <w:pPr>
              <w:tabs>
                <w:tab w:val="left" w:pos="288"/>
                <w:tab w:val="left" w:pos="4752"/>
              </w:tabs>
              <w:spacing w:line="200" w:lineRule="exact"/>
              <w:rPr>
                <w:rFonts w:eastAsiaTheme="minorHAnsi"/>
                <w:color w:val="auto"/>
                <w:sz w:val="18"/>
                <w:szCs w:val="18"/>
              </w:rPr>
            </w:pPr>
            <w:r w:rsidRPr="00BB3AF0">
              <w:rPr>
                <w:rFonts w:eastAsiaTheme="minorHAnsi"/>
                <w:color w:val="auto"/>
                <w:sz w:val="18"/>
                <w:szCs w:val="18"/>
              </w:rPr>
              <w:t>+ pain w/ motion; strength 5/5 (see text)</w:t>
            </w:r>
          </w:p>
        </w:tc>
        <w:tc>
          <w:tcPr>
            <w:tcW w:w="3420" w:type="dxa"/>
            <w:tcBorders>
              <w:top w:val="single" w:sz="4" w:space="0" w:color="000000"/>
              <w:left w:val="single" w:sz="4" w:space="0" w:color="000000"/>
              <w:bottom w:val="single" w:sz="4" w:space="0" w:color="auto"/>
              <w:right w:val="single" w:sz="4" w:space="0" w:color="000000"/>
            </w:tcBorders>
            <w:vAlign w:val="center"/>
          </w:tcPr>
          <w:p w:rsidR="00321A28" w:rsidRPr="00BB3AF0" w:rsidRDefault="00321A28" w:rsidP="00C23293">
            <w:pPr>
              <w:tabs>
                <w:tab w:val="left" w:pos="288"/>
                <w:tab w:val="left" w:pos="4752"/>
              </w:tabs>
              <w:spacing w:line="200" w:lineRule="exact"/>
              <w:rPr>
                <w:rFonts w:eastAsiaTheme="minorHAnsi"/>
                <w:color w:val="auto"/>
                <w:sz w:val="18"/>
                <w:szCs w:val="18"/>
              </w:rPr>
            </w:pPr>
            <w:r w:rsidRPr="00BB3AF0">
              <w:rPr>
                <w:rFonts w:eastAsiaTheme="minorHAnsi"/>
                <w:color w:val="auto"/>
                <w:sz w:val="18"/>
                <w:szCs w:val="18"/>
              </w:rPr>
              <w:t>+ pain w/ motion; No DeLuca decrease; normal STR &amp; DTR</w:t>
            </w:r>
          </w:p>
        </w:tc>
      </w:tr>
      <w:tr w:rsidR="00321A28" w:rsidRPr="00BB3AF0" w:rsidTr="00321A28">
        <w:tc>
          <w:tcPr>
            <w:tcW w:w="2268" w:type="dxa"/>
            <w:tcBorders>
              <w:top w:val="single" w:sz="4" w:space="0" w:color="000000"/>
              <w:left w:val="single" w:sz="4" w:space="0" w:color="000000"/>
              <w:bottom w:val="single" w:sz="4" w:space="0" w:color="auto"/>
              <w:right w:val="single" w:sz="4" w:space="0" w:color="000000"/>
            </w:tcBorders>
            <w:vAlign w:val="center"/>
            <w:hideMark/>
          </w:tcPr>
          <w:p w:rsidR="00321A28" w:rsidRPr="00BB3AF0" w:rsidRDefault="00321A28" w:rsidP="00C23293">
            <w:pPr>
              <w:spacing w:line="200" w:lineRule="exact"/>
              <w:contextualSpacing/>
              <w:rPr>
                <w:rFonts w:eastAsia="Calibri"/>
                <w:color w:val="auto"/>
                <w:sz w:val="18"/>
                <w:szCs w:val="18"/>
              </w:rPr>
            </w:pPr>
            <w:r w:rsidRPr="00BB3AF0">
              <w:rPr>
                <w:rFonts w:eastAsia="Calibri"/>
                <w:color w:val="auto"/>
                <w:sz w:val="18"/>
                <w:szCs w:val="18"/>
              </w:rPr>
              <w:t>§4.71a Rating</w:t>
            </w:r>
          </w:p>
        </w:tc>
        <w:tc>
          <w:tcPr>
            <w:tcW w:w="3600" w:type="dxa"/>
            <w:tcBorders>
              <w:top w:val="single" w:sz="4" w:space="0" w:color="000000"/>
              <w:left w:val="single" w:sz="4" w:space="0" w:color="000000"/>
              <w:bottom w:val="single" w:sz="4" w:space="0" w:color="auto"/>
              <w:right w:val="single" w:sz="4" w:space="0" w:color="000000"/>
            </w:tcBorders>
            <w:vAlign w:val="center"/>
          </w:tcPr>
          <w:p w:rsidR="00321A28" w:rsidRPr="00BB3AF0" w:rsidRDefault="00321A28" w:rsidP="00321A28">
            <w:pPr>
              <w:tabs>
                <w:tab w:val="left" w:pos="288"/>
                <w:tab w:val="left" w:pos="4752"/>
              </w:tabs>
              <w:spacing w:line="200" w:lineRule="exact"/>
              <w:rPr>
                <w:rFonts w:eastAsiaTheme="minorHAnsi"/>
                <w:color w:val="auto"/>
                <w:sz w:val="18"/>
                <w:szCs w:val="18"/>
              </w:rPr>
            </w:pPr>
            <w:r w:rsidRPr="00BB3AF0">
              <w:rPr>
                <w:rFonts w:eastAsiaTheme="minorHAnsi"/>
                <w:color w:val="auto"/>
                <w:sz w:val="18"/>
                <w:szCs w:val="18"/>
              </w:rPr>
              <w:t>20%</w:t>
            </w:r>
          </w:p>
        </w:tc>
        <w:tc>
          <w:tcPr>
            <w:tcW w:w="3420" w:type="dxa"/>
            <w:tcBorders>
              <w:top w:val="single" w:sz="4" w:space="0" w:color="000000"/>
              <w:left w:val="single" w:sz="4" w:space="0" w:color="000000"/>
              <w:bottom w:val="single" w:sz="4" w:space="0" w:color="auto"/>
              <w:right w:val="single" w:sz="4" w:space="0" w:color="000000"/>
            </w:tcBorders>
            <w:vAlign w:val="center"/>
          </w:tcPr>
          <w:p w:rsidR="00321A28" w:rsidRPr="00BB3AF0" w:rsidRDefault="00321A28" w:rsidP="00C23293">
            <w:pPr>
              <w:tabs>
                <w:tab w:val="left" w:pos="288"/>
                <w:tab w:val="left" w:pos="4752"/>
              </w:tabs>
              <w:spacing w:line="200" w:lineRule="exact"/>
              <w:rPr>
                <w:rFonts w:eastAsiaTheme="minorHAnsi"/>
                <w:color w:val="auto"/>
                <w:sz w:val="18"/>
                <w:szCs w:val="18"/>
              </w:rPr>
            </w:pPr>
            <w:r w:rsidRPr="00BB3AF0">
              <w:rPr>
                <w:rFonts w:eastAsiaTheme="minorHAnsi"/>
                <w:color w:val="auto"/>
                <w:sz w:val="18"/>
                <w:szCs w:val="18"/>
              </w:rPr>
              <w:t>10%</w:t>
            </w:r>
          </w:p>
        </w:tc>
      </w:tr>
    </w:tbl>
    <w:p w:rsidR="002671DF" w:rsidRPr="00BB3AF0" w:rsidRDefault="00477317" w:rsidP="0069687C">
      <w:pPr>
        <w:jc w:val="both"/>
        <w:rPr>
          <w:color w:val="auto"/>
          <w:sz w:val="18"/>
          <w:szCs w:val="18"/>
        </w:rPr>
      </w:pPr>
      <w:r w:rsidRPr="00BB3AF0">
        <w:rPr>
          <w:color w:val="auto"/>
          <w:sz w:val="18"/>
          <w:szCs w:val="18"/>
        </w:rPr>
        <w:t xml:space="preserve"> Rounding IAW general spine formula Note (</w:t>
      </w:r>
      <w:proofErr w:type="gramStart"/>
      <w:r w:rsidRPr="00BB3AF0">
        <w:rPr>
          <w:color w:val="auto"/>
          <w:sz w:val="18"/>
          <w:szCs w:val="18"/>
        </w:rPr>
        <w:t>4)</w:t>
      </w:r>
      <w:r w:rsidR="00603058" w:rsidRPr="00BB3AF0">
        <w:rPr>
          <w:color w:val="auto"/>
          <w:sz w:val="18"/>
          <w:szCs w:val="18"/>
        </w:rPr>
        <w:t>,</w:t>
      </w:r>
      <w:proofErr w:type="gramEnd"/>
      <w:r w:rsidR="00603058" w:rsidRPr="00BB3AF0">
        <w:rPr>
          <w:color w:val="auto"/>
          <w:sz w:val="18"/>
          <w:szCs w:val="18"/>
        </w:rPr>
        <w:t xml:space="preserve"> and use of DeLuca criteria</w:t>
      </w:r>
    </w:p>
    <w:p w:rsidR="002671DF" w:rsidRPr="00BB3AF0" w:rsidRDefault="002671DF" w:rsidP="0069687C">
      <w:pPr>
        <w:jc w:val="both"/>
        <w:rPr>
          <w:color w:val="auto"/>
        </w:rPr>
      </w:pPr>
    </w:p>
    <w:p w:rsidR="00F47C85" w:rsidRPr="00F64312" w:rsidRDefault="005E3CC6" w:rsidP="0069687C">
      <w:pPr>
        <w:jc w:val="both"/>
        <w:rPr>
          <w:color w:val="auto"/>
          <w:szCs w:val="24"/>
        </w:rPr>
      </w:pPr>
      <w:r w:rsidRPr="000C178A">
        <w:rPr>
          <w:color w:val="auto"/>
        </w:rPr>
        <w:t>The narrative summary (NARSUM)</w:t>
      </w:r>
      <w:r w:rsidR="002671DF">
        <w:rPr>
          <w:color w:val="auto"/>
        </w:rPr>
        <w:t>,</w:t>
      </w:r>
      <w:r w:rsidRPr="000C178A">
        <w:rPr>
          <w:color w:val="auto"/>
        </w:rPr>
        <w:t xml:space="preserve"> </w:t>
      </w:r>
      <w:r w:rsidR="0059188A">
        <w:rPr>
          <w:color w:val="auto"/>
        </w:rPr>
        <w:t>performed 3</w:t>
      </w:r>
      <w:r w:rsidR="00CF700E">
        <w:rPr>
          <w:color w:val="auto"/>
        </w:rPr>
        <w:t xml:space="preserve"> months prior to </w:t>
      </w:r>
      <w:r w:rsidR="00F47C85">
        <w:rPr>
          <w:color w:val="auto"/>
        </w:rPr>
        <w:t>separation</w:t>
      </w:r>
      <w:r w:rsidR="00CF700E">
        <w:rPr>
          <w:color w:val="auto"/>
        </w:rPr>
        <w:t xml:space="preserve"> indicated</w:t>
      </w:r>
      <w:r w:rsidR="00265FB4" w:rsidRPr="000C178A">
        <w:rPr>
          <w:color w:val="auto"/>
        </w:rPr>
        <w:t xml:space="preserve"> </w:t>
      </w:r>
      <w:r w:rsidR="00CF700E">
        <w:rPr>
          <w:color w:val="auto"/>
        </w:rPr>
        <w:t xml:space="preserve">the </w:t>
      </w:r>
      <w:r w:rsidR="00265FB4" w:rsidRPr="000C178A">
        <w:rPr>
          <w:color w:val="auto"/>
        </w:rPr>
        <w:t xml:space="preserve">CI’s initial injury </w:t>
      </w:r>
      <w:r w:rsidR="00CF700E">
        <w:rPr>
          <w:color w:val="auto"/>
        </w:rPr>
        <w:t xml:space="preserve">was </w:t>
      </w:r>
      <w:r w:rsidR="00265FB4" w:rsidRPr="000C178A">
        <w:rPr>
          <w:color w:val="auto"/>
        </w:rPr>
        <w:t xml:space="preserve">in September 2004 while deployed to Iraq when he fell and struck the right side of his head and neck on a barrier.  </w:t>
      </w:r>
      <w:r w:rsidR="00CF700E">
        <w:rPr>
          <w:color w:val="auto"/>
        </w:rPr>
        <w:t>The CI</w:t>
      </w:r>
      <w:r w:rsidR="00265FB4" w:rsidRPr="000C178A">
        <w:rPr>
          <w:color w:val="auto"/>
        </w:rPr>
        <w:t xml:space="preserve"> initially had an </w:t>
      </w:r>
      <w:r w:rsidR="0059188A">
        <w:rPr>
          <w:color w:val="auto"/>
        </w:rPr>
        <w:t>X</w:t>
      </w:r>
      <w:r w:rsidR="00265FB4" w:rsidRPr="000C178A">
        <w:rPr>
          <w:color w:val="auto"/>
        </w:rPr>
        <w:t xml:space="preserve">-ray and physical therapy </w:t>
      </w:r>
      <w:r w:rsidR="009E015C">
        <w:rPr>
          <w:color w:val="auto"/>
        </w:rPr>
        <w:t>(PT)</w:t>
      </w:r>
      <w:r w:rsidR="00BE7428">
        <w:rPr>
          <w:color w:val="auto"/>
        </w:rPr>
        <w:t xml:space="preserve"> </w:t>
      </w:r>
      <w:r w:rsidR="00265FB4" w:rsidRPr="000C178A">
        <w:rPr>
          <w:color w:val="auto"/>
        </w:rPr>
        <w:t xml:space="preserve">in Iraq and was able to complete his deployment in spite of continued pain.  Re-evaluation of his neck pain </w:t>
      </w:r>
      <w:r w:rsidR="002671DF">
        <w:rPr>
          <w:color w:val="auto"/>
        </w:rPr>
        <w:t xml:space="preserve">and radicular symptoms </w:t>
      </w:r>
      <w:r w:rsidR="00265FB4" w:rsidRPr="000C178A">
        <w:rPr>
          <w:color w:val="auto"/>
        </w:rPr>
        <w:t>resulted in a C5-6 anterior cervical discectomy and fusion</w:t>
      </w:r>
      <w:r w:rsidR="002671DF">
        <w:rPr>
          <w:color w:val="auto"/>
        </w:rPr>
        <w:t>/plating with thecal sac and nerve root decompression</w:t>
      </w:r>
      <w:r w:rsidR="002C77D0" w:rsidRPr="00321A28">
        <w:rPr>
          <w:color w:val="auto"/>
        </w:rPr>
        <w:t>,</w:t>
      </w:r>
      <w:r w:rsidR="00265FB4" w:rsidRPr="00321A28">
        <w:rPr>
          <w:color w:val="auto"/>
        </w:rPr>
        <w:t xml:space="preserve"> </w:t>
      </w:r>
      <w:r w:rsidR="002C77D0" w:rsidRPr="00321A28">
        <w:rPr>
          <w:color w:val="auto"/>
        </w:rPr>
        <w:t>14 months prior to separation</w:t>
      </w:r>
      <w:r w:rsidR="00265FB4" w:rsidRPr="00321A28">
        <w:rPr>
          <w:color w:val="auto"/>
        </w:rPr>
        <w:t>.</w:t>
      </w:r>
      <w:r w:rsidR="00DA7B01" w:rsidRPr="000C178A">
        <w:rPr>
          <w:color w:val="auto"/>
        </w:rPr>
        <w:t xml:space="preserve">  After the procedure, the CI’s right arm radicular symptoms resolved</w:t>
      </w:r>
      <w:r w:rsidR="002C77D0">
        <w:rPr>
          <w:color w:val="auto"/>
        </w:rPr>
        <w:t>,</w:t>
      </w:r>
      <w:r w:rsidR="00DA7B01" w:rsidRPr="000C178A">
        <w:rPr>
          <w:color w:val="auto"/>
        </w:rPr>
        <w:t xml:space="preserve"> but he continued to have neck pain.</w:t>
      </w:r>
      <w:r w:rsidR="00265FB4">
        <w:rPr>
          <w:color w:val="auto"/>
        </w:rPr>
        <w:t xml:space="preserve">  </w:t>
      </w:r>
      <w:r w:rsidR="00CF700E">
        <w:rPr>
          <w:color w:val="auto"/>
          <w:szCs w:val="24"/>
        </w:rPr>
        <w:t>The NARSUM referred to the PT ROMs summarized above</w:t>
      </w:r>
      <w:r w:rsidR="00CF700E" w:rsidRPr="00321A28">
        <w:rPr>
          <w:color w:val="auto"/>
          <w:szCs w:val="24"/>
        </w:rPr>
        <w:t xml:space="preserve">.  </w:t>
      </w:r>
      <w:r w:rsidR="009E015C">
        <w:rPr>
          <w:color w:val="auto"/>
          <w:szCs w:val="24"/>
        </w:rPr>
        <w:t>The examiner stated that “g</w:t>
      </w:r>
      <w:r w:rsidR="00F47C85" w:rsidRPr="00321A28">
        <w:rPr>
          <w:color w:val="auto"/>
          <w:szCs w:val="24"/>
        </w:rPr>
        <w:t>rip, hand, arm, and shoulder strength are 5/5.  The right is definitely weaker than left in the shoulder musculature.”</w:t>
      </w:r>
    </w:p>
    <w:p w:rsidR="00B039DD" w:rsidRPr="00F64312" w:rsidRDefault="00B039DD" w:rsidP="0069687C">
      <w:pPr>
        <w:jc w:val="both"/>
        <w:rPr>
          <w:color w:val="auto"/>
          <w:szCs w:val="24"/>
        </w:rPr>
      </w:pPr>
    </w:p>
    <w:p w:rsidR="00C97147" w:rsidRDefault="00CF0280" w:rsidP="00CF0280">
      <w:pPr>
        <w:jc w:val="both"/>
        <w:rPr>
          <w:color w:val="auto"/>
          <w:szCs w:val="24"/>
        </w:rPr>
      </w:pPr>
      <w:r w:rsidRPr="00C97147">
        <w:rPr>
          <w:color w:val="auto"/>
          <w:szCs w:val="24"/>
        </w:rPr>
        <w:t>At the VA Compensation and Pension (C&amp;P) exam</w:t>
      </w:r>
      <w:r w:rsidR="0059188A">
        <w:rPr>
          <w:color w:val="auto"/>
          <w:szCs w:val="24"/>
        </w:rPr>
        <w:t>, 6</w:t>
      </w:r>
      <w:r w:rsidR="000C178A">
        <w:rPr>
          <w:color w:val="auto"/>
          <w:szCs w:val="24"/>
        </w:rPr>
        <w:t xml:space="preserve"> months </w:t>
      </w:r>
      <w:r w:rsidR="00ED7820" w:rsidRPr="00C97147">
        <w:rPr>
          <w:color w:val="auto"/>
          <w:szCs w:val="24"/>
        </w:rPr>
        <w:t>after separation</w:t>
      </w:r>
      <w:r w:rsidRPr="00C97147">
        <w:rPr>
          <w:color w:val="auto"/>
          <w:szCs w:val="24"/>
        </w:rPr>
        <w:t>,</w:t>
      </w:r>
      <w:r w:rsidRPr="00F64312">
        <w:rPr>
          <w:color w:val="auto"/>
          <w:szCs w:val="24"/>
        </w:rPr>
        <w:t xml:space="preserve"> the CI reported</w:t>
      </w:r>
      <w:r w:rsidR="000C178A">
        <w:rPr>
          <w:color w:val="auto"/>
          <w:szCs w:val="24"/>
        </w:rPr>
        <w:t xml:space="preserve"> neck pain has improved after surgery</w:t>
      </w:r>
      <w:r w:rsidR="00B10FFE">
        <w:rPr>
          <w:color w:val="auto"/>
          <w:szCs w:val="24"/>
        </w:rPr>
        <w:t>,</w:t>
      </w:r>
      <w:r w:rsidR="000C178A">
        <w:rPr>
          <w:color w:val="auto"/>
          <w:szCs w:val="24"/>
        </w:rPr>
        <w:t xml:space="preserve"> but still has intermittent flares in his pain.  CI uses non-steroidal anti-inflammatory medications and muscle relaxers occasionally for severe pain.  Limited physical exercise with lifting restricted to less than 20 pounds.</w:t>
      </w:r>
      <w:r w:rsidR="00F47C85">
        <w:rPr>
          <w:color w:val="auto"/>
          <w:szCs w:val="24"/>
        </w:rPr>
        <w:t xml:space="preserve">  The back exam is summarized above</w:t>
      </w:r>
      <w:r w:rsidR="00B10FFE">
        <w:rPr>
          <w:color w:val="auto"/>
          <w:szCs w:val="24"/>
        </w:rPr>
        <w:t>.</w:t>
      </w:r>
    </w:p>
    <w:p w:rsidR="000C178A" w:rsidRDefault="000C178A" w:rsidP="00CF0280">
      <w:pPr>
        <w:jc w:val="both"/>
        <w:rPr>
          <w:color w:val="auto"/>
          <w:szCs w:val="24"/>
        </w:rPr>
      </w:pPr>
    </w:p>
    <w:p w:rsidR="00E54D62" w:rsidRPr="000F4249" w:rsidRDefault="00737C6D" w:rsidP="000F4249">
      <w:pPr>
        <w:autoSpaceDE w:val="0"/>
        <w:autoSpaceDN w:val="0"/>
        <w:adjustRightInd w:val="0"/>
        <w:jc w:val="both"/>
        <w:rPr>
          <w:color w:val="auto"/>
          <w:szCs w:val="24"/>
        </w:rPr>
      </w:pPr>
      <w:r w:rsidRPr="000F4249">
        <w:rPr>
          <w:color w:val="auto"/>
          <w:szCs w:val="24"/>
        </w:rPr>
        <w:t xml:space="preserve">Both the PEB </w:t>
      </w:r>
      <w:r w:rsidR="00E54D62">
        <w:rPr>
          <w:color w:val="auto"/>
          <w:szCs w:val="24"/>
        </w:rPr>
        <w:t xml:space="preserve">(0%) </w:t>
      </w:r>
      <w:r w:rsidRPr="000F4249">
        <w:rPr>
          <w:color w:val="auto"/>
          <w:szCs w:val="24"/>
        </w:rPr>
        <w:t xml:space="preserve">and VA </w:t>
      </w:r>
      <w:r w:rsidR="00E54D62">
        <w:rPr>
          <w:color w:val="auto"/>
          <w:szCs w:val="24"/>
        </w:rPr>
        <w:t xml:space="preserve">(10%) </w:t>
      </w:r>
      <w:r w:rsidRPr="000F4249">
        <w:rPr>
          <w:color w:val="auto"/>
          <w:szCs w:val="24"/>
        </w:rPr>
        <w:t xml:space="preserve">coded the CI’s neck pain </w:t>
      </w:r>
      <w:r w:rsidR="007F3077">
        <w:rPr>
          <w:color w:val="auto"/>
          <w:szCs w:val="24"/>
        </w:rPr>
        <w:t>under</w:t>
      </w:r>
      <w:r w:rsidRPr="000F4249">
        <w:rPr>
          <w:color w:val="auto"/>
          <w:szCs w:val="24"/>
        </w:rPr>
        <w:t xml:space="preserve"> 5241, spinal fusion</w:t>
      </w:r>
      <w:r w:rsidR="00E54D62">
        <w:rPr>
          <w:color w:val="auto"/>
          <w:szCs w:val="24"/>
        </w:rPr>
        <w:t xml:space="preserve">.  The PEB </w:t>
      </w:r>
      <w:r w:rsidRPr="000F4249">
        <w:rPr>
          <w:color w:val="auto"/>
          <w:szCs w:val="24"/>
        </w:rPr>
        <w:t xml:space="preserve">0% </w:t>
      </w:r>
      <w:r w:rsidR="00E54D62">
        <w:rPr>
          <w:color w:val="auto"/>
          <w:szCs w:val="24"/>
        </w:rPr>
        <w:t xml:space="preserve">rating cited “exam shows pain-limited motion…Rated for pain-limited motion” which indicated use of the </w:t>
      </w:r>
      <w:r w:rsidR="00D36AF2" w:rsidRPr="000F4249">
        <w:rPr>
          <w:color w:val="auto"/>
          <w:szCs w:val="24"/>
        </w:rPr>
        <w:t>USAPDA pain policy</w:t>
      </w:r>
      <w:r w:rsidR="00583F6D">
        <w:rPr>
          <w:color w:val="auto"/>
          <w:szCs w:val="24"/>
        </w:rPr>
        <w:t>.</w:t>
      </w:r>
      <w:r w:rsidR="00D36AF2" w:rsidRPr="000F4249">
        <w:rPr>
          <w:color w:val="auto"/>
          <w:szCs w:val="24"/>
        </w:rPr>
        <w:t xml:space="preserve">  The </w:t>
      </w:r>
      <w:r w:rsidR="00477317">
        <w:rPr>
          <w:color w:val="auto"/>
          <w:szCs w:val="24"/>
        </w:rPr>
        <w:t>service</w:t>
      </w:r>
      <w:r w:rsidR="00D36AF2" w:rsidRPr="000F4249">
        <w:rPr>
          <w:color w:val="auto"/>
          <w:szCs w:val="24"/>
        </w:rPr>
        <w:t xml:space="preserve"> exam is</w:t>
      </w:r>
      <w:r w:rsidR="00583F6D">
        <w:rPr>
          <w:color w:val="auto"/>
          <w:szCs w:val="24"/>
        </w:rPr>
        <w:t xml:space="preserve"> four months more proximal to separation and is </w:t>
      </w:r>
      <w:r w:rsidR="00D36AF2" w:rsidRPr="000F4249">
        <w:rPr>
          <w:color w:val="auto"/>
          <w:szCs w:val="24"/>
        </w:rPr>
        <w:t>the probative exam in this case</w:t>
      </w:r>
      <w:r w:rsidR="00603058">
        <w:rPr>
          <w:color w:val="auto"/>
          <w:szCs w:val="24"/>
        </w:rPr>
        <w:t xml:space="preserve">.  Of note, the VA exam’s forward flexion was </w:t>
      </w:r>
      <w:r w:rsidR="00603058">
        <w:rPr>
          <w:color w:val="auto"/>
          <w:szCs w:val="24"/>
        </w:rPr>
        <w:lastRenderedPageBreak/>
        <w:t>within 1⁰ (rounded within 5⁰) of the 20% rating criteria</w:t>
      </w:r>
      <w:r w:rsidR="00D36AF2" w:rsidRPr="000F4249">
        <w:rPr>
          <w:color w:val="auto"/>
          <w:szCs w:val="24"/>
        </w:rPr>
        <w:t>.</w:t>
      </w:r>
      <w:r w:rsidR="00321A28">
        <w:rPr>
          <w:color w:val="auto"/>
          <w:szCs w:val="24"/>
        </w:rPr>
        <w:t xml:space="preserve">  </w:t>
      </w:r>
      <w:r w:rsidR="00E54D62" w:rsidRPr="00F64312">
        <w:rPr>
          <w:rFonts w:eastAsia="Calibri" w:cs="Times New Roman"/>
          <w:color w:val="auto"/>
          <w:szCs w:val="24"/>
        </w:rPr>
        <w:t xml:space="preserve">After due deliberation, considering all of the evidence and mindful of VASRD §4.3 (reasonable doubt), the Board recommends a disability </w:t>
      </w:r>
      <w:r w:rsidR="00E54D62" w:rsidRPr="00321A28">
        <w:rPr>
          <w:rFonts w:eastAsia="Calibri" w:cs="Times New Roman"/>
          <w:color w:val="auto"/>
          <w:szCs w:val="24"/>
        </w:rPr>
        <w:t>rating of 20% for the cervical</w:t>
      </w:r>
      <w:r w:rsidR="00E54D62" w:rsidRPr="00E54D62">
        <w:rPr>
          <w:rFonts w:eastAsia="Calibri" w:cs="Times New Roman"/>
          <w:color w:val="auto"/>
          <w:szCs w:val="24"/>
        </w:rPr>
        <w:t xml:space="preserve"> spine condition</w:t>
      </w:r>
      <w:r w:rsidR="00E54D62" w:rsidRPr="00F64312">
        <w:rPr>
          <w:rFonts w:eastAsia="Calibri" w:cs="Times New Roman"/>
          <w:color w:val="auto"/>
          <w:szCs w:val="24"/>
        </w:rPr>
        <w:t>.</w:t>
      </w:r>
      <w:r w:rsidR="00F652DD">
        <w:rPr>
          <w:rFonts w:eastAsia="Calibri" w:cs="Times New Roman"/>
          <w:color w:val="auto"/>
          <w:szCs w:val="24"/>
        </w:rPr>
        <w:t xml:space="preserve">  </w:t>
      </w:r>
    </w:p>
    <w:p w:rsidR="000C178A" w:rsidRDefault="000C178A" w:rsidP="00CF0280">
      <w:pPr>
        <w:jc w:val="both"/>
        <w:rPr>
          <w:color w:val="auto"/>
          <w:szCs w:val="24"/>
        </w:rPr>
      </w:pPr>
    </w:p>
    <w:p w:rsidR="0094596D" w:rsidRPr="00AB43BE" w:rsidRDefault="00C97147" w:rsidP="00AB43BE">
      <w:pPr>
        <w:jc w:val="both"/>
        <w:rPr>
          <w:color w:val="auto"/>
          <w:szCs w:val="24"/>
        </w:rPr>
      </w:pPr>
      <w:r w:rsidRPr="00321A28">
        <w:rPr>
          <w:color w:val="auto"/>
          <w:szCs w:val="24"/>
          <w:u w:val="single"/>
        </w:rPr>
        <w:t>Conversion Disorder Condition</w:t>
      </w:r>
      <w:r w:rsidRPr="00321A28">
        <w:rPr>
          <w:color w:val="auto"/>
          <w:szCs w:val="24"/>
        </w:rPr>
        <w:t xml:space="preserve">.  The </w:t>
      </w:r>
      <w:r w:rsidR="00F652DD" w:rsidRPr="00321A28">
        <w:rPr>
          <w:color w:val="auto"/>
          <w:szCs w:val="24"/>
        </w:rPr>
        <w:t xml:space="preserve">psychiatric </w:t>
      </w:r>
      <w:r w:rsidRPr="00321A28">
        <w:rPr>
          <w:color w:val="auto"/>
          <w:szCs w:val="24"/>
        </w:rPr>
        <w:t>NARSUM</w:t>
      </w:r>
      <w:r w:rsidR="00122015" w:rsidRPr="00321A28">
        <w:rPr>
          <w:color w:val="auto"/>
          <w:szCs w:val="24"/>
        </w:rPr>
        <w:t xml:space="preserve"> addendum prepared six months prior to separation</w:t>
      </w:r>
      <w:r w:rsidRPr="00321A28">
        <w:rPr>
          <w:color w:val="auto"/>
          <w:szCs w:val="24"/>
        </w:rPr>
        <w:t xml:space="preserve"> notes</w:t>
      </w:r>
      <w:r w:rsidR="00122015" w:rsidRPr="00321A28">
        <w:rPr>
          <w:color w:val="auto"/>
          <w:szCs w:val="24"/>
        </w:rPr>
        <w:t xml:space="preserve"> </w:t>
      </w:r>
      <w:r w:rsidR="00CA31E0" w:rsidRPr="00321A28">
        <w:rPr>
          <w:color w:val="auto"/>
          <w:szCs w:val="24"/>
        </w:rPr>
        <w:t>alteration in consciousness associated with bodily movements</w:t>
      </w:r>
      <w:r w:rsidR="002657F8" w:rsidRPr="00321A28">
        <w:rPr>
          <w:color w:val="auto"/>
          <w:szCs w:val="24"/>
        </w:rPr>
        <w:t xml:space="preserve">, arms greater than </w:t>
      </w:r>
      <w:r w:rsidR="00F62A84" w:rsidRPr="00321A28">
        <w:rPr>
          <w:color w:val="auto"/>
          <w:szCs w:val="24"/>
        </w:rPr>
        <w:t>legs, which</w:t>
      </w:r>
      <w:r w:rsidR="002657F8" w:rsidRPr="00321A28">
        <w:rPr>
          <w:color w:val="auto"/>
          <w:szCs w:val="24"/>
        </w:rPr>
        <w:t xml:space="preserve"> occur once or twice a month and </w:t>
      </w:r>
      <w:r w:rsidR="00CA31E0" w:rsidRPr="00321A28">
        <w:rPr>
          <w:color w:val="auto"/>
          <w:szCs w:val="24"/>
        </w:rPr>
        <w:t>began subsequent to CI</w:t>
      </w:r>
      <w:r w:rsidR="0059188A">
        <w:rPr>
          <w:color w:val="auto"/>
          <w:szCs w:val="24"/>
        </w:rPr>
        <w:t>’</w:t>
      </w:r>
      <w:r w:rsidR="00CA31E0" w:rsidRPr="00321A28">
        <w:rPr>
          <w:color w:val="auto"/>
          <w:szCs w:val="24"/>
        </w:rPr>
        <w:t>s neck surgery.</w:t>
      </w:r>
      <w:r w:rsidR="00BB0E77" w:rsidRPr="00321A28">
        <w:rPr>
          <w:color w:val="auto"/>
          <w:szCs w:val="24"/>
        </w:rPr>
        <w:t xml:space="preserve">  He sometimes speaks during these events and has no bowel or bladder incontinence.</w:t>
      </w:r>
      <w:r w:rsidR="001A15E6" w:rsidRPr="00321A28">
        <w:rPr>
          <w:color w:val="auto"/>
          <w:szCs w:val="24"/>
        </w:rPr>
        <w:t xml:space="preserve">  The CI’s mental status exam was normal.  </w:t>
      </w:r>
      <w:r w:rsidR="002657F8" w:rsidRPr="00321A28">
        <w:rPr>
          <w:color w:val="auto"/>
          <w:szCs w:val="24"/>
        </w:rPr>
        <w:t>He</w:t>
      </w:r>
      <w:r w:rsidR="001A15E6" w:rsidRPr="00321A28">
        <w:rPr>
          <w:color w:val="auto"/>
          <w:szCs w:val="24"/>
        </w:rPr>
        <w:t xml:space="preserve"> </w:t>
      </w:r>
      <w:r w:rsidR="002657F8" w:rsidRPr="00321A28">
        <w:rPr>
          <w:color w:val="auto"/>
          <w:szCs w:val="24"/>
        </w:rPr>
        <w:t xml:space="preserve">had normal </w:t>
      </w:r>
      <w:r w:rsidR="00BE7428">
        <w:rPr>
          <w:color w:val="auto"/>
          <w:szCs w:val="24"/>
        </w:rPr>
        <w:t>e</w:t>
      </w:r>
      <w:r w:rsidR="00BE7428" w:rsidRPr="00BE7428">
        <w:rPr>
          <w:color w:val="auto"/>
          <w:szCs w:val="24"/>
        </w:rPr>
        <w:t xml:space="preserve">lectroencephalogram </w:t>
      </w:r>
      <w:r w:rsidR="001A15E6" w:rsidRPr="00321A28">
        <w:rPr>
          <w:color w:val="auto"/>
          <w:szCs w:val="24"/>
        </w:rPr>
        <w:t xml:space="preserve">and brain </w:t>
      </w:r>
      <w:r w:rsidR="00BE7428" w:rsidRPr="00BE7428">
        <w:rPr>
          <w:color w:val="auto"/>
          <w:szCs w:val="24"/>
        </w:rPr>
        <w:t>computed tomography</w:t>
      </w:r>
      <w:r w:rsidR="001A15E6" w:rsidRPr="00321A28">
        <w:rPr>
          <w:color w:val="auto"/>
          <w:szCs w:val="24"/>
        </w:rPr>
        <w:t xml:space="preserve"> scan.  No hospitalizations for psychiatric reasons</w:t>
      </w:r>
      <w:r w:rsidR="00F62A84" w:rsidRPr="00321A28">
        <w:rPr>
          <w:color w:val="auto"/>
          <w:szCs w:val="24"/>
        </w:rPr>
        <w:t xml:space="preserve"> and no medications were prescribed</w:t>
      </w:r>
      <w:r w:rsidR="001A15E6" w:rsidRPr="00321A28">
        <w:rPr>
          <w:color w:val="auto"/>
          <w:szCs w:val="24"/>
        </w:rPr>
        <w:t>.</w:t>
      </w:r>
      <w:r w:rsidR="0094596D" w:rsidRPr="00321A28">
        <w:rPr>
          <w:color w:val="auto"/>
          <w:szCs w:val="24"/>
        </w:rPr>
        <w:t xml:space="preserve">  Paraphrasing the NARSUM psychiatric evaluator: </w:t>
      </w:r>
      <w:r w:rsidR="00A3206F" w:rsidRPr="00321A28">
        <w:rPr>
          <w:color w:val="auto"/>
          <w:szCs w:val="24"/>
        </w:rPr>
        <w:t xml:space="preserve"> </w:t>
      </w:r>
      <w:r w:rsidR="009E015C">
        <w:rPr>
          <w:color w:val="auto"/>
          <w:szCs w:val="24"/>
        </w:rPr>
        <w:t>t</w:t>
      </w:r>
      <w:r w:rsidR="0094596D" w:rsidRPr="00321A28">
        <w:rPr>
          <w:color w:val="auto"/>
          <w:szCs w:val="24"/>
        </w:rPr>
        <w:t>hese sp</w:t>
      </w:r>
      <w:r w:rsidR="00B10FFE">
        <w:rPr>
          <w:color w:val="auto"/>
          <w:szCs w:val="24"/>
        </w:rPr>
        <w:t>ells have minimal impact on day-to-</w:t>
      </w:r>
      <w:r w:rsidR="0094596D" w:rsidRPr="00321A28">
        <w:rPr>
          <w:color w:val="auto"/>
          <w:szCs w:val="24"/>
        </w:rPr>
        <w:t>day functioning, he</w:t>
      </w:r>
      <w:r w:rsidR="0094596D" w:rsidRPr="00321A28">
        <w:rPr>
          <w:b/>
          <w:bCs/>
          <w:color w:val="auto"/>
          <w:szCs w:val="24"/>
        </w:rPr>
        <w:t xml:space="preserve"> </w:t>
      </w:r>
      <w:r w:rsidR="0094596D" w:rsidRPr="00321A28">
        <w:rPr>
          <w:color w:val="auto"/>
          <w:szCs w:val="24"/>
        </w:rPr>
        <w:t>has been unable to drive, is currently partially capable to work full time in civilian employment, may have to have some mild employment restrictions if these episodes continue, but should be able to function at a pretty high level, otherwise.</w:t>
      </w:r>
      <w:r w:rsidR="00F62A84" w:rsidRPr="00321A28">
        <w:rPr>
          <w:color w:val="auto"/>
          <w:szCs w:val="24"/>
        </w:rPr>
        <w:t xml:space="preserve">  The </w:t>
      </w:r>
      <w:r w:rsidR="0094596D" w:rsidRPr="00321A28">
        <w:rPr>
          <w:color w:val="auto"/>
          <w:szCs w:val="24"/>
        </w:rPr>
        <w:t>Axis I diagnosis</w:t>
      </w:r>
      <w:r w:rsidR="00F62A84" w:rsidRPr="00321A28">
        <w:rPr>
          <w:color w:val="auto"/>
          <w:szCs w:val="24"/>
        </w:rPr>
        <w:t xml:space="preserve"> was, </w:t>
      </w:r>
      <w:r w:rsidR="009E015C">
        <w:rPr>
          <w:color w:val="auto"/>
          <w:szCs w:val="24"/>
        </w:rPr>
        <w:t>“c</w:t>
      </w:r>
      <w:r w:rsidR="0094596D" w:rsidRPr="00321A28">
        <w:rPr>
          <w:color w:val="auto"/>
          <w:szCs w:val="24"/>
        </w:rPr>
        <w:t xml:space="preserve">onversion disorder with seizures or convulsions as manifested by body convulsions and loss of consciousness that suggest a neurologic condition, which has been unable to be satisfactorily explained after a thorough appropriate investigation. </w:t>
      </w:r>
      <w:r w:rsidR="00A3206F" w:rsidRPr="00321A28">
        <w:rPr>
          <w:color w:val="auto"/>
          <w:szCs w:val="24"/>
        </w:rPr>
        <w:t xml:space="preserve"> </w:t>
      </w:r>
      <w:r w:rsidR="0094596D" w:rsidRPr="00321A28">
        <w:rPr>
          <w:color w:val="auto"/>
          <w:szCs w:val="24"/>
        </w:rPr>
        <w:t>These symptoms do not appear to be intentionally produced.  These symptoms have caused a significant distress in his social occupational and other areas of functioning.”</w:t>
      </w:r>
    </w:p>
    <w:p w:rsidR="0094596D" w:rsidRPr="00AB43BE" w:rsidRDefault="0094596D" w:rsidP="00AB43BE">
      <w:pPr>
        <w:tabs>
          <w:tab w:val="left" w:pos="288"/>
          <w:tab w:val="left" w:pos="4752"/>
        </w:tabs>
        <w:jc w:val="both"/>
        <w:rPr>
          <w:color w:val="auto"/>
          <w:szCs w:val="24"/>
        </w:rPr>
      </w:pPr>
    </w:p>
    <w:p w:rsidR="00AE4016" w:rsidRDefault="003B4BB5" w:rsidP="00A3206F">
      <w:pPr>
        <w:autoSpaceDE w:val="0"/>
        <w:autoSpaceDN w:val="0"/>
        <w:adjustRightInd w:val="0"/>
        <w:jc w:val="both"/>
        <w:rPr>
          <w:color w:val="auto"/>
          <w:szCs w:val="24"/>
        </w:rPr>
      </w:pPr>
      <w:r w:rsidRPr="00E02BB3">
        <w:rPr>
          <w:color w:val="auto"/>
          <w:szCs w:val="24"/>
        </w:rPr>
        <w:t>VA C&amp;P</w:t>
      </w:r>
      <w:r w:rsidR="0094596D" w:rsidRPr="00E02BB3">
        <w:rPr>
          <w:color w:val="auto"/>
          <w:szCs w:val="24"/>
        </w:rPr>
        <w:t xml:space="preserve"> </w:t>
      </w:r>
      <w:r w:rsidR="00BA137E" w:rsidRPr="00E02BB3">
        <w:rPr>
          <w:color w:val="auto"/>
          <w:szCs w:val="24"/>
        </w:rPr>
        <w:t xml:space="preserve">mental disorders </w:t>
      </w:r>
      <w:r w:rsidR="0094596D" w:rsidRPr="00E02BB3">
        <w:rPr>
          <w:color w:val="auto"/>
          <w:szCs w:val="24"/>
        </w:rPr>
        <w:t>examination</w:t>
      </w:r>
      <w:r w:rsidR="0059188A">
        <w:rPr>
          <w:color w:val="auto"/>
          <w:szCs w:val="24"/>
        </w:rPr>
        <w:t>, 6</w:t>
      </w:r>
      <w:r w:rsidR="0094596D" w:rsidRPr="00E02BB3">
        <w:rPr>
          <w:color w:val="auto"/>
          <w:szCs w:val="24"/>
        </w:rPr>
        <w:t xml:space="preserve"> months after separation</w:t>
      </w:r>
      <w:r w:rsidR="0059188A">
        <w:rPr>
          <w:color w:val="auto"/>
          <w:szCs w:val="24"/>
        </w:rPr>
        <w:t>,</w:t>
      </w:r>
      <w:r w:rsidR="0094596D" w:rsidRPr="00E02BB3">
        <w:rPr>
          <w:color w:val="auto"/>
          <w:szCs w:val="24"/>
        </w:rPr>
        <w:t xml:space="preserve"> documents</w:t>
      </w:r>
      <w:r w:rsidR="00AB43BE" w:rsidRPr="00E02BB3">
        <w:rPr>
          <w:color w:val="auto"/>
          <w:szCs w:val="24"/>
        </w:rPr>
        <w:t xml:space="preserve"> a history and physical examination similar to that of the NARSUM.  </w:t>
      </w:r>
      <w:r w:rsidR="00A3206F" w:rsidRPr="00E02BB3">
        <w:rPr>
          <w:color w:val="auto"/>
          <w:szCs w:val="24"/>
        </w:rPr>
        <w:t xml:space="preserve">The CI’s spouse was present at the exam and provided history details.  </w:t>
      </w:r>
      <w:r w:rsidR="00AB43BE" w:rsidRPr="00E02BB3">
        <w:rPr>
          <w:color w:val="auto"/>
          <w:szCs w:val="24"/>
        </w:rPr>
        <w:t xml:space="preserve">Also documented </w:t>
      </w:r>
      <w:r w:rsidR="00F62A84" w:rsidRPr="00E02BB3">
        <w:rPr>
          <w:color w:val="auto"/>
          <w:szCs w:val="24"/>
        </w:rPr>
        <w:t>wa</w:t>
      </w:r>
      <w:r w:rsidR="00AB43BE" w:rsidRPr="00E02BB3">
        <w:rPr>
          <w:color w:val="auto"/>
          <w:szCs w:val="24"/>
        </w:rPr>
        <w:t xml:space="preserve">s the following: “he reports that as long as he is not actively having one of these pseudoseizure episodes, he is able to do all activities of daily living unassisted.  </w:t>
      </w:r>
      <w:r w:rsidR="0094596D" w:rsidRPr="00E02BB3">
        <w:rPr>
          <w:color w:val="auto"/>
          <w:szCs w:val="24"/>
        </w:rPr>
        <w:t>The patient is</w:t>
      </w:r>
      <w:r w:rsidR="00AB43BE" w:rsidRPr="00E02BB3">
        <w:rPr>
          <w:color w:val="auto"/>
          <w:szCs w:val="24"/>
        </w:rPr>
        <w:t xml:space="preserve"> </w:t>
      </w:r>
      <w:r w:rsidR="0094596D" w:rsidRPr="00E02BB3">
        <w:rPr>
          <w:color w:val="auto"/>
          <w:szCs w:val="24"/>
        </w:rPr>
        <w:t>employed on a regular basis.</w:t>
      </w:r>
      <w:r w:rsidR="00AB43BE" w:rsidRPr="00E02BB3">
        <w:rPr>
          <w:color w:val="auto"/>
          <w:szCs w:val="24"/>
        </w:rPr>
        <w:t xml:space="preserve">  </w:t>
      </w:r>
      <w:r w:rsidR="0094596D" w:rsidRPr="00E02BB3">
        <w:rPr>
          <w:color w:val="auto"/>
          <w:szCs w:val="24"/>
        </w:rPr>
        <w:t>He denies any interference</w:t>
      </w:r>
      <w:r w:rsidR="00AB43BE" w:rsidRPr="00E02BB3">
        <w:rPr>
          <w:color w:val="auto"/>
          <w:szCs w:val="24"/>
        </w:rPr>
        <w:t xml:space="preserve"> </w:t>
      </w:r>
      <w:r w:rsidR="0094596D" w:rsidRPr="00E02BB3">
        <w:rPr>
          <w:color w:val="auto"/>
          <w:szCs w:val="24"/>
        </w:rPr>
        <w:t>of these symptoms with his work.</w:t>
      </w:r>
      <w:r w:rsidR="00AB43BE" w:rsidRPr="00E02BB3">
        <w:rPr>
          <w:color w:val="auto"/>
          <w:szCs w:val="24"/>
        </w:rPr>
        <w:t xml:space="preserve">  </w:t>
      </w:r>
      <w:r w:rsidR="0094596D" w:rsidRPr="00E02BB3">
        <w:rPr>
          <w:color w:val="auto"/>
          <w:szCs w:val="24"/>
        </w:rPr>
        <w:t>However, it is apparent that these</w:t>
      </w:r>
      <w:r w:rsidR="00AB43BE" w:rsidRPr="00E02BB3">
        <w:rPr>
          <w:color w:val="auto"/>
          <w:szCs w:val="24"/>
        </w:rPr>
        <w:t xml:space="preserve"> </w:t>
      </w:r>
      <w:r w:rsidR="0094596D" w:rsidRPr="00E02BB3">
        <w:rPr>
          <w:color w:val="auto"/>
          <w:szCs w:val="24"/>
        </w:rPr>
        <w:t>episodes have caused problems in his relationships with his wife and</w:t>
      </w:r>
      <w:r w:rsidR="00AB43BE" w:rsidRPr="00E02BB3">
        <w:rPr>
          <w:color w:val="auto"/>
          <w:szCs w:val="24"/>
        </w:rPr>
        <w:t xml:space="preserve"> </w:t>
      </w:r>
      <w:r w:rsidR="0094596D" w:rsidRPr="00E02BB3">
        <w:rPr>
          <w:color w:val="auto"/>
          <w:szCs w:val="24"/>
        </w:rPr>
        <w:t xml:space="preserve">daughter, and his overall functional ability at home. </w:t>
      </w:r>
      <w:r w:rsidR="00AB43BE" w:rsidRPr="00E02BB3">
        <w:rPr>
          <w:color w:val="auto"/>
          <w:szCs w:val="24"/>
        </w:rPr>
        <w:t xml:space="preserve"> </w:t>
      </w:r>
      <w:r w:rsidRPr="00E02BB3">
        <w:rPr>
          <w:color w:val="auto"/>
          <w:szCs w:val="24"/>
        </w:rPr>
        <w:t>It is apparent that the patient does in fact evidence conversion disorder with convulsions or seizures in response to the neck surgery.</w:t>
      </w:r>
      <w:r w:rsidR="00AB43BE" w:rsidRPr="00E02BB3">
        <w:rPr>
          <w:color w:val="auto"/>
          <w:szCs w:val="24"/>
        </w:rPr>
        <w:t xml:space="preserve">  </w:t>
      </w:r>
      <w:r w:rsidRPr="00E02BB3">
        <w:rPr>
          <w:color w:val="auto"/>
          <w:szCs w:val="24"/>
        </w:rPr>
        <w:t xml:space="preserve">The overall degree of impairment appears to be focused upon family relationships and social relationships. </w:t>
      </w:r>
      <w:r w:rsidR="00A3206F" w:rsidRPr="00E02BB3">
        <w:rPr>
          <w:color w:val="auto"/>
          <w:szCs w:val="24"/>
        </w:rPr>
        <w:t xml:space="preserve"> </w:t>
      </w:r>
      <w:r w:rsidRPr="00E02BB3">
        <w:rPr>
          <w:color w:val="auto"/>
          <w:szCs w:val="24"/>
        </w:rPr>
        <w:t>The severity of impairment is judged to be in the mild to low moderate range.</w:t>
      </w:r>
      <w:r w:rsidR="00AB43BE" w:rsidRPr="00E02BB3">
        <w:rPr>
          <w:color w:val="auto"/>
          <w:szCs w:val="24"/>
        </w:rPr>
        <w:t xml:space="preserve"> </w:t>
      </w:r>
      <w:r w:rsidR="00A3206F" w:rsidRPr="00E02BB3">
        <w:rPr>
          <w:color w:val="auto"/>
          <w:szCs w:val="24"/>
        </w:rPr>
        <w:t xml:space="preserve"> </w:t>
      </w:r>
      <w:r w:rsidR="00AB43BE" w:rsidRPr="00E02BB3">
        <w:rPr>
          <w:color w:val="auto"/>
          <w:szCs w:val="24"/>
        </w:rPr>
        <w:t>The patient does not evidence clinically significant dep</w:t>
      </w:r>
      <w:r w:rsidR="00B10FFE">
        <w:rPr>
          <w:color w:val="auto"/>
          <w:szCs w:val="24"/>
        </w:rPr>
        <w:t xml:space="preserve">ression or anxiety at this time; </w:t>
      </w:r>
      <w:r w:rsidR="009E015C">
        <w:rPr>
          <w:color w:val="auto"/>
          <w:szCs w:val="24"/>
        </w:rPr>
        <w:t>Global Assessment of Functioning (</w:t>
      </w:r>
      <w:r w:rsidR="00AB43BE" w:rsidRPr="00E02BB3">
        <w:rPr>
          <w:color w:val="auto"/>
          <w:szCs w:val="24"/>
        </w:rPr>
        <w:t>G</w:t>
      </w:r>
      <w:r w:rsidRPr="00E02BB3">
        <w:rPr>
          <w:color w:val="auto"/>
          <w:szCs w:val="24"/>
        </w:rPr>
        <w:t>AF</w:t>
      </w:r>
      <w:proofErr w:type="gramStart"/>
      <w:r w:rsidR="005B5B35">
        <w:rPr>
          <w:color w:val="auto"/>
          <w:szCs w:val="24"/>
        </w:rPr>
        <w:t>)=</w:t>
      </w:r>
      <w:proofErr w:type="gramEnd"/>
      <w:r w:rsidRPr="00E02BB3">
        <w:rPr>
          <w:color w:val="auto"/>
          <w:szCs w:val="24"/>
        </w:rPr>
        <w:t>65</w:t>
      </w:r>
      <w:r w:rsidR="00AE4016">
        <w:rPr>
          <w:color w:val="auto"/>
          <w:szCs w:val="24"/>
        </w:rPr>
        <w:t>.</w:t>
      </w:r>
      <w:r w:rsidR="00AB43BE" w:rsidRPr="00E02BB3">
        <w:rPr>
          <w:color w:val="auto"/>
          <w:szCs w:val="24"/>
        </w:rPr>
        <w:t>”</w:t>
      </w:r>
      <w:r w:rsidR="00A3206F" w:rsidRPr="00E02BB3">
        <w:rPr>
          <w:color w:val="auto"/>
          <w:szCs w:val="24"/>
        </w:rPr>
        <w:t xml:space="preserve">  </w:t>
      </w:r>
      <w:r w:rsidR="00BA137E" w:rsidRPr="00E02BB3">
        <w:rPr>
          <w:color w:val="auto"/>
          <w:szCs w:val="24"/>
        </w:rPr>
        <w:t>Of note, the VA general medicine C&amp;P exam indicated usual occupation as a mechanic, the CI was currently employed part-time as a shift manager at grocery store and h</w:t>
      </w:r>
      <w:r w:rsidR="0059188A">
        <w:rPr>
          <w:color w:val="auto"/>
          <w:szCs w:val="24"/>
        </w:rPr>
        <w:t xml:space="preserve">e had lost 6 </w:t>
      </w:r>
      <w:r w:rsidR="00BA137E" w:rsidRPr="00E02BB3">
        <w:rPr>
          <w:color w:val="auto"/>
          <w:szCs w:val="24"/>
        </w:rPr>
        <w:t>weeks of work during the last year due to looking for work and had problems with occupational functioning due to lifting limits.</w:t>
      </w:r>
      <w:r w:rsidR="00E02BB3">
        <w:rPr>
          <w:color w:val="auto"/>
          <w:szCs w:val="24"/>
        </w:rPr>
        <w:t xml:space="preserve">  </w:t>
      </w:r>
    </w:p>
    <w:p w:rsidR="00AE4016" w:rsidRDefault="00AE4016" w:rsidP="00A3206F">
      <w:pPr>
        <w:autoSpaceDE w:val="0"/>
        <w:autoSpaceDN w:val="0"/>
        <w:adjustRightInd w:val="0"/>
        <w:jc w:val="both"/>
        <w:rPr>
          <w:color w:val="auto"/>
          <w:szCs w:val="24"/>
        </w:rPr>
      </w:pPr>
    </w:p>
    <w:p w:rsidR="001C31C5" w:rsidRDefault="00A3206F" w:rsidP="009409F0">
      <w:pPr>
        <w:autoSpaceDE w:val="0"/>
        <w:autoSpaceDN w:val="0"/>
        <w:adjustRightInd w:val="0"/>
        <w:jc w:val="both"/>
        <w:rPr>
          <w:color w:val="auto"/>
          <w:szCs w:val="24"/>
        </w:rPr>
      </w:pPr>
      <w:r w:rsidRPr="00BA137E">
        <w:rPr>
          <w:color w:val="auto"/>
          <w:szCs w:val="24"/>
        </w:rPr>
        <w:t xml:space="preserve">The Board directs attention to </w:t>
      </w:r>
      <w:r w:rsidRPr="00F64312">
        <w:rPr>
          <w:rFonts w:cs="Times New Roman"/>
          <w:color w:val="auto"/>
        </w:rPr>
        <w:t xml:space="preserve">its rating recommendation based on the above evidence.  </w:t>
      </w:r>
      <w:r w:rsidR="00F62A84" w:rsidRPr="00E02BB3">
        <w:rPr>
          <w:color w:val="auto"/>
          <w:szCs w:val="24"/>
        </w:rPr>
        <w:t>The PEB found the CI</w:t>
      </w:r>
      <w:r w:rsidR="00583F6D" w:rsidRPr="00E02BB3">
        <w:rPr>
          <w:color w:val="auto"/>
          <w:szCs w:val="24"/>
        </w:rPr>
        <w:t xml:space="preserve">’s </w:t>
      </w:r>
      <w:r w:rsidR="00AE4016" w:rsidRPr="00E02BB3">
        <w:rPr>
          <w:color w:val="auto"/>
          <w:szCs w:val="24"/>
        </w:rPr>
        <w:t xml:space="preserve">conversion disorder </w:t>
      </w:r>
      <w:r w:rsidR="00A31C75">
        <w:rPr>
          <w:color w:val="auto"/>
          <w:szCs w:val="24"/>
        </w:rPr>
        <w:t xml:space="preserve">as </w:t>
      </w:r>
      <w:r w:rsidR="00583F6D" w:rsidRPr="00E02BB3">
        <w:rPr>
          <w:color w:val="auto"/>
          <w:szCs w:val="24"/>
        </w:rPr>
        <w:t>unfit</w:t>
      </w:r>
      <w:r w:rsidR="00A31C75">
        <w:rPr>
          <w:color w:val="auto"/>
          <w:szCs w:val="24"/>
        </w:rPr>
        <w:t>ting</w:t>
      </w:r>
      <w:r w:rsidR="00F62A84" w:rsidRPr="00E02BB3">
        <w:rPr>
          <w:color w:val="auto"/>
          <w:szCs w:val="24"/>
        </w:rPr>
        <w:t xml:space="preserve">, coded it 9424, and rated it 0% stating “industrial impairment rated as mild to none based upon no driving restrictions.”  </w:t>
      </w:r>
      <w:r w:rsidRPr="00E02BB3">
        <w:rPr>
          <w:color w:val="auto"/>
        </w:rPr>
        <w:t xml:space="preserve">This language indicated likely application of DoDI 1332.39 criteria versus VASRD-only criteria.  </w:t>
      </w:r>
      <w:r w:rsidR="00F62A84" w:rsidRPr="00E02BB3">
        <w:rPr>
          <w:color w:val="auto"/>
          <w:szCs w:val="24"/>
        </w:rPr>
        <w:t xml:space="preserve">The VA </w:t>
      </w:r>
      <w:r w:rsidR="00E1698D" w:rsidRPr="00E02BB3">
        <w:rPr>
          <w:color w:val="auto"/>
          <w:szCs w:val="24"/>
        </w:rPr>
        <w:t xml:space="preserve">coded </w:t>
      </w:r>
      <w:r w:rsidRPr="00E02BB3">
        <w:rPr>
          <w:color w:val="auto"/>
          <w:szCs w:val="24"/>
        </w:rPr>
        <w:t>the condition as</w:t>
      </w:r>
      <w:r w:rsidR="00E1698D" w:rsidRPr="00E02BB3">
        <w:rPr>
          <w:color w:val="auto"/>
          <w:szCs w:val="24"/>
        </w:rPr>
        <w:t xml:space="preserve"> 9434, major depressive disorder, and rated it 10%.  Both psychiatric evaluations agree the CI ha</w:t>
      </w:r>
      <w:r w:rsidR="00C70B8F" w:rsidRPr="00E02BB3">
        <w:rPr>
          <w:color w:val="auto"/>
          <w:szCs w:val="24"/>
        </w:rPr>
        <w:t>d</w:t>
      </w:r>
      <w:r w:rsidR="00E1698D" w:rsidRPr="00E02BB3">
        <w:rPr>
          <w:color w:val="auto"/>
          <w:szCs w:val="24"/>
        </w:rPr>
        <w:t xml:space="preserve"> a </w:t>
      </w:r>
      <w:r w:rsidR="00AE4016" w:rsidRPr="00E02BB3">
        <w:rPr>
          <w:color w:val="auto"/>
          <w:szCs w:val="24"/>
        </w:rPr>
        <w:t>conversion d</w:t>
      </w:r>
      <w:r w:rsidR="00E1698D" w:rsidRPr="00E02BB3">
        <w:rPr>
          <w:color w:val="auto"/>
          <w:szCs w:val="24"/>
        </w:rPr>
        <w:t xml:space="preserve">isorder.  There is a specific VASRD code for </w:t>
      </w:r>
      <w:r w:rsidR="00AE4016">
        <w:rPr>
          <w:color w:val="auto"/>
          <w:szCs w:val="24"/>
        </w:rPr>
        <w:t>conversion d</w:t>
      </w:r>
      <w:r w:rsidR="00E1698D" w:rsidRPr="00E02BB3">
        <w:rPr>
          <w:color w:val="auto"/>
          <w:szCs w:val="24"/>
        </w:rPr>
        <w:t xml:space="preserve">isorder, 9424, along with rating criteria utilizing the General Rating Formula for </w:t>
      </w:r>
      <w:r w:rsidR="00AE4016">
        <w:rPr>
          <w:color w:val="auto"/>
          <w:szCs w:val="24"/>
        </w:rPr>
        <w:t>Mental D</w:t>
      </w:r>
      <w:r w:rsidR="00AE4016" w:rsidRPr="00E02BB3">
        <w:rPr>
          <w:color w:val="auto"/>
          <w:szCs w:val="24"/>
        </w:rPr>
        <w:t>isorders</w:t>
      </w:r>
      <w:r w:rsidR="00E1698D" w:rsidRPr="00E02BB3">
        <w:rPr>
          <w:color w:val="auto"/>
          <w:szCs w:val="24"/>
        </w:rPr>
        <w:t xml:space="preserve">.  </w:t>
      </w:r>
      <w:r w:rsidR="001C31C5" w:rsidRPr="00E02BB3">
        <w:rPr>
          <w:color w:val="auto"/>
          <w:szCs w:val="24"/>
        </w:rPr>
        <w:t xml:space="preserve">Rating </w:t>
      </w:r>
      <w:r w:rsidR="00BA137E" w:rsidRPr="00E02BB3">
        <w:rPr>
          <w:color w:val="auto"/>
          <w:szCs w:val="24"/>
        </w:rPr>
        <w:t xml:space="preserve">analogously </w:t>
      </w:r>
      <w:r w:rsidR="001C31C5" w:rsidRPr="00E02BB3">
        <w:rPr>
          <w:color w:val="auto"/>
          <w:szCs w:val="24"/>
        </w:rPr>
        <w:t xml:space="preserve">under VASRD §4.122 </w:t>
      </w:r>
      <w:r w:rsidR="00AE4016">
        <w:rPr>
          <w:color w:val="auto"/>
          <w:szCs w:val="24"/>
        </w:rPr>
        <w:t>psychomotor e</w:t>
      </w:r>
      <w:r w:rsidR="001C31C5" w:rsidRPr="00E02BB3">
        <w:rPr>
          <w:color w:val="auto"/>
          <w:szCs w:val="24"/>
        </w:rPr>
        <w:t>pilepsy, or IAW VASRD §4.124a</w:t>
      </w:r>
      <w:r w:rsidR="00AE4016">
        <w:rPr>
          <w:color w:val="auto"/>
          <w:szCs w:val="24"/>
        </w:rPr>
        <w:t>, as an e</w:t>
      </w:r>
      <w:r w:rsidR="00BA137E" w:rsidRPr="00E02BB3">
        <w:rPr>
          <w:color w:val="auto"/>
          <w:szCs w:val="24"/>
        </w:rPr>
        <w:t>pilepsy condition was not supported by the record</w:t>
      </w:r>
      <w:r w:rsidR="00BA137E" w:rsidRPr="00E02BB3">
        <w:rPr>
          <w:rFonts w:ascii="Times" w:hAnsi="Times"/>
          <w:color w:val="auto"/>
        </w:rPr>
        <w:t xml:space="preserve">.  </w:t>
      </w:r>
      <w:r w:rsidRPr="00E02BB3">
        <w:rPr>
          <w:color w:val="auto"/>
          <w:szCs w:val="24"/>
        </w:rPr>
        <w:t>Board deliberat</w:t>
      </w:r>
      <w:r w:rsidR="001C31C5" w:rsidRPr="00E02BB3">
        <w:rPr>
          <w:color w:val="auto"/>
          <w:szCs w:val="24"/>
        </w:rPr>
        <w:t>ion</w:t>
      </w:r>
      <w:r w:rsidR="00BA137E" w:rsidRPr="00E02BB3">
        <w:rPr>
          <w:color w:val="auto"/>
          <w:szCs w:val="24"/>
        </w:rPr>
        <w:t>s</w:t>
      </w:r>
      <w:r w:rsidR="001C31C5" w:rsidRPr="00E02BB3">
        <w:rPr>
          <w:color w:val="auto"/>
          <w:szCs w:val="24"/>
        </w:rPr>
        <w:t xml:space="preserve"> focused on the level of impairment that a “no driving” restriction and other symptoms equated to within the VASRD §4.130</w:t>
      </w:r>
      <w:r w:rsidR="00BA137E" w:rsidRPr="00E02BB3">
        <w:rPr>
          <w:color w:val="auto"/>
          <w:szCs w:val="24"/>
        </w:rPr>
        <w:t>, Schedule of ratings-mental disorders</w:t>
      </w:r>
      <w:r w:rsidR="001C31C5" w:rsidRPr="00E02BB3">
        <w:rPr>
          <w:color w:val="auto"/>
          <w:szCs w:val="24"/>
        </w:rPr>
        <w:t xml:space="preserve"> criteria.</w:t>
      </w:r>
    </w:p>
    <w:p w:rsidR="00DE56C1" w:rsidRDefault="00DE56C1" w:rsidP="00E02BB3">
      <w:pPr>
        <w:autoSpaceDE w:val="0"/>
        <w:autoSpaceDN w:val="0"/>
        <w:adjustRightInd w:val="0"/>
        <w:jc w:val="both"/>
        <w:rPr>
          <w:color w:val="auto"/>
          <w:szCs w:val="24"/>
        </w:rPr>
      </w:pPr>
    </w:p>
    <w:p w:rsidR="00F06856" w:rsidRPr="00F64312" w:rsidRDefault="00F06856" w:rsidP="00E02BB3">
      <w:pPr>
        <w:autoSpaceDE w:val="0"/>
        <w:autoSpaceDN w:val="0"/>
        <w:adjustRightInd w:val="0"/>
        <w:jc w:val="both"/>
        <w:rPr>
          <w:rFonts w:eastAsia="Calibri" w:cs="Times New Roman"/>
          <w:color w:val="auto"/>
          <w:szCs w:val="24"/>
        </w:rPr>
      </w:pPr>
      <w:r w:rsidRPr="00C70B8F">
        <w:rPr>
          <w:color w:val="auto"/>
          <w:szCs w:val="24"/>
        </w:rPr>
        <w:t xml:space="preserve">The </w:t>
      </w:r>
      <w:r>
        <w:rPr>
          <w:color w:val="auto"/>
          <w:szCs w:val="24"/>
        </w:rPr>
        <w:t xml:space="preserve">Board </w:t>
      </w:r>
      <w:r w:rsidR="00A31C75">
        <w:rPr>
          <w:color w:val="auto"/>
          <w:szCs w:val="24"/>
        </w:rPr>
        <w:t xml:space="preserve">considered the CI’s restriction from driving and </w:t>
      </w:r>
      <w:r>
        <w:rPr>
          <w:color w:val="auto"/>
          <w:szCs w:val="24"/>
        </w:rPr>
        <w:t xml:space="preserve">adjudged the CI’s symptoms and disability picture was closer to the 10% criteria of </w:t>
      </w:r>
      <w:r w:rsidRPr="00C70B8F">
        <w:rPr>
          <w:color w:val="auto"/>
          <w:szCs w:val="24"/>
        </w:rPr>
        <w:t>occupational and social impairment due to mild or transient symptoms</w:t>
      </w:r>
      <w:r>
        <w:rPr>
          <w:color w:val="auto"/>
          <w:szCs w:val="24"/>
        </w:rPr>
        <w:t>, than the 30% criteria a</w:t>
      </w:r>
      <w:r>
        <w:rPr>
          <w:rFonts w:cs="Times New Roman"/>
          <w:color w:val="auto"/>
        </w:rPr>
        <w:t xml:space="preserve">s there was little evidence to support </w:t>
      </w:r>
      <w:r w:rsidRPr="00C70B8F">
        <w:rPr>
          <w:color w:val="auto"/>
          <w:szCs w:val="24"/>
        </w:rPr>
        <w:t>intermittent periods of inability to perform occupational tasks caused by his symptoms</w:t>
      </w:r>
      <w:r>
        <w:rPr>
          <w:color w:val="auto"/>
          <w:szCs w:val="24"/>
        </w:rPr>
        <w:t>, and the CI denied a linkage of his conversion disorder symptoms to his occupation.</w:t>
      </w:r>
      <w:r w:rsidR="00E02BB3">
        <w:rPr>
          <w:color w:val="auto"/>
          <w:szCs w:val="24"/>
        </w:rPr>
        <w:t xml:space="preserve">  </w:t>
      </w:r>
      <w:r w:rsidRPr="00F64312">
        <w:rPr>
          <w:rFonts w:eastAsia="Calibri" w:cs="Times New Roman"/>
          <w:color w:val="auto"/>
          <w:szCs w:val="24"/>
        </w:rPr>
        <w:t xml:space="preserve">After due </w:t>
      </w:r>
      <w:r w:rsidRPr="00F64312">
        <w:rPr>
          <w:rFonts w:eastAsia="Calibri" w:cs="Times New Roman"/>
          <w:color w:val="auto"/>
          <w:szCs w:val="24"/>
        </w:rPr>
        <w:lastRenderedPageBreak/>
        <w:t xml:space="preserve">deliberation, considering all of the evidence and mindful of VASRD §4.3 (reasonable doubt), the Board recommends a disability </w:t>
      </w:r>
      <w:r w:rsidRPr="00DE56C1">
        <w:rPr>
          <w:rFonts w:eastAsia="Calibri" w:cs="Times New Roman"/>
          <w:color w:val="auto"/>
          <w:szCs w:val="24"/>
        </w:rPr>
        <w:t>rating of 10% for the conversion</w:t>
      </w:r>
      <w:r w:rsidRPr="00F06856">
        <w:rPr>
          <w:rFonts w:eastAsia="Calibri" w:cs="Times New Roman"/>
          <w:color w:val="auto"/>
          <w:szCs w:val="24"/>
        </w:rPr>
        <w:t xml:space="preserve"> disorder</w:t>
      </w:r>
      <w:r>
        <w:rPr>
          <w:rFonts w:eastAsia="Calibri" w:cs="Times New Roman"/>
          <w:color w:val="auto"/>
          <w:szCs w:val="24"/>
        </w:rPr>
        <w:t>, coded 9424</w:t>
      </w:r>
      <w:r w:rsidRPr="00F06856">
        <w:rPr>
          <w:rFonts w:eastAsia="Calibri" w:cs="Times New Roman"/>
          <w:color w:val="auto"/>
          <w:szCs w:val="24"/>
        </w:rPr>
        <w:t>.</w:t>
      </w:r>
      <w:r w:rsidRPr="00F64312">
        <w:rPr>
          <w:rFonts w:eastAsia="Calibri" w:cs="Times New Roman"/>
          <w:color w:val="auto"/>
          <w:szCs w:val="24"/>
        </w:rPr>
        <w:t xml:space="preserve">  </w:t>
      </w:r>
    </w:p>
    <w:p w:rsidR="00AD2379" w:rsidRPr="00F64312" w:rsidRDefault="00AD2379" w:rsidP="00BF0E94">
      <w:pPr>
        <w:jc w:val="left"/>
        <w:rPr>
          <w:rFonts w:eastAsia="HiddenHorzOCR"/>
          <w:color w:val="auto"/>
          <w:highlight w:val="magenta"/>
          <w:u w:val="single"/>
        </w:rPr>
      </w:pPr>
    </w:p>
    <w:p w:rsidR="00861946" w:rsidRDefault="006B690F" w:rsidP="00861946">
      <w:pPr>
        <w:jc w:val="both"/>
        <w:rPr>
          <w:rFonts w:eastAsia="Calibri" w:cs="Times New Roman"/>
          <w:color w:val="auto"/>
          <w:szCs w:val="24"/>
        </w:rPr>
      </w:pPr>
      <w:proofErr w:type="gramStart"/>
      <w:r w:rsidRPr="00E02BB3">
        <w:rPr>
          <w:rFonts w:eastAsia="HiddenHorzOCR"/>
          <w:color w:val="auto"/>
          <w:u w:val="single"/>
        </w:rPr>
        <w:t xml:space="preserve">Contended </w:t>
      </w:r>
      <w:r w:rsidR="00AD2379" w:rsidRPr="00E02BB3">
        <w:rPr>
          <w:rFonts w:eastAsia="HiddenHorzOCR"/>
          <w:color w:val="auto"/>
          <w:u w:val="single"/>
        </w:rPr>
        <w:t>PEB Conditions</w:t>
      </w:r>
      <w:r w:rsidR="00AD2379" w:rsidRPr="00E02BB3">
        <w:rPr>
          <w:rFonts w:eastAsia="HiddenHorzOCR"/>
          <w:color w:val="auto"/>
        </w:rPr>
        <w:t>.</w:t>
      </w:r>
      <w:proofErr w:type="gramEnd"/>
      <w:r w:rsidR="0001281C" w:rsidRPr="00E02BB3">
        <w:rPr>
          <w:rFonts w:eastAsia="HiddenHorzOCR"/>
          <w:color w:val="auto"/>
        </w:rPr>
        <w:t xml:space="preserve">  </w:t>
      </w:r>
      <w:r w:rsidR="003863E9" w:rsidRPr="00E02BB3">
        <w:rPr>
          <w:rFonts w:eastAsia="Calibri" w:cs="Times New Roman"/>
          <w:color w:val="auto"/>
          <w:szCs w:val="24"/>
        </w:rPr>
        <w:t xml:space="preserve">The contended condition adjudicated as </w:t>
      </w:r>
      <w:r w:rsidR="001C545A" w:rsidRPr="00E02BB3">
        <w:rPr>
          <w:rFonts w:eastAsia="Calibri" w:cs="Times New Roman"/>
          <w:color w:val="auto"/>
          <w:szCs w:val="24"/>
        </w:rPr>
        <w:t xml:space="preserve">not </w:t>
      </w:r>
      <w:r w:rsidR="003863E9" w:rsidRPr="00E02BB3">
        <w:rPr>
          <w:rFonts w:eastAsia="Calibri" w:cs="Times New Roman"/>
          <w:color w:val="auto"/>
          <w:szCs w:val="24"/>
        </w:rPr>
        <w:t>unfitting by the PEB w</w:t>
      </w:r>
      <w:r w:rsidR="00915C53" w:rsidRPr="00E02BB3">
        <w:rPr>
          <w:rFonts w:eastAsia="Calibri" w:cs="Times New Roman"/>
          <w:color w:val="auto"/>
          <w:szCs w:val="24"/>
        </w:rPr>
        <w:t xml:space="preserve">as </w:t>
      </w:r>
      <w:r w:rsidR="00036C26" w:rsidRPr="00E02BB3">
        <w:rPr>
          <w:rFonts w:eastAsia="Calibri" w:cs="Times New Roman"/>
          <w:color w:val="auto"/>
          <w:szCs w:val="24"/>
        </w:rPr>
        <w:t>right shoulder pain</w:t>
      </w:r>
      <w:r w:rsidR="003863E9" w:rsidRPr="00E02BB3">
        <w:rPr>
          <w:rFonts w:eastAsia="Calibri" w:cs="Times New Roman"/>
          <w:color w:val="auto"/>
          <w:szCs w:val="24"/>
        </w:rPr>
        <w:t>.  The Board’s first charge with respect to th</w:t>
      </w:r>
      <w:r w:rsidR="00915C53" w:rsidRPr="00E02BB3">
        <w:rPr>
          <w:rFonts w:eastAsia="Calibri" w:cs="Times New Roman"/>
          <w:color w:val="auto"/>
          <w:szCs w:val="24"/>
        </w:rPr>
        <w:t xml:space="preserve">is </w:t>
      </w:r>
      <w:r w:rsidR="003863E9" w:rsidRPr="00E02BB3">
        <w:rPr>
          <w:rFonts w:eastAsia="Calibri" w:cs="Times New Roman"/>
          <w:color w:val="auto"/>
          <w:szCs w:val="24"/>
        </w:rPr>
        <w:t>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w:t>
      </w:r>
      <w:r w:rsidR="001F42EA" w:rsidRPr="00E02BB3">
        <w:rPr>
          <w:rFonts w:eastAsia="Calibri" w:cs="Times New Roman"/>
          <w:color w:val="auto"/>
          <w:szCs w:val="24"/>
        </w:rPr>
        <w:t xml:space="preserve">  </w:t>
      </w:r>
      <w:r w:rsidR="00FF37E9" w:rsidRPr="00E02BB3">
        <w:rPr>
          <w:rFonts w:eastAsia="Calibri" w:cs="Times New Roman"/>
          <w:color w:val="auto"/>
          <w:szCs w:val="24"/>
        </w:rPr>
        <w:t xml:space="preserve">The NARSUM, </w:t>
      </w:r>
      <w:r w:rsidR="00F22E42">
        <w:rPr>
          <w:rFonts w:eastAsia="Calibri" w:cs="Times New Roman"/>
          <w:color w:val="auto"/>
          <w:szCs w:val="24"/>
        </w:rPr>
        <w:t>six</w:t>
      </w:r>
      <w:bookmarkStart w:id="0" w:name="_GoBack"/>
      <w:bookmarkEnd w:id="0"/>
      <w:r w:rsidR="00FF37E9" w:rsidRPr="00E02BB3">
        <w:rPr>
          <w:rFonts w:eastAsia="Calibri" w:cs="Times New Roman"/>
          <w:color w:val="auto"/>
          <w:szCs w:val="24"/>
        </w:rPr>
        <w:t xml:space="preserve"> months prior to separation indicated right shoulder limited ROM with other exams of ROMs referenced.  </w:t>
      </w:r>
      <w:r w:rsidR="001F42EA" w:rsidRPr="00E02BB3">
        <w:rPr>
          <w:rFonts w:eastAsia="Calibri" w:cs="Times New Roman"/>
          <w:color w:val="auto"/>
          <w:szCs w:val="24"/>
        </w:rPr>
        <w:t xml:space="preserve">The CI’s right shoulder was evaluated </w:t>
      </w:r>
      <w:r w:rsidR="0059188A">
        <w:rPr>
          <w:rFonts w:eastAsia="Calibri" w:cs="Times New Roman"/>
          <w:color w:val="auto"/>
          <w:szCs w:val="24"/>
        </w:rPr>
        <w:t>a</w:t>
      </w:r>
      <w:r w:rsidR="001F42EA" w:rsidRPr="00E02BB3">
        <w:rPr>
          <w:rFonts w:eastAsia="Calibri" w:cs="Times New Roman"/>
          <w:color w:val="auto"/>
          <w:szCs w:val="24"/>
        </w:rPr>
        <w:t xml:space="preserve"> month prior to separation </w:t>
      </w:r>
      <w:r w:rsidR="00FF37E9" w:rsidRPr="00E02BB3">
        <w:rPr>
          <w:rFonts w:eastAsia="Calibri" w:cs="Times New Roman"/>
          <w:color w:val="auto"/>
          <w:szCs w:val="24"/>
        </w:rPr>
        <w:t>(</w:t>
      </w:r>
      <w:r w:rsidR="0059188A">
        <w:rPr>
          <w:rFonts w:eastAsia="Calibri" w:cs="Times New Roman"/>
          <w:color w:val="auto"/>
          <w:szCs w:val="24"/>
        </w:rPr>
        <w:t>7</w:t>
      </w:r>
      <w:r w:rsidR="001F42EA" w:rsidRPr="00E02BB3">
        <w:rPr>
          <w:rFonts w:eastAsia="Calibri" w:cs="Times New Roman"/>
          <w:color w:val="auto"/>
          <w:szCs w:val="24"/>
        </w:rPr>
        <w:t xml:space="preserve"> months after undergoing a rotator cuff repair and sub acromial decompression</w:t>
      </w:r>
      <w:r w:rsidR="00FF37E9" w:rsidRPr="00E02BB3">
        <w:rPr>
          <w:rFonts w:eastAsia="Calibri" w:cs="Times New Roman"/>
          <w:color w:val="auto"/>
          <w:szCs w:val="24"/>
        </w:rPr>
        <w:t>)</w:t>
      </w:r>
      <w:r w:rsidR="00917665" w:rsidRPr="00E02BB3">
        <w:rPr>
          <w:rFonts w:eastAsia="Calibri" w:cs="Times New Roman"/>
          <w:color w:val="auto"/>
          <w:szCs w:val="24"/>
        </w:rPr>
        <w:t xml:space="preserve"> </w:t>
      </w:r>
      <w:r w:rsidR="00FF37E9" w:rsidRPr="00E02BB3">
        <w:rPr>
          <w:rFonts w:eastAsia="Calibri" w:cs="Times New Roman"/>
          <w:color w:val="auto"/>
          <w:szCs w:val="24"/>
        </w:rPr>
        <w:t>t</w:t>
      </w:r>
      <w:r w:rsidR="00917665" w:rsidRPr="00E02BB3">
        <w:rPr>
          <w:rFonts w:eastAsia="Calibri" w:cs="Times New Roman"/>
          <w:color w:val="auto"/>
          <w:szCs w:val="24"/>
        </w:rPr>
        <w:t xml:space="preserve">hat </w:t>
      </w:r>
      <w:r w:rsidR="001F42EA" w:rsidRPr="00E02BB3">
        <w:rPr>
          <w:rFonts w:eastAsia="Calibri" w:cs="Times New Roman"/>
          <w:color w:val="auto"/>
          <w:szCs w:val="24"/>
        </w:rPr>
        <w:t xml:space="preserve">revealed </w:t>
      </w:r>
      <w:r w:rsidR="00FF37E9" w:rsidRPr="00E02BB3">
        <w:rPr>
          <w:rFonts w:eastAsia="Calibri" w:cs="Times New Roman"/>
          <w:color w:val="auto"/>
          <w:szCs w:val="24"/>
        </w:rPr>
        <w:t xml:space="preserve">slight </w:t>
      </w:r>
      <w:r w:rsidR="001F42EA" w:rsidRPr="00E02BB3">
        <w:rPr>
          <w:rFonts w:eastAsia="Calibri" w:cs="Times New Roman"/>
          <w:color w:val="auto"/>
          <w:szCs w:val="24"/>
        </w:rPr>
        <w:t xml:space="preserve">right shoulder </w:t>
      </w:r>
      <w:r w:rsidR="00917665" w:rsidRPr="00E02BB3">
        <w:rPr>
          <w:rFonts w:eastAsia="Calibri" w:cs="Times New Roman"/>
          <w:color w:val="auto"/>
          <w:szCs w:val="24"/>
        </w:rPr>
        <w:t>RO</w:t>
      </w:r>
      <w:r w:rsidR="001F42EA" w:rsidRPr="00E02BB3">
        <w:rPr>
          <w:rFonts w:eastAsia="Calibri" w:cs="Times New Roman"/>
          <w:color w:val="auto"/>
          <w:szCs w:val="24"/>
        </w:rPr>
        <w:t>M</w:t>
      </w:r>
      <w:r w:rsidR="00FF37E9" w:rsidRPr="00E02BB3">
        <w:rPr>
          <w:rFonts w:eastAsia="Calibri" w:cs="Times New Roman"/>
          <w:color w:val="auto"/>
          <w:szCs w:val="24"/>
        </w:rPr>
        <w:t xml:space="preserve"> limitations</w:t>
      </w:r>
      <w:r w:rsidR="001F42EA" w:rsidRPr="00E02BB3">
        <w:rPr>
          <w:rFonts w:eastAsia="Calibri" w:cs="Times New Roman"/>
          <w:color w:val="auto"/>
          <w:szCs w:val="24"/>
        </w:rPr>
        <w:t>.  The NARSUM documents “he still has difficulty with use of the shoulder if significant force is required.”</w:t>
      </w:r>
      <w:r w:rsidR="00861946" w:rsidRPr="00E02BB3">
        <w:rPr>
          <w:rFonts w:eastAsia="Calibri" w:cs="Times New Roman"/>
          <w:color w:val="auto"/>
          <w:szCs w:val="24"/>
        </w:rPr>
        <w:t xml:space="preserve">  </w:t>
      </w:r>
      <w:r w:rsidR="00FF37E9" w:rsidRPr="00E02BB3">
        <w:rPr>
          <w:rFonts w:eastAsia="Calibri" w:cs="Times New Roman"/>
          <w:color w:val="auto"/>
          <w:szCs w:val="24"/>
        </w:rPr>
        <w:t>The commander’s statement did not specify conditions that limited duty performance.  The profile included a U3 duty restriction for neck pain, and the shoulder condition was not listed</w:t>
      </w:r>
      <w:r w:rsidR="008E1B79" w:rsidRPr="00E02BB3">
        <w:rPr>
          <w:rFonts w:eastAsia="Calibri" w:cs="Times New Roman"/>
          <w:color w:val="auto"/>
          <w:szCs w:val="24"/>
        </w:rPr>
        <w:t xml:space="preserve">.  </w:t>
      </w:r>
      <w:r w:rsidR="00861946" w:rsidRPr="00E02BB3">
        <w:rPr>
          <w:color w:val="auto"/>
          <w:szCs w:val="24"/>
        </w:rPr>
        <w:t xml:space="preserve">Review of the service treatment records reveals that right shoulder pain was </w:t>
      </w:r>
      <w:r w:rsidR="00861946" w:rsidRPr="00E02BB3">
        <w:rPr>
          <w:color w:val="000000"/>
        </w:rPr>
        <w:t xml:space="preserve">judged to </w:t>
      </w:r>
      <w:r w:rsidR="00FF37E9" w:rsidRPr="00E02BB3">
        <w:rPr>
          <w:color w:val="000000"/>
        </w:rPr>
        <w:t xml:space="preserve">meet standards and to be </w:t>
      </w:r>
      <w:r w:rsidR="00861946" w:rsidRPr="00E02BB3">
        <w:rPr>
          <w:color w:val="000000"/>
        </w:rPr>
        <w:t xml:space="preserve">not </w:t>
      </w:r>
      <w:r w:rsidR="00915C53" w:rsidRPr="00E02BB3">
        <w:rPr>
          <w:color w:val="000000"/>
        </w:rPr>
        <w:t>unfitting</w:t>
      </w:r>
      <w:r w:rsidR="00861946" w:rsidRPr="00E02BB3">
        <w:rPr>
          <w:color w:val="000000"/>
        </w:rPr>
        <w:t xml:space="preserve">. </w:t>
      </w:r>
      <w:r w:rsidR="00915C53" w:rsidRPr="00E02BB3">
        <w:rPr>
          <w:color w:val="000000"/>
        </w:rPr>
        <w:t xml:space="preserve"> </w:t>
      </w:r>
      <w:r w:rsidR="00861946" w:rsidRPr="00E02BB3">
        <w:rPr>
          <w:color w:val="000000"/>
        </w:rPr>
        <w:t>There was no indication from the record that this condition significantly interfered with satisfactory duty performance at the time of separation.</w:t>
      </w:r>
      <w:r w:rsidR="00E02BB3">
        <w:rPr>
          <w:color w:val="000000"/>
        </w:rPr>
        <w:t xml:space="preserve">  </w:t>
      </w:r>
      <w:r w:rsidR="00861946" w:rsidRPr="00E02BB3">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right shoulder pain condition; and, therefore, no additional disability rating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0A650B">
        <w:rPr>
          <w:rFonts w:cs="Times New Roman"/>
          <w:color w:val="auto"/>
        </w:rPr>
        <w:t xml:space="preserve">  </w:t>
      </w:r>
      <w:r w:rsidR="00241B01" w:rsidRPr="00F64312">
        <w:rPr>
          <w:rFonts w:eastAsia="Calibri" w:cs="Times New Roman"/>
          <w:color w:val="auto"/>
          <w:szCs w:val="24"/>
        </w:rPr>
        <w:t xml:space="preserve">As discussed above, PEB </w:t>
      </w:r>
      <w:r w:rsidR="00917665">
        <w:rPr>
          <w:rFonts w:eastAsia="Calibri" w:cs="Times New Roman"/>
          <w:color w:val="auto"/>
          <w:szCs w:val="24"/>
        </w:rPr>
        <w:t xml:space="preserve">likely application </w:t>
      </w:r>
      <w:r w:rsidR="00241B01" w:rsidRPr="00F64312">
        <w:rPr>
          <w:rFonts w:eastAsia="Calibri" w:cs="Times New Roman"/>
          <w:color w:val="auto"/>
          <w:szCs w:val="24"/>
        </w:rPr>
        <w:t>o</w:t>
      </w:r>
      <w:r w:rsidR="00917665">
        <w:rPr>
          <w:rFonts w:eastAsia="Calibri" w:cs="Times New Roman"/>
          <w:color w:val="auto"/>
          <w:szCs w:val="24"/>
        </w:rPr>
        <w:t>f</w:t>
      </w:r>
      <w:r w:rsidR="00241B01" w:rsidRPr="00F64312">
        <w:rPr>
          <w:rFonts w:eastAsia="Calibri" w:cs="Times New Roman"/>
          <w:color w:val="auto"/>
          <w:szCs w:val="24"/>
        </w:rPr>
        <w:t xml:space="preserve"> </w:t>
      </w:r>
      <w:r w:rsidR="00241B01" w:rsidRPr="000A650B">
        <w:rPr>
          <w:rFonts w:eastAsia="Calibri" w:cs="Times New Roman"/>
          <w:color w:val="auto"/>
          <w:szCs w:val="24"/>
        </w:rPr>
        <w:t xml:space="preserve">the </w:t>
      </w:r>
      <w:r w:rsidR="00241B01" w:rsidRPr="00E02BB3">
        <w:rPr>
          <w:rFonts w:eastAsia="Calibri" w:cs="Times New Roman"/>
          <w:color w:val="auto"/>
          <w:szCs w:val="24"/>
        </w:rPr>
        <w:t xml:space="preserve">USAPDA pain policy for rating </w:t>
      </w:r>
      <w:r w:rsidR="000A650B" w:rsidRPr="00E02BB3">
        <w:rPr>
          <w:rFonts w:eastAsia="Calibri" w:cs="Times New Roman"/>
          <w:color w:val="auto"/>
          <w:szCs w:val="24"/>
        </w:rPr>
        <w:t xml:space="preserve">chronic neck pain condition </w:t>
      </w:r>
      <w:r w:rsidR="00241B01" w:rsidRPr="00E02BB3">
        <w:rPr>
          <w:rFonts w:eastAsia="Calibri" w:cs="Times New Roman"/>
          <w:color w:val="auto"/>
          <w:szCs w:val="24"/>
        </w:rPr>
        <w:t>was operant in this case and the condition was adjudicated independently of that policy by the Board</w:t>
      </w:r>
      <w:r w:rsidR="00241B01" w:rsidRPr="00235465">
        <w:rPr>
          <w:rFonts w:eastAsia="Calibri" w:cs="Times New Roman"/>
          <w:color w:val="auto"/>
          <w:szCs w:val="24"/>
        </w:rPr>
        <w:t>.</w:t>
      </w:r>
      <w:r w:rsidR="00E02BB3" w:rsidRPr="00235465">
        <w:rPr>
          <w:rFonts w:eastAsia="Calibri" w:cs="Times New Roman"/>
          <w:color w:val="auto"/>
          <w:szCs w:val="24"/>
        </w:rPr>
        <w:t xml:space="preserve">  </w:t>
      </w:r>
      <w:r w:rsidR="00AE4016" w:rsidRPr="00235465">
        <w:rPr>
          <w:rFonts w:eastAsia="Calibri" w:cs="Times New Roman"/>
          <w:color w:val="auto"/>
          <w:szCs w:val="24"/>
        </w:rPr>
        <w:t xml:space="preserve">As discussed above, PEB likely application of </w:t>
      </w:r>
      <w:r w:rsidR="00AE4016" w:rsidRPr="00235465">
        <w:rPr>
          <w:color w:val="auto"/>
        </w:rPr>
        <w:t xml:space="preserve">DoDI 1332.39 </w:t>
      </w:r>
      <w:r w:rsidR="00AE4016" w:rsidRPr="00235465">
        <w:rPr>
          <w:rFonts w:eastAsia="Calibri" w:cs="Times New Roman"/>
          <w:color w:val="auto"/>
          <w:szCs w:val="24"/>
        </w:rPr>
        <w:t xml:space="preserve">for rating conversion disorder condition was operant in this case and the condition was adjudicated independently of that policy by the Board.  </w:t>
      </w:r>
      <w:r w:rsidR="00241B01" w:rsidRPr="00235465">
        <w:rPr>
          <w:rFonts w:eastAsia="Calibri" w:cs="Times New Roman"/>
          <w:color w:val="auto"/>
          <w:szCs w:val="24"/>
        </w:rPr>
        <w:t>In the</w:t>
      </w:r>
      <w:r w:rsidR="00241B01" w:rsidRPr="00E02BB3">
        <w:rPr>
          <w:rFonts w:eastAsia="Calibri" w:cs="Times New Roman"/>
          <w:color w:val="auto"/>
          <w:szCs w:val="24"/>
        </w:rPr>
        <w:t xml:space="preserve"> matter of the</w:t>
      </w:r>
      <w:r w:rsidR="000A650B" w:rsidRPr="00E02BB3">
        <w:rPr>
          <w:rFonts w:eastAsia="Calibri" w:cs="Times New Roman"/>
          <w:color w:val="auto"/>
          <w:szCs w:val="24"/>
        </w:rPr>
        <w:t xml:space="preserve"> chronic neck pain </w:t>
      </w:r>
      <w:r w:rsidR="00241B01" w:rsidRPr="00E02BB3">
        <w:rPr>
          <w:rFonts w:eastAsia="Calibri" w:cs="Times New Roman"/>
          <w:color w:val="auto"/>
          <w:szCs w:val="24"/>
        </w:rPr>
        <w:t xml:space="preserve">condition, the Board unanimously recommends a disability rating of </w:t>
      </w:r>
      <w:r w:rsidR="008E1B79" w:rsidRPr="00E02BB3">
        <w:rPr>
          <w:rFonts w:eastAsia="Calibri" w:cs="Times New Roman"/>
          <w:color w:val="auto"/>
          <w:szCs w:val="24"/>
        </w:rPr>
        <w:t>2</w:t>
      </w:r>
      <w:r w:rsidR="000A650B" w:rsidRPr="00E02BB3">
        <w:rPr>
          <w:rFonts w:eastAsia="Calibri" w:cs="Times New Roman"/>
          <w:color w:val="auto"/>
          <w:szCs w:val="24"/>
        </w:rPr>
        <w:t>0</w:t>
      </w:r>
      <w:r w:rsidR="00CB3B38" w:rsidRPr="00E02BB3">
        <w:rPr>
          <w:rFonts w:eastAsia="Calibri" w:cs="Times New Roman"/>
          <w:color w:val="auto"/>
          <w:szCs w:val="24"/>
        </w:rPr>
        <w:t>%</w:t>
      </w:r>
      <w:r w:rsidR="00241B01" w:rsidRPr="00E02BB3">
        <w:rPr>
          <w:rFonts w:eastAsia="Calibri" w:cs="Times New Roman"/>
          <w:color w:val="auto"/>
          <w:szCs w:val="24"/>
        </w:rPr>
        <w:t xml:space="preserve">, coded </w:t>
      </w:r>
      <w:r w:rsidR="000A650B" w:rsidRPr="00E02BB3">
        <w:rPr>
          <w:rFonts w:eastAsia="Calibri" w:cs="Times New Roman"/>
          <w:color w:val="auto"/>
          <w:szCs w:val="24"/>
        </w:rPr>
        <w:t>5241</w:t>
      </w:r>
      <w:r w:rsidR="00241B01" w:rsidRPr="00E02BB3">
        <w:rPr>
          <w:rFonts w:eastAsia="Calibri" w:cs="Times New Roman"/>
          <w:color w:val="auto"/>
          <w:szCs w:val="24"/>
        </w:rPr>
        <w:t xml:space="preserve"> IAW VASRD §4.71a.</w:t>
      </w:r>
      <w:r w:rsidR="00E02BB3" w:rsidRPr="00E02BB3">
        <w:rPr>
          <w:rFonts w:eastAsia="Calibri" w:cs="Times New Roman"/>
          <w:color w:val="auto"/>
          <w:szCs w:val="24"/>
        </w:rPr>
        <w:t xml:space="preserve">  </w:t>
      </w:r>
      <w:r w:rsidR="000A650B" w:rsidRPr="00E02BB3">
        <w:rPr>
          <w:rFonts w:eastAsia="Calibri" w:cs="Times New Roman"/>
          <w:color w:val="auto"/>
          <w:szCs w:val="24"/>
        </w:rPr>
        <w:t>In the matter of the conversion disorder condition, the Board unanimously recommends a disability rating of 10%, coded 9424 IAW VASRD §4.130.</w:t>
      </w:r>
      <w:r w:rsidR="00E02BB3" w:rsidRPr="00E02BB3">
        <w:rPr>
          <w:rFonts w:eastAsia="Calibri" w:cs="Times New Roman"/>
          <w:color w:val="auto"/>
          <w:szCs w:val="24"/>
        </w:rPr>
        <w:t xml:space="preserve">  </w:t>
      </w:r>
      <w:r w:rsidR="00560F12" w:rsidRPr="00E02BB3">
        <w:rPr>
          <w:rFonts w:eastAsia="Calibri" w:cs="Times New Roman"/>
          <w:color w:val="auto"/>
          <w:szCs w:val="24"/>
        </w:rPr>
        <w:t xml:space="preserve">In the matter of the contended </w:t>
      </w:r>
      <w:r w:rsidR="000A650B" w:rsidRPr="00E02BB3">
        <w:rPr>
          <w:rFonts w:eastAsia="Calibri" w:cs="Times New Roman"/>
          <w:color w:val="auto"/>
          <w:szCs w:val="24"/>
        </w:rPr>
        <w:t xml:space="preserve">right shoulder pain </w:t>
      </w:r>
      <w:r w:rsidR="00560F12" w:rsidRPr="00E02BB3">
        <w:rPr>
          <w:rFonts w:eastAsia="Calibri" w:cs="Times New Roman"/>
          <w:color w:val="auto"/>
          <w:szCs w:val="24"/>
        </w:rPr>
        <w:t xml:space="preserve">condition, the Board unanimously </w:t>
      </w:r>
      <w:r w:rsidR="00417BED" w:rsidRPr="00E02BB3">
        <w:rPr>
          <w:rFonts w:eastAsia="Calibri" w:cs="Times New Roman"/>
          <w:color w:val="auto"/>
          <w:szCs w:val="24"/>
        </w:rPr>
        <w:t>recommends no change from the PEB determination as not unfitting.</w:t>
      </w:r>
      <w:r w:rsidR="00E02BB3" w:rsidRPr="00E02BB3">
        <w:rPr>
          <w:rFonts w:eastAsia="Calibri" w:cs="Times New Roman"/>
          <w:color w:val="auto"/>
          <w:szCs w:val="24"/>
        </w:rPr>
        <w:t xml:space="preserve">  </w:t>
      </w:r>
      <w:r w:rsidR="00417BED" w:rsidRPr="00E02BB3">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31C75" w:rsidRDefault="00A31C75">
      <w:pPr>
        <w:spacing w:line="240" w:lineRule="auto"/>
        <w:jc w:val="left"/>
        <w:rPr>
          <w:color w:val="auto"/>
          <w:u w:val="single"/>
        </w:rPr>
      </w:pPr>
      <w:r>
        <w:rPr>
          <w:color w:val="auto"/>
          <w:u w:val="single"/>
        </w:rPr>
        <w:br w:type="page"/>
      </w:r>
    </w:p>
    <w:p w:rsidR="008E1B79" w:rsidRPr="00A31C75" w:rsidRDefault="00AD2379" w:rsidP="008E1B79">
      <w:pPr>
        <w:tabs>
          <w:tab w:val="left" w:pos="288"/>
          <w:tab w:val="left" w:pos="4752"/>
        </w:tabs>
        <w:jc w:val="both"/>
        <w:rPr>
          <w:rFonts w:eastAsia="Calibri" w:cs="Times New Roman"/>
          <w:color w:val="auto"/>
          <w:szCs w:val="24"/>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008E1B79" w:rsidRPr="00F64312">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8E1B79" w:rsidRPr="00A31C75" w:rsidRDefault="008E1B79" w:rsidP="008E1B79">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2"/>
        <w:gridCol w:w="1710"/>
        <w:gridCol w:w="1782"/>
      </w:tblGrid>
      <w:tr w:rsidR="008E1B79" w:rsidRPr="00A31C75" w:rsidTr="00190E18">
        <w:trPr>
          <w:trHeight w:val="233"/>
          <w:jc w:val="center"/>
        </w:trPr>
        <w:tc>
          <w:tcPr>
            <w:tcW w:w="5832" w:type="dxa"/>
            <w:shd w:val="clear" w:color="auto" w:fill="D9D9D9"/>
            <w:vAlign w:val="center"/>
          </w:tcPr>
          <w:p w:rsidR="008E1B79" w:rsidRPr="00A31C75" w:rsidRDefault="008E1B79" w:rsidP="00190E18">
            <w:pPr>
              <w:tabs>
                <w:tab w:val="left" w:pos="288"/>
                <w:tab w:val="left" w:pos="4752"/>
              </w:tabs>
              <w:rPr>
                <w:b/>
                <w:color w:val="auto"/>
              </w:rPr>
            </w:pPr>
            <w:r w:rsidRPr="00A31C75">
              <w:rPr>
                <w:b/>
                <w:color w:val="auto"/>
              </w:rPr>
              <w:t>UNFITTING CONDITION</w:t>
            </w:r>
          </w:p>
        </w:tc>
        <w:tc>
          <w:tcPr>
            <w:tcW w:w="1710" w:type="dxa"/>
            <w:shd w:val="clear" w:color="auto" w:fill="D9D9D9"/>
            <w:vAlign w:val="center"/>
          </w:tcPr>
          <w:p w:rsidR="008E1B79" w:rsidRPr="00A31C75" w:rsidRDefault="008E1B79" w:rsidP="00190E18">
            <w:pPr>
              <w:tabs>
                <w:tab w:val="left" w:pos="288"/>
                <w:tab w:val="left" w:pos="4752"/>
              </w:tabs>
              <w:rPr>
                <w:b/>
                <w:color w:val="auto"/>
              </w:rPr>
            </w:pPr>
            <w:r w:rsidRPr="00A31C75">
              <w:rPr>
                <w:b/>
                <w:color w:val="auto"/>
              </w:rPr>
              <w:t>VASRD CODE</w:t>
            </w:r>
          </w:p>
        </w:tc>
        <w:tc>
          <w:tcPr>
            <w:tcW w:w="1782" w:type="dxa"/>
            <w:shd w:val="clear" w:color="auto" w:fill="D9D9D9"/>
            <w:vAlign w:val="center"/>
          </w:tcPr>
          <w:p w:rsidR="008E1B79" w:rsidRPr="00A31C75" w:rsidRDefault="008E1B79" w:rsidP="00190E18">
            <w:pPr>
              <w:tabs>
                <w:tab w:val="left" w:pos="288"/>
                <w:tab w:val="left" w:pos="4752"/>
              </w:tabs>
              <w:rPr>
                <w:b/>
                <w:color w:val="auto"/>
              </w:rPr>
            </w:pPr>
            <w:r w:rsidRPr="00A31C75">
              <w:rPr>
                <w:b/>
                <w:color w:val="auto"/>
              </w:rPr>
              <w:t>RATING</w:t>
            </w:r>
          </w:p>
        </w:tc>
      </w:tr>
      <w:tr w:rsidR="008E1B79" w:rsidRPr="00A31C75" w:rsidTr="00190E18">
        <w:trPr>
          <w:jc w:val="center"/>
        </w:trPr>
        <w:tc>
          <w:tcPr>
            <w:tcW w:w="5832" w:type="dxa"/>
            <w:vAlign w:val="center"/>
          </w:tcPr>
          <w:p w:rsidR="008E1B79" w:rsidRPr="00A31C75" w:rsidRDefault="008E1B79" w:rsidP="00190E18">
            <w:pPr>
              <w:tabs>
                <w:tab w:val="left" w:pos="288"/>
                <w:tab w:val="left" w:pos="4752"/>
              </w:tabs>
              <w:jc w:val="left"/>
              <w:rPr>
                <w:color w:val="auto"/>
              </w:rPr>
            </w:pPr>
            <w:r w:rsidRPr="00A31C75">
              <w:rPr>
                <w:color w:val="auto"/>
              </w:rPr>
              <w:t>Chronic Radiating Neck Pain</w:t>
            </w:r>
          </w:p>
        </w:tc>
        <w:tc>
          <w:tcPr>
            <w:tcW w:w="1710" w:type="dxa"/>
            <w:vAlign w:val="center"/>
          </w:tcPr>
          <w:p w:rsidR="008E1B79" w:rsidRPr="00A31C75" w:rsidRDefault="008E1B79" w:rsidP="00190E18">
            <w:pPr>
              <w:tabs>
                <w:tab w:val="left" w:pos="288"/>
                <w:tab w:val="left" w:pos="4752"/>
              </w:tabs>
              <w:rPr>
                <w:color w:val="auto"/>
              </w:rPr>
            </w:pPr>
            <w:r w:rsidRPr="00A31C75">
              <w:rPr>
                <w:color w:val="auto"/>
              </w:rPr>
              <w:t>5241</w:t>
            </w:r>
          </w:p>
        </w:tc>
        <w:tc>
          <w:tcPr>
            <w:tcW w:w="1782" w:type="dxa"/>
            <w:vAlign w:val="center"/>
          </w:tcPr>
          <w:p w:rsidR="008E1B79" w:rsidRPr="00A31C75" w:rsidRDefault="008E1B79" w:rsidP="00190E18">
            <w:pPr>
              <w:tabs>
                <w:tab w:val="left" w:pos="288"/>
                <w:tab w:val="left" w:pos="4752"/>
              </w:tabs>
              <w:rPr>
                <w:color w:val="auto"/>
              </w:rPr>
            </w:pPr>
            <w:r w:rsidRPr="00A31C75">
              <w:rPr>
                <w:color w:val="auto"/>
              </w:rPr>
              <w:t>20%</w:t>
            </w:r>
          </w:p>
        </w:tc>
      </w:tr>
      <w:tr w:rsidR="008E1B79" w:rsidRPr="00A31C75" w:rsidTr="00190E18">
        <w:trPr>
          <w:jc w:val="center"/>
        </w:trPr>
        <w:tc>
          <w:tcPr>
            <w:tcW w:w="5832" w:type="dxa"/>
            <w:vAlign w:val="center"/>
          </w:tcPr>
          <w:p w:rsidR="008E1B79" w:rsidRPr="00A31C75" w:rsidRDefault="008E1B79" w:rsidP="00190E18">
            <w:pPr>
              <w:tabs>
                <w:tab w:val="left" w:pos="288"/>
                <w:tab w:val="left" w:pos="4752"/>
              </w:tabs>
              <w:jc w:val="left"/>
              <w:rPr>
                <w:color w:val="auto"/>
              </w:rPr>
            </w:pPr>
            <w:r w:rsidRPr="00A31C75">
              <w:rPr>
                <w:color w:val="auto"/>
              </w:rPr>
              <w:t>Conversion Disorder</w:t>
            </w:r>
          </w:p>
        </w:tc>
        <w:tc>
          <w:tcPr>
            <w:tcW w:w="1710" w:type="dxa"/>
            <w:vAlign w:val="center"/>
          </w:tcPr>
          <w:p w:rsidR="008E1B79" w:rsidRPr="00A31C75" w:rsidRDefault="008E1B79" w:rsidP="00190E18">
            <w:pPr>
              <w:tabs>
                <w:tab w:val="left" w:pos="288"/>
                <w:tab w:val="left" w:pos="4752"/>
              </w:tabs>
              <w:rPr>
                <w:color w:val="auto"/>
              </w:rPr>
            </w:pPr>
            <w:r w:rsidRPr="00A31C75">
              <w:rPr>
                <w:color w:val="auto"/>
              </w:rPr>
              <w:t>9424</w:t>
            </w:r>
          </w:p>
        </w:tc>
        <w:tc>
          <w:tcPr>
            <w:tcW w:w="1782" w:type="dxa"/>
            <w:vAlign w:val="center"/>
          </w:tcPr>
          <w:p w:rsidR="008E1B79" w:rsidRPr="00A31C75" w:rsidRDefault="008E1B79" w:rsidP="00190E18">
            <w:pPr>
              <w:tabs>
                <w:tab w:val="left" w:pos="288"/>
                <w:tab w:val="left" w:pos="4752"/>
              </w:tabs>
              <w:rPr>
                <w:color w:val="auto"/>
              </w:rPr>
            </w:pPr>
            <w:r w:rsidRPr="00A31C75">
              <w:rPr>
                <w:color w:val="auto"/>
              </w:rPr>
              <w:t>10%</w:t>
            </w:r>
          </w:p>
        </w:tc>
      </w:tr>
      <w:tr w:rsidR="008E1B79" w:rsidRPr="00A31C75" w:rsidTr="00190E18">
        <w:tblPrEx>
          <w:tblLook w:val="0000"/>
        </w:tblPrEx>
        <w:trPr>
          <w:gridBefore w:val="1"/>
          <w:wBefore w:w="5832" w:type="dxa"/>
          <w:trHeight w:val="152"/>
          <w:jc w:val="center"/>
        </w:trPr>
        <w:tc>
          <w:tcPr>
            <w:tcW w:w="1710" w:type="dxa"/>
            <w:tcBorders>
              <w:left w:val="single" w:sz="4" w:space="0" w:color="auto"/>
            </w:tcBorders>
            <w:shd w:val="clear" w:color="auto" w:fill="D9D9D9"/>
            <w:vAlign w:val="center"/>
          </w:tcPr>
          <w:p w:rsidR="008E1B79" w:rsidRPr="00A31C75" w:rsidRDefault="008E1B79" w:rsidP="00190E18">
            <w:pPr>
              <w:tabs>
                <w:tab w:val="left" w:pos="288"/>
                <w:tab w:val="left" w:pos="4752"/>
              </w:tabs>
              <w:rPr>
                <w:b/>
                <w:color w:val="auto"/>
              </w:rPr>
            </w:pPr>
            <w:r w:rsidRPr="00A31C75">
              <w:rPr>
                <w:b/>
                <w:color w:val="auto"/>
              </w:rPr>
              <w:t>COMBINED</w:t>
            </w:r>
          </w:p>
        </w:tc>
        <w:tc>
          <w:tcPr>
            <w:tcW w:w="1782" w:type="dxa"/>
            <w:shd w:val="clear" w:color="auto" w:fill="D9D9D9"/>
            <w:vAlign w:val="center"/>
          </w:tcPr>
          <w:p w:rsidR="008E1B79" w:rsidRPr="00A31C75" w:rsidRDefault="008E1B79" w:rsidP="00190E18">
            <w:pPr>
              <w:tabs>
                <w:tab w:val="left" w:pos="288"/>
                <w:tab w:val="left" w:pos="4752"/>
              </w:tabs>
              <w:rPr>
                <w:b/>
                <w:color w:val="auto"/>
              </w:rPr>
            </w:pPr>
            <w:r w:rsidRPr="00A31C75">
              <w:rPr>
                <w:b/>
                <w:color w:val="auto"/>
              </w:rPr>
              <w:t>30%</w:t>
            </w:r>
          </w:p>
        </w:tc>
      </w:tr>
    </w:tbl>
    <w:p w:rsidR="008E1B79" w:rsidRPr="00A31C75" w:rsidRDefault="008E1B79" w:rsidP="008E1B79">
      <w:pPr>
        <w:jc w:val="both"/>
        <w:rPr>
          <w:color w:val="auto"/>
        </w:rPr>
      </w:pPr>
    </w:p>
    <w:p w:rsidR="00235465" w:rsidRDefault="00235465"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97147">
        <w:rPr>
          <w:color w:val="auto"/>
        </w:rPr>
        <w:t>dated 20</w:t>
      </w:r>
      <w:r w:rsidR="00C97147" w:rsidRPr="00C97147">
        <w:rPr>
          <w:color w:val="auto"/>
        </w:rPr>
        <w:t>120114</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40D87">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340D87" w:rsidRDefault="00AD2379" w:rsidP="00BF0E94">
      <w:pPr>
        <w:tabs>
          <w:tab w:val="left" w:pos="0"/>
          <w:tab w:val="left" w:pos="4320"/>
        </w:tabs>
        <w:jc w:val="both"/>
        <w:rPr>
          <w:color w:val="auto"/>
        </w:rPr>
      </w:pPr>
      <w:r w:rsidRPr="00F64312">
        <w:rPr>
          <w:color w:val="auto"/>
        </w:rPr>
        <w:tab/>
        <w:t xml:space="preserve">           Physical Disability Board of Review</w:t>
      </w:r>
    </w:p>
    <w:p w:rsidR="00340D87" w:rsidRDefault="00340D87">
      <w:pPr>
        <w:spacing w:line="240" w:lineRule="auto"/>
        <w:jc w:val="left"/>
        <w:rPr>
          <w:color w:val="auto"/>
        </w:rPr>
      </w:pPr>
      <w:r>
        <w:rPr>
          <w:color w:val="auto"/>
        </w:rPr>
        <w:br w:type="page"/>
      </w:r>
    </w:p>
    <w:p w:rsidR="00340D87" w:rsidRDefault="00340D87" w:rsidP="00340D87">
      <w:pPr>
        <w:pStyle w:val="Header"/>
        <w:tabs>
          <w:tab w:val="left" w:pos="720"/>
        </w:tabs>
        <w:jc w:val="left"/>
      </w:pPr>
      <w:r>
        <w:lastRenderedPageBreak/>
        <w:t>SFMR-RB</w:t>
      </w:r>
      <w:r>
        <w:tab/>
      </w:r>
      <w:r>
        <w:tab/>
      </w:r>
      <w:r>
        <w:tab/>
      </w:r>
      <w:r>
        <w:tab/>
      </w:r>
      <w:r>
        <w:tab/>
      </w:r>
      <w:r>
        <w:tab/>
      </w:r>
      <w:r>
        <w:tab/>
      </w:r>
      <w:r>
        <w:tab/>
      </w:r>
      <w:r>
        <w:tab/>
      </w:r>
    </w:p>
    <w:p w:rsidR="00340D87" w:rsidRDefault="00340D87" w:rsidP="00340D87">
      <w:pPr>
        <w:pStyle w:val="Header"/>
        <w:tabs>
          <w:tab w:val="left" w:pos="720"/>
        </w:tabs>
        <w:jc w:val="left"/>
      </w:pPr>
    </w:p>
    <w:p w:rsidR="00340D87" w:rsidRDefault="00340D87" w:rsidP="00340D87">
      <w:pPr>
        <w:jc w:val="left"/>
      </w:pPr>
    </w:p>
    <w:p w:rsidR="00340D87" w:rsidRDefault="00340D87" w:rsidP="00340D87">
      <w:pPr>
        <w:jc w:val="left"/>
      </w:pPr>
      <w:r>
        <w:t xml:space="preserve">MEMORANDUM FOR Commander, US Army Physical Disability Agency </w:t>
      </w:r>
    </w:p>
    <w:p w:rsidR="00340D87" w:rsidRDefault="00340D87" w:rsidP="00340D87">
      <w:pPr>
        <w:jc w:val="left"/>
      </w:pPr>
      <w:r>
        <w:t xml:space="preserve">(TAPD-ZB </w:t>
      </w:r>
      <w:proofErr w:type="gramStart"/>
      <w:r>
        <w:t>/  )</w:t>
      </w:r>
      <w:proofErr w:type="gramEnd"/>
      <w:r>
        <w:t>, 2900 Crystal Drive, Suite 300, Arlington, VA  22202-3557</w:t>
      </w:r>
    </w:p>
    <w:p w:rsidR="00340D87" w:rsidRDefault="00340D87" w:rsidP="00340D87">
      <w:pPr>
        <w:jc w:val="left"/>
      </w:pPr>
    </w:p>
    <w:p w:rsidR="00340D87" w:rsidRDefault="00340D87" w:rsidP="00340D87">
      <w:pPr>
        <w:jc w:val="left"/>
      </w:pPr>
    </w:p>
    <w:p w:rsidR="00340D87" w:rsidRDefault="00340D87" w:rsidP="00340D87">
      <w:pPr>
        <w:ind w:right="-180"/>
        <w:jc w:val="left"/>
      </w:pPr>
      <w:r>
        <w:t xml:space="preserve">SUBJECT:  Department of Defense Physical Disability Board of Review Recommendation </w:t>
      </w:r>
    </w:p>
    <w:p w:rsidR="00340D87" w:rsidRDefault="00340D87" w:rsidP="00340D87">
      <w:pPr>
        <w:pStyle w:val="Header"/>
        <w:tabs>
          <w:tab w:val="left" w:pos="720"/>
        </w:tabs>
        <w:jc w:val="left"/>
      </w:pPr>
      <w:proofErr w:type="gramStart"/>
      <w:r>
        <w:t>for</w:t>
      </w:r>
      <w:proofErr w:type="gramEnd"/>
      <w:r>
        <w:t xml:space="preserve"> XXXXXXXXXXXXXXXXXX, AR20120019894 (PD201200156)</w:t>
      </w:r>
    </w:p>
    <w:p w:rsidR="00340D87" w:rsidRDefault="00340D87" w:rsidP="00340D87">
      <w:pPr>
        <w:pStyle w:val="Header"/>
        <w:tabs>
          <w:tab w:val="left" w:pos="720"/>
        </w:tabs>
        <w:jc w:val="left"/>
      </w:pPr>
    </w:p>
    <w:p w:rsidR="00340D87" w:rsidRDefault="00340D87" w:rsidP="00340D87">
      <w:pPr>
        <w:jc w:val="left"/>
      </w:pPr>
    </w:p>
    <w:p w:rsidR="00340D87" w:rsidRDefault="00340D87" w:rsidP="00340D87">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340D87" w:rsidRDefault="00340D87" w:rsidP="00340D87">
      <w:pPr>
        <w:jc w:val="left"/>
      </w:pPr>
    </w:p>
    <w:p w:rsidR="00340D87" w:rsidRDefault="00340D87" w:rsidP="00340D87">
      <w:pPr>
        <w:jc w:val="left"/>
      </w:pPr>
      <w:r>
        <w:t>2.  I direct that all the Department of the Army records of the individual concerned be corrected accordingly no later than 120 days from the date of this memorandum:</w:t>
      </w:r>
    </w:p>
    <w:p w:rsidR="00340D87" w:rsidRDefault="00340D87" w:rsidP="00340D87">
      <w:pPr>
        <w:jc w:val="left"/>
      </w:pPr>
    </w:p>
    <w:p w:rsidR="00340D87" w:rsidRDefault="00340D87" w:rsidP="00340D87">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340D87" w:rsidRDefault="00340D87" w:rsidP="00340D87">
      <w:pPr>
        <w:jc w:val="left"/>
      </w:pPr>
    </w:p>
    <w:p w:rsidR="00340D87" w:rsidRDefault="00340D87" w:rsidP="00340D87">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340D87" w:rsidRDefault="00340D87" w:rsidP="00340D87">
      <w:pPr>
        <w:jc w:val="left"/>
      </w:pPr>
    </w:p>
    <w:p w:rsidR="00340D87" w:rsidRDefault="00340D87" w:rsidP="00340D87">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340D87" w:rsidRDefault="00340D87" w:rsidP="00340D87">
      <w:pPr>
        <w:jc w:val="left"/>
      </w:pPr>
    </w:p>
    <w:p w:rsidR="00340D87" w:rsidRDefault="00340D87" w:rsidP="00340D87">
      <w:pPr>
        <w:jc w:val="left"/>
      </w:pPr>
      <w:r>
        <w:tab/>
      </w:r>
      <w:proofErr w:type="gramStart"/>
      <w:r>
        <w:t>d.  Affording</w:t>
      </w:r>
      <w:proofErr w:type="gramEnd"/>
      <w:r>
        <w:t xml:space="preserve"> the individual the opportunity to elect Survivor Benefit Plan (SBP) and medical TRICARE retiree options.</w:t>
      </w:r>
    </w:p>
    <w:p w:rsidR="00340D87" w:rsidRDefault="00340D87" w:rsidP="00340D87">
      <w:pPr>
        <w:jc w:val="left"/>
      </w:pPr>
    </w:p>
    <w:p w:rsidR="00340D87" w:rsidRDefault="00340D87" w:rsidP="00340D87">
      <w:pPr>
        <w:jc w:val="left"/>
      </w:pPr>
    </w:p>
    <w:p w:rsidR="00340D87" w:rsidRDefault="00340D87" w:rsidP="00340D87">
      <w:pPr>
        <w:jc w:val="left"/>
      </w:pPr>
    </w:p>
    <w:p w:rsidR="00340D87" w:rsidRDefault="00340D87" w:rsidP="00340D87">
      <w:pPr>
        <w:jc w:val="left"/>
      </w:pPr>
    </w:p>
    <w:p w:rsidR="00340D87" w:rsidRDefault="00340D87" w:rsidP="00340D87">
      <w:pPr>
        <w:jc w:val="left"/>
      </w:pPr>
    </w:p>
    <w:p w:rsidR="00340D87" w:rsidRDefault="00340D87" w:rsidP="00340D87">
      <w:pPr>
        <w:jc w:val="left"/>
      </w:pPr>
    </w:p>
    <w:p w:rsidR="00340D87" w:rsidRDefault="00340D87" w:rsidP="00340D8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40D87" w:rsidRDefault="00340D87" w:rsidP="00340D87">
      <w:pPr>
        <w:jc w:val="left"/>
      </w:pPr>
    </w:p>
    <w:p w:rsidR="00340D87" w:rsidRDefault="00340D87" w:rsidP="00340D87">
      <w:pPr>
        <w:jc w:val="left"/>
      </w:pPr>
      <w:r>
        <w:t>BY ORDER OF THE SECRETARY OF THE ARMY:</w:t>
      </w:r>
    </w:p>
    <w:p w:rsidR="00340D87" w:rsidRDefault="00340D87" w:rsidP="00340D87">
      <w:pPr>
        <w:jc w:val="left"/>
      </w:pPr>
    </w:p>
    <w:p w:rsidR="00340D87" w:rsidRDefault="00340D87" w:rsidP="00340D87">
      <w:pPr>
        <w:jc w:val="left"/>
      </w:pPr>
    </w:p>
    <w:p w:rsidR="00340D87" w:rsidRDefault="00340D87" w:rsidP="00340D87">
      <w:pPr>
        <w:pStyle w:val="Header"/>
        <w:tabs>
          <w:tab w:val="left" w:pos="720"/>
        </w:tabs>
        <w:jc w:val="left"/>
      </w:pPr>
    </w:p>
    <w:p w:rsidR="00340D87" w:rsidRDefault="00340D87" w:rsidP="00340D87">
      <w:pPr>
        <w:jc w:val="left"/>
      </w:pPr>
    </w:p>
    <w:p w:rsidR="00340D87" w:rsidRDefault="00340D87" w:rsidP="00340D87">
      <w:pPr>
        <w:jc w:val="left"/>
      </w:pPr>
      <w:bookmarkStart w:id="1" w:name="OLE_LINK4"/>
      <w:bookmarkStart w:id="2" w:name="OLE_LINK3"/>
      <w:r>
        <w:t>Encl</w:t>
      </w:r>
      <w:r>
        <w:tab/>
      </w:r>
      <w:r>
        <w:tab/>
      </w:r>
      <w:r>
        <w:tab/>
      </w:r>
      <w:r>
        <w:tab/>
      </w:r>
      <w:r>
        <w:tab/>
      </w:r>
      <w:r>
        <w:tab/>
        <w:t xml:space="preserve">     XXXXXXXXXXXXXXXXXX</w:t>
      </w:r>
    </w:p>
    <w:p w:rsidR="00340D87" w:rsidRDefault="00340D87" w:rsidP="00340D87">
      <w:pPr>
        <w:jc w:val="left"/>
      </w:pPr>
      <w:r>
        <w:tab/>
      </w:r>
      <w:r>
        <w:tab/>
      </w:r>
      <w:r>
        <w:tab/>
      </w:r>
      <w:r>
        <w:tab/>
      </w:r>
      <w:r>
        <w:tab/>
      </w:r>
      <w:r>
        <w:tab/>
        <w:t xml:space="preserve">     Deputy Assistant Secretary</w:t>
      </w:r>
    </w:p>
    <w:p w:rsidR="00340D87" w:rsidRDefault="00340D87" w:rsidP="00340D87">
      <w:pPr>
        <w:jc w:val="left"/>
      </w:pPr>
      <w:r>
        <w:tab/>
      </w:r>
      <w:r>
        <w:tab/>
      </w:r>
      <w:r>
        <w:tab/>
      </w:r>
      <w:r>
        <w:tab/>
      </w:r>
      <w:r>
        <w:tab/>
      </w:r>
      <w:r>
        <w:tab/>
        <w:t xml:space="preserve">         (Army Review Boards)</w:t>
      </w:r>
      <w:bookmarkEnd w:id="1"/>
      <w:bookmarkEnd w:id="2"/>
    </w:p>
    <w:p w:rsidR="00340D87" w:rsidRDefault="00340D87" w:rsidP="00340D87">
      <w:pPr>
        <w:jc w:val="left"/>
      </w:pPr>
    </w:p>
    <w:p w:rsidR="00340D87" w:rsidRDefault="00340D87" w:rsidP="00340D87">
      <w:pPr>
        <w:jc w:val="left"/>
      </w:pPr>
      <w:r>
        <w:t xml:space="preserve">CF: </w:t>
      </w:r>
    </w:p>
    <w:p w:rsidR="00340D87" w:rsidRDefault="00340D87" w:rsidP="00340D87">
      <w:pPr>
        <w:jc w:val="left"/>
      </w:pPr>
      <w:r>
        <w:t xml:space="preserve">(  ) </w:t>
      </w:r>
      <w:proofErr w:type="spellStart"/>
      <w:proofErr w:type="gramStart"/>
      <w:r>
        <w:t>DoD</w:t>
      </w:r>
      <w:proofErr w:type="spellEnd"/>
      <w:proofErr w:type="gramEnd"/>
      <w:r>
        <w:t xml:space="preserve"> PDBR</w:t>
      </w:r>
    </w:p>
    <w:p w:rsidR="00340D87" w:rsidRDefault="00340D87" w:rsidP="00340D87">
      <w:pPr>
        <w:jc w:val="left"/>
      </w:pPr>
      <w:r>
        <w:t>(  ) DVA</w:t>
      </w:r>
    </w:p>
    <w:p w:rsidR="00AD2379" w:rsidRDefault="00AD2379" w:rsidP="00340D87">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85" w:rsidRDefault="00EF2C85">
      <w:r>
        <w:separator/>
      </w:r>
    </w:p>
  </w:endnote>
  <w:endnote w:type="continuationSeparator" w:id="0">
    <w:p w:rsidR="00EF2C85" w:rsidRDefault="00EF2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C5" w:rsidRPr="00374247" w:rsidRDefault="001C31C5" w:rsidP="00726F84">
    <w:pPr>
      <w:pStyle w:val="Footer"/>
      <w:ind w:firstLine="4320"/>
      <w:rPr>
        <w:color w:val="auto"/>
      </w:rPr>
    </w:pPr>
    <w:r w:rsidRPr="00374247">
      <w:rPr>
        <w:color w:val="auto"/>
      </w:rPr>
      <w:t xml:space="preserve">   </w:t>
    </w:r>
    <w:r w:rsidR="00130032" w:rsidRPr="00130032">
      <w:fldChar w:fldCharType="begin"/>
    </w:r>
    <w:r w:rsidR="003F3D10">
      <w:instrText xml:space="preserve"> PAGE   \* MERGEFORMAT </w:instrText>
    </w:r>
    <w:r w:rsidR="00130032" w:rsidRPr="00130032">
      <w:fldChar w:fldCharType="separate"/>
    </w:r>
    <w:r w:rsidR="00340D87" w:rsidRPr="00340D87">
      <w:rPr>
        <w:noProof/>
        <w:color w:val="auto"/>
      </w:rPr>
      <w:t>2</w:t>
    </w:r>
    <w:r w:rsidR="00130032">
      <w:rPr>
        <w:noProof/>
        <w:color w:val="auto"/>
      </w:rPr>
      <w:fldChar w:fldCharType="end"/>
    </w:r>
    <w:r w:rsidRPr="00C97147">
      <w:rPr>
        <w:color w:val="auto"/>
      </w:rPr>
      <w:t xml:space="preserve">                                </w:t>
    </w:r>
    <w:r>
      <w:rPr>
        <w:color w:val="auto"/>
      </w:rPr>
      <w:t xml:space="preserve">                           PD12</w:t>
    </w:r>
    <w:r w:rsidRPr="00C97147">
      <w:rPr>
        <w:color w:val="auto"/>
      </w:rPr>
      <w:t>00156</w:t>
    </w:r>
  </w:p>
  <w:p w:rsidR="001C31C5" w:rsidRPr="00684CE6" w:rsidRDefault="001C31C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85" w:rsidRDefault="00EF2C85">
      <w:r>
        <w:separator/>
      </w:r>
    </w:p>
  </w:footnote>
  <w:footnote w:type="continuationSeparator" w:id="0">
    <w:p w:rsidR="00EF2C85" w:rsidRDefault="00EF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FB0CFD"/>
    <w:multiLevelType w:val="hybridMultilevel"/>
    <w:tmpl w:val="D74AB41C"/>
    <w:lvl w:ilvl="0" w:tplc="0BE47D28">
      <w:start w:val="524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CB3"/>
    <w:rsid w:val="00026092"/>
    <w:rsid w:val="00027C24"/>
    <w:rsid w:val="00030776"/>
    <w:rsid w:val="00031AF4"/>
    <w:rsid w:val="00031F4D"/>
    <w:rsid w:val="00032DCE"/>
    <w:rsid w:val="00032E07"/>
    <w:rsid w:val="00033287"/>
    <w:rsid w:val="000332CA"/>
    <w:rsid w:val="0003374E"/>
    <w:rsid w:val="000344D8"/>
    <w:rsid w:val="000344E6"/>
    <w:rsid w:val="00035C3A"/>
    <w:rsid w:val="00036C26"/>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785"/>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84A"/>
    <w:rsid w:val="00092619"/>
    <w:rsid w:val="00092C66"/>
    <w:rsid w:val="00092CC9"/>
    <w:rsid w:val="000949DD"/>
    <w:rsid w:val="00094E4F"/>
    <w:rsid w:val="000960AC"/>
    <w:rsid w:val="000A2BCE"/>
    <w:rsid w:val="000A31E2"/>
    <w:rsid w:val="000A33C8"/>
    <w:rsid w:val="000A41E3"/>
    <w:rsid w:val="000A4AB4"/>
    <w:rsid w:val="000A4BBA"/>
    <w:rsid w:val="000A5071"/>
    <w:rsid w:val="000A650B"/>
    <w:rsid w:val="000B0AD2"/>
    <w:rsid w:val="000B1022"/>
    <w:rsid w:val="000B1C9E"/>
    <w:rsid w:val="000B1DD1"/>
    <w:rsid w:val="000B1E6E"/>
    <w:rsid w:val="000B2FB8"/>
    <w:rsid w:val="000B3927"/>
    <w:rsid w:val="000B471C"/>
    <w:rsid w:val="000B4C99"/>
    <w:rsid w:val="000B63CF"/>
    <w:rsid w:val="000C06F6"/>
    <w:rsid w:val="000C15F8"/>
    <w:rsid w:val="000C178A"/>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49"/>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015"/>
    <w:rsid w:val="0012220B"/>
    <w:rsid w:val="00122ABE"/>
    <w:rsid w:val="00122FC5"/>
    <w:rsid w:val="001231DC"/>
    <w:rsid w:val="0012453A"/>
    <w:rsid w:val="0012489B"/>
    <w:rsid w:val="001272AE"/>
    <w:rsid w:val="00130032"/>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B0D"/>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5E6"/>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E8B"/>
    <w:rsid w:val="001B755A"/>
    <w:rsid w:val="001B7C8C"/>
    <w:rsid w:val="001C051D"/>
    <w:rsid w:val="001C0688"/>
    <w:rsid w:val="001C181A"/>
    <w:rsid w:val="001C1877"/>
    <w:rsid w:val="001C2053"/>
    <w:rsid w:val="001C252F"/>
    <w:rsid w:val="001C28D1"/>
    <w:rsid w:val="001C31C5"/>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F0A"/>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42EA"/>
    <w:rsid w:val="001F6E0B"/>
    <w:rsid w:val="00200AA0"/>
    <w:rsid w:val="00200F21"/>
    <w:rsid w:val="00202325"/>
    <w:rsid w:val="00202736"/>
    <w:rsid w:val="00203652"/>
    <w:rsid w:val="00204562"/>
    <w:rsid w:val="00205B4F"/>
    <w:rsid w:val="002060B6"/>
    <w:rsid w:val="002066B5"/>
    <w:rsid w:val="00206769"/>
    <w:rsid w:val="00210EAC"/>
    <w:rsid w:val="00211612"/>
    <w:rsid w:val="002119B6"/>
    <w:rsid w:val="00212389"/>
    <w:rsid w:val="002129C1"/>
    <w:rsid w:val="00212B23"/>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465"/>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57F8"/>
    <w:rsid w:val="00265FB4"/>
    <w:rsid w:val="002660AF"/>
    <w:rsid w:val="002671DF"/>
    <w:rsid w:val="00270864"/>
    <w:rsid w:val="002712F7"/>
    <w:rsid w:val="0027159C"/>
    <w:rsid w:val="002722F2"/>
    <w:rsid w:val="00274549"/>
    <w:rsid w:val="00274E46"/>
    <w:rsid w:val="002752AE"/>
    <w:rsid w:val="00275AFD"/>
    <w:rsid w:val="002769AF"/>
    <w:rsid w:val="00276C86"/>
    <w:rsid w:val="00276FD0"/>
    <w:rsid w:val="00277217"/>
    <w:rsid w:val="002801F6"/>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67F"/>
    <w:rsid w:val="002B6FA0"/>
    <w:rsid w:val="002B7710"/>
    <w:rsid w:val="002C0910"/>
    <w:rsid w:val="002C0DEA"/>
    <w:rsid w:val="002C34F6"/>
    <w:rsid w:val="002C3B6D"/>
    <w:rsid w:val="002C3F59"/>
    <w:rsid w:val="002C5D9D"/>
    <w:rsid w:val="002C5F10"/>
    <w:rsid w:val="002C6E5B"/>
    <w:rsid w:val="002C77D0"/>
    <w:rsid w:val="002D08F3"/>
    <w:rsid w:val="002D18B4"/>
    <w:rsid w:val="002D2058"/>
    <w:rsid w:val="002D231A"/>
    <w:rsid w:val="002D298F"/>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1A28"/>
    <w:rsid w:val="003224D8"/>
    <w:rsid w:val="00323A90"/>
    <w:rsid w:val="00323E70"/>
    <w:rsid w:val="003258A7"/>
    <w:rsid w:val="00325BA2"/>
    <w:rsid w:val="003262BD"/>
    <w:rsid w:val="00326798"/>
    <w:rsid w:val="00326B1C"/>
    <w:rsid w:val="00326C08"/>
    <w:rsid w:val="00326F7F"/>
    <w:rsid w:val="00327616"/>
    <w:rsid w:val="00327BD0"/>
    <w:rsid w:val="00330311"/>
    <w:rsid w:val="00330D55"/>
    <w:rsid w:val="003320E8"/>
    <w:rsid w:val="0033238E"/>
    <w:rsid w:val="003328FD"/>
    <w:rsid w:val="00332DE3"/>
    <w:rsid w:val="0033334F"/>
    <w:rsid w:val="0033414F"/>
    <w:rsid w:val="00334514"/>
    <w:rsid w:val="0033555E"/>
    <w:rsid w:val="0033601F"/>
    <w:rsid w:val="00336805"/>
    <w:rsid w:val="00337351"/>
    <w:rsid w:val="00340D87"/>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B2D"/>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494"/>
    <w:rsid w:val="003B17AC"/>
    <w:rsid w:val="003B2143"/>
    <w:rsid w:val="003B227A"/>
    <w:rsid w:val="003B3A77"/>
    <w:rsid w:val="003B4319"/>
    <w:rsid w:val="003B4BB5"/>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D10"/>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7317"/>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4D38"/>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120"/>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1C6"/>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F6D"/>
    <w:rsid w:val="0058417C"/>
    <w:rsid w:val="005854F9"/>
    <w:rsid w:val="00586EC6"/>
    <w:rsid w:val="00587DDE"/>
    <w:rsid w:val="0059188A"/>
    <w:rsid w:val="00593043"/>
    <w:rsid w:val="00594204"/>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3CC6"/>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058"/>
    <w:rsid w:val="006036C2"/>
    <w:rsid w:val="0060477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599"/>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3FA"/>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7C6D"/>
    <w:rsid w:val="007419A1"/>
    <w:rsid w:val="00743361"/>
    <w:rsid w:val="00743B71"/>
    <w:rsid w:val="00743C2D"/>
    <w:rsid w:val="00743C3A"/>
    <w:rsid w:val="00743E36"/>
    <w:rsid w:val="00743F05"/>
    <w:rsid w:val="0074419C"/>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65C"/>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77"/>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946"/>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B79"/>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C53"/>
    <w:rsid w:val="00917182"/>
    <w:rsid w:val="00917665"/>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09F0"/>
    <w:rsid w:val="009419B4"/>
    <w:rsid w:val="00941A4C"/>
    <w:rsid w:val="00942645"/>
    <w:rsid w:val="0094596D"/>
    <w:rsid w:val="009461E6"/>
    <w:rsid w:val="00950A3A"/>
    <w:rsid w:val="0095270D"/>
    <w:rsid w:val="00952C0C"/>
    <w:rsid w:val="00952CC5"/>
    <w:rsid w:val="0095340A"/>
    <w:rsid w:val="0095355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C20"/>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15C"/>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ADC"/>
    <w:rsid w:val="00A07BDD"/>
    <w:rsid w:val="00A07F12"/>
    <w:rsid w:val="00A10084"/>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C75"/>
    <w:rsid w:val="00A31DE7"/>
    <w:rsid w:val="00A31FE2"/>
    <w:rsid w:val="00A3206F"/>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3BE"/>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016"/>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49C"/>
    <w:rsid w:val="00B039DD"/>
    <w:rsid w:val="00B04562"/>
    <w:rsid w:val="00B0472F"/>
    <w:rsid w:val="00B06930"/>
    <w:rsid w:val="00B076B6"/>
    <w:rsid w:val="00B0773A"/>
    <w:rsid w:val="00B07955"/>
    <w:rsid w:val="00B10FFE"/>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6D8"/>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C60"/>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C37"/>
    <w:rsid w:val="00B83F87"/>
    <w:rsid w:val="00B843DD"/>
    <w:rsid w:val="00B8478F"/>
    <w:rsid w:val="00B84F93"/>
    <w:rsid w:val="00B91676"/>
    <w:rsid w:val="00B9322B"/>
    <w:rsid w:val="00B93640"/>
    <w:rsid w:val="00B94023"/>
    <w:rsid w:val="00B955D5"/>
    <w:rsid w:val="00B95833"/>
    <w:rsid w:val="00BA137E"/>
    <w:rsid w:val="00BA1824"/>
    <w:rsid w:val="00BA2D98"/>
    <w:rsid w:val="00BA2F0C"/>
    <w:rsid w:val="00BA30D1"/>
    <w:rsid w:val="00BA30E1"/>
    <w:rsid w:val="00BA4609"/>
    <w:rsid w:val="00BA5BE2"/>
    <w:rsid w:val="00BA60FC"/>
    <w:rsid w:val="00BA6A9C"/>
    <w:rsid w:val="00BA7F46"/>
    <w:rsid w:val="00BB0388"/>
    <w:rsid w:val="00BB0A0A"/>
    <w:rsid w:val="00BB0E77"/>
    <w:rsid w:val="00BB133C"/>
    <w:rsid w:val="00BB1F04"/>
    <w:rsid w:val="00BB3AF0"/>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4BA"/>
    <w:rsid w:val="00BD7831"/>
    <w:rsid w:val="00BD7C10"/>
    <w:rsid w:val="00BE046F"/>
    <w:rsid w:val="00BE0DEB"/>
    <w:rsid w:val="00BE229C"/>
    <w:rsid w:val="00BE2AB8"/>
    <w:rsid w:val="00BE2FC1"/>
    <w:rsid w:val="00BE3142"/>
    <w:rsid w:val="00BE37AA"/>
    <w:rsid w:val="00BE4039"/>
    <w:rsid w:val="00BE4570"/>
    <w:rsid w:val="00BE5D55"/>
    <w:rsid w:val="00BE6365"/>
    <w:rsid w:val="00BE7428"/>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1C1"/>
    <w:rsid w:val="00C217F7"/>
    <w:rsid w:val="00C2272E"/>
    <w:rsid w:val="00C22F3A"/>
    <w:rsid w:val="00C23293"/>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0B8F"/>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147"/>
    <w:rsid w:val="00C975BD"/>
    <w:rsid w:val="00CA068D"/>
    <w:rsid w:val="00CA08DF"/>
    <w:rsid w:val="00CA1228"/>
    <w:rsid w:val="00CA1C73"/>
    <w:rsid w:val="00CA282D"/>
    <w:rsid w:val="00CA31E0"/>
    <w:rsid w:val="00CA3F73"/>
    <w:rsid w:val="00CA41E2"/>
    <w:rsid w:val="00CA4670"/>
    <w:rsid w:val="00CA5F89"/>
    <w:rsid w:val="00CA6B1A"/>
    <w:rsid w:val="00CA720B"/>
    <w:rsid w:val="00CB1B18"/>
    <w:rsid w:val="00CB20DC"/>
    <w:rsid w:val="00CB23DC"/>
    <w:rsid w:val="00CB2487"/>
    <w:rsid w:val="00CB28E2"/>
    <w:rsid w:val="00CB2F20"/>
    <w:rsid w:val="00CB3395"/>
    <w:rsid w:val="00CB3B38"/>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48D0"/>
    <w:rsid w:val="00CF5C12"/>
    <w:rsid w:val="00CF700E"/>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27EA4"/>
    <w:rsid w:val="00D31683"/>
    <w:rsid w:val="00D33452"/>
    <w:rsid w:val="00D336C8"/>
    <w:rsid w:val="00D339E8"/>
    <w:rsid w:val="00D33FDD"/>
    <w:rsid w:val="00D3654A"/>
    <w:rsid w:val="00D3662E"/>
    <w:rsid w:val="00D366FF"/>
    <w:rsid w:val="00D36AF2"/>
    <w:rsid w:val="00D373F1"/>
    <w:rsid w:val="00D37567"/>
    <w:rsid w:val="00D37D36"/>
    <w:rsid w:val="00D40B1F"/>
    <w:rsid w:val="00D40D75"/>
    <w:rsid w:val="00D42A31"/>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1A75"/>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653E"/>
    <w:rsid w:val="00D9706F"/>
    <w:rsid w:val="00D972D4"/>
    <w:rsid w:val="00DA0614"/>
    <w:rsid w:val="00DA0FE3"/>
    <w:rsid w:val="00DA195B"/>
    <w:rsid w:val="00DA27F3"/>
    <w:rsid w:val="00DA2D1E"/>
    <w:rsid w:val="00DA3EC8"/>
    <w:rsid w:val="00DA40C1"/>
    <w:rsid w:val="00DA5564"/>
    <w:rsid w:val="00DA5D03"/>
    <w:rsid w:val="00DA6B55"/>
    <w:rsid w:val="00DA6B97"/>
    <w:rsid w:val="00DA6CEE"/>
    <w:rsid w:val="00DA7997"/>
    <w:rsid w:val="00DA7B01"/>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D4B"/>
    <w:rsid w:val="00DD1690"/>
    <w:rsid w:val="00DD286D"/>
    <w:rsid w:val="00DD2CAF"/>
    <w:rsid w:val="00DD3593"/>
    <w:rsid w:val="00DD462A"/>
    <w:rsid w:val="00DD5558"/>
    <w:rsid w:val="00DD605B"/>
    <w:rsid w:val="00DD6465"/>
    <w:rsid w:val="00DD64E0"/>
    <w:rsid w:val="00DD775C"/>
    <w:rsid w:val="00DD7BE0"/>
    <w:rsid w:val="00DE0C67"/>
    <w:rsid w:val="00DE1551"/>
    <w:rsid w:val="00DE3555"/>
    <w:rsid w:val="00DE3AAD"/>
    <w:rsid w:val="00DE56C1"/>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BB3"/>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698D"/>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1B1"/>
    <w:rsid w:val="00E362D2"/>
    <w:rsid w:val="00E36D76"/>
    <w:rsid w:val="00E40478"/>
    <w:rsid w:val="00E405EA"/>
    <w:rsid w:val="00E408B7"/>
    <w:rsid w:val="00E412EB"/>
    <w:rsid w:val="00E41637"/>
    <w:rsid w:val="00E42789"/>
    <w:rsid w:val="00E438A4"/>
    <w:rsid w:val="00E43F59"/>
    <w:rsid w:val="00E44B45"/>
    <w:rsid w:val="00E464F0"/>
    <w:rsid w:val="00E46D90"/>
    <w:rsid w:val="00E46DB5"/>
    <w:rsid w:val="00E46EF3"/>
    <w:rsid w:val="00E47370"/>
    <w:rsid w:val="00E473B7"/>
    <w:rsid w:val="00E473E9"/>
    <w:rsid w:val="00E47B47"/>
    <w:rsid w:val="00E50BEB"/>
    <w:rsid w:val="00E523FB"/>
    <w:rsid w:val="00E52D21"/>
    <w:rsid w:val="00E53460"/>
    <w:rsid w:val="00E54846"/>
    <w:rsid w:val="00E548FA"/>
    <w:rsid w:val="00E54D62"/>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70E"/>
    <w:rsid w:val="00E80386"/>
    <w:rsid w:val="00E807F1"/>
    <w:rsid w:val="00E809C3"/>
    <w:rsid w:val="00E814D4"/>
    <w:rsid w:val="00E81A1A"/>
    <w:rsid w:val="00E81C3E"/>
    <w:rsid w:val="00E82359"/>
    <w:rsid w:val="00E823F9"/>
    <w:rsid w:val="00E82B6D"/>
    <w:rsid w:val="00E83187"/>
    <w:rsid w:val="00E831E9"/>
    <w:rsid w:val="00E84C83"/>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063"/>
    <w:rsid w:val="00ED4582"/>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C85"/>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6856"/>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2E42"/>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47C85"/>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2A84"/>
    <w:rsid w:val="00F63FC7"/>
    <w:rsid w:val="00F64312"/>
    <w:rsid w:val="00F652DD"/>
    <w:rsid w:val="00F65E1F"/>
    <w:rsid w:val="00F65ED5"/>
    <w:rsid w:val="00F6608B"/>
    <w:rsid w:val="00F6636A"/>
    <w:rsid w:val="00F667C5"/>
    <w:rsid w:val="00F67E31"/>
    <w:rsid w:val="00F70B44"/>
    <w:rsid w:val="00F71436"/>
    <w:rsid w:val="00F718A8"/>
    <w:rsid w:val="00F7207E"/>
    <w:rsid w:val="00F72183"/>
    <w:rsid w:val="00F75743"/>
    <w:rsid w:val="00F75C12"/>
    <w:rsid w:val="00F764AF"/>
    <w:rsid w:val="00F76566"/>
    <w:rsid w:val="00F76D01"/>
    <w:rsid w:val="00F80B43"/>
    <w:rsid w:val="00F80C97"/>
    <w:rsid w:val="00F81C35"/>
    <w:rsid w:val="00F82981"/>
    <w:rsid w:val="00F8311F"/>
    <w:rsid w:val="00F83248"/>
    <w:rsid w:val="00F83376"/>
    <w:rsid w:val="00F833B7"/>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154"/>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7E9"/>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623391">
      <w:bodyDiv w:val="1"/>
      <w:marLeft w:val="0"/>
      <w:marRight w:val="0"/>
      <w:marTop w:val="0"/>
      <w:marBottom w:val="0"/>
      <w:divBdr>
        <w:top w:val="none" w:sz="0" w:space="0" w:color="auto"/>
        <w:left w:val="none" w:sz="0" w:space="0" w:color="auto"/>
        <w:bottom w:val="none" w:sz="0" w:space="0" w:color="auto"/>
        <w:right w:val="none" w:sz="0" w:space="0" w:color="auto"/>
      </w:divBdr>
    </w:div>
    <w:div w:id="1687058726">
      <w:bodyDiv w:val="1"/>
      <w:marLeft w:val="0"/>
      <w:marRight w:val="0"/>
      <w:marTop w:val="0"/>
      <w:marBottom w:val="0"/>
      <w:divBdr>
        <w:top w:val="none" w:sz="0" w:space="0" w:color="auto"/>
        <w:left w:val="none" w:sz="0" w:space="0" w:color="auto"/>
        <w:bottom w:val="none" w:sz="0" w:space="0" w:color="auto"/>
        <w:right w:val="none" w:sz="0" w:space="0" w:color="auto"/>
      </w:divBdr>
    </w:div>
    <w:div w:id="195581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2012-11-21T16:10:00Z</dcterms:created>
  <dcterms:modified xsi:type="dcterms:W3CDTF">2012-11-21T16:10:00Z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