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2D4DCE">
        <w:rPr>
          <w:caps/>
          <w:color w:val="auto"/>
        </w:rPr>
        <w:t>XXXXXXXXXXXXXXXXXX</w:t>
      </w:r>
      <w:r w:rsidR="00864F9B">
        <w:rPr>
          <w:caps/>
          <w:color w:val="auto"/>
        </w:rPr>
        <w:t xml:space="preserve">            </w:t>
      </w:r>
      <w:r w:rsidR="00D73708">
        <w:rPr>
          <w:caps/>
          <w:color w:val="auto"/>
        </w:rPr>
        <w:t xml:space="preserve">                                        </w:t>
      </w:r>
      <w:r w:rsidR="00173DA2">
        <w:rPr>
          <w:caps/>
          <w:color w:val="auto"/>
        </w:rPr>
        <w:t xml:space="preserve">   </w:t>
      </w:r>
      <w:r w:rsidR="00D73708">
        <w:rPr>
          <w:caps/>
          <w:color w:val="auto"/>
        </w:rPr>
        <w:t xml:space="preserve">  </w:t>
      </w:r>
      <w:r w:rsidRPr="00F64312">
        <w:rPr>
          <w:caps/>
          <w:color w:val="auto"/>
        </w:rPr>
        <w:t>BRANCH OF SERVICE</w:t>
      </w:r>
      <w:r w:rsidRPr="00864F9B">
        <w:rPr>
          <w:caps/>
          <w:color w:val="auto"/>
        </w:rPr>
        <w:t xml:space="preserve">:  </w:t>
      </w:r>
      <w:r w:rsidR="00353660">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864F9B">
        <w:rPr>
          <w:caps/>
          <w:color w:val="auto"/>
        </w:rPr>
        <w:t>PD</w:t>
      </w:r>
      <w:r w:rsidR="001657BE" w:rsidRPr="00864F9B">
        <w:rPr>
          <w:caps/>
          <w:color w:val="auto"/>
        </w:rPr>
        <w:t>12</w:t>
      </w:r>
      <w:r w:rsidRPr="00864F9B">
        <w:rPr>
          <w:caps/>
          <w:color w:val="auto"/>
        </w:rPr>
        <w:t>00</w:t>
      </w:r>
      <w:r w:rsidR="00864F9B" w:rsidRPr="00864F9B">
        <w:rPr>
          <w:caps/>
          <w:color w:val="auto"/>
        </w:rPr>
        <w:t>148</w:t>
      </w:r>
      <w:r w:rsidR="002547B2">
        <w:rPr>
          <w:caps/>
          <w:color w:val="auto"/>
        </w:rPr>
        <w:t xml:space="preserve"> </w:t>
      </w:r>
      <w:r w:rsidR="00DD5558">
        <w:rPr>
          <w:color w:val="auto"/>
        </w:rPr>
        <w:tab/>
      </w:r>
      <w:r w:rsidR="0018208F" w:rsidRPr="00F64312">
        <w:rPr>
          <w:color w:val="auto"/>
        </w:rPr>
        <w:t>SE</w:t>
      </w:r>
      <w:r w:rsidRPr="00F64312">
        <w:rPr>
          <w:color w:val="auto"/>
        </w:rPr>
        <w:t>PARATION DATE:  200</w:t>
      </w:r>
      <w:r w:rsidR="00864F9B">
        <w:rPr>
          <w:color w:val="auto"/>
        </w:rPr>
        <w:t>40405</w:t>
      </w:r>
    </w:p>
    <w:p w:rsidR="00AD2379" w:rsidRPr="003E1D30"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 xml:space="preserve">BOARD DATE:  </w:t>
      </w:r>
      <w:bookmarkStart w:id="0" w:name="_GoBack"/>
      <w:bookmarkEnd w:id="0"/>
      <w:r w:rsidRPr="00F64312">
        <w:rPr>
          <w:caps/>
          <w:color w:val="auto"/>
        </w:rPr>
        <w:t>2012</w:t>
      </w:r>
      <w:r w:rsidR="005C7A87">
        <w:rPr>
          <w:caps/>
          <w:color w:val="auto"/>
        </w:rPr>
        <w:t>0927</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477405" w:rsidRDefault="00AD2379" w:rsidP="00BF0E94">
      <w:pPr>
        <w:tabs>
          <w:tab w:val="left" w:pos="288"/>
          <w:tab w:val="left" w:pos="4752"/>
        </w:tabs>
        <w:jc w:val="both"/>
        <w:rPr>
          <w:color w:val="auto"/>
        </w:rPr>
      </w:pPr>
      <w:r w:rsidRPr="00AA157B">
        <w:rPr>
          <w:color w:val="auto"/>
          <w:u w:val="single"/>
        </w:rPr>
        <w:t>SUMMARY OF CASE</w:t>
      </w:r>
      <w:r w:rsidRPr="00AA157B">
        <w:rPr>
          <w:color w:val="auto"/>
        </w:rPr>
        <w:t>:</w:t>
      </w:r>
      <w:r w:rsidR="00532B33" w:rsidRPr="00AA157B">
        <w:rPr>
          <w:color w:val="auto"/>
        </w:rPr>
        <w:t xml:space="preserve"> </w:t>
      </w:r>
      <w:r w:rsidRPr="00AA157B">
        <w:rPr>
          <w:color w:val="auto"/>
        </w:rPr>
        <w:t xml:space="preserve"> Data extracted from the available evidence of record reflects that this covered individual (CI) was </w:t>
      </w:r>
      <w:r w:rsidR="00A62901" w:rsidRPr="00AA157B">
        <w:rPr>
          <w:color w:val="auto"/>
        </w:rPr>
        <w:t>a</w:t>
      </w:r>
      <w:r w:rsidR="00A70270" w:rsidRPr="00AA157B">
        <w:rPr>
          <w:color w:val="auto"/>
        </w:rPr>
        <w:t xml:space="preserve"> </w:t>
      </w:r>
      <w:r w:rsidR="00463478" w:rsidRPr="00AA157B">
        <w:rPr>
          <w:color w:val="auto"/>
        </w:rPr>
        <w:t xml:space="preserve">National </w:t>
      </w:r>
      <w:r w:rsidRPr="00AA157B">
        <w:rPr>
          <w:color w:val="auto"/>
        </w:rPr>
        <w:t xml:space="preserve">Guard </w:t>
      </w:r>
      <w:r w:rsidR="00A62901" w:rsidRPr="00AA157B">
        <w:rPr>
          <w:color w:val="auto"/>
        </w:rPr>
        <w:t>SPC/E-4</w:t>
      </w:r>
      <w:r w:rsidRPr="00AA157B">
        <w:rPr>
          <w:color w:val="auto"/>
        </w:rPr>
        <w:t xml:space="preserve"> (</w:t>
      </w:r>
      <w:r w:rsidR="00A62901" w:rsidRPr="00AA157B">
        <w:rPr>
          <w:color w:val="auto"/>
        </w:rPr>
        <w:t>51B10</w:t>
      </w:r>
      <w:r w:rsidR="00AA6228">
        <w:rPr>
          <w:color w:val="auto"/>
        </w:rPr>
        <w:t xml:space="preserve">, </w:t>
      </w:r>
      <w:r w:rsidR="00A62901" w:rsidRPr="00AA157B">
        <w:rPr>
          <w:color w:val="auto"/>
        </w:rPr>
        <w:t>Construction Engineer</w:t>
      </w:r>
      <w:r w:rsidR="00A70270" w:rsidRPr="00AA157B">
        <w:rPr>
          <w:color w:val="auto"/>
        </w:rPr>
        <w:t>)</w:t>
      </w:r>
      <w:r w:rsidR="00565636" w:rsidRPr="00AA157B">
        <w:rPr>
          <w:color w:val="auto"/>
        </w:rPr>
        <w:t>,</w:t>
      </w:r>
      <w:r w:rsidR="00A70270" w:rsidRPr="00AA157B">
        <w:rPr>
          <w:color w:val="auto"/>
        </w:rPr>
        <w:t xml:space="preserve"> </w:t>
      </w:r>
      <w:r w:rsidRPr="00AA157B">
        <w:rPr>
          <w:color w:val="auto"/>
        </w:rPr>
        <w:t xml:space="preserve">medically separated for </w:t>
      </w:r>
      <w:r w:rsidR="00D05376" w:rsidRPr="00AA157B">
        <w:rPr>
          <w:color w:val="auto"/>
        </w:rPr>
        <w:t xml:space="preserve">chronic </w:t>
      </w:r>
      <w:r w:rsidR="00D05376" w:rsidRPr="00AA157B">
        <w:rPr>
          <w:bCs/>
          <w:color w:val="auto"/>
        </w:rPr>
        <w:t xml:space="preserve">back </w:t>
      </w:r>
      <w:r w:rsidR="00D05376" w:rsidRPr="00AA157B">
        <w:rPr>
          <w:color w:val="auto"/>
        </w:rPr>
        <w:t xml:space="preserve">pain </w:t>
      </w:r>
      <w:r w:rsidR="00D05376" w:rsidRPr="00AA157B">
        <w:rPr>
          <w:bCs/>
          <w:color w:val="auto"/>
        </w:rPr>
        <w:t>with sacroiliitis</w:t>
      </w:r>
      <w:r w:rsidR="007F6701" w:rsidRPr="00AA157B">
        <w:rPr>
          <w:bCs/>
          <w:color w:val="auto"/>
        </w:rPr>
        <w:t xml:space="preserve"> </w:t>
      </w:r>
      <w:r w:rsidR="00D05376" w:rsidRPr="00AA157B">
        <w:rPr>
          <w:color w:val="auto"/>
        </w:rPr>
        <w:t>condition</w:t>
      </w:r>
      <w:r w:rsidR="0010148F" w:rsidRPr="00AA157B">
        <w:rPr>
          <w:color w:val="auto"/>
        </w:rPr>
        <w:t xml:space="preserve">.  The CI had a </w:t>
      </w:r>
      <w:r w:rsidR="00FF7B1D">
        <w:rPr>
          <w:color w:val="auto"/>
        </w:rPr>
        <w:t>6-</w:t>
      </w:r>
      <w:r w:rsidR="0010148F" w:rsidRPr="00AA157B">
        <w:rPr>
          <w:color w:val="auto"/>
        </w:rPr>
        <w:t>yea</w:t>
      </w:r>
      <w:r w:rsidR="00102B69">
        <w:rPr>
          <w:color w:val="auto"/>
        </w:rPr>
        <w:t xml:space="preserve">r period of service with the </w:t>
      </w:r>
      <w:r w:rsidR="0010148F" w:rsidRPr="00AA157B">
        <w:rPr>
          <w:color w:val="auto"/>
        </w:rPr>
        <w:t xml:space="preserve">Navy prior to entering the Army National Guard in </w:t>
      </w:r>
      <w:r w:rsidR="0045456B" w:rsidRPr="00AA157B">
        <w:rPr>
          <w:color w:val="auto"/>
        </w:rPr>
        <w:t xml:space="preserve">September 1997.  He was ordered to active service in January 2003 and within 7 months was evaluated for </w:t>
      </w:r>
      <w:r w:rsidR="007F6701" w:rsidRPr="00AA157B">
        <w:rPr>
          <w:color w:val="auto"/>
        </w:rPr>
        <w:t xml:space="preserve">exacerbation of his </w:t>
      </w:r>
      <w:r w:rsidR="0045456B" w:rsidRPr="00AA157B">
        <w:rPr>
          <w:color w:val="auto"/>
        </w:rPr>
        <w:t>low back pain</w:t>
      </w:r>
      <w:r w:rsidR="00AA6228">
        <w:rPr>
          <w:color w:val="auto"/>
        </w:rPr>
        <w:t>.</w:t>
      </w:r>
      <w:r w:rsidR="0045456B" w:rsidRPr="00AA157B">
        <w:rPr>
          <w:color w:val="auto"/>
        </w:rPr>
        <w:t>”</w:t>
      </w:r>
      <w:r w:rsidR="00DB1307" w:rsidRPr="00AA157B">
        <w:rPr>
          <w:color w:val="auto"/>
        </w:rPr>
        <w:t xml:space="preserve">  </w:t>
      </w:r>
      <w:r w:rsidR="0010148F" w:rsidRPr="00AA157B">
        <w:rPr>
          <w:color w:val="auto"/>
        </w:rPr>
        <w:t>After</w:t>
      </w:r>
      <w:r w:rsidR="0045456B" w:rsidRPr="00AA157B">
        <w:rPr>
          <w:color w:val="auto"/>
        </w:rPr>
        <w:t xml:space="preserve"> c</w:t>
      </w:r>
      <w:r w:rsidR="0010148F" w:rsidRPr="00AA157B">
        <w:rPr>
          <w:color w:val="auto"/>
        </w:rPr>
        <w:t xml:space="preserve">onservative treatment </w:t>
      </w:r>
      <w:r w:rsidR="0045456B" w:rsidRPr="00AA157B">
        <w:rPr>
          <w:color w:val="auto"/>
        </w:rPr>
        <w:t>failed to alleviate the pain</w:t>
      </w:r>
      <w:r w:rsidR="00AA157B">
        <w:rPr>
          <w:color w:val="auto"/>
        </w:rPr>
        <w:t xml:space="preserve">, </w:t>
      </w:r>
      <w:r w:rsidR="0045456B" w:rsidRPr="00AA157B">
        <w:rPr>
          <w:color w:val="auto"/>
        </w:rPr>
        <w:t xml:space="preserve">the CI </w:t>
      </w:r>
      <w:r w:rsidR="00F566B7" w:rsidRPr="00AA157B">
        <w:rPr>
          <w:color w:val="auto"/>
        </w:rPr>
        <w:t xml:space="preserve">could </w:t>
      </w:r>
      <w:r w:rsidR="00F15483" w:rsidRPr="00AA157B">
        <w:rPr>
          <w:color w:val="auto"/>
        </w:rPr>
        <w:t>not be adequately rehabilitated</w:t>
      </w:r>
      <w:r w:rsidR="0045456B" w:rsidRPr="00AA157B">
        <w:rPr>
          <w:color w:val="auto"/>
        </w:rPr>
        <w:t xml:space="preserve"> </w:t>
      </w:r>
      <w:r w:rsidR="00F566B7" w:rsidRPr="00AA157B">
        <w:rPr>
          <w:color w:val="auto"/>
        </w:rPr>
        <w:t>to meet the physical requirements of his Military Occupational Specialty (MOS)</w:t>
      </w:r>
      <w:r w:rsidR="006A0909" w:rsidRPr="00AA157B">
        <w:rPr>
          <w:color w:val="auto"/>
        </w:rPr>
        <w:t xml:space="preserve"> </w:t>
      </w:r>
      <w:r w:rsidR="00F566B7" w:rsidRPr="00AA157B">
        <w:rPr>
          <w:color w:val="auto"/>
        </w:rPr>
        <w:t>or satis</w:t>
      </w:r>
      <w:r w:rsidR="009C12A1" w:rsidRPr="00AA157B">
        <w:rPr>
          <w:color w:val="auto"/>
        </w:rPr>
        <w:t>fy physical fitness standards</w:t>
      </w:r>
      <w:r w:rsidR="0045456B" w:rsidRPr="00AA157B">
        <w:rPr>
          <w:color w:val="auto"/>
        </w:rPr>
        <w:t>, h</w:t>
      </w:r>
      <w:r w:rsidR="009C12A1" w:rsidRPr="00AA157B">
        <w:rPr>
          <w:color w:val="auto"/>
        </w:rPr>
        <w:t xml:space="preserve">e </w:t>
      </w:r>
      <w:r w:rsidR="00F566B7" w:rsidRPr="00AA157B">
        <w:rPr>
          <w:color w:val="auto"/>
        </w:rPr>
        <w:t>was issued a permanent L3 and</w:t>
      </w:r>
      <w:r w:rsidR="009C12A1" w:rsidRPr="00AA157B">
        <w:rPr>
          <w:color w:val="auto"/>
        </w:rPr>
        <w:t xml:space="preserve"> </w:t>
      </w:r>
      <w:r w:rsidR="00F566B7" w:rsidRPr="00AA157B">
        <w:rPr>
          <w:color w:val="auto"/>
        </w:rPr>
        <w:t>referred for a Medical Evaluation Board (MEB).</w:t>
      </w:r>
      <w:r w:rsidR="00974EFD" w:rsidRPr="00AA157B">
        <w:rPr>
          <w:color w:val="auto"/>
        </w:rPr>
        <w:t xml:space="preserve">  He did not desire MOS Medical Review Board proceedings.  </w:t>
      </w:r>
      <w:proofErr w:type="gramStart"/>
      <w:r w:rsidR="0045456B" w:rsidRPr="00AA157B">
        <w:rPr>
          <w:color w:val="auto"/>
        </w:rPr>
        <w:t>The MEB forwarded chronic low back pain</w:t>
      </w:r>
      <w:r w:rsidR="00102B69">
        <w:rPr>
          <w:color w:val="auto"/>
        </w:rPr>
        <w:t xml:space="preserve"> (designated EPTS</w:t>
      </w:r>
      <w:r w:rsidR="00DB1307" w:rsidRPr="00AA157B">
        <w:rPr>
          <w:color w:val="auto"/>
        </w:rPr>
        <w:t xml:space="preserve">; permanently aggravated by service) </w:t>
      </w:r>
      <w:r w:rsidR="0045456B" w:rsidRPr="00AA157B">
        <w:rPr>
          <w:color w:val="auto"/>
        </w:rPr>
        <w:t>as the only medically unacceptable condition for PEB</w:t>
      </w:r>
      <w:r w:rsidR="00DB1307" w:rsidRPr="00AA157B">
        <w:rPr>
          <w:color w:val="auto"/>
        </w:rPr>
        <w:t xml:space="preserve"> adjudication.</w:t>
      </w:r>
      <w:proofErr w:type="gramEnd"/>
      <w:r w:rsidR="00DB1307" w:rsidRPr="00AA157B">
        <w:rPr>
          <w:color w:val="auto"/>
        </w:rPr>
        <w:t xml:space="preserve">  Another six conditions, as summarized in the rating comparison chart below, were identified and forwarded as medically acceptable conditions.  The PEB </w:t>
      </w:r>
      <w:r w:rsidRPr="00AA157B">
        <w:rPr>
          <w:color w:val="auto"/>
        </w:rPr>
        <w:t xml:space="preserve">adjudicated the </w:t>
      </w:r>
      <w:r w:rsidR="00D05376" w:rsidRPr="00AA157B">
        <w:rPr>
          <w:color w:val="auto"/>
        </w:rPr>
        <w:t xml:space="preserve">chronic </w:t>
      </w:r>
      <w:r w:rsidR="00D05376" w:rsidRPr="00AA157B">
        <w:rPr>
          <w:bCs/>
          <w:color w:val="auto"/>
        </w:rPr>
        <w:t xml:space="preserve">back </w:t>
      </w:r>
      <w:r w:rsidR="00D05376" w:rsidRPr="00AA157B">
        <w:rPr>
          <w:color w:val="auto"/>
        </w:rPr>
        <w:t xml:space="preserve">pain </w:t>
      </w:r>
      <w:r w:rsidR="00D05376" w:rsidRPr="00AA157B">
        <w:rPr>
          <w:bCs/>
          <w:color w:val="auto"/>
        </w:rPr>
        <w:t>with sacroiliitis</w:t>
      </w:r>
      <w:r w:rsidR="00D05376" w:rsidRPr="00AA157B">
        <w:rPr>
          <w:color w:val="auto"/>
        </w:rPr>
        <w:t xml:space="preserve"> </w:t>
      </w:r>
      <w:r w:rsidR="008530E3" w:rsidRPr="00AA157B">
        <w:rPr>
          <w:color w:val="auto"/>
        </w:rPr>
        <w:t xml:space="preserve">condition as unfitting, rated </w:t>
      </w:r>
      <w:r w:rsidR="00D05376" w:rsidRPr="00AA157B">
        <w:rPr>
          <w:color w:val="auto"/>
        </w:rPr>
        <w:t>10</w:t>
      </w:r>
      <w:r w:rsidRPr="00AA157B">
        <w:rPr>
          <w:color w:val="auto"/>
        </w:rPr>
        <w:t xml:space="preserve">%, </w:t>
      </w:r>
      <w:r w:rsidR="00DB1307" w:rsidRPr="00AA157B">
        <w:rPr>
          <w:color w:val="auto"/>
        </w:rPr>
        <w:t xml:space="preserve">citing </w:t>
      </w:r>
      <w:r w:rsidR="00B676DA" w:rsidRPr="00AA157B">
        <w:rPr>
          <w:rFonts w:eastAsia="Calibri" w:cs="Times New Roman"/>
          <w:color w:val="auto"/>
          <w:szCs w:val="24"/>
        </w:rPr>
        <w:t>AR 635-40</w:t>
      </w:r>
      <w:r w:rsidR="00654C85">
        <w:rPr>
          <w:rFonts w:eastAsia="Calibri" w:cs="Times New Roman"/>
          <w:color w:val="auto"/>
          <w:szCs w:val="24"/>
        </w:rPr>
        <w:t xml:space="preserve"> paragraph</w:t>
      </w:r>
      <w:r w:rsidR="00B676DA" w:rsidRPr="00AA157B">
        <w:rPr>
          <w:rFonts w:eastAsia="Calibri" w:cs="Times New Roman"/>
          <w:color w:val="auto"/>
          <w:szCs w:val="24"/>
        </w:rPr>
        <w:t xml:space="preserve"> B-29e for</w:t>
      </w:r>
      <w:r w:rsidR="00DB1307" w:rsidRPr="00AA157B">
        <w:rPr>
          <w:rFonts w:eastAsia="Calibri" w:cs="Times New Roman"/>
          <w:color w:val="auto"/>
          <w:szCs w:val="24"/>
        </w:rPr>
        <w:t xml:space="preserve"> rating </w:t>
      </w:r>
      <w:r w:rsidR="00974EFD" w:rsidRPr="00AA157B">
        <w:rPr>
          <w:rFonts w:eastAsia="Calibri" w:cs="Times New Roman"/>
          <w:color w:val="auto"/>
          <w:szCs w:val="24"/>
        </w:rPr>
        <w:t xml:space="preserve">purposes </w:t>
      </w:r>
      <w:r w:rsidR="00B676DA" w:rsidRPr="00AA157B">
        <w:rPr>
          <w:rFonts w:eastAsia="Calibri" w:cs="Times New Roman"/>
          <w:color w:val="auto"/>
          <w:szCs w:val="24"/>
        </w:rPr>
        <w:t>and</w:t>
      </w:r>
      <w:r w:rsidR="00AA157B" w:rsidRPr="00AA157B">
        <w:rPr>
          <w:rFonts w:eastAsia="Calibri" w:cs="Times New Roman"/>
          <w:color w:val="auto"/>
          <w:szCs w:val="24"/>
        </w:rPr>
        <w:t xml:space="preserve"> </w:t>
      </w:r>
      <w:r w:rsidR="00DB1307" w:rsidRPr="00AA157B">
        <w:rPr>
          <w:rFonts w:eastAsia="Calibri" w:cs="Times New Roman"/>
          <w:color w:val="auto"/>
          <w:szCs w:val="24"/>
        </w:rPr>
        <w:t>possible</w:t>
      </w:r>
      <w:r w:rsidR="00B676DA" w:rsidRPr="00AA157B">
        <w:rPr>
          <w:rFonts w:eastAsia="Calibri" w:cs="Times New Roman"/>
          <w:color w:val="auto"/>
          <w:szCs w:val="24"/>
        </w:rPr>
        <w:t xml:space="preserve"> application </w:t>
      </w:r>
      <w:r w:rsidR="00654C85">
        <w:rPr>
          <w:rFonts w:eastAsia="Calibri" w:cs="Times New Roman"/>
          <w:color w:val="auto"/>
          <w:szCs w:val="24"/>
        </w:rPr>
        <w:t>o</w:t>
      </w:r>
      <w:r w:rsidR="00B676DA" w:rsidRPr="00AA157B">
        <w:rPr>
          <w:rFonts w:eastAsia="Calibri" w:cs="Times New Roman"/>
          <w:color w:val="auto"/>
          <w:szCs w:val="24"/>
        </w:rPr>
        <w:t xml:space="preserve">f the </w:t>
      </w:r>
      <w:r w:rsidR="0065689C" w:rsidRPr="00AA157B">
        <w:rPr>
          <w:color w:val="auto"/>
          <w:szCs w:val="24"/>
        </w:rPr>
        <w:t>US Army Physical Disability Agency (USAPDA) pain policy</w:t>
      </w:r>
      <w:r w:rsidR="00BF72CA" w:rsidRPr="00AA157B">
        <w:rPr>
          <w:color w:val="auto"/>
          <w:szCs w:val="24"/>
        </w:rPr>
        <w:t>.</w:t>
      </w:r>
      <w:r w:rsidR="00DB1307" w:rsidRPr="00AA157B">
        <w:rPr>
          <w:color w:val="auto"/>
        </w:rPr>
        <w:t xml:space="preserve">  </w:t>
      </w:r>
      <w:r w:rsidR="00380601" w:rsidRPr="00AA157B">
        <w:rPr>
          <w:color w:val="auto"/>
        </w:rPr>
        <w:t>The remaining conditions</w:t>
      </w:r>
      <w:r w:rsidR="00DB1307" w:rsidRPr="00AA157B">
        <w:rPr>
          <w:color w:val="auto"/>
        </w:rPr>
        <w:t xml:space="preserve"> </w:t>
      </w:r>
      <w:r w:rsidR="00380601" w:rsidRPr="00AA157B">
        <w:rPr>
          <w:color w:val="auto"/>
        </w:rPr>
        <w:t xml:space="preserve">were </w:t>
      </w:r>
      <w:r w:rsidR="00DB1307" w:rsidRPr="00AA157B">
        <w:rPr>
          <w:color w:val="auto"/>
        </w:rPr>
        <w:t xml:space="preserve">adjudicated as </w:t>
      </w:r>
      <w:r w:rsidR="003E1D30" w:rsidRPr="00AA157B">
        <w:rPr>
          <w:color w:val="auto"/>
        </w:rPr>
        <w:t>not unfitting</w:t>
      </w:r>
      <w:r w:rsidR="00DF70F4" w:rsidRPr="00AA157B">
        <w:rPr>
          <w:color w:val="auto"/>
        </w:rPr>
        <w:t>.</w:t>
      </w:r>
      <w:r w:rsidR="00654C85">
        <w:rPr>
          <w:color w:val="auto"/>
        </w:rPr>
        <w:t xml:space="preserve">  The CI initially requested a F</w:t>
      </w:r>
      <w:r w:rsidR="00DB1307" w:rsidRPr="00AA157B">
        <w:rPr>
          <w:color w:val="auto"/>
        </w:rPr>
        <w:t xml:space="preserve">ormal </w:t>
      </w:r>
      <w:r w:rsidR="00974EFD" w:rsidRPr="00AA157B">
        <w:rPr>
          <w:color w:val="auto"/>
        </w:rPr>
        <w:t xml:space="preserve">PEB </w:t>
      </w:r>
      <w:r w:rsidR="00DB1307" w:rsidRPr="00AA157B">
        <w:rPr>
          <w:color w:val="auto"/>
        </w:rPr>
        <w:t>hearing but</w:t>
      </w:r>
      <w:r w:rsidR="00477405" w:rsidRPr="00AA157B">
        <w:rPr>
          <w:color w:val="auto"/>
        </w:rPr>
        <w:t xml:space="preserve"> 6 weeks later </w:t>
      </w:r>
      <w:r w:rsidR="00DB1307" w:rsidRPr="00AA157B">
        <w:rPr>
          <w:color w:val="auto"/>
        </w:rPr>
        <w:t xml:space="preserve">submitted a memorandum informing the PEB that he </w:t>
      </w:r>
      <w:r w:rsidR="00974EFD" w:rsidRPr="00AA157B">
        <w:rPr>
          <w:color w:val="auto"/>
        </w:rPr>
        <w:t xml:space="preserve">now </w:t>
      </w:r>
      <w:r w:rsidR="00DB1307" w:rsidRPr="00AA157B">
        <w:rPr>
          <w:color w:val="auto"/>
        </w:rPr>
        <w:t xml:space="preserve">declined </w:t>
      </w:r>
      <w:r w:rsidR="00974EFD" w:rsidRPr="00AA157B">
        <w:rPr>
          <w:color w:val="auto"/>
        </w:rPr>
        <w:t xml:space="preserve">a </w:t>
      </w:r>
      <w:r w:rsidR="00DB1307" w:rsidRPr="00AA157B">
        <w:rPr>
          <w:color w:val="auto"/>
        </w:rPr>
        <w:t>formal board</w:t>
      </w:r>
      <w:r w:rsidR="00974EFD" w:rsidRPr="00AA157B">
        <w:rPr>
          <w:color w:val="auto"/>
        </w:rPr>
        <w:t xml:space="preserve"> hearing </w:t>
      </w:r>
      <w:r w:rsidR="00DB1307" w:rsidRPr="00AA157B">
        <w:rPr>
          <w:color w:val="auto"/>
        </w:rPr>
        <w:t>and “elected to accept the original findings of 10%</w:t>
      </w:r>
      <w:r w:rsidR="00477405" w:rsidRPr="00AA157B">
        <w:rPr>
          <w:color w:val="auto"/>
        </w:rPr>
        <w:t xml:space="preserve">, separate with severance pay.” </w:t>
      </w:r>
      <w:r w:rsidR="003E1D30" w:rsidRPr="00AA157B">
        <w:rPr>
          <w:color w:val="auto"/>
        </w:rPr>
        <w:t xml:space="preserve"> </w:t>
      </w:r>
      <w:r w:rsidRPr="00AA157B">
        <w:rPr>
          <w:color w:val="auto"/>
        </w:rPr>
        <w:t xml:space="preserve">The CI was medically separated with </w:t>
      </w:r>
      <w:r w:rsidR="006069EC" w:rsidRPr="00AA157B">
        <w:rPr>
          <w:color w:val="auto"/>
        </w:rPr>
        <w:t>a 10</w:t>
      </w:r>
      <w:r w:rsidR="0066684A" w:rsidRPr="00AA157B">
        <w:rPr>
          <w:color w:val="auto"/>
        </w:rPr>
        <w:t xml:space="preserve">% </w:t>
      </w:r>
      <w:r w:rsidRPr="00AA157B">
        <w:rPr>
          <w:color w:val="auto"/>
        </w:rPr>
        <w:t>disability rating.</w:t>
      </w:r>
      <w:r w:rsidR="003E1D30">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2C13FC">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2C13FC">
        <w:rPr>
          <w:color w:val="auto"/>
        </w:rPr>
        <w:t xml:space="preserve">“Initial medical </w:t>
      </w:r>
      <w:r w:rsidR="002C13FC" w:rsidRPr="002C13FC">
        <w:rPr>
          <w:color w:val="auto"/>
        </w:rPr>
        <w:t>consultation conducted by US Army physician indicated that SPC Townsend would be given a Medical Retirement</w:t>
      </w:r>
      <w:r w:rsidR="005B5FA8">
        <w:rPr>
          <w:color w:val="auto"/>
        </w:rPr>
        <w:t>.</w:t>
      </w:r>
      <w:r w:rsidR="002C13FC" w:rsidRPr="002C13FC">
        <w:rPr>
          <w:color w:val="auto"/>
        </w:rPr>
        <w:t xml:space="preserve"> </w:t>
      </w:r>
      <w:r w:rsidR="005640A0">
        <w:rPr>
          <w:color w:val="auto"/>
        </w:rPr>
        <w:t xml:space="preserve"> </w:t>
      </w:r>
      <w:r w:rsidR="002C13FC" w:rsidRPr="002C13FC">
        <w:rPr>
          <w:color w:val="auto"/>
        </w:rPr>
        <w:t>This</w:t>
      </w:r>
      <w:r w:rsidR="005B5FA8">
        <w:rPr>
          <w:color w:val="auto"/>
        </w:rPr>
        <w:t xml:space="preserve"> </w:t>
      </w:r>
      <w:r w:rsidR="002C13FC" w:rsidRPr="002C13FC">
        <w:rPr>
          <w:color w:val="auto"/>
        </w:rPr>
        <w:t>declaration was det</w:t>
      </w:r>
      <w:r w:rsidR="00082BD4">
        <w:rPr>
          <w:color w:val="auto"/>
        </w:rPr>
        <w:t>ermined for chronic low Back, Ig</w:t>
      </w:r>
      <w:r w:rsidR="002C13FC" w:rsidRPr="002C13FC">
        <w:rPr>
          <w:color w:val="auto"/>
        </w:rPr>
        <w:t>A</w:t>
      </w:r>
      <w:r w:rsidR="00654C85">
        <w:rPr>
          <w:color w:val="auto"/>
        </w:rPr>
        <w:t xml:space="preserve"> (</w:t>
      </w:r>
      <w:r w:rsidR="00082BD4">
        <w:rPr>
          <w:color w:val="auto"/>
        </w:rPr>
        <w:t>im</w:t>
      </w:r>
      <w:r w:rsidR="00654C85" w:rsidRPr="00654C85">
        <w:rPr>
          <w:color w:val="auto"/>
        </w:rPr>
        <w:t xml:space="preserve">munoglobulin </w:t>
      </w:r>
      <w:proofErr w:type="gramStart"/>
      <w:r w:rsidR="00654C85" w:rsidRPr="00654C85">
        <w:rPr>
          <w:color w:val="auto"/>
        </w:rPr>
        <w:t>A</w:t>
      </w:r>
      <w:r w:rsidR="00654C85">
        <w:rPr>
          <w:color w:val="auto"/>
        </w:rPr>
        <w:t xml:space="preserve"> </w:t>
      </w:r>
      <w:r w:rsidR="002C13FC" w:rsidRPr="002C13FC">
        <w:rPr>
          <w:color w:val="auto"/>
        </w:rPr>
        <w:t xml:space="preserve"> Nephropathy</w:t>
      </w:r>
      <w:proofErr w:type="gramEnd"/>
      <w:r w:rsidR="002C13FC" w:rsidRPr="002C13FC">
        <w:rPr>
          <w:color w:val="auto"/>
        </w:rPr>
        <w:t>,</w:t>
      </w:r>
      <w:r w:rsidR="005B5FA8">
        <w:rPr>
          <w:color w:val="auto"/>
        </w:rPr>
        <w:t xml:space="preserve"> </w:t>
      </w:r>
      <w:r w:rsidR="002C13FC" w:rsidRPr="002C13FC">
        <w:rPr>
          <w:color w:val="auto"/>
        </w:rPr>
        <w:t xml:space="preserve">Hypertension, </w:t>
      </w:r>
      <w:proofErr w:type="spellStart"/>
      <w:r w:rsidR="002C13FC" w:rsidRPr="002C13FC">
        <w:rPr>
          <w:color w:val="auto"/>
        </w:rPr>
        <w:t>pes</w:t>
      </w:r>
      <w:proofErr w:type="spellEnd"/>
      <w:r w:rsidR="002C13FC" w:rsidRPr="002C13FC">
        <w:rPr>
          <w:color w:val="auto"/>
        </w:rPr>
        <w:t xml:space="preserve"> </w:t>
      </w:r>
      <w:proofErr w:type="spellStart"/>
      <w:r w:rsidR="002C13FC" w:rsidRPr="002C13FC">
        <w:rPr>
          <w:color w:val="auto"/>
        </w:rPr>
        <w:t>planus</w:t>
      </w:r>
      <w:proofErr w:type="spellEnd"/>
      <w:r w:rsidR="002C13FC" w:rsidRPr="002C13FC">
        <w:rPr>
          <w:color w:val="auto"/>
        </w:rPr>
        <w:t xml:space="preserve">, </w:t>
      </w:r>
      <w:proofErr w:type="spellStart"/>
      <w:r w:rsidR="002C13FC" w:rsidRPr="002C13FC">
        <w:rPr>
          <w:color w:val="auto"/>
        </w:rPr>
        <w:t>tinea</w:t>
      </w:r>
      <w:proofErr w:type="spellEnd"/>
      <w:r w:rsidR="002C13FC" w:rsidRPr="002C13FC">
        <w:rPr>
          <w:color w:val="auto"/>
        </w:rPr>
        <w:t xml:space="preserve"> </w:t>
      </w:r>
      <w:proofErr w:type="spellStart"/>
      <w:r w:rsidR="002C13FC" w:rsidRPr="002C13FC">
        <w:rPr>
          <w:color w:val="auto"/>
        </w:rPr>
        <w:t>pedis</w:t>
      </w:r>
      <w:proofErr w:type="spellEnd"/>
      <w:r w:rsidR="002C13FC" w:rsidRPr="002C13FC">
        <w:rPr>
          <w:color w:val="auto"/>
        </w:rPr>
        <w:t>, myopia, cluster-like headaches and</w:t>
      </w:r>
      <w:r w:rsidR="005B5FA8">
        <w:rPr>
          <w:color w:val="auto"/>
        </w:rPr>
        <w:t xml:space="preserve"> </w:t>
      </w:r>
      <w:r w:rsidR="002C13FC" w:rsidRPr="002C13FC">
        <w:rPr>
          <w:color w:val="auto"/>
        </w:rPr>
        <w:t>Diabetes</w:t>
      </w:r>
      <w:r w:rsidR="003E1D30">
        <w:rPr>
          <w:color w:val="auto"/>
        </w:rPr>
        <w:t>.</w:t>
      </w:r>
      <w:r w:rsidR="005B5FA8">
        <w:rPr>
          <w:color w:val="auto"/>
        </w:rPr>
        <w:t>”</w:t>
      </w:r>
      <w:r w:rsidR="003E1D30">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54C85">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Pr="00D505B8">
        <w:rPr>
          <w:color w:val="auto"/>
        </w:rPr>
        <w:t xml:space="preserve">The </w:t>
      </w:r>
      <w:r w:rsidR="001A731E" w:rsidRPr="00D505B8">
        <w:rPr>
          <w:color w:val="auto"/>
        </w:rPr>
        <w:t>chronic low back</w:t>
      </w:r>
      <w:r w:rsidRPr="00D505B8">
        <w:rPr>
          <w:color w:val="auto"/>
        </w:rPr>
        <w:t xml:space="preserve"> condition requested for consideration and the </w:t>
      </w:r>
      <w:r w:rsidR="00820D5D">
        <w:rPr>
          <w:color w:val="auto"/>
        </w:rPr>
        <w:t xml:space="preserve">medically acceptable </w:t>
      </w:r>
      <w:r w:rsidR="00082BD4">
        <w:rPr>
          <w:color w:val="auto"/>
        </w:rPr>
        <w:t>IGA</w:t>
      </w:r>
      <w:r w:rsidR="001A731E" w:rsidRPr="00D505B8">
        <w:rPr>
          <w:color w:val="auto"/>
        </w:rPr>
        <w:t xml:space="preserve"> nephropathy, hypertension, </w:t>
      </w:r>
      <w:proofErr w:type="spellStart"/>
      <w:r w:rsidR="001A731E" w:rsidRPr="00D505B8">
        <w:rPr>
          <w:color w:val="auto"/>
        </w:rPr>
        <w:t>pes</w:t>
      </w:r>
      <w:proofErr w:type="spellEnd"/>
      <w:r w:rsidR="001A731E" w:rsidRPr="00D505B8">
        <w:rPr>
          <w:color w:val="auto"/>
        </w:rPr>
        <w:t xml:space="preserve"> </w:t>
      </w:r>
      <w:proofErr w:type="spellStart"/>
      <w:r w:rsidR="001A731E" w:rsidRPr="00D505B8">
        <w:rPr>
          <w:color w:val="auto"/>
        </w:rPr>
        <w:t>planus</w:t>
      </w:r>
      <w:proofErr w:type="spellEnd"/>
      <w:r w:rsidR="001A731E" w:rsidRPr="00D505B8">
        <w:rPr>
          <w:color w:val="auto"/>
        </w:rPr>
        <w:t xml:space="preserve">, </w:t>
      </w:r>
      <w:proofErr w:type="spellStart"/>
      <w:r w:rsidR="001A731E" w:rsidRPr="00D505B8">
        <w:rPr>
          <w:color w:val="auto"/>
        </w:rPr>
        <w:t>tinea</w:t>
      </w:r>
      <w:proofErr w:type="spellEnd"/>
      <w:r w:rsidR="001A731E" w:rsidRPr="00D505B8">
        <w:rPr>
          <w:color w:val="auto"/>
        </w:rPr>
        <w:t xml:space="preserve"> </w:t>
      </w:r>
      <w:proofErr w:type="spellStart"/>
      <w:r w:rsidR="001A731E" w:rsidRPr="00D505B8">
        <w:rPr>
          <w:color w:val="auto"/>
        </w:rPr>
        <w:t>pedis</w:t>
      </w:r>
      <w:proofErr w:type="spellEnd"/>
      <w:r w:rsidR="001A731E" w:rsidRPr="00D505B8">
        <w:rPr>
          <w:color w:val="auto"/>
        </w:rPr>
        <w:t xml:space="preserve">, myopia, and cluster-like headaches </w:t>
      </w:r>
      <w:r w:rsidRPr="00D505B8">
        <w:rPr>
          <w:color w:val="auto"/>
        </w:rPr>
        <w:t>conditions meet the criteria prescribed in DoDI 6040.44 for Board purview, and are accordingly addressed below.  The other requested condition</w:t>
      </w:r>
      <w:r w:rsidR="00477405">
        <w:rPr>
          <w:color w:val="auto"/>
        </w:rPr>
        <w:t xml:space="preserve">, </w:t>
      </w:r>
      <w:r w:rsidR="00D505B8" w:rsidRPr="00D505B8">
        <w:rPr>
          <w:color w:val="auto"/>
        </w:rPr>
        <w:t>diabetes</w:t>
      </w:r>
      <w:r w:rsidR="002273D1">
        <w:rPr>
          <w:color w:val="auto"/>
        </w:rPr>
        <w:t xml:space="preserve">, </w:t>
      </w:r>
      <w:r w:rsidR="00D505B8" w:rsidRPr="00D505B8">
        <w:rPr>
          <w:color w:val="auto"/>
        </w:rPr>
        <w:t>is</w:t>
      </w:r>
      <w:r w:rsidRPr="00D505B8">
        <w:rPr>
          <w:color w:val="auto"/>
        </w:rPr>
        <w:t xml:space="preserve"> not within the Board’s purview. </w:t>
      </w:r>
      <w:r w:rsidR="00477405">
        <w:rPr>
          <w:color w:val="auto"/>
        </w:rPr>
        <w:t xml:space="preserve"> </w:t>
      </w:r>
      <w:r w:rsidRPr="00D505B8">
        <w:rPr>
          <w:color w:val="auto"/>
        </w:rPr>
        <w:t>Any conditions or contention not requested in this application, or otherwise outside the Board’s defined scope of review, remain eligible for future consideration by the Army Board for Corre</w:t>
      </w:r>
      <w:r w:rsidR="00082BD4">
        <w:rPr>
          <w:color w:val="auto"/>
        </w:rPr>
        <w:t>ction of Military Records</w:t>
      </w:r>
      <w:r w:rsidRPr="00D505B8">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82BD4" w:rsidRDefault="00082BD4">
      <w:pPr>
        <w:spacing w:line="240" w:lineRule="auto"/>
        <w:jc w:val="left"/>
        <w:rPr>
          <w:color w:val="auto"/>
          <w:u w:val="single"/>
        </w:rPr>
      </w:pPr>
      <w:r>
        <w:rPr>
          <w:color w:val="auto"/>
          <w:u w:val="single"/>
        </w:rPr>
        <w:br w:type="page"/>
      </w:r>
    </w:p>
    <w:p w:rsidR="00AD2379" w:rsidRPr="00A95EB3" w:rsidRDefault="00AD2379" w:rsidP="00BF0E94">
      <w:pPr>
        <w:jc w:val="left"/>
        <w:rPr>
          <w:color w:val="auto"/>
        </w:rPr>
      </w:pPr>
      <w:r w:rsidRPr="00A95EB3">
        <w:rPr>
          <w:color w:val="auto"/>
          <w:u w:val="single"/>
        </w:rPr>
        <w:lastRenderedPageBreak/>
        <w:t>RATING COMPARISON</w:t>
      </w:r>
      <w:r w:rsidRPr="00A95EB3">
        <w:rPr>
          <w:color w:val="auto"/>
        </w:rPr>
        <w:t xml:space="preserve">: </w:t>
      </w:r>
      <w:r w:rsidR="00855E73" w:rsidRPr="00A95EB3">
        <w:rPr>
          <w:color w:val="auto"/>
        </w:rPr>
        <w:t xml:space="preserve"> </w:t>
      </w:r>
    </w:p>
    <w:p w:rsidR="00F90376" w:rsidRPr="00A95EB3" w:rsidRDefault="00F90376" w:rsidP="00F90376">
      <w:pPr>
        <w:jc w:val="both"/>
        <w:rPr>
          <w:color w:val="auto"/>
        </w:rPr>
      </w:pPr>
    </w:p>
    <w:tbl>
      <w:tblPr>
        <w:tblW w:w="9452" w:type="dxa"/>
        <w:jc w:val="center"/>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6"/>
        <w:gridCol w:w="1080"/>
        <w:gridCol w:w="900"/>
        <w:gridCol w:w="2520"/>
        <w:gridCol w:w="1080"/>
        <w:gridCol w:w="720"/>
        <w:gridCol w:w="1216"/>
      </w:tblGrid>
      <w:tr w:rsidR="00F90376" w:rsidRPr="00A95EB3" w:rsidTr="00425883">
        <w:trPr>
          <w:trHeight w:val="170"/>
          <w:jc w:val="center"/>
        </w:trPr>
        <w:tc>
          <w:tcPr>
            <w:tcW w:w="3916" w:type="dxa"/>
            <w:gridSpan w:val="3"/>
            <w:tcBorders>
              <w:right w:val="thinThickThinSmallGap" w:sz="24" w:space="0" w:color="auto"/>
            </w:tcBorders>
            <w:shd w:val="clear" w:color="auto" w:fill="D9D9D9"/>
            <w:vAlign w:val="center"/>
          </w:tcPr>
          <w:p w:rsidR="00F90376" w:rsidRPr="00A95EB3" w:rsidRDefault="00F90376" w:rsidP="005D0AFF">
            <w:pPr>
              <w:spacing w:line="180" w:lineRule="exact"/>
              <w:contextualSpacing/>
              <w:rPr>
                <w:b/>
                <w:color w:val="auto"/>
                <w:sz w:val="18"/>
                <w:szCs w:val="22"/>
              </w:rPr>
            </w:pPr>
            <w:r w:rsidRPr="00A95EB3">
              <w:rPr>
                <w:rFonts w:cs="Times New Roman"/>
                <w:b/>
                <w:color w:val="auto"/>
                <w:sz w:val="18"/>
                <w:szCs w:val="22"/>
              </w:rPr>
              <w:t xml:space="preserve">Service </w:t>
            </w:r>
            <w:r w:rsidR="005D0AFF" w:rsidRPr="00A95EB3">
              <w:rPr>
                <w:rFonts w:cs="Times New Roman"/>
                <w:b/>
                <w:color w:val="auto"/>
                <w:sz w:val="18"/>
                <w:szCs w:val="22"/>
              </w:rPr>
              <w:t>I</w:t>
            </w:r>
            <w:r w:rsidRPr="00A95EB3">
              <w:rPr>
                <w:rFonts w:cs="Times New Roman"/>
                <w:b/>
                <w:color w:val="auto"/>
                <w:sz w:val="18"/>
                <w:szCs w:val="22"/>
              </w:rPr>
              <w:t>PEB – Dated 200</w:t>
            </w:r>
            <w:r w:rsidR="005D0AFF" w:rsidRPr="00A95EB3">
              <w:rPr>
                <w:rFonts w:cs="Times New Roman"/>
                <w:b/>
                <w:color w:val="auto"/>
                <w:sz w:val="18"/>
                <w:szCs w:val="22"/>
              </w:rPr>
              <w:t>40211</w:t>
            </w:r>
          </w:p>
        </w:tc>
        <w:tc>
          <w:tcPr>
            <w:tcW w:w="5536" w:type="dxa"/>
            <w:gridSpan w:val="4"/>
            <w:tcBorders>
              <w:left w:val="thinThickThinSmallGap" w:sz="24" w:space="0" w:color="auto"/>
            </w:tcBorders>
            <w:shd w:val="clear" w:color="auto" w:fill="D9D9D9"/>
            <w:vAlign w:val="center"/>
          </w:tcPr>
          <w:p w:rsidR="00F90376" w:rsidRPr="00A95EB3" w:rsidRDefault="00F90376" w:rsidP="000E0388">
            <w:pPr>
              <w:spacing w:line="180" w:lineRule="exact"/>
              <w:contextualSpacing/>
              <w:rPr>
                <w:b/>
                <w:color w:val="auto"/>
                <w:sz w:val="18"/>
                <w:szCs w:val="22"/>
              </w:rPr>
            </w:pPr>
            <w:r w:rsidRPr="00A95EB3">
              <w:rPr>
                <w:rFonts w:cs="Times New Roman"/>
                <w:b/>
                <w:color w:val="auto"/>
                <w:sz w:val="18"/>
                <w:szCs w:val="22"/>
              </w:rPr>
              <w:t>VA (</w:t>
            </w:r>
            <w:r w:rsidR="000E0388" w:rsidRPr="00A95EB3">
              <w:rPr>
                <w:rFonts w:cs="Times New Roman"/>
                <w:b/>
                <w:color w:val="auto"/>
                <w:sz w:val="18"/>
                <w:szCs w:val="22"/>
              </w:rPr>
              <w:t>~1 Mo</w:t>
            </w:r>
            <w:r w:rsidRPr="00A95EB3">
              <w:rPr>
                <w:rFonts w:cs="Times New Roman"/>
                <w:b/>
                <w:color w:val="auto"/>
                <w:sz w:val="18"/>
                <w:szCs w:val="22"/>
              </w:rPr>
              <w:t>. Post-Separation) – All Effective Date 200</w:t>
            </w:r>
            <w:r w:rsidR="000E0388" w:rsidRPr="00A95EB3">
              <w:rPr>
                <w:rFonts w:cs="Times New Roman"/>
                <w:b/>
                <w:color w:val="auto"/>
                <w:sz w:val="18"/>
                <w:szCs w:val="22"/>
              </w:rPr>
              <w:t>40406</w:t>
            </w:r>
          </w:p>
        </w:tc>
      </w:tr>
      <w:tr w:rsidR="00A95EB3" w:rsidRPr="00A95EB3" w:rsidTr="001B242C">
        <w:trPr>
          <w:trHeight w:val="97"/>
          <w:jc w:val="center"/>
        </w:trPr>
        <w:tc>
          <w:tcPr>
            <w:tcW w:w="1936" w:type="dxa"/>
            <w:tcBorders>
              <w:bottom w:val="single" w:sz="4" w:space="0" w:color="000000"/>
              <w:right w:val="single" w:sz="4" w:space="0" w:color="auto"/>
            </w:tcBorders>
            <w:shd w:val="clear" w:color="auto" w:fill="D9D9D9"/>
            <w:vAlign w:val="center"/>
          </w:tcPr>
          <w:p w:rsidR="00F90376" w:rsidRPr="00A95EB3" w:rsidRDefault="00F90376" w:rsidP="00472D4A">
            <w:pPr>
              <w:spacing w:line="180" w:lineRule="exact"/>
              <w:contextualSpacing/>
              <w:rPr>
                <w:b/>
                <w:color w:val="auto"/>
                <w:sz w:val="18"/>
                <w:szCs w:val="22"/>
              </w:rPr>
            </w:pPr>
            <w:r w:rsidRPr="00A95EB3">
              <w:rPr>
                <w:rFonts w:cs="Times New Roman"/>
                <w:b/>
                <w:color w:val="auto"/>
                <w:sz w:val="18"/>
                <w:szCs w:val="22"/>
              </w:rPr>
              <w:t>Condition</w:t>
            </w:r>
          </w:p>
        </w:tc>
        <w:tc>
          <w:tcPr>
            <w:tcW w:w="1080" w:type="dxa"/>
            <w:tcBorders>
              <w:left w:val="single" w:sz="4" w:space="0" w:color="auto"/>
              <w:bottom w:val="single" w:sz="4" w:space="0" w:color="000000"/>
            </w:tcBorders>
            <w:shd w:val="clear" w:color="auto" w:fill="D9D9D9"/>
            <w:vAlign w:val="center"/>
          </w:tcPr>
          <w:p w:rsidR="00F90376" w:rsidRPr="00A95EB3" w:rsidRDefault="00F90376" w:rsidP="00472D4A">
            <w:pPr>
              <w:spacing w:line="180" w:lineRule="exact"/>
              <w:contextualSpacing/>
              <w:rPr>
                <w:b/>
                <w:color w:val="auto"/>
                <w:sz w:val="18"/>
                <w:szCs w:val="22"/>
              </w:rPr>
            </w:pPr>
            <w:r w:rsidRPr="00A95EB3">
              <w:rPr>
                <w:rFonts w:cs="Times New Roman"/>
                <w:b/>
                <w:color w:val="auto"/>
                <w:sz w:val="18"/>
                <w:szCs w:val="22"/>
              </w:rPr>
              <w:t>Code</w:t>
            </w:r>
          </w:p>
        </w:tc>
        <w:tc>
          <w:tcPr>
            <w:tcW w:w="900" w:type="dxa"/>
            <w:tcBorders>
              <w:bottom w:val="single" w:sz="4" w:space="0" w:color="000000"/>
              <w:right w:val="thinThickThinSmallGap" w:sz="24" w:space="0" w:color="auto"/>
            </w:tcBorders>
            <w:shd w:val="clear" w:color="auto" w:fill="D9D9D9"/>
            <w:vAlign w:val="center"/>
          </w:tcPr>
          <w:p w:rsidR="00F90376" w:rsidRPr="00A95EB3" w:rsidRDefault="00F90376" w:rsidP="00472D4A">
            <w:pPr>
              <w:spacing w:line="180" w:lineRule="exact"/>
              <w:contextualSpacing/>
              <w:rPr>
                <w:b/>
                <w:color w:val="auto"/>
                <w:sz w:val="18"/>
                <w:szCs w:val="22"/>
              </w:rPr>
            </w:pPr>
            <w:r w:rsidRPr="00A95EB3">
              <w:rPr>
                <w:rFonts w:cs="Times New Roman"/>
                <w:b/>
                <w:color w:val="auto"/>
                <w:sz w:val="18"/>
                <w:szCs w:val="22"/>
              </w:rPr>
              <w:t>Rating</w:t>
            </w:r>
          </w:p>
        </w:tc>
        <w:tc>
          <w:tcPr>
            <w:tcW w:w="2520" w:type="dxa"/>
            <w:tcBorders>
              <w:left w:val="thinThickThinSmallGap" w:sz="24" w:space="0" w:color="auto"/>
              <w:bottom w:val="single" w:sz="4" w:space="0" w:color="000000"/>
            </w:tcBorders>
            <w:shd w:val="clear" w:color="auto" w:fill="D9D9D9"/>
            <w:vAlign w:val="center"/>
          </w:tcPr>
          <w:p w:rsidR="00F90376" w:rsidRPr="00A95EB3" w:rsidRDefault="00F90376" w:rsidP="00472D4A">
            <w:pPr>
              <w:spacing w:line="180" w:lineRule="exact"/>
              <w:contextualSpacing/>
              <w:rPr>
                <w:b/>
                <w:color w:val="auto"/>
                <w:sz w:val="18"/>
                <w:szCs w:val="22"/>
              </w:rPr>
            </w:pPr>
            <w:r w:rsidRPr="00A95EB3">
              <w:rPr>
                <w:rFonts w:cs="Times New Roman"/>
                <w:b/>
                <w:color w:val="auto"/>
                <w:sz w:val="18"/>
                <w:szCs w:val="22"/>
              </w:rPr>
              <w:t>Condition</w:t>
            </w:r>
          </w:p>
        </w:tc>
        <w:tc>
          <w:tcPr>
            <w:tcW w:w="1080" w:type="dxa"/>
            <w:tcBorders>
              <w:bottom w:val="single" w:sz="4" w:space="0" w:color="000000"/>
            </w:tcBorders>
            <w:shd w:val="clear" w:color="auto" w:fill="D9D9D9"/>
            <w:vAlign w:val="center"/>
          </w:tcPr>
          <w:p w:rsidR="00F90376" w:rsidRPr="00A95EB3" w:rsidRDefault="00F90376" w:rsidP="00472D4A">
            <w:pPr>
              <w:spacing w:line="180" w:lineRule="exact"/>
              <w:contextualSpacing/>
              <w:rPr>
                <w:b/>
                <w:color w:val="auto"/>
                <w:sz w:val="18"/>
                <w:szCs w:val="22"/>
              </w:rPr>
            </w:pPr>
            <w:r w:rsidRPr="00A95EB3">
              <w:rPr>
                <w:rFonts w:cs="Times New Roman"/>
                <w:b/>
                <w:color w:val="auto"/>
                <w:sz w:val="18"/>
                <w:szCs w:val="22"/>
              </w:rPr>
              <w:t>Code</w:t>
            </w:r>
          </w:p>
        </w:tc>
        <w:tc>
          <w:tcPr>
            <w:tcW w:w="720" w:type="dxa"/>
            <w:tcBorders>
              <w:bottom w:val="single" w:sz="4" w:space="0" w:color="000000"/>
            </w:tcBorders>
            <w:shd w:val="clear" w:color="auto" w:fill="D9D9D9"/>
            <w:vAlign w:val="center"/>
          </w:tcPr>
          <w:p w:rsidR="00F90376" w:rsidRPr="00A95EB3" w:rsidRDefault="00F90376" w:rsidP="00472D4A">
            <w:pPr>
              <w:spacing w:line="180" w:lineRule="exact"/>
              <w:contextualSpacing/>
              <w:rPr>
                <w:b/>
                <w:color w:val="auto"/>
                <w:sz w:val="18"/>
                <w:szCs w:val="22"/>
              </w:rPr>
            </w:pPr>
            <w:r w:rsidRPr="00A95EB3">
              <w:rPr>
                <w:rFonts w:cs="Times New Roman"/>
                <w:b/>
                <w:color w:val="auto"/>
                <w:sz w:val="18"/>
                <w:szCs w:val="22"/>
              </w:rPr>
              <w:t>Rating</w:t>
            </w:r>
          </w:p>
        </w:tc>
        <w:tc>
          <w:tcPr>
            <w:tcW w:w="1216" w:type="dxa"/>
            <w:tcBorders>
              <w:bottom w:val="single" w:sz="4" w:space="0" w:color="000000"/>
            </w:tcBorders>
            <w:shd w:val="clear" w:color="auto" w:fill="D9D9D9"/>
            <w:vAlign w:val="center"/>
          </w:tcPr>
          <w:p w:rsidR="00F90376" w:rsidRPr="00A95EB3" w:rsidRDefault="00F90376" w:rsidP="00472D4A">
            <w:pPr>
              <w:spacing w:line="180" w:lineRule="exact"/>
              <w:contextualSpacing/>
              <w:rPr>
                <w:b/>
                <w:color w:val="auto"/>
                <w:sz w:val="18"/>
                <w:szCs w:val="22"/>
              </w:rPr>
            </w:pPr>
            <w:r w:rsidRPr="00A95EB3">
              <w:rPr>
                <w:rFonts w:cs="Times New Roman"/>
                <w:b/>
                <w:color w:val="auto"/>
                <w:sz w:val="18"/>
                <w:szCs w:val="22"/>
              </w:rPr>
              <w:t>Exam</w:t>
            </w:r>
          </w:p>
        </w:tc>
      </w:tr>
      <w:tr w:rsidR="00A95EB3" w:rsidRPr="00A95EB3" w:rsidTr="001B242C">
        <w:trPr>
          <w:trHeight w:val="118"/>
          <w:jc w:val="center"/>
        </w:trPr>
        <w:tc>
          <w:tcPr>
            <w:tcW w:w="1936" w:type="dxa"/>
            <w:tcBorders>
              <w:bottom w:val="single" w:sz="4" w:space="0" w:color="000000"/>
              <w:right w:val="single" w:sz="4" w:space="0" w:color="auto"/>
            </w:tcBorders>
            <w:shd w:val="clear" w:color="auto" w:fill="FFFFFF"/>
            <w:vAlign w:val="center"/>
          </w:tcPr>
          <w:p w:rsidR="00F90376" w:rsidRPr="00A95EB3" w:rsidRDefault="005D0AFF" w:rsidP="00477405">
            <w:pPr>
              <w:spacing w:line="180" w:lineRule="exact"/>
              <w:contextualSpacing/>
              <w:jc w:val="left"/>
              <w:rPr>
                <w:color w:val="auto"/>
                <w:sz w:val="18"/>
                <w:szCs w:val="22"/>
              </w:rPr>
            </w:pPr>
            <w:r w:rsidRPr="00A95EB3">
              <w:rPr>
                <w:color w:val="auto"/>
                <w:sz w:val="18"/>
                <w:szCs w:val="22"/>
              </w:rPr>
              <w:t xml:space="preserve">Chronic </w:t>
            </w:r>
            <w:r w:rsidRPr="00A95EB3">
              <w:rPr>
                <w:bCs/>
                <w:color w:val="auto"/>
                <w:sz w:val="18"/>
                <w:szCs w:val="22"/>
              </w:rPr>
              <w:t xml:space="preserve">Back </w:t>
            </w:r>
            <w:r w:rsidRPr="00A95EB3">
              <w:rPr>
                <w:color w:val="auto"/>
                <w:sz w:val="18"/>
                <w:szCs w:val="22"/>
              </w:rPr>
              <w:t xml:space="preserve">Pain </w:t>
            </w:r>
            <w:r w:rsidRPr="00A95EB3">
              <w:rPr>
                <w:bCs/>
                <w:color w:val="auto"/>
                <w:sz w:val="18"/>
                <w:szCs w:val="22"/>
              </w:rPr>
              <w:t>with Sacroiliitis</w:t>
            </w:r>
          </w:p>
        </w:tc>
        <w:tc>
          <w:tcPr>
            <w:tcW w:w="1080" w:type="dxa"/>
            <w:tcBorders>
              <w:left w:val="single" w:sz="4" w:space="0" w:color="auto"/>
              <w:bottom w:val="single" w:sz="4" w:space="0" w:color="000000"/>
            </w:tcBorders>
            <w:shd w:val="clear" w:color="auto" w:fill="FFFFFF"/>
            <w:vAlign w:val="center"/>
          </w:tcPr>
          <w:p w:rsidR="00F90376" w:rsidRPr="00A95EB3" w:rsidRDefault="005D0AFF" w:rsidP="00472D4A">
            <w:pPr>
              <w:spacing w:line="180" w:lineRule="exact"/>
              <w:contextualSpacing/>
              <w:rPr>
                <w:color w:val="auto"/>
                <w:sz w:val="18"/>
                <w:szCs w:val="22"/>
              </w:rPr>
            </w:pPr>
            <w:r w:rsidRPr="00A95EB3">
              <w:rPr>
                <w:color w:val="auto"/>
                <w:sz w:val="18"/>
                <w:szCs w:val="22"/>
              </w:rPr>
              <w:t>5299-5237</w:t>
            </w:r>
          </w:p>
        </w:tc>
        <w:tc>
          <w:tcPr>
            <w:tcW w:w="900" w:type="dxa"/>
            <w:tcBorders>
              <w:bottom w:val="single" w:sz="4" w:space="0" w:color="000000"/>
              <w:right w:val="thinThickThinSmallGap" w:sz="24" w:space="0" w:color="auto"/>
            </w:tcBorders>
            <w:shd w:val="clear" w:color="auto" w:fill="FFFFFF"/>
            <w:vAlign w:val="center"/>
          </w:tcPr>
          <w:p w:rsidR="00F90376" w:rsidRPr="00A95EB3" w:rsidRDefault="005D0AFF" w:rsidP="00472D4A">
            <w:pPr>
              <w:spacing w:line="180" w:lineRule="exact"/>
              <w:rPr>
                <w:color w:val="auto"/>
                <w:sz w:val="18"/>
                <w:szCs w:val="22"/>
              </w:rPr>
            </w:pPr>
            <w:r w:rsidRPr="00A95EB3">
              <w:rPr>
                <w:color w:val="auto"/>
                <w:sz w:val="18"/>
                <w:szCs w:val="22"/>
              </w:rPr>
              <w:t>10%</w:t>
            </w:r>
          </w:p>
        </w:tc>
        <w:tc>
          <w:tcPr>
            <w:tcW w:w="2520" w:type="dxa"/>
            <w:tcBorders>
              <w:left w:val="thinThickThinSmallGap" w:sz="24" w:space="0" w:color="auto"/>
              <w:bottom w:val="single" w:sz="4" w:space="0" w:color="000000"/>
            </w:tcBorders>
            <w:shd w:val="clear" w:color="auto" w:fill="FFFFFF"/>
            <w:vAlign w:val="center"/>
          </w:tcPr>
          <w:p w:rsidR="00F90376" w:rsidRPr="00A95EB3" w:rsidRDefault="000E0388" w:rsidP="00A95EB3">
            <w:pPr>
              <w:spacing w:line="180" w:lineRule="exact"/>
              <w:contextualSpacing/>
              <w:rPr>
                <w:color w:val="auto"/>
                <w:sz w:val="18"/>
                <w:szCs w:val="22"/>
              </w:rPr>
            </w:pPr>
            <w:r w:rsidRPr="00A95EB3">
              <w:rPr>
                <w:color w:val="auto"/>
                <w:sz w:val="18"/>
                <w:szCs w:val="22"/>
              </w:rPr>
              <w:t>Sacroil</w:t>
            </w:r>
            <w:r w:rsidR="00807094" w:rsidRPr="00A95EB3">
              <w:rPr>
                <w:color w:val="auto"/>
                <w:sz w:val="18"/>
                <w:szCs w:val="22"/>
              </w:rPr>
              <w:t>i</w:t>
            </w:r>
            <w:r w:rsidRPr="00A95EB3">
              <w:rPr>
                <w:color w:val="auto"/>
                <w:sz w:val="18"/>
                <w:szCs w:val="22"/>
              </w:rPr>
              <w:t>itis with Chronic Low Back Pain</w:t>
            </w:r>
          </w:p>
        </w:tc>
        <w:tc>
          <w:tcPr>
            <w:tcW w:w="1080" w:type="dxa"/>
            <w:tcBorders>
              <w:bottom w:val="single" w:sz="4" w:space="0" w:color="000000"/>
            </w:tcBorders>
            <w:shd w:val="clear" w:color="auto" w:fill="FFFFFF"/>
            <w:vAlign w:val="center"/>
          </w:tcPr>
          <w:p w:rsidR="00F90376" w:rsidRPr="00A95EB3" w:rsidRDefault="000E0388" w:rsidP="00A95EB3">
            <w:pPr>
              <w:spacing w:line="180" w:lineRule="exact"/>
              <w:contextualSpacing/>
              <w:rPr>
                <w:color w:val="auto"/>
                <w:sz w:val="18"/>
                <w:szCs w:val="22"/>
              </w:rPr>
            </w:pPr>
            <w:r w:rsidRPr="00A95EB3">
              <w:rPr>
                <w:color w:val="auto"/>
                <w:sz w:val="18"/>
                <w:szCs w:val="22"/>
              </w:rPr>
              <w:t>5236</w:t>
            </w:r>
          </w:p>
        </w:tc>
        <w:tc>
          <w:tcPr>
            <w:tcW w:w="720" w:type="dxa"/>
            <w:tcBorders>
              <w:bottom w:val="single" w:sz="4" w:space="0" w:color="000000"/>
            </w:tcBorders>
            <w:shd w:val="clear" w:color="auto" w:fill="FFFFFF"/>
            <w:vAlign w:val="center"/>
          </w:tcPr>
          <w:p w:rsidR="00F90376" w:rsidRPr="00A95EB3" w:rsidRDefault="000E0388" w:rsidP="00A95EB3">
            <w:pPr>
              <w:spacing w:line="180" w:lineRule="exact"/>
              <w:contextualSpacing/>
              <w:rPr>
                <w:color w:val="auto"/>
                <w:sz w:val="18"/>
                <w:szCs w:val="22"/>
              </w:rPr>
            </w:pPr>
            <w:r w:rsidRPr="00A95EB3">
              <w:rPr>
                <w:color w:val="auto"/>
                <w:sz w:val="18"/>
                <w:szCs w:val="22"/>
              </w:rPr>
              <w:t>20%</w:t>
            </w:r>
            <w:r w:rsidR="00B23E5D" w:rsidRPr="00A95EB3">
              <w:rPr>
                <w:color w:val="auto"/>
                <w:sz w:val="18"/>
                <w:szCs w:val="22"/>
              </w:rPr>
              <w:t>*</w:t>
            </w:r>
          </w:p>
        </w:tc>
        <w:tc>
          <w:tcPr>
            <w:tcW w:w="1216" w:type="dxa"/>
            <w:tcBorders>
              <w:bottom w:val="single" w:sz="4" w:space="0" w:color="000000"/>
            </w:tcBorders>
            <w:shd w:val="clear" w:color="auto" w:fill="FFFFFF"/>
            <w:vAlign w:val="center"/>
          </w:tcPr>
          <w:p w:rsidR="00550705" w:rsidRPr="00A95EB3" w:rsidRDefault="00F96F15" w:rsidP="00A95EB3">
            <w:pPr>
              <w:spacing w:line="180" w:lineRule="exact"/>
              <w:contextualSpacing/>
              <w:rPr>
                <w:rFonts w:cs="Times New Roman"/>
                <w:color w:val="auto"/>
                <w:sz w:val="18"/>
                <w:szCs w:val="22"/>
              </w:rPr>
            </w:pPr>
            <w:r w:rsidRPr="00A95EB3">
              <w:rPr>
                <w:rFonts w:cs="Times New Roman"/>
                <w:color w:val="auto"/>
                <w:sz w:val="18"/>
                <w:szCs w:val="22"/>
              </w:rPr>
              <w:t>S</w:t>
            </w:r>
            <w:r w:rsidR="00477405" w:rsidRPr="00A95EB3">
              <w:rPr>
                <w:rFonts w:cs="Times New Roman"/>
                <w:color w:val="auto"/>
                <w:sz w:val="18"/>
                <w:szCs w:val="22"/>
              </w:rPr>
              <w:t>ervice</w:t>
            </w:r>
            <w:r w:rsidRPr="00A95EB3">
              <w:rPr>
                <w:rFonts w:cs="Times New Roman"/>
                <w:color w:val="auto"/>
                <w:sz w:val="18"/>
                <w:szCs w:val="22"/>
              </w:rPr>
              <w:t xml:space="preserve">  </w:t>
            </w:r>
            <w:r w:rsidR="00477405" w:rsidRPr="00A95EB3">
              <w:rPr>
                <w:rFonts w:cs="Times New Roman"/>
                <w:color w:val="auto"/>
                <w:sz w:val="18"/>
                <w:szCs w:val="22"/>
              </w:rPr>
              <w:t>Treatmen</w:t>
            </w:r>
            <w:r w:rsidR="00550705" w:rsidRPr="00A95EB3">
              <w:rPr>
                <w:rFonts w:cs="Times New Roman"/>
                <w:color w:val="auto"/>
                <w:sz w:val="18"/>
                <w:szCs w:val="22"/>
              </w:rPr>
              <w:t>t</w:t>
            </w:r>
          </w:p>
          <w:p w:rsidR="00F90376" w:rsidRPr="00A95EB3" w:rsidRDefault="00F96F15" w:rsidP="001B242C">
            <w:pPr>
              <w:spacing w:line="180" w:lineRule="exact"/>
              <w:contextualSpacing/>
              <w:rPr>
                <w:color w:val="auto"/>
                <w:sz w:val="18"/>
                <w:szCs w:val="22"/>
              </w:rPr>
            </w:pPr>
            <w:r w:rsidRPr="00A95EB3">
              <w:rPr>
                <w:rFonts w:cs="Times New Roman"/>
                <w:color w:val="auto"/>
                <w:sz w:val="18"/>
                <w:szCs w:val="22"/>
              </w:rPr>
              <w:t>Records</w:t>
            </w:r>
            <w:r w:rsidR="001B242C">
              <w:rPr>
                <w:rFonts w:cs="Times New Roman"/>
                <w:color w:val="auto"/>
                <w:sz w:val="18"/>
                <w:szCs w:val="22"/>
              </w:rPr>
              <w:t xml:space="preserve"> (STR)</w:t>
            </w:r>
          </w:p>
        </w:tc>
      </w:tr>
      <w:tr w:rsidR="003E1D30" w:rsidRPr="00A95EB3" w:rsidTr="00C7668E">
        <w:trPr>
          <w:trHeight w:val="118"/>
          <w:jc w:val="center"/>
        </w:trPr>
        <w:tc>
          <w:tcPr>
            <w:tcW w:w="1936" w:type="dxa"/>
            <w:tcBorders>
              <w:bottom w:val="single" w:sz="4" w:space="0" w:color="000000"/>
              <w:right w:val="single" w:sz="4" w:space="0" w:color="000000"/>
            </w:tcBorders>
            <w:shd w:val="clear" w:color="auto" w:fill="FFFFFF"/>
            <w:vAlign w:val="center"/>
          </w:tcPr>
          <w:p w:rsidR="003E1D30" w:rsidRPr="001B242C" w:rsidRDefault="003E1D30" w:rsidP="006251B9">
            <w:pPr>
              <w:spacing w:line="180" w:lineRule="exact"/>
              <w:contextualSpacing/>
              <w:rPr>
                <w:rFonts w:cs="Times New Roman"/>
                <w:color w:val="auto"/>
                <w:sz w:val="18"/>
                <w:szCs w:val="22"/>
              </w:rPr>
            </w:pPr>
            <w:proofErr w:type="spellStart"/>
            <w:r w:rsidRPr="001B242C">
              <w:rPr>
                <w:rFonts w:cs="Times New Roman"/>
                <w:color w:val="auto"/>
                <w:sz w:val="18"/>
                <w:szCs w:val="22"/>
              </w:rPr>
              <w:t>Tinea</w:t>
            </w:r>
            <w:proofErr w:type="spellEnd"/>
            <w:r w:rsidRPr="001B242C">
              <w:rPr>
                <w:rFonts w:cs="Times New Roman"/>
                <w:color w:val="auto"/>
                <w:sz w:val="18"/>
                <w:szCs w:val="22"/>
              </w:rPr>
              <w:t xml:space="preserve"> </w:t>
            </w:r>
            <w:proofErr w:type="spellStart"/>
            <w:r w:rsidRPr="001B242C">
              <w:rPr>
                <w:rFonts w:cs="Times New Roman"/>
                <w:color w:val="auto"/>
                <w:sz w:val="18"/>
                <w:szCs w:val="22"/>
              </w:rPr>
              <w:t>Pedis</w:t>
            </w:r>
            <w:proofErr w:type="spellEnd"/>
          </w:p>
        </w:tc>
        <w:tc>
          <w:tcPr>
            <w:tcW w:w="1980" w:type="dxa"/>
            <w:gridSpan w:val="2"/>
            <w:tcBorders>
              <w:left w:val="single" w:sz="4" w:space="0" w:color="000000"/>
              <w:bottom w:val="single" w:sz="4" w:space="0" w:color="000000"/>
              <w:right w:val="thinThickThinSmallGap" w:sz="24" w:space="0" w:color="auto"/>
            </w:tcBorders>
            <w:shd w:val="clear" w:color="auto" w:fill="FFFFFF"/>
            <w:vAlign w:val="center"/>
          </w:tcPr>
          <w:p w:rsidR="003E1D30" w:rsidRPr="00AA157B" w:rsidRDefault="003E1D30" w:rsidP="006251B9">
            <w:pPr>
              <w:spacing w:line="180" w:lineRule="exact"/>
              <w:contextualSpacing/>
              <w:rPr>
                <w:rFonts w:cs="Times New Roman"/>
                <w:color w:val="auto"/>
                <w:sz w:val="18"/>
                <w:szCs w:val="22"/>
              </w:rPr>
            </w:pPr>
            <w:r w:rsidRPr="00AA157B">
              <w:rPr>
                <w:rFonts w:cs="Times New Roman"/>
                <w:color w:val="auto"/>
                <w:sz w:val="18"/>
                <w:szCs w:val="22"/>
              </w:rPr>
              <w:t>Not unfitting</w:t>
            </w:r>
          </w:p>
        </w:tc>
        <w:tc>
          <w:tcPr>
            <w:tcW w:w="2520" w:type="dxa"/>
            <w:tcBorders>
              <w:left w:val="thinThickThinSmallGap" w:sz="24" w:space="0" w:color="auto"/>
            </w:tcBorders>
            <w:shd w:val="clear" w:color="auto" w:fill="FFFFFF"/>
            <w:vAlign w:val="center"/>
          </w:tcPr>
          <w:p w:rsidR="003E1D30" w:rsidRPr="001B242C" w:rsidRDefault="003E1D30" w:rsidP="006251B9">
            <w:pPr>
              <w:spacing w:line="180" w:lineRule="exact"/>
              <w:contextualSpacing/>
              <w:rPr>
                <w:rFonts w:cs="Times New Roman"/>
                <w:color w:val="auto"/>
                <w:sz w:val="18"/>
                <w:szCs w:val="22"/>
              </w:rPr>
            </w:pPr>
            <w:r w:rsidRPr="001B242C">
              <w:rPr>
                <w:rFonts w:cs="Times New Roman"/>
                <w:color w:val="auto"/>
                <w:sz w:val="18"/>
                <w:szCs w:val="22"/>
              </w:rPr>
              <w:t>Tinea Pedis</w:t>
            </w:r>
          </w:p>
        </w:tc>
        <w:tc>
          <w:tcPr>
            <w:tcW w:w="1080" w:type="dxa"/>
            <w:shd w:val="clear" w:color="auto" w:fill="FFFFFF"/>
            <w:vAlign w:val="center"/>
          </w:tcPr>
          <w:p w:rsidR="003E1D30" w:rsidRPr="001B242C" w:rsidRDefault="003E1D30" w:rsidP="006251B9">
            <w:pPr>
              <w:spacing w:line="180" w:lineRule="exact"/>
              <w:contextualSpacing/>
              <w:rPr>
                <w:rFonts w:cs="Times New Roman"/>
                <w:color w:val="auto"/>
                <w:sz w:val="18"/>
                <w:szCs w:val="22"/>
              </w:rPr>
            </w:pPr>
            <w:r w:rsidRPr="001B242C">
              <w:rPr>
                <w:rFonts w:cs="Times New Roman"/>
                <w:color w:val="auto"/>
                <w:sz w:val="18"/>
                <w:szCs w:val="22"/>
              </w:rPr>
              <w:t>7806</w:t>
            </w:r>
          </w:p>
        </w:tc>
        <w:tc>
          <w:tcPr>
            <w:tcW w:w="720" w:type="dxa"/>
            <w:shd w:val="clear" w:color="auto" w:fill="FFFFFF"/>
            <w:vAlign w:val="center"/>
          </w:tcPr>
          <w:p w:rsidR="003E1D30" w:rsidRPr="001B242C" w:rsidRDefault="003E1D30" w:rsidP="006251B9">
            <w:pPr>
              <w:spacing w:line="180" w:lineRule="exact"/>
              <w:contextualSpacing/>
              <w:rPr>
                <w:rFonts w:cs="Times New Roman"/>
                <w:color w:val="auto"/>
                <w:sz w:val="18"/>
                <w:szCs w:val="22"/>
              </w:rPr>
            </w:pPr>
            <w:r w:rsidRPr="001B242C">
              <w:rPr>
                <w:rFonts w:cs="Times New Roman"/>
                <w:color w:val="auto"/>
                <w:sz w:val="18"/>
                <w:szCs w:val="22"/>
              </w:rPr>
              <w:t>0%</w:t>
            </w:r>
          </w:p>
        </w:tc>
        <w:tc>
          <w:tcPr>
            <w:tcW w:w="1216" w:type="dxa"/>
            <w:shd w:val="clear" w:color="auto" w:fill="FFFFFF"/>
            <w:vAlign w:val="center"/>
          </w:tcPr>
          <w:p w:rsidR="003E1D30" w:rsidRPr="001B242C" w:rsidRDefault="003E1D30" w:rsidP="006251B9">
            <w:pPr>
              <w:spacing w:line="180" w:lineRule="exact"/>
              <w:contextualSpacing/>
              <w:rPr>
                <w:rFonts w:cs="Times New Roman"/>
                <w:color w:val="auto"/>
                <w:sz w:val="18"/>
                <w:szCs w:val="22"/>
              </w:rPr>
            </w:pPr>
            <w:r>
              <w:rPr>
                <w:rFonts w:cs="Times New Roman"/>
                <w:color w:val="auto"/>
                <w:sz w:val="18"/>
                <w:szCs w:val="22"/>
              </w:rPr>
              <w:t>STR</w:t>
            </w:r>
          </w:p>
        </w:tc>
      </w:tr>
      <w:tr w:rsidR="003E1D30" w:rsidRPr="00A95EB3" w:rsidTr="0037219B">
        <w:trPr>
          <w:trHeight w:val="118"/>
          <w:jc w:val="center"/>
        </w:trPr>
        <w:tc>
          <w:tcPr>
            <w:tcW w:w="1936" w:type="dxa"/>
            <w:tcBorders>
              <w:bottom w:val="single" w:sz="4" w:space="0" w:color="000000"/>
              <w:right w:val="single" w:sz="4" w:space="0" w:color="000000"/>
            </w:tcBorders>
            <w:shd w:val="clear" w:color="auto" w:fill="FFFFFF"/>
            <w:vAlign w:val="center"/>
          </w:tcPr>
          <w:p w:rsidR="003E1D30" w:rsidRPr="001B242C" w:rsidRDefault="003E1D30" w:rsidP="00472D4A">
            <w:pPr>
              <w:spacing w:line="180" w:lineRule="exact"/>
              <w:contextualSpacing/>
              <w:rPr>
                <w:rFonts w:cs="Times New Roman"/>
                <w:color w:val="auto"/>
                <w:sz w:val="18"/>
                <w:szCs w:val="22"/>
              </w:rPr>
            </w:pPr>
            <w:r w:rsidRPr="001B242C">
              <w:rPr>
                <w:rFonts w:cs="Times New Roman"/>
                <w:color w:val="auto"/>
                <w:sz w:val="18"/>
                <w:szCs w:val="22"/>
              </w:rPr>
              <w:t>IgA Nephropathy</w:t>
            </w:r>
          </w:p>
        </w:tc>
        <w:tc>
          <w:tcPr>
            <w:tcW w:w="1980" w:type="dxa"/>
            <w:gridSpan w:val="2"/>
            <w:tcBorders>
              <w:left w:val="single" w:sz="4" w:space="0" w:color="000000"/>
              <w:bottom w:val="single" w:sz="4" w:space="0" w:color="000000"/>
              <w:right w:val="thinThickThinSmallGap" w:sz="24" w:space="0" w:color="auto"/>
            </w:tcBorders>
            <w:shd w:val="clear" w:color="auto" w:fill="FFFFFF"/>
            <w:vAlign w:val="center"/>
          </w:tcPr>
          <w:p w:rsidR="003E1D30" w:rsidRPr="00AA157B" w:rsidRDefault="003E1D30" w:rsidP="00472D4A">
            <w:pPr>
              <w:spacing w:line="180" w:lineRule="exact"/>
              <w:contextualSpacing/>
              <w:rPr>
                <w:rFonts w:cs="Times New Roman"/>
                <w:color w:val="auto"/>
                <w:sz w:val="18"/>
                <w:szCs w:val="22"/>
              </w:rPr>
            </w:pPr>
            <w:r w:rsidRPr="00AA157B">
              <w:rPr>
                <w:rFonts w:cs="Times New Roman"/>
                <w:color w:val="auto"/>
                <w:sz w:val="18"/>
                <w:szCs w:val="22"/>
              </w:rPr>
              <w:t>Not unfitting</w:t>
            </w:r>
          </w:p>
        </w:tc>
        <w:tc>
          <w:tcPr>
            <w:tcW w:w="2520" w:type="dxa"/>
            <w:vMerge w:val="restart"/>
            <w:tcBorders>
              <w:top w:val="nil"/>
              <w:left w:val="thinThickThinSmallGap" w:sz="24" w:space="0" w:color="auto"/>
              <w:right w:val="single" w:sz="4" w:space="0" w:color="000000"/>
            </w:tcBorders>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sidRPr="001B242C">
              <w:rPr>
                <w:rFonts w:cs="Times New Roman"/>
                <w:color w:val="auto"/>
                <w:sz w:val="18"/>
                <w:szCs w:val="22"/>
              </w:rPr>
              <w:t>IgA Nephropathy with Hypertension</w:t>
            </w:r>
          </w:p>
        </w:tc>
        <w:tc>
          <w:tcPr>
            <w:tcW w:w="1080" w:type="dxa"/>
            <w:vMerge w:val="restart"/>
            <w:tcBorders>
              <w:top w:val="nil"/>
              <w:left w:val="single" w:sz="4" w:space="0" w:color="000000"/>
              <w:right w:val="single" w:sz="4" w:space="0" w:color="000000"/>
            </w:tcBorders>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Pr>
                <w:rFonts w:cs="Times New Roman"/>
                <w:color w:val="auto"/>
                <w:sz w:val="18"/>
                <w:szCs w:val="22"/>
              </w:rPr>
              <w:t>7599-7502</w:t>
            </w:r>
          </w:p>
        </w:tc>
        <w:tc>
          <w:tcPr>
            <w:tcW w:w="720" w:type="dxa"/>
            <w:vMerge w:val="restart"/>
            <w:tcBorders>
              <w:top w:val="nil"/>
              <w:left w:val="single" w:sz="4" w:space="0" w:color="000000"/>
              <w:right w:val="single" w:sz="4" w:space="0" w:color="000000"/>
            </w:tcBorders>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sidRPr="001B242C">
              <w:rPr>
                <w:rFonts w:cs="Times New Roman"/>
                <w:color w:val="auto"/>
                <w:sz w:val="18"/>
                <w:szCs w:val="22"/>
              </w:rPr>
              <w:t>NSC</w:t>
            </w:r>
          </w:p>
        </w:tc>
        <w:tc>
          <w:tcPr>
            <w:tcW w:w="1216" w:type="dxa"/>
            <w:vMerge w:val="restart"/>
            <w:tcBorders>
              <w:top w:val="nil"/>
              <w:left w:val="single" w:sz="4" w:space="0" w:color="000000"/>
            </w:tcBorders>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Pr>
                <w:rFonts w:cs="Times New Roman"/>
                <w:color w:val="auto"/>
                <w:sz w:val="18"/>
                <w:szCs w:val="22"/>
              </w:rPr>
              <w:t>STR</w:t>
            </w:r>
          </w:p>
        </w:tc>
      </w:tr>
      <w:tr w:rsidR="003E1D30" w:rsidRPr="00A95EB3" w:rsidTr="00737EDD">
        <w:trPr>
          <w:trHeight w:val="118"/>
          <w:jc w:val="center"/>
        </w:trPr>
        <w:tc>
          <w:tcPr>
            <w:tcW w:w="1936" w:type="dxa"/>
            <w:tcBorders>
              <w:bottom w:val="single" w:sz="4" w:space="0" w:color="000000"/>
              <w:right w:val="single" w:sz="4" w:space="0" w:color="000000"/>
            </w:tcBorders>
            <w:shd w:val="clear" w:color="auto" w:fill="FFFFFF"/>
            <w:vAlign w:val="center"/>
          </w:tcPr>
          <w:p w:rsidR="003E1D30" w:rsidRPr="001B242C" w:rsidRDefault="003E1D30" w:rsidP="00472D4A">
            <w:pPr>
              <w:spacing w:line="180" w:lineRule="exact"/>
              <w:contextualSpacing/>
              <w:rPr>
                <w:rFonts w:cs="Times New Roman"/>
                <w:color w:val="auto"/>
                <w:sz w:val="18"/>
                <w:szCs w:val="22"/>
              </w:rPr>
            </w:pPr>
            <w:r w:rsidRPr="001B242C">
              <w:rPr>
                <w:rFonts w:cs="Times New Roman"/>
                <w:color w:val="auto"/>
                <w:sz w:val="18"/>
                <w:szCs w:val="22"/>
              </w:rPr>
              <w:t>Hypertension</w:t>
            </w:r>
          </w:p>
        </w:tc>
        <w:tc>
          <w:tcPr>
            <w:tcW w:w="1980" w:type="dxa"/>
            <w:gridSpan w:val="2"/>
            <w:tcBorders>
              <w:left w:val="single" w:sz="4" w:space="0" w:color="000000"/>
              <w:bottom w:val="single" w:sz="4" w:space="0" w:color="000000"/>
              <w:right w:val="thinThickThinSmallGap" w:sz="24" w:space="0" w:color="auto"/>
            </w:tcBorders>
            <w:shd w:val="clear" w:color="auto" w:fill="FFFFFF"/>
            <w:vAlign w:val="center"/>
          </w:tcPr>
          <w:p w:rsidR="003E1D30" w:rsidRPr="00AA157B" w:rsidRDefault="003E1D30" w:rsidP="00472D4A">
            <w:pPr>
              <w:spacing w:line="180" w:lineRule="exact"/>
              <w:contextualSpacing/>
              <w:rPr>
                <w:rFonts w:cs="Times New Roman"/>
                <w:color w:val="auto"/>
                <w:sz w:val="18"/>
                <w:szCs w:val="22"/>
              </w:rPr>
            </w:pPr>
            <w:r w:rsidRPr="00AA157B">
              <w:rPr>
                <w:rFonts w:cs="Times New Roman"/>
                <w:color w:val="auto"/>
                <w:sz w:val="18"/>
                <w:szCs w:val="22"/>
              </w:rPr>
              <w:t>Not unfitting</w:t>
            </w:r>
          </w:p>
        </w:tc>
        <w:tc>
          <w:tcPr>
            <w:tcW w:w="2520" w:type="dxa"/>
            <w:vMerge/>
            <w:tcBorders>
              <w:top w:val="nil"/>
              <w:left w:val="thinThickThinSmallGap" w:sz="24" w:space="0" w:color="auto"/>
              <w:right w:val="single" w:sz="4" w:space="0" w:color="000000"/>
            </w:tcBorders>
            <w:shd w:val="clear" w:color="auto" w:fill="FFFFFF"/>
            <w:vAlign w:val="center"/>
          </w:tcPr>
          <w:p w:rsidR="003E1D30" w:rsidRPr="001B242C" w:rsidRDefault="003E1D30" w:rsidP="00A95EB3">
            <w:pPr>
              <w:spacing w:line="180" w:lineRule="exact"/>
              <w:contextualSpacing/>
              <w:rPr>
                <w:rFonts w:cs="Times New Roman"/>
                <w:color w:val="auto"/>
                <w:sz w:val="18"/>
                <w:szCs w:val="22"/>
              </w:rPr>
            </w:pPr>
          </w:p>
        </w:tc>
        <w:tc>
          <w:tcPr>
            <w:tcW w:w="1080" w:type="dxa"/>
            <w:vMerge/>
            <w:tcBorders>
              <w:top w:val="nil"/>
              <w:left w:val="single" w:sz="4" w:space="0" w:color="000000"/>
              <w:right w:val="single" w:sz="4" w:space="0" w:color="000000"/>
            </w:tcBorders>
            <w:shd w:val="clear" w:color="auto" w:fill="FFFFFF"/>
            <w:vAlign w:val="center"/>
          </w:tcPr>
          <w:p w:rsidR="003E1D30" w:rsidRPr="001B242C" w:rsidRDefault="003E1D30" w:rsidP="00A95EB3">
            <w:pPr>
              <w:spacing w:line="180" w:lineRule="exact"/>
              <w:contextualSpacing/>
              <w:rPr>
                <w:rFonts w:cs="Times New Roman"/>
                <w:color w:val="auto"/>
                <w:sz w:val="18"/>
                <w:szCs w:val="22"/>
              </w:rPr>
            </w:pPr>
          </w:p>
        </w:tc>
        <w:tc>
          <w:tcPr>
            <w:tcW w:w="720" w:type="dxa"/>
            <w:vMerge/>
            <w:tcBorders>
              <w:top w:val="nil"/>
              <w:left w:val="single" w:sz="4" w:space="0" w:color="000000"/>
              <w:right w:val="single" w:sz="4" w:space="0" w:color="000000"/>
            </w:tcBorders>
            <w:shd w:val="clear" w:color="auto" w:fill="FFFFFF"/>
            <w:vAlign w:val="center"/>
          </w:tcPr>
          <w:p w:rsidR="003E1D30" w:rsidRPr="001B242C" w:rsidRDefault="003E1D30" w:rsidP="00A95EB3">
            <w:pPr>
              <w:spacing w:line="180" w:lineRule="exact"/>
              <w:contextualSpacing/>
              <w:rPr>
                <w:rFonts w:cs="Times New Roman"/>
                <w:color w:val="auto"/>
                <w:sz w:val="18"/>
                <w:szCs w:val="22"/>
              </w:rPr>
            </w:pPr>
          </w:p>
        </w:tc>
        <w:tc>
          <w:tcPr>
            <w:tcW w:w="1216" w:type="dxa"/>
            <w:vMerge/>
            <w:tcBorders>
              <w:top w:val="nil"/>
              <w:left w:val="single" w:sz="4" w:space="0" w:color="000000"/>
            </w:tcBorders>
            <w:shd w:val="clear" w:color="auto" w:fill="FFFFFF"/>
            <w:vAlign w:val="center"/>
          </w:tcPr>
          <w:p w:rsidR="003E1D30" w:rsidRPr="001B242C" w:rsidRDefault="003E1D30" w:rsidP="00A95EB3">
            <w:pPr>
              <w:spacing w:line="180" w:lineRule="exact"/>
              <w:contextualSpacing/>
              <w:rPr>
                <w:rFonts w:cs="Times New Roman"/>
                <w:color w:val="auto"/>
                <w:sz w:val="18"/>
                <w:szCs w:val="22"/>
              </w:rPr>
            </w:pPr>
          </w:p>
        </w:tc>
      </w:tr>
      <w:tr w:rsidR="003E1D30" w:rsidRPr="00A95EB3" w:rsidTr="007961CC">
        <w:trPr>
          <w:trHeight w:val="118"/>
          <w:jc w:val="center"/>
        </w:trPr>
        <w:tc>
          <w:tcPr>
            <w:tcW w:w="1936" w:type="dxa"/>
            <w:tcBorders>
              <w:bottom w:val="single" w:sz="4" w:space="0" w:color="000000"/>
              <w:right w:val="single" w:sz="4" w:space="0" w:color="000000"/>
            </w:tcBorders>
            <w:shd w:val="clear" w:color="auto" w:fill="FFFFFF"/>
            <w:vAlign w:val="center"/>
          </w:tcPr>
          <w:p w:rsidR="003E1D30" w:rsidRPr="001B242C" w:rsidRDefault="003E1D30" w:rsidP="00472D4A">
            <w:pPr>
              <w:spacing w:line="180" w:lineRule="exact"/>
              <w:contextualSpacing/>
              <w:rPr>
                <w:rFonts w:cs="Times New Roman"/>
                <w:color w:val="auto"/>
                <w:sz w:val="18"/>
                <w:szCs w:val="22"/>
              </w:rPr>
            </w:pPr>
            <w:r w:rsidRPr="001B242C">
              <w:rPr>
                <w:rFonts w:cs="Times New Roman"/>
                <w:color w:val="auto"/>
                <w:sz w:val="18"/>
                <w:szCs w:val="22"/>
              </w:rPr>
              <w:t>Pes Planus</w:t>
            </w:r>
          </w:p>
        </w:tc>
        <w:tc>
          <w:tcPr>
            <w:tcW w:w="1980" w:type="dxa"/>
            <w:gridSpan w:val="2"/>
            <w:tcBorders>
              <w:left w:val="single" w:sz="4" w:space="0" w:color="000000"/>
              <w:bottom w:val="single" w:sz="4" w:space="0" w:color="000000"/>
              <w:right w:val="thinThickThinSmallGap" w:sz="24" w:space="0" w:color="auto"/>
            </w:tcBorders>
            <w:shd w:val="clear" w:color="auto" w:fill="FFFFFF"/>
            <w:vAlign w:val="center"/>
          </w:tcPr>
          <w:p w:rsidR="003E1D30" w:rsidRPr="00AA157B" w:rsidRDefault="003E1D30" w:rsidP="00472D4A">
            <w:pPr>
              <w:spacing w:line="180" w:lineRule="exact"/>
              <w:contextualSpacing/>
              <w:rPr>
                <w:rFonts w:cs="Times New Roman"/>
                <w:color w:val="auto"/>
                <w:sz w:val="18"/>
                <w:szCs w:val="22"/>
              </w:rPr>
            </w:pPr>
            <w:r w:rsidRPr="00AA157B">
              <w:rPr>
                <w:rFonts w:cs="Times New Roman"/>
                <w:color w:val="auto"/>
                <w:sz w:val="18"/>
                <w:szCs w:val="22"/>
              </w:rPr>
              <w:t>Not unfitting</w:t>
            </w:r>
          </w:p>
        </w:tc>
        <w:tc>
          <w:tcPr>
            <w:tcW w:w="2520" w:type="dxa"/>
            <w:tcBorders>
              <w:left w:val="thinThickThinSmallGap" w:sz="24" w:space="0" w:color="auto"/>
            </w:tcBorders>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sidRPr="001B242C">
              <w:rPr>
                <w:rFonts w:cs="Times New Roman"/>
                <w:color w:val="auto"/>
                <w:sz w:val="18"/>
                <w:szCs w:val="22"/>
              </w:rPr>
              <w:t>Pes Planus</w:t>
            </w:r>
          </w:p>
        </w:tc>
        <w:tc>
          <w:tcPr>
            <w:tcW w:w="1080" w:type="dxa"/>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sidRPr="001B242C">
              <w:rPr>
                <w:rFonts w:cs="Times New Roman"/>
                <w:color w:val="auto"/>
                <w:sz w:val="18"/>
                <w:szCs w:val="22"/>
              </w:rPr>
              <w:t>5276</w:t>
            </w:r>
          </w:p>
        </w:tc>
        <w:tc>
          <w:tcPr>
            <w:tcW w:w="720" w:type="dxa"/>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sidRPr="001B242C">
              <w:rPr>
                <w:rFonts w:cs="Times New Roman"/>
                <w:color w:val="auto"/>
                <w:sz w:val="18"/>
                <w:szCs w:val="22"/>
              </w:rPr>
              <w:t>NSC</w:t>
            </w:r>
          </w:p>
        </w:tc>
        <w:tc>
          <w:tcPr>
            <w:tcW w:w="1216" w:type="dxa"/>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Pr>
                <w:rFonts w:cs="Times New Roman"/>
                <w:color w:val="auto"/>
                <w:sz w:val="18"/>
                <w:szCs w:val="22"/>
              </w:rPr>
              <w:t>STR</w:t>
            </w:r>
          </w:p>
        </w:tc>
      </w:tr>
      <w:tr w:rsidR="003E1D30" w:rsidRPr="00A95EB3" w:rsidTr="005F5794">
        <w:trPr>
          <w:trHeight w:val="118"/>
          <w:jc w:val="center"/>
        </w:trPr>
        <w:tc>
          <w:tcPr>
            <w:tcW w:w="1936" w:type="dxa"/>
            <w:tcBorders>
              <w:bottom w:val="single" w:sz="4" w:space="0" w:color="000000"/>
              <w:right w:val="single" w:sz="4" w:space="0" w:color="000000"/>
            </w:tcBorders>
            <w:shd w:val="clear" w:color="auto" w:fill="FFFFFF"/>
            <w:vAlign w:val="center"/>
          </w:tcPr>
          <w:p w:rsidR="003E1D30" w:rsidRPr="001B242C" w:rsidRDefault="003E1D30" w:rsidP="00472D4A">
            <w:pPr>
              <w:spacing w:line="180" w:lineRule="exact"/>
              <w:contextualSpacing/>
              <w:rPr>
                <w:rFonts w:cs="Times New Roman"/>
                <w:color w:val="auto"/>
                <w:sz w:val="18"/>
                <w:szCs w:val="22"/>
              </w:rPr>
            </w:pPr>
            <w:r w:rsidRPr="001B242C">
              <w:rPr>
                <w:rFonts w:cs="Times New Roman"/>
                <w:color w:val="auto"/>
                <w:sz w:val="18"/>
                <w:szCs w:val="22"/>
              </w:rPr>
              <w:t>Myopia</w:t>
            </w:r>
          </w:p>
        </w:tc>
        <w:tc>
          <w:tcPr>
            <w:tcW w:w="1980" w:type="dxa"/>
            <w:gridSpan w:val="2"/>
            <w:tcBorders>
              <w:left w:val="single" w:sz="4" w:space="0" w:color="000000"/>
              <w:bottom w:val="single" w:sz="4" w:space="0" w:color="000000"/>
              <w:right w:val="thinThickThinSmallGap" w:sz="24" w:space="0" w:color="auto"/>
            </w:tcBorders>
            <w:shd w:val="clear" w:color="auto" w:fill="FFFFFF"/>
            <w:vAlign w:val="center"/>
          </w:tcPr>
          <w:p w:rsidR="003E1D30" w:rsidRPr="00AA157B" w:rsidRDefault="003E1D30" w:rsidP="00472D4A">
            <w:pPr>
              <w:spacing w:line="180" w:lineRule="exact"/>
              <w:contextualSpacing/>
              <w:rPr>
                <w:rFonts w:cs="Times New Roman"/>
                <w:color w:val="auto"/>
                <w:sz w:val="18"/>
                <w:szCs w:val="22"/>
              </w:rPr>
            </w:pPr>
            <w:r w:rsidRPr="00AA157B">
              <w:rPr>
                <w:rFonts w:cs="Times New Roman"/>
                <w:color w:val="auto"/>
                <w:sz w:val="18"/>
                <w:szCs w:val="22"/>
              </w:rPr>
              <w:t>Not unfitting</w:t>
            </w:r>
          </w:p>
        </w:tc>
        <w:tc>
          <w:tcPr>
            <w:tcW w:w="2520" w:type="dxa"/>
            <w:tcBorders>
              <w:left w:val="thinThickThinSmallGap" w:sz="24" w:space="0" w:color="auto"/>
            </w:tcBorders>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sidRPr="001B242C">
              <w:rPr>
                <w:rFonts w:cs="Times New Roman"/>
                <w:color w:val="auto"/>
                <w:sz w:val="18"/>
                <w:szCs w:val="22"/>
              </w:rPr>
              <w:t>Myopia</w:t>
            </w:r>
          </w:p>
        </w:tc>
        <w:tc>
          <w:tcPr>
            <w:tcW w:w="1080" w:type="dxa"/>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sidRPr="001B242C">
              <w:rPr>
                <w:rFonts w:cs="Times New Roman"/>
                <w:color w:val="auto"/>
                <w:sz w:val="18"/>
                <w:szCs w:val="22"/>
              </w:rPr>
              <w:t>6099-6006</w:t>
            </w:r>
          </w:p>
        </w:tc>
        <w:tc>
          <w:tcPr>
            <w:tcW w:w="720" w:type="dxa"/>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sidRPr="001B242C">
              <w:rPr>
                <w:rFonts w:cs="Times New Roman"/>
                <w:color w:val="auto"/>
                <w:sz w:val="18"/>
                <w:szCs w:val="22"/>
              </w:rPr>
              <w:t>NSC</w:t>
            </w:r>
          </w:p>
        </w:tc>
        <w:tc>
          <w:tcPr>
            <w:tcW w:w="1216" w:type="dxa"/>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Pr>
                <w:rFonts w:cs="Times New Roman"/>
                <w:color w:val="auto"/>
                <w:sz w:val="18"/>
                <w:szCs w:val="22"/>
              </w:rPr>
              <w:t>STR</w:t>
            </w:r>
          </w:p>
        </w:tc>
      </w:tr>
      <w:tr w:rsidR="003E1D30" w:rsidRPr="00A95EB3" w:rsidTr="000D1E3A">
        <w:trPr>
          <w:trHeight w:val="118"/>
          <w:jc w:val="center"/>
        </w:trPr>
        <w:tc>
          <w:tcPr>
            <w:tcW w:w="1936" w:type="dxa"/>
            <w:tcBorders>
              <w:bottom w:val="single" w:sz="4" w:space="0" w:color="000000"/>
              <w:right w:val="single" w:sz="4" w:space="0" w:color="000000"/>
            </w:tcBorders>
            <w:shd w:val="clear" w:color="auto" w:fill="FFFFFF"/>
            <w:vAlign w:val="center"/>
          </w:tcPr>
          <w:p w:rsidR="003E1D30" w:rsidRPr="001B242C" w:rsidRDefault="003E1D30" w:rsidP="00472D4A">
            <w:pPr>
              <w:spacing w:line="180" w:lineRule="exact"/>
              <w:contextualSpacing/>
              <w:rPr>
                <w:rFonts w:cs="Times New Roman"/>
                <w:color w:val="auto"/>
                <w:sz w:val="18"/>
                <w:szCs w:val="22"/>
              </w:rPr>
            </w:pPr>
            <w:r w:rsidRPr="001B242C">
              <w:rPr>
                <w:rFonts w:cs="Times New Roman"/>
                <w:color w:val="auto"/>
                <w:sz w:val="18"/>
                <w:szCs w:val="22"/>
              </w:rPr>
              <w:t>Cluster-like Headaches</w:t>
            </w:r>
          </w:p>
        </w:tc>
        <w:tc>
          <w:tcPr>
            <w:tcW w:w="1980" w:type="dxa"/>
            <w:gridSpan w:val="2"/>
            <w:tcBorders>
              <w:left w:val="single" w:sz="4" w:space="0" w:color="000000"/>
              <w:bottom w:val="single" w:sz="4" w:space="0" w:color="000000"/>
              <w:right w:val="thinThickThinSmallGap" w:sz="24" w:space="0" w:color="auto"/>
            </w:tcBorders>
            <w:shd w:val="clear" w:color="auto" w:fill="FFFFFF"/>
            <w:vAlign w:val="center"/>
          </w:tcPr>
          <w:p w:rsidR="003E1D30" w:rsidRPr="00AA157B" w:rsidRDefault="003E1D30" w:rsidP="00472D4A">
            <w:pPr>
              <w:spacing w:line="180" w:lineRule="exact"/>
              <w:contextualSpacing/>
              <w:rPr>
                <w:rFonts w:cs="Times New Roman"/>
                <w:color w:val="auto"/>
                <w:sz w:val="18"/>
                <w:szCs w:val="22"/>
              </w:rPr>
            </w:pPr>
            <w:r w:rsidRPr="00AA157B">
              <w:rPr>
                <w:rFonts w:cs="Times New Roman"/>
                <w:color w:val="auto"/>
                <w:sz w:val="18"/>
                <w:szCs w:val="22"/>
              </w:rPr>
              <w:t>Not unfitting</w:t>
            </w:r>
          </w:p>
        </w:tc>
        <w:tc>
          <w:tcPr>
            <w:tcW w:w="2520" w:type="dxa"/>
            <w:tcBorders>
              <w:left w:val="thinThickThinSmallGap" w:sz="24" w:space="0" w:color="auto"/>
            </w:tcBorders>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sidRPr="001B242C">
              <w:rPr>
                <w:rFonts w:cs="Times New Roman"/>
                <w:color w:val="auto"/>
                <w:sz w:val="18"/>
                <w:szCs w:val="22"/>
              </w:rPr>
              <w:t>Cluster Like Headaches</w:t>
            </w:r>
          </w:p>
        </w:tc>
        <w:tc>
          <w:tcPr>
            <w:tcW w:w="1080" w:type="dxa"/>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sidRPr="001B242C">
              <w:rPr>
                <w:rFonts w:cs="Times New Roman"/>
                <w:color w:val="auto"/>
                <w:sz w:val="18"/>
                <w:szCs w:val="22"/>
              </w:rPr>
              <w:t>8199-8100</w:t>
            </w:r>
          </w:p>
        </w:tc>
        <w:tc>
          <w:tcPr>
            <w:tcW w:w="720" w:type="dxa"/>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sidRPr="001B242C">
              <w:rPr>
                <w:rFonts w:cs="Times New Roman"/>
                <w:color w:val="auto"/>
                <w:sz w:val="18"/>
                <w:szCs w:val="22"/>
              </w:rPr>
              <w:t>NSC</w:t>
            </w:r>
          </w:p>
        </w:tc>
        <w:tc>
          <w:tcPr>
            <w:tcW w:w="1216" w:type="dxa"/>
            <w:shd w:val="clear" w:color="auto" w:fill="FFFFFF"/>
            <w:vAlign w:val="center"/>
          </w:tcPr>
          <w:p w:rsidR="003E1D30" w:rsidRPr="001B242C" w:rsidRDefault="003E1D30" w:rsidP="00A95EB3">
            <w:pPr>
              <w:spacing w:line="180" w:lineRule="exact"/>
              <w:contextualSpacing/>
              <w:rPr>
                <w:rFonts w:cs="Times New Roman"/>
                <w:color w:val="auto"/>
                <w:sz w:val="18"/>
                <w:szCs w:val="22"/>
              </w:rPr>
            </w:pPr>
            <w:r>
              <w:rPr>
                <w:rFonts w:cs="Times New Roman"/>
                <w:color w:val="auto"/>
                <w:sz w:val="18"/>
                <w:szCs w:val="22"/>
              </w:rPr>
              <w:t>STR</w:t>
            </w:r>
          </w:p>
        </w:tc>
      </w:tr>
      <w:tr w:rsidR="005640A0" w:rsidRPr="00A95EB3" w:rsidTr="00461D13">
        <w:trPr>
          <w:trHeight w:val="118"/>
          <w:jc w:val="center"/>
        </w:trPr>
        <w:tc>
          <w:tcPr>
            <w:tcW w:w="3916" w:type="dxa"/>
            <w:gridSpan w:val="3"/>
            <w:tcBorders>
              <w:bottom w:val="single" w:sz="4" w:space="0" w:color="000000"/>
              <w:right w:val="thinThickThinSmallGap" w:sz="24" w:space="0" w:color="auto"/>
            </w:tcBorders>
            <w:shd w:val="clear" w:color="auto" w:fill="FFFFFF"/>
            <w:vAlign w:val="center"/>
          </w:tcPr>
          <w:p w:rsidR="005640A0" w:rsidRPr="005640A0" w:rsidRDefault="005640A0" w:rsidP="00472D4A">
            <w:pPr>
              <w:spacing w:line="180" w:lineRule="exact"/>
              <w:contextualSpacing/>
              <w:rPr>
                <w:rFonts w:cs="Times New Roman"/>
                <w:color w:val="auto"/>
                <w:sz w:val="18"/>
                <w:szCs w:val="22"/>
                <w:highlight w:val="green"/>
              </w:rPr>
            </w:pPr>
            <w:r>
              <w:rPr>
                <w:color w:val="auto"/>
                <w:sz w:val="18"/>
                <w:szCs w:val="18"/>
              </w:rPr>
              <w:t>↓No Additional MEB/PEB Entries↓</w:t>
            </w:r>
          </w:p>
        </w:tc>
        <w:tc>
          <w:tcPr>
            <w:tcW w:w="5536" w:type="dxa"/>
            <w:gridSpan w:val="4"/>
            <w:tcBorders>
              <w:left w:val="thinThickThinSmallGap" w:sz="24" w:space="0" w:color="auto"/>
            </w:tcBorders>
            <w:shd w:val="clear" w:color="auto" w:fill="FFFFFF"/>
            <w:vAlign w:val="center"/>
          </w:tcPr>
          <w:p w:rsidR="005640A0" w:rsidRDefault="005640A0" w:rsidP="00A95EB3">
            <w:pPr>
              <w:spacing w:line="180" w:lineRule="exact"/>
              <w:contextualSpacing/>
              <w:rPr>
                <w:rFonts w:cs="Times New Roman"/>
                <w:color w:val="auto"/>
                <w:sz w:val="18"/>
                <w:szCs w:val="22"/>
              </w:rPr>
            </w:pPr>
            <w:r>
              <w:rPr>
                <w:color w:val="auto"/>
                <w:sz w:val="18"/>
              </w:rPr>
              <w:t>Not Service-Connected x 2 additional</w:t>
            </w:r>
          </w:p>
        </w:tc>
      </w:tr>
      <w:tr w:rsidR="001D6C03" w:rsidRPr="00A95EB3" w:rsidTr="00425883">
        <w:trPr>
          <w:trHeight w:val="124"/>
          <w:jc w:val="center"/>
        </w:trPr>
        <w:tc>
          <w:tcPr>
            <w:tcW w:w="3916" w:type="dxa"/>
            <w:gridSpan w:val="3"/>
            <w:tcBorders>
              <w:right w:val="thinThickThinSmallGap" w:sz="24" w:space="0" w:color="auto"/>
            </w:tcBorders>
            <w:shd w:val="clear" w:color="auto" w:fill="D9D9D9"/>
          </w:tcPr>
          <w:p w:rsidR="001D6C03" w:rsidRPr="00A95EB3" w:rsidRDefault="001D6C03" w:rsidP="00472D4A">
            <w:pPr>
              <w:spacing w:line="180" w:lineRule="exact"/>
              <w:contextualSpacing/>
              <w:rPr>
                <w:b/>
                <w:color w:val="auto"/>
                <w:sz w:val="18"/>
                <w:szCs w:val="22"/>
              </w:rPr>
            </w:pPr>
            <w:r w:rsidRPr="00A95EB3">
              <w:rPr>
                <w:rFonts w:cs="Times New Roman"/>
                <w:b/>
                <w:color w:val="auto"/>
                <w:sz w:val="18"/>
                <w:szCs w:val="22"/>
              </w:rPr>
              <w:t>Combined:  10%</w:t>
            </w:r>
          </w:p>
        </w:tc>
        <w:tc>
          <w:tcPr>
            <w:tcW w:w="5536" w:type="dxa"/>
            <w:gridSpan w:val="4"/>
            <w:tcBorders>
              <w:left w:val="thinThickThinSmallGap" w:sz="24" w:space="0" w:color="auto"/>
            </w:tcBorders>
            <w:shd w:val="clear" w:color="auto" w:fill="D9D9D9"/>
          </w:tcPr>
          <w:p w:rsidR="001D6C03" w:rsidRPr="00A95EB3" w:rsidRDefault="001D6C03" w:rsidP="005640A0">
            <w:pPr>
              <w:spacing w:line="180" w:lineRule="exact"/>
              <w:contextualSpacing/>
              <w:rPr>
                <w:rFonts w:cs="Times New Roman"/>
                <w:b/>
                <w:color w:val="auto"/>
                <w:sz w:val="18"/>
                <w:szCs w:val="22"/>
              </w:rPr>
            </w:pPr>
            <w:r w:rsidRPr="00A95EB3">
              <w:rPr>
                <w:rFonts w:cs="Times New Roman"/>
                <w:b/>
                <w:color w:val="auto"/>
                <w:sz w:val="18"/>
                <w:szCs w:val="22"/>
              </w:rPr>
              <w:t>Combined</w:t>
            </w:r>
            <w:r w:rsidRPr="00AA157B">
              <w:rPr>
                <w:rFonts w:cs="Times New Roman"/>
                <w:b/>
                <w:color w:val="auto"/>
                <w:sz w:val="18"/>
                <w:szCs w:val="22"/>
              </w:rPr>
              <w:t xml:space="preserve">:  </w:t>
            </w:r>
            <w:r w:rsidR="005640A0" w:rsidRPr="00AA157B">
              <w:rPr>
                <w:rFonts w:cs="Times New Roman"/>
                <w:b/>
                <w:color w:val="auto"/>
                <w:sz w:val="18"/>
                <w:szCs w:val="22"/>
              </w:rPr>
              <w:t>2</w:t>
            </w:r>
            <w:r w:rsidRPr="00AA157B">
              <w:rPr>
                <w:rFonts w:cs="Times New Roman"/>
                <w:b/>
                <w:color w:val="auto"/>
                <w:sz w:val="18"/>
                <w:szCs w:val="22"/>
              </w:rPr>
              <w:t>0%</w:t>
            </w:r>
            <w:r w:rsidR="001B242C" w:rsidRPr="00AA157B">
              <w:rPr>
                <w:rFonts w:cs="Times New Roman"/>
                <w:b/>
                <w:color w:val="auto"/>
                <w:sz w:val="18"/>
                <w:szCs w:val="22"/>
              </w:rPr>
              <w:t>*</w:t>
            </w:r>
          </w:p>
        </w:tc>
      </w:tr>
    </w:tbl>
    <w:p w:rsidR="005640A0" w:rsidRPr="00AA157B" w:rsidRDefault="005640A0" w:rsidP="00AA157B">
      <w:pPr>
        <w:tabs>
          <w:tab w:val="left" w:pos="288"/>
          <w:tab w:val="left" w:pos="4752"/>
        </w:tabs>
        <w:spacing w:line="180" w:lineRule="exact"/>
        <w:jc w:val="both"/>
        <w:rPr>
          <w:color w:val="auto"/>
          <w:sz w:val="18"/>
          <w:szCs w:val="18"/>
        </w:rPr>
      </w:pPr>
      <w:r w:rsidRPr="00AA157B">
        <w:rPr>
          <w:color w:val="auto"/>
          <w:sz w:val="18"/>
          <w:szCs w:val="18"/>
        </w:rPr>
        <w:t>*VARD code 5236 Increased to 40% effective 20050114; VARD added Diabetes code 7913 Rated 20% effective 20050831; initial VA combined rating 20%, increased to 40% effective 20050114 then to 50% effective 20050831.</w:t>
      </w:r>
    </w:p>
    <w:p w:rsidR="005640A0" w:rsidRPr="00F64312" w:rsidRDefault="005640A0" w:rsidP="00974EFD">
      <w:pPr>
        <w:pBdr>
          <w:bottom w:val="single" w:sz="12" w:space="1" w:color="auto"/>
        </w:pBdr>
        <w:tabs>
          <w:tab w:val="left" w:pos="288"/>
          <w:tab w:val="left" w:pos="4752"/>
        </w:tabs>
        <w:spacing w:line="180" w:lineRule="exact"/>
        <w:jc w:val="both"/>
        <w:rPr>
          <w:color w:val="auto"/>
        </w:rPr>
      </w:pPr>
    </w:p>
    <w:p w:rsidR="00AD2379" w:rsidRPr="00F64312" w:rsidRDefault="00AD2379" w:rsidP="00165C7B">
      <w:pPr>
        <w:jc w:val="both"/>
        <w:rPr>
          <w:color w:val="auto"/>
        </w:rPr>
      </w:pPr>
    </w:p>
    <w:p w:rsidR="002273D1" w:rsidRDefault="00AD2379" w:rsidP="002273D1">
      <w:pPr>
        <w:jc w:val="both"/>
        <w:rPr>
          <w:color w:val="auto"/>
          <w:szCs w:val="24"/>
        </w:rPr>
      </w:pPr>
      <w:r w:rsidRPr="00F64312">
        <w:rPr>
          <w:color w:val="auto"/>
          <w:u w:val="single"/>
        </w:rPr>
        <w:t>ANALYSIS SUMMARY</w:t>
      </w:r>
      <w:r w:rsidRPr="00F64312">
        <w:rPr>
          <w:color w:val="auto"/>
        </w:rPr>
        <w:t>:</w:t>
      </w:r>
      <w:r w:rsidR="002273D1">
        <w:rPr>
          <w:color w:val="auto"/>
        </w:rPr>
        <w:t xml:space="preserve">  </w:t>
      </w:r>
      <w:r w:rsidR="002273D1" w:rsidRPr="002273D1">
        <w:rPr>
          <w:color w:val="auto"/>
        </w:rPr>
        <w:t>T</w:t>
      </w:r>
      <w:r w:rsidR="002273D1" w:rsidRPr="002273D1">
        <w:rPr>
          <w:color w:val="auto"/>
          <w:szCs w:val="24"/>
        </w:rPr>
        <w:t xml:space="preserve">he Board acknowledges the CI's contention suggesting that ratings should have been conferred for other conditions documented at the time of separation, some of which were evaluated and determined not to be individually unfitting for continued </w:t>
      </w:r>
      <w:r w:rsidR="002273D1" w:rsidRPr="00AA157B">
        <w:rPr>
          <w:color w:val="auto"/>
          <w:szCs w:val="24"/>
        </w:rPr>
        <w:t>service.</w:t>
      </w:r>
      <w:r w:rsidR="00AA157B" w:rsidRPr="00AA157B">
        <w:rPr>
          <w:color w:val="auto"/>
          <w:szCs w:val="24"/>
        </w:rPr>
        <w:t xml:space="preserve">  With regard to the CI’s assertion that he was told he would be medically retired, the Board must note for the record that it has neither the jurisdiction nor authority to scrutinize or render opinions in reference to suspected improprieties in the disposition of a case.</w:t>
      </w:r>
      <w:r w:rsidR="002273D1" w:rsidRPr="00AA157B">
        <w:rPr>
          <w:color w:val="auto"/>
          <w:szCs w:val="24"/>
        </w:rPr>
        <w:t xml:space="preserve"> </w:t>
      </w:r>
      <w:r w:rsidR="00AA157B">
        <w:rPr>
          <w:color w:val="auto"/>
          <w:szCs w:val="24"/>
        </w:rPr>
        <w:t xml:space="preserve"> </w:t>
      </w:r>
      <w:r w:rsidR="002273D1" w:rsidRPr="00AA157B">
        <w:rPr>
          <w:color w:val="auto"/>
          <w:szCs w:val="24"/>
        </w:rPr>
        <w:t>The Board wishes to clarify that it i</w:t>
      </w:r>
      <w:r w:rsidR="00082BD4">
        <w:rPr>
          <w:color w:val="auto"/>
          <w:szCs w:val="24"/>
        </w:rPr>
        <w:t>s subject to the same laws for s</w:t>
      </w:r>
      <w:r w:rsidR="002273D1" w:rsidRPr="00AA157B">
        <w:rPr>
          <w:color w:val="auto"/>
          <w:szCs w:val="24"/>
        </w:rPr>
        <w:t>ervice disability</w:t>
      </w:r>
      <w:r w:rsidR="002273D1" w:rsidRPr="002273D1">
        <w:rPr>
          <w:color w:val="auto"/>
          <w:szCs w:val="24"/>
        </w:rPr>
        <w:t xml:space="preserve"> entitlements as those under which the Disability Ev</w:t>
      </w:r>
      <w:r w:rsidR="00082BD4">
        <w:rPr>
          <w:color w:val="auto"/>
          <w:szCs w:val="24"/>
        </w:rPr>
        <w:t>aluation System (</w:t>
      </w:r>
      <w:r w:rsidR="002273D1">
        <w:rPr>
          <w:color w:val="auto"/>
          <w:szCs w:val="24"/>
        </w:rPr>
        <w:t xml:space="preserve">DES) operates. </w:t>
      </w:r>
      <w:r w:rsidR="00082BD4">
        <w:rPr>
          <w:color w:val="auto"/>
          <w:szCs w:val="24"/>
        </w:rPr>
        <w:t xml:space="preserve">DES </w:t>
      </w:r>
      <w:r w:rsidR="002273D1" w:rsidRPr="002273D1">
        <w:rPr>
          <w:color w:val="auto"/>
          <w:szCs w:val="24"/>
        </w:rPr>
        <w:t>is responsible for maintaining a fit and vi</w:t>
      </w:r>
      <w:r w:rsidR="00082BD4">
        <w:rPr>
          <w:color w:val="auto"/>
          <w:szCs w:val="24"/>
        </w:rPr>
        <w:t xml:space="preserve">tal fighting force.  While the </w:t>
      </w:r>
      <w:r w:rsidR="002273D1" w:rsidRPr="002273D1">
        <w:rPr>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082BD4">
        <w:rPr>
          <w:color w:val="auto"/>
          <w:szCs w:val="24"/>
        </w:rPr>
        <w:t>s’</w:t>
      </w:r>
      <w:r w:rsidR="002273D1" w:rsidRPr="002273D1">
        <w:rPr>
          <w:color w:val="auto"/>
          <w:szCs w:val="24"/>
        </w:rPr>
        <w:t xml:space="preserve"> Affairs (DVA), operating under a different set of laws (Title 38, United States Code), is empowered to compensate all service</w:t>
      </w:r>
      <w:r w:rsidR="00082BD4">
        <w:rPr>
          <w:color w:val="auto"/>
          <w:szCs w:val="24"/>
        </w:rPr>
        <w:t>-</w:t>
      </w:r>
      <w:r w:rsidR="002273D1" w:rsidRPr="002273D1">
        <w:rPr>
          <w:color w:val="auto"/>
          <w:szCs w:val="24"/>
        </w:rPr>
        <w:t>connected conditions and to periodically re-evaluate said conditions for the purpose of adjusting the</w:t>
      </w:r>
      <w:r w:rsidR="002273D1">
        <w:rPr>
          <w:color w:val="auto"/>
          <w:szCs w:val="24"/>
        </w:rPr>
        <w:t xml:space="preserve"> </w:t>
      </w:r>
      <w:r w:rsidR="002273D1" w:rsidRPr="002273D1">
        <w:rPr>
          <w:color w:val="auto"/>
          <w:szCs w:val="24"/>
        </w:rPr>
        <w:t>vetera</w:t>
      </w:r>
      <w:r w:rsidR="00082BD4">
        <w:rPr>
          <w:color w:val="auto"/>
          <w:szCs w:val="24"/>
        </w:rPr>
        <w:t>n’s disability rating should the</w:t>
      </w:r>
      <w:r w:rsidR="002273D1" w:rsidRPr="002273D1">
        <w:rPr>
          <w:color w:val="auto"/>
          <w:szCs w:val="24"/>
        </w:rPr>
        <w:t xml:space="preserve"> degree of impairment vary over time.  The Board is empowered to evaluate the fairness of </w:t>
      </w:r>
      <w:r w:rsidR="00082BD4">
        <w:rPr>
          <w:color w:val="auto"/>
          <w:szCs w:val="24"/>
        </w:rPr>
        <w:t xml:space="preserve">service </w:t>
      </w:r>
      <w:r w:rsidR="002273D1" w:rsidRPr="002273D1">
        <w:rPr>
          <w:color w:val="auto"/>
          <w:szCs w:val="24"/>
        </w:rPr>
        <w:t>fitness determinations, and to make recommendations for rating of conditions</w:t>
      </w:r>
      <w:r w:rsidR="00087A94">
        <w:rPr>
          <w:color w:val="auto"/>
          <w:szCs w:val="24"/>
        </w:rPr>
        <w:t xml:space="preserve"> which it concludes would have </w:t>
      </w:r>
      <w:r w:rsidR="002273D1" w:rsidRPr="002273D1">
        <w:rPr>
          <w:color w:val="auto"/>
          <w:szCs w:val="24"/>
        </w:rPr>
        <w:t>independently prevented the performance of required duties (at the time of separation).  The Bo</w:t>
      </w:r>
      <w:r w:rsidR="00082BD4">
        <w:rPr>
          <w:color w:val="auto"/>
          <w:szCs w:val="24"/>
        </w:rPr>
        <w:t xml:space="preserve">ard’s threshold for countering </w:t>
      </w:r>
      <w:r w:rsidR="002273D1" w:rsidRPr="002273D1">
        <w:rPr>
          <w:color w:val="auto"/>
          <w:szCs w:val="24"/>
        </w:rPr>
        <w:t xml:space="preserve">DES fitness determinations is higher than the </w:t>
      </w:r>
      <w:r w:rsidR="00082BD4">
        <w:rPr>
          <w:color w:val="auto"/>
          <w:szCs w:val="24"/>
        </w:rPr>
        <w:t>Veteran</w:t>
      </w:r>
      <w:r w:rsidR="00FF7B1D">
        <w:rPr>
          <w:color w:val="auto"/>
          <w:szCs w:val="24"/>
        </w:rPr>
        <w:t>’</w:t>
      </w:r>
      <w:r w:rsidR="00082BD4">
        <w:rPr>
          <w:color w:val="auto"/>
          <w:szCs w:val="24"/>
        </w:rPr>
        <w:t>s Admiration Schedule for Rating Disabilities (</w:t>
      </w:r>
      <w:r w:rsidR="002273D1" w:rsidRPr="002273D1">
        <w:rPr>
          <w:color w:val="auto"/>
          <w:szCs w:val="24"/>
        </w:rPr>
        <w:t>VASRD</w:t>
      </w:r>
      <w:r w:rsidR="00082BD4">
        <w:rPr>
          <w:color w:val="auto"/>
          <w:szCs w:val="24"/>
        </w:rPr>
        <w:t>)</w:t>
      </w:r>
      <w:r w:rsidR="002273D1" w:rsidRPr="002273D1">
        <w:rPr>
          <w:color w:val="auto"/>
          <w:szCs w:val="24"/>
        </w:rPr>
        <w:t xml:space="preserve"> §4.3 (reasonable doubt) standard used for its rating recommendations, but remains adherent to the DoDI 6040.44 “fair and equitable” standard.</w:t>
      </w:r>
      <w:r w:rsidR="00087A94">
        <w:rPr>
          <w:color w:val="auto"/>
          <w:szCs w:val="24"/>
        </w:rPr>
        <w:t xml:space="preserve">  </w:t>
      </w:r>
    </w:p>
    <w:p w:rsidR="00AD2379" w:rsidRPr="00F64312" w:rsidRDefault="00AD2379" w:rsidP="00B22D42">
      <w:pPr>
        <w:jc w:val="both"/>
        <w:rPr>
          <w:color w:val="auto"/>
          <w:highlight w:val="yellow"/>
        </w:rPr>
      </w:pPr>
    </w:p>
    <w:p w:rsidR="005B4F82" w:rsidRDefault="00753019" w:rsidP="005B4F82">
      <w:pPr>
        <w:jc w:val="both"/>
        <w:rPr>
          <w:color w:val="auto"/>
          <w:szCs w:val="24"/>
        </w:rPr>
      </w:pPr>
      <w:r w:rsidRPr="00B40B2A">
        <w:rPr>
          <w:color w:val="auto"/>
          <w:u w:val="single"/>
        </w:rPr>
        <w:t xml:space="preserve">Chronic </w:t>
      </w:r>
      <w:r w:rsidR="00B40B2A" w:rsidRPr="00B40B2A">
        <w:rPr>
          <w:bCs/>
          <w:color w:val="auto"/>
          <w:u w:val="single"/>
        </w:rPr>
        <w:t xml:space="preserve">Back </w:t>
      </w:r>
      <w:r w:rsidR="00B40B2A" w:rsidRPr="00B40B2A">
        <w:rPr>
          <w:color w:val="auto"/>
          <w:u w:val="single"/>
        </w:rPr>
        <w:t xml:space="preserve">Pain </w:t>
      </w:r>
      <w:r w:rsidR="00B40B2A">
        <w:rPr>
          <w:color w:val="auto"/>
          <w:u w:val="single"/>
        </w:rPr>
        <w:t>w</w:t>
      </w:r>
      <w:r w:rsidR="00B40B2A">
        <w:rPr>
          <w:bCs/>
          <w:color w:val="auto"/>
          <w:u w:val="single"/>
        </w:rPr>
        <w:t xml:space="preserve">ith </w:t>
      </w:r>
      <w:r w:rsidR="00B40B2A" w:rsidRPr="00656EC1">
        <w:rPr>
          <w:bCs/>
          <w:color w:val="auto"/>
          <w:u w:val="single"/>
        </w:rPr>
        <w:t>Sacroiliitis</w:t>
      </w:r>
      <w:r w:rsidR="00656EC1" w:rsidRPr="00087A94">
        <w:rPr>
          <w:bCs/>
          <w:color w:val="auto"/>
        </w:rPr>
        <w:t>:</w:t>
      </w:r>
      <w:r w:rsidR="005B4F82">
        <w:rPr>
          <w:bCs/>
          <w:color w:val="auto"/>
        </w:rPr>
        <w:t xml:space="preserve"> </w:t>
      </w:r>
      <w:r w:rsidR="00820D5D">
        <w:rPr>
          <w:bCs/>
          <w:color w:val="auto"/>
        </w:rPr>
        <w:t xml:space="preserve"> </w:t>
      </w:r>
      <w:r w:rsidR="00820D5D" w:rsidRPr="00656EC1">
        <w:rPr>
          <w:color w:val="auto"/>
        </w:rPr>
        <w:t xml:space="preserve">The narrative summary (NARSUM) </w:t>
      </w:r>
      <w:r w:rsidR="00082BD4">
        <w:rPr>
          <w:color w:val="auto"/>
        </w:rPr>
        <w:t xml:space="preserve">prepared </w:t>
      </w:r>
      <w:r w:rsidR="00FF7B1D">
        <w:rPr>
          <w:color w:val="auto"/>
        </w:rPr>
        <w:t>3</w:t>
      </w:r>
      <w:r w:rsidR="00820D5D">
        <w:rPr>
          <w:color w:val="auto"/>
        </w:rPr>
        <w:t xml:space="preserve"> months prior to separation, </w:t>
      </w:r>
      <w:r w:rsidR="00820D5D" w:rsidRPr="00656EC1">
        <w:rPr>
          <w:color w:val="auto"/>
        </w:rPr>
        <w:t>notes</w:t>
      </w:r>
      <w:r w:rsidR="00820D5D">
        <w:rPr>
          <w:color w:val="auto"/>
        </w:rPr>
        <w:t xml:space="preserve"> </w:t>
      </w:r>
      <w:r w:rsidR="00FF7B1D">
        <w:rPr>
          <w:color w:val="auto"/>
        </w:rPr>
        <w:t>4</w:t>
      </w:r>
      <w:r w:rsidR="00820D5D">
        <w:rPr>
          <w:color w:val="auto"/>
        </w:rPr>
        <w:t xml:space="preserve"> years of low back pain at the sacroiliac area after an injury while in the Navy.  CI’s current pain had insidiously worsened after increased lifting.  Pain was 6/10 without radiation and rendered him unable to carry 100 pounds or occasionally lift 140 pounds as required by his MOS.  </w:t>
      </w:r>
      <w:r w:rsidR="005B4F82" w:rsidRPr="00F64312">
        <w:rPr>
          <w:color w:val="auto"/>
          <w:szCs w:val="24"/>
        </w:rPr>
        <w:t xml:space="preserve">There were </w:t>
      </w:r>
      <w:r w:rsidR="005B4F82">
        <w:rPr>
          <w:color w:val="auto"/>
          <w:szCs w:val="24"/>
        </w:rPr>
        <w:t>two goniometric range</w:t>
      </w:r>
      <w:r w:rsidR="00082BD4">
        <w:rPr>
          <w:color w:val="auto"/>
          <w:szCs w:val="24"/>
        </w:rPr>
        <w:t>-</w:t>
      </w:r>
      <w:r w:rsidR="005B4F82">
        <w:rPr>
          <w:color w:val="auto"/>
          <w:szCs w:val="24"/>
        </w:rPr>
        <w:t>of</w:t>
      </w:r>
      <w:r w:rsidR="00082BD4">
        <w:rPr>
          <w:color w:val="auto"/>
          <w:szCs w:val="24"/>
        </w:rPr>
        <w:t>-</w:t>
      </w:r>
      <w:r w:rsidR="005B4F82" w:rsidRPr="00F64312">
        <w:rPr>
          <w:color w:val="auto"/>
          <w:szCs w:val="24"/>
        </w:rPr>
        <w:t xml:space="preserve">motion (ROM) evaluations in evidence, with documentation </w:t>
      </w:r>
      <w:r w:rsidR="005B4F82" w:rsidRPr="00AA157B">
        <w:rPr>
          <w:color w:val="auto"/>
          <w:szCs w:val="24"/>
        </w:rPr>
        <w:t xml:space="preserve">of </w:t>
      </w:r>
      <w:r w:rsidR="00460F18" w:rsidRPr="00AA157B">
        <w:rPr>
          <w:color w:val="auto"/>
          <w:szCs w:val="24"/>
        </w:rPr>
        <w:t xml:space="preserve">an additional exam and </w:t>
      </w:r>
      <w:r w:rsidR="005B4F82" w:rsidRPr="00AA157B">
        <w:rPr>
          <w:color w:val="auto"/>
          <w:szCs w:val="24"/>
        </w:rPr>
        <w:t>additional</w:t>
      </w:r>
      <w:r w:rsidR="005B4F82" w:rsidRPr="00F64312">
        <w:rPr>
          <w:color w:val="auto"/>
          <w:szCs w:val="24"/>
        </w:rPr>
        <w:t xml:space="preserve"> ratable criteria, which the Board weighed in arriving at its rating recommendation; as summarized in the chart below.  </w:t>
      </w:r>
    </w:p>
    <w:p w:rsidR="00087A94" w:rsidRDefault="00087A94">
      <w:pPr>
        <w:spacing w:line="240" w:lineRule="auto"/>
        <w:jc w:val="left"/>
        <w:rPr>
          <w:rFonts w:eastAsia="Cambria"/>
          <w:color w:val="auto"/>
          <w:szCs w:val="24"/>
          <w:highlight w:val="cyan"/>
        </w:rPr>
      </w:pPr>
      <w:r>
        <w:rPr>
          <w:rFonts w:eastAsia="Cambria"/>
          <w:color w:val="auto"/>
          <w:szCs w:val="24"/>
          <w:highlight w:val="cyan"/>
        </w:rPr>
        <w:br w:type="page"/>
      </w:r>
    </w:p>
    <w:tbl>
      <w:tblPr>
        <w:tblW w:w="0" w:type="auto"/>
        <w:jc w:val="center"/>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6"/>
        <w:gridCol w:w="2248"/>
        <w:gridCol w:w="2553"/>
        <w:gridCol w:w="2312"/>
      </w:tblGrid>
      <w:tr w:rsidR="0019209D" w:rsidRPr="00F64312" w:rsidTr="00627E0E">
        <w:trPr>
          <w:trHeight w:val="287"/>
          <w:jc w:val="center"/>
        </w:trPr>
        <w:tc>
          <w:tcPr>
            <w:tcW w:w="18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9209D" w:rsidRPr="00F64312" w:rsidRDefault="0019209D" w:rsidP="00627E0E">
            <w:pPr>
              <w:pStyle w:val="ListParagraph"/>
              <w:spacing w:after="0" w:line="200" w:lineRule="exact"/>
              <w:ind w:left="0"/>
              <w:rPr>
                <w:rFonts w:eastAsia="Calibri" w:cs="Calibri"/>
                <w:b/>
                <w:sz w:val="18"/>
                <w:szCs w:val="18"/>
              </w:rPr>
            </w:pPr>
            <w:r w:rsidRPr="00F64312">
              <w:rPr>
                <w:rFonts w:eastAsia="Calibri" w:cs="Calibri"/>
                <w:sz w:val="18"/>
                <w:szCs w:val="18"/>
              </w:rPr>
              <w:lastRenderedPageBreak/>
              <w:t>Thoracolumbar ROM</w:t>
            </w:r>
          </w:p>
        </w:tc>
        <w:tc>
          <w:tcPr>
            <w:tcW w:w="2248" w:type="dxa"/>
            <w:tcBorders>
              <w:top w:val="single" w:sz="4" w:space="0" w:color="000000"/>
              <w:left w:val="single" w:sz="4" w:space="0" w:color="000000"/>
              <w:bottom w:val="single" w:sz="4" w:space="0" w:color="000000"/>
              <w:right w:val="single" w:sz="4" w:space="0" w:color="000000"/>
            </w:tcBorders>
            <w:shd w:val="pct15" w:color="auto" w:fill="auto"/>
            <w:vAlign w:val="center"/>
          </w:tcPr>
          <w:p w:rsidR="0019209D" w:rsidRPr="0028209B" w:rsidRDefault="0019209D" w:rsidP="00627E0E">
            <w:pPr>
              <w:spacing w:line="200" w:lineRule="exact"/>
              <w:contextualSpacing/>
              <w:rPr>
                <w:rFonts w:eastAsia="Calibri"/>
                <w:color w:val="auto"/>
                <w:sz w:val="18"/>
                <w:szCs w:val="18"/>
              </w:rPr>
            </w:pPr>
            <w:r>
              <w:rPr>
                <w:rFonts w:eastAsia="Calibri"/>
                <w:color w:val="auto"/>
                <w:sz w:val="18"/>
                <w:szCs w:val="18"/>
              </w:rPr>
              <w:t>MEB Exam ~ 8 Mo. Pre-Sep</w:t>
            </w:r>
          </w:p>
        </w:tc>
        <w:tc>
          <w:tcPr>
            <w:tcW w:w="25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9209D" w:rsidRPr="003F2669" w:rsidRDefault="0019209D" w:rsidP="00627E0E">
            <w:pPr>
              <w:spacing w:line="200" w:lineRule="exact"/>
              <w:contextualSpacing/>
              <w:rPr>
                <w:rFonts w:eastAsia="Calibri"/>
                <w:color w:val="auto"/>
                <w:sz w:val="18"/>
                <w:szCs w:val="18"/>
              </w:rPr>
            </w:pPr>
            <w:r w:rsidRPr="0028209B">
              <w:rPr>
                <w:rFonts w:eastAsia="Calibri"/>
                <w:color w:val="auto"/>
                <w:sz w:val="18"/>
                <w:szCs w:val="18"/>
              </w:rPr>
              <w:t>PT</w:t>
            </w:r>
            <w:r w:rsidRPr="00F64312">
              <w:rPr>
                <w:rFonts w:eastAsia="Calibri"/>
                <w:color w:val="auto"/>
                <w:sz w:val="18"/>
                <w:szCs w:val="18"/>
              </w:rPr>
              <w:t xml:space="preserve"> ~</w:t>
            </w:r>
            <w:r>
              <w:rPr>
                <w:rFonts w:eastAsia="Calibri"/>
                <w:color w:val="auto"/>
                <w:sz w:val="18"/>
                <w:szCs w:val="18"/>
              </w:rPr>
              <w:t>3</w:t>
            </w:r>
            <w:r w:rsidRPr="00F64312">
              <w:rPr>
                <w:rFonts w:eastAsia="Calibri"/>
                <w:color w:val="auto"/>
                <w:sz w:val="18"/>
                <w:szCs w:val="18"/>
              </w:rPr>
              <w:t xml:space="preserve"> Mo. Pre-Sep</w:t>
            </w:r>
          </w:p>
        </w:tc>
        <w:tc>
          <w:tcPr>
            <w:tcW w:w="231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9209D" w:rsidRPr="00F64312" w:rsidRDefault="0019209D" w:rsidP="00627E0E">
            <w:pPr>
              <w:spacing w:line="200" w:lineRule="exact"/>
              <w:contextualSpacing/>
              <w:rPr>
                <w:rFonts w:eastAsia="Cambria"/>
                <w:color w:val="auto"/>
                <w:sz w:val="18"/>
                <w:szCs w:val="18"/>
              </w:rPr>
            </w:pPr>
            <w:r w:rsidRPr="00F64312">
              <w:rPr>
                <w:rFonts w:eastAsia="Calibri"/>
                <w:color w:val="auto"/>
                <w:sz w:val="18"/>
                <w:szCs w:val="18"/>
              </w:rPr>
              <w:t>VA</w:t>
            </w:r>
            <w:r w:rsidRPr="00F64312">
              <w:rPr>
                <w:rFonts w:eastAsia="Cambria"/>
                <w:color w:val="auto"/>
                <w:sz w:val="18"/>
                <w:szCs w:val="18"/>
              </w:rPr>
              <w:t xml:space="preserve"> C&amp;P</w:t>
            </w:r>
            <w:r w:rsidR="00054373">
              <w:rPr>
                <w:rFonts w:eastAsia="Cambria"/>
                <w:color w:val="auto"/>
                <w:sz w:val="18"/>
                <w:szCs w:val="18"/>
              </w:rPr>
              <w:t xml:space="preserve"> ~10 Mo. Post-Sep</w:t>
            </w:r>
          </w:p>
        </w:tc>
      </w:tr>
      <w:tr w:rsidR="00054373" w:rsidRPr="00F64312" w:rsidTr="00054373">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054373" w:rsidRPr="00896694" w:rsidRDefault="00054373" w:rsidP="00C44A0A">
            <w:pPr>
              <w:pStyle w:val="ListParagraph"/>
              <w:spacing w:after="0" w:line="200" w:lineRule="exact"/>
              <w:ind w:left="0"/>
              <w:rPr>
                <w:rFonts w:eastAsia="Calibri" w:cs="Calibri"/>
                <w:sz w:val="18"/>
                <w:szCs w:val="18"/>
              </w:rPr>
            </w:pPr>
            <w:r w:rsidRPr="00896694">
              <w:rPr>
                <w:rFonts w:cs="Calibri"/>
                <w:sz w:val="18"/>
                <w:szCs w:val="18"/>
              </w:rPr>
              <w:t>Flexion (90⁰ Normal)</w:t>
            </w:r>
          </w:p>
        </w:tc>
        <w:tc>
          <w:tcPr>
            <w:tcW w:w="2248" w:type="dxa"/>
            <w:vMerge w:val="restart"/>
            <w:tcBorders>
              <w:top w:val="single" w:sz="4" w:space="0" w:color="000000"/>
              <w:left w:val="single" w:sz="4" w:space="0" w:color="000000"/>
              <w:right w:val="single" w:sz="4" w:space="0" w:color="000000"/>
            </w:tcBorders>
          </w:tcPr>
          <w:p w:rsidR="00054373" w:rsidRPr="00AA157B" w:rsidRDefault="00460F18" w:rsidP="00C44A0A">
            <w:pPr>
              <w:spacing w:line="200" w:lineRule="exact"/>
              <w:contextualSpacing/>
              <w:rPr>
                <w:rFonts w:eastAsia="Calibri"/>
                <w:color w:val="auto"/>
                <w:sz w:val="18"/>
                <w:szCs w:val="18"/>
              </w:rPr>
            </w:pPr>
            <w:r w:rsidRPr="00AA157B">
              <w:rPr>
                <w:rFonts w:eastAsia="Calibri"/>
                <w:color w:val="auto"/>
                <w:sz w:val="18"/>
                <w:szCs w:val="18"/>
              </w:rPr>
              <w:t xml:space="preserve">No measurements </w:t>
            </w:r>
          </w:p>
        </w:tc>
        <w:tc>
          <w:tcPr>
            <w:tcW w:w="2553"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40⁰</w:t>
            </w:r>
          </w:p>
        </w:tc>
        <w:tc>
          <w:tcPr>
            <w:tcW w:w="2312"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30⁰</w:t>
            </w:r>
          </w:p>
        </w:tc>
      </w:tr>
      <w:tr w:rsidR="00054373" w:rsidRPr="00F64312" w:rsidTr="00054373">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054373" w:rsidRPr="00896694" w:rsidRDefault="00054373" w:rsidP="00C44A0A">
            <w:pPr>
              <w:pStyle w:val="ListParagraph"/>
              <w:spacing w:after="0" w:line="200" w:lineRule="exact"/>
              <w:ind w:left="0"/>
              <w:rPr>
                <w:rFonts w:eastAsia="Calibri" w:cs="Calibri"/>
                <w:sz w:val="18"/>
                <w:szCs w:val="18"/>
              </w:rPr>
            </w:pPr>
            <w:r w:rsidRPr="00896694">
              <w:rPr>
                <w:rFonts w:eastAsia="Calibri" w:cs="Calibri"/>
                <w:sz w:val="18"/>
                <w:szCs w:val="18"/>
              </w:rPr>
              <w:t>Ext (0-30)</w:t>
            </w:r>
          </w:p>
        </w:tc>
        <w:tc>
          <w:tcPr>
            <w:tcW w:w="2248" w:type="dxa"/>
            <w:vMerge/>
            <w:tcBorders>
              <w:left w:val="single" w:sz="4" w:space="0" w:color="000000"/>
              <w:right w:val="single" w:sz="4" w:space="0" w:color="000000"/>
            </w:tcBorders>
          </w:tcPr>
          <w:p w:rsidR="00054373" w:rsidRPr="00AA157B" w:rsidRDefault="00054373" w:rsidP="00C44A0A">
            <w:pPr>
              <w:spacing w:line="200" w:lineRule="exact"/>
              <w:contextualSpacing/>
              <w:rPr>
                <w:rFonts w:eastAsia="Calibri"/>
                <w:color w:val="auto"/>
                <w:sz w:val="18"/>
                <w:szCs w:val="18"/>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10⁰</w:t>
            </w:r>
          </w:p>
        </w:tc>
        <w:tc>
          <w:tcPr>
            <w:tcW w:w="2312"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10⁰</w:t>
            </w:r>
          </w:p>
        </w:tc>
      </w:tr>
      <w:tr w:rsidR="00054373" w:rsidRPr="00F64312" w:rsidTr="00054373">
        <w:trPr>
          <w:trHeight w:val="188"/>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054373" w:rsidRPr="00896694" w:rsidRDefault="00054373" w:rsidP="00C44A0A">
            <w:pPr>
              <w:pStyle w:val="ListParagraph"/>
              <w:spacing w:after="0" w:line="200" w:lineRule="exact"/>
              <w:ind w:left="0"/>
              <w:rPr>
                <w:rFonts w:eastAsia="Calibri" w:cs="Calibri"/>
                <w:sz w:val="18"/>
                <w:szCs w:val="18"/>
              </w:rPr>
            </w:pPr>
            <w:r w:rsidRPr="00896694">
              <w:rPr>
                <w:rFonts w:eastAsia="Calibri" w:cs="Calibri"/>
                <w:sz w:val="18"/>
                <w:szCs w:val="18"/>
              </w:rPr>
              <w:t>R Lat Flex (0-30)</w:t>
            </w:r>
          </w:p>
        </w:tc>
        <w:tc>
          <w:tcPr>
            <w:tcW w:w="2248" w:type="dxa"/>
            <w:vMerge/>
            <w:tcBorders>
              <w:left w:val="single" w:sz="4" w:space="0" w:color="000000"/>
              <w:right w:val="single" w:sz="4" w:space="0" w:color="000000"/>
            </w:tcBorders>
          </w:tcPr>
          <w:p w:rsidR="00054373" w:rsidRPr="00AA157B" w:rsidRDefault="00054373" w:rsidP="00C44A0A">
            <w:pPr>
              <w:spacing w:line="200" w:lineRule="exact"/>
              <w:contextualSpacing/>
              <w:rPr>
                <w:rFonts w:eastAsia="Calibri"/>
                <w:color w:val="auto"/>
                <w:sz w:val="18"/>
                <w:szCs w:val="18"/>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15⁰</w:t>
            </w:r>
          </w:p>
        </w:tc>
        <w:tc>
          <w:tcPr>
            <w:tcW w:w="2312"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10⁰</w:t>
            </w:r>
          </w:p>
        </w:tc>
      </w:tr>
      <w:tr w:rsidR="00054373" w:rsidRPr="00F64312" w:rsidTr="00054373">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054373" w:rsidRPr="00896694" w:rsidRDefault="00054373" w:rsidP="00C44A0A">
            <w:pPr>
              <w:pStyle w:val="ListParagraph"/>
              <w:spacing w:after="0" w:line="200" w:lineRule="exact"/>
              <w:ind w:left="0"/>
              <w:rPr>
                <w:rFonts w:eastAsia="Calibri" w:cs="Calibri"/>
                <w:sz w:val="18"/>
                <w:szCs w:val="18"/>
              </w:rPr>
            </w:pPr>
            <w:r w:rsidRPr="00896694">
              <w:rPr>
                <w:rFonts w:eastAsia="Calibri" w:cs="Calibri"/>
                <w:sz w:val="18"/>
                <w:szCs w:val="18"/>
              </w:rPr>
              <w:t>L Lat Flex 0-30)</w:t>
            </w:r>
          </w:p>
        </w:tc>
        <w:tc>
          <w:tcPr>
            <w:tcW w:w="2248" w:type="dxa"/>
            <w:vMerge/>
            <w:tcBorders>
              <w:left w:val="single" w:sz="4" w:space="0" w:color="000000"/>
              <w:right w:val="single" w:sz="4" w:space="0" w:color="000000"/>
            </w:tcBorders>
          </w:tcPr>
          <w:p w:rsidR="00054373" w:rsidRPr="00AA157B" w:rsidRDefault="00054373" w:rsidP="00C44A0A">
            <w:pPr>
              <w:spacing w:line="200" w:lineRule="exact"/>
              <w:contextualSpacing/>
              <w:rPr>
                <w:rFonts w:eastAsia="Calibri"/>
                <w:color w:val="auto"/>
                <w:sz w:val="18"/>
                <w:szCs w:val="18"/>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10⁰</w:t>
            </w:r>
          </w:p>
        </w:tc>
        <w:tc>
          <w:tcPr>
            <w:tcW w:w="2312"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10⁰</w:t>
            </w:r>
          </w:p>
        </w:tc>
      </w:tr>
      <w:tr w:rsidR="00054373" w:rsidRPr="00F64312" w:rsidTr="00054373">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054373" w:rsidRPr="00896694" w:rsidRDefault="00054373" w:rsidP="00C44A0A">
            <w:pPr>
              <w:pStyle w:val="ListParagraph"/>
              <w:spacing w:after="0" w:line="200" w:lineRule="exact"/>
              <w:ind w:left="0"/>
              <w:rPr>
                <w:rFonts w:eastAsia="Calibri" w:cs="Calibri"/>
                <w:sz w:val="18"/>
                <w:szCs w:val="18"/>
              </w:rPr>
            </w:pPr>
            <w:r w:rsidRPr="00896694">
              <w:rPr>
                <w:rFonts w:eastAsia="Calibri" w:cs="Calibri"/>
                <w:sz w:val="18"/>
                <w:szCs w:val="18"/>
              </w:rPr>
              <w:t>R Rotation (0-30)</w:t>
            </w:r>
          </w:p>
        </w:tc>
        <w:tc>
          <w:tcPr>
            <w:tcW w:w="2248" w:type="dxa"/>
            <w:vMerge/>
            <w:tcBorders>
              <w:left w:val="single" w:sz="4" w:space="0" w:color="000000"/>
              <w:right w:val="single" w:sz="4" w:space="0" w:color="000000"/>
            </w:tcBorders>
          </w:tcPr>
          <w:p w:rsidR="00054373" w:rsidRPr="00AA157B" w:rsidRDefault="00054373" w:rsidP="00C44A0A">
            <w:pPr>
              <w:spacing w:line="200" w:lineRule="exact"/>
              <w:contextualSpacing/>
              <w:rPr>
                <w:rFonts w:eastAsia="Calibri"/>
                <w:color w:val="auto"/>
                <w:sz w:val="18"/>
                <w:szCs w:val="18"/>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10⁰</w:t>
            </w:r>
          </w:p>
        </w:tc>
        <w:tc>
          <w:tcPr>
            <w:tcW w:w="2312"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10⁰</w:t>
            </w:r>
          </w:p>
        </w:tc>
      </w:tr>
      <w:tr w:rsidR="00054373" w:rsidRPr="00F64312" w:rsidTr="00054373">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054373" w:rsidRPr="00896694" w:rsidRDefault="00054373" w:rsidP="00C44A0A">
            <w:pPr>
              <w:pStyle w:val="ListParagraph"/>
              <w:spacing w:after="0" w:line="200" w:lineRule="exact"/>
              <w:ind w:left="0"/>
              <w:rPr>
                <w:rFonts w:eastAsia="Calibri" w:cs="Calibri"/>
                <w:sz w:val="18"/>
                <w:szCs w:val="18"/>
              </w:rPr>
            </w:pPr>
            <w:r w:rsidRPr="00896694">
              <w:rPr>
                <w:rFonts w:eastAsia="Calibri" w:cs="Calibri"/>
                <w:sz w:val="18"/>
                <w:szCs w:val="18"/>
              </w:rPr>
              <w:t>L Rotation (0-30)</w:t>
            </w:r>
          </w:p>
        </w:tc>
        <w:tc>
          <w:tcPr>
            <w:tcW w:w="2248" w:type="dxa"/>
            <w:vMerge/>
            <w:tcBorders>
              <w:left w:val="single" w:sz="4" w:space="0" w:color="000000"/>
              <w:right w:val="single" w:sz="4" w:space="0" w:color="000000"/>
            </w:tcBorders>
          </w:tcPr>
          <w:p w:rsidR="00054373" w:rsidRPr="00AA157B" w:rsidRDefault="00054373" w:rsidP="00C44A0A">
            <w:pPr>
              <w:spacing w:line="200" w:lineRule="exact"/>
              <w:contextualSpacing/>
              <w:rPr>
                <w:rFonts w:eastAsia="Calibri"/>
                <w:color w:val="auto"/>
                <w:sz w:val="18"/>
                <w:szCs w:val="18"/>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15⁰</w:t>
            </w:r>
          </w:p>
        </w:tc>
        <w:tc>
          <w:tcPr>
            <w:tcW w:w="2312"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contextualSpacing/>
              <w:rPr>
                <w:rFonts w:eastAsia="Calibri"/>
                <w:color w:val="auto"/>
                <w:sz w:val="18"/>
                <w:szCs w:val="18"/>
              </w:rPr>
            </w:pPr>
            <w:r w:rsidRPr="00AA157B">
              <w:rPr>
                <w:rFonts w:eastAsia="Calibri"/>
                <w:color w:val="auto"/>
                <w:sz w:val="18"/>
                <w:szCs w:val="18"/>
              </w:rPr>
              <w:t>10⁰</w:t>
            </w:r>
          </w:p>
        </w:tc>
      </w:tr>
      <w:tr w:rsidR="00054373" w:rsidRPr="00F64312" w:rsidTr="00054373">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054373" w:rsidRPr="00F64312" w:rsidRDefault="00054373" w:rsidP="00C44A0A">
            <w:pPr>
              <w:pStyle w:val="ListParagraph"/>
              <w:spacing w:after="0" w:line="200" w:lineRule="exact"/>
              <w:ind w:left="0"/>
              <w:rPr>
                <w:rFonts w:eastAsia="Calibri" w:cs="Calibri"/>
                <w:sz w:val="18"/>
                <w:szCs w:val="18"/>
              </w:rPr>
            </w:pPr>
            <w:r w:rsidRPr="00F64312">
              <w:rPr>
                <w:rFonts w:eastAsia="Calibri" w:cs="Calibri"/>
                <w:sz w:val="18"/>
                <w:szCs w:val="18"/>
              </w:rPr>
              <w:t>Combined (240⁰)</w:t>
            </w:r>
          </w:p>
        </w:tc>
        <w:tc>
          <w:tcPr>
            <w:tcW w:w="2248" w:type="dxa"/>
            <w:vMerge/>
            <w:tcBorders>
              <w:left w:val="single" w:sz="4" w:space="0" w:color="000000"/>
              <w:bottom w:val="single" w:sz="4" w:space="0" w:color="000000"/>
              <w:right w:val="single" w:sz="4" w:space="0" w:color="000000"/>
            </w:tcBorders>
          </w:tcPr>
          <w:p w:rsidR="00054373" w:rsidRPr="00AA157B" w:rsidRDefault="00054373" w:rsidP="00C44A0A">
            <w:pPr>
              <w:pStyle w:val="ListParagraph"/>
              <w:spacing w:after="0" w:line="200" w:lineRule="exact"/>
              <w:ind w:left="0"/>
              <w:rPr>
                <w:rFonts w:eastAsia="Calibri" w:cs="Calibri"/>
                <w:sz w:val="18"/>
                <w:szCs w:val="18"/>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pStyle w:val="ListParagraph"/>
              <w:spacing w:after="0" w:line="200" w:lineRule="exact"/>
              <w:ind w:left="0"/>
              <w:rPr>
                <w:rFonts w:eastAsia="Calibri" w:cs="Calibri"/>
                <w:sz w:val="18"/>
                <w:szCs w:val="18"/>
              </w:rPr>
            </w:pPr>
            <w:r w:rsidRPr="00AA157B">
              <w:rPr>
                <w:rFonts w:eastAsia="Calibri" w:cs="Calibri"/>
                <w:sz w:val="18"/>
                <w:szCs w:val="18"/>
              </w:rPr>
              <w:t>100⁰</w:t>
            </w:r>
          </w:p>
        </w:tc>
        <w:tc>
          <w:tcPr>
            <w:tcW w:w="2312" w:type="dxa"/>
            <w:tcBorders>
              <w:top w:val="single" w:sz="4" w:space="0" w:color="000000"/>
              <w:left w:val="single" w:sz="4" w:space="0" w:color="000000"/>
              <w:bottom w:val="single" w:sz="4" w:space="0" w:color="000000"/>
              <w:right w:val="single" w:sz="4" w:space="0" w:color="000000"/>
            </w:tcBorders>
            <w:vAlign w:val="center"/>
          </w:tcPr>
          <w:p w:rsidR="00054373" w:rsidRPr="00AA157B" w:rsidRDefault="00054373" w:rsidP="00C44A0A">
            <w:pPr>
              <w:spacing w:line="200" w:lineRule="exact"/>
              <w:rPr>
                <w:color w:val="auto"/>
                <w:sz w:val="18"/>
                <w:szCs w:val="18"/>
              </w:rPr>
            </w:pPr>
            <w:r w:rsidRPr="00AA157B">
              <w:rPr>
                <w:rFonts w:eastAsia="Calibri"/>
                <w:color w:val="auto"/>
                <w:sz w:val="18"/>
                <w:szCs w:val="18"/>
              </w:rPr>
              <w:t>80</w:t>
            </w:r>
            <w:r w:rsidRPr="00AA157B">
              <w:rPr>
                <w:rFonts w:eastAsia="Calibri"/>
                <w:color w:val="auto"/>
                <w:sz w:val="18"/>
                <w:szCs w:val="18"/>
                <w:vertAlign w:val="superscript"/>
              </w:rPr>
              <w:t>0</w:t>
            </w:r>
          </w:p>
        </w:tc>
      </w:tr>
      <w:tr w:rsidR="0019209D" w:rsidRPr="00F64312" w:rsidTr="00054373">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19209D" w:rsidRPr="00F64312" w:rsidRDefault="0019209D" w:rsidP="00C44A0A">
            <w:pPr>
              <w:pStyle w:val="ListParagraph"/>
              <w:spacing w:after="0" w:line="200" w:lineRule="exact"/>
              <w:ind w:left="0"/>
              <w:rPr>
                <w:rFonts w:eastAsia="Calibri" w:cs="Calibri"/>
                <w:sz w:val="18"/>
                <w:szCs w:val="18"/>
              </w:rPr>
            </w:pPr>
            <w:r w:rsidRPr="00F64312">
              <w:rPr>
                <w:rFonts w:eastAsia="Calibri" w:cs="Calibri"/>
                <w:sz w:val="18"/>
                <w:szCs w:val="18"/>
              </w:rPr>
              <w:t>Comment</w:t>
            </w:r>
          </w:p>
        </w:tc>
        <w:tc>
          <w:tcPr>
            <w:tcW w:w="2248" w:type="dxa"/>
            <w:tcBorders>
              <w:top w:val="single" w:sz="4" w:space="0" w:color="000000"/>
              <w:left w:val="single" w:sz="4" w:space="0" w:color="000000"/>
              <w:bottom w:val="single" w:sz="4" w:space="0" w:color="000000"/>
              <w:right w:val="single" w:sz="4" w:space="0" w:color="000000"/>
            </w:tcBorders>
          </w:tcPr>
          <w:p w:rsidR="0019209D" w:rsidRPr="00AA157B" w:rsidRDefault="00054373" w:rsidP="00054373">
            <w:pPr>
              <w:pStyle w:val="ListParagraph"/>
              <w:spacing w:after="0" w:line="200" w:lineRule="exact"/>
              <w:ind w:left="0"/>
              <w:rPr>
                <w:rFonts w:eastAsia="Calibri" w:cs="Calibri"/>
                <w:sz w:val="18"/>
                <w:szCs w:val="18"/>
              </w:rPr>
            </w:pPr>
            <w:r w:rsidRPr="00AA157B">
              <w:rPr>
                <w:rFonts w:eastAsia="Calibri" w:cs="Calibri"/>
                <w:sz w:val="18"/>
                <w:szCs w:val="18"/>
              </w:rPr>
              <w:t xml:space="preserve">+ Tenderness; + painful motion; + SLR at 30⁰ </w:t>
            </w:r>
            <w:proofErr w:type="spellStart"/>
            <w:r w:rsidRPr="00AA157B">
              <w:rPr>
                <w:rFonts w:eastAsia="Calibri" w:cs="Calibri"/>
                <w:sz w:val="18"/>
                <w:szCs w:val="18"/>
              </w:rPr>
              <w:t>bilat</w:t>
            </w:r>
            <w:proofErr w:type="spellEnd"/>
            <w:r w:rsidRPr="00AA157B">
              <w:rPr>
                <w:rFonts w:eastAsia="Calibri" w:cs="Calibri"/>
                <w:sz w:val="18"/>
                <w:szCs w:val="18"/>
              </w:rPr>
              <w:t>.; Sl. flexed standing posture; 3/8 Waddell’s</w:t>
            </w:r>
          </w:p>
        </w:tc>
        <w:tc>
          <w:tcPr>
            <w:tcW w:w="2553" w:type="dxa"/>
            <w:tcBorders>
              <w:top w:val="single" w:sz="4" w:space="0" w:color="000000"/>
              <w:left w:val="single" w:sz="4" w:space="0" w:color="000000"/>
              <w:bottom w:val="single" w:sz="4" w:space="0" w:color="000000"/>
              <w:right w:val="single" w:sz="4" w:space="0" w:color="000000"/>
            </w:tcBorders>
            <w:vAlign w:val="center"/>
          </w:tcPr>
          <w:p w:rsidR="0019209D" w:rsidRPr="00AA157B" w:rsidRDefault="0019209D" w:rsidP="00054373">
            <w:pPr>
              <w:pStyle w:val="ListParagraph"/>
              <w:spacing w:after="0" w:line="200" w:lineRule="exact"/>
              <w:ind w:left="0"/>
              <w:rPr>
                <w:rFonts w:eastAsia="Calibri" w:cs="Calibri"/>
                <w:sz w:val="18"/>
                <w:szCs w:val="18"/>
              </w:rPr>
            </w:pPr>
            <w:r w:rsidRPr="00AA157B">
              <w:rPr>
                <w:rFonts w:eastAsia="Calibri" w:cs="Calibri"/>
                <w:sz w:val="18"/>
                <w:szCs w:val="18"/>
              </w:rPr>
              <w:t>Stands with forward flexion; fully erect with flexion and extension measurement; + painful motion; + cervical compression; +braced trunk/hip rotation; + SLR supine/-SLR seated</w:t>
            </w:r>
          </w:p>
        </w:tc>
        <w:tc>
          <w:tcPr>
            <w:tcW w:w="2312" w:type="dxa"/>
            <w:tcBorders>
              <w:top w:val="single" w:sz="4" w:space="0" w:color="000000"/>
              <w:left w:val="single" w:sz="4" w:space="0" w:color="000000"/>
              <w:bottom w:val="single" w:sz="4" w:space="0" w:color="000000"/>
              <w:right w:val="single" w:sz="4" w:space="0" w:color="000000"/>
            </w:tcBorders>
            <w:vAlign w:val="center"/>
          </w:tcPr>
          <w:p w:rsidR="0019209D" w:rsidRPr="00AA157B" w:rsidRDefault="0019209D" w:rsidP="00054373">
            <w:pPr>
              <w:pStyle w:val="ListParagraph"/>
              <w:spacing w:after="0" w:line="200" w:lineRule="exact"/>
              <w:ind w:left="0"/>
              <w:rPr>
                <w:rFonts w:eastAsia="Calibri" w:cs="Calibri"/>
                <w:sz w:val="18"/>
                <w:szCs w:val="18"/>
              </w:rPr>
            </w:pPr>
            <w:r w:rsidRPr="00AA157B">
              <w:rPr>
                <w:rFonts w:eastAsia="Calibri" w:cs="Calibri"/>
                <w:sz w:val="18"/>
                <w:szCs w:val="18"/>
              </w:rPr>
              <w:t>+ Tenderness; + painful motion;</w:t>
            </w:r>
            <w:r w:rsidR="00054373" w:rsidRPr="00AA157B">
              <w:rPr>
                <w:rFonts w:eastAsia="Calibri" w:cs="Calibri"/>
                <w:sz w:val="18"/>
                <w:szCs w:val="18"/>
              </w:rPr>
              <w:t xml:space="preserve"> </w:t>
            </w:r>
            <w:r w:rsidRPr="00AA157B">
              <w:rPr>
                <w:rFonts w:eastAsia="Calibri" w:cs="Calibri"/>
                <w:sz w:val="18"/>
                <w:szCs w:val="18"/>
              </w:rPr>
              <w:t xml:space="preserve">+ tightness of paraspinal muscles with some straightening of lordotic curve; neg. SLR; normal STR &amp; DTR </w:t>
            </w:r>
            <w:proofErr w:type="spellStart"/>
            <w:r w:rsidRPr="00AA157B">
              <w:rPr>
                <w:rFonts w:eastAsia="Calibri" w:cs="Calibri"/>
                <w:sz w:val="18"/>
                <w:szCs w:val="18"/>
              </w:rPr>
              <w:t>bilat</w:t>
            </w:r>
            <w:proofErr w:type="spellEnd"/>
            <w:r w:rsidRPr="00AA157B">
              <w:rPr>
                <w:rFonts w:eastAsia="Calibri" w:cs="Calibri"/>
                <w:sz w:val="18"/>
                <w:szCs w:val="18"/>
              </w:rPr>
              <w:t xml:space="preserve">; no </w:t>
            </w:r>
            <w:proofErr w:type="spellStart"/>
            <w:r w:rsidRPr="00AA157B">
              <w:rPr>
                <w:rFonts w:eastAsia="Calibri" w:cs="Calibri"/>
                <w:sz w:val="18"/>
                <w:szCs w:val="18"/>
              </w:rPr>
              <w:t>DeLuca</w:t>
            </w:r>
            <w:proofErr w:type="spellEnd"/>
            <w:r w:rsidRPr="00AA157B">
              <w:rPr>
                <w:rFonts w:eastAsia="Calibri" w:cs="Calibri"/>
                <w:sz w:val="18"/>
                <w:szCs w:val="18"/>
              </w:rPr>
              <w:t xml:space="preserve"> decrease</w:t>
            </w:r>
          </w:p>
        </w:tc>
      </w:tr>
      <w:tr w:rsidR="0019209D" w:rsidRPr="00F64312" w:rsidTr="00054373">
        <w:trPr>
          <w:jc w:val="center"/>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19209D" w:rsidRPr="00F64312" w:rsidRDefault="0019209D" w:rsidP="00C44A0A">
            <w:pPr>
              <w:pStyle w:val="ListParagraph"/>
              <w:spacing w:after="0" w:line="200" w:lineRule="exact"/>
              <w:ind w:left="0"/>
              <w:rPr>
                <w:rFonts w:eastAsia="Calibri" w:cs="Calibri"/>
                <w:sz w:val="18"/>
                <w:szCs w:val="18"/>
              </w:rPr>
            </w:pPr>
            <w:r w:rsidRPr="00F64312">
              <w:rPr>
                <w:rFonts w:eastAsia="Calibri" w:cs="Calibri"/>
                <w:sz w:val="18"/>
                <w:szCs w:val="18"/>
              </w:rPr>
              <w:t>§4.71a Rating</w:t>
            </w:r>
          </w:p>
        </w:tc>
        <w:tc>
          <w:tcPr>
            <w:tcW w:w="2248" w:type="dxa"/>
            <w:tcBorders>
              <w:top w:val="single" w:sz="4" w:space="0" w:color="000000"/>
              <w:left w:val="single" w:sz="4" w:space="0" w:color="000000"/>
              <w:bottom w:val="single" w:sz="4" w:space="0" w:color="000000"/>
              <w:right w:val="single" w:sz="4" w:space="0" w:color="000000"/>
            </w:tcBorders>
          </w:tcPr>
          <w:p w:rsidR="0019209D" w:rsidRPr="00AA157B" w:rsidRDefault="0019209D" w:rsidP="00772251">
            <w:pPr>
              <w:pStyle w:val="ListParagraph"/>
              <w:spacing w:after="0" w:line="200" w:lineRule="exact"/>
              <w:ind w:left="0"/>
              <w:rPr>
                <w:rFonts w:eastAsia="Calibri" w:cs="Calibri"/>
                <w:sz w:val="18"/>
                <w:szCs w:val="18"/>
              </w:rPr>
            </w:pPr>
            <w:r w:rsidRPr="00AA157B">
              <w:rPr>
                <w:rFonts w:eastAsia="Calibri" w:cs="Calibri"/>
                <w:sz w:val="18"/>
                <w:szCs w:val="18"/>
              </w:rPr>
              <w:t>10%</w:t>
            </w:r>
          </w:p>
        </w:tc>
        <w:tc>
          <w:tcPr>
            <w:tcW w:w="2553" w:type="dxa"/>
            <w:tcBorders>
              <w:top w:val="single" w:sz="4" w:space="0" w:color="000000"/>
              <w:left w:val="single" w:sz="4" w:space="0" w:color="000000"/>
              <w:bottom w:val="single" w:sz="4" w:space="0" w:color="000000"/>
              <w:right w:val="single" w:sz="4" w:space="0" w:color="000000"/>
            </w:tcBorders>
            <w:vAlign w:val="center"/>
          </w:tcPr>
          <w:p w:rsidR="0019209D" w:rsidRPr="00AA157B" w:rsidRDefault="0019209D" w:rsidP="00AA157B">
            <w:pPr>
              <w:pStyle w:val="ListParagraph"/>
              <w:spacing w:after="0" w:line="200" w:lineRule="exact"/>
              <w:ind w:left="0"/>
              <w:rPr>
                <w:rFonts w:eastAsia="Calibri" w:cs="Calibri"/>
                <w:sz w:val="18"/>
                <w:szCs w:val="18"/>
              </w:rPr>
            </w:pPr>
            <w:r w:rsidRPr="00AA157B">
              <w:rPr>
                <w:rFonts w:eastAsia="Calibri" w:cs="Calibri"/>
                <w:sz w:val="18"/>
                <w:szCs w:val="18"/>
              </w:rPr>
              <w:t>20</w:t>
            </w:r>
            <w:r w:rsidRPr="00627E0E">
              <w:rPr>
                <w:rFonts w:eastAsia="Calibri" w:cs="Calibri"/>
                <w:sz w:val="18"/>
                <w:szCs w:val="18"/>
              </w:rPr>
              <w:t>%</w:t>
            </w:r>
            <w:r w:rsidR="00627E0E" w:rsidRPr="00627E0E">
              <w:rPr>
                <w:rFonts w:eastAsia="Calibri" w:cs="Calibri"/>
                <w:sz w:val="18"/>
                <w:szCs w:val="18"/>
              </w:rPr>
              <w:t xml:space="preserve"> (PEB 10%; VA 20%)</w:t>
            </w:r>
          </w:p>
        </w:tc>
        <w:tc>
          <w:tcPr>
            <w:tcW w:w="2312" w:type="dxa"/>
            <w:tcBorders>
              <w:top w:val="single" w:sz="4" w:space="0" w:color="000000"/>
              <w:left w:val="single" w:sz="4" w:space="0" w:color="000000"/>
              <w:bottom w:val="single" w:sz="4" w:space="0" w:color="000000"/>
              <w:right w:val="single" w:sz="4" w:space="0" w:color="000000"/>
            </w:tcBorders>
            <w:vAlign w:val="center"/>
          </w:tcPr>
          <w:p w:rsidR="0019209D" w:rsidRPr="00AA157B" w:rsidRDefault="0019209D" w:rsidP="00773521">
            <w:pPr>
              <w:pStyle w:val="ListParagraph"/>
              <w:spacing w:after="0" w:line="200" w:lineRule="exact"/>
              <w:ind w:left="0"/>
              <w:rPr>
                <w:rFonts w:eastAsia="Calibri" w:cs="Calibri"/>
                <w:sz w:val="18"/>
                <w:szCs w:val="18"/>
              </w:rPr>
            </w:pPr>
            <w:r w:rsidRPr="00AA157B">
              <w:rPr>
                <w:rFonts w:eastAsia="Calibri" w:cs="Calibri"/>
                <w:sz w:val="18"/>
                <w:szCs w:val="18"/>
              </w:rPr>
              <w:t>40%</w:t>
            </w:r>
          </w:p>
        </w:tc>
      </w:tr>
    </w:tbl>
    <w:p w:rsidR="00797E4C" w:rsidRDefault="00797E4C" w:rsidP="00B22D42">
      <w:pPr>
        <w:jc w:val="both"/>
        <w:rPr>
          <w:color w:val="auto"/>
        </w:rPr>
      </w:pPr>
    </w:p>
    <w:p w:rsidR="00773521" w:rsidRDefault="00CF0280" w:rsidP="00082BD4">
      <w:pPr>
        <w:jc w:val="both"/>
        <w:rPr>
          <w:color w:val="auto"/>
          <w:szCs w:val="24"/>
        </w:rPr>
      </w:pPr>
      <w:r w:rsidRPr="00AA157B">
        <w:rPr>
          <w:color w:val="auto"/>
          <w:szCs w:val="24"/>
        </w:rPr>
        <w:t xml:space="preserve">At the </w:t>
      </w:r>
      <w:r w:rsidR="0008042E" w:rsidRPr="00AA157B">
        <w:rPr>
          <w:color w:val="auto"/>
          <w:szCs w:val="24"/>
        </w:rPr>
        <w:t>NARSUM,</w:t>
      </w:r>
      <w:r w:rsidRPr="00AA157B">
        <w:rPr>
          <w:color w:val="auto"/>
          <w:szCs w:val="24"/>
        </w:rPr>
        <w:t xml:space="preserve"> the CI reported</w:t>
      </w:r>
      <w:r w:rsidR="00440D78" w:rsidRPr="00AA157B">
        <w:rPr>
          <w:color w:val="auto"/>
          <w:szCs w:val="24"/>
        </w:rPr>
        <w:t xml:space="preserve"> frequent back pains that limit</w:t>
      </w:r>
      <w:r w:rsidR="00797E4C" w:rsidRPr="00AA157B">
        <w:rPr>
          <w:color w:val="auto"/>
          <w:szCs w:val="24"/>
        </w:rPr>
        <w:t>ed</w:t>
      </w:r>
      <w:r w:rsidR="00440D78" w:rsidRPr="00AA157B">
        <w:rPr>
          <w:color w:val="auto"/>
          <w:szCs w:val="24"/>
        </w:rPr>
        <w:t xml:space="preserve"> him from standing erect.  </w:t>
      </w:r>
      <w:r w:rsidRPr="00AA157B">
        <w:rPr>
          <w:color w:val="auto"/>
          <w:szCs w:val="24"/>
        </w:rPr>
        <w:t xml:space="preserve">The MEB physical exam </w:t>
      </w:r>
      <w:r w:rsidR="00FF7B1D">
        <w:rPr>
          <w:color w:val="auto"/>
          <w:szCs w:val="24"/>
        </w:rPr>
        <w:t>performed 8</w:t>
      </w:r>
      <w:r w:rsidR="0008042E" w:rsidRPr="00AA157B">
        <w:rPr>
          <w:color w:val="auto"/>
          <w:szCs w:val="24"/>
        </w:rPr>
        <w:t xml:space="preserve"> months prior to separation </w:t>
      </w:r>
      <w:r w:rsidR="0019209D" w:rsidRPr="00AA157B">
        <w:rPr>
          <w:color w:val="auto"/>
          <w:szCs w:val="24"/>
        </w:rPr>
        <w:t>demonstrated</w:t>
      </w:r>
      <w:r w:rsidR="00797E4C" w:rsidRPr="00AA157B">
        <w:rPr>
          <w:color w:val="auto"/>
          <w:szCs w:val="24"/>
        </w:rPr>
        <w:t xml:space="preserve"> tenderness at L4-</w:t>
      </w:r>
      <w:r w:rsidR="00440D78" w:rsidRPr="00AA157B">
        <w:rPr>
          <w:color w:val="auto"/>
          <w:szCs w:val="24"/>
        </w:rPr>
        <w:t>L5 level and paraspinal tenderness along with back pain with leg rise at 30</w:t>
      </w:r>
      <w:r w:rsidR="00440D78" w:rsidRPr="00AA157B">
        <w:rPr>
          <w:color w:val="auto"/>
          <w:szCs w:val="24"/>
          <w:vertAlign w:val="superscript"/>
        </w:rPr>
        <w:t>0</w:t>
      </w:r>
      <w:r w:rsidR="00440D78" w:rsidRPr="00AA157B">
        <w:rPr>
          <w:color w:val="auto"/>
          <w:szCs w:val="24"/>
        </w:rPr>
        <w:t xml:space="preserve">.  </w:t>
      </w:r>
      <w:r w:rsidR="0008042E" w:rsidRPr="00AA157B">
        <w:rPr>
          <w:color w:val="auto"/>
          <w:szCs w:val="24"/>
        </w:rPr>
        <w:t xml:space="preserve">The </w:t>
      </w:r>
      <w:r w:rsidR="00082BD4">
        <w:rPr>
          <w:color w:val="auto"/>
          <w:szCs w:val="24"/>
        </w:rPr>
        <w:t>physical therapy (</w:t>
      </w:r>
      <w:r w:rsidR="0008042E" w:rsidRPr="00AA157B">
        <w:rPr>
          <w:color w:val="auto"/>
          <w:szCs w:val="24"/>
        </w:rPr>
        <w:t>PT</w:t>
      </w:r>
      <w:r w:rsidR="00082BD4">
        <w:rPr>
          <w:color w:val="auto"/>
          <w:szCs w:val="24"/>
        </w:rPr>
        <w:t xml:space="preserve">) exam </w:t>
      </w:r>
      <w:r w:rsidR="00FF7B1D">
        <w:rPr>
          <w:color w:val="auto"/>
          <w:szCs w:val="24"/>
        </w:rPr>
        <w:t>performed 3 month</w:t>
      </w:r>
      <w:r w:rsidR="0008042E" w:rsidRPr="00AA157B">
        <w:rPr>
          <w:color w:val="auto"/>
          <w:szCs w:val="24"/>
        </w:rPr>
        <w:t>s pr</w:t>
      </w:r>
      <w:r w:rsidR="00FF7B1D">
        <w:rPr>
          <w:color w:val="auto"/>
          <w:szCs w:val="24"/>
        </w:rPr>
        <w:t>ior to s</w:t>
      </w:r>
      <w:r w:rsidR="0008042E" w:rsidRPr="00AA157B">
        <w:rPr>
          <w:color w:val="auto"/>
          <w:szCs w:val="24"/>
        </w:rPr>
        <w:t>eparation is summarized above</w:t>
      </w:r>
      <w:r w:rsidR="0019209D" w:rsidRPr="00AA157B">
        <w:rPr>
          <w:color w:val="auto"/>
          <w:szCs w:val="24"/>
        </w:rPr>
        <w:t xml:space="preserve"> with the examiner indicating patient’s “subjective </w:t>
      </w:r>
      <w:proofErr w:type="spellStart"/>
      <w:r w:rsidR="0019209D" w:rsidRPr="00AA157B">
        <w:rPr>
          <w:color w:val="auto"/>
          <w:szCs w:val="24"/>
        </w:rPr>
        <w:t>eval</w:t>
      </w:r>
      <w:proofErr w:type="spellEnd"/>
      <w:r w:rsidR="0019209D" w:rsidRPr="00AA157B">
        <w:rPr>
          <w:color w:val="auto"/>
          <w:szCs w:val="24"/>
        </w:rPr>
        <w:t xml:space="preserve"> not (equal to) objective findings</w:t>
      </w:r>
      <w:r w:rsidR="0008042E" w:rsidRPr="00AA157B">
        <w:rPr>
          <w:color w:val="auto"/>
          <w:szCs w:val="24"/>
        </w:rPr>
        <w:t>.</w:t>
      </w:r>
      <w:r w:rsidR="0019209D" w:rsidRPr="00AA157B">
        <w:rPr>
          <w:color w:val="auto"/>
          <w:szCs w:val="24"/>
        </w:rPr>
        <w:t xml:space="preserve">” </w:t>
      </w:r>
      <w:r w:rsidR="00773521" w:rsidRPr="00AA157B">
        <w:rPr>
          <w:color w:val="auto"/>
          <w:szCs w:val="24"/>
        </w:rPr>
        <w:t xml:space="preserve">  X-rays</w:t>
      </w:r>
      <w:r w:rsidR="00054373" w:rsidRPr="00AA157B">
        <w:rPr>
          <w:color w:val="auto"/>
          <w:szCs w:val="24"/>
        </w:rPr>
        <w:t xml:space="preserve"> of the sacroiliac joint and lumbar spine on </w:t>
      </w:r>
      <w:r w:rsidR="00627E0E">
        <w:rPr>
          <w:color w:val="auto"/>
          <w:szCs w:val="24"/>
        </w:rPr>
        <w:t xml:space="preserve">25 September </w:t>
      </w:r>
      <w:r w:rsidR="00054373" w:rsidRPr="00AA157B">
        <w:rPr>
          <w:color w:val="auto"/>
          <w:szCs w:val="24"/>
        </w:rPr>
        <w:t>2003 were reported as normal.</w:t>
      </w:r>
      <w:r w:rsidR="00054373">
        <w:rPr>
          <w:color w:val="auto"/>
          <w:szCs w:val="24"/>
        </w:rPr>
        <w:t xml:space="preserve">  </w:t>
      </w:r>
      <w:r w:rsidR="00773521">
        <w:rPr>
          <w:color w:val="auto"/>
          <w:szCs w:val="24"/>
        </w:rPr>
        <w:t>The first VA Compensation and Pension (C&amp;P) exam</w:t>
      </w:r>
      <w:r w:rsidR="00E92ADC">
        <w:rPr>
          <w:color w:val="auto"/>
          <w:szCs w:val="24"/>
        </w:rPr>
        <w:t>,</w:t>
      </w:r>
      <w:r w:rsidR="00773521">
        <w:rPr>
          <w:color w:val="auto"/>
          <w:szCs w:val="24"/>
        </w:rPr>
        <w:t xml:space="preserve"> </w:t>
      </w:r>
      <w:r w:rsidR="00FF7B1D">
        <w:rPr>
          <w:color w:val="auto"/>
          <w:szCs w:val="24"/>
        </w:rPr>
        <w:t xml:space="preserve">performed </w:t>
      </w:r>
      <w:r w:rsidR="00773521">
        <w:rPr>
          <w:color w:val="auto"/>
          <w:szCs w:val="24"/>
        </w:rPr>
        <w:t>10 months after separation</w:t>
      </w:r>
      <w:r w:rsidR="00081E60">
        <w:rPr>
          <w:color w:val="auto"/>
          <w:szCs w:val="24"/>
        </w:rPr>
        <w:t>,</w:t>
      </w:r>
      <w:r w:rsidR="00773521">
        <w:rPr>
          <w:color w:val="auto"/>
          <w:szCs w:val="24"/>
        </w:rPr>
        <w:t xml:space="preserve"> </w:t>
      </w:r>
      <w:r w:rsidR="00E92ADC">
        <w:rPr>
          <w:color w:val="auto"/>
          <w:szCs w:val="24"/>
        </w:rPr>
        <w:t xml:space="preserve">indicated the CI had continued back pain and limitations with the exam summarized above.  X-rays of the back were reported as unremarkable.  </w:t>
      </w:r>
    </w:p>
    <w:p w:rsidR="00773521" w:rsidRDefault="00773521" w:rsidP="00772251">
      <w:pPr>
        <w:tabs>
          <w:tab w:val="left" w:pos="288"/>
          <w:tab w:val="left" w:pos="4752"/>
        </w:tabs>
        <w:jc w:val="both"/>
        <w:rPr>
          <w:color w:val="auto"/>
          <w:szCs w:val="24"/>
        </w:rPr>
      </w:pPr>
    </w:p>
    <w:p w:rsidR="001554E4" w:rsidRPr="00F64312" w:rsidRDefault="00772251" w:rsidP="00081E60">
      <w:pPr>
        <w:autoSpaceDE w:val="0"/>
        <w:autoSpaceDN w:val="0"/>
        <w:adjustRightInd w:val="0"/>
        <w:jc w:val="both"/>
        <w:rPr>
          <w:rFonts w:eastAsia="Calibri" w:cs="Times New Roman"/>
          <w:color w:val="auto"/>
          <w:szCs w:val="24"/>
        </w:rPr>
      </w:pPr>
      <w:r w:rsidRPr="00F64312">
        <w:rPr>
          <w:rFonts w:cs="Times New Roman"/>
          <w:color w:val="auto"/>
        </w:rPr>
        <w:t xml:space="preserve">The Board directs </w:t>
      </w:r>
      <w:r w:rsidRPr="00081E60">
        <w:rPr>
          <w:rFonts w:cs="Times New Roman"/>
          <w:color w:val="auto"/>
        </w:rPr>
        <w:t xml:space="preserve">attention to its rating recommendation based on the above evidence.  </w:t>
      </w:r>
      <w:r w:rsidR="00952241" w:rsidRPr="00081E60">
        <w:rPr>
          <w:color w:val="auto"/>
          <w:szCs w:val="24"/>
        </w:rPr>
        <w:t>The PEB applied an analogous code of 5299-5237 rated at 10%.  The PEB cite</w:t>
      </w:r>
      <w:r w:rsidR="00DF5D5C" w:rsidRPr="00081E60">
        <w:rPr>
          <w:color w:val="auto"/>
          <w:szCs w:val="24"/>
        </w:rPr>
        <w:t>d</w:t>
      </w:r>
      <w:r w:rsidR="00952241" w:rsidRPr="00081E60">
        <w:rPr>
          <w:color w:val="auto"/>
          <w:szCs w:val="24"/>
        </w:rPr>
        <w:t xml:space="preserve"> AR 635-40</w:t>
      </w:r>
      <w:r w:rsidR="00082BD4">
        <w:rPr>
          <w:color w:val="auto"/>
          <w:szCs w:val="24"/>
        </w:rPr>
        <w:t>, paragraph B-29e</w:t>
      </w:r>
      <w:r w:rsidR="00952241" w:rsidRPr="00081E60">
        <w:rPr>
          <w:color w:val="auto"/>
          <w:szCs w:val="24"/>
        </w:rPr>
        <w:t xml:space="preserve"> for rating</w:t>
      </w:r>
      <w:r w:rsidR="00DF5D5C" w:rsidRPr="00081E60">
        <w:rPr>
          <w:color w:val="auto"/>
          <w:szCs w:val="24"/>
        </w:rPr>
        <w:t>,</w:t>
      </w:r>
      <w:r w:rsidR="00952241" w:rsidRPr="00081E60">
        <w:rPr>
          <w:color w:val="auto"/>
          <w:szCs w:val="24"/>
        </w:rPr>
        <w:t xml:space="preserve"> which indicate</w:t>
      </w:r>
      <w:r w:rsidR="00DF5D5C" w:rsidRPr="00081E60">
        <w:rPr>
          <w:color w:val="auto"/>
          <w:szCs w:val="24"/>
        </w:rPr>
        <w:t>d</w:t>
      </w:r>
      <w:r w:rsidR="00952241" w:rsidRPr="00081E60">
        <w:rPr>
          <w:color w:val="auto"/>
          <w:szCs w:val="24"/>
        </w:rPr>
        <w:t xml:space="preserve"> ROM ratings are based on mechanical limitation without use of pain-limited motion.  </w:t>
      </w:r>
      <w:r w:rsidR="00952241" w:rsidRPr="00081E60">
        <w:rPr>
          <w:rFonts w:cs="Times New Roman"/>
          <w:color w:val="auto"/>
        </w:rPr>
        <w:t xml:space="preserve">The initial VA rating of 20% was based on </w:t>
      </w:r>
      <w:r w:rsidR="00952241" w:rsidRPr="00082BD4">
        <w:rPr>
          <w:rFonts w:cs="Times New Roman"/>
          <w:color w:val="auto"/>
        </w:rPr>
        <w:t>the STR.</w:t>
      </w:r>
      <w:r w:rsidR="00952241" w:rsidRPr="00081E60">
        <w:rPr>
          <w:rFonts w:cs="Times New Roman"/>
          <w:color w:val="auto"/>
        </w:rPr>
        <w:t xml:space="preserve">  VA increased the spine rating to 40% was based on the VA post-separation exam above.  </w:t>
      </w:r>
      <w:r w:rsidR="00DF5D5C" w:rsidRPr="00081E60">
        <w:rPr>
          <w:rFonts w:cs="Times New Roman"/>
          <w:color w:val="auto"/>
        </w:rPr>
        <w:t>Bo</w:t>
      </w:r>
      <w:r w:rsidR="00082BD4">
        <w:rPr>
          <w:rFonts w:cs="Times New Roman"/>
          <w:color w:val="auto"/>
        </w:rPr>
        <w:t>th the PEB and VA codes, 5236 (s</w:t>
      </w:r>
      <w:r w:rsidR="00DF5D5C" w:rsidRPr="00081E60">
        <w:rPr>
          <w:rFonts w:cs="Times New Roman"/>
          <w:color w:val="auto"/>
        </w:rPr>
        <w:t xml:space="preserve">acroiliac </w:t>
      </w:r>
      <w:r w:rsidR="00082BD4">
        <w:rPr>
          <w:rFonts w:cs="Times New Roman"/>
          <w:color w:val="auto"/>
        </w:rPr>
        <w:t>injury and weakness) and 5237 (l</w:t>
      </w:r>
      <w:r w:rsidR="00DF5D5C" w:rsidRPr="00081E60">
        <w:rPr>
          <w:rFonts w:cs="Times New Roman"/>
          <w:color w:val="auto"/>
        </w:rPr>
        <w:t>umbosacral or cervical strain) respectively, use the general spine rating formula and neither is predominant.</w:t>
      </w:r>
      <w:r w:rsidR="00081E60">
        <w:rPr>
          <w:rFonts w:cs="Times New Roman"/>
          <w:color w:val="auto"/>
        </w:rPr>
        <w:t xml:space="preserve">  </w:t>
      </w:r>
      <w:r w:rsidR="00952241">
        <w:rPr>
          <w:rFonts w:cs="Times New Roman"/>
          <w:color w:val="auto"/>
        </w:rPr>
        <w:t>The Board deliberated on the probative value of the two disparate exams and assigned the higher probative value to the service exam which was closer to the date of separation</w:t>
      </w:r>
      <w:r w:rsidR="00DF5D5C">
        <w:rPr>
          <w:rFonts w:cs="Times New Roman"/>
          <w:color w:val="auto"/>
        </w:rPr>
        <w:t xml:space="preserve"> and more closely aligned with the totality of the record</w:t>
      </w:r>
      <w:r w:rsidR="00952241">
        <w:rPr>
          <w:rFonts w:cs="Times New Roman"/>
          <w:color w:val="auto"/>
        </w:rPr>
        <w:t>.</w:t>
      </w:r>
      <w:r w:rsidR="00081E60">
        <w:rPr>
          <w:rFonts w:cs="Times New Roman"/>
          <w:color w:val="auto"/>
        </w:rPr>
        <w:t xml:space="preserve">  </w:t>
      </w:r>
      <w:r w:rsidR="00241B01" w:rsidRPr="00F64312">
        <w:rPr>
          <w:rFonts w:eastAsia="Calibri" w:cs="Times New Roman"/>
          <w:color w:val="auto"/>
          <w:szCs w:val="24"/>
        </w:rPr>
        <w:t xml:space="preserve">After due deliberation, considering all of the evidence and mindful of VASRD §4.3 (reasonable doubt), the Board recommends a disability rating </w:t>
      </w:r>
      <w:r w:rsidR="00241B01" w:rsidRPr="00081E60">
        <w:rPr>
          <w:rFonts w:eastAsia="Calibri" w:cs="Times New Roman"/>
          <w:color w:val="auto"/>
          <w:szCs w:val="24"/>
        </w:rPr>
        <w:t xml:space="preserve">of </w:t>
      </w:r>
      <w:r w:rsidR="00051EFF" w:rsidRPr="00081E60">
        <w:rPr>
          <w:rFonts w:eastAsia="Calibri" w:cs="Times New Roman"/>
          <w:color w:val="auto"/>
          <w:szCs w:val="24"/>
        </w:rPr>
        <w:t>20</w:t>
      </w:r>
      <w:r w:rsidR="00241B01" w:rsidRPr="00081E60">
        <w:rPr>
          <w:rFonts w:eastAsia="Calibri" w:cs="Times New Roman"/>
          <w:color w:val="auto"/>
          <w:szCs w:val="24"/>
        </w:rPr>
        <w:t xml:space="preserve">% for the </w:t>
      </w:r>
      <w:r w:rsidR="002D4982" w:rsidRPr="00081E60">
        <w:rPr>
          <w:color w:val="auto"/>
          <w:szCs w:val="24"/>
        </w:rPr>
        <w:t xml:space="preserve">chronic </w:t>
      </w:r>
      <w:r w:rsidR="002D4982" w:rsidRPr="00081E60">
        <w:rPr>
          <w:bCs/>
          <w:color w:val="auto"/>
          <w:szCs w:val="24"/>
        </w:rPr>
        <w:t xml:space="preserve">back </w:t>
      </w:r>
      <w:r w:rsidR="002D4982" w:rsidRPr="00081E60">
        <w:rPr>
          <w:color w:val="auto"/>
          <w:szCs w:val="24"/>
        </w:rPr>
        <w:t xml:space="preserve">pain </w:t>
      </w:r>
      <w:r w:rsidR="002D4982" w:rsidRPr="00081E60">
        <w:rPr>
          <w:bCs/>
          <w:color w:val="auto"/>
          <w:szCs w:val="24"/>
        </w:rPr>
        <w:t xml:space="preserve">with </w:t>
      </w:r>
      <w:proofErr w:type="spellStart"/>
      <w:r w:rsidR="002D4982" w:rsidRPr="00081E60">
        <w:rPr>
          <w:bCs/>
          <w:color w:val="auto"/>
          <w:szCs w:val="24"/>
        </w:rPr>
        <w:t>sacroiliitis</w:t>
      </w:r>
      <w:proofErr w:type="spellEnd"/>
      <w:r w:rsidR="002D4982" w:rsidRPr="00081E60">
        <w:rPr>
          <w:rFonts w:eastAsia="Calibri" w:cs="Times New Roman"/>
          <w:color w:val="auto"/>
          <w:szCs w:val="24"/>
        </w:rPr>
        <w:t xml:space="preserve"> </w:t>
      </w:r>
      <w:r w:rsidR="00241B01" w:rsidRPr="00081E60">
        <w:rPr>
          <w:rFonts w:eastAsia="Calibri" w:cs="Times New Roman"/>
          <w:color w:val="auto"/>
          <w:szCs w:val="24"/>
        </w:rPr>
        <w:t>condition</w:t>
      </w:r>
      <w:r w:rsidR="00AA1BD8" w:rsidRPr="00081E60">
        <w:rPr>
          <w:rFonts w:eastAsia="Calibri" w:cs="Times New Roman"/>
          <w:color w:val="auto"/>
          <w:szCs w:val="24"/>
        </w:rPr>
        <w:t xml:space="preserve">, coded </w:t>
      </w:r>
      <w:r w:rsidR="00AA1BD8" w:rsidRPr="00081E60">
        <w:rPr>
          <w:color w:val="auto"/>
        </w:rPr>
        <w:t xml:space="preserve">5299-5237.  </w:t>
      </w:r>
    </w:p>
    <w:p w:rsidR="00AD2379" w:rsidRPr="00F64312" w:rsidRDefault="00AD2379" w:rsidP="00BF0E94">
      <w:pPr>
        <w:jc w:val="left"/>
        <w:rPr>
          <w:rFonts w:eastAsia="HiddenHorzOCR"/>
          <w:color w:val="auto"/>
          <w:highlight w:val="magenta"/>
          <w:u w:val="single"/>
        </w:rPr>
      </w:pPr>
    </w:p>
    <w:p w:rsidR="003863E9" w:rsidRPr="00792790" w:rsidRDefault="006B690F" w:rsidP="003863E9">
      <w:pPr>
        <w:jc w:val="both"/>
        <w:rPr>
          <w:rFonts w:eastAsia="Calibri" w:cs="Times New Roman"/>
          <w:color w:val="auto"/>
          <w:szCs w:val="24"/>
        </w:rPr>
      </w:pPr>
      <w:r w:rsidRPr="00081E60">
        <w:rPr>
          <w:rFonts w:eastAsia="HiddenHorzOCR"/>
          <w:color w:val="auto"/>
          <w:u w:val="single"/>
        </w:rPr>
        <w:t xml:space="preserve">Contended </w:t>
      </w:r>
      <w:r w:rsidR="00AD2379" w:rsidRPr="00081E60">
        <w:rPr>
          <w:rFonts w:eastAsia="HiddenHorzOCR"/>
          <w:color w:val="auto"/>
          <w:u w:val="single"/>
        </w:rPr>
        <w:t>PEB Conditions</w:t>
      </w:r>
      <w:r w:rsidR="00AD2379" w:rsidRPr="00081E60">
        <w:rPr>
          <w:rFonts w:eastAsia="HiddenHorzOCR"/>
          <w:color w:val="auto"/>
        </w:rPr>
        <w:t>.</w:t>
      </w:r>
      <w:r w:rsidR="0001281C" w:rsidRPr="00081E60">
        <w:rPr>
          <w:rFonts w:eastAsia="HiddenHorzOCR"/>
          <w:color w:val="auto"/>
        </w:rPr>
        <w:t xml:space="preserve">  </w:t>
      </w:r>
      <w:r w:rsidR="003863E9" w:rsidRPr="00081E60">
        <w:rPr>
          <w:rFonts w:eastAsia="Calibri" w:cs="Times New Roman"/>
          <w:color w:val="auto"/>
          <w:szCs w:val="24"/>
        </w:rPr>
        <w:t xml:space="preserve">The contended conditions adjudicated as </w:t>
      </w:r>
      <w:r w:rsidR="00AA1BD8" w:rsidRPr="00081E60">
        <w:rPr>
          <w:rFonts w:eastAsia="Calibri" w:cs="Times New Roman"/>
          <w:color w:val="auto"/>
          <w:szCs w:val="24"/>
        </w:rPr>
        <w:t>not unfitting</w:t>
      </w:r>
      <w:r w:rsidR="00051EFF" w:rsidRPr="00081E60">
        <w:rPr>
          <w:rFonts w:eastAsia="Calibri" w:cs="Times New Roman"/>
          <w:color w:val="auto"/>
          <w:szCs w:val="24"/>
        </w:rPr>
        <w:t xml:space="preserve"> </w:t>
      </w:r>
      <w:r w:rsidR="003863E9" w:rsidRPr="00081E60">
        <w:rPr>
          <w:rFonts w:eastAsia="Calibri" w:cs="Times New Roman"/>
          <w:color w:val="auto"/>
          <w:szCs w:val="24"/>
        </w:rPr>
        <w:t xml:space="preserve">by the PEB </w:t>
      </w:r>
      <w:r w:rsidR="00AA1BD8" w:rsidRPr="00081E60">
        <w:rPr>
          <w:rFonts w:eastAsia="Calibri" w:cs="Times New Roman"/>
          <w:color w:val="auto"/>
          <w:szCs w:val="24"/>
        </w:rPr>
        <w:t>(</w:t>
      </w:r>
      <w:proofErr w:type="spellStart"/>
      <w:r w:rsidR="002D4982" w:rsidRPr="00081E60">
        <w:rPr>
          <w:rFonts w:eastAsia="Calibri" w:cs="Times New Roman"/>
          <w:color w:val="auto"/>
          <w:szCs w:val="24"/>
        </w:rPr>
        <w:t>tinea</w:t>
      </w:r>
      <w:proofErr w:type="spellEnd"/>
      <w:r w:rsidR="002D4982" w:rsidRPr="00081E60">
        <w:rPr>
          <w:rFonts w:eastAsia="Calibri" w:cs="Times New Roman"/>
          <w:color w:val="auto"/>
          <w:szCs w:val="24"/>
        </w:rPr>
        <w:t xml:space="preserve"> </w:t>
      </w:r>
      <w:proofErr w:type="spellStart"/>
      <w:r w:rsidR="002D4982" w:rsidRPr="00081E60">
        <w:rPr>
          <w:rFonts w:eastAsia="Calibri" w:cs="Times New Roman"/>
          <w:color w:val="auto"/>
          <w:szCs w:val="24"/>
        </w:rPr>
        <w:t>pedis</w:t>
      </w:r>
      <w:proofErr w:type="spellEnd"/>
      <w:r w:rsidR="00AA1BD8" w:rsidRPr="00081E60">
        <w:rPr>
          <w:rFonts w:eastAsia="Calibri" w:cs="Times New Roman"/>
          <w:color w:val="auto"/>
          <w:szCs w:val="24"/>
        </w:rPr>
        <w:t xml:space="preserve">, </w:t>
      </w:r>
      <w:proofErr w:type="spellStart"/>
      <w:r w:rsidR="00AA1BD8" w:rsidRPr="00081E60">
        <w:rPr>
          <w:rFonts w:eastAsia="Calibri" w:cs="Times New Roman"/>
          <w:color w:val="auto"/>
          <w:szCs w:val="24"/>
        </w:rPr>
        <w:t>IgA</w:t>
      </w:r>
      <w:proofErr w:type="spellEnd"/>
      <w:r w:rsidR="00AA1BD8" w:rsidRPr="00081E60">
        <w:rPr>
          <w:rFonts w:eastAsia="Calibri" w:cs="Times New Roman"/>
          <w:color w:val="auto"/>
          <w:szCs w:val="24"/>
        </w:rPr>
        <w:t xml:space="preserve"> </w:t>
      </w:r>
      <w:r w:rsidR="002D4982" w:rsidRPr="00081E60">
        <w:rPr>
          <w:rFonts w:eastAsia="Calibri" w:cs="Times New Roman"/>
          <w:color w:val="auto"/>
          <w:szCs w:val="24"/>
        </w:rPr>
        <w:t xml:space="preserve">nephropathy, hypertension, </w:t>
      </w:r>
      <w:proofErr w:type="spellStart"/>
      <w:r w:rsidR="002D4982" w:rsidRPr="00081E60">
        <w:rPr>
          <w:rFonts w:eastAsia="Calibri" w:cs="Times New Roman"/>
          <w:color w:val="auto"/>
          <w:szCs w:val="24"/>
        </w:rPr>
        <w:t>pes</w:t>
      </w:r>
      <w:proofErr w:type="spellEnd"/>
      <w:r w:rsidR="002D4982" w:rsidRPr="00081E60">
        <w:rPr>
          <w:rFonts w:eastAsia="Calibri" w:cs="Times New Roman"/>
          <w:color w:val="auto"/>
          <w:szCs w:val="24"/>
        </w:rPr>
        <w:t xml:space="preserve"> </w:t>
      </w:r>
      <w:proofErr w:type="spellStart"/>
      <w:r w:rsidR="002D4982" w:rsidRPr="00081E60">
        <w:rPr>
          <w:rFonts w:eastAsia="Calibri" w:cs="Times New Roman"/>
          <w:color w:val="auto"/>
          <w:szCs w:val="24"/>
        </w:rPr>
        <w:t>planus</w:t>
      </w:r>
      <w:proofErr w:type="spellEnd"/>
      <w:r w:rsidR="002D4982" w:rsidRPr="00081E60">
        <w:rPr>
          <w:rFonts w:eastAsia="Calibri" w:cs="Times New Roman"/>
          <w:color w:val="auto"/>
          <w:szCs w:val="24"/>
        </w:rPr>
        <w:t>, myopia, and cluster-like headaches</w:t>
      </w:r>
      <w:r w:rsidR="002D4982">
        <w:rPr>
          <w:rFonts w:eastAsia="Calibri" w:cs="Times New Roman"/>
          <w:color w:val="auto"/>
          <w:szCs w:val="24"/>
        </w:rPr>
        <w:t xml:space="preserve">) </w:t>
      </w:r>
      <w:proofErr w:type="gramStart"/>
      <w:r w:rsidR="00AA1BD8" w:rsidRPr="00081E60">
        <w:rPr>
          <w:rFonts w:eastAsia="Calibri" w:cs="Times New Roman"/>
          <w:color w:val="auto"/>
          <w:szCs w:val="24"/>
        </w:rPr>
        <w:t>are</w:t>
      </w:r>
      <w:proofErr w:type="gramEnd"/>
      <w:r w:rsidR="00AA1BD8" w:rsidRPr="00081E60">
        <w:rPr>
          <w:rFonts w:eastAsia="Calibri" w:cs="Times New Roman"/>
          <w:color w:val="auto"/>
          <w:szCs w:val="24"/>
        </w:rPr>
        <w:t xml:space="preserve"> listed in the rating comparison chart above.  </w:t>
      </w:r>
      <w:r w:rsidR="003863E9" w:rsidRPr="00081E60">
        <w:rPr>
          <w:rFonts w:eastAsia="Calibri" w:cs="Times New Roman"/>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081E60">
        <w:rPr>
          <w:rFonts w:eastAsia="Calibri" w:cs="Times New Roman"/>
          <w:color w:val="auto"/>
          <w:szCs w:val="24"/>
        </w:rPr>
        <w:t xml:space="preserve">  </w:t>
      </w:r>
      <w:r w:rsidR="008027A8">
        <w:rPr>
          <w:color w:val="000000"/>
        </w:rPr>
        <w:t xml:space="preserve">The only </w:t>
      </w:r>
      <w:r w:rsidR="00051EFF">
        <w:rPr>
          <w:color w:val="000000"/>
        </w:rPr>
        <w:t xml:space="preserve">contended </w:t>
      </w:r>
      <w:r w:rsidR="008027A8">
        <w:rPr>
          <w:color w:val="000000"/>
        </w:rPr>
        <w:t xml:space="preserve">condition </w:t>
      </w:r>
      <w:r w:rsidR="00AA1BD8">
        <w:rPr>
          <w:color w:val="000000"/>
        </w:rPr>
        <w:t xml:space="preserve">with a profile </w:t>
      </w:r>
      <w:r w:rsidR="008027A8">
        <w:rPr>
          <w:color w:val="000000"/>
        </w:rPr>
        <w:t>was</w:t>
      </w:r>
      <w:r w:rsidR="00051EFF">
        <w:rPr>
          <w:color w:val="000000"/>
        </w:rPr>
        <w:t xml:space="preserve"> the </w:t>
      </w:r>
      <w:r w:rsidR="002D4982">
        <w:rPr>
          <w:color w:val="000000"/>
        </w:rPr>
        <w:t>IgA n</w:t>
      </w:r>
      <w:r w:rsidR="008027A8">
        <w:rPr>
          <w:color w:val="000000"/>
        </w:rPr>
        <w:t>ephropathy</w:t>
      </w:r>
      <w:r w:rsidR="00FF7B1D">
        <w:rPr>
          <w:color w:val="000000"/>
        </w:rPr>
        <w:t>.  A military N</w:t>
      </w:r>
      <w:r w:rsidR="00051EFF">
        <w:rPr>
          <w:color w:val="000000"/>
        </w:rPr>
        <w:t>ephrologist’s recommendation resulted in a</w:t>
      </w:r>
      <w:r w:rsidR="008027A8">
        <w:rPr>
          <w:color w:val="000000"/>
        </w:rPr>
        <w:t xml:space="preserve"> P2 profile as</w:t>
      </w:r>
      <w:r w:rsidR="00051EFF">
        <w:rPr>
          <w:color w:val="000000"/>
        </w:rPr>
        <w:t xml:space="preserve"> the </w:t>
      </w:r>
      <w:r w:rsidR="008027A8">
        <w:rPr>
          <w:color w:val="000000"/>
        </w:rPr>
        <w:t xml:space="preserve">CI’s proteinuria was not in nephritic range and his hypertension was controlled.  </w:t>
      </w:r>
      <w:r w:rsidR="003863E9" w:rsidRPr="001F29F9">
        <w:rPr>
          <w:color w:val="000000"/>
        </w:rPr>
        <w:t>None of the</w:t>
      </w:r>
      <w:r w:rsidR="008027A8">
        <w:rPr>
          <w:color w:val="000000"/>
        </w:rPr>
        <w:t xml:space="preserve"> other </w:t>
      </w:r>
      <w:r w:rsidR="003863E9" w:rsidRPr="00244791">
        <w:rPr>
          <w:color w:val="000000"/>
        </w:rPr>
        <w:t xml:space="preserve">conditions were </w:t>
      </w:r>
      <w:r w:rsidR="003863E9">
        <w:rPr>
          <w:color w:val="000000"/>
        </w:rPr>
        <w:t>profiled</w:t>
      </w:r>
      <w:r w:rsidR="008027A8">
        <w:rPr>
          <w:color w:val="000000"/>
        </w:rPr>
        <w:t>.  N</w:t>
      </w:r>
      <w:r w:rsidR="003863E9">
        <w:rPr>
          <w:color w:val="000000"/>
        </w:rPr>
        <w:t xml:space="preserve">one </w:t>
      </w:r>
      <w:r w:rsidR="00051EFF">
        <w:rPr>
          <w:color w:val="000000"/>
        </w:rPr>
        <w:t xml:space="preserve">of the contended conditions </w:t>
      </w:r>
      <w:r w:rsidR="003863E9">
        <w:rPr>
          <w:color w:val="000000"/>
        </w:rPr>
        <w:t xml:space="preserve">were </w:t>
      </w:r>
      <w:r w:rsidR="003863E9" w:rsidRPr="00244791">
        <w:rPr>
          <w:color w:val="000000"/>
        </w:rPr>
        <w:t>implicated in the commander’s statement</w:t>
      </w:r>
      <w:r w:rsidR="003863E9">
        <w:rPr>
          <w:color w:val="000000"/>
        </w:rPr>
        <w:t xml:space="preserve"> and none were 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3863E9" w:rsidRPr="001F29F9">
        <w:rPr>
          <w:color w:val="000000"/>
        </w:rPr>
        <w:t xml:space="preserve">All were reviewed and considered by the Board. </w:t>
      </w:r>
      <w:r w:rsidR="003863E9">
        <w:rPr>
          <w:color w:val="000000"/>
        </w:rPr>
        <w:t xml:space="preserve"> </w:t>
      </w:r>
      <w:r w:rsidR="003863E9" w:rsidRPr="001F29F9">
        <w:rPr>
          <w:color w:val="000000"/>
        </w:rPr>
        <w:t>There was no indication from the record that any of these conditions significantly interfered with satisfactory duty performance.</w:t>
      </w:r>
      <w:r w:rsidR="008027A8">
        <w:rPr>
          <w:color w:val="000000"/>
        </w:rPr>
        <w:t xml:space="preserve">  </w:t>
      </w:r>
      <w:r w:rsidR="003863E9" w:rsidRPr="00792790">
        <w:rPr>
          <w:rFonts w:eastAsia="Calibri" w:cs="Times New Roman"/>
          <w:color w:val="auto"/>
          <w:szCs w:val="24"/>
        </w:rPr>
        <w:t xml:space="preserve">After due deliberation in consideration of the preponderance of the evidence, the Board concluded that there was </w:t>
      </w:r>
      <w:r w:rsidR="003863E9" w:rsidRPr="00792790">
        <w:rPr>
          <w:rFonts w:eastAsia="Calibri" w:cs="Times New Roman"/>
          <w:color w:val="auto"/>
          <w:szCs w:val="24"/>
        </w:rPr>
        <w:lastRenderedPageBreak/>
        <w:t>insufficient cause to recommend a change in the PEB fitness determination for the any of the contended conditions</w:t>
      </w:r>
      <w:r w:rsidR="003863E9">
        <w:rPr>
          <w:rFonts w:eastAsia="Calibri" w:cs="Times New Roman"/>
          <w:color w:val="auto"/>
          <w:szCs w:val="24"/>
        </w:rPr>
        <w:t xml:space="preserve"> </w:t>
      </w:r>
      <w:r w:rsidR="003863E9" w:rsidRPr="00792790">
        <w:rPr>
          <w:rFonts w:eastAsia="Calibri" w:cs="Times New Roman"/>
          <w:color w:val="auto"/>
          <w:szCs w:val="24"/>
        </w:rPr>
        <w:t>and therefore, no additional disability ratings can be recommended.</w:t>
      </w:r>
      <w:r w:rsidR="00AA1BD8">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with the </w:t>
      </w:r>
      <w:r w:rsidRPr="00081E60">
        <w:rPr>
          <w:color w:val="auto"/>
        </w:rPr>
        <w:t>VASRD in effect at the time of the adjudication</w:t>
      </w:r>
      <w:r w:rsidRPr="00081E60">
        <w:rPr>
          <w:rFonts w:cs="Times New Roman"/>
          <w:color w:val="auto"/>
        </w:rPr>
        <w:t>.</w:t>
      </w:r>
      <w:r w:rsidR="00081E60" w:rsidRPr="00081E60">
        <w:rPr>
          <w:rFonts w:cs="Times New Roman"/>
          <w:color w:val="auto"/>
        </w:rPr>
        <w:t xml:space="preserve">  </w:t>
      </w:r>
      <w:r w:rsidR="00B676DA" w:rsidRPr="00081E60">
        <w:rPr>
          <w:rFonts w:eastAsia="Calibri" w:cs="Times New Roman"/>
          <w:color w:val="auto"/>
          <w:szCs w:val="24"/>
        </w:rPr>
        <w:t xml:space="preserve">As discussed above, PEB reliance on AR 635-40 </w:t>
      </w:r>
      <w:proofErr w:type="spellStart"/>
      <w:r w:rsidR="00B676DA" w:rsidRPr="00081E60">
        <w:rPr>
          <w:rFonts w:eastAsia="Calibri" w:cs="Times New Roman"/>
          <w:color w:val="auto"/>
          <w:szCs w:val="24"/>
        </w:rPr>
        <w:t>para</w:t>
      </w:r>
      <w:proofErr w:type="spellEnd"/>
      <w:r w:rsidR="00B676DA" w:rsidRPr="00081E60">
        <w:rPr>
          <w:rFonts w:eastAsia="Calibri" w:cs="Times New Roman"/>
          <w:color w:val="auto"/>
          <w:szCs w:val="24"/>
        </w:rPr>
        <w:t xml:space="preserve"> B-29e for rating chronic back pain with sacroiliitis and likely application of the USAPDA pain policy was operant in this case and the condition was adjudicated independently of that policy by the Board.</w:t>
      </w:r>
      <w:r w:rsidR="00081E60" w:rsidRPr="00081E60">
        <w:rPr>
          <w:rFonts w:eastAsia="Calibri" w:cs="Times New Roman"/>
          <w:color w:val="auto"/>
          <w:szCs w:val="24"/>
        </w:rPr>
        <w:t xml:space="preserve">  </w:t>
      </w:r>
      <w:r w:rsidR="00241B01" w:rsidRPr="00081E60">
        <w:rPr>
          <w:rFonts w:eastAsia="Calibri" w:cs="Times New Roman"/>
          <w:color w:val="auto"/>
          <w:szCs w:val="24"/>
        </w:rPr>
        <w:t xml:space="preserve">In the matter of the </w:t>
      </w:r>
      <w:r w:rsidR="002D4982" w:rsidRPr="00081E60">
        <w:rPr>
          <w:color w:val="auto"/>
          <w:szCs w:val="24"/>
        </w:rPr>
        <w:t xml:space="preserve">chronic </w:t>
      </w:r>
      <w:r w:rsidR="002D4982" w:rsidRPr="00081E60">
        <w:rPr>
          <w:bCs/>
          <w:color w:val="auto"/>
          <w:szCs w:val="24"/>
        </w:rPr>
        <w:t xml:space="preserve">back </w:t>
      </w:r>
      <w:r w:rsidR="002D4982" w:rsidRPr="00081E60">
        <w:rPr>
          <w:color w:val="auto"/>
          <w:szCs w:val="24"/>
        </w:rPr>
        <w:t xml:space="preserve">pain </w:t>
      </w:r>
      <w:r w:rsidR="002D4982" w:rsidRPr="00081E60">
        <w:rPr>
          <w:bCs/>
          <w:color w:val="auto"/>
          <w:szCs w:val="24"/>
        </w:rPr>
        <w:t xml:space="preserve">with </w:t>
      </w:r>
      <w:proofErr w:type="spellStart"/>
      <w:r w:rsidR="002D4982" w:rsidRPr="00081E60">
        <w:rPr>
          <w:bCs/>
          <w:color w:val="auto"/>
          <w:szCs w:val="24"/>
        </w:rPr>
        <w:t>sacroiliitis</w:t>
      </w:r>
      <w:proofErr w:type="spellEnd"/>
      <w:r w:rsidR="002D4982" w:rsidRPr="00081E60">
        <w:rPr>
          <w:rFonts w:eastAsia="Calibri" w:cs="Times New Roman"/>
          <w:color w:val="auto"/>
          <w:szCs w:val="24"/>
        </w:rPr>
        <w:t xml:space="preserve"> </w:t>
      </w:r>
      <w:r w:rsidR="00241B01" w:rsidRPr="00081E60">
        <w:rPr>
          <w:rFonts w:eastAsia="Calibri" w:cs="Times New Roman"/>
          <w:color w:val="auto"/>
          <w:szCs w:val="24"/>
        </w:rPr>
        <w:t xml:space="preserve">condition, the Board unanimously recommends a disability rating of </w:t>
      </w:r>
      <w:r w:rsidR="00FC68E7" w:rsidRPr="00081E60">
        <w:rPr>
          <w:rFonts w:eastAsia="Calibri" w:cs="Times New Roman"/>
          <w:color w:val="auto"/>
          <w:szCs w:val="24"/>
        </w:rPr>
        <w:t>20%</w:t>
      </w:r>
      <w:r w:rsidR="00241B01" w:rsidRPr="00081E60">
        <w:rPr>
          <w:rFonts w:eastAsia="Calibri" w:cs="Times New Roman"/>
          <w:color w:val="auto"/>
          <w:szCs w:val="24"/>
        </w:rPr>
        <w:t xml:space="preserve">, coded </w:t>
      </w:r>
      <w:r w:rsidR="00AA1BD8" w:rsidRPr="00081E60">
        <w:rPr>
          <w:color w:val="auto"/>
        </w:rPr>
        <w:t>5299-5237</w:t>
      </w:r>
      <w:r w:rsidR="00241B01" w:rsidRPr="00081E60">
        <w:rPr>
          <w:rFonts w:eastAsia="Calibri" w:cs="Times New Roman"/>
          <w:color w:val="auto"/>
          <w:szCs w:val="24"/>
        </w:rPr>
        <w:t xml:space="preserve"> IAW VASRD §4.71a.</w:t>
      </w:r>
      <w:r w:rsidR="00081E60" w:rsidRPr="00081E60">
        <w:rPr>
          <w:rFonts w:eastAsia="Calibri" w:cs="Times New Roman"/>
          <w:color w:val="auto"/>
          <w:szCs w:val="24"/>
        </w:rPr>
        <w:t xml:space="preserve">  </w:t>
      </w:r>
      <w:r w:rsidR="00560F12" w:rsidRPr="00081E60">
        <w:rPr>
          <w:rFonts w:eastAsia="Calibri" w:cs="Times New Roman"/>
          <w:color w:val="auto"/>
          <w:szCs w:val="24"/>
        </w:rPr>
        <w:t xml:space="preserve">In the matter of the </w:t>
      </w:r>
      <w:r w:rsidR="00FC68E7" w:rsidRPr="00081E60">
        <w:rPr>
          <w:rFonts w:eastAsia="Calibri" w:cs="Times New Roman"/>
          <w:color w:val="auto"/>
          <w:szCs w:val="24"/>
        </w:rPr>
        <w:t xml:space="preserve">six additional </w:t>
      </w:r>
      <w:r w:rsidR="00560F12" w:rsidRPr="00081E60">
        <w:rPr>
          <w:rFonts w:eastAsia="Calibri" w:cs="Times New Roman"/>
          <w:color w:val="auto"/>
          <w:szCs w:val="24"/>
        </w:rPr>
        <w:t xml:space="preserve">contended </w:t>
      </w:r>
      <w:r w:rsidR="00FC68E7" w:rsidRPr="00081E60">
        <w:rPr>
          <w:rFonts w:eastAsia="Calibri" w:cs="Times New Roman"/>
          <w:color w:val="auto"/>
          <w:szCs w:val="24"/>
        </w:rPr>
        <w:t>c</w:t>
      </w:r>
      <w:r w:rsidR="00560F12" w:rsidRPr="00081E60">
        <w:rPr>
          <w:rFonts w:eastAsia="Calibri" w:cs="Times New Roman"/>
          <w:color w:val="auto"/>
          <w:szCs w:val="24"/>
        </w:rPr>
        <w:t>onditions</w:t>
      </w:r>
      <w:r w:rsidR="00FC68E7" w:rsidRPr="00081E60">
        <w:rPr>
          <w:rFonts w:eastAsia="Calibri" w:cs="Times New Roman"/>
          <w:color w:val="auto"/>
          <w:szCs w:val="24"/>
        </w:rPr>
        <w:t xml:space="preserve"> </w:t>
      </w:r>
      <w:r w:rsidR="00AA1BD8" w:rsidRPr="00081E60">
        <w:rPr>
          <w:rFonts w:eastAsia="Calibri" w:cs="Times New Roman"/>
          <w:color w:val="auto"/>
          <w:szCs w:val="24"/>
        </w:rPr>
        <w:t>(</w:t>
      </w:r>
      <w:proofErr w:type="spellStart"/>
      <w:r w:rsidR="002D4982">
        <w:rPr>
          <w:rFonts w:eastAsia="Calibri" w:cs="Times New Roman"/>
          <w:color w:val="auto"/>
          <w:szCs w:val="24"/>
        </w:rPr>
        <w:t>tinea</w:t>
      </w:r>
      <w:proofErr w:type="spellEnd"/>
      <w:r w:rsidR="002D4982">
        <w:rPr>
          <w:rFonts w:eastAsia="Calibri" w:cs="Times New Roman"/>
          <w:color w:val="auto"/>
          <w:szCs w:val="24"/>
        </w:rPr>
        <w:t xml:space="preserve"> </w:t>
      </w:r>
      <w:proofErr w:type="spellStart"/>
      <w:r w:rsidR="002D4982">
        <w:rPr>
          <w:rFonts w:eastAsia="Calibri" w:cs="Times New Roman"/>
          <w:color w:val="auto"/>
          <w:szCs w:val="24"/>
        </w:rPr>
        <w:t>pedis</w:t>
      </w:r>
      <w:proofErr w:type="spellEnd"/>
      <w:r w:rsidR="002D4982">
        <w:rPr>
          <w:rFonts w:eastAsia="Calibri" w:cs="Times New Roman"/>
          <w:color w:val="auto"/>
          <w:szCs w:val="24"/>
        </w:rPr>
        <w:t xml:space="preserve">, </w:t>
      </w:r>
      <w:proofErr w:type="spellStart"/>
      <w:r w:rsidR="002D4982">
        <w:rPr>
          <w:rFonts w:eastAsia="Calibri" w:cs="Times New Roman"/>
          <w:color w:val="auto"/>
          <w:szCs w:val="24"/>
        </w:rPr>
        <w:t>IgA</w:t>
      </w:r>
      <w:proofErr w:type="spellEnd"/>
      <w:r w:rsidR="002D4982" w:rsidRPr="00081E60">
        <w:rPr>
          <w:rFonts w:eastAsia="Calibri" w:cs="Times New Roman"/>
          <w:color w:val="auto"/>
          <w:szCs w:val="24"/>
        </w:rPr>
        <w:t xml:space="preserve"> nephropathy, hypertension, </w:t>
      </w:r>
      <w:proofErr w:type="spellStart"/>
      <w:r w:rsidR="002D4982" w:rsidRPr="00081E60">
        <w:rPr>
          <w:rFonts w:eastAsia="Calibri" w:cs="Times New Roman"/>
          <w:color w:val="auto"/>
          <w:szCs w:val="24"/>
        </w:rPr>
        <w:t>pes</w:t>
      </w:r>
      <w:proofErr w:type="spellEnd"/>
      <w:r w:rsidR="002D4982" w:rsidRPr="00081E60">
        <w:rPr>
          <w:rFonts w:eastAsia="Calibri" w:cs="Times New Roman"/>
          <w:color w:val="auto"/>
          <w:szCs w:val="24"/>
        </w:rPr>
        <w:t xml:space="preserve"> </w:t>
      </w:r>
      <w:proofErr w:type="spellStart"/>
      <w:r w:rsidR="002D4982" w:rsidRPr="00081E60">
        <w:rPr>
          <w:rFonts w:eastAsia="Calibri" w:cs="Times New Roman"/>
          <w:color w:val="auto"/>
          <w:szCs w:val="24"/>
        </w:rPr>
        <w:t>planus</w:t>
      </w:r>
      <w:proofErr w:type="spellEnd"/>
      <w:r w:rsidR="002D4982" w:rsidRPr="00081E60">
        <w:rPr>
          <w:rFonts w:eastAsia="Calibri" w:cs="Times New Roman"/>
          <w:color w:val="auto"/>
          <w:szCs w:val="24"/>
        </w:rPr>
        <w:t>, myopia, and cluster-like headaches</w:t>
      </w:r>
      <w:r w:rsidR="00AA1BD8" w:rsidRPr="00081E60">
        <w:rPr>
          <w:rFonts w:eastAsia="Calibri" w:cs="Times New Roman"/>
          <w:color w:val="auto"/>
          <w:szCs w:val="24"/>
        </w:rPr>
        <w:t xml:space="preserve">) </w:t>
      </w:r>
      <w:r w:rsidR="00FC68E7" w:rsidRPr="00081E60">
        <w:rPr>
          <w:rFonts w:eastAsia="Calibri" w:cs="Times New Roman"/>
          <w:color w:val="auto"/>
          <w:szCs w:val="24"/>
        </w:rPr>
        <w:t>listed in the ratings comparison chart above</w:t>
      </w:r>
      <w:r w:rsidR="00560F12" w:rsidRPr="00081E60">
        <w:rPr>
          <w:rFonts w:eastAsia="Calibri" w:cs="Times New Roman"/>
          <w:color w:val="auto"/>
          <w:szCs w:val="24"/>
        </w:rPr>
        <w:t xml:space="preserve">, the Board unanimously </w:t>
      </w:r>
      <w:r w:rsidR="00417BED" w:rsidRPr="00081E60">
        <w:rPr>
          <w:rFonts w:eastAsia="Calibri" w:cs="Times New Roman"/>
          <w:color w:val="auto"/>
          <w:szCs w:val="24"/>
        </w:rPr>
        <w:t xml:space="preserve">recommends no change from the PEB determination as </w:t>
      </w:r>
      <w:r w:rsidR="00AA1BD8" w:rsidRPr="00081E60">
        <w:rPr>
          <w:rFonts w:eastAsia="Calibri" w:cs="Times New Roman"/>
          <w:color w:val="auto"/>
          <w:szCs w:val="24"/>
        </w:rPr>
        <w:t>not unfitting</w:t>
      </w:r>
      <w:r w:rsidR="00417BED" w:rsidRPr="00081E60">
        <w:rPr>
          <w:rFonts w:eastAsia="Calibri" w:cs="Times New Roman"/>
          <w:color w:val="auto"/>
          <w:szCs w:val="24"/>
        </w:rPr>
        <w:t>.</w:t>
      </w:r>
      <w:r w:rsidR="00CD707E" w:rsidRPr="00081E60">
        <w:rPr>
          <w:rFonts w:eastAsia="Calibri" w:cs="Times New Roman"/>
          <w:color w:val="auto"/>
          <w:szCs w:val="24"/>
        </w:rPr>
        <w:t xml:space="preserve">  </w:t>
      </w:r>
      <w:r w:rsidR="00417BED" w:rsidRPr="00081E60">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627E0E" w:rsidRDefault="00AD2379" w:rsidP="00DF5D5C">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w:t>
      </w:r>
      <w:r w:rsidR="00565636" w:rsidRPr="00627E0E">
        <w:rPr>
          <w:rFonts w:eastAsia="Calibri" w:cs="Times New Roman"/>
          <w:color w:val="auto"/>
          <w:szCs w:val="24"/>
        </w:rPr>
        <w:t xml:space="preserve">determination be modified as follows, effective as of the date of his prior medical </w:t>
      </w:r>
      <w:r w:rsidR="00417BED" w:rsidRPr="00627E0E">
        <w:rPr>
          <w:rFonts w:eastAsia="Calibri" w:cs="Times New Roman"/>
          <w:color w:val="auto"/>
          <w:szCs w:val="24"/>
        </w:rPr>
        <w:t>separation:</w:t>
      </w:r>
      <w:r w:rsidR="006B690F" w:rsidRPr="00627E0E">
        <w:rPr>
          <w:rFonts w:eastAsia="Calibri" w:cs="Times New Roman"/>
          <w:color w:val="auto"/>
          <w:szCs w:val="24"/>
        </w:rPr>
        <w:t xml:space="preserve">  </w:t>
      </w:r>
    </w:p>
    <w:p w:rsidR="00AD2379" w:rsidRPr="00627E0E"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627E0E" w:rsidTr="006B690F">
        <w:trPr>
          <w:trHeight w:val="233"/>
          <w:jc w:val="center"/>
        </w:trPr>
        <w:tc>
          <w:tcPr>
            <w:tcW w:w="6768" w:type="dxa"/>
            <w:shd w:val="clear" w:color="auto" w:fill="D9D9D9"/>
            <w:vAlign w:val="center"/>
          </w:tcPr>
          <w:p w:rsidR="00AD2379" w:rsidRPr="00627E0E" w:rsidRDefault="00AD2379" w:rsidP="006B690F">
            <w:pPr>
              <w:tabs>
                <w:tab w:val="left" w:pos="288"/>
                <w:tab w:val="left" w:pos="4752"/>
              </w:tabs>
              <w:rPr>
                <w:b/>
                <w:color w:val="auto"/>
              </w:rPr>
            </w:pPr>
            <w:r w:rsidRPr="00627E0E">
              <w:rPr>
                <w:b/>
                <w:color w:val="auto"/>
              </w:rPr>
              <w:t>UNFITTING CONDITION</w:t>
            </w:r>
          </w:p>
        </w:tc>
        <w:tc>
          <w:tcPr>
            <w:tcW w:w="1530" w:type="dxa"/>
            <w:shd w:val="clear" w:color="auto" w:fill="D9D9D9"/>
            <w:vAlign w:val="center"/>
          </w:tcPr>
          <w:p w:rsidR="00AD2379" w:rsidRPr="00627E0E" w:rsidRDefault="00AD2379" w:rsidP="006B690F">
            <w:pPr>
              <w:tabs>
                <w:tab w:val="left" w:pos="288"/>
                <w:tab w:val="left" w:pos="4752"/>
              </w:tabs>
              <w:rPr>
                <w:b/>
                <w:color w:val="auto"/>
              </w:rPr>
            </w:pPr>
            <w:r w:rsidRPr="00627E0E">
              <w:rPr>
                <w:b/>
                <w:color w:val="auto"/>
              </w:rPr>
              <w:t>VASRD CODE</w:t>
            </w:r>
          </w:p>
        </w:tc>
        <w:tc>
          <w:tcPr>
            <w:tcW w:w="1026" w:type="dxa"/>
            <w:shd w:val="clear" w:color="auto" w:fill="D9D9D9"/>
            <w:vAlign w:val="center"/>
          </w:tcPr>
          <w:p w:rsidR="00AD2379" w:rsidRPr="00627E0E" w:rsidRDefault="00AD2379" w:rsidP="006B690F">
            <w:pPr>
              <w:tabs>
                <w:tab w:val="left" w:pos="288"/>
                <w:tab w:val="left" w:pos="4752"/>
              </w:tabs>
              <w:rPr>
                <w:b/>
                <w:color w:val="auto"/>
              </w:rPr>
            </w:pPr>
            <w:r w:rsidRPr="00627E0E">
              <w:rPr>
                <w:b/>
                <w:color w:val="auto"/>
              </w:rPr>
              <w:t>RATING</w:t>
            </w:r>
          </w:p>
        </w:tc>
      </w:tr>
      <w:tr w:rsidR="00AD2379" w:rsidRPr="00627E0E" w:rsidTr="006B690F">
        <w:trPr>
          <w:jc w:val="center"/>
        </w:trPr>
        <w:tc>
          <w:tcPr>
            <w:tcW w:w="6768" w:type="dxa"/>
            <w:vAlign w:val="center"/>
          </w:tcPr>
          <w:p w:rsidR="00AD2379" w:rsidRPr="00627E0E" w:rsidRDefault="00FC68E7" w:rsidP="006B690F">
            <w:pPr>
              <w:tabs>
                <w:tab w:val="left" w:pos="288"/>
                <w:tab w:val="left" w:pos="4752"/>
              </w:tabs>
              <w:jc w:val="left"/>
              <w:rPr>
                <w:color w:val="auto"/>
                <w:szCs w:val="24"/>
              </w:rPr>
            </w:pPr>
            <w:r w:rsidRPr="00627E0E">
              <w:rPr>
                <w:color w:val="auto"/>
                <w:szCs w:val="24"/>
              </w:rPr>
              <w:t xml:space="preserve">Chronic </w:t>
            </w:r>
            <w:r w:rsidRPr="00627E0E">
              <w:rPr>
                <w:bCs/>
                <w:color w:val="auto"/>
                <w:szCs w:val="24"/>
              </w:rPr>
              <w:t xml:space="preserve">Back </w:t>
            </w:r>
            <w:r w:rsidRPr="00627E0E">
              <w:rPr>
                <w:color w:val="auto"/>
                <w:szCs w:val="24"/>
              </w:rPr>
              <w:t xml:space="preserve">Pain </w:t>
            </w:r>
            <w:r w:rsidRPr="00627E0E">
              <w:rPr>
                <w:bCs/>
                <w:color w:val="auto"/>
                <w:szCs w:val="24"/>
              </w:rPr>
              <w:t>with Sacroiliitis</w:t>
            </w:r>
          </w:p>
        </w:tc>
        <w:tc>
          <w:tcPr>
            <w:tcW w:w="1530" w:type="dxa"/>
            <w:vAlign w:val="center"/>
          </w:tcPr>
          <w:p w:rsidR="00AD2379" w:rsidRPr="00627E0E" w:rsidRDefault="00AA1BD8" w:rsidP="00CD707E">
            <w:pPr>
              <w:tabs>
                <w:tab w:val="left" w:pos="288"/>
                <w:tab w:val="left" w:pos="4752"/>
              </w:tabs>
              <w:rPr>
                <w:color w:val="auto"/>
              </w:rPr>
            </w:pPr>
            <w:r w:rsidRPr="00627E0E">
              <w:rPr>
                <w:color w:val="auto"/>
              </w:rPr>
              <w:t>5299-5237</w:t>
            </w:r>
          </w:p>
        </w:tc>
        <w:tc>
          <w:tcPr>
            <w:tcW w:w="1026" w:type="dxa"/>
            <w:vAlign w:val="center"/>
          </w:tcPr>
          <w:p w:rsidR="00AD2379" w:rsidRPr="00627E0E" w:rsidRDefault="00FC68E7" w:rsidP="00FC68E7">
            <w:pPr>
              <w:tabs>
                <w:tab w:val="left" w:pos="288"/>
                <w:tab w:val="left" w:pos="4752"/>
              </w:tabs>
              <w:rPr>
                <w:color w:val="auto"/>
              </w:rPr>
            </w:pPr>
            <w:r w:rsidRPr="00627E0E">
              <w:rPr>
                <w:color w:val="auto"/>
              </w:rPr>
              <w:t>2</w:t>
            </w:r>
            <w:r w:rsidR="00AD2379" w:rsidRPr="00627E0E">
              <w:rPr>
                <w:color w:val="auto"/>
              </w:rPr>
              <w:t>0%</w:t>
            </w:r>
          </w:p>
        </w:tc>
      </w:tr>
      <w:tr w:rsidR="00AD2379" w:rsidRPr="00627E0E"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627E0E" w:rsidRDefault="00AD2379" w:rsidP="006B690F">
            <w:pPr>
              <w:tabs>
                <w:tab w:val="left" w:pos="288"/>
                <w:tab w:val="left" w:pos="4752"/>
              </w:tabs>
              <w:rPr>
                <w:b/>
                <w:color w:val="auto"/>
              </w:rPr>
            </w:pPr>
            <w:r w:rsidRPr="00627E0E">
              <w:rPr>
                <w:b/>
                <w:color w:val="auto"/>
              </w:rPr>
              <w:t>COMBINED</w:t>
            </w:r>
          </w:p>
        </w:tc>
        <w:tc>
          <w:tcPr>
            <w:tcW w:w="1026" w:type="dxa"/>
            <w:shd w:val="clear" w:color="auto" w:fill="D9D9D9"/>
            <w:vAlign w:val="center"/>
          </w:tcPr>
          <w:p w:rsidR="00AD2379" w:rsidRPr="00627E0E" w:rsidRDefault="00FC68E7" w:rsidP="00FC68E7">
            <w:pPr>
              <w:tabs>
                <w:tab w:val="left" w:pos="288"/>
                <w:tab w:val="left" w:pos="4752"/>
              </w:tabs>
              <w:rPr>
                <w:b/>
                <w:color w:val="auto"/>
              </w:rPr>
            </w:pPr>
            <w:r w:rsidRPr="00627E0E">
              <w:rPr>
                <w:b/>
                <w:color w:val="auto"/>
              </w:rPr>
              <w:t>2</w:t>
            </w:r>
            <w:r w:rsidR="00AD2379" w:rsidRPr="00627E0E">
              <w:rPr>
                <w:b/>
                <w:color w:val="auto"/>
              </w:rPr>
              <w:t>0%</w:t>
            </w:r>
          </w:p>
        </w:tc>
      </w:tr>
    </w:tbl>
    <w:p w:rsidR="00AD2379" w:rsidRPr="00627E0E" w:rsidRDefault="00AD2379" w:rsidP="006B690F">
      <w:pPr>
        <w:pBdr>
          <w:bottom w:val="single" w:sz="12" w:space="1" w:color="auto"/>
        </w:pBdr>
        <w:tabs>
          <w:tab w:val="left" w:pos="288"/>
          <w:tab w:val="left" w:pos="4752"/>
        </w:tabs>
        <w:jc w:val="both"/>
        <w:rPr>
          <w:color w:val="auto"/>
        </w:rPr>
      </w:pPr>
    </w:p>
    <w:p w:rsidR="00AD2379" w:rsidRPr="00627E0E" w:rsidRDefault="00AD2379" w:rsidP="006B690F">
      <w:pPr>
        <w:jc w:val="both"/>
        <w:rPr>
          <w:color w:val="auto"/>
        </w:rPr>
      </w:pPr>
    </w:p>
    <w:p w:rsidR="00AD2379" w:rsidRPr="00627E0E" w:rsidRDefault="00AD2379" w:rsidP="006B690F">
      <w:pPr>
        <w:tabs>
          <w:tab w:val="left" w:pos="288"/>
          <w:tab w:val="left" w:pos="4752"/>
        </w:tabs>
        <w:jc w:val="both"/>
        <w:rPr>
          <w:color w:val="auto"/>
        </w:rPr>
      </w:pPr>
      <w:r w:rsidRPr="00627E0E">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28209B">
        <w:rPr>
          <w:color w:val="auto"/>
        </w:rPr>
        <w:t>dated 20</w:t>
      </w:r>
      <w:r w:rsidR="0028209B" w:rsidRPr="0028209B">
        <w:rPr>
          <w:color w:val="auto"/>
        </w:rPr>
        <w:t>120225</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D4DCE">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2D4DCE" w:rsidRDefault="00AD2379" w:rsidP="00BF0E94">
      <w:pPr>
        <w:tabs>
          <w:tab w:val="left" w:pos="0"/>
          <w:tab w:val="left" w:pos="4320"/>
        </w:tabs>
        <w:jc w:val="both"/>
        <w:rPr>
          <w:color w:val="auto"/>
        </w:rPr>
      </w:pPr>
      <w:r w:rsidRPr="00F64312">
        <w:rPr>
          <w:color w:val="auto"/>
        </w:rPr>
        <w:tab/>
        <w:t xml:space="preserve">           Physical Disability Board of Review</w:t>
      </w:r>
    </w:p>
    <w:p w:rsidR="002D4DCE" w:rsidRDefault="002D4DCE">
      <w:pPr>
        <w:spacing w:line="240" w:lineRule="auto"/>
        <w:jc w:val="left"/>
        <w:rPr>
          <w:color w:val="auto"/>
        </w:rPr>
      </w:pPr>
      <w:r>
        <w:rPr>
          <w:color w:val="auto"/>
        </w:rPr>
        <w:br w:type="page"/>
      </w:r>
    </w:p>
    <w:p w:rsidR="002D4DCE" w:rsidRDefault="002D4DCE" w:rsidP="002D4DCE">
      <w:pPr>
        <w:sectPr w:rsidR="002D4DCE">
          <w:pgSz w:w="12240" w:h="15840"/>
          <w:pgMar w:top="2160" w:right="1440" w:bottom="1440" w:left="1440" w:header="720" w:footer="720" w:gutter="0"/>
          <w:cols w:space="720"/>
        </w:sectPr>
      </w:pPr>
    </w:p>
    <w:p w:rsidR="002D4DCE" w:rsidRDefault="002D4DCE" w:rsidP="002D4DCE">
      <w:pPr>
        <w:pStyle w:val="Header"/>
        <w:tabs>
          <w:tab w:val="left" w:pos="720"/>
        </w:tabs>
        <w:jc w:val="left"/>
      </w:pPr>
      <w:r>
        <w:t>SFMR-RB</w:t>
      </w:r>
      <w:r>
        <w:tab/>
      </w:r>
      <w:r>
        <w:tab/>
      </w:r>
      <w:r>
        <w:tab/>
      </w:r>
      <w:r>
        <w:tab/>
      </w:r>
      <w:r>
        <w:tab/>
      </w:r>
      <w:r>
        <w:tab/>
      </w:r>
      <w:r>
        <w:tab/>
      </w:r>
      <w:r>
        <w:tab/>
      </w:r>
      <w:r>
        <w:tab/>
      </w:r>
    </w:p>
    <w:p w:rsidR="002D4DCE" w:rsidRDefault="002D4DCE" w:rsidP="002D4DCE">
      <w:pPr>
        <w:pStyle w:val="Header"/>
        <w:tabs>
          <w:tab w:val="left" w:pos="720"/>
        </w:tabs>
        <w:jc w:val="left"/>
      </w:pPr>
    </w:p>
    <w:p w:rsidR="002D4DCE" w:rsidRDefault="002D4DCE" w:rsidP="002D4DCE">
      <w:pPr>
        <w:jc w:val="left"/>
      </w:pPr>
    </w:p>
    <w:p w:rsidR="002D4DCE" w:rsidRDefault="002D4DCE" w:rsidP="002D4DCE">
      <w:pPr>
        <w:jc w:val="left"/>
      </w:pPr>
      <w:r>
        <w:t xml:space="preserve">MEMORANDUM FOR Commander, US Army Physical Disability Agency </w:t>
      </w:r>
    </w:p>
    <w:p w:rsidR="002D4DCE" w:rsidRDefault="002D4DCE" w:rsidP="002D4DCE">
      <w:pPr>
        <w:jc w:val="left"/>
      </w:pPr>
      <w:r>
        <w:t xml:space="preserve">(TAPD-ZB </w:t>
      </w:r>
      <w:proofErr w:type="gramStart"/>
      <w:r>
        <w:t>/  )</w:t>
      </w:r>
      <w:proofErr w:type="gramEnd"/>
      <w:r>
        <w:t>, 2900 Crystal Drive, Suite 300, Arlington, VA  22202-3557</w:t>
      </w:r>
    </w:p>
    <w:p w:rsidR="002D4DCE" w:rsidRDefault="002D4DCE" w:rsidP="002D4DCE">
      <w:pPr>
        <w:jc w:val="left"/>
      </w:pPr>
    </w:p>
    <w:p w:rsidR="002D4DCE" w:rsidRDefault="002D4DCE" w:rsidP="002D4DCE">
      <w:pPr>
        <w:jc w:val="left"/>
      </w:pPr>
    </w:p>
    <w:p w:rsidR="002D4DCE" w:rsidRDefault="002D4DCE" w:rsidP="002D4DCE">
      <w:pPr>
        <w:ind w:right="-180"/>
        <w:jc w:val="left"/>
      </w:pPr>
      <w:r>
        <w:t xml:space="preserve">SUBJECT:  Department of Defense Physical Disability Board of Review Recommendation </w:t>
      </w:r>
    </w:p>
    <w:p w:rsidR="002D4DCE" w:rsidRDefault="002D4DCE" w:rsidP="002D4DCE">
      <w:pPr>
        <w:pStyle w:val="Header"/>
        <w:tabs>
          <w:tab w:val="left" w:pos="720"/>
        </w:tabs>
        <w:jc w:val="left"/>
      </w:pPr>
      <w:proofErr w:type="gramStart"/>
      <w:r>
        <w:t>for</w:t>
      </w:r>
      <w:proofErr w:type="gramEnd"/>
      <w:r>
        <w:t xml:space="preserve"> XXXXXXXXXXXXXXXXXXXXX, AR20120019877 (PD201200148)</w:t>
      </w:r>
    </w:p>
    <w:p w:rsidR="002D4DCE" w:rsidRDefault="002D4DCE" w:rsidP="002D4DCE">
      <w:pPr>
        <w:pStyle w:val="Header"/>
        <w:tabs>
          <w:tab w:val="left" w:pos="720"/>
        </w:tabs>
        <w:jc w:val="left"/>
      </w:pPr>
    </w:p>
    <w:p w:rsidR="002D4DCE" w:rsidRDefault="002D4DCE" w:rsidP="002D4DCE">
      <w:pPr>
        <w:jc w:val="left"/>
      </w:pPr>
    </w:p>
    <w:p w:rsidR="002D4DCE" w:rsidRDefault="002D4DCE" w:rsidP="002D4DCE">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2D4DCE" w:rsidRDefault="002D4DCE" w:rsidP="002D4DCE">
      <w:pPr>
        <w:jc w:val="left"/>
      </w:pPr>
    </w:p>
    <w:p w:rsidR="002D4DCE" w:rsidRDefault="002D4DCE" w:rsidP="002D4DCE">
      <w:pPr>
        <w:jc w:val="left"/>
      </w:pPr>
      <w:r>
        <w:t xml:space="preserve">2.  I direct that all the Department of the Army records of the individual concerned be corrected accordingly no later than 120 days from the date of this memorandum.   </w:t>
      </w:r>
    </w:p>
    <w:p w:rsidR="002D4DCE" w:rsidRDefault="002D4DCE" w:rsidP="002D4DCE">
      <w:pPr>
        <w:jc w:val="left"/>
      </w:pPr>
    </w:p>
    <w:p w:rsidR="002D4DCE" w:rsidRDefault="002D4DCE" w:rsidP="002D4DC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D4DCE" w:rsidRDefault="002D4DCE" w:rsidP="002D4DCE">
      <w:pPr>
        <w:jc w:val="left"/>
      </w:pPr>
    </w:p>
    <w:p w:rsidR="002D4DCE" w:rsidRDefault="002D4DCE" w:rsidP="002D4DCE">
      <w:pPr>
        <w:jc w:val="left"/>
      </w:pPr>
      <w:r>
        <w:t xml:space="preserve"> BY ORDER OF THE SECRETARY OF THE ARMY:</w:t>
      </w:r>
    </w:p>
    <w:p w:rsidR="002D4DCE" w:rsidRDefault="002D4DCE" w:rsidP="002D4DCE">
      <w:pPr>
        <w:jc w:val="left"/>
      </w:pPr>
    </w:p>
    <w:p w:rsidR="002D4DCE" w:rsidRDefault="002D4DCE" w:rsidP="002D4DCE">
      <w:pPr>
        <w:jc w:val="left"/>
      </w:pPr>
    </w:p>
    <w:p w:rsidR="002D4DCE" w:rsidRDefault="002D4DCE" w:rsidP="002D4DCE">
      <w:pPr>
        <w:pStyle w:val="Header"/>
        <w:tabs>
          <w:tab w:val="left" w:pos="720"/>
        </w:tabs>
        <w:jc w:val="left"/>
      </w:pPr>
    </w:p>
    <w:p w:rsidR="002D4DCE" w:rsidRDefault="002D4DCE" w:rsidP="002D4DCE">
      <w:pPr>
        <w:jc w:val="left"/>
      </w:pPr>
    </w:p>
    <w:p w:rsidR="002D4DCE" w:rsidRDefault="002D4DCE" w:rsidP="002D4DCE">
      <w:pPr>
        <w:jc w:val="left"/>
      </w:pPr>
      <w:bookmarkStart w:id="1" w:name="OLE_LINK4"/>
      <w:bookmarkStart w:id="2" w:name="OLE_LINK3"/>
      <w:r>
        <w:t>Encl</w:t>
      </w:r>
      <w:r>
        <w:tab/>
      </w:r>
      <w:r>
        <w:tab/>
      </w:r>
      <w:r>
        <w:tab/>
      </w:r>
      <w:r>
        <w:tab/>
      </w:r>
      <w:r>
        <w:tab/>
      </w:r>
      <w:r>
        <w:tab/>
        <w:t xml:space="preserve">     XXXXXXXXXXXXXXXXXX</w:t>
      </w:r>
    </w:p>
    <w:p w:rsidR="002D4DCE" w:rsidRDefault="002D4DCE" w:rsidP="002D4DCE">
      <w:pPr>
        <w:jc w:val="left"/>
      </w:pPr>
      <w:r>
        <w:tab/>
      </w:r>
      <w:r>
        <w:tab/>
      </w:r>
      <w:r>
        <w:tab/>
      </w:r>
      <w:r>
        <w:tab/>
      </w:r>
      <w:r>
        <w:tab/>
      </w:r>
      <w:r>
        <w:tab/>
        <w:t xml:space="preserve">     Deputy Assistant Secretary</w:t>
      </w:r>
    </w:p>
    <w:p w:rsidR="002D4DCE" w:rsidRDefault="002D4DCE" w:rsidP="002D4DCE">
      <w:pPr>
        <w:jc w:val="left"/>
      </w:pPr>
      <w:r>
        <w:tab/>
      </w:r>
      <w:r>
        <w:tab/>
      </w:r>
      <w:r>
        <w:tab/>
      </w:r>
      <w:r>
        <w:tab/>
      </w:r>
      <w:r>
        <w:tab/>
      </w:r>
      <w:r>
        <w:tab/>
        <w:t xml:space="preserve">         (Army Review Boards)</w:t>
      </w:r>
      <w:bookmarkEnd w:id="1"/>
      <w:bookmarkEnd w:id="2"/>
    </w:p>
    <w:p w:rsidR="002D4DCE" w:rsidRDefault="002D4DCE" w:rsidP="002D4DCE">
      <w:pPr>
        <w:jc w:val="left"/>
      </w:pPr>
    </w:p>
    <w:p w:rsidR="002D4DCE" w:rsidRDefault="002D4DCE" w:rsidP="002D4DCE">
      <w:pPr>
        <w:jc w:val="left"/>
      </w:pPr>
      <w:r>
        <w:t xml:space="preserve">CF: </w:t>
      </w:r>
    </w:p>
    <w:p w:rsidR="002D4DCE" w:rsidRDefault="002D4DCE" w:rsidP="002D4DCE">
      <w:pPr>
        <w:jc w:val="left"/>
      </w:pPr>
      <w:r>
        <w:t xml:space="preserve">(  ) </w:t>
      </w:r>
      <w:proofErr w:type="spellStart"/>
      <w:proofErr w:type="gramStart"/>
      <w:r>
        <w:t>DoD</w:t>
      </w:r>
      <w:proofErr w:type="spellEnd"/>
      <w:proofErr w:type="gramEnd"/>
      <w:r>
        <w:t xml:space="preserve"> PDBR</w:t>
      </w:r>
    </w:p>
    <w:p w:rsidR="002D4DCE" w:rsidRDefault="002D4DCE" w:rsidP="002D4DCE">
      <w:pPr>
        <w:jc w:val="left"/>
      </w:pPr>
      <w:r>
        <w:t>(  ) DVA</w:t>
      </w:r>
    </w:p>
    <w:p w:rsidR="00AD2379" w:rsidRDefault="00AD2379" w:rsidP="002D4DCE">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6E" w:rsidRDefault="00565E6E">
      <w:r>
        <w:separator/>
      </w:r>
    </w:p>
  </w:endnote>
  <w:endnote w:type="continuationSeparator" w:id="0">
    <w:p w:rsidR="00565E6E" w:rsidRDefault="00565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8" w:rsidRPr="00374247" w:rsidRDefault="00DD5558" w:rsidP="00726F84">
    <w:pPr>
      <w:pStyle w:val="Footer"/>
      <w:ind w:firstLine="4320"/>
      <w:rPr>
        <w:color w:val="auto"/>
      </w:rPr>
    </w:pPr>
    <w:r w:rsidRPr="00374247">
      <w:rPr>
        <w:color w:val="auto"/>
      </w:rPr>
      <w:t xml:space="preserve">   </w:t>
    </w:r>
    <w:r w:rsidR="002B68F0" w:rsidRPr="002B68F0">
      <w:fldChar w:fldCharType="begin"/>
    </w:r>
    <w:r w:rsidR="00EE73A7">
      <w:instrText xml:space="preserve"> PAGE   \* MERGEFORMAT </w:instrText>
    </w:r>
    <w:r w:rsidR="002B68F0" w:rsidRPr="002B68F0">
      <w:fldChar w:fldCharType="separate"/>
    </w:r>
    <w:r w:rsidR="002D4DCE" w:rsidRPr="002D4DCE">
      <w:rPr>
        <w:noProof/>
        <w:color w:val="auto"/>
      </w:rPr>
      <w:t>5</w:t>
    </w:r>
    <w:r w:rsidR="002B68F0">
      <w:rPr>
        <w:noProof/>
        <w:color w:val="auto"/>
      </w:rPr>
      <w:fldChar w:fldCharType="end"/>
    </w:r>
    <w:r w:rsidRPr="00374247">
      <w:rPr>
        <w:color w:val="auto"/>
      </w:rPr>
      <w:t xml:space="preserve">                                                           </w:t>
    </w:r>
    <w:r w:rsidR="00A83965" w:rsidRPr="00A83965">
      <w:rPr>
        <w:color w:val="auto"/>
      </w:rPr>
      <w:t>PD</w:t>
    </w:r>
    <w:r w:rsidR="00627E0E">
      <w:rPr>
        <w:color w:val="auto"/>
      </w:rPr>
      <w:t>12</w:t>
    </w:r>
    <w:r w:rsidRPr="00A83965">
      <w:rPr>
        <w:color w:val="auto"/>
      </w:rPr>
      <w:t>00</w:t>
    </w:r>
    <w:r w:rsidR="00A83965" w:rsidRPr="00A83965">
      <w:rPr>
        <w:color w:val="auto"/>
      </w:rPr>
      <w:t>148</w:t>
    </w:r>
  </w:p>
  <w:p w:rsidR="00DD5558" w:rsidRPr="00684CE6" w:rsidRDefault="00DD555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6E" w:rsidRDefault="00565E6E">
      <w:r>
        <w:separator/>
      </w:r>
    </w:p>
  </w:footnote>
  <w:footnote w:type="continuationSeparator" w:id="0">
    <w:p w:rsidR="00565E6E" w:rsidRDefault="00565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E51"/>
    <w:multiLevelType w:val="hybridMultilevel"/>
    <w:tmpl w:val="39FCEEA2"/>
    <w:lvl w:ilvl="0" w:tplc="5382362A">
      <w:start w:val="5242"/>
      <w:numFmt w:val="bullet"/>
      <w:lvlText w:val=""/>
      <w:lvlJc w:val="left"/>
      <w:pPr>
        <w:ind w:left="660" w:hanging="360"/>
      </w:pPr>
      <w:rPr>
        <w:rFonts w:ascii="Symbol" w:eastAsia="Times New Roman" w:hAnsi="Symbol" w:cs="Calibri" w:hint="default"/>
        <w:sz w:val="24"/>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713E2"/>
    <w:multiLevelType w:val="hybridMultilevel"/>
    <w:tmpl w:val="383E1B90"/>
    <w:lvl w:ilvl="0" w:tplc="ED624A00">
      <w:start w:val="5242"/>
      <w:numFmt w:val="bullet"/>
      <w:lvlText w:val=""/>
      <w:lvlJc w:val="left"/>
      <w:pPr>
        <w:ind w:left="660" w:hanging="360"/>
      </w:pPr>
      <w:rPr>
        <w:rFonts w:ascii="Symbol" w:eastAsia="Times New Roman" w:hAnsi="Symbol"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2"/>
  </w:num>
  <w:num w:numId="4">
    <w:abstractNumId w:val="8"/>
  </w:num>
  <w:num w:numId="5">
    <w:abstractNumId w:val="5"/>
  </w:num>
  <w:num w:numId="6">
    <w:abstractNumId w:val="10"/>
  </w:num>
  <w:num w:numId="7">
    <w:abstractNumId w:val="1"/>
  </w:num>
  <w:num w:numId="8">
    <w:abstractNumId w:val="7"/>
  </w:num>
  <w:num w:numId="9">
    <w:abstractNumId w:val="19"/>
  </w:num>
  <w:num w:numId="10">
    <w:abstractNumId w:val="12"/>
  </w:num>
  <w:num w:numId="11">
    <w:abstractNumId w:val="6"/>
  </w:num>
  <w:num w:numId="12">
    <w:abstractNumId w:val="15"/>
  </w:num>
  <w:num w:numId="13">
    <w:abstractNumId w:val="9"/>
  </w:num>
  <w:num w:numId="14">
    <w:abstractNumId w:val="17"/>
  </w:num>
  <w:num w:numId="15">
    <w:abstractNumId w:val="23"/>
  </w:num>
  <w:num w:numId="16">
    <w:abstractNumId w:val="2"/>
  </w:num>
  <w:num w:numId="17">
    <w:abstractNumId w:val="21"/>
  </w:num>
  <w:num w:numId="18">
    <w:abstractNumId w:val="11"/>
  </w:num>
  <w:num w:numId="19">
    <w:abstractNumId w:val="14"/>
  </w:num>
  <w:num w:numId="20">
    <w:abstractNumId w:val="20"/>
  </w:num>
  <w:num w:numId="21">
    <w:abstractNumId w:val="16"/>
  </w:num>
  <w:num w:numId="22">
    <w:abstractNumId w:val="3"/>
  </w:num>
  <w:num w:numId="23">
    <w:abstractNumId w:val="1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708"/>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37C1E"/>
    <w:rsid w:val="00040FC4"/>
    <w:rsid w:val="000416F8"/>
    <w:rsid w:val="00042978"/>
    <w:rsid w:val="00042C26"/>
    <w:rsid w:val="00043382"/>
    <w:rsid w:val="00044623"/>
    <w:rsid w:val="000452D7"/>
    <w:rsid w:val="00046203"/>
    <w:rsid w:val="00051622"/>
    <w:rsid w:val="00051A11"/>
    <w:rsid w:val="00051EFF"/>
    <w:rsid w:val="00051F89"/>
    <w:rsid w:val="00052234"/>
    <w:rsid w:val="00053D7C"/>
    <w:rsid w:val="00054373"/>
    <w:rsid w:val="000547DF"/>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872"/>
    <w:rsid w:val="00072B3E"/>
    <w:rsid w:val="0007488B"/>
    <w:rsid w:val="00075702"/>
    <w:rsid w:val="00075A0C"/>
    <w:rsid w:val="000775C2"/>
    <w:rsid w:val="00077835"/>
    <w:rsid w:val="000801EF"/>
    <w:rsid w:val="0008042E"/>
    <w:rsid w:val="000806AD"/>
    <w:rsid w:val="00080BDF"/>
    <w:rsid w:val="00080C57"/>
    <w:rsid w:val="00081E60"/>
    <w:rsid w:val="00082482"/>
    <w:rsid w:val="00082BD4"/>
    <w:rsid w:val="00082CA0"/>
    <w:rsid w:val="00084CF2"/>
    <w:rsid w:val="00084FE5"/>
    <w:rsid w:val="00085D7B"/>
    <w:rsid w:val="0008708B"/>
    <w:rsid w:val="00087A94"/>
    <w:rsid w:val="00092619"/>
    <w:rsid w:val="00092C66"/>
    <w:rsid w:val="00092CC9"/>
    <w:rsid w:val="000949DD"/>
    <w:rsid w:val="00094E4F"/>
    <w:rsid w:val="000A2BCE"/>
    <w:rsid w:val="000A31E2"/>
    <w:rsid w:val="000A33C8"/>
    <w:rsid w:val="000A41E3"/>
    <w:rsid w:val="000A4AB4"/>
    <w:rsid w:val="000A4BBA"/>
    <w:rsid w:val="000A5071"/>
    <w:rsid w:val="000A50CE"/>
    <w:rsid w:val="000B0AD2"/>
    <w:rsid w:val="000B0E1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388"/>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3162"/>
    <w:rsid w:val="000F427B"/>
    <w:rsid w:val="000F43D0"/>
    <w:rsid w:val="000F4F18"/>
    <w:rsid w:val="000F688E"/>
    <w:rsid w:val="000F7181"/>
    <w:rsid w:val="000F7581"/>
    <w:rsid w:val="001007CE"/>
    <w:rsid w:val="001008C1"/>
    <w:rsid w:val="00100BC8"/>
    <w:rsid w:val="0010148F"/>
    <w:rsid w:val="001023DB"/>
    <w:rsid w:val="00102B69"/>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5A8A"/>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2230"/>
    <w:rsid w:val="00164413"/>
    <w:rsid w:val="001657BE"/>
    <w:rsid w:val="00165C7B"/>
    <w:rsid w:val="00166182"/>
    <w:rsid w:val="0017038B"/>
    <w:rsid w:val="00170C94"/>
    <w:rsid w:val="0017139A"/>
    <w:rsid w:val="0017172C"/>
    <w:rsid w:val="001724C8"/>
    <w:rsid w:val="001726BA"/>
    <w:rsid w:val="001732C4"/>
    <w:rsid w:val="00173DA2"/>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09D"/>
    <w:rsid w:val="00192392"/>
    <w:rsid w:val="0019273F"/>
    <w:rsid w:val="00193814"/>
    <w:rsid w:val="00193AAB"/>
    <w:rsid w:val="00193AD5"/>
    <w:rsid w:val="00193BAF"/>
    <w:rsid w:val="00194930"/>
    <w:rsid w:val="00195AAC"/>
    <w:rsid w:val="001968BB"/>
    <w:rsid w:val="00197000"/>
    <w:rsid w:val="001A025E"/>
    <w:rsid w:val="001A08CD"/>
    <w:rsid w:val="001A0A1E"/>
    <w:rsid w:val="001A2182"/>
    <w:rsid w:val="001A323E"/>
    <w:rsid w:val="001A5320"/>
    <w:rsid w:val="001A5E62"/>
    <w:rsid w:val="001A6848"/>
    <w:rsid w:val="001A731E"/>
    <w:rsid w:val="001A7538"/>
    <w:rsid w:val="001B06FB"/>
    <w:rsid w:val="001B0B1A"/>
    <w:rsid w:val="001B20E6"/>
    <w:rsid w:val="001B242C"/>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03"/>
    <w:rsid w:val="001D7A56"/>
    <w:rsid w:val="001E0291"/>
    <w:rsid w:val="001E15C0"/>
    <w:rsid w:val="001E18E0"/>
    <w:rsid w:val="001E18E2"/>
    <w:rsid w:val="001E19D0"/>
    <w:rsid w:val="001E2A30"/>
    <w:rsid w:val="001E2FF1"/>
    <w:rsid w:val="001E3FE1"/>
    <w:rsid w:val="001E41FE"/>
    <w:rsid w:val="001E4989"/>
    <w:rsid w:val="001E529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2C07"/>
    <w:rsid w:val="00213BD0"/>
    <w:rsid w:val="00213BDF"/>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3D1"/>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47B2"/>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09B"/>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8F0"/>
    <w:rsid w:val="002B6FA0"/>
    <w:rsid w:val="002B7710"/>
    <w:rsid w:val="002C0910"/>
    <w:rsid w:val="002C0DEA"/>
    <w:rsid w:val="002C13FC"/>
    <w:rsid w:val="002C34F6"/>
    <w:rsid w:val="002C3B6D"/>
    <w:rsid w:val="002C3F59"/>
    <w:rsid w:val="002C5D9D"/>
    <w:rsid w:val="002C5F10"/>
    <w:rsid w:val="002C6E5B"/>
    <w:rsid w:val="002D08F3"/>
    <w:rsid w:val="002D18B4"/>
    <w:rsid w:val="002D2058"/>
    <w:rsid w:val="002D231A"/>
    <w:rsid w:val="002D4982"/>
    <w:rsid w:val="002D4DCE"/>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3660"/>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634"/>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1D30"/>
    <w:rsid w:val="003E31E3"/>
    <w:rsid w:val="003E3E93"/>
    <w:rsid w:val="003E46D1"/>
    <w:rsid w:val="003E6214"/>
    <w:rsid w:val="003F070E"/>
    <w:rsid w:val="003F1206"/>
    <w:rsid w:val="003F2418"/>
    <w:rsid w:val="003F2669"/>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883"/>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0D78"/>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56B"/>
    <w:rsid w:val="00454F28"/>
    <w:rsid w:val="00455D67"/>
    <w:rsid w:val="0045645D"/>
    <w:rsid w:val="00456B15"/>
    <w:rsid w:val="00456B80"/>
    <w:rsid w:val="0045707D"/>
    <w:rsid w:val="004574C6"/>
    <w:rsid w:val="00457743"/>
    <w:rsid w:val="00457BCF"/>
    <w:rsid w:val="00457DCE"/>
    <w:rsid w:val="00460E3F"/>
    <w:rsid w:val="00460F18"/>
    <w:rsid w:val="0046111A"/>
    <w:rsid w:val="004613A3"/>
    <w:rsid w:val="00461748"/>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2D4A"/>
    <w:rsid w:val="0047570F"/>
    <w:rsid w:val="004761CC"/>
    <w:rsid w:val="00476229"/>
    <w:rsid w:val="004766C9"/>
    <w:rsid w:val="00477405"/>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37DC"/>
    <w:rsid w:val="004A4136"/>
    <w:rsid w:val="004A417B"/>
    <w:rsid w:val="004A4378"/>
    <w:rsid w:val="004A712D"/>
    <w:rsid w:val="004A7C03"/>
    <w:rsid w:val="004B03F3"/>
    <w:rsid w:val="004B0CC9"/>
    <w:rsid w:val="004B1C61"/>
    <w:rsid w:val="004B2536"/>
    <w:rsid w:val="004B46D7"/>
    <w:rsid w:val="004B478D"/>
    <w:rsid w:val="004B6471"/>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0705"/>
    <w:rsid w:val="0055288D"/>
    <w:rsid w:val="005533DE"/>
    <w:rsid w:val="00555259"/>
    <w:rsid w:val="00555C66"/>
    <w:rsid w:val="005569EF"/>
    <w:rsid w:val="00556BDE"/>
    <w:rsid w:val="0056056C"/>
    <w:rsid w:val="00560D57"/>
    <w:rsid w:val="00560F12"/>
    <w:rsid w:val="00562922"/>
    <w:rsid w:val="00562A94"/>
    <w:rsid w:val="00563FAD"/>
    <w:rsid w:val="005640A0"/>
    <w:rsid w:val="00565636"/>
    <w:rsid w:val="00565E6E"/>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4F82"/>
    <w:rsid w:val="005B56E0"/>
    <w:rsid w:val="005B5B3D"/>
    <w:rsid w:val="005B5E8F"/>
    <w:rsid w:val="005B5FA8"/>
    <w:rsid w:val="005B64CF"/>
    <w:rsid w:val="005B72DA"/>
    <w:rsid w:val="005C0E87"/>
    <w:rsid w:val="005C1398"/>
    <w:rsid w:val="005C16F3"/>
    <w:rsid w:val="005C3758"/>
    <w:rsid w:val="005C4D72"/>
    <w:rsid w:val="005C50C1"/>
    <w:rsid w:val="005C62C2"/>
    <w:rsid w:val="005C7A87"/>
    <w:rsid w:val="005D0ABC"/>
    <w:rsid w:val="005D0AFF"/>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9EC"/>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27E0E"/>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7E29"/>
    <w:rsid w:val="00651E6D"/>
    <w:rsid w:val="0065237D"/>
    <w:rsid w:val="00652943"/>
    <w:rsid w:val="00653AB2"/>
    <w:rsid w:val="00653D2D"/>
    <w:rsid w:val="0065435E"/>
    <w:rsid w:val="00654551"/>
    <w:rsid w:val="00654C85"/>
    <w:rsid w:val="00654F91"/>
    <w:rsid w:val="006555E7"/>
    <w:rsid w:val="00655CCC"/>
    <w:rsid w:val="006560B6"/>
    <w:rsid w:val="0065689C"/>
    <w:rsid w:val="00656EC1"/>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684F"/>
    <w:rsid w:val="006770AA"/>
    <w:rsid w:val="00680450"/>
    <w:rsid w:val="0068098E"/>
    <w:rsid w:val="006810BD"/>
    <w:rsid w:val="00681350"/>
    <w:rsid w:val="0068160C"/>
    <w:rsid w:val="00682486"/>
    <w:rsid w:val="006833A7"/>
    <w:rsid w:val="00684CE6"/>
    <w:rsid w:val="00684E2B"/>
    <w:rsid w:val="006857A0"/>
    <w:rsid w:val="00686919"/>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4E38"/>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470"/>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019"/>
    <w:rsid w:val="0076100C"/>
    <w:rsid w:val="00761127"/>
    <w:rsid w:val="007612A5"/>
    <w:rsid w:val="007635A8"/>
    <w:rsid w:val="00763CAE"/>
    <w:rsid w:val="00763F95"/>
    <w:rsid w:val="007651ED"/>
    <w:rsid w:val="00766C87"/>
    <w:rsid w:val="00771043"/>
    <w:rsid w:val="00772251"/>
    <w:rsid w:val="0077272B"/>
    <w:rsid w:val="00773521"/>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97E4C"/>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6D93"/>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895"/>
    <w:rsid w:val="007F1AFD"/>
    <w:rsid w:val="007F30E4"/>
    <w:rsid w:val="007F6701"/>
    <w:rsid w:val="0080064F"/>
    <w:rsid w:val="00801B85"/>
    <w:rsid w:val="008027A8"/>
    <w:rsid w:val="00803850"/>
    <w:rsid w:val="008039E8"/>
    <w:rsid w:val="00804385"/>
    <w:rsid w:val="00804E0E"/>
    <w:rsid w:val="008051EB"/>
    <w:rsid w:val="0080588E"/>
    <w:rsid w:val="00805AFD"/>
    <w:rsid w:val="00806397"/>
    <w:rsid w:val="00807094"/>
    <w:rsid w:val="008078D8"/>
    <w:rsid w:val="0080798E"/>
    <w:rsid w:val="00811BD9"/>
    <w:rsid w:val="00811D5B"/>
    <w:rsid w:val="00813C51"/>
    <w:rsid w:val="00816CCB"/>
    <w:rsid w:val="00817572"/>
    <w:rsid w:val="00817713"/>
    <w:rsid w:val="008208C3"/>
    <w:rsid w:val="00820D5D"/>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15B"/>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4F9B"/>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1F4A"/>
    <w:rsid w:val="00882CC2"/>
    <w:rsid w:val="00883103"/>
    <w:rsid w:val="0088325A"/>
    <w:rsid w:val="00883930"/>
    <w:rsid w:val="00884535"/>
    <w:rsid w:val="0088773C"/>
    <w:rsid w:val="008902BE"/>
    <w:rsid w:val="0089038F"/>
    <w:rsid w:val="00890CDA"/>
    <w:rsid w:val="00891BBA"/>
    <w:rsid w:val="00891BD9"/>
    <w:rsid w:val="00892079"/>
    <w:rsid w:val="00892B90"/>
    <w:rsid w:val="00896535"/>
    <w:rsid w:val="00896683"/>
    <w:rsid w:val="00896694"/>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A2D"/>
    <w:rsid w:val="00937F57"/>
    <w:rsid w:val="0094031E"/>
    <w:rsid w:val="009419B4"/>
    <w:rsid w:val="00941A4C"/>
    <w:rsid w:val="00942645"/>
    <w:rsid w:val="009461E6"/>
    <w:rsid w:val="00950A3A"/>
    <w:rsid w:val="00952241"/>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81D"/>
    <w:rsid w:val="00963A7A"/>
    <w:rsid w:val="009672CD"/>
    <w:rsid w:val="00971810"/>
    <w:rsid w:val="00972266"/>
    <w:rsid w:val="00972996"/>
    <w:rsid w:val="009730B4"/>
    <w:rsid w:val="0097320E"/>
    <w:rsid w:val="009732B8"/>
    <w:rsid w:val="00974647"/>
    <w:rsid w:val="00974EFD"/>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1B3F"/>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783"/>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3AAF"/>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901"/>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965"/>
    <w:rsid w:val="00A83C15"/>
    <w:rsid w:val="00A84EC4"/>
    <w:rsid w:val="00A86530"/>
    <w:rsid w:val="00A86CB6"/>
    <w:rsid w:val="00A90D55"/>
    <w:rsid w:val="00A91E6C"/>
    <w:rsid w:val="00A9225E"/>
    <w:rsid w:val="00A944D8"/>
    <w:rsid w:val="00A959E7"/>
    <w:rsid w:val="00A95BBA"/>
    <w:rsid w:val="00A95EB3"/>
    <w:rsid w:val="00A961EE"/>
    <w:rsid w:val="00A96559"/>
    <w:rsid w:val="00A97B11"/>
    <w:rsid w:val="00A97CD9"/>
    <w:rsid w:val="00AA020A"/>
    <w:rsid w:val="00AA04B3"/>
    <w:rsid w:val="00AA088E"/>
    <w:rsid w:val="00AA1253"/>
    <w:rsid w:val="00AA157B"/>
    <w:rsid w:val="00AA1BD8"/>
    <w:rsid w:val="00AA1ED0"/>
    <w:rsid w:val="00AA1F5B"/>
    <w:rsid w:val="00AA28EF"/>
    <w:rsid w:val="00AA3593"/>
    <w:rsid w:val="00AA38CA"/>
    <w:rsid w:val="00AA493E"/>
    <w:rsid w:val="00AA6228"/>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E5D"/>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0B2A"/>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6DA"/>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421"/>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0FD4"/>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4C06"/>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4A0A"/>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BB3"/>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07E"/>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376"/>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276"/>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5B8"/>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708"/>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2B2"/>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307"/>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D5C"/>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4B00"/>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2ADC"/>
    <w:rsid w:val="00E956DB"/>
    <w:rsid w:val="00E957D7"/>
    <w:rsid w:val="00E9763D"/>
    <w:rsid w:val="00EA00A4"/>
    <w:rsid w:val="00EA1177"/>
    <w:rsid w:val="00EA118B"/>
    <w:rsid w:val="00EA11B6"/>
    <w:rsid w:val="00EA2181"/>
    <w:rsid w:val="00EA2DD8"/>
    <w:rsid w:val="00EA30FC"/>
    <w:rsid w:val="00EA4475"/>
    <w:rsid w:val="00EA52FE"/>
    <w:rsid w:val="00EA58F9"/>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3A7"/>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35306"/>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15"/>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68E7"/>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 w:val="00FF7B1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rsid w:val="00D91DA6"/>
    <w:rPr>
      <w:rFonts w:ascii="Consolas" w:hAnsi="Consolas"/>
      <w:color w:val="auto"/>
      <w:sz w:val="21"/>
      <w:szCs w:val="21"/>
    </w:rPr>
  </w:style>
  <w:style w:type="character" w:customStyle="1" w:styleId="PlainTextChar">
    <w:name w:val="Plain Text Char"/>
    <w:basedOn w:val="DefaultParagraphFont"/>
    <w:link w:val="PlainText"/>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806877">
      <w:bodyDiv w:val="1"/>
      <w:marLeft w:val="0"/>
      <w:marRight w:val="0"/>
      <w:marTop w:val="0"/>
      <w:marBottom w:val="0"/>
      <w:divBdr>
        <w:top w:val="none" w:sz="0" w:space="0" w:color="auto"/>
        <w:left w:val="none" w:sz="0" w:space="0" w:color="auto"/>
        <w:bottom w:val="none" w:sz="0" w:space="0" w:color="auto"/>
        <w:right w:val="none" w:sz="0" w:space="0" w:color="auto"/>
      </w:divBdr>
    </w:div>
    <w:div w:id="1487631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2012-11-27T15:27:00Z</dcterms:created>
  <dcterms:modified xsi:type="dcterms:W3CDTF">2012-11-27T15:27:00Z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