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491295" w:rsidRDefault="0095270D" w:rsidP="00DD5558">
      <w:pPr>
        <w:tabs>
          <w:tab w:val="right" w:pos="9360"/>
        </w:tabs>
        <w:jc w:val="both"/>
        <w:rPr>
          <w:caps/>
          <w:color w:val="auto"/>
        </w:rPr>
      </w:pPr>
      <w:r w:rsidRPr="00F64312">
        <w:rPr>
          <w:caps/>
          <w:color w:val="auto"/>
        </w:rPr>
        <w:t xml:space="preserve">NAME: </w:t>
      </w:r>
      <w:r w:rsidR="002009AE">
        <w:rPr>
          <w:caps/>
          <w:color w:val="auto"/>
        </w:rPr>
        <w:t xml:space="preserve">XXXXXXXXXXXXXXX       </w:t>
      </w:r>
      <w:r w:rsidR="003554BB">
        <w:rPr>
          <w:caps/>
          <w:color w:val="auto"/>
        </w:rPr>
        <w:t xml:space="preserve">                                                         </w:t>
      </w:r>
      <w:r w:rsidR="00197689" w:rsidRPr="00491295">
        <w:rPr>
          <w:caps/>
          <w:color w:val="auto"/>
        </w:rPr>
        <w:t>B</w:t>
      </w:r>
      <w:r w:rsidRPr="00491295">
        <w:rPr>
          <w:caps/>
          <w:color w:val="auto"/>
        </w:rPr>
        <w:t xml:space="preserve">RANCH OF SERVICE: </w:t>
      </w:r>
      <w:r w:rsidR="00DF70F4" w:rsidRPr="00491295">
        <w:rPr>
          <w:caps/>
          <w:color w:val="auto"/>
        </w:rPr>
        <w:t>Army</w:t>
      </w:r>
    </w:p>
    <w:p w:rsidR="0095270D" w:rsidRPr="00F64312" w:rsidRDefault="0095270D" w:rsidP="00DD5558">
      <w:pPr>
        <w:tabs>
          <w:tab w:val="right" w:pos="9360"/>
        </w:tabs>
        <w:jc w:val="both"/>
        <w:rPr>
          <w:color w:val="auto"/>
        </w:rPr>
      </w:pPr>
      <w:r w:rsidRPr="00491295">
        <w:rPr>
          <w:caps/>
          <w:color w:val="auto"/>
        </w:rPr>
        <w:t>CASE NUMBER:  PD</w:t>
      </w:r>
      <w:r w:rsidR="001657BE" w:rsidRPr="00491295">
        <w:rPr>
          <w:caps/>
          <w:color w:val="auto"/>
        </w:rPr>
        <w:t>12</w:t>
      </w:r>
      <w:r w:rsidRPr="00491295">
        <w:rPr>
          <w:caps/>
          <w:color w:val="auto"/>
        </w:rPr>
        <w:t>00</w:t>
      </w:r>
      <w:r w:rsidR="00B61B61" w:rsidRPr="00491295">
        <w:rPr>
          <w:caps/>
          <w:color w:val="auto"/>
        </w:rPr>
        <w:t>140</w:t>
      </w:r>
      <w:r w:rsidR="00DD5558" w:rsidRPr="00491295">
        <w:rPr>
          <w:color w:val="auto"/>
        </w:rPr>
        <w:tab/>
      </w:r>
      <w:r w:rsidR="0018208F" w:rsidRPr="00491295">
        <w:rPr>
          <w:color w:val="auto"/>
        </w:rPr>
        <w:t>SE</w:t>
      </w:r>
      <w:r w:rsidRPr="00491295">
        <w:rPr>
          <w:color w:val="auto"/>
        </w:rPr>
        <w:t>PARATION DATE:  200</w:t>
      </w:r>
      <w:r w:rsidR="00B61B61" w:rsidRPr="00491295">
        <w:rPr>
          <w:color w:val="auto"/>
        </w:rPr>
        <w:t>40630</w:t>
      </w:r>
    </w:p>
    <w:p w:rsidR="002E026F"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1442B4">
        <w:rPr>
          <w:caps/>
          <w:color w:val="auto"/>
        </w:rPr>
        <w:t>0807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197689" w:rsidRDefault="00AD2379" w:rsidP="00197689">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w:t>
      </w:r>
      <w:r w:rsidRPr="002E026F">
        <w:rPr>
          <w:color w:val="auto"/>
        </w:rPr>
        <w:t xml:space="preserve">CI) was </w:t>
      </w:r>
      <w:r w:rsidR="00A70270" w:rsidRPr="002E026F">
        <w:rPr>
          <w:color w:val="auto"/>
        </w:rPr>
        <w:t>an active duty</w:t>
      </w:r>
      <w:r w:rsidR="008A4BD7" w:rsidRPr="002E026F">
        <w:rPr>
          <w:color w:val="auto"/>
        </w:rPr>
        <w:t xml:space="preserve"> Soldier, </w:t>
      </w:r>
      <w:r w:rsidR="0017172C" w:rsidRPr="002E026F">
        <w:rPr>
          <w:color w:val="auto"/>
        </w:rPr>
        <w:t>SGT/E-5</w:t>
      </w:r>
      <w:r w:rsidRPr="002E026F">
        <w:rPr>
          <w:color w:val="auto"/>
        </w:rPr>
        <w:t>(</w:t>
      </w:r>
      <w:r w:rsidR="008A4BD7" w:rsidRPr="002E026F">
        <w:rPr>
          <w:color w:val="auto"/>
        </w:rPr>
        <w:t>21W</w:t>
      </w:r>
      <w:r w:rsidR="00112F44" w:rsidRPr="002E026F">
        <w:rPr>
          <w:color w:val="auto"/>
        </w:rPr>
        <w:t xml:space="preserve">, </w:t>
      </w:r>
      <w:r w:rsidR="00727C16">
        <w:rPr>
          <w:color w:val="auto"/>
        </w:rPr>
        <w:t xml:space="preserve">Carpentry &amp; </w:t>
      </w:r>
      <w:r w:rsidR="00E25BF0">
        <w:rPr>
          <w:color w:val="auto"/>
        </w:rPr>
        <w:t>Masona</w:t>
      </w:r>
      <w:bookmarkStart w:id="0" w:name="_GoBack"/>
      <w:bookmarkEnd w:id="0"/>
      <w:r w:rsidR="00E25BF0">
        <w:rPr>
          <w:color w:val="auto"/>
        </w:rPr>
        <w:t>ry</w:t>
      </w:r>
      <w:r w:rsidR="00727C16">
        <w:rPr>
          <w:color w:val="auto"/>
        </w:rPr>
        <w:t xml:space="preserve"> Specialist</w:t>
      </w:r>
      <w:r w:rsidR="00A70270" w:rsidRPr="002E026F">
        <w:rPr>
          <w:color w:val="auto"/>
        </w:rPr>
        <w:t>)</w:t>
      </w:r>
      <w:r w:rsidR="00565636" w:rsidRPr="002E026F">
        <w:rPr>
          <w:color w:val="auto"/>
        </w:rPr>
        <w:t>,</w:t>
      </w:r>
      <w:r w:rsidR="00A70270" w:rsidRPr="002E026F">
        <w:rPr>
          <w:color w:val="auto"/>
        </w:rPr>
        <w:t xml:space="preserve"> </w:t>
      </w:r>
      <w:r w:rsidRPr="002E026F">
        <w:rPr>
          <w:color w:val="auto"/>
        </w:rPr>
        <w:t xml:space="preserve">medically separated for </w:t>
      </w:r>
      <w:r w:rsidR="008A4BD7" w:rsidRPr="002E026F">
        <w:rPr>
          <w:color w:val="auto"/>
        </w:rPr>
        <w:t>seizure disorder.</w:t>
      </w:r>
      <w:r w:rsidR="006D5E1E" w:rsidRPr="002E026F">
        <w:rPr>
          <w:color w:val="auto"/>
          <w:szCs w:val="24"/>
        </w:rPr>
        <w:t xml:space="preserve">  </w:t>
      </w:r>
      <w:r w:rsidR="00F15483" w:rsidRPr="002E026F">
        <w:rPr>
          <w:color w:val="auto"/>
        </w:rPr>
        <w:t xml:space="preserve">The CI </w:t>
      </w:r>
      <w:r w:rsidR="002732C2">
        <w:rPr>
          <w:color w:val="auto"/>
        </w:rPr>
        <w:t>continued to have seizures with</w:t>
      </w:r>
      <w:r w:rsidR="00F15483" w:rsidRPr="002E026F">
        <w:rPr>
          <w:color w:val="auto"/>
        </w:rPr>
        <w:t xml:space="preserve"> adequa</w:t>
      </w:r>
      <w:r w:rsidR="002732C2">
        <w:rPr>
          <w:color w:val="auto"/>
        </w:rPr>
        <w:t>te</w:t>
      </w:r>
      <w:r w:rsidR="002E026F">
        <w:rPr>
          <w:color w:val="auto"/>
        </w:rPr>
        <w:t xml:space="preserve"> treatment </w:t>
      </w:r>
      <w:r w:rsidR="002732C2">
        <w:rPr>
          <w:color w:val="auto"/>
        </w:rPr>
        <w:t xml:space="preserve">and was unable </w:t>
      </w:r>
      <w:r w:rsidR="00F566B7" w:rsidRPr="002E026F">
        <w:rPr>
          <w:color w:val="auto"/>
        </w:rPr>
        <w:t>to</w:t>
      </w:r>
      <w:r w:rsidR="00F566B7" w:rsidRPr="00F64312">
        <w:rPr>
          <w:color w:val="auto"/>
        </w:rPr>
        <w:t xml:space="preserve"> meet the physical requirements of </w:t>
      </w:r>
      <w:r w:rsidR="00F566B7" w:rsidRPr="001376D6">
        <w:rPr>
          <w:color w:val="auto"/>
        </w:rPr>
        <w:t>his Military Occupational Specialty (MOS)</w:t>
      </w:r>
      <w:r w:rsidR="00197689" w:rsidRPr="00F64312">
        <w:rPr>
          <w:color w:val="auto"/>
        </w:rPr>
        <w:t xml:space="preserve">.  </w:t>
      </w:r>
      <w:r w:rsidR="009C12A1" w:rsidRPr="006E39D8">
        <w:rPr>
          <w:color w:val="auto"/>
        </w:rPr>
        <w:t>He</w:t>
      </w:r>
      <w:r w:rsidR="009C12A1" w:rsidRPr="00F64312">
        <w:rPr>
          <w:color w:val="auto"/>
        </w:rPr>
        <w:t xml:space="preserve"> </w:t>
      </w:r>
      <w:r w:rsidR="00F566B7" w:rsidRPr="00F64312">
        <w:rPr>
          <w:color w:val="auto"/>
        </w:rPr>
        <w:t xml:space="preserve">was issued a </w:t>
      </w:r>
      <w:r w:rsidR="00F566B7" w:rsidRPr="006E39D8">
        <w:rPr>
          <w:color w:val="auto"/>
        </w:rPr>
        <w:t xml:space="preserve">permanent </w:t>
      </w:r>
      <w:r w:rsidR="006E39D8" w:rsidRPr="006E39D8">
        <w:rPr>
          <w:color w:val="auto"/>
        </w:rPr>
        <w:t>P</w:t>
      </w:r>
      <w:r w:rsidR="00F566B7" w:rsidRPr="006E39D8">
        <w:rPr>
          <w:color w:val="auto"/>
        </w:rPr>
        <w:t xml:space="preserve">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2554B3">
        <w:rPr>
          <w:color w:val="auto"/>
        </w:rPr>
        <w:t xml:space="preserve">The MEB forwarded epilepsy with breakthrough seizures on therapeutic levels of medications as medically unacceptable IAW AR 40-501. </w:t>
      </w:r>
      <w:r w:rsidR="00197689">
        <w:rPr>
          <w:color w:val="auto"/>
        </w:rPr>
        <w:t xml:space="preserve"> </w:t>
      </w:r>
      <w:r w:rsidR="002554B3">
        <w:rPr>
          <w:color w:val="auto"/>
        </w:rPr>
        <w:t>Hyperl</w:t>
      </w:r>
      <w:r w:rsidR="00CD027E">
        <w:rPr>
          <w:color w:val="auto"/>
        </w:rPr>
        <w:t>i</w:t>
      </w:r>
      <w:r w:rsidR="002554B3">
        <w:rPr>
          <w:color w:val="auto"/>
        </w:rPr>
        <w:t>pidemia,</w:t>
      </w:r>
      <w:r w:rsidR="00666A6D">
        <w:rPr>
          <w:color w:val="auto"/>
        </w:rPr>
        <w:t xml:space="preserve"> </w:t>
      </w:r>
      <w:r w:rsidR="00F64E01">
        <w:rPr>
          <w:color w:val="auto"/>
        </w:rPr>
        <w:t xml:space="preserve">noted </w:t>
      </w:r>
      <w:r w:rsidR="00071F0D" w:rsidRPr="002554B3">
        <w:rPr>
          <w:color w:val="auto"/>
        </w:rPr>
        <w:t xml:space="preserve">in the </w:t>
      </w:r>
      <w:r w:rsidR="00071F0D" w:rsidRPr="00630EA6">
        <w:rPr>
          <w:color w:val="auto"/>
        </w:rPr>
        <w:t>rating chart below, w</w:t>
      </w:r>
      <w:r w:rsidR="002554B3" w:rsidRPr="00630EA6">
        <w:rPr>
          <w:color w:val="auto"/>
        </w:rPr>
        <w:t>as</w:t>
      </w:r>
      <w:r w:rsidR="00197689" w:rsidRPr="00630EA6">
        <w:rPr>
          <w:color w:val="auto"/>
        </w:rPr>
        <w:t xml:space="preserve"> forwarded on the MEB submission as a </w:t>
      </w:r>
      <w:r w:rsidR="00197689" w:rsidRPr="001442B4">
        <w:rPr>
          <w:color w:val="auto"/>
        </w:rPr>
        <w:t>medically acceptable condition</w:t>
      </w:r>
      <w:r w:rsidR="00F566B7" w:rsidRPr="001442B4">
        <w:rPr>
          <w:color w:val="auto"/>
        </w:rPr>
        <w:t xml:space="preserve">. </w:t>
      </w:r>
      <w:r w:rsidR="00197689" w:rsidRPr="001442B4">
        <w:rPr>
          <w:color w:val="auto"/>
        </w:rPr>
        <w:t xml:space="preserve"> </w:t>
      </w:r>
      <w:r w:rsidRPr="001442B4">
        <w:rPr>
          <w:color w:val="auto"/>
        </w:rPr>
        <w:t xml:space="preserve">The PEB adjudicated the </w:t>
      </w:r>
      <w:r w:rsidR="00713EFA" w:rsidRPr="001442B4">
        <w:rPr>
          <w:color w:val="auto"/>
        </w:rPr>
        <w:t xml:space="preserve">seizure disorder </w:t>
      </w:r>
      <w:r w:rsidR="00197689" w:rsidRPr="001442B4">
        <w:rPr>
          <w:color w:val="auto"/>
        </w:rPr>
        <w:t xml:space="preserve">with history of seizures occurring at nighttime while sleeping </w:t>
      </w:r>
      <w:r w:rsidR="008530E3" w:rsidRPr="001442B4">
        <w:rPr>
          <w:color w:val="auto"/>
        </w:rPr>
        <w:t xml:space="preserve">as unfitting, rated </w:t>
      </w:r>
      <w:r w:rsidR="00C11F21" w:rsidRPr="001442B4">
        <w:rPr>
          <w:color w:val="auto"/>
        </w:rPr>
        <w:t>0</w:t>
      </w:r>
      <w:r w:rsidRPr="001442B4">
        <w:rPr>
          <w:color w:val="auto"/>
        </w:rPr>
        <w:t>%</w:t>
      </w:r>
      <w:r w:rsidR="00C11F21" w:rsidRPr="001442B4">
        <w:rPr>
          <w:color w:val="auto"/>
        </w:rPr>
        <w:t>,</w:t>
      </w:r>
      <w:r w:rsidRPr="001442B4">
        <w:rPr>
          <w:color w:val="auto"/>
        </w:rPr>
        <w:t xml:space="preserve"> </w:t>
      </w:r>
      <w:r w:rsidR="00E46D90" w:rsidRPr="001442B4">
        <w:rPr>
          <w:color w:val="auto"/>
        </w:rPr>
        <w:t xml:space="preserve">with </w:t>
      </w:r>
      <w:r w:rsidR="00197689" w:rsidRPr="001442B4">
        <w:rPr>
          <w:color w:val="auto"/>
        </w:rPr>
        <w:t xml:space="preserve">likely </w:t>
      </w:r>
      <w:r w:rsidR="00E46D90" w:rsidRPr="001442B4">
        <w:rPr>
          <w:color w:val="auto"/>
        </w:rPr>
        <w:t xml:space="preserve">application of the </w:t>
      </w:r>
      <w:r w:rsidR="00197689" w:rsidRPr="001442B4">
        <w:rPr>
          <w:color w:val="auto"/>
        </w:rPr>
        <w:t>AR 635-40.</w:t>
      </w:r>
      <w:r w:rsidR="00197689">
        <w:rPr>
          <w:color w:val="auto"/>
        </w:rPr>
        <w:t xml:space="preserve">  </w:t>
      </w:r>
      <w:r w:rsidRPr="00CE6247">
        <w:rPr>
          <w:color w:val="auto"/>
        </w:rPr>
        <w:t xml:space="preserve">The CI made no appeals, and was medically separated with </w:t>
      </w:r>
      <w:r w:rsidR="0066684A" w:rsidRPr="00CE6247">
        <w:rPr>
          <w:color w:val="auto"/>
        </w:rPr>
        <w:t xml:space="preserve">a </w:t>
      </w:r>
      <w:r w:rsidR="00CE6247">
        <w:rPr>
          <w:color w:val="auto"/>
        </w:rPr>
        <w:t>0</w:t>
      </w:r>
      <w:r w:rsidR="0066684A" w:rsidRPr="00CE6247">
        <w:rPr>
          <w:color w:val="auto"/>
        </w:rPr>
        <w:t xml:space="preserve">% </w:t>
      </w:r>
      <w:r w:rsidRPr="00CE6247">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197689" w:rsidRPr="00197689" w:rsidRDefault="00AD2379" w:rsidP="00197689">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BA7046">
        <w:rPr>
          <w:color w:val="auto"/>
        </w:rPr>
        <w:t>The CI writes: “Epilepsy.”</w:t>
      </w:r>
      <w:r w:rsidR="006B690F" w:rsidRPr="00F64312">
        <w:rPr>
          <w:rFonts w:eastAsia="Cambria"/>
          <w:color w:val="auto"/>
          <w:szCs w:val="24"/>
        </w:rPr>
        <w:t xml:space="preserve">  </w:t>
      </w:r>
      <w:r w:rsidR="00197689" w:rsidRPr="00197689">
        <w:rPr>
          <w:rFonts w:eastAsia="Cambria"/>
          <w:color w:val="auto"/>
          <w:szCs w:val="24"/>
        </w:rPr>
        <w:t>He elaborates no specific contentions regarding rating or coding and mentions no additionally contended conditions.</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554BB">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197689">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3864CC">
        <w:rPr>
          <w:color w:val="auto"/>
        </w:rPr>
        <w:t>the Army Board for the Correction of Military Records (BCMR)</w:t>
      </w:r>
      <w:r w:rsidR="003864CC">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363951" w:rsidRDefault="00363951"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4C1BC8">
            <w:pPr>
              <w:spacing w:line="180" w:lineRule="exact"/>
              <w:contextualSpacing/>
              <w:rPr>
                <w:rFonts w:cs="Calibri"/>
                <w:b/>
                <w:color w:val="auto"/>
                <w:sz w:val="18"/>
              </w:rPr>
            </w:pPr>
            <w:r w:rsidRPr="00F64312">
              <w:rPr>
                <w:b/>
                <w:color w:val="auto"/>
                <w:sz w:val="18"/>
              </w:rPr>
              <w:t xml:space="preserve">Service PEB – Dated </w:t>
            </w:r>
            <w:r w:rsidRPr="004C1BC8">
              <w:rPr>
                <w:b/>
                <w:color w:val="auto"/>
                <w:sz w:val="18"/>
              </w:rPr>
              <w:t>200</w:t>
            </w:r>
            <w:r w:rsidR="004C1BC8" w:rsidRPr="004C1BC8">
              <w:rPr>
                <w:b/>
                <w:color w:val="auto"/>
                <w:sz w:val="18"/>
              </w:rPr>
              <w:t>40325</w:t>
            </w:r>
          </w:p>
        </w:tc>
        <w:tc>
          <w:tcPr>
            <w:tcW w:w="5400" w:type="dxa"/>
            <w:gridSpan w:val="4"/>
            <w:tcBorders>
              <w:left w:val="thinThickThinSmallGap" w:sz="24" w:space="0" w:color="auto"/>
            </w:tcBorders>
            <w:shd w:val="clear" w:color="auto" w:fill="D9D9D9"/>
            <w:vAlign w:val="center"/>
          </w:tcPr>
          <w:p w:rsidR="00F90376" w:rsidRPr="00F64312" w:rsidRDefault="00F90376" w:rsidP="00872D0C">
            <w:pPr>
              <w:spacing w:line="180" w:lineRule="exact"/>
              <w:contextualSpacing/>
              <w:rPr>
                <w:rFonts w:cs="Calibri"/>
                <w:b/>
                <w:color w:val="auto"/>
                <w:sz w:val="18"/>
              </w:rPr>
            </w:pPr>
            <w:r w:rsidRPr="00F64312">
              <w:rPr>
                <w:b/>
                <w:color w:val="auto"/>
                <w:sz w:val="18"/>
              </w:rPr>
              <w:t>VA (</w:t>
            </w:r>
            <w:r w:rsidR="00872D0C">
              <w:rPr>
                <w:b/>
                <w:color w:val="auto"/>
                <w:sz w:val="18"/>
              </w:rPr>
              <w:t>1</w:t>
            </w:r>
            <w:r w:rsidRPr="00F64312">
              <w:rPr>
                <w:b/>
                <w:color w:val="auto"/>
                <w:sz w:val="18"/>
              </w:rPr>
              <w:t xml:space="preserve"> Mos. </w:t>
            </w:r>
            <w:r w:rsidRPr="00872D0C">
              <w:rPr>
                <w:b/>
                <w:color w:val="auto"/>
                <w:sz w:val="18"/>
              </w:rPr>
              <w:t>P</w:t>
            </w:r>
            <w:r w:rsidR="00872D0C">
              <w:rPr>
                <w:b/>
                <w:color w:val="auto"/>
                <w:sz w:val="18"/>
              </w:rPr>
              <w:t>ost</w:t>
            </w:r>
            <w:r w:rsidRPr="00F64312">
              <w:rPr>
                <w:b/>
                <w:color w:val="auto"/>
                <w:sz w:val="18"/>
              </w:rPr>
              <w:t xml:space="preserve">-Separation) – All Effective Date </w:t>
            </w:r>
            <w:r w:rsidRPr="00872D0C">
              <w:rPr>
                <w:b/>
                <w:color w:val="auto"/>
                <w:sz w:val="18"/>
              </w:rPr>
              <w:t>200</w:t>
            </w:r>
            <w:r w:rsidR="00872D0C" w:rsidRPr="00872D0C">
              <w:rPr>
                <w:b/>
                <w:color w:val="auto"/>
                <w:sz w:val="18"/>
              </w:rPr>
              <w:t>40701</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4C1BC8" w:rsidP="006B690F">
            <w:pPr>
              <w:spacing w:line="180" w:lineRule="exact"/>
              <w:contextualSpacing/>
              <w:jc w:val="left"/>
              <w:rPr>
                <w:rFonts w:cs="Calibri"/>
                <w:color w:val="auto"/>
                <w:sz w:val="18"/>
              </w:rPr>
            </w:pPr>
            <w:r>
              <w:rPr>
                <w:rFonts w:cs="Calibri"/>
                <w:color w:val="auto"/>
                <w:sz w:val="18"/>
              </w:rPr>
              <w:t>Seizure Disorder with History of Seizures Occurring at Nighttime While Sleeping</w:t>
            </w:r>
          </w:p>
        </w:tc>
        <w:tc>
          <w:tcPr>
            <w:tcW w:w="1080" w:type="dxa"/>
            <w:tcBorders>
              <w:left w:val="single" w:sz="4" w:space="0" w:color="auto"/>
            </w:tcBorders>
            <w:shd w:val="clear" w:color="auto" w:fill="FFFFFF"/>
            <w:vAlign w:val="center"/>
          </w:tcPr>
          <w:p w:rsidR="00F90376" w:rsidRPr="001442B4" w:rsidRDefault="004C1BC8" w:rsidP="006B690F">
            <w:pPr>
              <w:spacing w:line="180" w:lineRule="exact"/>
              <w:contextualSpacing/>
              <w:rPr>
                <w:rFonts w:cs="Calibri"/>
                <w:color w:val="auto"/>
                <w:sz w:val="18"/>
              </w:rPr>
            </w:pPr>
            <w:r w:rsidRPr="001442B4">
              <w:rPr>
                <w:rFonts w:cs="Calibri"/>
                <w:color w:val="auto"/>
                <w:sz w:val="18"/>
              </w:rPr>
              <w:t>8910</w:t>
            </w:r>
          </w:p>
        </w:tc>
        <w:tc>
          <w:tcPr>
            <w:tcW w:w="720" w:type="dxa"/>
            <w:tcBorders>
              <w:right w:val="thinThickThinSmallGap" w:sz="24" w:space="0" w:color="auto"/>
            </w:tcBorders>
            <w:shd w:val="clear" w:color="auto" w:fill="FFFFFF"/>
            <w:vAlign w:val="center"/>
          </w:tcPr>
          <w:p w:rsidR="00F90376" w:rsidRPr="001442B4" w:rsidRDefault="004C1BC8" w:rsidP="006B690F">
            <w:pPr>
              <w:spacing w:line="180" w:lineRule="exact"/>
              <w:rPr>
                <w:rFonts w:cs="Calibri"/>
                <w:color w:val="auto"/>
                <w:sz w:val="18"/>
              </w:rPr>
            </w:pPr>
            <w:r w:rsidRPr="001442B4">
              <w:rPr>
                <w:rFonts w:cs="Calibri"/>
                <w:color w:val="auto"/>
                <w:sz w:val="18"/>
              </w:rPr>
              <w:t>0%</w:t>
            </w:r>
          </w:p>
        </w:tc>
        <w:tc>
          <w:tcPr>
            <w:tcW w:w="2610" w:type="dxa"/>
            <w:tcBorders>
              <w:left w:val="thinThickThinSmallGap" w:sz="24" w:space="0" w:color="auto"/>
            </w:tcBorders>
            <w:shd w:val="clear" w:color="auto" w:fill="FFFFFF"/>
            <w:vAlign w:val="center"/>
          </w:tcPr>
          <w:p w:rsidR="00F90376" w:rsidRPr="001442B4" w:rsidRDefault="00872D0C" w:rsidP="0017172C">
            <w:pPr>
              <w:spacing w:line="180" w:lineRule="exact"/>
              <w:contextualSpacing/>
              <w:jc w:val="left"/>
              <w:rPr>
                <w:rFonts w:cs="Calibri"/>
                <w:color w:val="auto"/>
                <w:sz w:val="18"/>
              </w:rPr>
            </w:pPr>
            <w:r w:rsidRPr="001442B4">
              <w:rPr>
                <w:rFonts w:cs="Calibri"/>
                <w:color w:val="auto"/>
                <w:sz w:val="18"/>
              </w:rPr>
              <w:t>Epilepsy, Grand Mal Seizures</w:t>
            </w:r>
          </w:p>
        </w:tc>
        <w:tc>
          <w:tcPr>
            <w:tcW w:w="1080" w:type="dxa"/>
            <w:shd w:val="clear" w:color="auto" w:fill="FFFFFF"/>
            <w:vAlign w:val="center"/>
          </w:tcPr>
          <w:p w:rsidR="00F90376" w:rsidRPr="001442B4" w:rsidRDefault="00872D0C" w:rsidP="0017172C">
            <w:pPr>
              <w:spacing w:line="180" w:lineRule="exact"/>
              <w:contextualSpacing/>
              <w:rPr>
                <w:rFonts w:cs="Calibri"/>
                <w:color w:val="auto"/>
                <w:sz w:val="18"/>
              </w:rPr>
            </w:pPr>
            <w:r w:rsidRPr="001442B4">
              <w:rPr>
                <w:rFonts w:cs="Calibri"/>
                <w:color w:val="auto"/>
                <w:sz w:val="18"/>
              </w:rPr>
              <w:t>8910</w:t>
            </w:r>
          </w:p>
        </w:tc>
        <w:tc>
          <w:tcPr>
            <w:tcW w:w="720" w:type="dxa"/>
            <w:shd w:val="clear" w:color="auto" w:fill="FFFFFF"/>
            <w:vAlign w:val="center"/>
          </w:tcPr>
          <w:p w:rsidR="00F90376" w:rsidRPr="001442B4" w:rsidRDefault="00872D0C" w:rsidP="0017172C">
            <w:pPr>
              <w:spacing w:line="180" w:lineRule="exact"/>
              <w:contextualSpacing/>
              <w:rPr>
                <w:rFonts w:cs="Calibri"/>
                <w:color w:val="auto"/>
                <w:sz w:val="18"/>
              </w:rPr>
            </w:pPr>
            <w:r w:rsidRPr="001442B4">
              <w:rPr>
                <w:rFonts w:cs="Calibri"/>
                <w:color w:val="auto"/>
                <w:sz w:val="18"/>
              </w:rPr>
              <w:t>20%</w:t>
            </w:r>
          </w:p>
        </w:tc>
        <w:tc>
          <w:tcPr>
            <w:tcW w:w="990" w:type="dxa"/>
            <w:shd w:val="clear" w:color="auto" w:fill="FFFFFF"/>
            <w:vAlign w:val="center"/>
          </w:tcPr>
          <w:p w:rsidR="00F90376" w:rsidRPr="00F64312" w:rsidRDefault="00A314B6" w:rsidP="00872D0C">
            <w:pPr>
              <w:spacing w:line="180" w:lineRule="exact"/>
              <w:contextualSpacing/>
              <w:rPr>
                <w:rFonts w:cs="Calibri"/>
                <w:color w:val="auto"/>
                <w:sz w:val="18"/>
              </w:rPr>
            </w:pPr>
            <w:r w:rsidRPr="00872D0C">
              <w:rPr>
                <w:color w:val="auto"/>
                <w:sz w:val="18"/>
              </w:rPr>
              <w:t>200</w:t>
            </w:r>
            <w:r w:rsidR="00872D0C" w:rsidRPr="00872D0C">
              <w:rPr>
                <w:color w:val="auto"/>
                <w:sz w:val="18"/>
              </w:rPr>
              <w:t>40504</w:t>
            </w:r>
          </w:p>
        </w:tc>
      </w:tr>
      <w:tr w:rsidR="00872D0C" w:rsidRPr="00F64312" w:rsidTr="0017172C">
        <w:trPr>
          <w:trHeight w:val="172"/>
          <w:jc w:val="center"/>
        </w:trPr>
        <w:tc>
          <w:tcPr>
            <w:tcW w:w="3969" w:type="dxa"/>
            <w:gridSpan w:val="3"/>
            <w:tcBorders>
              <w:right w:val="thinThickThinSmallGap" w:sz="24" w:space="0" w:color="auto"/>
            </w:tcBorders>
            <w:shd w:val="clear" w:color="auto" w:fill="FFFFFF"/>
            <w:vAlign w:val="center"/>
          </w:tcPr>
          <w:p w:rsidR="00872D0C" w:rsidRDefault="00872D0C" w:rsidP="006B690F">
            <w:pPr>
              <w:spacing w:line="180" w:lineRule="exact"/>
              <w:contextualSpacing/>
              <w:rPr>
                <w:rFonts w:cs="Calibri"/>
                <w:color w:val="auto"/>
                <w:sz w:val="18"/>
              </w:rPr>
            </w:pPr>
          </w:p>
          <w:p w:rsidR="00872D0C" w:rsidRDefault="00872D0C" w:rsidP="006B690F">
            <w:pPr>
              <w:spacing w:line="180" w:lineRule="exact"/>
              <w:contextualSpacing/>
              <w:rPr>
                <w:rFonts w:cs="Calibri"/>
                <w:color w:val="auto"/>
                <w:sz w:val="18"/>
              </w:rPr>
            </w:pPr>
            <w:r w:rsidRPr="00F64312">
              <w:rPr>
                <w:rFonts w:cs="Calibri"/>
                <w:color w:val="auto"/>
                <w:sz w:val="18"/>
                <w:szCs w:val="18"/>
              </w:rPr>
              <w:t>↓No Additional MEB/PEB Entries↓</w:t>
            </w:r>
          </w:p>
          <w:p w:rsidR="00872D0C" w:rsidRPr="00F64312" w:rsidRDefault="00872D0C"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872D0C" w:rsidRPr="00F64312" w:rsidRDefault="00872D0C" w:rsidP="00872D0C">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3</w:t>
            </w:r>
          </w:p>
        </w:tc>
        <w:tc>
          <w:tcPr>
            <w:tcW w:w="990" w:type="dxa"/>
            <w:shd w:val="clear" w:color="auto" w:fill="FFFFFF"/>
            <w:vAlign w:val="center"/>
          </w:tcPr>
          <w:p w:rsidR="00872D0C" w:rsidRPr="00F64312" w:rsidRDefault="00872D0C" w:rsidP="0017172C">
            <w:pPr>
              <w:spacing w:line="180" w:lineRule="exact"/>
              <w:contextualSpacing/>
              <w:rPr>
                <w:rFonts w:cs="Calibri"/>
                <w:color w:val="auto"/>
                <w:sz w:val="18"/>
              </w:rPr>
            </w:pPr>
            <w:r>
              <w:rPr>
                <w:rFonts w:cs="Calibri"/>
                <w:color w:val="auto"/>
                <w:sz w:val="18"/>
              </w:rPr>
              <w:t>20040504</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F00727">
            <w:pPr>
              <w:spacing w:line="180" w:lineRule="exact"/>
              <w:contextualSpacing/>
              <w:rPr>
                <w:rFonts w:cs="Calibri"/>
                <w:b/>
                <w:color w:val="auto"/>
                <w:sz w:val="18"/>
              </w:rPr>
            </w:pPr>
            <w:r w:rsidRPr="00F64312">
              <w:rPr>
                <w:b/>
                <w:color w:val="auto"/>
                <w:sz w:val="18"/>
              </w:rPr>
              <w:t xml:space="preserve">Combined:  </w:t>
            </w:r>
            <w:r w:rsidR="00F00727">
              <w:rPr>
                <w:b/>
                <w:color w:val="auto"/>
                <w:sz w:val="18"/>
              </w:rPr>
              <w:t>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DD29F9">
            <w:pPr>
              <w:spacing w:line="180" w:lineRule="exact"/>
              <w:contextualSpacing/>
              <w:rPr>
                <w:rFonts w:cs="Calibri"/>
                <w:b/>
                <w:color w:val="auto"/>
                <w:sz w:val="18"/>
              </w:rPr>
            </w:pPr>
            <w:r w:rsidRPr="00F64312">
              <w:rPr>
                <w:b/>
                <w:color w:val="auto"/>
                <w:sz w:val="18"/>
              </w:rPr>
              <w:t xml:space="preserve">Combined:  </w:t>
            </w:r>
            <w:r w:rsidR="00DD29F9">
              <w:rPr>
                <w:b/>
                <w:color w:val="auto"/>
                <w:sz w:val="18"/>
              </w:rPr>
              <w:t>20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B22D42">
      <w:pPr>
        <w:jc w:val="both"/>
        <w:rPr>
          <w:color w:val="auto"/>
          <w:highlight w:val="yellow"/>
        </w:rPr>
      </w:pPr>
    </w:p>
    <w:p w:rsidR="00542022" w:rsidRPr="008E44DC" w:rsidRDefault="00C11F21" w:rsidP="00AD61A8">
      <w:pPr>
        <w:autoSpaceDE w:val="0"/>
        <w:autoSpaceDN w:val="0"/>
        <w:adjustRightInd w:val="0"/>
        <w:jc w:val="both"/>
        <w:rPr>
          <w:rFonts w:ascii="Times New Roman" w:hAnsi="Times New Roman" w:cs="Times New Roman"/>
          <w:color w:val="auto"/>
          <w:sz w:val="23"/>
          <w:szCs w:val="23"/>
        </w:rPr>
      </w:pPr>
      <w:r w:rsidRPr="00C11F21">
        <w:rPr>
          <w:color w:val="auto"/>
          <w:u w:val="single"/>
        </w:rPr>
        <w:t>Seizure Disorder</w:t>
      </w:r>
      <w:r w:rsidR="00AD2379" w:rsidRPr="00F64312">
        <w:rPr>
          <w:color w:val="auto"/>
        </w:rPr>
        <w:t xml:space="preserve">. </w:t>
      </w:r>
      <w:r w:rsidR="00197689">
        <w:rPr>
          <w:color w:val="auto"/>
        </w:rPr>
        <w:t xml:space="preserve"> </w:t>
      </w:r>
      <w:r w:rsidR="00197689" w:rsidRPr="00AD61A8">
        <w:rPr>
          <w:color w:val="auto"/>
          <w:szCs w:val="24"/>
        </w:rPr>
        <w:t xml:space="preserve">The CI </w:t>
      </w:r>
      <w:r w:rsidR="00752658" w:rsidRPr="00AD61A8">
        <w:rPr>
          <w:color w:val="auto"/>
          <w:szCs w:val="24"/>
        </w:rPr>
        <w:t xml:space="preserve">hit his head without loss of consciousness </w:t>
      </w:r>
      <w:r w:rsidR="00E25BF0">
        <w:rPr>
          <w:color w:val="auto"/>
          <w:szCs w:val="24"/>
        </w:rPr>
        <w:t>during</w:t>
      </w:r>
      <w:r w:rsidR="00752658" w:rsidRPr="00AD61A8">
        <w:rPr>
          <w:color w:val="auto"/>
          <w:szCs w:val="24"/>
        </w:rPr>
        <w:t xml:space="preserve"> </w:t>
      </w:r>
      <w:r w:rsidR="00AD61A8">
        <w:rPr>
          <w:color w:val="auto"/>
          <w:szCs w:val="24"/>
        </w:rPr>
        <w:t xml:space="preserve">two </w:t>
      </w:r>
      <w:r w:rsidR="00197689" w:rsidRPr="00AD61A8">
        <w:rPr>
          <w:color w:val="auto"/>
          <w:szCs w:val="24"/>
        </w:rPr>
        <w:t>parachute jump</w:t>
      </w:r>
      <w:r w:rsidR="00752658" w:rsidRPr="00AD61A8">
        <w:rPr>
          <w:color w:val="auto"/>
          <w:szCs w:val="24"/>
        </w:rPr>
        <w:t>s</w:t>
      </w:r>
      <w:r w:rsidR="00484C62" w:rsidRPr="00AD61A8">
        <w:rPr>
          <w:color w:val="auto"/>
          <w:szCs w:val="24"/>
        </w:rPr>
        <w:t>,</w:t>
      </w:r>
      <w:r w:rsidR="00197689" w:rsidRPr="00AD61A8">
        <w:rPr>
          <w:color w:val="auto"/>
          <w:szCs w:val="24"/>
        </w:rPr>
        <w:t xml:space="preserve"> </w:t>
      </w:r>
      <w:r w:rsidR="00752658" w:rsidRPr="00AD61A8">
        <w:rPr>
          <w:color w:val="auto"/>
          <w:szCs w:val="24"/>
        </w:rPr>
        <w:t>o</w:t>
      </w:r>
      <w:r w:rsidR="00484C62" w:rsidRPr="00AD61A8">
        <w:rPr>
          <w:color w:val="auto"/>
          <w:szCs w:val="24"/>
        </w:rPr>
        <w:t>ne in September 2001 and</w:t>
      </w:r>
      <w:r w:rsidR="00752658" w:rsidRPr="00AD61A8">
        <w:rPr>
          <w:color w:val="auto"/>
          <w:szCs w:val="24"/>
        </w:rPr>
        <w:t xml:space="preserve"> the other in September 2002 for which he did not seek treatment.  A month after each incident </w:t>
      </w:r>
      <w:r w:rsidR="00197689" w:rsidRPr="00AD61A8">
        <w:rPr>
          <w:color w:val="auto"/>
          <w:szCs w:val="24"/>
        </w:rPr>
        <w:t>he had a grand mal seizure while asleep</w:t>
      </w:r>
      <w:r w:rsidR="00752658" w:rsidRPr="00AD61A8">
        <w:rPr>
          <w:color w:val="auto"/>
          <w:szCs w:val="24"/>
        </w:rPr>
        <w:t xml:space="preserve"> </w:t>
      </w:r>
      <w:r w:rsidR="00197689" w:rsidRPr="00AD61A8">
        <w:rPr>
          <w:color w:val="auto"/>
          <w:szCs w:val="24"/>
        </w:rPr>
        <w:t xml:space="preserve">witnessed by </w:t>
      </w:r>
      <w:r w:rsidR="00197689" w:rsidRPr="00AD61A8">
        <w:rPr>
          <w:color w:val="auto"/>
          <w:szCs w:val="24"/>
        </w:rPr>
        <w:lastRenderedPageBreak/>
        <w:t>his wife</w:t>
      </w:r>
      <w:r w:rsidR="00AD61A8">
        <w:rPr>
          <w:color w:val="auto"/>
          <w:szCs w:val="24"/>
        </w:rPr>
        <w:t>.</w:t>
      </w:r>
      <w:r w:rsidR="00752658" w:rsidRPr="00AD61A8">
        <w:rPr>
          <w:color w:val="auto"/>
          <w:szCs w:val="24"/>
        </w:rPr>
        <w:t xml:space="preserve"> </w:t>
      </w:r>
      <w:r w:rsidR="00AD61A8">
        <w:rPr>
          <w:color w:val="auto"/>
          <w:szCs w:val="24"/>
        </w:rPr>
        <w:t xml:space="preserve"> For each </w:t>
      </w:r>
      <w:r w:rsidR="00752658" w:rsidRPr="00AD61A8">
        <w:rPr>
          <w:color w:val="auto"/>
          <w:szCs w:val="24"/>
        </w:rPr>
        <w:t xml:space="preserve">she </w:t>
      </w:r>
      <w:r w:rsidR="00197689" w:rsidRPr="00AD61A8">
        <w:rPr>
          <w:color w:val="auto"/>
          <w:szCs w:val="24"/>
        </w:rPr>
        <w:t>described her husband as combative, confused in</w:t>
      </w:r>
      <w:r w:rsidR="00484C62" w:rsidRPr="00AD61A8">
        <w:rPr>
          <w:color w:val="auto"/>
          <w:szCs w:val="24"/>
        </w:rPr>
        <w:t xml:space="preserve"> </w:t>
      </w:r>
      <w:r w:rsidR="00197689" w:rsidRPr="00AD61A8">
        <w:rPr>
          <w:color w:val="auto"/>
          <w:szCs w:val="24"/>
        </w:rPr>
        <w:t xml:space="preserve">the postictal phase and incontinent of urine.  </w:t>
      </w:r>
      <w:r w:rsidR="00752658" w:rsidRPr="00AD61A8">
        <w:rPr>
          <w:color w:val="auto"/>
          <w:szCs w:val="24"/>
        </w:rPr>
        <w:t xml:space="preserve">After the first episode the CI </w:t>
      </w:r>
      <w:r w:rsidR="00197689" w:rsidRPr="00AD61A8">
        <w:rPr>
          <w:color w:val="auto"/>
          <w:szCs w:val="24"/>
        </w:rPr>
        <w:t xml:space="preserve">underwent a </w:t>
      </w:r>
      <w:r w:rsidR="003554BB">
        <w:rPr>
          <w:color w:val="000000" w:themeColor="text1"/>
        </w:rPr>
        <w:t>c</w:t>
      </w:r>
      <w:r w:rsidR="00AD61A8" w:rsidRPr="00AD61A8">
        <w:rPr>
          <w:color w:val="000000" w:themeColor="text1"/>
        </w:rPr>
        <w:t xml:space="preserve">omputer </w:t>
      </w:r>
      <w:r w:rsidR="003554BB">
        <w:rPr>
          <w:color w:val="000000" w:themeColor="text1"/>
        </w:rPr>
        <w:t>t</w:t>
      </w:r>
      <w:r w:rsidR="00AD61A8" w:rsidRPr="00AD61A8">
        <w:rPr>
          <w:color w:val="000000" w:themeColor="text1"/>
        </w:rPr>
        <w:t>omography (CT)</w:t>
      </w:r>
      <w:r w:rsidR="00197689" w:rsidRPr="00AD61A8">
        <w:rPr>
          <w:color w:val="auto"/>
          <w:szCs w:val="24"/>
        </w:rPr>
        <w:t xml:space="preserve"> </w:t>
      </w:r>
      <w:r w:rsidR="003554BB">
        <w:rPr>
          <w:color w:val="auto"/>
          <w:szCs w:val="24"/>
        </w:rPr>
        <w:t>s</w:t>
      </w:r>
      <w:r w:rsidR="00197689" w:rsidRPr="00AD61A8">
        <w:rPr>
          <w:color w:val="auto"/>
          <w:szCs w:val="24"/>
        </w:rPr>
        <w:t>can of the head which was normal</w:t>
      </w:r>
      <w:r w:rsidR="00752658" w:rsidRPr="00AD61A8">
        <w:rPr>
          <w:color w:val="auto"/>
          <w:szCs w:val="24"/>
        </w:rPr>
        <w:t xml:space="preserve"> and </w:t>
      </w:r>
      <w:r w:rsidR="00197689" w:rsidRPr="00AD61A8">
        <w:rPr>
          <w:color w:val="auto"/>
          <w:szCs w:val="24"/>
        </w:rPr>
        <w:t xml:space="preserve">was seen by </w:t>
      </w:r>
      <w:r w:rsidR="003554BB">
        <w:rPr>
          <w:color w:val="auto"/>
          <w:szCs w:val="24"/>
        </w:rPr>
        <w:t>n</w:t>
      </w:r>
      <w:r w:rsidR="00197689" w:rsidRPr="00AD61A8">
        <w:rPr>
          <w:color w:val="auto"/>
          <w:szCs w:val="24"/>
        </w:rPr>
        <w:t>eurology</w:t>
      </w:r>
      <w:r w:rsidR="00484C62" w:rsidRPr="00AD61A8">
        <w:rPr>
          <w:color w:val="auto"/>
          <w:szCs w:val="24"/>
        </w:rPr>
        <w:t xml:space="preserve">.  He was </w:t>
      </w:r>
      <w:r w:rsidR="00197689" w:rsidRPr="00AD61A8">
        <w:rPr>
          <w:color w:val="auto"/>
          <w:szCs w:val="24"/>
        </w:rPr>
        <w:t>not placed on medications</w:t>
      </w:r>
      <w:r w:rsidR="00752658" w:rsidRPr="00AD61A8">
        <w:rPr>
          <w:color w:val="auto"/>
          <w:szCs w:val="24"/>
        </w:rPr>
        <w:t xml:space="preserve"> for this single seizure episode</w:t>
      </w:r>
      <w:r w:rsidR="00197689" w:rsidRPr="00AD61A8">
        <w:rPr>
          <w:color w:val="auto"/>
          <w:szCs w:val="24"/>
        </w:rPr>
        <w:t xml:space="preserve">.  </w:t>
      </w:r>
      <w:r w:rsidR="00752658" w:rsidRPr="00AD61A8">
        <w:rPr>
          <w:color w:val="auto"/>
          <w:szCs w:val="24"/>
        </w:rPr>
        <w:t>After the second seizure he was</w:t>
      </w:r>
      <w:r w:rsidR="00197689" w:rsidRPr="00AD61A8">
        <w:rPr>
          <w:color w:val="auto"/>
          <w:szCs w:val="24"/>
        </w:rPr>
        <w:t xml:space="preserve"> loaded with the seizure medication </w:t>
      </w:r>
      <w:r w:rsidR="002732C2" w:rsidRPr="002732C2">
        <w:rPr>
          <w:color w:val="auto"/>
          <w:szCs w:val="24"/>
        </w:rPr>
        <w:t>Phenytoin</w:t>
      </w:r>
      <w:r w:rsidR="002732C2">
        <w:rPr>
          <w:color w:val="auto"/>
          <w:szCs w:val="24"/>
        </w:rPr>
        <w:t>,</w:t>
      </w:r>
      <w:r w:rsidR="002732C2" w:rsidRPr="002732C2">
        <w:rPr>
          <w:color w:val="auto"/>
          <w:szCs w:val="24"/>
        </w:rPr>
        <w:t xml:space="preserve"> (</w:t>
      </w:r>
      <w:r w:rsidR="00197689" w:rsidRPr="002732C2">
        <w:rPr>
          <w:color w:val="auto"/>
          <w:szCs w:val="24"/>
        </w:rPr>
        <w:t>Dilantin</w:t>
      </w:r>
      <w:r w:rsidR="002732C2" w:rsidRPr="002732C2">
        <w:rPr>
          <w:color w:val="auto"/>
          <w:szCs w:val="24"/>
          <w:vertAlign w:val="superscript"/>
        </w:rPr>
        <w:t>TM</w:t>
      </w:r>
      <w:r w:rsidR="00197689" w:rsidRPr="002732C2">
        <w:rPr>
          <w:color w:val="auto"/>
          <w:szCs w:val="24"/>
        </w:rPr>
        <w:t>)</w:t>
      </w:r>
      <w:r w:rsidR="00197689" w:rsidRPr="00AD61A8">
        <w:rPr>
          <w:color w:val="auto"/>
          <w:szCs w:val="24"/>
        </w:rPr>
        <w:t xml:space="preserve"> </w:t>
      </w:r>
      <w:r w:rsidR="00752658" w:rsidRPr="00AD61A8">
        <w:rPr>
          <w:color w:val="auto"/>
          <w:szCs w:val="24"/>
        </w:rPr>
        <w:t>and hospitalized for a day for testing</w:t>
      </w:r>
      <w:r w:rsidR="00197689" w:rsidRPr="00AD61A8">
        <w:rPr>
          <w:color w:val="auto"/>
          <w:szCs w:val="24"/>
        </w:rPr>
        <w:t>.</w:t>
      </w:r>
      <w:r w:rsidR="008E44DC" w:rsidRPr="00AD61A8">
        <w:rPr>
          <w:color w:val="auto"/>
          <w:szCs w:val="24"/>
        </w:rPr>
        <w:t xml:space="preserve">  </w:t>
      </w:r>
      <w:r w:rsidR="00752658" w:rsidRPr="00AD61A8">
        <w:rPr>
          <w:color w:val="auto"/>
          <w:szCs w:val="24"/>
        </w:rPr>
        <w:t xml:space="preserve">He was placed on a temporary profile with significant duty restrictions and, in </w:t>
      </w:r>
      <w:r w:rsidR="00630EA6" w:rsidRPr="00AD61A8">
        <w:rPr>
          <w:color w:val="auto"/>
          <w:szCs w:val="24"/>
        </w:rPr>
        <w:t>February</w:t>
      </w:r>
      <w:r w:rsidR="00752658" w:rsidRPr="00AD61A8">
        <w:rPr>
          <w:color w:val="auto"/>
          <w:szCs w:val="24"/>
        </w:rPr>
        <w:t xml:space="preserve"> 2003, was terminated from </w:t>
      </w:r>
      <w:r w:rsidR="00E25BF0" w:rsidRPr="00AD61A8">
        <w:rPr>
          <w:color w:val="auto"/>
          <w:szCs w:val="24"/>
        </w:rPr>
        <w:t>airborne</w:t>
      </w:r>
      <w:r w:rsidR="00752658" w:rsidRPr="00AD61A8">
        <w:rPr>
          <w:color w:val="auto"/>
          <w:szCs w:val="24"/>
        </w:rPr>
        <w:t xml:space="preserve"> status and permanently placed </w:t>
      </w:r>
      <w:r w:rsidR="00DB412E">
        <w:rPr>
          <w:color w:val="auto"/>
          <w:szCs w:val="24"/>
        </w:rPr>
        <w:t>o</w:t>
      </w:r>
      <w:r w:rsidR="00491295">
        <w:rPr>
          <w:color w:val="auto"/>
          <w:szCs w:val="24"/>
        </w:rPr>
        <w:t xml:space="preserve">n </w:t>
      </w:r>
      <w:r w:rsidR="003554BB">
        <w:rPr>
          <w:color w:val="auto"/>
          <w:szCs w:val="24"/>
        </w:rPr>
        <w:t>h</w:t>
      </w:r>
      <w:r w:rsidR="00DB412E">
        <w:rPr>
          <w:color w:val="auto"/>
          <w:szCs w:val="24"/>
        </w:rPr>
        <w:t xml:space="preserve">ead &amp; </w:t>
      </w:r>
      <w:r w:rsidR="003554BB">
        <w:rPr>
          <w:color w:val="auto"/>
          <w:szCs w:val="24"/>
        </w:rPr>
        <w:t>h</w:t>
      </w:r>
      <w:r w:rsidR="00DB412E">
        <w:rPr>
          <w:color w:val="auto"/>
          <w:szCs w:val="24"/>
        </w:rPr>
        <w:t xml:space="preserve">eadquarters </w:t>
      </w:r>
      <w:r w:rsidR="003554BB">
        <w:rPr>
          <w:color w:val="auto"/>
          <w:szCs w:val="24"/>
        </w:rPr>
        <w:t>d</w:t>
      </w:r>
      <w:r w:rsidR="00DB412E">
        <w:rPr>
          <w:color w:val="auto"/>
          <w:szCs w:val="24"/>
        </w:rPr>
        <w:t xml:space="preserve">uty </w:t>
      </w:r>
      <w:r w:rsidR="00DB412E" w:rsidRPr="00187BE1">
        <w:rPr>
          <w:color w:val="auto"/>
          <w:szCs w:val="24"/>
        </w:rPr>
        <w:t>(</w:t>
      </w:r>
      <w:r w:rsidR="00491295" w:rsidRPr="00187BE1">
        <w:rPr>
          <w:color w:val="auto"/>
          <w:szCs w:val="24"/>
        </w:rPr>
        <w:t>HHD</w:t>
      </w:r>
      <w:r w:rsidR="00DB412E" w:rsidRPr="00187BE1">
        <w:rPr>
          <w:color w:val="auto"/>
          <w:szCs w:val="24"/>
        </w:rPr>
        <w:t>)</w:t>
      </w:r>
      <w:r w:rsidR="00752658" w:rsidRPr="00187BE1">
        <w:rPr>
          <w:color w:val="auto"/>
          <w:szCs w:val="24"/>
        </w:rPr>
        <w:t>.</w:t>
      </w:r>
      <w:r w:rsidR="00752658" w:rsidRPr="00AD61A8">
        <w:rPr>
          <w:color w:val="auto"/>
          <w:szCs w:val="24"/>
        </w:rPr>
        <w:t xml:space="preserve">  </w:t>
      </w:r>
      <w:r w:rsidR="008E44DC" w:rsidRPr="00AD61A8">
        <w:rPr>
          <w:color w:val="auto"/>
          <w:szCs w:val="24"/>
        </w:rPr>
        <w:t xml:space="preserve">He had persistently low Dilantin levels with modifications in dosage </w:t>
      </w:r>
      <w:r w:rsidR="00AD61A8">
        <w:rPr>
          <w:color w:val="auto"/>
          <w:szCs w:val="24"/>
        </w:rPr>
        <w:t xml:space="preserve">and was </w:t>
      </w:r>
      <w:r w:rsidR="008E44DC" w:rsidRPr="00AD61A8">
        <w:rPr>
          <w:color w:val="auto"/>
          <w:szCs w:val="24"/>
        </w:rPr>
        <w:t xml:space="preserve">therapeutic on 500mg in June of 2003.  </w:t>
      </w:r>
      <w:r w:rsidR="00752658" w:rsidRPr="00AD61A8">
        <w:rPr>
          <w:color w:val="auto"/>
          <w:szCs w:val="24"/>
        </w:rPr>
        <w:t xml:space="preserve">An </w:t>
      </w:r>
      <w:r w:rsidR="00197689" w:rsidRPr="00AD61A8">
        <w:rPr>
          <w:color w:val="auto"/>
          <w:szCs w:val="24"/>
        </w:rPr>
        <w:t>EEG</w:t>
      </w:r>
      <w:r w:rsidR="00752658" w:rsidRPr="00AD61A8">
        <w:rPr>
          <w:color w:val="auto"/>
          <w:szCs w:val="24"/>
        </w:rPr>
        <w:t xml:space="preserve"> performed </w:t>
      </w:r>
      <w:r w:rsidR="00E038E4">
        <w:rPr>
          <w:color w:val="auto"/>
          <w:szCs w:val="24"/>
        </w:rPr>
        <w:t>at this time</w:t>
      </w:r>
      <w:r w:rsidR="00197689" w:rsidRPr="00AD61A8">
        <w:rPr>
          <w:color w:val="auto"/>
          <w:szCs w:val="24"/>
        </w:rPr>
        <w:t xml:space="preserve"> was abnormal suggesting a focal disturbance of cortical function and </w:t>
      </w:r>
      <w:r w:rsidR="00E25BF0" w:rsidRPr="00AD61A8">
        <w:rPr>
          <w:color w:val="auto"/>
          <w:szCs w:val="24"/>
        </w:rPr>
        <w:t>hyper</w:t>
      </w:r>
      <w:r w:rsidR="00E25BF0">
        <w:rPr>
          <w:color w:val="auto"/>
          <w:szCs w:val="24"/>
        </w:rPr>
        <w:t>-</w:t>
      </w:r>
      <w:r w:rsidR="00E25BF0" w:rsidRPr="00AD61A8">
        <w:rPr>
          <w:color w:val="auto"/>
          <w:szCs w:val="24"/>
        </w:rPr>
        <w:t>excitability</w:t>
      </w:r>
      <w:r w:rsidR="00197689" w:rsidRPr="00AD61A8">
        <w:rPr>
          <w:color w:val="auto"/>
          <w:szCs w:val="24"/>
        </w:rPr>
        <w:t xml:space="preserve"> over the left temporal region, consistent with epilepsy.  </w:t>
      </w:r>
      <w:r w:rsidR="00197689" w:rsidRPr="001442B4">
        <w:rPr>
          <w:color w:val="auto"/>
          <w:szCs w:val="24"/>
        </w:rPr>
        <w:t>In August 2003,</w:t>
      </w:r>
      <w:r w:rsidR="00197689" w:rsidRPr="00AD61A8">
        <w:rPr>
          <w:color w:val="auto"/>
          <w:szCs w:val="24"/>
        </w:rPr>
        <w:t xml:space="preserve"> he had another grand mal seizure activity, although not as severe as the previous ones</w:t>
      </w:r>
      <w:r w:rsidR="00AD61A8">
        <w:rPr>
          <w:color w:val="auto"/>
          <w:szCs w:val="24"/>
        </w:rPr>
        <w:t>,</w:t>
      </w:r>
      <w:r w:rsidR="00197689" w:rsidRPr="00AD61A8">
        <w:rPr>
          <w:color w:val="auto"/>
          <w:szCs w:val="24"/>
        </w:rPr>
        <w:t xml:space="preserve"> woke up with left shoulder pain, left leg pain and oral trauma, but without incontinence. </w:t>
      </w:r>
      <w:r w:rsidR="00AD61A8">
        <w:rPr>
          <w:color w:val="auto"/>
          <w:szCs w:val="24"/>
        </w:rPr>
        <w:t xml:space="preserve"> </w:t>
      </w:r>
      <w:r w:rsidR="00197689" w:rsidRPr="00AD61A8">
        <w:rPr>
          <w:color w:val="auto"/>
          <w:szCs w:val="24"/>
        </w:rPr>
        <w:t xml:space="preserve">This was not witnessed.  </w:t>
      </w:r>
      <w:r w:rsidR="008E44DC" w:rsidRPr="00AD61A8">
        <w:rPr>
          <w:color w:val="auto"/>
          <w:szCs w:val="24"/>
        </w:rPr>
        <w:t>In October</w:t>
      </w:r>
      <w:r w:rsidR="00AD61A8" w:rsidRPr="00AD61A8">
        <w:rPr>
          <w:color w:val="auto"/>
          <w:szCs w:val="24"/>
        </w:rPr>
        <w:t xml:space="preserve"> 2003</w:t>
      </w:r>
      <w:r w:rsidR="008E44DC" w:rsidRPr="00AD61A8">
        <w:rPr>
          <w:color w:val="auto"/>
          <w:szCs w:val="24"/>
        </w:rPr>
        <w:t xml:space="preserve"> h</w:t>
      </w:r>
      <w:r w:rsidR="00197689" w:rsidRPr="00AD61A8">
        <w:rPr>
          <w:color w:val="auto"/>
          <w:szCs w:val="24"/>
        </w:rPr>
        <w:t xml:space="preserve">is </w:t>
      </w:r>
      <w:r w:rsidR="00AD61A8">
        <w:rPr>
          <w:color w:val="auto"/>
          <w:szCs w:val="24"/>
        </w:rPr>
        <w:t>D</w:t>
      </w:r>
      <w:r w:rsidR="00197689" w:rsidRPr="00AD61A8">
        <w:rPr>
          <w:color w:val="auto"/>
          <w:szCs w:val="24"/>
        </w:rPr>
        <w:t>ilantin dose was increased</w:t>
      </w:r>
      <w:r w:rsidR="008E44DC" w:rsidRPr="00AD61A8">
        <w:rPr>
          <w:color w:val="auto"/>
          <w:szCs w:val="24"/>
        </w:rPr>
        <w:t xml:space="preserve"> to 600mg nightly and</w:t>
      </w:r>
      <w:r w:rsidR="00197689" w:rsidRPr="00AD61A8">
        <w:rPr>
          <w:color w:val="auto"/>
          <w:szCs w:val="24"/>
        </w:rPr>
        <w:t xml:space="preserve"> </w:t>
      </w:r>
      <w:r w:rsidR="00AD61A8">
        <w:rPr>
          <w:color w:val="auto"/>
          <w:szCs w:val="24"/>
        </w:rPr>
        <w:t xml:space="preserve">a </w:t>
      </w:r>
      <w:r w:rsidR="00197689" w:rsidRPr="00AD61A8">
        <w:rPr>
          <w:color w:val="auto"/>
          <w:szCs w:val="24"/>
        </w:rPr>
        <w:t xml:space="preserve">P3 permanent profile was issued </w:t>
      </w:r>
      <w:r w:rsidR="004D2C52" w:rsidRPr="00AD61A8">
        <w:rPr>
          <w:color w:val="auto"/>
          <w:szCs w:val="24"/>
        </w:rPr>
        <w:t xml:space="preserve">with the following limitations; </w:t>
      </w:r>
      <w:r w:rsidR="00BC0ADC">
        <w:rPr>
          <w:color w:val="auto"/>
          <w:szCs w:val="24"/>
        </w:rPr>
        <w:t>n</w:t>
      </w:r>
      <w:r w:rsidR="004D2C52" w:rsidRPr="00AD61A8">
        <w:rPr>
          <w:color w:val="auto"/>
          <w:szCs w:val="24"/>
        </w:rPr>
        <w:t xml:space="preserve">o </w:t>
      </w:r>
      <w:r w:rsidR="004D2C52" w:rsidRPr="00AD61A8">
        <w:rPr>
          <w:bCs/>
          <w:color w:val="auto"/>
          <w:szCs w:val="24"/>
        </w:rPr>
        <w:t>airborne op</w:t>
      </w:r>
      <w:r w:rsidR="00AD61A8">
        <w:rPr>
          <w:bCs/>
          <w:color w:val="auto"/>
          <w:szCs w:val="24"/>
        </w:rPr>
        <w:t>eration</w:t>
      </w:r>
      <w:r w:rsidR="004D2C52" w:rsidRPr="00AD61A8">
        <w:rPr>
          <w:bCs/>
          <w:color w:val="auto"/>
          <w:szCs w:val="24"/>
        </w:rPr>
        <w:t>s, no heights greater than 10 feet, no heavy machinery, no driving, no weapons except to</w:t>
      </w:r>
      <w:r w:rsidR="00AD61A8">
        <w:rPr>
          <w:bCs/>
          <w:color w:val="auto"/>
          <w:szCs w:val="24"/>
        </w:rPr>
        <w:t xml:space="preserve"> </w:t>
      </w:r>
      <w:r w:rsidR="004D2C52" w:rsidRPr="00AD61A8">
        <w:rPr>
          <w:bCs/>
          <w:color w:val="auto"/>
          <w:szCs w:val="24"/>
        </w:rPr>
        <w:t>"qualify (can carry unloaded weapon), no assignment were loss of consciousness would be dangerous to self or others</w:t>
      </w:r>
      <w:r w:rsidR="00AD61A8">
        <w:rPr>
          <w:bCs/>
          <w:color w:val="auto"/>
          <w:szCs w:val="24"/>
        </w:rPr>
        <w:t xml:space="preserve"> and n</w:t>
      </w:r>
      <w:r w:rsidR="004D2C52" w:rsidRPr="00AD61A8">
        <w:rPr>
          <w:bCs/>
          <w:color w:val="auto"/>
          <w:szCs w:val="24"/>
        </w:rPr>
        <w:t>o swimming alone.</w:t>
      </w:r>
      <w:r w:rsidR="004D2C52" w:rsidRPr="00AD61A8">
        <w:rPr>
          <w:color w:val="auto"/>
          <w:szCs w:val="24"/>
        </w:rPr>
        <w:t xml:space="preserve"> </w:t>
      </w:r>
      <w:r w:rsidR="00AD61A8">
        <w:rPr>
          <w:color w:val="auto"/>
          <w:szCs w:val="24"/>
        </w:rPr>
        <w:t xml:space="preserve"> </w:t>
      </w:r>
      <w:r w:rsidR="004D2C52" w:rsidRPr="00AD61A8">
        <w:rPr>
          <w:color w:val="auto"/>
          <w:szCs w:val="24"/>
        </w:rPr>
        <w:t xml:space="preserve">The </w:t>
      </w:r>
      <w:r w:rsidR="003554BB">
        <w:rPr>
          <w:color w:val="auto"/>
          <w:szCs w:val="24"/>
        </w:rPr>
        <w:t>c</w:t>
      </w:r>
      <w:r w:rsidR="004D2C52" w:rsidRPr="00AD61A8">
        <w:rPr>
          <w:color w:val="auto"/>
          <w:szCs w:val="24"/>
        </w:rPr>
        <w:t xml:space="preserve">ommander’s statement </w:t>
      </w:r>
      <w:r w:rsidR="008E44DC" w:rsidRPr="00AD61A8">
        <w:rPr>
          <w:color w:val="auto"/>
          <w:szCs w:val="24"/>
        </w:rPr>
        <w:t>corroborated</w:t>
      </w:r>
      <w:r w:rsidR="00752658" w:rsidRPr="00AD61A8">
        <w:rPr>
          <w:color w:val="auto"/>
          <w:szCs w:val="24"/>
        </w:rPr>
        <w:t xml:space="preserve"> </w:t>
      </w:r>
      <w:r w:rsidR="008E44DC" w:rsidRPr="00AD61A8">
        <w:rPr>
          <w:color w:val="auto"/>
          <w:szCs w:val="24"/>
        </w:rPr>
        <w:t xml:space="preserve">the above historical review and limitations in addition </w:t>
      </w:r>
      <w:r w:rsidR="00484C62" w:rsidRPr="00AD61A8">
        <w:rPr>
          <w:color w:val="auto"/>
          <w:szCs w:val="24"/>
        </w:rPr>
        <w:t>documented</w:t>
      </w:r>
      <w:r w:rsidR="00E038E4">
        <w:rPr>
          <w:color w:val="auto"/>
          <w:szCs w:val="24"/>
        </w:rPr>
        <w:t xml:space="preserve"> that the</w:t>
      </w:r>
      <w:r w:rsidR="00484C62" w:rsidRPr="00AD61A8">
        <w:rPr>
          <w:color w:val="auto"/>
          <w:szCs w:val="24"/>
        </w:rPr>
        <w:t xml:space="preserve"> profile impeded him from performing </w:t>
      </w:r>
      <w:r w:rsidR="00AD61A8" w:rsidRPr="00AD61A8">
        <w:rPr>
          <w:color w:val="auto"/>
          <w:szCs w:val="24"/>
        </w:rPr>
        <w:t xml:space="preserve">the </w:t>
      </w:r>
      <w:r w:rsidR="00484C62" w:rsidRPr="00AD61A8">
        <w:rPr>
          <w:color w:val="auto"/>
          <w:szCs w:val="24"/>
        </w:rPr>
        <w:t>basic soldier</w:t>
      </w:r>
      <w:r w:rsidR="00E038E4">
        <w:rPr>
          <w:color w:val="auto"/>
          <w:szCs w:val="24"/>
        </w:rPr>
        <w:t>ing</w:t>
      </w:r>
      <w:r w:rsidR="00484C62" w:rsidRPr="00AD61A8">
        <w:rPr>
          <w:color w:val="auto"/>
          <w:szCs w:val="24"/>
        </w:rPr>
        <w:t xml:space="preserve"> skills.</w:t>
      </w:r>
      <w:r w:rsidR="008E44DC">
        <w:rPr>
          <w:rFonts w:ascii="Times New Roman" w:hAnsi="Times New Roman" w:cs="Times New Roman"/>
          <w:color w:val="auto"/>
          <w:sz w:val="23"/>
          <w:szCs w:val="23"/>
        </w:rPr>
        <w:t xml:space="preserve"> </w:t>
      </w:r>
      <w:r w:rsidR="00752658">
        <w:rPr>
          <w:rFonts w:ascii="Times New Roman" w:hAnsi="Times New Roman" w:cs="Times New Roman"/>
          <w:color w:val="auto"/>
          <w:sz w:val="23"/>
          <w:szCs w:val="23"/>
        </w:rPr>
        <w:t xml:space="preserve">  </w:t>
      </w:r>
    </w:p>
    <w:p w:rsidR="00197689" w:rsidRPr="00F64312" w:rsidRDefault="00197689" w:rsidP="00197689">
      <w:pPr>
        <w:jc w:val="both"/>
        <w:rPr>
          <w:color w:val="auto"/>
        </w:rPr>
      </w:pPr>
    </w:p>
    <w:p w:rsidR="00197689" w:rsidRPr="00F64312" w:rsidRDefault="00CF0280" w:rsidP="00197689">
      <w:pPr>
        <w:jc w:val="both"/>
        <w:rPr>
          <w:color w:val="auto"/>
          <w:szCs w:val="24"/>
        </w:rPr>
      </w:pPr>
      <w:r w:rsidRPr="00F64312">
        <w:rPr>
          <w:color w:val="auto"/>
          <w:szCs w:val="24"/>
        </w:rPr>
        <w:t>At the MEB exam, the CI reported</w:t>
      </w:r>
      <w:r w:rsidR="00197689">
        <w:rPr>
          <w:color w:val="auto"/>
          <w:szCs w:val="24"/>
        </w:rPr>
        <w:t xml:space="preserve"> no prior history of seizure activity and </w:t>
      </w:r>
      <w:r w:rsidR="001E21DE">
        <w:rPr>
          <w:color w:val="auto"/>
          <w:szCs w:val="24"/>
        </w:rPr>
        <w:t xml:space="preserve">was </w:t>
      </w:r>
      <w:r w:rsidR="00197689">
        <w:rPr>
          <w:color w:val="auto"/>
          <w:szCs w:val="24"/>
        </w:rPr>
        <w:t xml:space="preserve">taking </w:t>
      </w:r>
      <w:r w:rsidR="00E038E4">
        <w:rPr>
          <w:color w:val="auto"/>
          <w:szCs w:val="24"/>
        </w:rPr>
        <w:t xml:space="preserve">600mg of </w:t>
      </w:r>
      <w:r w:rsidR="00197689">
        <w:rPr>
          <w:color w:val="auto"/>
          <w:szCs w:val="24"/>
        </w:rPr>
        <w:t>Dilantin</w:t>
      </w:r>
      <w:r w:rsidR="001E21DE">
        <w:rPr>
          <w:color w:val="auto"/>
          <w:szCs w:val="24"/>
        </w:rPr>
        <w:t xml:space="preserve"> daily</w:t>
      </w:r>
      <w:r w:rsidR="00197689">
        <w:rPr>
          <w:color w:val="auto"/>
          <w:szCs w:val="24"/>
        </w:rPr>
        <w:t>.</w:t>
      </w:r>
      <w:r w:rsidR="00630EA6">
        <w:rPr>
          <w:color w:val="auto"/>
          <w:szCs w:val="24"/>
        </w:rPr>
        <w:t xml:space="preserve">  </w:t>
      </w:r>
      <w:r w:rsidR="00197689">
        <w:rPr>
          <w:color w:val="auto"/>
          <w:szCs w:val="24"/>
        </w:rPr>
        <w:t>The MEB physical exam demonstrated normal neuromuscular findings.  The examiner documented the neurologist diagnosis as</w:t>
      </w:r>
      <w:r w:rsidR="00E038E4">
        <w:rPr>
          <w:color w:val="auto"/>
          <w:szCs w:val="24"/>
        </w:rPr>
        <w:t>;</w:t>
      </w:r>
      <w:r w:rsidR="00197689">
        <w:rPr>
          <w:color w:val="auto"/>
          <w:szCs w:val="24"/>
        </w:rPr>
        <w:t xml:space="preserve"> rare generalized tonic-clinic seizures with a breakthrough on therapeutic levels of Dilantin</w:t>
      </w:r>
      <w:r w:rsidR="00484C62">
        <w:rPr>
          <w:color w:val="auto"/>
          <w:szCs w:val="24"/>
        </w:rPr>
        <w:t xml:space="preserve">.  </w:t>
      </w:r>
      <w:r w:rsidR="00AD61A8">
        <w:rPr>
          <w:color w:val="auto"/>
          <w:szCs w:val="24"/>
        </w:rPr>
        <w:t>In the neurology consult</w:t>
      </w:r>
      <w:r w:rsidR="00BC0ADC">
        <w:rPr>
          <w:color w:val="auto"/>
          <w:szCs w:val="24"/>
        </w:rPr>
        <w:t>,</w:t>
      </w:r>
      <w:r w:rsidR="00AD61A8">
        <w:rPr>
          <w:color w:val="auto"/>
          <w:szCs w:val="24"/>
        </w:rPr>
        <w:t xml:space="preserve"> prepared for the</w:t>
      </w:r>
      <w:r w:rsidR="00484C62">
        <w:rPr>
          <w:color w:val="auto"/>
          <w:szCs w:val="24"/>
        </w:rPr>
        <w:t xml:space="preserve"> </w:t>
      </w:r>
      <w:r w:rsidR="00AD61A8">
        <w:rPr>
          <w:color w:val="auto"/>
          <w:szCs w:val="24"/>
        </w:rPr>
        <w:t>MEB</w:t>
      </w:r>
      <w:r w:rsidR="00BC0ADC">
        <w:rPr>
          <w:color w:val="auto"/>
          <w:szCs w:val="24"/>
        </w:rPr>
        <w:t>,</w:t>
      </w:r>
      <w:r w:rsidR="00AD61A8">
        <w:rPr>
          <w:color w:val="auto"/>
          <w:szCs w:val="24"/>
        </w:rPr>
        <w:t xml:space="preserve"> the neurologist</w:t>
      </w:r>
      <w:r w:rsidR="00484C62">
        <w:rPr>
          <w:color w:val="auto"/>
          <w:szCs w:val="24"/>
        </w:rPr>
        <w:t xml:space="preserve"> further opined he had a good prognosis for long seizure free intervals and on adequate doses most likely would go into remission</w:t>
      </w:r>
      <w:r w:rsidR="003554BB">
        <w:rPr>
          <w:color w:val="auto"/>
          <w:szCs w:val="24"/>
        </w:rPr>
        <w:t>;</w:t>
      </w:r>
      <w:r w:rsidR="00484C62">
        <w:rPr>
          <w:color w:val="auto"/>
          <w:szCs w:val="24"/>
        </w:rPr>
        <w:t xml:space="preserve"> however</w:t>
      </w:r>
      <w:r w:rsidR="003554BB">
        <w:rPr>
          <w:color w:val="auto"/>
          <w:szCs w:val="24"/>
        </w:rPr>
        <w:t>,</w:t>
      </w:r>
      <w:r w:rsidR="00484C62">
        <w:rPr>
          <w:color w:val="auto"/>
          <w:szCs w:val="24"/>
        </w:rPr>
        <w:t xml:space="preserve"> he may have an occasional break through seizure necessitating another P3 profile and for this reason recommended a referral to the PEB.  The neurologist characterized the seizure as generalized tonic-clinic of approximately once per year and that his </w:t>
      </w:r>
      <w:r w:rsidR="00620167">
        <w:rPr>
          <w:color w:val="auto"/>
          <w:szCs w:val="24"/>
        </w:rPr>
        <w:t>D</w:t>
      </w:r>
      <w:r w:rsidR="001E21DE">
        <w:rPr>
          <w:color w:val="auto"/>
          <w:szCs w:val="24"/>
        </w:rPr>
        <w:t xml:space="preserve">ilantin </w:t>
      </w:r>
      <w:r w:rsidR="00484C62">
        <w:rPr>
          <w:color w:val="auto"/>
          <w:szCs w:val="24"/>
        </w:rPr>
        <w:t>level was 11</w:t>
      </w:r>
      <w:r w:rsidR="00AD61A8">
        <w:rPr>
          <w:color w:val="auto"/>
          <w:szCs w:val="24"/>
        </w:rPr>
        <w:t xml:space="preserve"> (</w:t>
      </w:r>
      <w:r w:rsidR="004B7489">
        <w:rPr>
          <w:color w:val="auto"/>
          <w:szCs w:val="24"/>
        </w:rPr>
        <w:t>10-20</w:t>
      </w:r>
      <w:r w:rsidR="001E21DE">
        <w:rPr>
          <w:color w:val="auto"/>
          <w:szCs w:val="24"/>
        </w:rPr>
        <w:t xml:space="preserve"> is</w:t>
      </w:r>
      <w:r w:rsidR="004B7489">
        <w:rPr>
          <w:color w:val="auto"/>
          <w:szCs w:val="24"/>
        </w:rPr>
        <w:t xml:space="preserve"> therapeutic range)</w:t>
      </w:r>
      <w:r w:rsidR="00484C62">
        <w:rPr>
          <w:color w:val="auto"/>
          <w:szCs w:val="24"/>
        </w:rPr>
        <w:t xml:space="preserve"> on 600mg of daily Dilantin.</w:t>
      </w:r>
      <w:r w:rsidR="001E21DE">
        <w:rPr>
          <w:color w:val="auto"/>
          <w:szCs w:val="24"/>
        </w:rPr>
        <w:t xml:space="preserve">  The service treatment record </w:t>
      </w:r>
      <w:r w:rsidR="00BC0ADC">
        <w:rPr>
          <w:color w:val="auto"/>
          <w:szCs w:val="24"/>
        </w:rPr>
        <w:t>(</w:t>
      </w:r>
      <w:r w:rsidR="001E21DE">
        <w:rPr>
          <w:color w:val="auto"/>
          <w:szCs w:val="24"/>
        </w:rPr>
        <w:t>STR</w:t>
      </w:r>
      <w:r w:rsidR="00BC0ADC">
        <w:rPr>
          <w:color w:val="auto"/>
          <w:szCs w:val="24"/>
        </w:rPr>
        <w:t>)</w:t>
      </w:r>
      <w:r w:rsidR="001E21DE">
        <w:rPr>
          <w:color w:val="auto"/>
          <w:szCs w:val="24"/>
        </w:rPr>
        <w:t xml:space="preserve"> reflected a value of 15.8</w:t>
      </w:r>
      <w:r w:rsidR="00620167">
        <w:rPr>
          <w:color w:val="auto"/>
          <w:szCs w:val="24"/>
        </w:rPr>
        <w:t xml:space="preserve"> for that consult visit</w:t>
      </w:r>
      <w:r w:rsidR="001E21DE">
        <w:rPr>
          <w:color w:val="auto"/>
          <w:szCs w:val="24"/>
        </w:rPr>
        <w:t xml:space="preserve"> and further </w:t>
      </w:r>
      <w:r w:rsidR="00620167">
        <w:rPr>
          <w:color w:val="auto"/>
          <w:szCs w:val="24"/>
        </w:rPr>
        <w:t>revealed</w:t>
      </w:r>
      <w:r w:rsidR="001E21DE">
        <w:rPr>
          <w:color w:val="auto"/>
          <w:szCs w:val="24"/>
        </w:rPr>
        <w:t xml:space="preserve"> </w:t>
      </w:r>
      <w:r w:rsidR="00620167">
        <w:rPr>
          <w:color w:val="auto"/>
          <w:szCs w:val="24"/>
        </w:rPr>
        <w:t xml:space="preserve">he had </w:t>
      </w:r>
      <w:r w:rsidR="001E21DE">
        <w:rPr>
          <w:color w:val="auto"/>
          <w:szCs w:val="24"/>
        </w:rPr>
        <w:t xml:space="preserve">therapeutic </w:t>
      </w:r>
      <w:r w:rsidR="00620167">
        <w:rPr>
          <w:color w:val="auto"/>
          <w:szCs w:val="24"/>
        </w:rPr>
        <w:t xml:space="preserve">levels in </w:t>
      </w:r>
      <w:r w:rsidR="001E21DE">
        <w:rPr>
          <w:color w:val="auto"/>
          <w:szCs w:val="24"/>
        </w:rPr>
        <w:t>January 2003</w:t>
      </w:r>
      <w:r w:rsidR="00620167">
        <w:rPr>
          <w:color w:val="auto"/>
          <w:szCs w:val="24"/>
        </w:rPr>
        <w:t xml:space="preserve"> and June 2003, 11.2 and 10.4</w:t>
      </w:r>
      <w:r w:rsidR="00E038E4">
        <w:rPr>
          <w:color w:val="auto"/>
          <w:szCs w:val="24"/>
        </w:rPr>
        <w:t>,</w:t>
      </w:r>
      <w:r w:rsidR="00620167">
        <w:rPr>
          <w:color w:val="auto"/>
          <w:szCs w:val="24"/>
        </w:rPr>
        <w:t xml:space="preserve"> respectively</w:t>
      </w:r>
      <w:r w:rsidR="001E21DE">
        <w:rPr>
          <w:color w:val="auto"/>
          <w:szCs w:val="24"/>
        </w:rPr>
        <w:t xml:space="preserve">. </w:t>
      </w:r>
      <w:r w:rsidR="00491295">
        <w:rPr>
          <w:color w:val="auto"/>
          <w:szCs w:val="24"/>
        </w:rPr>
        <w:t xml:space="preserve"> </w:t>
      </w:r>
      <w:r w:rsidRPr="00F64312">
        <w:rPr>
          <w:color w:val="auto"/>
          <w:szCs w:val="24"/>
        </w:rPr>
        <w:t xml:space="preserve">At the </w:t>
      </w:r>
      <w:r w:rsidR="003554BB">
        <w:rPr>
          <w:color w:val="auto"/>
          <w:szCs w:val="24"/>
        </w:rPr>
        <w:t>Department of Veterans’ Affairs (D</w:t>
      </w:r>
      <w:r w:rsidRPr="00F64312">
        <w:rPr>
          <w:color w:val="auto"/>
          <w:szCs w:val="24"/>
        </w:rPr>
        <w:t>VA</w:t>
      </w:r>
      <w:r w:rsidR="003554BB">
        <w:rPr>
          <w:color w:val="auto"/>
          <w:szCs w:val="24"/>
        </w:rPr>
        <w:t>)</w:t>
      </w:r>
      <w:r w:rsidRPr="00F64312">
        <w:rPr>
          <w:color w:val="auto"/>
          <w:szCs w:val="24"/>
        </w:rPr>
        <w:t xml:space="preserve"> Compensation and Pension (C&amp;P) exam</w:t>
      </w:r>
      <w:r w:rsidR="00ED7820">
        <w:rPr>
          <w:color w:val="auto"/>
          <w:szCs w:val="24"/>
        </w:rPr>
        <w:t xml:space="preserve"> </w:t>
      </w:r>
      <w:r w:rsidR="00ED7820" w:rsidRPr="00543348">
        <w:rPr>
          <w:color w:val="auto"/>
          <w:szCs w:val="24"/>
        </w:rPr>
        <w:t>prior to</w:t>
      </w:r>
      <w:r w:rsidR="00ED7820">
        <w:rPr>
          <w:color w:val="auto"/>
          <w:szCs w:val="24"/>
        </w:rPr>
        <w:t xml:space="preserve"> separation</w:t>
      </w:r>
      <w:r w:rsidR="00197689">
        <w:rPr>
          <w:color w:val="auto"/>
          <w:szCs w:val="24"/>
        </w:rPr>
        <w:t>, the CI reported no new seizure activity since August 2003</w:t>
      </w:r>
      <w:r w:rsidR="001E21DE">
        <w:rPr>
          <w:color w:val="auto"/>
          <w:szCs w:val="24"/>
        </w:rPr>
        <w:t>, no modification of his Dilantin dose</w:t>
      </w:r>
      <w:r w:rsidR="00197689">
        <w:rPr>
          <w:color w:val="auto"/>
          <w:szCs w:val="24"/>
        </w:rPr>
        <w:t xml:space="preserve"> </w:t>
      </w:r>
      <w:r w:rsidR="001E21DE">
        <w:rPr>
          <w:color w:val="auto"/>
          <w:szCs w:val="24"/>
        </w:rPr>
        <w:t xml:space="preserve">and </w:t>
      </w:r>
      <w:r w:rsidR="00197689">
        <w:rPr>
          <w:color w:val="auto"/>
          <w:szCs w:val="24"/>
        </w:rPr>
        <w:t>ha</w:t>
      </w:r>
      <w:r w:rsidR="004B7489">
        <w:rPr>
          <w:color w:val="auto"/>
          <w:szCs w:val="24"/>
        </w:rPr>
        <w:t>d</w:t>
      </w:r>
      <w:r w:rsidR="00197689">
        <w:rPr>
          <w:color w:val="auto"/>
          <w:szCs w:val="24"/>
        </w:rPr>
        <w:t xml:space="preserve"> been permitted to drive for the last </w:t>
      </w:r>
      <w:r w:rsidR="003554BB">
        <w:rPr>
          <w:color w:val="auto"/>
          <w:szCs w:val="24"/>
        </w:rPr>
        <w:t>5</w:t>
      </w:r>
      <w:r w:rsidR="00197689">
        <w:rPr>
          <w:color w:val="auto"/>
          <w:szCs w:val="24"/>
        </w:rPr>
        <w:t xml:space="preserve"> months.</w:t>
      </w:r>
      <w:r w:rsidR="004B7489">
        <w:rPr>
          <w:color w:val="auto"/>
          <w:szCs w:val="24"/>
        </w:rPr>
        <w:t xml:space="preserve">  </w:t>
      </w:r>
      <w:r w:rsidR="00197689" w:rsidRPr="00F64312">
        <w:rPr>
          <w:color w:val="auto"/>
          <w:szCs w:val="24"/>
        </w:rPr>
        <w:t xml:space="preserve">The </w:t>
      </w:r>
      <w:r w:rsidR="00197689">
        <w:rPr>
          <w:color w:val="auto"/>
          <w:szCs w:val="24"/>
        </w:rPr>
        <w:t>C&amp;P</w:t>
      </w:r>
      <w:r w:rsidR="00197689" w:rsidRPr="00F64312">
        <w:rPr>
          <w:color w:val="auto"/>
          <w:szCs w:val="24"/>
        </w:rPr>
        <w:t xml:space="preserve"> physical exam </w:t>
      </w:r>
      <w:r w:rsidR="00197689">
        <w:rPr>
          <w:color w:val="auto"/>
          <w:szCs w:val="24"/>
        </w:rPr>
        <w:t xml:space="preserve">demonstrated no abnormality in the central or peripheral nervous system.  </w:t>
      </w:r>
    </w:p>
    <w:p w:rsidR="00CF0280" w:rsidRPr="00F64312" w:rsidRDefault="00CF0280" w:rsidP="0069687C">
      <w:pPr>
        <w:jc w:val="both"/>
        <w:rPr>
          <w:color w:val="auto"/>
          <w:szCs w:val="24"/>
        </w:rPr>
      </w:pPr>
    </w:p>
    <w:p w:rsidR="00241B01" w:rsidRPr="00D370B3" w:rsidRDefault="00AD2379" w:rsidP="00D370B3">
      <w:pPr>
        <w:tabs>
          <w:tab w:val="left" w:pos="288"/>
          <w:tab w:val="left" w:pos="4752"/>
        </w:tabs>
        <w:jc w:val="both"/>
        <w:rPr>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620167" w:rsidRPr="00620167">
        <w:rPr>
          <w:rFonts w:cs="Times New Roman"/>
          <w:color w:val="auto"/>
        </w:rPr>
        <w:t xml:space="preserve">The Board </w:t>
      </w:r>
      <w:r w:rsidR="00B27523" w:rsidRPr="00620167">
        <w:rPr>
          <w:rFonts w:cs="Times New Roman"/>
          <w:color w:val="auto"/>
        </w:rPr>
        <w:t>note</w:t>
      </w:r>
      <w:r w:rsidR="00B27523">
        <w:rPr>
          <w:rFonts w:cs="Times New Roman"/>
          <w:color w:val="auto"/>
        </w:rPr>
        <w:t>s that both the MEB and VA exams were complete, well documented and similar in terms of ratable data and therefore the Board assign</w:t>
      </w:r>
      <w:r w:rsidR="00620167" w:rsidRPr="00620167">
        <w:rPr>
          <w:rFonts w:cs="Times New Roman"/>
          <w:color w:val="auto"/>
        </w:rPr>
        <w:t xml:space="preserve"> both exams equal probative value.  The PEB and VA chose </w:t>
      </w:r>
      <w:r w:rsidR="00620167">
        <w:rPr>
          <w:rFonts w:cs="Times New Roman"/>
          <w:color w:val="auto"/>
        </w:rPr>
        <w:t>the same</w:t>
      </w:r>
      <w:r w:rsidR="00620167" w:rsidRPr="00620167">
        <w:rPr>
          <w:rFonts w:cs="Times New Roman"/>
          <w:color w:val="auto"/>
        </w:rPr>
        <w:t xml:space="preserve"> coding option</w:t>
      </w:r>
      <w:r w:rsidR="00FB13AB">
        <w:rPr>
          <w:rFonts w:cs="Times New Roman"/>
          <w:color w:val="auto"/>
        </w:rPr>
        <w:t xml:space="preserve">, 8910 </w:t>
      </w:r>
      <w:r w:rsidR="00FB13AB" w:rsidRPr="00FB13AB">
        <w:rPr>
          <w:rFonts w:cs="Times New Roman"/>
          <w:color w:val="auto"/>
        </w:rPr>
        <w:t>(</w:t>
      </w:r>
      <w:r w:rsidR="003554BB">
        <w:rPr>
          <w:color w:val="auto"/>
          <w:sz w:val="23"/>
          <w:szCs w:val="23"/>
        </w:rPr>
        <w:t>e</w:t>
      </w:r>
      <w:r w:rsidR="00FB13AB" w:rsidRPr="00FB13AB">
        <w:rPr>
          <w:color w:val="auto"/>
          <w:sz w:val="23"/>
          <w:szCs w:val="23"/>
        </w:rPr>
        <w:t>pilepsy, grand mal)</w:t>
      </w:r>
      <w:r w:rsidR="00FB13AB">
        <w:rPr>
          <w:color w:val="auto"/>
          <w:sz w:val="23"/>
          <w:szCs w:val="23"/>
        </w:rPr>
        <w:t>,</w:t>
      </w:r>
      <w:r w:rsidR="00620167">
        <w:rPr>
          <w:rFonts w:cs="Times New Roman"/>
          <w:color w:val="auto"/>
        </w:rPr>
        <w:t xml:space="preserve"> for the condition</w:t>
      </w:r>
      <w:r w:rsidR="00620167" w:rsidRPr="00620167">
        <w:rPr>
          <w:rFonts w:cs="Times New Roman"/>
          <w:color w:val="auto"/>
        </w:rPr>
        <w:t xml:space="preserve"> and both were IAW §4.124a—Schedule of ratings–</w:t>
      </w:r>
      <w:r w:rsidR="00620167" w:rsidRPr="00620167">
        <w:rPr>
          <w:color w:val="auto"/>
          <w:szCs w:val="24"/>
        </w:rPr>
        <w:t>neurological conditions and convulsive disorders.  The PEB rated 0% based on non-ratable nocturnal seizures and there</w:t>
      </w:r>
      <w:r w:rsidR="00620167" w:rsidRPr="00620167">
        <w:rPr>
          <w:rFonts w:cs="Times New Roman"/>
          <w:color w:val="auto"/>
        </w:rPr>
        <w:t xml:space="preserve"> </w:t>
      </w:r>
      <w:r w:rsidR="00620167">
        <w:rPr>
          <w:rFonts w:cs="Times New Roman"/>
          <w:color w:val="auto"/>
        </w:rPr>
        <w:t>was</w:t>
      </w:r>
      <w:r w:rsidR="00620167" w:rsidRPr="00620167">
        <w:rPr>
          <w:rFonts w:cs="Times New Roman"/>
          <w:color w:val="auto"/>
        </w:rPr>
        <w:t xml:space="preserve"> evidence to support non-compliance with medical management</w:t>
      </w:r>
      <w:r w:rsidR="00620167">
        <w:rPr>
          <w:rFonts w:cs="Times New Roman"/>
          <w:color w:val="auto"/>
        </w:rPr>
        <w:t xml:space="preserve"> citing the s</w:t>
      </w:r>
      <w:r w:rsidR="00620167" w:rsidRPr="00620167">
        <w:rPr>
          <w:rFonts w:cs="Times New Roman"/>
          <w:color w:val="auto"/>
        </w:rPr>
        <w:t>oldier's pharmacy record indicate</w:t>
      </w:r>
      <w:r w:rsidR="00FB13AB">
        <w:rPr>
          <w:rFonts w:cs="Times New Roman"/>
          <w:color w:val="auto"/>
        </w:rPr>
        <w:t>d</w:t>
      </w:r>
      <w:r w:rsidR="00620167">
        <w:rPr>
          <w:rFonts w:cs="Times New Roman"/>
          <w:color w:val="auto"/>
        </w:rPr>
        <w:t xml:space="preserve"> </w:t>
      </w:r>
      <w:r w:rsidR="00620167" w:rsidRPr="00620167">
        <w:rPr>
          <w:rFonts w:cs="Times New Roman"/>
          <w:color w:val="auto"/>
        </w:rPr>
        <w:t xml:space="preserve">intermittent medication compliance.  The Board </w:t>
      </w:r>
      <w:r w:rsidR="00FB13AB">
        <w:rPr>
          <w:rFonts w:cs="Times New Roman"/>
          <w:color w:val="auto"/>
          <w:szCs w:val="24"/>
        </w:rPr>
        <w:t>recognizes</w:t>
      </w:r>
      <w:r w:rsidR="00620167" w:rsidRPr="00FB13AB">
        <w:rPr>
          <w:rFonts w:cs="Times New Roman"/>
          <w:color w:val="auto"/>
          <w:szCs w:val="24"/>
        </w:rPr>
        <w:t xml:space="preserve"> IAW </w:t>
      </w:r>
      <w:r w:rsidR="00FB13AB">
        <w:rPr>
          <w:rFonts w:cs="Times New Roman"/>
          <w:color w:val="auto"/>
          <w:szCs w:val="24"/>
        </w:rPr>
        <w:t xml:space="preserve">VASRD </w:t>
      </w:r>
      <w:r w:rsidR="003554BB">
        <w:rPr>
          <w:rFonts w:cs="Times New Roman"/>
          <w:color w:val="auto"/>
          <w:szCs w:val="24"/>
        </w:rPr>
        <w:t>n</w:t>
      </w:r>
      <w:r w:rsidR="00620167" w:rsidRPr="00FB13AB">
        <w:rPr>
          <w:rFonts w:cs="Times New Roman"/>
          <w:color w:val="auto"/>
          <w:szCs w:val="24"/>
        </w:rPr>
        <w:t xml:space="preserve">ote (3) under the </w:t>
      </w:r>
      <w:r w:rsidR="00620167" w:rsidRPr="00FB13AB">
        <w:rPr>
          <w:bCs/>
          <w:color w:val="auto"/>
          <w:szCs w:val="24"/>
        </w:rPr>
        <w:t>general rating formula for major and minor epileptic seizures</w:t>
      </w:r>
      <w:r w:rsidR="00FB13AB" w:rsidRPr="00FB13AB">
        <w:rPr>
          <w:bCs/>
          <w:color w:val="auto"/>
          <w:szCs w:val="24"/>
        </w:rPr>
        <w:t>: “</w:t>
      </w:r>
      <w:r w:rsidR="003554BB">
        <w:rPr>
          <w:color w:val="auto"/>
          <w:szCs w:val="24"/>
        </w:rPr>
        <w:t>t</w:t>
      </w:r>
      <w:r w:rsidR="00FB13AB" w:rsidRPr="00FB13AB">
        <w:rPr>
          <w:color w:val="auto"/>
          <w:szCs w:val="24"/>
        </w:rPr>
        <w:t xml:space="preserve">here will be no distinction between diurnal and nocturnal major seizures” and therefore agreed the CI’s seizures are ratable.  The Board acknowledges the PEB’s position with regards to non-compliance of </w:t>
      </w:r>
      <w:r w:rsidR="00237A4C">
        <w:rPr>
          <w:color w:val="auto"/>
          <w:szCs w:val="24"/>
        </w:rPr>
        <w:t xml:space="preserve">the </w:t>
      </w:r>
      <w:r w:rsidR="00FB13AB" w:rsidRPr="00FB13AB">
        <w:rPr>
          <w:color w:val="auto"/>
          <w:szCs w:val="24"/>
        </w:rPr>
        <w:t xml:space="preserve">seizure medication, however the Board agreed while </w:t>
      </w:r>
      <w:r w:rsidR="00D370B3">
        <w:rPr>
          <w:color w:val="auto"/>
          <w:szCs w:val="24"/>
        </w:rPr>
        <w:t xml:space="preserve">the CI </w:t>
      </w:r>
      <w:r w:rsidR="00FB13AB" w:rsidRPr="00FB13AB">
        <w:rPr>
          <w:color w:val="auto"/>
          <w:szCs w:val="24"/>
        </w:rPr>
        <w:t xml:space="preserve">initially had low </w:t>
      </w:r>
      <w:r w:rsidR="00D370B3">
        <w:rPr>
          <w:color w:val="auto"/>
          <w:szCs w:val="24"/>
        </w:rPr>
        <w:t xml:space="preserve">therapeutic </w:t>
      </w:r>
      <w:r w:rsidR="00FB13AB" w:rsidRPr="00FB13AB">
        <w:rPr>
          <w:color w:val="auto"/>
          <w:szCs w:val="24"/>
        </w:rPr>
        <w:t>levels of Dilantin, he did achieve a therapeutic range with dosing modification</w:t>
      </w:r>
      <w:r w:rsidR="00D370B3">
        <w:rPr>
          <w:color w:val="auto"/>
          <w:szCs w:val="24"/>
        </w:rPr>
        <w:t>s</w:t>
      </w:r>
      <w:r w:rsidR="00FB13AB" w:rsidRPr="00FB13AB">
        <w:rPr>
          <w:color w:val="auto"/>
          <w:szCs w:val="24"/>
        </w:rPr>
        <w:t xml:space="preserve"> to the point of being seizure free one month post separation which allowed him to drive</w:t>
      </w:r>
      <w:r w:rsidR="00D370B3">
        <w:rPr>
          <w:color w:val="auto"/>
          <w:szCs w:val="24"/>
        </w:rPr>
        <w:t>.</w:t>
      </w:r>
      <w:r w:rsidR="00FB13AB" w:rsidRPr="00FB13AB">
        <w:rPr>
          <w:color w:val="auto"/>
          <w:szCs w:val="24"/>
        </w:rPr>
        <w:t xml:space="preserve"> </w:t>
      </w:r>
      <w:r w:rsidR="00D370B3">
        <w:rPr>
          <w:color w:val="auto"/>
          <w:szCs w:val="24"/>
        </w:rPr>
        <w:t xml:space="preserve"> </w:t>
      </w:r>
      <w:r w:rsidR="00237A4C">
        <w:rPr>
          <w:color w:val="auto"/>
          <w:szCs w:val="24"/>
        </w:rPr>
        <w:t xml:space="preserve">Further, the VASRD does not consider compliance in its rating criteria.  </w:t>
      </w:r>
      <w:r w:rsidR="00D370B3">
        <w:rPr>
          <w:color w:val="auto"/>
          <w:szCs w:val="24"/>
        </w:rPr>
        <w:t>T</w:t>
      </w:r>
      <w:r w:rsidR="00D370B3" w:rsidRPr="00FB13AB">
        <w:rPr>
          <w:color w:val="auto"/>
          <w:szCs w:val="24"/>
        </w:rPr>
        <w:t>he Board</w:t>
      </w:r>
      <w:r w:rsidR="00237A4C">
        <w:rPr>
          <w:color w:val="auto"/>
          <w:szCs w:val="24"/>
        </w:rPr>
        <w:t>,</w:t>
      </w:r>
      <w:r w:rsidR="00D370B3" w:rsidRPr="00FB13AB">
        <w:rPr>
          <w:color w:val="auto"/>
          <w:szCs w:val="24"/>
        </w:rPr>
        <w:t xml:space="preserve"> </w:t>
      </w:r>
      <w:r w:rsidR="00FB13AB" w:rsidRPr="00FB13AB">
        <w:rPr>
          <w:color w:val="auto"/>
          <w:szCs w:val="24"/>
        </w:rPr>
        <w:t>therefore</w:t>
      </w:r>
      <w:r w:rsidR="00237A4C">
        <w:rPr>
          <w:color w:val="auto"/>
          <w:szCs w:val="24"/>
        </w:rPr>
        <w:t>,</w:t>
      </w:r>
      <w:r w:rsidR="00FB13AB" w:rsidRPr="00FB13AB">
        <w:rPr>
          <w:color w:val="auto"/>
          <w:szCs w:val="24"/>
        </w:rPr>
        <w:t xml:space="preserve"> </w:t>
      </w:r>
      <w:r w:rsidR="00FB13AB" w:rsidRPr="00D370B3">
        <w:rPr>
          <w:color w:val="auto"/>
          <w:szCs w:val="24"/>
        </w:rPr>
        <w:t xml:space="preserve">agreed </w:t>
      </w:r>
      <w:r w:rsidR="00D370B3">
        <w:rPr>
          <w:color w:val="auto"/>
          <w:szCs w:val="24"/>
        </w:rPr>
        <w:t xml:space="preserve">to </w:t>
      </w:r>
      <w:r w:rsidR="00D370B3" w:rsidRPr="00237A4C">
        <w:rPr>
          <w:color w:val="auto"/>
          <w:szCs w:val="24"/>
        </w:rPr>
        <w:t xml:space="preserve">disregard the </w:t>
      </w:r>
      <w:r w:rsidR="00D370B3" w:rsidRPr="00237A4C">
        <w:rPr>
          <w:color w:val="auto"/>
          <w:szCs w:val="24"/>
        </w:rPr>
        <w:lastRenderedPageBreak/>
        <w:t>influence of non-</w:t>
      </w:r>
      <w:r w:rsidR="00FB13AB" w:rsidRPr="00237A4C">
        <w:rPr>
          <w:color w:val="auto"/>
          <w:szCs w:val="24"/>
        </w:rPr>
        <w:t xml:space="preserve">compliance for its permanent rating recommendation.  The VA rated </w:t>
      </w:r>
      <w:r w:rsidR="00D370B3" w:rsidRPr="00237A4C">
        <w:rPr>
          <w:color w:val="auto"/>
          <w:szCs w:val="24"/>
        </w:rPr>
        <w:t>20% based on at least one major seizure in the last two years, or at least two minor seizures in the</w:t>
      </w:r>
      <w:r w:rsidR="00D370B3" w:rsidRPr="00D370B3">
        <w:rPr>
          <w:color w:val="auto"/>
          <w:szCs w:val="24"/>
        </w:rPr>
        <w:t xml:space="preserve"> last </w:t>
      </w:r>
      <w:r w:rsidR="003554BB">
        <w:rPr>
          <w:color w:val="auto"/>
          <w:szCs w:val="24"/>
        </w:rPr>
        <w:t>6</w:t>
      </w:r>
      <w:r w:rsidR="00D370B3" w:rsidRPr="00D370B3">
        <w:rPr>
          <w:color w:val="auto"/>
          <w:szCs w:val="24"/>
        </w:rPr>
        <w:t xml:space="preserve"> months.  A higher evaluation of 40 percent was not warranted unless there </w:t>
      </w:r>
      <w:r w:rsidR="00237A4C">
        <w:rPr>
          <w:color w:val="auto"/>
          <w:szCs w:val="24"/>
        </w:rPr>
        <w:t>was</w:t>
      </w:r>
      <w:r w:rsidR="00D370B3" w:rsidRPr="00D370B3">
        <w:rPr>
          <w:color w:val="auto"/>
          <w:szCs w:val="24"/>
        </w:rPr>
        <w:t xml:space="preserve"> evidence of at least </w:t>
      </w:r>
      <w:r w:rsidR="003554BB">
        <w:rPr>
          <w:color w:val="auto"/>
          <w:szCs w:val="24"/>
        </w:rPr>
        <w:t>a</w:t>
      </w:r>
      <w:r w:rsidR="00D370B3" w:rsidRPr="00D370B3">
        <w:rPr>
          <w:color w:val="auto"/>
          <w:szCs w:val="24"/>
        </w:rPr>
        <w:t xml:space="preserve"> major seizure in the last </w:t>
      </w:r>
      <w:r w:rsidR="003554BB">
        <w:rPr>
          <w:color w:val="auto"/>
          <w:szCs w:val="24"/>
        </w:rPr>
        <w:t>6</w:t>
      </w:r>
      <w:r w:rsidR="00D370B3" w:rsidRPr="00D370B3">
        <w:rPr>
          <w:color w:val="auto"/>
          <w:szCs w:val="24"/>
        </w:rPr>
        <w:t xml:space="preserve"> months or two in the last year, or averaging at least five to</w:t>
      </w:r>
      <w:r w:rsidR="00D370B3">
        <w:rPr>
          <w:color w:val="auto"/>
          <w:szCs w:val="24"/>
        </w:rPr>
        <w:t xml:space="preserve"> </w:t>
      </w:r>
      <w:r w:rsidR="00D370B3" w:rsidRPr="00D370B3">
        <w:rPr>
          <w:color w:val="auto"/>
          <w:szCs w:val="24"/>
        </w:rPr>
        <w:t>eight minor seizures weekly.</w:t>
      </w:r>
      <w:r w:rsidR="00D370B3">
        <w:rPr>
          <w:color w:val="auto"/>
          <w:szCs w:val="24"/>
        </w:rPr>
        <w:t xml:space="preserve">  The Board agreed there is </w:t>
      </w:r>
      <w:r w:rsidR="00BC0ADC">
        <w:rPr>
          <w:color w:val="auto"/>
          <w:szCs w:val="24"/>
        </w:rPr>
        <w:t xml:space="preserve">no evidence of a seizure within </w:t>
      </w:r>
      <w:r w:rsidR="003554BB">
        <w:rPr>
          <w:color w:val="auto"/>
          <w:szCs w:val="24"/>
        </w:rPr>
        <w:t xml:space="preserve">6 </w:t>
      </w:r>
      <w:r w:rsidR="00BC0ADC">
        <w:rPr>
          <w:color w:val="auto"/>
          <w:szCs w:val="24"/>
        </w:rPr>
        <w:t>months of separation or</w:t>
      </w:r>
      <w:r w:rsidR="00D370B3">
        <w:rPr>
          <w:color w:val="auto"/>
          <w:szCs w:val="24"/>
        </w:rPr>
        <w:t xml:space="preserve"> evidence of minor seizures to warrant the 40% rating and also agreed the evidence reflects one major seizure a year.</w:t>
      </w:r>
      <w:r w:rsidR="00237A4C">
        <w:rPr>
          <w:color w:val="auto"/>
          <w:szCs w:val="24"/>
        </w:rPr>
        <w:t xml:space="preserve">  </w:t>
      </w:r>
      <w:r w:rsidR="00241B01" w:rsidRPr="00F64312">
        <w:rPr>
          <w:rFonts w:eastAsia="Calibri" w:cs="Times New Roman"/>
          <w:color w:val="auto"/>
          <w:szCs w:val="24"/>
        </w:rPr>
        <w:t xml:space="preserve">After due deliberation, considering all of the </w:t>
      </w:r>
      <w:r w:rsidR="00241B01" w:rsidRPr="00BC0ADC">
        <w:rPr>
          <w:rFonts w:eastAsia="Calibri" w:cs="Times New Roman"/>
          <w:color w:val="auto"/>
          <w:szCs w:val="24"/>
        </w:rPr>
        <w:t xml:space="preserve">evidence and mindful of VASRD §4.3 (reasonable doubt), the Board recommends a disability rating of </w:t>
      </w:r>
      <w:r w:rsidR="00197689" w:rsidRPr="00BC0ADC">
        <w:rPr>
          <w:rFonts w:eastAsia="Calibri" w:cs="Times New Roman"/>
          <w:color w:val="auto"/>
          <w:szCs w:val="24"/>
        </w:rPr>
        <w:t>20</w:t>
      </w:r>
      <w:r w:rsidR="00241B01" w:rsidRPr="00BC0ADC">
        <w:rPr>
          <w:rFonts w:eastAsia="Calibri" w:cs="Times New Roman"/>
          <w:color w:val="auto"/>
          <w:szCs w:val="24"/>
        </w:rPr>
        <w:t xml:space="preserve">% for the </w:t>
      </w:r>
      <w:r w:rsidR="00197689" w:rsidRPr="00BC0ADC">
        <w:rPr>
          <w:rFonts w:eastAsia="Calibri" w:cs="Times New Roman"/>
          <w:color w:val="auto"/>
          <w:szCs w:val="24"/>
        </w:rPr>
        <w:t>seizure disorder</w:t>
      </w:r>
      <w:r w:rsidR="00241B01" w:rsidRPr="00BC0ADC">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197689"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165C7B" w:rsidRPr="00F64312">
        <w:rPr>
          <w:rFonts w:eastAsia="Calibri" w:cs="Times New Roman"/>
          <w:color w:val="auto"/>
          <w:szCs w:val="24"/>
        </w:rPr>
        <w:t xml:space="preserve">As discussed above, PEB </w:t>
      </w:r>
      <w:r w:rsidR="00197689">
        <w:rPr>
          <w:rFonts w:eastAsia="Calibri" w:cs="Times New Roman"/>
          <w:color w:val="auto"/>
          <w:szCs w:val="24"/>
        </w:rPr>
        <w:t xml:space="preserve">likely </w:t>
      </w:r>
      <w:r w:rsidR="00165C7B" w:rsidRPr="00BC0ADC">
        <w:rPr>
          <w:rFonts w:eastAsia="Calibri" w:cs="Times New Roman"/>
          <w:color w:val="auto"/>
          <w:szCs w:val="24"/>
        </w:rPr>
        <w:t xml:space="preserve">reliance on </w:t>
      </w:r>
      <w:r w:rsidR="00197689" w:rsidRPr="00BC0ADC">
        <w:rPr>
          <w:rFonts w:eastAsia="Calibri" w:cs="Times New Roman"/>
          <w:color w:val="auto"/>
          <w:szCs w:val="24"/>
        </w:rPr>
        <w:t>AR 635-40</w:t>
      </w:r>
      <w:r w:rsidR="00165C7B" w:rsidRPr="00BC0ADC">
        <w:rPr>
          <w:rFonts w:eastAsia="Calibri" w:cs="Times New Roman"/>
          <w:color w:val="auto"/>
          <w:szCs w:val="24"/>
        </w:rPr>
        <w:t xml:space="preserve"> for rating </w:t>
      </w:r>
      <w:r w:rsidR="00197689" w:rsidRPr="00BC0ADC">
        <w:rPr>
          <w:rFonts w:eastAsia="Calibri" w:cs="Times New Roman"/>
          <w:color w:val="auto"/>
          <w:szCs w:val="24"/>
        </w:rPr>
        <w:t>seizure disorder</w:t>
      </w:r>
      <w:r w:rsidR="00165C7B" w:rsidRPr="00BC0ADC">
        <w:rPr>
          <w:rFonts w:eastAsia="Calibri" w:cs="Times New Roman"/>
          <w:color w:val="auto"/>
          <w:szCs w:val="24"/>
        </w:rPr>
        <w:t xml:space="preserve"> was operant in this case and the condition was adjudicated independently of that instruction by the Board.  </w:t>
      </w:r>
      <w:r w:rsidR="00241B01" w:rsidRPr="00BC0ADC">
        <w:rPr>
          <w:rFonts w:eastAsia="Calibri" w:cs="Times New Roman"/>
          <w:color w:val="auto"/>
          <w:szCs w:val="24"/>
        </w:rPr>
        <w:t xml:space="preserve">In the matter of the </w:t>
      </w:r>
      <w:r w:rsidR="00197689" w:rsidRPr="00BC0ADC">
        <w:rPr>
          <w:rFonts w:eastAsia="Calibri" w:cs="Times New Roman"/>
          <w:color w:val="auto"/>
          <w:szCs w:val="24"/>
        </w:rPr>
        <w:t>seizure disorder</w:t>
      </w:r>
      <w:r w:rsidR="00241B01" w:rsidRPr="00BC0ADC">
        <w:rPr>
          <w:rFonts w:eastAsia="Calibri" w:cs="Times New Roman"/>
          <w:color w:val="auto"/>
          <w:szCs w:val="24"/>
        </w:rPr>
        <w:t xml:space="preserve"> condition, the Board unanimously recommends a disability rating of </w:t>
      </w:r>
      <w:r w:rsidR="00197689" w:rsidRPr="00BC0ADC">
        <w:rPr>
          <w:rFonts w:eastAsia="Calibri" w:cs="Times New Roman"/>
          <w:color w:val="auto"/>
          <w:szCs w:val="24"/>
        </w:rPr>
        <w:t>20</w:t>
      </w:r>
      <w:r w:rsidR="00241B01" w:rsidRPr="00BC0ADC">
        <w:rPr>
          <w:rFonts w:eastAsia="Calibri" w:cs="Times New Roman"/>
          <w:color w:val="auto"/>
          <w:szCs w:val="24"/>
        </w:rPr>
        <w:t xml:space="preserve">%, coded </w:t>
      </w:r>
      <w:r w:rsidR="00197689" w:rsidRPr="00BC0ADC">
        <w:rPr>
          <w:rFonts w:eastAsia="Calibri" w:cs="Times New Roman"/>
          <w:color w:val="auto"/>
          <w:szCs w:val="24"/>
        </w:rPr>
        <w:t>8910</w:t>
      </w:r>
      <w:r w:rsidR="00241B01" w:rsidRPr="00BC0ADC">
        <w:rPr>
          <w:rFonts w:eastAsia="Calibri" w:cs="Times New Roman"/>
          <w:color w:val="auto"/>
          <w:szCs w:val="24"/>
        </w:rPr>
        <w:t xml:space="preserve"> IAW VASRD §4.</w:t>
      </w:r>
      <w:r w:rsidR="00197689" w:rsidRPr="00BC0ADC">
        <w:rPr>
          <w:rFonts w:eastAsia="Calibri" w:cs="Times New Roman"/>
          <w:color w:val="auto"/>
          <w:szCs w:val="24"/>
        </w:rPr>
        <w:t>124</w:t>
      </w:r>
      <w:r w:rsidR="00241B01" w:rsidRPr="00BC0ADC">
        <w:rPr>
          <w:rFonts w:eastAsia="Calibri" w:cs="Times New Roman"/>
          <w:color w:val="auto"/>
          <w:szCs w:val="24"/>
        </w:rPr>
        <w:t>.</w:t>
      </w:r>
      <w:r w:rsidR="006B690F" w:rsidRPr="00BC0ADC">
        <w:rPr>
          <w:rFonts w:eastAsia="Calibri" w:cs="Times New Roman"/>
          <w:color w:val="auto"/>
          <w:szCs w:val="24"/>
        </w:rPr>
        <w:t xml:space="preserve">  </w:t>
      </w:r>
      <w:r w:rsidR="00417BED" w:rsidRPr="00BC0ADC">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197689">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197689" w:rsidP="006B690F">
            <w:pPr>
              <w:tabs>
                <w:tab w:val="left" w:pos="288"/>
                <w:tab w:val="left" w:pos="4752"/>
              </w:tabs>
              <w:jc w:val="left"/>
              <w:rPr>
                <w:color w:val="auto"/>
              </w:rPr>
            </w:pPr>
            <w:r w:rsidRPr="00197689">
              <w:rPr>
                <w:color w:val="auto"/>
              </w:rPr>
              <w:t>Epilepsy, Grand Mal Seizures</w:t>
            </w:r>
          </w:p>
        </w:tc>
        <w:tc>
          <w:tcPr>
            <w:tcW w:w="1530" w:type="dxa"/>
            <w:vAlign w:val="center"/>
          </w:tcPr>
          <w:p w:rsidR="00AD2379" w:rsidRPr="00BC0ADC" w:rsidRDefault="00197689" w:rsidP="006B690F">
            <w:pPr>
              <w:tabs>
                <w:tab w:val="left" w:pos="288"/>
                <w:tab w:val="left" w:pos="4752"/>
              </w:tabs>
              <w:rPr>
                <w:color w:val="auto"/>
              </w:rPr>
            </w:pPr>
            <w:r w:rsidRPr="00BC0ADC">
              <w:rPr>
                <w:color w:val="auto"/>
              </w:rPr>
              <w:t>8910</w:t>
            </w:r>
          </w:p>
        </w:tc>
        <w:tc>
          <w:tcPr>
            <w:tcW w:w="1026" w:type="dxa"/>
            <w:vAlign w:val="center"/>
          </w:tcPr>
          <w:p w:rsidR="00AD2379" w:rsidRPr="00BC0ADC" w:rsidRDefault="00197689" w:rsidP="006B690F">
            <w:pPr>
              <w:tabs>
                <w:tab w:val="left" w:pos="288"/>
                <w:tab w:val="left" w:pos="4752"/>
              </w:tabs>
              <w:rPr>
                <w:color w:val="auto"/>
              </w:rPr>
            </w:pPr>
            <w:r w:rsidRPr="00BC0ADC">
              <w:rPr>
                <w:color w:val="auto"/>
              </w:rPr>
              <w:t>2</w:t>
            </w:r>
            <w:r w:rsidR="00AD2379" w:rsidRPr="00BC0ADC">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BC0ADC" w:rsidRDefault="00AD2379" w:rsidP="006B690F">
            <w:pPr>
              <w:tabs>
                <w:tab w:val="left" w:pos="288"/>
                <w:tab w:val="left" w:pos="4752"/>
              </w:tabs>
              <w:rPr>
                <w:b/>
                <w:color w:val="auto"/>
              </w:rPr>
            </w:pPr>
            <w:r w:rsidRPr="00BC0ADC">
              <w:rPr>
                <w:b/>
                <w:color w:val="auto"/>
              </w:rPr>
              <w:t>COMBINED</w:t>
            </w:r>
          </w:p>
        </w:tc>
        <w:tc>
          <w:tcPr>
            <w:tcW w:w="1026" w:type="dxa"/>
            <w:shd w:val="clear" w:color="auto" w:fill="D9D9D9"/>
            <w:vAlign w:val="center"/>
          </w:tcPr>
          <w:p w:rsidR="00AD2379" w:rsidRPr="00BC0ADC" w:rsidRDefault="00197689" w:rsidP="006B690F">
            <w:pPr>
              <w:tabs>
                <w:tab w:val="left" w:pos="288"/>
                <w:tab w:val="left" w:pos="4752"/>
              </w:tabs>
              <w:rPr>
                <w:b/>
                <w:color w:val="auto"/>
              </w:rPr>
            </w:pPr>
            <w:r w:rsidRPr="00BC0ADC">
              <w:rPr>
                <w:b/>
                <w:color w:val="auto"/>
              </w:rPr>
              <w:t>2</w:t>
            </w:r>
            <w:r w:rsidR="00AD2379" w:rsidRPr="00BC0ADC">
              <w:rPr>
                <w:b/>
                <w:color w:val="auto"/>
              </w:rPr>
              <w:t>0%</w:t>
            </w:r>
          </w:p>
        </w:tc>
      </w:tr>
    </w:tbl>
    <w:p w:rsidR="00197689" w:rsidRPr="00F64312" w:rsidRDefault="0019768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BA7046">
        <w:rPr>
          <w:color w:val="auto"/>
        </w:rPr>
        <w:t>20</w:t>
      </w:r>
      <w:r w:rsidR="00BA7046" w:rsidRPr="00BA7046">
        <w:rPr>
          <w:color w:val="auto"/>
        </w:rPr>
        <w:t>120201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009AE">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2009AE" w:rsidRDefault="002009AE" w:rsidP="00197689">
      <w:pPr>
        <w:spacing w:line="240" w:lineRule="auto"/>
        <w:jc w:val="left"/>
        <w:rPr>
          <w:color w:val="auto"/>
        </w:rPr>
      </w:pPr>
    </w:p>
    <w:p w:rsidR="002009AE" w:rsidRDefault="002009AE">
      <w:pPr>
        <w:spacing w:line="240" w:lineRule="auto"/>
        <w:jc w:val="left"/>
        <w:rPr>
          <w:color w:val="auto"/>
        </w:rPr>
      </w:pPr>
      <w:r>
        <w:rPr>
          <w:color w:val="auto"/>
        </w:rPr>
        <w:br w:type="page"/>
      </w:r>
    </w:p>
    <w:p w:rsidR="002009AE" w:rsidRDefault="002009AE" w:rsidP="002009AE">
      <w:pPr>
        <w:sectPr w:rsidR="002009AE">
          <w:pgSz w:w="12240" w:h="15840"/>
          <w:pgMar w:top="2160" w:right="1440" w:bottom="1440" w:left="1440" w:header="720" w:footer="720" w:gutter="0"/>
          <w:cols w:space="720"/>
        </w:sectPr>
      </w:pPr>
    </w:p>
    <w:p w:rsidR="002009AE" w:rsidRDefault="002009AE" w:rsidP="002009AE">
      <w:pPr>
        <w:pStyle w:val="Header"/>
        <w:tabs>
          <w:tab w:val="left" w:pos="720"/>
        </w:tabs>
        <w:jc w:val="left"/>
      </w:pPr>
      <w:r>
        <w:lastRenderedPageBreak/>
        <w:t>SFMR-RB</w:t>
      </w:r>
      <w:r>
        <w:tab/>
      </w:r>
      <w:r>
        <w:tab/>
      </w:r>
      <w:r>
        <w:tab/>
      </w:r>
      <w:r>
        <w:tab/>
      </w:r>
      <w:r>
        <w:tab/>
      </w:r>
      <w:r>
        <w:tab/>
      </w:r>
      <w:r>
        <w:tab/>
      </w:r>
      <w:r>
        <w:tab/>
      </w:r>
      <w:r>
        <w:tab/>
      </w:r>
    </w:p>
    <w:p w:rsidR="002009AE" w:rsidRDefault="002009AE" w:rsidP="002009AE">
      <w:pPr>
        <w:pStyle w:val="Header"/>
        <w:tabs>
          <w:tab w:val="left" w:pos="720"/>
        </w:tabs>
        <w:jc w:val="left"/>
      </w:pPr>
    </w:p>
    <w:p w:rsidR="002009AE" w:rsidRDefault="002009AE" w:rsidP="002009AE">
      <w:pPr>
        <w:jc w:val="left"/>
      </w:pPr>
    </w:p>
    <w:p w:rsidR="002009AE" w:rsidRDefault="002009AE" w:rsidP="002009AE">
      <w:pPr>
        <w:jc w:val="left"/>
      </w:pPr>
      <w:r>
        <w:t xml:space="preserve">MEMORANDUM FOR Commander, US Army Physical Disability Agency </w:t>
      </w:r>
    </w:p>
    <w:p w:rsidR="002009AE" w:rsidRDefault="002009AE" w:rsidP="002009AE">
      <w:pPr>
        <w:jc w:val="left"/>
      </w:pPr>
      <w:r>
        <w:t xml:space="preserve">(TAPD-ZB </w:t>
      </w:r>
      <w:proofErr w:type="gramStart"/>
      <w:r>
        <w:t>/  )</w:t>
      </w:r>
      <w:proofErr w:type="gramEnd"/>
      <w:r>
        <w:t>, 2900 Crystal Drive, Suite 300, Arlington, VA  22202</w:t>
      </w:r>
    </w:p>
    <w:p w:rsidR="002009AE" w:rsidRDefault="002009AE" w:rsidP="002009AE">
      <w:pPr>
        <w:jc w:val="left"/>
      </w:pPr>
    </w:p>
    <w:p w:rsidR="002009AE" w:rsidRDefault="002009AE" w:rsidP="002009AE">
      <w:pPr>
        <w:ind w:right="-180"/>
        <w:jc w:val="left"/>
      </w:pPr>
      <w:r>
        <w:t xml:space="preserve">SUBJECT:  Department of Defense Physical Disability Board of Review Recommendation </w:t>
      </w:r>
    </w:p>
    <w:p w:rsidR="002009AE" w:rsidRDefault="002009AE" w:rsidP="002009AE">
      <w:pPr>
        <w:pStyle w:val="Header"/>
        <w:tabs>
          <w:tab w:val="left" w:pos="720"/>
        </w:tabs>
        <w:jc w:val="left"/>
      </w:pPr>
      <w:proofErr w:type="gramStart"/>
      <w:r>
        <w:t>for</w:t>
      </w:r>
      <w:proofErr w:type="gramEnd"/>
      <w:r>
        <w:t xml:space="preserve"> XXXXXXXXXXXXXXXXXXXX, AR20120015483 (PD201200140)</w:t>
      </w:r>
    </w:p>
    <w:p w:rsidR="002009AE" w:rsidRDefault="002009AE" w:rsidP="002009AE">
      <w:pPr>
        <w:pStyle w:val="Header"/>
        <w:tabs>
          <w:tab w:val="left" w:pos="720"/>
        </w:tabs>
        <w:jc w:val="left"/>
      </w:pPr>
    </w:p>
    <w:p w:rsidR="002009AE" w:rsidRDefault="002009AE" w:rsidP="002009AE">
      <w:pPr>
        <w:jc w:val="left"/>
      </w:pPr>
    </w:p>
    <w:p w:rsidR="002009AE" w:rsidRDefault="002009AE" w:rsidP="002009A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2009AE" w:rsidRDefault="002009AE" w:rsidP="002009AE">
      <w:pPr>
        <w:jc w:val="left"/>
      </w:pPr>
    </w:p>
    <w:p w:rsidR="002009AE" w:rsidRDefault="002009AE" w:rsidP="002009AE">
      <w:pPr>
        <w:jc w:val="left"/>
      </w:pPr>
      <w:r>
        <w:t xml:space="preserve">2.  I direct that all the Department of the Army records of the individual concerned be corrected accordingly no later than 120 days from the date of this memorandum.   </w:t>
      </w:r>
    </w:p>
    <w:p w:rsidR="002009AE" w:rsidRDefault="002009AE" w:rsidP="002009AE">
      <w:pPr>
        <w:jc w:val="left"/>
      </w:pPr>
    </w:p>
    <w:p w:rsidR="002009AE" w:rsidRDefault="002009AE" w:rsidP="002009A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009AE" w:rsidRDefault="002009AE" w:rsidP="002009AE">
      <w:pPr>
        <w:jc w:val="left"/>
      </w:pPr>
    </w:p>
    <w:p w:rsidR="002009AE" w:rsidRDefault="002009AE" w:rsidP="002009AE">
      <w:pPr>
        <w:jc w:val="left"/>
      </w:pPr>
      <w:r>
        <w:t xml:space="preserve"> BY ORDER OF THE SECRETARY OF THE ARMY:</w:t>
      </w:r>
    </w:p>
    <w:p w:rsidR="002009AE" w:rsidRDefault="002009AE" w:rsidP="002009AE">
      <w:pPr>
        <w:jc w:val="left"/>
      </w:pPr>
    </w:p>
    <w:p w:rsidR="002009AE" w:rsidRDefault="002009AE" w:rsidP="002009AE">
      <w:pPr>
        <w:jc w:val="left"/>
      </w:pPr>
    </w:p>
    <w:p w:rsidR="002009AE" w:rsidRDefault="002009AE" w:rsidP="002009AE">
      <w:pPr>
        <w:pStyle w:val="Header"/>
        <w:tabs>
          <w:tab w:val="left" w:pos="720"/>
        </w:tabs>
        <w:jc w:val="left"/>
      </w:pPr>
    </w:p>
    <w:p w:rsidR="002009AE" w:rsidRDefault="002009AE" w:rsidP="002009AE">
      <w:pPr>
        <w:jc w:val="left"/>
      </w:pPr>
    </w:p>
    <w:p w:rsidR="002009AE" w:rsidRDefault="002009AE" w:rsidP="002009AE">
      <w:pPr>
        <w:jc w:val="left"/>
      </w:pPr>
      <w:bookmarkStart w:id="1" w:name="OLE_LINK4"/>
      <w:bookmarkStart w:id="2" w:name="OLE_LINK3"/>
      <w:r>
        <w:t>Encl</w:t>
      </w:r>
      <w:r>
        <w:tab/>
      </w:r>
      <w:r>
        <w:tab/>
      </w:r>
      <w:r>
        <w:tab/>
      </w:r>
      <w:r>
        <w:tab/>
      </w:r>
      <w:r>
        <w:tab/>
      </w:r>
      <w:r>
        <w:tab/>
        <w:t xml:space="preserve">     XXXXXXXXXXXXXXXXXXX</w:t>
      </w:r>
    </w:p>
    <w:p w:rsidR="002009AE" w:rsidRDefault="002009AE" w:rsidP="002009AE">
      <w:pPr>
        <w:jc w:val="left"/>
      </w:pPr>
      <w:r>
        <w:tab/>
      </w:r>
      <w:r>
        <w:tab/>
      </w:r>
      <w:r>
        <w:tab/>
      </w:r>
      <w:r>
        <w:tab/>
      </w:r>
      <w:r>
        <w:tab/>
      </w:r>
      <w:r>
        <w:tab/>
        <w:t xml:space="preserve">     Deputy Assistant Secretary</w:t>
      </w:r>
    </w:p>
    <w:p w:rsidR="002009AE" w:rsidRDefault="002009AE" w:rsidP="002009AE">
      <w:pPr>
        <w:jc w:val="left"/>
      </w:pPr>
      <w:r>
        <w:tab/>
      </w:r>
      <w:r>
        <w:tab/>
      </w:r>
      <w:r>
        <w:tab/>
      </w:r>
      <w:r>
        <w:tab/>
      </w:r>
      <w:r>
        <w:tab/>
      </w:r>
      <w:r>
        <w:tab/>
        <w:t xml:space="preserve">         (Army Review Boards)</w:t>
      </w:r>
      <w:bookmarkEnd w:id="1"/>
      <w:bookmarkEnd w:id="2"/>
    </w:p>
    <w:p w:rsidR="002009AE" w:rsidRDefault="002009AE" w:rsidP="002009AE">
      <w:pPr>
        <w:jc w:val="left"/>
      </w:pPr>
    </w:p>
    <w:p w:rsidR="002009AE" w:rsidRDefault="002009AE" w:rsidP="002009AE">
      <w:pPr>
        <w:jc w:val="left"/>
      </w:pPr>
      <w:r>
        <w:t xml:space="preserve">CF: </w:t>
      </w:r>
    </w:p>
    <w:p w:rsidR="002009AE" w:rsidRDefault="002009AE" w:rsidP="002009AE">
      <w:pPr>
        <w:jc w:val="left"/>
      </w:pPr>
      <w:r>
        <w:t xml:space="preserve">(  ) </w:t>
      </w:r>
      <w:proofErr w:type="spellStart"/>
      <w:proofErr w:type="gramStart"/>
      <w:r>
        <w:t>DoD</w:t>
      </w:r>
      <w:proofErr w:type="spellEnd"/>
      <w:proofErr w:type="gramEnd"/>
      <w:r>
        <w:t xml:space="preserve"> PDBR</w:t>
      </w:r>
    </w:p>
    <w:p w:rsidR="002009AE" w:rsidRDefault="002009AE" w:rsidP="002009AE">
      <w:pPr>
        <w:jc w:val="left"/>
      </w:pPr>
      <w:r>
        <w:t>(  ) DVA</w:t>
      </w:r>
    </w:p>
    <w:p w:rsidR="00DF3B06" w:rsidRPr="00F64312" w:rsidRDefault="00DF3B06" w:rsidP="002009AE">
      <w:pPr>
        <w:spacing w:line="240" w:lineRule="auto"/>
        <w:jc w:val="left"/>
        <w:rPr>
          <w:color w:val="auto"/>
        </w:rPr>
      </w:pPr>
    </w:p>
    <w:sectPr w:rsidR="00DF3B06"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26" w:rsidRDefault="000B1826">
      <w:r>
        <w:separator/>
      </w:r>
    </w:p>
  </w:endnote>
  <w:endnote w:type="continuationSeparator" w:id="0">
    <w:p w:rsidR="000B1826" w:rsidRDefault="000B1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r w:rsidR="00252593" w:rsidRPr="00252593">
      <w:fldChar w:fldCharType="begin"/>
    </w:r>
    <w:r w:rsidR="000B1826">
      <w:instrText xml:space="preserve"> PAGE   \* MERGEFORMAT </w:instrText>
    </w:r>
    <w:r w:rsidR="00252593" w:rsidRPr="00252593">
      <w:fldChar w:fldCharType="separate"/>
    </w:r>
    <w:r w:rsidR="002009AE" w:rsidRPr="002009AE">
      <w:rPr>
        <w:noProof/>
        <w:color w:val="auto"/>
      </w:rPr>
      <w:t>4</w:t>
    </w:r>
    <w:r w:rsidR="00252593">
      <w:rPr>
        <w:noProof/>
        <w:color w:val="auto"/>
      </w:rPr>
      <w:fldChar w:fldCharType="end"/>
    </w:r>
    <w:r w:rsidRPr="00374247">
      <w:rPr>
        <w:color w:val="auto"/>
      </w:rPr>
      <w:t xml:space="preserve">                                                           </w:t>
    </w:r>
    <w:r w:rsidRPr="00B61B61">
      <w:rPr>
        <w:color w:val="auto"/>
      </w:rPr>
      <w:t>PD12-00</w:t>
    </w:r>
    <w:r w:rsidR="00B61B61" w:rsidRPr="00B61B61">
      <w:rPr>
        <w:color w:val="auto"/>
      </w:rPr>
      <w:t>140</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26" w:rsidRDefault="000B1826">
      <w:r>
        <w:separator/>
      </w:r>
    </w:p>
  </w:footnote>
  <w:footnote w:type="continuationSeparator" w:id="0">
    <w:p w:rsidR="000B1826" w:rsidRDefault="000B1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826"/>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376D6"/>
    <w:rsid w:val="00140FA4"/>
    <w:rsid w:val="00141BC9"/>
    <w:rsid w:val="001421FD"/>
    <w:rsid w:val="001425C8"/>
    <w:rsid w:val="00142EBA"/>
    <w:rsid w:val="00143AC7"/>
    <w:rsid w:val="00143B79"/>
    <w:rsid w:val="001442B4"/>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87BE1"/>
    <w:rsid w:val="00190E48"/>
    <w:rsid w:val="0019114B"/>
    <w:rsid w:val="00192392"/>
    <w:rsid w:val="0019273F"/>
    <w:rsid w:val="00193814"/>
    <w:rsid w:val="00193AAB"/>
    <w:rsid w:val="00193AD5"/>
    <w:rsid w:val="00193BAF"/>
    <w:rsid w:val="00194930"/>
    <w:rsid w:val="00195AAC"/>
    <w:rsid w:val="001968BB"/>
    <w:rsid w:val="00197689"/>
    <w:rsid w:val="001A025E"/>
    <w:rsid w:val="001A08CD"/>
    <w:rsid w:val="001A0A1E"/>
    <w:rsid w:val="001A2182"/>
    <w:rsid w:val="001A323E"/>
    <w:rsid w:val="001A5320"/>
    <w:rsid w:val="001A5E62"/>
    <w:rsid w:val="001A601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1DE"/>
    <w:rsid w:val="001E2A30"/>
    <w:rsid w:val="001E2FF1"/>
    <w:rsid w:val="001E3FE1"/>
    <w:rsid w:val="001E41FE"/>
    <w:rsid w:val="001E4989"/>
    <w:rsid w:val="001E635C"/>
    <w:rsid w:val="001F0297"/>
    <w:rsid w:val="001F29F9"/>
    <w:rsid w:val="001F6E0B"/>
    <w:rsid w:val="002009AE"/>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0A29"/>
    <w:rsid w:val="002310C3"/>
    <w:rsid w:val="002316F6"/>
    <w:rsid w:val="00232C9B"/>
    <w:rsid w:val="00232E73"/>
    <w:rsid w:val="00232F09"/>
    <w:rsid w:val="002335D5"/>
    <w:rsid w:val="002338CA"/>
    <w:rsid w:val="00233FE5"/>
    <w:rsid w:val="00234B3B"/>
    <w:rsid w:val="00234D98"/>
    <w:rsid w:val="00235AD0"/>
    <w:rsid w:val="00236018"/>
    <w:rsid w:val="002374C9"/>
    <w:rsid w:val="00237A4C"/>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593"/>
    <w:rsid w:val="002528EC"/>
    <w:rsid w:val="00252A84"/>
    <w:rsid w:val="00253EAA"/>
    <w:rsid w:val="00255049"/>
    <w:rsid w:val="002554B3"/>
    <w:rsid w:val="002574BB"/>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32C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26F"/>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6E03"/>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6E"/>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FB2"/>
    <w:rsid w:val="00337351"/>
    <w:rsid w:val="00341A54"/>
    <w:rsid w:val="00344A4F"/>
    <w:rsid w:val="00344D17"/>
    <w:rsid w:val="0034669F"/>
    <w:rsid w:val="003470C4"/>
    <w:rsid w:val="00347D0D"/>
    <w:rsid w:val="00351498"/>
    <w:rsid w:val="00352B22"/>
    <w:rsid w:val="00352CBF"/>
    <w:rsid w:val="003534DC"/>
    <w:rsid w:val="00354547"/>
    <w:rsid w:val="003549F5"/>
    <w:rsid w:val="003554BB"/>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3951"/>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4CC"/>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07C"/>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3D7"/>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C15"/>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4C62"/>
    <w:rsid w:val="0048599A"/>
    <w:rsid w:val="00486818"/>
    <w:rsid w:val="00491295"/>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3B8B"/>
    <w:rsid w:val="004B46D7"/>
    <w:rsid w:val="004B478D"/>
    <w:rsid w:val="004B6AF3"/>
    <w:rsid w:val="004B6B34"/>
    <w:rsid w:val="004B6F1F"/>
    <w:rsid w:val="004B715E"/>
    <w:rsid w:val="004B7169"/>
    <w:rsid w:val="004B7489"/>
    <w:rsid w:val="004B79C9"/>
    <w:rsid w:val="004C00DD"/>
    <w:rsid w:val="004C05CF"/>
    <w:rsid w:val="004C0776"/>
    <w:rsid w:val="004C1BC8"/>
    <w:rsid w:val="004C1EF8"/>
    <w:rsid w:val="004C2063"/>
    <w:rsid w:val="004C24C5"/>
    <w:rsid w:val="004C2645"/>
    <w:rsid w:val="004C47D5"/>
    <w:rsid w:val="004C4CAF"/>
    <w:rsid w:val="004C5E33"/>
    <w:rsid w:val="004C60A3"/>
    <w:rsid w:val="004C6CDA"/>
    <w:rsid w:val="004C79F5"/>
    <w:rsid w:val="004D10D4"/>
    <w:rsid w:val="004D16BD"/>
    <w:rsid w:val="004D2AAB"/>
    <w:rsid w:val="004D2C52"/>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592"/>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348"/>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8D8"/>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C737E"/>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A1"/>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167"/>
    <w:rsid w:val="0062036E"/>
    <w:rsid w:val="006211D0"/>
    <w:rsid w:val="00621595"/>
    <w:rsid w:val="0062359D"/>
    <w:rsid w:val="006235F5"/>
    <w:rsid w:val="00623634"/>
    <w:rsid w:val="00624D0C"/>
    <w:rsid w:val="00626902"/>
    <w:rsid w:val="00626A0F"/>
    <w:rsid w:val="006274B4"/>
    <w:rsid w:val="006307BA"/>
    <w:rsid w:val="00630EA6"/>
    <w:rsid w:val="006315BA"/>
    <w:rsid w:val="006315CB"/>
    <w:rsid w:val="00634C4A"/>
    <w:rsid w:val="0063532E"/>
    <w:rsid w:val="0063564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66A6D"/>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4ED"/>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39D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3EFA"/>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27C16"/>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658"/>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11"/>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2D0C"/>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B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4DC"/>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1BF3"/>
    <w:rsid w:val="00AD2379"/>
    <w:rsid w:val="00AD2801"/>
    <w:rsid w:val="00AD3496"/>
    <w:rsid w:val="00AD426A"/>
    <w:rsid w:val="00AD49A1"/>
    <w:rsid w:val="00AD5771"/>
    <w:rsid w:val="00AD61A8"/>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27523"/>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B61"/>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6C9C"/>
    <w:rsid w:val="00BA7046"/>
    <w:rsid w:val="00BA7F46"/>
    <w:rsid w:val="00BB0388"/>
    <w:rsid w:val="00BB0A0A"/>
    <w:rsid w:val="00BB133C"/>
    <w:rsid w:val="00BB1F04"/>
    <w:rsid w:val="00BB45B5"/>
    <w:rsid w:val="00BB4DDE"/>
    <w:rsid w:val="00BB6064"/>
    <w:rsid w:val="00BB65CE"/>
    <w:rsid w:val="00BB7012"/>
    <w:rsid w:val="00BC08E4"/>
    <w:rsid w:val="00BC09D1"/>
    <w:rsid w:val="00BC0ADC"/>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1F21"/>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5BF2"/>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27E"/>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624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0B3"/>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12E"/>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9F9"/>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38E4"/>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BF0"/>
    <w:rsid w:val="00E25EF8"/>
    <w:rsid w:val="00E2632B"/>
    <w:rsid w:val="00E26C99"/>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4DF8"/>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04A"/>
    <w:rsid w:val="00EC1251"/>
    <w:rsid w:val="00EC1E0A"/>
    <w:rsid w:val="00EC2938"/>
    <w:rsid w:val="00EC2CC4"/>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3A5F"/>
    <w:rsid w:val="00EF4C74"/>
    <w:rsid w:val="00EF5268"/>
    <w:rsid w:val="00EF608E"/>
    <w:rsid w:val="00EF6C4A"/>
    <w:rsid w:val="00F0044B"/>
    <w:rsid w:val="00F00727"/>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4E01"/>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0A04"/>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3AB"/>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CBD"/>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897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2EE7-4912-4654-934B-98F82E0F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2012-08-16T16:50:00Z</cp:lastPrinted>
  <dcterms:created xsi:type="dcterms:W3CDTF">2012-09-13T16:10:00Z</dcterms:created>
  <dcterms:modified xsi:type="dcterms:W3CDTF">2012-09-13T16:10:00Z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