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3B213B">
      <w:pPr>
        <w:tabs>
          <w:tab w:val="left" w:pos="6300"/>
          <w:tab w:val="right" w:pos="9360"/>
        </w:tabs>
        <w:jc w:val="both"/>
        <w:rPr>
          <w:caps/>
          <w:color w:val="auto"/>
        </w:rPr>
      </w:pPr>
      <w:r w:rsidRPr="00F64312">
        <w:rPr>
          <w:caps/>
          <w:color w:val="auto"/>
        </w:rPr>
        <w:t xml:space="preserve">NAME:  </w:t>
      </w:r>
      <w:r w:rsidR="00FD2E17">
        <w:rPr>
          <w:caps/>
          <w:color w:val="auto"/>
        </w:rPr>
        <w:t>XXXXXXXXXXXXXXXX</w:t>
      </w:r>
      <w:r w:rsidR="006362DF">
        <w:rPr>
          <w:caps/>
          <w:color w:val="auto"/>
        </w:rPr>
        <w:t xml:space="preserve">                                      </w:t>
      </w:r>
      <w:r w:rsidR="003B213B">
        <w:rPr>
          <w:caps/>
          <w:color w:val="auto"/>
        </w:rPr>
        <w:t xml:space="preserve">                          </w:t>
      </w:r>
      <w:r w:rsidRPr="00F64312">
        <w:rPr>
          <w:caps/>
          <w:color w:val="auto"/>
        </w:rPr>
        <w:t>BRANCH OF SERVICE</w:t>
      </w:r>
      <w:r w:rsidRPr="006362DF">
        <w:rPr>
          <w:caps/>
          <w:color w:val="auto"/>
        </w:rPr>
        <w:t xml:space="preserve">:  </w:t>
      </w:r>
      <w:r w:rsidR="0018208F" w:rsidRPr="006362DF">
        <w:rPr>
          <w:caps/>
          <w:color w:val="auto"/>
        </w:rPr>
        <w:t xml:space="preserve"> </w:t>
      </w:r>
      <w:r w:rsidR="00DF70F4" w:rsidRPr="006362DF">
        <w:rPr>
          <w:caps/>
          <w:color w:val="auto"/>
        </w:rPr>
        <w:t>Army</w:t>
      </w:r>
    </w:p>
    <w:p w:rsidR="0095270D" w:rsidRPr="00F64312" w:rsidRDefault="0095270D" w:rsidP="003B213B">
      <w:pPr>
        <w:tabs>
          <w:tab w:val="left" w:pos="6300"/>
          <w:tab w:val="right" w:pos="9360"/>
        </w:tabs>
        <w:jc w:val="both"/>
        <w:rPr>
          <w:color w:val="auto"/>
        </w:rPr>
      </w:pPr>
      <w:r w:rsidRPr="00F64312">
        <w:rPr>
          <w:caps/>
          <w:color w:val="auto"/>
        </w:rPr>
        <w:t>CASE NUMBER:  PD</w:t>
      </w:r>
      <w:r w:rsidR="001657BE" w:rsidRPr="006362DF">
        <w:rPr>
          <w:caps/>
          <w:color w:val="auto"/>
        </w:rPr>
        <w:t>12</w:t>
      </w:r>
      <w:r w:rsidRPr="006362DF">
        <w:rPr>
          <w:caps/>
          <w:color w:val="auto"/>
        </w:rPr>
        <w:t>00</w:t>
      </w:r>
      <w:r w:rsidR="006362DF" w:rsidRPr="006362DF">
        <w:rPr>
          <w:caps/>
          <w:color w:val="auto"/>
        </w:rPr>
        <w:t>139</w:t>
      </w:r>
      <w:r w:rsidR="008F4072">
        <w:rPr>
          <w:caps/>
          <w:color w:val="auto"/>
        </w:rPr>
        <w:t xml:space="preserve">                                           </w:t>
      </w:r>
      <w:r w:rsidR="006362DF">
        <w:rPr>
          <w:caps/>
          <w:color w:val="auto"/>
        </w:rPr>
        <w:t xml:space="preserve">               </w:t>
      </w:r>
      <w:r w:rsidR="00DD172A">
        <w:rPr>
          <w:caps/>
          <w:color w:val="auto"/>
        </w:rPr>
        <w:t xml:space="preserve"> </w:t>
      </w:r>
      <w:r w:rsidR="006362DF">
        <w:rPr>
          <w:caps/>
          <w:color w:val="auto"/>
        </w:rPr>
        <w:t xml:space="preserve"> </w:t>
      </w:r>
      <w:r w:rsidR="0018208F" w:rsidRPr="00F64312">
        <w:rPr>
          <w:color w:val="auto"/>
        </w:rPr>
        <w:t>SE</w:t>
      </w:r>
      <w:r w:rsidRPr="00F64312">
        <w:rPr>
          <w:color w:val="auto"/>
        </w:rPr>
        <w:t>PARATION DATE:  200</w:t>
      </w:r>
      <w:r w:rsidR="006362DF">
        <w:rPr>
          <w:color w:val="auto"/>
        </w:rPr>
        <w:t>70210</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D41542">
        <w:rPr>
          <w:caps/>
          <w:color w:val="auto"/>
        </w:rPr>
        <w:t>0821</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D41542">
        <w:rPr>
          <w:color w:val="auto"/>
        </w:rPr>
        <w:t>a</w:t>
      </w:r>
      <w:r w:rsidR="003B213B">
        <w:rPr>
          <w:color w:val="auto"/>
        </w:rPr>
        <w:t>n</w:t>
      </w:r>
      <w:r w:rsidR="0021565F" w:rsidRPr="00D41542">
        <w:rPr>
          <w:color w:val="auto"/>
        </w:rPr>
        <w:t xml:space="preserve"> </w:t>
      </w:r>
      <w:r w:rsidR="003B213B">
        <w:rPr>
          <w:color w:val="auto"/>
        </w:rPr>
        <w:t xml:space="preserve">activated </w:t>
      </w:r>
      <w:r w:rsidR="00A70270" w:rsidRPr="00D41542">
        <w:rPr>
          <w:color w:val="auto"/>
        </w:rPr>
        <w:t>Reserve</w:t>
      </w:r>
      <w:r w:rsidRPr="00D41542">
        <w:rPr>
          <w:color w:val="auto"/>
        </w:rPr>
        <w:t xml:space="preserve"> </w:t>
      </w:r>
      <w:r w:rsidR="0017172C" w:rsidRPr="00D41542">
        <w:rPr>
          <w:color w:val="auto"/>
        </w:rPr>
        <w:t>S</w:t>
      </w:r>
      <w:r w:rsidR="00B90B5E" w:rsidRPr="00D41542">
        <w:rPr>
          <w:color w:val="auto"/>
        </w:rPr>
        <w:t>PC/</w:t>
      </w:r>
      <w:r w:rsidR="0017172C" w:rsidRPr="00D41542">
        <w:rPr>
          <w:color w:val="auto"/>
        </w:rPr>
        <w:t>E-</w:t>
      </w:r>
      <w:r w:rsidR="00B90B5E" w:rsidRPr="00D41542">
        <w:rPr>
          <w:color w:val="auto"/>
        </w:rPr>
        <w:t>4</w:t>
      </w:r>
      <w:r w:rsidRPr="00D41542">
        <w:rPr>
          <w:color w:val="auto"/>
        </w:rPr>
        <w:t xml:space="preserve"> (</w:t>
      </w:r>
      <w:r w:rsidR="00B90B5E" w:rsidRPr="00D41542">
        <w:rPr>
          <w:color w:val="auto"/>
        </w:rPr>
        <w:t>88M10</w:t>
      </w:r>
      <w:r w:rsidR="00DD172A">
        <w:rPr>
          <w:color w:val="auto"/>
        </w:rPr>
        <w:t>/</w:t>
      </w:r>
      <w:r w:rsidR="00B90B5E" w:rsidRPr="00D41542">
        <w:rPr>
          <w:color w:val="auto"/>
        </w:rPr>
        <w:t>Motor Transport Operator</w:t>
      </w:r>
      <w:r w:rsidR="00A70270" w:rsidRPr="00D41542">
        <w:rPr>
          <w:color w:val="auto"/>
        </w:rPr>
        <w:t>)</w:t>
      </w:r>
      <w:r w:rsidR="00565636" w:rsidRPr="00D41542">
        <w:rPr>
          <w:color w:val="auto"/>
        </w:rPr>
        <w:t>,</w:t>
      </w:r>
      <w:r w:rsidR="00A70270" w:rsidRPr="00D41542">
        <w:rPr>
          <w:color w:val="auto"/>
        </w:rPr>
        <w:t xml:space="preserve"> </w:t>
      </w:r>
      <w:r w:rsidRPr="00D41542">
        <w:rPr>
          <w:color w:val="auto"/>
        </w:rPr>
        <w:t xml:space="preserve">medically separated for </w:t>
      </w:r>
      <w:r w:rsidR="00306D90" w:rsidRPr="00D41542">
        <w:rPr>
          <w:color w:val="auto"/>
        </w:rPr>
        <w:t xml:space="preserve">chronic right hip pain and </w:t>
      </w:r>
      <w:r w:rsidR="00CD62C0" w:rsidRPr="00D41542">
        <w:rPr>
          <w:color w:val="auto"/>
        </w:rPr>
        <w:t xml:space="preserve">chronic </w:t>
      </w:r>
      <w:r w:rsidR="00306D90" w:rsidRPr="00D41542">
        <w:rPr>
          <w:color w:val="auto"/>
        </w:rPr>
        <w:t>low back pain</w:t>
      </w:r>
      <w:r w:rsidR="00DD172A">
        <w:rPr>
          <w:color w:val="auto"/>
        </w:rPr>
        <w:t xml:space="preserve"> (LBP)</w:t>
      </w:r>
      <w:r w:rsidR="00306D90" w:rsidRPr="00D41542">
        <w:rPr>
          <w:color w:val="auto"/>
        </w:rPr>
        <w:t>.</w:t>
      </w:r>
      <w:r w:rsidR="00753D46" w:rsidRPr="00D41542">
        <w:rPr>
          <w:color w:val="auto"/>
        </w:rPr>
        <w:t xml:space="preserve">  </w:t>
      </w:r>
      <w:r w:rsidR="00CD62C0" w:rsidRPr="00D41542">
        <w:rPr>
          <w:color w:val="auto"/>
        </w:rPr>
        <w:t xml:space="preserve">The conditions began in 2003 after straining himself </w:t>
      </w:r>
      <w:r w:rsidR="00256EE4" w:rsidRPr="00D41542">
        <w:rPr>
          <w:color w:val="auto"/>
        </w:rPr>
        <w:t xml:space="preserve">while </w:t>
      </w:r>
      <w:r w:rsidR="00CD62C0" w:rsidRPr="00D41542">
        <w:rPr>
          <w:color w:val="auto"/>
        </w:rPr>
        <w:t xml:space="preserve">getting out of a vehicle.  </w:t>
      </w:r>
      <w:r w:rsidR="00895FCB" w:rsidRPr="00D41542">
        <w:rPr>
          <w:color w:val="auto"/>
          <w:szCs w:val="24"/>
        </w:rPr>
        <w:t xml:space="preserve">He did not respond adequately to operative </w:t>
      </w:r>
      <w:r w:rsidR="00CD62C0" w:rsidRPr="00D41542">
        <w:rPr>
          <w:color w:val="auto"/>
          <w:szCs w:val="24"/>
        </w:rPr>
        <w:t>treatment of the hip</w:t>
      </w:r>
      <w:r w:rsidR="00CD62C0" w:rsidRPr="00CD62C0">
        <w:rPr>
          <w:color w:val="auto"/>
          <w:szCs w:val="24"/>
        </w:rPr>
        <w:t xml:space="preserve"> </w:t>
      </w:r>
      <w:r w:rsidR="00895FCB" w:rsidRPr="00CD62C0">
        <w:rPr>
          <w:color w:val="auto"/>
          <w:szCs w:val="24"/>
        </w:rPr>
        <w:t xml:space="preserve">and </w:t>
      </w:r>
      <w:r w:rsidR="00CD62C0" w:rsidRPr="00CD62C0">
        <w:rPr>
          <w:color w:val="auto"/>
          <w:szCs w:val="24"/>
        </w:rPr>
        <w:t xml:space="preserve">conservative </w:t>
      </w:r>
      <w:r w:rsidR="00895FCB" w:rsidRPr="00CD62C0">
        <w:rPr>
          <w:color w:val="auto"/>
          <w:szCs w:val="24"/>
        </w:rPr>
        <w:t>treatment</w:t>
      </w:r>
      <w:r w:rsidR="00CD62C0" w:rsidRPr="00CD62C0">
        <w:rPr>
          <w:color w:val="auto"/>
          <w:szCs w:val="24"/>
        </w:rPr>
        <w:t xml:space="preserve"> of the back,</w:t>
      </w:r>
      <w:r w:rsidR="00895FCB" w:rsidRPr="00CD62C0">
        <w:rPr>
          <w:color w:val="auto"/>
          <w:szCs w:val="24"/>
        </w:rPr>
        <w:t xml:space="preserve"> and was unable t</w:t>
      </w:r>
      <w:r w:rsidR="00895FCB" w:rsidRPr="00CD62C0">
        <w:rPr>
          <w:color w:val="auto"/>
        </w:rPr>
        <w:t>o meet the physical requirements of his Military Occupational Specialty (MOS) or satisfy physical fitness standards</w:t>
      </w:r>
      <w:r w:rsidR="00895FCB" w:rsidRPr="00256EE4">
        <w:rPr>
          <w:color w:val="auto"/>
        </w:rPr>
        <w:t xml:space="preserve">.  </w:t>
      </w:r>
      <w:r w:rsidR="009C12A1" w:rsidRPr="00256EE4">
        <w:rPr>
          <w:color w:val="auto"/>
        </w:rPr>
        <w:t xml:space="preserve">He </w:t>
      </w:r>
      <w:r w:rsidR="00F566B7" w:rsidRPr="00256EE4">
        <w:rPr>
          <w:color w:val="auto"/>
        </w:rPr>
        <w:t xml:space="preserve">was issued a permanent </w:t>
      </w:r>
      <w:r w:rsidR="00CD62C0" w:rsidRPr="00256EE4">
        <w:rPr>
          <w:color w:val="auto"/>
        </w:rPr>
        <w:t>P3/</w:t>
      </w:r>
      <w:r w:rsidR="00F566B7" w:rsidRPr="00256EE4">
        <w:rPr>
          <w:color w:val="auto"/>
        </w:rPr>
        <w:t xml:space="preserve">L3 profile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256EE4">
        <w:rPr>
          <w:color w:val="auto"/>
        </w:rPr>
        <w:t xml:space="preserve">  </w:t>
      </w:r>
      <w:r w:rsidR="009F44A2">
        <w:rPr>
          <w:color w:val="auto"/>
        </w:rPr>
        <w:t xml:space="preserve">The MEB forwarded </w:t>
      </w:r>
      <w:r w:rsidR="00256EE4">
        <w:rPr>
          <w:color w:val="auto"/>
        </w:rPr>
        <w:t>right hip degenerative arthritis and degenerative disc disease</w:t>
      </w:r>
      <w:r w:rsidR="009F44A2">
        <w:rPr>
          <w:color w:val="auto"/>
        </w:rPr>
        <w:t xml:space="preserve"> </w:t>
      </w:r>
      <w:r w:rsidR="00DD172A">
        <w:rPr>
          <w:color w:val="auto"/>
        </w:rPr>
        <w:t xml:space="preserve">(DDD) </w:t>
      </w:r>
      <w:r w:rsidR="009F44A2">
        <w:rPr>
          <w:color w:val="auto"/>
        </w:rPr>
        <w:t xml:space="preserve">to the Physical Evaluation Board (PEB) as medically unacceptable </w:t>
      </w:r>
      <w:r w:rsidR="009F44A2" w:rsidRPr="00256EE4">
        <w:rPr>
          <w:color w:val="auto"/>
        </w:rPr>
        <w:t>IAW AR 40-501.</w:t>
      </w:r>
      <w:r w:rsidR="00256EE4" w:rsidRPr="00256EE4">
        <w:rPr>
          <w:color w:val="auto"/>
        </w:rPr>
        <w:t xml:space="preserve">  Type </w:t>
      </w:r>
      <w:r w:rsidR="00DD172A">
        <w:rPr>
          <w:color w:val="auto"/>
        </w:rPr>
        <w:t>II</w:t>
      </w:r>
      <w:r w:rsidR="00256EE4" w:rsidRPr="00256EE4">
        <w:rPr>
          <w:color w:val="auto"/>
        </w:rPr>
        <w:t xml:space="preserve"> diabetes mellitus</w:t>
      </w:r>
      <w:r w:rsidR="00071F0D" w:rsidRPr="00256EE4">
        <w:rPr>
          <w:color w:val="auto"/>
        </w:rPr>
        <w:t xml:space="preserve"> w</w:t>
      </w:r>
      <w:r w:rsidR="00256EE4" w:rsidRPr="00256EE4">
        <w:rPr>
          <w:color w:val="auto"/>
        </w:rPr>
        <w:t>as</w:t>
      </w:r>
      <w:r w:rsidR="00071F0D" w:rsidRPr="00256EE4">
        <w:rPr>
          <w:color w:val="auto"/>
        </w:rPr>
        <w:t xml:space="preserve"> also identified and forwarded by the MEB</w:t>
      </w:r>
      <w:r w:rsidR="00F566B7" w:rsidRPr="00256EE4">
        <w:rPr>
          <w:color w:val="auto"/>
        </w:rPr>
        <w:t>.</w:t>
      </w:r>
      <w:r w:rsidR="00256EE4">
        <w:rPr>
          <w:color w:val="auto"/>
        </w:rPr>
        <w:t xml:space="preserve">  </w:t>
      </w:r>
      <w:r w:rsidRPr="00F64312">
        <w:rPr>
          <w:color w:val="auto"/>
        </w:rPr>
        <w:t xml:space="preserve">The PEB adjudicated the </w:t>
      </w:r>
      <w:r w:rsidR="002B473D">
        <w:rPr>
          <w:color w:val="auto"/>
        </w:rPr>
        <w:t xml:space="preserve">chronic right hip pain and chronic </w:t>
      </w:r>
      <w:r w:rsidR="00DD172A">
        <w:rPr>
          <w:color w:val="auto"/>
        </w:rPr>
        <w:t>LBP</w:t>
      </w:r>
      <w:r w:rsidR="008530E3" w:rsidRPr="002B473D">
        <w:rPr>
          <w:color w:val="auto"/>
        </w:rPr>
        <w:t xml:space="preserve"> condition</w:t>
      </w:r>
      <w:r w:rsidR="000C647D" w:rsidRPr="002B473D">
        <w:rPr>
          <w:color w:val="auto"/>
        </w:rPr>
        <w:t>s</w:t>
      </w:r>
      <w:r w:rsidR="008530E3" w:rsidRPr="00F64312">
        <w:rPr>
          <w:color w:val="auto"/>
        </w:rPr>
        <w:t xml:space="preserve"> as unfitting, rated </w:t>
      </w:r>
      <w:r w:rsidR="002B473D">
        <w:rPr>
          <w:color w:val="auto"/>
        </w:rPr>
        <w:t>0% each</w:t>
      </w:r>
      <w:r w:rsidR="00256EE4">
        <w:rPr>
          <w:color w:val="auto"/>
        </w:rPr>
        <w:t>,</w:t>
      </w:r>
      <w:r w:rsidRPr="00F64312">
        <w:rPr>
          <w:color w:val="auto"/>
        </w:rPr>
        <w:t xml:space="preserve"> </w:t>
      </w:r>
      <w:r w:rsidR="00E46D90" w:rsidRPr="00F64312">
        <w:rPr>
          <w:color w:val="auto"/>
        </w:rPr>
        <w:t xml:space="preserve">with </w:t>
      </w:r>
      <w:r w:rsidR="005D0378">
        <w:rPr>
          <w:color w:val="auto"/>
        </w:rPr>
        <w:t>likely</w:t>
      </w:r>
      <w:r w:rsidR="002B473D">
        <w:rPr>
          <w:color w:val="auto"/>
        </w:rPr>
        <w:t xml:space="preserve"> </w:t>
      </w:r>
      <w:r w:rsidR="00E46D90" w:rsidRPr="002B473D">
        <w:rPr>
          <w:color w:val="auto"/>
        </w:rPr>
        <w:t>application of the</w:t>
      </w:r>
      <w:r w:rsidR="000B1C9E" w:rsidRPr="002B473D">
        <w:rPr>
          <w:color w:val="auto"/>
        </w:rPr>
        <w:t xml:space="preserve"> </w:t>
      </w:r>
      <w:r w:rsidR="0065689C" w:rsidRPr="002B473D">
        <w:rPr>
          <w:color w:val="auto"/>
          <w:szCs w:val="24"/>
        </w:rPr>
        <w:t>US Army Physical Disability Agency (USAPDA) pain policy</w:t>
      </w:r>
      <w:r w:rsidR="00BF72CA" w:rsidRPr="002B473D">
        <w:rPr>
          <w:color w:val="auto"/>
        </w:rPr>
        <w:t>.</w:t>
      </w:r>
      <w:r w:rsidR="002B473D">
        <w:rPr>
          <w:color w:val="auto"/>
        </w:rPr>
        <w:t xml:space="preserve">  The type </w:t>
      </w:r>
      <w:r w:rsidR="00DD172A">
        <w:rPr>
          <w:color w:val="auto"/>
        </w:rPr>
        <w:t>II</w:t>
      </w:r>
      <w:r w:rsidR="002B473D">
        <w:rPr>
          <w:color w:val="auto"/>
        </w:rPr>
        <w:t xml:space="preserve"> diabetes mellitus condition </w:t>
      </w:r>
      <w:r w:rsidR="002B473D" w:rsidRPr="002B473D">
        <w:rPr>
          <w:color w:val="auto"/>
        </w:rPr>
        <w:t>was</w:t>
      </w:r>
      <w:r w:rsidR="00380601" w:rsidRPr="002B473D">
        <w:rPr>
          <w:color w:val="auto"/>
        </w:rPr>
        <w:t xml:space="preserve"> determined to be not unfitting</w:t>
      </w:r>
      <w:r w:rsidR="00DF70F4" w:rsidRPr="002B473D">
        <w:rPr>
          <w:color w:val="auto"/>
        </w:rPr>
        <w:t>.</w:t>
      </w:r>
      <w:r w:rsidR="002B473D">
        <w:rPr>
          <w:color w:val="auto"/>
        </w:rPr>
        <w:t xml:space="preserve">  </w:t>
      </w:r>
      <w:r w:rsidRPr="002B473D">
        <w:rPr>
          <w:color w:val="auto"/>
        </w:rPr>
        <w:t xml:space="preserve">The CI made no appeals and was medically separated with </w:t>
      </w:r>
      <w:r w:rsidR="0066684A" w:rsidRPr="002B473D">
        <w:rPr>
          <w:color w:val="auto"/>
        </w:rPr>
        <w:t xml:space="preserve">a </w:t>
      </w:r>
      <w:r w:rsidR="002B473D" w:rsidRPr="002B473D">
        <w:rPr>
          <w:color w:val="auto"/>
        </w:rPr>
        <w:t>0</w:t>
      </w:r>
      <w:r w:rsidR="0066684A" w:rsidRPr="002B473D">
        <w:rPr>
          <w:color w:val="auto"/>
        </w:rPr>
        <w:t xml:space="preserve">% </w:t>
      </w:r>
      <w:r w:rsidRPr="002B473D">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764B5C" w:rsidRDefault="00AD2379" w:rsidP="00764B5C">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764B5C" w:rsidRPr="005E6666">
        <w:rPr>
          <w:color w:val="auto"/>
        </w:rPr>
        <w:t xml:space="preserve">“The Army issued me a 0% rating at time of separation. This rating should be changed due </w:t>
      </w:r>
      <w:r w:rsidR="00764B5C" w:rsidRPr="00764B5C">
        <w:rPr>
          <w:color w:val="auto"/>
          <w:szCs w:val="24"/>
        </w:rPr>
        <w:t>to</w:t>
      </w:r>
      <w:r w:rsidR="00764B5C" w:rsidRPr="005E6666">
        <w:rPr>
          <w:color w:val="auto"/>
        </w:rPr>
        <w:t xml:space="preserve"> the fact that the VA gave me a rating of 70% on November 9</w:t>
      </w:r>
      <w:r w:rsidR="003B213B">
        <w:rPr>
          <w:color w:val="auto"/>
        </w:rPr>
        <w:t>,</w:t>
      </w:r>
      <w:r w:rsidR="00764B5C" w:rsidRPr="005E6666">
        <w:rPr>
          <w:color w:val="auto"/>
        </w:rPr>
        <w:t xml:space="preserve"> 2007.”</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742A8">
        <w:rPr>
          <w:color w:val="auto"/>
        </w:rPr>
        <w:t>”</w:t>
      </w:r>
      <w:r>
        <w:rPr>
          <w:color w:val="auto"/>
        </w:rPr>
        <w:t xml:space="preserve">  </w:t>
      </w:r>
      <w:r w:rsidRPr="009239C0">
        <w:rPr>
          <w:color w:val="auto"/>
        </w:rPr>
        <w:t>The ratings for unfitting conditions will be reviewed in all cases</w:t>
      </w:r>
      <w:r w:rsidRPr="00092B7E">
        <w:rPr>
          <w:color w:val="auto"/>
        </w:rPr>
        <w:t xml:space="preserve">.  The </w:t>
      </w:r>
      <w:r w:rsidR="00092B7E">
        <w:rPr>
          <w:color w:val="auto"/>
        </w:rPr>
        <w:t xml:space="preserve">type </w:t>
      </w:r>
      <w:r w:rsidR="00DD172A">
        <w:rPr>
          <w:color w:val="auto"/>
        </w:rPr>
        <w:t>II</w:t>
      </w:r>
      <w:r w:rsidR="00092B7E">
        <w:rPr>
          <w:color w:val="auto"/>
        </w:rPr>
        <w:t xml:space="preserve"> </w:t>
      </w:r>
      <w:r w:rsidR="00092B7E" w:rsidRPr="00092B7E">
        <w:rPr>
          <w:color w:val="auto"/>
        </w:rPr>
        <w:t>diabetes</w:t>
      </w:r>
      <w:r w:rsidRPr="00092B7E">
        <w:rPr>
          <w:color w:val="auto"/>
        </w:rPr>
        <w:t xml:space="preserve"> </w:t>
      </w:r>
      <w:r w:rsidR="00092B7E">
        <w:rPr>
          <w:color w:val="auto"/>
        </w:rPr>
        <w:t xml:space="preserve">mellitus </w:t>
      </w:r>
      <w:r w:rsidRPr="00092B7E">
        <w:rPr>
          <w:color w:val="auto"/>
        </w:rPr>
        <w:t xml:space="preserve">condition requested for consideration and the unfitting </w:t>
      </w:r>
      <w:r w:rsidR="00092B7E" w:rsidRPr="00092B7E">
        <w:rPr>
          <w:color w:val="auto"/>
        </w:rPr>
        <w:t xml:space="preserve">right hip pain and </w:t>
      </w:r>
      <w:r w:rsidR="00DD172A">
        <w:rPr>
          <w:color w:val="auto"/>
        </w:rPr>
        <w:t>LBP</w:t>
      </w:r>
      <w:r w:rsidRPr="00092B7E">
        <w:rPr>
          <w:color w:val="auto"/>
        </w:rPr>
        <w:t xml:space="preserve"> conditions meet the criteria prescribed in DoDI 6040.44 for Board purview, and are accordingly addressed below.  The </w:t>
      </w:r>
      <w:r w:rsidR="00092B7E" w:rsidRPr="00986187">
        <w:rPr>
          <w:color w:val="auto"/>
        </w:rPr>
        <w:t>right and left lower extremity diabetic ne</w:t>
      </w:r>
      <w:r w:rsidR="00DD172A">
        <w:rPr>
          <w:color w:val="auto"/>
        </w:rPr>
        <w:t>uropathy, hypertension and post</w:t>
      </w:r>
      <w:r w:rsidR="00092B7E" w:rsidRPr="00986187">
        <w:rPr>
          <w:color w:val="auto"/>
        </w:rPr>
        <w:t>traumatic stress disorder</w:t>
      </w:r>
      <w:r w:rsidRPr="00986187">
        <w:rPr>
          <w:color w:val="auto"/>
        </w:rPr>
        <w:t xml:space="preserve"> </w:t>
      </w:r>
      <w:r w:rsidR="00DD172A">
        <w:rPr>
          <w:color w:val="auto"/>
        </w:rPr>
        <w:br/>
        <w:t xml:space="preserve">(PTSD) </w:t>
      </w:r>
      <w:r w:rsidRPr="00986187">
        <w:rPr>
          <w:color w:val="auto"/>
        </w:rPr>
        <w:t>are</w:t>
      </w:r>
      <w:r w:rsidRPr="00092B7E">
        <w:rPr>
          <w:color w:val="auto"/>
        </w:rPr>
        <w:t xml:space="preserve"> not within the Board’s purview. </w:t>
      </w:r>
      <w:r w:rsidR="00092B7E" w:rsidRPr="00092B7E">
        <w:rPr>
          <w:color w:val="auto"/>
        </w:rPr>
        <w:t xml:space="preserve"> </w:t>
      </w:r>
      <w:r w:rsidRPr="00092B7E">
        <w:rPr>
          <w:color w:val="auto"/>
        </w:rPr>
        <w:t>A</w:t>
      </w:r>
      <w:r w:rsidRPr="00C566C9">
        <w:rPr>
          <w:color w:val="auto"/>
        </w:rPr>
        <w:t>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w:t>
      </w:r>
      <w:r w:rsidRPr="00092B7E">
        <w:rPr>
          <w:color w:val="auto"/>
        </w:rPr>
        <w:t>by the Army Board for the Correction of Military Records (</w:t>
      </w:r>
      <w:r w:rsidR="003B213B">
        <w:rPr>
          <w:color w:val="auto"/>
        </w:rPr>
        <w:t>A</w:t>
      </w:r>
      <w:r w:rsidRPr="00092B7E">
        <w:rPr>
          <w:color w:val="auto"/>
        </w:rPr>
        <w:t>BCMR).</w:t>
      </w:r>
    </w:p>
    <w:p w:rsidR="000B63CF" w:rsidRPr="00F64312" w:rsidRDefault="000B63CF" w:rsidP="000B63CF">
      <w:pPr>
        <w:pBdr>
          <w:bottom w:val="single" w:sz="12" w:space="1" w:color="auto"/>
        </w:pBdr>
        <w:tabs>
          <w:tab w:val="left" w:pos="288"/>
          <w:tab w:val="left" w:pos="4752"/>
        </w:tabs>
        <w:jc w:val="both"/>
        <w:rPr>
          <w:color w:val="auto"/>
        </w:rPr>
      </w:pPr>
    </w:p>
    <w:p w:rsidR="00753D46" w:rsidRDefault="00753D46" w:rsidP="00BF0E94">
      <w:pPr>
        <w:jc w:val="left"/>
        <w:rPr>
          <w:color w:val="auto"/>
          <w:u w:val="single"/>
        </w:rPr>
      </w:pPr>
    </w:p>
    <w:p w:rsidR="00AD2379" w:rsidRPr="00B32921" w:rsidRDefault="00AD2379" w:rsidP="00BF0E94">
      <w:pPr>
        <w:jc w:val="left"/>
        <w:rPr>
          <w:color w:val="auto"/>
        </w:rPr>
      </w:pPr>
      <w:r w:rsidRPr="00F64312">
        <w:rPr>
          <w:color w:val="auto"/>
          <w:u w:val="single"/>
        </w:rPr>
        <w:t>RATING COMPARISON</w:t>
      </w:r>
      <w:r w:rsidRPr="00F64312">
        <w:rPr>
          <w:color w:val="auto"/>
        </w:rPr>
        <w:t>:</w:t>
      </w:r>
    </w:p>
    <w:p w:rsidR="00F90376" w:rsidRPr="00B32921" w:rsidRDefault="00F90376"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169"/>
        <w:gridCol w:w="1080"/>
        <w:gridCol w:w="720"/>
        <w:gridCol w:w="2610"/>
        <w:gridCol w:w="1080"/>
        <w:gridCol w:w="720"/>
        <w:gridCol w:w="990"/>
      </w:tblGrid>
      <w:tr w:rsidR="00F90376" w:rsidRPr="00B32921"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B32921" w:rsidRDefault="00F90376" w:rsidP="002B21F9">
            <w:pPr>
              <w:spacing w:line="180" w:lineRule="exact"/>
              <w:contextualSpacing/>
              <w:rPr>
                <w:rFonts w:cs="Calibri"/>
                <w:b/>
                <w:color w:val="auto"/>
                <w:sz w:val="18"/>
              </w:rPr>
            </w:pPr>
            <w:r w:rsidRPr="00B32921">
              <w:rPr>
                <w:b/>
                <w:color w:val="auto"/>
                <w:sz w:val="18"/>
              </w:rPr>
              <w:t>Service PEB – Dated 200</w:t>
            </w:r>
            <w:r w:rsidR="002B21F9" w:rsidRPr="00B32921">
              <w:rPr>
                <w:b/>
                <w:color w:val="auto"/>
                <w:sz w:val="18"/>
              </w:rPr>
              <w:t>70117</w:t>
            </w:r>
          </w:p>
        </w:tc>
        <w:tc>
          <w:tcPr>
            <w:tcW w:w="5400" w:type="dxa"/>
            <w:gridSpan w:val="4"/>
            <w:tcBorders>
              <w:left w:val="thinThickThinSmallGap" w:sz="24" w:space="0" w:color="auto"/>
            </w:tcBorders>
            <w:shd w:val="clear" w:color="auto" w:fill="D9D9D9"/>
            <w:vAlign w:val="center"/>
          </w:tcPr>
          <w:p w:rsidR="00F90376" w:rsidRPr="00B32921" w:rsidRDefault="00F90376" w:rsidP="002B21F9">
            <w:pPr>
              <w:spacing w:line="180" w:lineRule="exact"/>
              <w:contextualSpacing/>
              <w:rPr>
                <w:rFonts w:cs="Calibri"/>
                <w:b/>
                <w:color w:val="auto"/>
                <w:sz w:val="18"/>
              </w:rPr>
            </w:pPr>
            <w:r w:rsidRPr="00B32921">
              <w:rPr>
                <w:b/>
                <w:color w:val="auto"/>
                <w:sz w:val="18"/>
              </w:rPr>
              <w:t>VA (</w:t>
            </w:r>
            <w:r w:rsidR="002B21F9" w:rsidRPr="00B32921">
              <w:rPr>
                <w:b/>
                <w:color w:val="auto"/>
                <w:sz w:val="18"/>
              </w:rPr>
              <w:t>1</w:t>
            </w:r>
            <w:r w:rsidR="00D41542" w:rsidRPr="00B32921">
              <w:rPr>
                <w:b/>
                <w:color w:val="auto"/>
                <w:sz w:val="18"/>
              </w:rPr>
              <w:t>.5</w:t>
            </w:r>
            <w:r w:rsidRPr="00B32921">
              <w:rPr>
                <w:b/>
                <w:color w:val="auto"/>
                <w:sz w:val="18"/>
              </w:rPr>
              <w:t xml:space="preserve"> Mos. Post-Separation) – All Effective Date 200</w:t>
            </w:r>
            <w:r w:rsidR="002B21F9" w:rsidRPr="00B32921">
              <w:rPr>
                <w:b/>
                <w:color w:val="auto"/>
                <w:sz w:val="18"/>
              </w:rPr>
              <w:t>70211</w:t>
            </w:r>
          </w:p>
        </w:tc>
      </w:tr>
      <w:tr w:rsidR="00F90376" w:rsidRPr="00B32921"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B32921" w:rsidRDefault="00F90376" w:rsidP="006B690F">
            <w:pPr>
              <w:spacing w:line="180" w:lineRule="exact"/>
              <w:contextualSpacing/>
              <w:rPr>
                <w:rFonts w:cs="Calibri"/>
                <w:b/>
                <w:color w:val="auto"/>
                <w:sz w:val="18"/>
              </w:rPr>
            </w:pPr>
            <w:r w:rsidRPr="00B32921">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B32921" w:rsidRDefault="00F90376" w:rsidP="006B690F">
            <w:pPr>
              <w:spacing w:line="180" w:lineRule="exact"/>
              <w:contextualSpacing/>
              <w:rPr>
                <w:rFonts w:cs="Calibri"/>
                <w:b/>
                <w:color w:val="auto"/>
                <w:sz w:val="18"/>
              </w:rPr>
            </w:pPr>
            <w:r w:rsidRPr="00B32921">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B32921" w:rsidRDefault="00F90376" w:rsidP="006B690F">
            <w:pPr>
              <w:spacing w:line="180" w:lineRule="exact"/>
              <w:contextualSpacing/>
              <w:rPr>
                <w:rFonts w:cs="Calibri"/>
                <w:b/>
                <w:color w:val="auto"/>
                <w:sz w:val="18"/>
              </w:rPr>
            </w:pPr>
            <w:r w:rsidRPr="00B32921">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B32921" w:rsidRDefault="00F90376" w:rsidP="006B690F">
            <w:pPr>
              <w:spacing w:line="180" w:lineRule="exact"/>
              <w:contextualSpacing/>
              <w:rPr>
                <w:rFonts w:cs="Calibri"/>
                <w:b/>
                <w:color w:val="auto"/>
                <w:sz w:val="18"/>
              </w:rPr>
            </w:pPr>
            <w:r w:rsidRPr="00B32921">
              <w:rPr>
                <w:b/>
                <w:color w:val="auto"/>
                <w:sz w:val="18"/>
              </w:rPr>
              <w:t>Condition</w:t>
            </w:r>
          </w:p>
        </w:tc>
        <w:tc>
          <w:tcPr>
            <w:tcW w:w="1080" w:type="dxa"/>
            <w:tcBorders>
              <w:bottom w:val="single" w:sz="4" w:space="0" w:color="000000"/>
            </w:tcBorders>
            <w:shd w:val="clear" w:color="auto" w:fill="D9D9D9"/>
            <w:vAlign w:val="center"/>
          </w:tcPr>
          <w:p w:rsidR="00F90376" w:rsidRPr="00B32921" w:rsidRDefault="00F90376" w:rsidP="006B690F">
            <w:pPr>
              <w:spacing w:line="180" w:lineRule="exact"/>
              <w:contextualSpacing/>
              <w:rPr>
                <w:rFonts w:cs="Calibri"/>
                <w:b/>
                <w:color w:val="auto"/>
                <w:sz w:val="18"/>
              </w:rPr>
            </w:pPr>
            <w:r w:rsidRPr="00B32921">
              <w:rPr>
                <w:b/>
                <w:color w:val="auto"/>
                <w:sz w:val="18"/>
              </w:rPr>
              <w:t>Code</w:t>
            </w:r>
          </w:p>
        </w:tc>
        <w:tc>
          <w:tcPr>
            <w:tcW w:w="720" w:type="dxa"/>
            <w:tcBorders>
              <w:bottom w:val="single" w:sz="4" w:space="0" w:color="000000"/>
            </w:tcBorders>
            <w:shd w:val="clear" w:color="auto" w:fill="D9D9D9"/>
            <w:vAlign w:val="center"/>
          </w:tcPr>
          <w:p w:rsidR="00F90376" w:rsidRPr="00B32921" w:rsidRDefault="00F90376" w:rsidP="006B690F">
            <w:pPr>
              <w:spacing w:line="180" w:lineRule="exact"/>
              <w:contextualSpacing/>
              <w:rPr>
                <w:rFonts w:cs="Calibri"/>
                <w:b/>
                <w:color w:val="auto"/>
                <w:sz w:val="18"/>
              </w:rPr>
            </w:pPr>
            <w:r w:rsidRPr="00B32921">
              <w:rPr>
                <w:b/>
                <w:color w:val="auto"/>
                <w:sz w:val="18"/>
              </w:rPr>
              <w:t>Rating</w:t>
            </w:r>
          </w:p>
        </w:tc>
        <w:tc>
          <w:tcPr>
            <w:tcW w:w="990" w:type="dxa"/>
            <w:tcBorders>
              <w:bottom w:val="single" w:sz="4" w:space="0" w:color="000000"/>
            </w:tcBorders>
            <w:shd w:val="clear" w:color="auto" w:fill="D9D9D9"/>
            <w:vAlign w:val="center"/>
          </w:tcPr>
          <w:p w:rsidR="00F90376" w:rsidRPr="00B32921" w:rsidRDefault="00F90376" w:rsidP="006B690F">
            <w:pPr>
              <w:spacing w:line="180" w:lineRule="exact"/>
              <w:contextualSpacing/>
              <w:rPr>
                <w:rFonts w:cs="Calibri"/>
                <w:b/>
                <w:color w:val="auto"/>
                <w:sz w:val="18"/>
              </w:rPr>
            </w:pPr>
            <w:r w:rsidRPr="00B32921">
              <w:rPr>
                <w:b/>
                <w:color w:val="auto"/>
                <w:sz w:val="18"/>
              </w:rPr>
              <w:t>Exam</w:t>
            </w:r>
          </w:p>
        </w:tc>
      </w:tr>
      <w:tr w:rsidR="00F90376" w:rsidRPr="00B32921" w:rsidTr="0017172C">
        <w:trPr>
          <w:trHeight w:val="118"/>
          <w:jc w:val="center"/>
        </w:trPr>
        <w:tc>
          <w:tcPr>
            <w:tcW w:w="2169" w:type="dxa"/>
            <w:tcBorders>
              <w:right w:val="single" w:sz="4" w:space="0" w:color="auto"/>
            </w:tcBorders>
            <w:shd w:val="clear" w:color="auto" w:fill="FFFFFF"/>
            <w:vAlign w:val="center"/>
          </w:tcPr>
          <w:p w:rsidR="00F90376" w:rsidRPr="00B32921" w:rsidRDefault="002B21F9" w:rsidP="006B690F">
            <w:pPr>
              <w:spacing w:line="180" w:lineRule="exact"/>
              <w:contextualSpacing/>
              <w:jc w:val="left"/>
              <w:rPr>
                <w:rFonts w:cs="Calibri"/>
                <w:color w:val="auto"/>
                <w:sz w:val="18"/>
              </w:rPr>
            </w:pPr>
            <w:r w:rsidRPr="00B32921">
              <w:rPr>
                <w:rFonts w:cs="Calibri"/>
                <w:color w:val="auto"/>
                <w:sz w:val="18"/>
              </w:rPr>
              <w:t>Chronic Right Hip Pain</w:t>
            </w:r>
          </w:p>
        </w:tc>
        <w:tc>
          <w:tcPr>
            <w:tcW w:w="1080" w:type="dxa"/>
            <w:tcBorders>
              <w:left w:val="single" w:sz="4" w:space="0" w:color="auto"/>
            </w:tcBorders>
            <w:shd w:val="clear" w:color="auto" w:fill="FFFFFF"/>
            <w:vAlign w:val="center"/>
          </w:tcPr>
          <w:p w:rsidR="00F90376" w:rsidRPr="00B32921" w:rsidRDefault="002B21F9" w:rsidP="006B690F">
            <w:pPr>
              <w:spacing w:line="180" w:lineRule="exact"/>
              <w:contextualSpacing/>
              <w:rPr>
                <w:rFonts w:cs="Calibri"/>
                <w:color w:val="auto"/>
                <w:sz w:val="18"/>
              </w:rPr>
            </w:pPr>
            <w:r w:rsidRPr="00B32921">
              <w:rPr>
                <w:rFonts w:cs="Calibri"/>
                <w:color w:val="auto"/>
                <w:sz w:val="18"/>
              </w:rPr>
              <w:t>5003</w:t>
            </w:r>
          </w:p>
        </w:tc>
        <w:tc>
          <w:tcPr>
            <w:tcW w:w="720" w:type="dxa"/>
            <w:tcBorders>
              <w:right w:val="thinThickThinSmallGap" w:sz="24" w:space="0" w:color="auto"/>
            </w:tcBorders>
            <w:shd w:val="clear" w:color="auto" w:fill="FFFFFF"/>
            <w:vAlign w:val="center"/>
          </w:tcPr>
          <w:p w:rsidR="00F90376" w:rsidRPr="00B32921" w:rsidRDefault="002B21F9" w:rsidP="006B690F">
            <w:pPr>
              <w:spacing w:line="180" w:lineRule="exact"/>
              <w:rPr>
                <w:rFonts w:cs="Calibri"/>
                <w:color w:val="auto"/>
                <w:sz w:val="18"/>
              </w:rPr>
            </w:pPr>
            <w:r w:rsidRPr="00B32921">
              <w:rPr>
                <w:rFonts w:cs="Calibri"/>
                <w:color w:val="auto"/>
                <w:sz w:val="18"/>
              </w:rPr>
              <w:t>0%</w:t>
            </w:r>
          </w:p>
        </w:tc>
        <w:tc>
          <w:tcPr>
            <w:tcW w:w="2610" w:type="dxa"/>
            <w:tcBorders>
              <w:left w:val="thinThickThinSmallGap" w:sz="24" w:space="0" w:color="auto"/>
            </w:tcBorders>
            <w:shd w:val="clear" w:color="auto" w:fill="FFFFFF"/>
            <w:vAlign w:val="center"/>
          </w:tcPr>
          <w:p w:rsidR="00F90376" w:rsidRPr="00B32921" w:rsidRDefault="00C1681F" w:rsidP="0017172C">
            <w:pPr>
              <w:spacing w:line="180" w:lineRule="exact"/>
              <w:contextualSpacing/>
              <w:jc w:val="left"/>
              <w:rPr>
                <w:rFonts w:cs="Calibri"/>
                <w:color w:val="auto"/>
                <w:sz w:val="18"/>
              </w:rPr>
            </w:pPr>
            <w:r w:rsidRPr="00B32921">
              <w:rPr>
                <w:rFonts w:cs="Calibri"/>
                <w:color w:val="auto"/>
                <w:sz w:val="18"/>
              </w:rPr>
              <w:t>Right Hip Resurfacing</w:t>
            </w:r>
          </w:p>
        </w:tc>
        <w:tc>
          <w:tcPr>
            <w:tcW w:w="1080" w:type="dxa"/>
            <w:shd w:val="clear" w:color="auto" w:fill="FFFFFF"/>
            <w:vAlign w:val="center"/>
          </w:tcPr>
          <w:p w:rsidR="00F90376" w:rsidRPr="00B32921" w:rsidRDefault="00C1681F" w:rsidP="0017172C">
            <w:pPr>
              <w:spacing w:line="180" w:lineRule="exact"/>
              <w:contextualSpacing/>
              <w:rPr>
                <w:rFonts w:cs="Calibri"/>
                <w:color w:val="auto"/>
                <w:sz w:val="18"/>
              </w:rPr>
            </w:pPr>
            <w:r w:rsidRPr="00B32921">
              <w:rPr>
                <w:rFonts w:cs="Calibri"/>
                <w:color w:val="auto"/>
                <w:sz w:val="18"/>
              </w:rPr>
              <w:t>5010-5255</w:t>
            </w:r>
          </w:p>
        </w:tc>
        <w:tc>
          <w:tcPr>
            <w:tcW w:w="720" w:type="dxa"/>
            <w:shd w:val="clear" w:color="auto" w:fill="FFFFFF"/>
            <w:vAlign w:val="center"/>
          </w:tcPr>
          <w:p w:rsidR="00F90376" w:rsidRPr="00B32921" w:rsidRDefault="00C1681F" w:rsidP="0017172C">
            <w:pPr>
              <w:spacing w:line="180" w:lineRule="exact"/>
              <w:contextualSpacing/>
              <w:rPr>
                <w:rFonts w:cs="Calibri"/>
                <w:color w:val="auto"/>
                <w:sz w:val="18"/>
              </w:rPr>
            </w:pPr>
            <w:r w:rsidRPr="00B32921">
              <w:rPr>
                <w:rFonts w:cs="Calibri"/>
                <w:color w:val="auto"/>
                <w:sz w:val="18"/>
              </w:rPr>
              <w:t>10%</w:t>
            </w:r>
          </w:p>
        </w:tc>
        <w:tc>
          <w:tcPr>
            <w:tcW w:w="990" w:type="dxa"/>
            <w:shd w:val="clear" w:color="auto" w:fill="FFFFFF"/>
            <w:vAlign w:val="center"/>
          </w:tcPr>
          <w:p w:rsidR="00F90376" w:rsidRPr="00B32921" w:rsidRDefault="002B21F9" w:rsidP="0017172C">
            <w:pPr>
              <w:spacing w:line="180" w:lineRule="exact"/>
              <w:contextualSpacing/>
              <w:rPr>
                <w:rFonts w:cs="Calibri"/>
                <w:color w:val="auto"/>
                <w:sz w:val="18"/>
              </w:rPr>
            </w:pPr>
            <w:r w:rsidRPr="00B32921">
              <w:rPr>
                <w:color w:val="auto"/>
                <w:sz w:val="18"/>
              </w:rPr>
              <w:t>20070329</w:t>
            </w:r>
          </w:p>
        </w:tc>
      </w:tr>
      <w:tr w:rsidR="0017172C" w:rsidRPr="00B32921" w:rsidTr="0017172C">
        <w:trPr>
          <w:trHeight w:val="118"/>
          <w:jc w:val="center"/>
        </w:trPr>
        <w:tc>
          <w:tcPr>
            <w:tcW w:w="2169" w:type="dxa"/>
            <w:tcBorders>
              <w:right w:val="single" w:sz="4" w:space="0" w:color="auto"/>
            </w:tcBorders>
            <w:shd w:val="clear" w:color="auto" w:fill="FFFFFF"/>
            <w:vAlign w:val="center"/>
          </w:tcPr>
          <w:p w:rsidR="0017172C" w:rsidRPr="00B32921" w:rsidRDefault="002B21F9" w:rsidP="006B690F">
            <w:pPr>
              <w:spacing w:line="180" w:lineRule="exact"/>
              <w:contextualSpacing/>
              <w:jc w:val="left"/>
              <w:rPr>
                <w:color w:val="auto"/>
                <w:sz w:val="18"/>
              </w:rPr>
            </w:pPr>
            <w:r w:rsidRPr="00B32921">
              <w:rPr>
                <w:color w:val="auto"/>
                <w:sz w:val="18"/>
              </w:rPr>
              <w:t>Chronic Low Back Pain</w:t>
            </w:r>
          </w:p>
        </w:tc>
        <w:tc>
          <w:tcPr>
            <w:tcW w:w="1080" w:type="dxa"/>
            <w:tcBorders>
              <w:left w:val="single" w:sz="4" w:space="0" w:color="auto"/>
            </w:tcBorders>
            <w:shd w:val="clear" w:color="auto" w:fill="FFFFFF"/>
            <w:vAlign w:val="center"/>
          </w:tcPr>
          <w:p w:rsidR="0017172C" w:rsidRPr="00B32921" w:rsidRDefault="002B21F9" w:rsidP="006B690F">
            <w:pPr>
              <w:spacing w:line="180" w:lineRule="exact"/>
              <w:contextualSpacing/>
              <w:rPr>
                <w:color w:val="auto"/>
                <w:sz w:val="18"/>
              </w:rPr>
            </w:pPr>
            <w:r w:rsidRPr="00B32921">
              <w:rPr>
                <w:color w:val="auto"/>
                <w:sz w:val="18"/>
              </w:rPr>
              <w:t>5299-5237</w:t>
            </w:r>
          </w:p>
        </w:tc>
        <w:tc>
          <w:tcPr>
            <w:tcW w:w="720" w:type="dxa"/>
            <w:tcBorders>
              <w:right w:val="thinThickThinSmallGap" w:sz="24" w:space="0" w:color="auto"/>
            </w:tcBorders>
            <w:shd w:val="clear" w:color="auto" w:fill="FFFFFF"/>
            <w:vAlign w:val="center"/>
          </w:tcPr>
          <w:p w:rsidR="0017172C" w:rsidRPr="00B32921" w:rsidRDefault="002B21F9" w:rsidP="006B690F">
            <w:pPr>
              <w:spacing w:line="180" w:lineRule="exact"/>
              <w:rPr>
                <w:color w:val="auto"/>
                <w:sz w:val="18"/>
              </w:rPr>
            </w:pPr>
            <w:r w:rsidRPr="00B32921">
              <w:rPr>
                <w:color w:val="auto"/>
                <w:sz w:val="18"/>
              </w:rPr>
              <w:t>0%</w:t>
            </w:r>
          </w:p>
        </w:tc>
        <w:tc>
          <w:tcPr>
            <w:tcW w:w="2610" w:type="dxa"/>
            <w:tcBorders>
              <w:left w:val="thinThickThinSmallGap" w:sz="24" w:space="0" w:color="auto"/>
            </w:tcBorders>
            <w:shd w:val="clear" w:color="auto" w:fill="FFFFFF"/>
            <w:vAlign w:val="center"/>
          </w:tcPr>
          <w:p w:rsidR="0017172C" w:rsidRPr="00B32921" w:rsidRDefault="002B21F9" w:rsidP="002B21F9">
            <w:pPr>
              <w:spacing w:line="180" w:lineRule="exact"/>
              <w:contextualSpacing/>
              <w:jc w:val="left"/>
              <w:rPr>
                <w:color w:val="auto"/>
                <w:sz w:val="18"/>
              </w:rPr>
            </w:pPr>
            <w:r w:rsidRPr="00B32921">
              <w:rPr>
                <w:color w:val="auto"/>
                <w:sz w:val="18"/>
              </w:rPr>
              <w:t>Lumbosacral DDD</w:t>
            </w:r>
          </w:p>
        </w:tc>
        <w:tc>
          <w:tcPr>
            <w:tcW w:w="1080" w:type="dxa"/>
            <w:shd w:val="clear" w:color="auto" w:fill="FFFFFF"/>
            <w:vAlign w:val="center"/>
          </w:tcPr>
          <w:p w:rsidR="0017172C" w:rsidRPr="00B32921" w:rsidRDefault="002B21F9" w:rsidP="0017172C">
            <w:pPr>
              <w:spacing w:line="180" w:lineRule="exact"/>
              <w:contextualSpacing/>
              <w:rPr>
                <w:color w:val="auto"/>
                <w:sz w:val="18"/>
              </w:rPr>
            </w:pPr>
            <w:r w:rsidRPr="00B32921">
              <w:rPr>
                <w:color w:val="auto"/>
                <w:sz w:val="18"/>
              </w:rPr>
              <w:t>5243</w:t>
            </w:r>
          </w:p>
        </w:tc>
        <w:tc>
          <w:tcPr>
            <w:tcW w:w="720" w:type="dxa"/>
            <w:shd w:val="clear" w:color="auto" w:fill="FFFFFF"/>
            <w:vAlign w:val="center"/>
          </w:tcPr>
          <w:p w:rsidR="0017172C" w:rsidRPr="00B32921" w:rsidRDefault="002B21F9" w:rsidP="0017172C">
            <w:pPr>
              <w:spacing w:line="180" w:lineRule="exact"/>
              <w:contextualSpacing/>
              <w:rPr>
                <w:color w:val="auto"/>
                <w:sz w:val="18"/>
              </w:rPr>
            </w:pPr>
            <w:r w:rsidRPr="00B32921">
              <w:rPr>
                <w:color w:val="auto"/>
                <w:sz w:val="18"/>
              </w:rPr>
              <w:t>20%</w:t>
            </w:r>
          </w:p>
        </w:tc>
        <w:tc>
          <w:tcPr>
            <w:tcW w:w="990" w:type="dxa"/>
            <w:shd w:val="clear" w:color="auto" w:fill="FFFFFF"/>
            <w:vAlign w:val="center"/>
          </w:tcPr>
          <w:p w:rsidR="0017172C" w:rsidRPr="00B32921" w:rsidRDefault="002B21F9" w:rsidP="0017172C">
            <w:pPr>
              <w:spacing w:line="180" w:lineRule="exact"/>
              <w:contextualSpacing/>
              <w:rPr>
                <w:color w:val="auto"/>
                <w:sz w:val="18"/>
                <w:highlight w:val="yellow"/>
              </w:rPr>
            </w:pPr>
            <w:r w:rsidRPr="00B32921">
              <w:rPr>
                <w:color w:val="auto"/>
                <w:sz w:val="18"/>
              </w:rPr>
              <w:t>20070329</w:t>
            </w:r>
          </w:p>
        </w:tc>
      </w:tr>
      <w:tr w:rsidR="00551C24" w:rsidRPr="00B32921" w:rsidTr="00CB2498">
        <w:trPr>
          <w:trHeight w:val="118"/>
          <w:jc w:val="center"/>
        </w:trPr>
        <w:tc>
          <w:tcPr>
            <w:tcW w:w="2169" w:type="dxa"/>
            <w:tcBorders>
              <w:right w:val="single" w:sz="4" w:space="0" w:color="auto"/>
            </w:tcBorders>
            <w:shd w:val="clear" w:color="auto" w:fill="FFFFFF"/>
            <w:vAlign w:val="center"/>
          </w:tcPr>
          <w:p w:rsidR="00551C24" w:rsidRPr="00B32921" w:rsidRDefault="00551C24" w:rsidP="00551C24">
            <w:pPr>
              <w:spacing w:line="180" w:lineRule="exact"/>
              <w:contextualSpacing/>
              <w:jc w:val="left"/>
              <w:rPr>
                <w:color w:val="auto"/>
                <w:sz w:val="18"/>
              </w:rPr>
            </w:pPr>
            <w:r w:rsidRPr="00B32921">
              <w:rPr>
                <w:color w:val="auto"/>
                <w:sz w:val="18"/>
              </w:rPr>
              <w:t>Type 2 Diabetes Mellitus</w:t>
            </w:r>
          </w:p>
        </w:tc>
        <w:tc>
          <w:tcPr>
            <w:tcW w:w="1800" w:type="dxa"/>
            <w:gridSpan w:val="2"/>
            <w:tcBorders>
              <w:left w:val="single" w:sz="4" w:space="0" w:color="auto"/>
              <w:right w:val="thinThickThinSmallGap" w:sz="24" w:space="0" w:color="auto"/>
            </w:tcBorders>
            <w:shd w:val="clear" w:color="auto" w:fill="FFFFFF"/>
            <w:vAlign w:val="center"/>
          </w:tcPr>
          <w:p w:rsidR="00551C24" w:rsidRPr="00B32921" w:rsidRDefault="00551C24" w:rsidP="006B690F">
            <w:pPr>
              <w:spacing w:line="180" w:lineRule="exact"/>
              <w:rPr>
                <w:color w:val="auto"/>
                <w:sz w:val="18"/>
              </w:rPr>
            </w:pPr>
            <w:r w:rsidRPr="00B32921">
              <w:rPr>
                <w:color w:val="auto"/>
                <w:sz w:val="18"/>
              </w:rPr>
              <w:t>Not Unfitting</w:t>
            </w:r>
          </w:p>
        </w:tc>
        <w:tc>
          <w:tcPr>
            <w:tcW w:w="2610" w:type="dxa"/>
            <w:tcBorders>
              <w:left w:val="thinThickThinSmallGap" w:sz="24" w:space="0" w:color="auto"/>
            </w:tcBorders>
            <w:shd w:val="clear" w:color="auto" w:fill="FFFFFF"/>
            <w:vAlign w:val="center"/>
          </w:tcPr>
          <w:p w:rsidR="00551C24" w:rsidRPr="00B32921" w:rsidRDefault="00551C24" w:rsidP="002B21F9">
            <w:pPr>
              <w:spacing w:line="180" w:lineRule="exact"/>
              <w:contextualSpacing/>
              <w:jc w:val="left"/>
              <w:rPr>
                <w:color w:val="auto"/>
                <w:sz w:val="18"/>
              </w:rPr>
            </w:pPr>
            <w:r w:rsidRPr="00B32921">
              <w:rPr>
                <w:color w:val="auto"/>
                <w:sz w:val="18"/>
              </w:rPr>
              <w:t>Diabetes Mellitus Type II</w:t>
            </w:r>
          </w:p>
        </w:tc>
        <w:tc>
          <w:tcPr>
            <w:tcW w:w="1080" w:type="dxa"/>
            <w:shd w:val="clear" w:color="auto" w:fill="FFFFFF"/>
            <w:vAlign w:val="center"/>
          </w:tcPr>
          <w:p w:rsidR="00551C24" w:rsidRPr="00B32921" w:rsidRDefault="00551C24" w:rsidP="0017172C">
            <w:pPr>
              <w:spacing w:line="180" w:lineRule="exact"/>
              <w:contextualSpacing/>
              <w:rPr>
                <w:color w:val="auto"/>
                <w:sz w:val="18"/>
              </w:rPr>
            </w:pPr>
            <w:r w:rsidRPr="00B32921">
              <w:rPr>
                <w:color w:val="auto"/>
                <w:sz w:val="18"/>
              </w:rPr>
              <w:t>7913</w:t>
            </w:r>
          </w:p>
        </w:tc>
        <w:tc>
          <w:tcPr>
            <w:tcW w:w="720" w:type="dxa"/>
            <w:shd w:val="clear" w:color="auto" w:fill="FFFFFF"/>
            <w:vAlign w:val="center"/>
          </w:tcPr>
          <w:p w:rsidR="00551C24" w:rsidRPr="00B32921" w:rsidRDefault="00551C24" w:rsidP="0017172C">
            <w:pPr>
              <w:spacing w:line="180" w:lineRule="exact"/>
              <w:contextualSpacing/>
              <w:rPr>
                <w:color w:val="auto"/>
                <w:sz w:val="18"/>
              </w:rPr>
            </w:pPr>
            <w:r w:rsidRPr="00B32921">
              <w:rPr>
                <w:color w:val="auto"/>
                <w:sz w:val="18"/>
              </w:rPr>
              <w:t>20%</w:t>
            </w:r>
          </w:p>
        </w:tc>
        <w:tc>
          <w:tcPr>
            <w:tcW w:w="990" w:type="dxa"/>
            <w:shd w:val="clear" w:color="auto" w:fill="FFFFFF"/>
            <w:vAlign w:val="center"/>
          </w:tcPr>
          <w:p w:rsidR="00551C24" w:rsidRPr="00B32921" w:rsidRDefault="00551C24" w:rsidP="0017172C">
            <w:pPr>
              <w:spacing w:line="180" w:lineRule="exact"/>
              <w:contextualSpacing/>
              <w:rPr>
                <w:color w:val="auto"/>
                <w:sz w:val="18"/>
              </w:rPr>
            </w:pPr>
            <w:r w:rsidRPr="00B32921">
              <w:rPr>
                <w:color w:val="auto"/>
                <w:sz w:val="18"/>
              </w:rPr>
              <w:t>20070329</w:t>
            </w:r>
          </w:p>
        </w:tc>
      </w:tr>
      <w:tr w:rsidR="00551C24" w:rsidRPr="00B32921" w:rsidTr="00CB2498">
        <w:trPr>
          <w:trHeight w:val="118"/>
          <w:jc w:val="center"/>
        </w:trPr>
        <w:tc>
          <w:tcPr>
            <w:tcW w:w="3969" w:type="dxa"/>
            <w:gridSpan w:val="3"/>
            <w:vMerge w:val="restart"/>
            <w:tcBorders>
              <w:right w:val="thinThickThinSmallGap" w:sz="24" w:space="0" w:color="auto"/>
            </w:tcBorders>
            <w:shd w:val="clear" w:color="auto" w:fill="FFFFFF"/>
            <w:vAlign w:val="center"/>
          </w:tcPr>
          <w:p w:rsidR="00551C24" w:rsidRPr="00B32921" w:rsidRDefault="00551C24" w:rsidP="006B690F">
            <w:pPr>
              <w:spacing w:line="180" w:lineRule="exact"/>
              <w:contextualSpacing/>
              <w:rPr>
                <w:color w:val="auto"/>
                <w:sz w:val="18"/>
              </w:rPr>
            </w:pPr>
            <w:r w:rsidRPr="00B32921">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551C24" w:rsidRPr="00B32921" w:rsidRDefault="00551C24" w:rsidP="0017172C">
            <w:pPr>
              <w:spacing w:line="180" w:lineRule="exact"/>
              <w:contextualSpacing/>
              <w:jc w:val="left"/>
              <w:rPr>
                <w:color w:val="auto"/>
                <w:sz w:val="18"/>
              </w:rPr>
            </w:pPr>
            <w:r w:rsidRPr="00B32921">
              <w:rPr>
                <w:color w:val="auto"/>
                <w:sz w:val="18"/>
              </w:rPr>
              <w:t>Diabetic Neuropathy Right Leg</w:t>
            </w:r>
          </w:p>
        </w:tc>
        <w:tc>
          <w:tcPr>
            <w:tcW w:w="1080" w:type="dxa"/>
            <w:shd w:val="clear" w:color="auto" w:fill="FFFFFF"/>
            <w:vAlign w:val="center"/>
          </w:tcPr>
          <w:p w:rsidR="00551C24" w:rsidRPr="00B32921" w:rsidRDefault="00551C24" w:rsidP="0017172C">
            <w:pPr>
              <w:spacing w:line="180" w:lineRule="exact"/>
              <w:contextualSpacing/>
              <w:rPr>
                <w:color w:val="auto"/>
                <w:sz w:val="18"/>
              </w:rPr>
            </w:pPr>
            <w:r w:rsidRPr="00B32921">
              <w:rPr>
                <w:color w:val="auto"/>
                <w:sz w:val="18"/>
              </w:rPr>
              <w:t>8620</w:t>
            </w:r>
          </w:p>
        </w:tc>
        <w:tc>
          <w:tcPr>
            <w:tcW w:w="720" w:type="dxa"/>
            <w:shd w:val="clear" w:color="auto" w:fill="FFFFFF"/>
            <w:vAlign w:val="center"/>
          </w:tcPr>
          <w:p w:rsidR="00551C24" w:rsidRPr="00B32921" w:rsidRDefault="00551C24" w:rsidP="0017172C">
            <w:pPr>
              <w:spacing w:line="180" w:lineRule="exact"/>
              <w:contextualSpacing/>
              <w:rPr>
                <w:color w:val="auto"/>
                <w:sz w:val="18"/>
              </w:rPr>
            </w:pPr>
            <w:r w:rsidRPr="00B32921">
              <w:rPr>
                <w:color w:val="auto"/>
                <w:sz w:val="18"/>
              </w:rPr>
              <w:t>20%</w:t>
            </w:r>
          </w:p>
        </w:tc>
        <w:tc>
          <w:tcPr>
            <w:tcW w:w="990" w:type="dxa"/>
            <w:shd w:val="clear" w:color="auto" w:fill="FFFFFF"/>
            <w:vAlign w:val="center"/>
          </w:tcPr>
          <w:p w:rsidR="00551C24" w:rsidRPr="00B32921" w:rsidRDefault="00551C24" w:rsidP="0017172C">
            <w:pPr>
              <w:spacing w:line="180" w:lineRule="exact"/>
              <w:contextualSpacing/>
              <w:rPr>
                <w:color w:val="auto"/>
                <w:sz w:val="18"/>
                <w:highlight w:val="yellow"/>
              </w:rPr>
            </w:pPr>
            <w:r w:rsidRPr="00B32921">
              <w:rPr>
                <w:color w:val="auto"/>
                <w:sz w:val="18"/>
              </w:rPr>
              <w:t>20070329</w:t>
            </w:r>
          </w:p>
        </w:tc>
      </w:tr>
      <w:tr w:rsidR="00551C24" w:rsidRPr="00B32921" w:rsidTr="00CB2498">
        <w:trPr>
          <w:trHeight w:val="118"/>
          <w:jc w:val="center"/>
        </w:trPr>
        <w:tc>
          <w:tcPr>
            <w:tcW w:w="3969" w:type="dxa"/>
            <w:gridSpan w:val="3"/>
            <w:vMerge/>
            <w:tcBorders>
              <w:right w:val="thinThickThinSmallGap" w:sz="24" w:space="0" w:color="auto"/>
            </w:tcBorders>
            <w:shd w:val="clear" w:color="auto" w:fill="FFFFFF"/>
            <w:vAlign w:val="center"/>
          </w:tcPr>
          <w:p w:rsidR="00551C24" w:rsidRPr="00B32921" w:rsidRDefault="00551C24"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551C24" w:rsidRPr="00B32921" w:rsidRDefault="00551C24" w:rsidP="0017172C">
            <w:pPr>
              <w:spacing w:line="180" w:lineRule="exact"/>
              <w:contextualSpacing/>
              <w:jc w:val="left"/>
              <w:rPr>
                <w:color w:val="auto"/>
                <w:sz w:val="18"/>
              </w:rPr>
            </w:pPr>
            <w:r w:rsidRPr="00B32921">
              <w:rPr>
                <w:color w:val="auto"/>
                <w:sz w:val="18"/>
              </w:rPr>
              <w:t>Diabetic Neuropathy Left Leg</w:t>
            </w:r>
          </w:p>
        </w:tc>
        <w:tc>
          <w:tcPr>
            <w:tcW w:w="1080" w:type="dxa"/>
            <w:shd w:val="clear" w:color="auto" w:fill="FFFFFF"/>
            <w:vAlign w:val="center"/>
          </w:tcPr>
          <w:p w:rsidR="00551C24" w:rsidRPr="00B32921" w:rsidRDefault="00551C24" w:rsidP="0017172C">
            <w:pPr>
              <w:spacing w:line="180" w:lineRule="exact"/>
              <w:contextualSpacing/>
              <w:rPr>
                <w:color w:val="auto"/>
                <w:sz w:val="18"/>
              </w:rPr>
            </w:pPr>
            <w:r w:rsidRPr="00B32921">
              <w:rPr>
                <w:color w:val="auto"/>
                <w:sz w:val="18"/>
              </w:rPr>
              <w:t>8620</w:t>
            </w:r>
          </w:p>
        </w:tc>
        <w:tc>
          <w:tcPr>
            <w:tcW w:w="720" w:type="dxa"/>
            <w:shd w:val="clear" w:color="auto" w:fill="FFFFFF"/>
            <w:vAlign w:val="center"/>
          </w:tcPr>
          <w:p w:rsidR="00551C24" w:rsidRPr="00B32921" w:rsidRDefault="00551C24" w:rsidP="0017172C">
            <w:pPr>
              <w:spacing w:line="180" w:lineRule="exact"/>
              <w:contextualSpacing/>
              <w:rPr>
                <w:color w:val="auto"/>
                <w:sz w:val="18"/>
              </w:rPr>
            </w:pPr>
            <w:r w:rsidRPr="00B32921">
              <w:rPr>
                <w:color w:val="auto"/>
                <w:sz w:val="18"/>
              </w:rPr>
              <w:t>20%</w:t>
            </w:r>
          </w:p>
        </w:tc>
        <w:tc>
          <w:tcPr>
            <w:tcW w:w="990" w:type="dxa"/>
            <w:shd w:val="clear" w:color="auto" w:fill="FFFFFF"/>
            <w:vAlign w:val="center"/>
          </w:tcPr>
          <w:p w:rsidR="00551C24" w:rsidRPr="00B32921" w:rsidRDefault="00551C24" w:rsidP="0017172C">
            <w:pPr>
              <w:spacing w:line="180" w:lineRule="exact"/>
              <w:contextualSpacing/>
              <w:rPr>
                <w:color w:val="auto"/>
                <w:sz w:val="18"/>
                <w:highlight w:val="yellow"/>
              </w:rPr>
            </w:pPr>
            <w:r w:rsidRPr="00B32921">
              <w:rPr>
                <w:color w:val="auto"/>
                <w:sz w:val="18"/>
              </w:rPr>
              <w:t>20070329</w:t>
            </w:r>
          </w:p>
        </w:tc>
      </w:tr>
      <w:tr w:rsidR="00551C24" w:rsidRPr="00B32921" w:rsidTr="00CB2498">
        <w:trPr>
          <w:trHeight w:val="97"/>
          <w:jc w:val="center"/>
        </w:trPr>
        <w:tc>
          <w:tcPr>
            <w:tcW w:w="3969" w:type="dxa"/>
            <w:gridSpan w:val="3"/>
            <w:vMerge/>
            <w:tcBorders>
              <w:right w:val="thinThickThinSmallGap" w:sz="24" w:space="0" w:color="auto"/>
            </w:tcBorders>
            <w:shd w:val="clear" w:color="auto" w:fill="FFFFFF"/>
            <w:vAlign w:val="center"/>
          </w:tcPr>
          <w:p w:rsidR="00551C24" w:rsidRPr="00B32921" w:rsidRDefault="00551C24" w:rsidP="006B690F">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551C24" w:rsidRPr="00B32921" w:rsidRDefault="00551C24" w:rsidP="00C1681F">
            <w:pPr>
              <w:spacing w:line="180" w:lineRule="exact"/>
              <w:contextualSpacing/>
              <w:jc w:val="left"/>
              <w:rPr>
                <w:color w:val="auto"/>
                <w:sz w:val="18"/>
              </w:rPr>
            </w:pPr>
            <w:r w:rsidRPr="00B32921">
              <w:rPr>
                <w:color w:val="auto"/>
                <w:sz w:val="18"/>
              </w:rPr>
              <w:t>Hypertension</w:t>
            </w:r>
          </w:p>
        </w:tc>
        <w:tc>
          <w:tcPr>
            <w:tcW w:w="1080" w:type="dxa"/>
            <w:tcBorders>
              <w:left w:val="single" w:sz="4" w:space="0" w:color="auto"/>
            </w:tcBorders>
            <w:shd w:val="clear" w:color="auto" w:fill="FFFFFF"/>
            <w:vAlign w:val="center"/>
          </w:tcPr>
          <w:p w:rsidR="00551C24" w:rsidRPr="00B32921" w:rsidRDefault="00551C24" w:rsidP="0017172C">
            <w:pPr>
              <w:spacing w:line="180" w:lineRule="exact"/>
              <w:contextualSpacing/>
              <w:rPr>
                <w:color w:val="auto"/>
                <w:sz w:val="18"/>
              </w:rPr>
            </w:pPr>
            <w:r w:rsidRPr="00B32921">
              <w:rPr>
                <w:color w:val="auto"/>
                <w:sz w:val="18"/>
              </w:rPr>
              <w:t>7101</w:t>
            </w:r>
          </w:p>
        </w:tc>
        <w:tc>
          <w:tcPr>
            <w:tcW w:w="720" w:type="dxa"/>
            <w:shd w:val="clear" w:color="auto" w:fill="FFFFFF"/>
            <w:vAlign w:val="center"/>
          </w:tcPr>
          <w:p w:rsidR="00551C24" w:rsidRPr="00B32921" w:rsidRDefault="00551C24" w:rsidP="0017172C">
            <w:pPr>
              <w:spacing w:line="180" w:lineRule="exact"/>
              <w:contextualSpacing/>
              <w:rPr>
                <w:color w:val="auto"/>
                <w:sz w:val="18"/>
              </w:rPr>
            </w:pPr>
            <w:r w:rsidRPr="00B32921">
              <w:rPr>
                <w:color w:val="auto"/>
                <w:sz w:val="18"/>
              </w:rPr>
              <w:t>10%</w:t>
            </w:r>
          </w:p>
        </w:tc>
        <w:tc>
          <w:tcPr>
            <w:tcW w:w="990" w:type="dxa"/>
            <w:shd w:val="clear" w:color="auto" w:fill="FFFFFF"/>
            <w:vAlign w:val="center"/>
          </w:tcPr>
          <w:p w:rsidR="00551C24" w:rsidRPr="00B32921" w:rsidRDefault="00551C24" w:rsidP="0017172C">
            <w:pPr>
              <w:spacing w:line="180" w:lineRule="exact"/>
              <w:contextualSpacing/>
              <w:rPr>
                <w:color w:val="auto"/>
                <w:sz w:val="18"/>
              </w:rPr>
            </w:pPr>
            <w:r w:rsidRPr="00B32921">
              <w:rPr>
                <w:color w:val="auto"/>
                <w:sz w:val="18"/>
              </w:rPr>
              <w:t>20070329</w:t>
            </w:r>
          </w:p>
        </w:tc>
      </w:tr>
      <w:tr w:rsidR="00551C24" w:rsidRPr="00B32921" w:rsidTr="00CB2498">
        <w:trPr>
          <w:trHeight w:val="97"/>
          <w:jc w:val="center"/>
        </w:trPr>
        <w:tc>
          <w:tcPr>
            <w:tcW w:w="3969" w:type="dxa"/>
            <w:gridSpan w:val="3"/>
            <w:vMerge/>
            <w:tcBorders>
              <w:right w:val="thinThickThinSmallGap" w:sz="24" w:space="0" w:color="auto"/>
            </w:tcBorders>
            <w:shd w:val="clear" w:color="auto" w:fill="FFFFFF"/>
            <w:vAlign w:val="center"/>
          </w:tcPr>
          <w:p w:rsidR="00551C24" w:rsidRPr="00B32921" w:rsidRDefault="00551C24" w:rsidP="006B690F">
            <w:pPr>
              <w:spacing w:line="180" w:lineRule="exact"/>
              <w:contextualSpacing/>
              <w:rPr>
                <w:color w:val="auto"/>
                <w:sz w:val="18"/>
              </w:rPr>
            </w:pPr>
          </w:p>
        </w:tc>
        <w:tc>
          <w:tcPr>
            <w:tcW w:w="2610" w:type="dxa"/>
            <w:tcBorders>
              <w:left w:val="thinThickThinSmallGap" w:sz="24" w:space="0" w:color="auto"/>
              <w:right w:val="single" w:sz="4" w:space="0" w:color="auto"/>
            </w:tcBorders>
            <w:shd w:val="clear" w:color="auto" w:fill="FFFFFF"/>
            <w:vAlign w:val="center"/>
          </w:tcPr>
          <w:p w:rsidR="00551C24" w:rsidRPr="00B32921" w:rsidRDefault="00551C24" w:rsidP="00C1681F">
            <w:pPr>
              <w:spacing w:line="180" w:lineRule="exact"/>
              <w:contextualSpacing/>
              <w:jc w:val="left"/>
              <w:rPr>
                <w:color w:val="auto"/>
                <w:sz w:val="18"/>
              </w:rPr>
            </w:pPr>
            <w:r w:rsidRPr="00B32921">
              <w:rPr>
                <w:color w:val="auto"/>
                <w:sz w:val="18"/>
              </w:rPr>
              <w:t>Post Traumatic Stress Disorder</w:t>
            </w:r>
          </w:p>
        </w:tc>
        <w:tc>
          <w:tcPr>
            <w:tcW w:w="1080" w:type="dxa"/>
            <w:tcBorders>
              <w:left w:val="single" w:sz="4" w:space="0" w:color="auto"/>
            </w:tcBorders>
            <w:shd w:val="clear" w:color="auto" w:fill="FFFFFF"/>
            <w:vAlign w:val="center"/>
          </w:tcPr>
          <w:p w:rsidR="00551C24" w:rsidRPr="00B32921" w:rsidRDefault="00551C24" w:rsidP="0017172C">
            <w:pPr>
              <w:spacing w:line="180" w:lineRule="exact"/>
              <w:contextualSpacing/>
              <w:rPr>
                <w:color w:val="auto"/>
                <w:sz w:val="18"/>
              </w:rPr>
            </w:pPr>
            <w:r w:rsidRPr="00B32921">
              <w:rPr>
                <w:color w:val="auto"/>
                <w:sz w:val="18"/>
              </w:rPr>
              <w:t>9411</w:t>
            </w:r>
          </w:p>
        </w:tc>
        <w:tc>
          <w:tcPr>
            <w:tcW w:w="720" w:type="dxa"/>
            <w:shd w:val="clear" w:color="auto" w:fill="FFFFFF"/>
            <w:vAlign w:val="center"/>
          </w:tcPr>
          <w:p w:rsidR="00551C24" w:rsidRPr="00B32921" w:rsidRDefault="00551C24" w:rsidP="0017172C">
            <w:pPr>
              <w:spacing w:line="180" w:lineRule="exact"/>
              <w:contextualSpacing/>
              <w:rPr>
                <w:color w:val="auto"/>
                <w:sz w:val="18"/>
              </w:rPr>
            </w:pPr>
            <w:r w:rsidRPr="00B32921">
              <w:rPr>
                <w:color w:val="auto"/>
                <w:sz w:val="18"/>
              </w:rPr>
              <w:t>50%</w:t>
            </w:r>
          </w:p>
        </w:tc>
        <w:tc>
          <w:tcPr>
            <w:tcW w:w="990" w:type="dxa"/>
            <w:shd w:val="clear" w:color="auto" w:fill="FFFFFF"/>
            <w:vAlign w:val="center"/>
          </w:tcPr>
          <w:p w:rsidR="00551C24" w:rsidRPr="00B32921" w:rsidRDefault="00551C24" w:rsidP="0017172C">
            <w:pPr>
              <w:spacing w:line="180" w:lineRule="exact"/>
              <w:contextualSpacing/>
              <w:rPr>
                <w:color w:val="auto"/>
                <w:sz w:val="18"/>
              </w:rPr>
            </w:pPr>
            <w:r w:rsidRPr="00B32921">
              <w:rPr>
                <w:color w:val="auto"/>
                <w:sz w:val="18"/>
              </w:rPr>
              <w:t>20101117</w:t>
            </w:r>
          </w:p>
        </w:tc>
      </w:tr>
      <w:tr w:rsidR="00551C24" w:rsidRPr="00B32921" w:rsidTr="0017172C">
        <w:trPr>
          <w:trHeight w:val="172"/>
          <w:jc w:val="center"/>
        </w:trPr>
        <w:tc>
          <w:tcPr>
            <w:tcW w:w="3969" w:type="dxa"/>
            <w:gridSpan w:val="3"/>
            <w:vMerge/>
            <w:tcBorders>
              <w:right w:val="thinThickThinSmallGap" w:sz="24" w:space="0" w:color="auto"/>
            </w:tcBorders>
            <w:shd w:val="clear" w:color="auto" w:fill="FFFFFF"/>
            <w:vAlign w:val="center"/>
          </w:tcPr>
          <w:p w:rsidR="00551C24" w:rsidRPr="00B32921" w:rsidRDefault="00551C24"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551C24" w:rsidRPr="00B32921" w:rsidRDefault="00551C24" w:rsidP="00C1681F">
            <w:pPr>
              <w:spacing w:line="180" w:lineRule="exact"/>
              <w:contextualSpacing/>
              <w:rPr>
                <w:rFonts w:cs="Calibri"/>
                <w:color w:val="auto"/>
                <w:sz w:val="18"/>
              </w:rPr>
            </w:pPr>
            <w:r w:rsidRPr="00B32921">
              <w:rPr>
                <w:color w:val="auto"/>
                <w:sz w:val="18"/>
              </w:rPr>
              <w:t>Not Service-Connected x 2</w:t>
            </w:r>
          </w:p>
        </w:tc>
        <w:tc>
          <w:tcPr>
            <w:tcW w:w="990" w:type="dxa"/>
            <w:shd w:val="clear" w:color="auto" w:fill="FFFFFF"/>
            <w:vAlign w:val="center"/>
          </w:tcPr>
          <w:p w:rsidR="00551C24" w:rsidRPr="00B32921" w:rsidRDefault="00551C24" w:rsidP="0017172C">
            <w:pPr>
              <w:spacing w:line="180" w:lineRule="exact"/>
              <w:contextualSpacing/>
              <w:rPr>
                <w:rFonts w:cs="Calibri"/>
                <w:color w:val="auto"/>
                <w:sz w:val="18"/>
              </w:rPr>
            </w:pPr>
            <w:r w:rsidRPr="00B32921">
              <w:rPr>
                <w:color w:val="auto"/>
                <w:sz w:val="18"/>
              </w:rPr>
              <w:t>20070329</w:t>
            </w:r>
          </w:p>
        </w:tc>
      </w:tr>
      <w:tr w:rsidR="00F90376" w:rsidRPr="00B32921" w:rsidTr="00AC5522">
        <w:trPr>
          <w:trHeight w:val="124"/>
          <w:jc w:val="center"/>
        </w:trPr>
        <w:tc>
          <w:tcPr>
            <w:tcW w:w="3969" w:type="dxa"/>
            <w:gridSpan w:val="3"/>
            <w:tcBorders>
              <w:right w:val="thinThickThinSmallGap" w:sz="24" w:space="0" w:color="auto"/>
            </w:tcBorders>
            <w:shd w:val="clear" w:color="auto" w:fill="D9D9D9"/>
          </w:tcPr>
          <w:p w:rsidR="00F90376" w:rsidRPr="00B32921" w:rsidRDefault="00F90376" w:rsidP="00C1681F">
            <w:pPr>
              <w:spacing w:line="180" w:lineRule="exact"/>
              <w:contextualSpacing/>
              <w:rPr>
                <w:rFonts w:cs="Calibri"/>
                <w:b/>
                <w:color w:val="auto"/>
                <w:sz w:val="18"/>
              </w:rPr>
            </w:pPr>
            <w:r w:rsidRPr="00B32921">
              <w:rPr>
                <w:b/>
                <w:color w:val="auto"/>
                <w:sz w:val="18"/>
              </w:rPr>
              <w:t xml:space="preserve">Combined:  </w:t>
            </w:r>
            <w:r w:rsidR="00C1681F" w:rsidRPr="00B32921">
              <w:rPr>
                <w:b/>
                <w:color w:val="auto"/>
                <w:sz w:val="18"/>
              </w:rPr>
              <w:t>0</w:t>
            </w:r>
            <w:r w:rsidRPr="00B32921">
              <w:rPr>
                <w:b/>
                <w:color w:val="auto"/>
                <w:sz w:val="18"/>
              </w:rPr>
              <w:t>%</w:t>
            </w:r>
          </w:p>
        </w:tc>
        <w:tc>
          <w:tcPr>
            <w:tcW w:w="5400" w:type="dxa"/>
            <w:gridSpan w:val="4"/>
            <w:tcBorders>
              <w:left w:val="thinThickThinSmallGap" w:sz="24" w:space="0" w:color="auto"/>
            </w:tcBorders>
            <w:shd w:val="clear" w:color="auto" w:fill="D9D9D9"/>
          </w:tcPr>
          <w:p w:rsidR="00F90376" w:rsidRPr="00B32921" w:rsidRDefault="00F90376" w:rsidP="00E74D1A">
            <w:pPr>
              <w:spacing w:line="180" w:lineRule="exact"/>
              <w:contextualSpacing/>
              <w:rPr>
                <w:rFonts w:cs="Calibri"/>
                <w:b/>
                <w:color w:val="auto"/>
                <w:sz w:val="18"/>
              </w:rPr>
            </w:pPr>
            <w:r w:rsidRPr="00B32921">
              <w:rPr>
                <w:b/>
                <w:color w:val="auto"/>
                <w:sz w:val="18"/>
              </w:rPr>
              <w:t xml:space="preserve">Combined:  </w:t>
            </w:r>
            <w:r w:rsidR="00E74D1A" w:rsidRPr="00B32921">
              <w:rPr>
                <w:b/>
                <w:color w:val="auto"/>
                <w:sz w:val="18"/>
              </w:rPr>
              <w:t>80</w:t>
            </w:r>
            <w:r w:rsidRPr="00B32921">
              <w:rPr>
                <w:b/>
                <w:color w:val="auto"/>
                <w:sz w:val="18"/>
              </w:rPr>
              <w:t>%</w:t>
            </w:r>
          </w:p>
        </w:tc>
      </w:tr>
    </w:tbl>
    <w:p w:rsidR="002A2D51" w:rsidRPr="002A2D51" w:rsidRDefault="00AD2379" w:rsidP="002A2D51">
      <w:pPr>
        <w:jc w:val="both"/>
        <w:rPr>
          <w:color w:val="auto"/>
          <w:szCs w:val="24"/>
        </w:rPr>
      </w:pPr>
      <w:r w:rsidRPr="00F64312">
        <w:rPr>
          <w:color w:val="auto"/>
          <w:u w:val="single"/>
        </w:rPr>
        <w:t xml:space="preserve">ANALYSIS </w:t>
      </w:r>
      <w:r w:rsidRPr="002A2D51">
        <w:rPr>
          <w:color w:val="auto"/>
          <w:u w:val="single"/>
        </w:rPr>
        <w:t>SUMMARY</w:t>
      </w:r>
      <w:r w:rsidRPr="002A2D51">
        <w:rPr>
          <w:color w:val="auto"/>
        </w:rPr>
        <w:t xml:space="preserve">: </w:t>
      </w:r>
      <w:r w:rsidR="00165C7B" w:rsidRPr="002A2D51">
        <w:rPr>
          <w:color w:val="auto"/>
        </w:rPr>
        <w:t xml:space="preserve"> </w:t>
      </w:r>
      <w:r w:rsidR="002A2D51" w:rsidRPr="002A2D51">
        <w:rPr>
          <w:color w:val="auto"/>
          <w:szCs w:val="24"/>
        </w:rPr>
        <w:t xml:space="preserve">The Board acknowledges the CI's contention suggesting that ratings should have been conferred for other conditions documented at the time of separation, some of which were evaluated and determined not to be individually unfitting for continued service.  The Board wishes to clarify that it is subject to the same laws for disability entitlements as those under which the Disability Evaluation System </w:t>
      </w:r>
      <w:r w:rsidR="00DD172A">
        <w:rPr>
          <w:color w:val="auto"/>
          <w:szCs w:val="24"/>
        </w:rPr>
        <w:t>(</w:t>
      </w:r>
      <w:r w:rsidR="002A2D51" w:rsidRPr="002A2D51">
        <w:rPr>
          <w:color w:val="auto"/>
          <w:szCs w:val="24"/>
        </w:rPr>
        <w:t xml:space="preserve">DES) operates.  The </w:t>
      </w:r>
      <w:r w:rsidR="00DD172A">
        <w:rPr>
          <w:color w:val="auto"/>
          <w:szCs w:val="24"/>
        </w:rPr>
        <w:t>DES</w:t>
      </w:r>
      <w:r w:rsidR="002A2D51" w:rsidRPr="002A2D51">
        <w:rPr>
          <w:color w:val="auto"/>
          <w:szCs w:val="24"/>
        </w:rPr>
        <w:t xml:space="preserve"> is responsible for maintaining a fit and vi</w:t>
      </w:r>
      <w:r w:rsidR="00DD172A">
        <w:rPr>
          <w:color w:val="auto"/>
          <w:szCs w:val="24"/>
        </w:rPr>
        <w:t xml:space="preserve">tal fighting force.  While the </w:t>
      </w:r>
      <w:r w:rsidR="002A2D51" w:rsidRPr="002A2D51">
        <w:rPr>
          <w:color w:val="auto"/>
          <w:szCs w:val="24"/>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DD172A">
        <w:rPr>
          <w:color w:val="auto"/>
          <w:szCs w:val="24"/>
        </w:rPr>
        <w:t>s’</w:t>
      </w:r>
      <w:r w:rsidR="002A2D51" w:rsidRPr="002A2D51">
        <w:rPr>
          <w:color w:val="auto"/>
          <w:szCs w:val="24"/>
        </w:rPr>
        <w:t xml:space="preserve"> Affairs (DVA), operating under a different set of laws (Title 38, United States Code), is empo</w:t>
      </w:r>
      <w:r w:rsidR="00DD172A">
        <w:rPr>
          <w:color w:val="auto"/>
          <w:szCs w:val="24"/>
        </w:rPr>
        <w:t>wered to compensate all service-</w:t>
      </w:r>
      <w:r w:rsidR="002A2D51" w:rsidRPr="002A2D51">
        <w:rPr>
          <w:color w:val="auto"/>
          <w:szCs w:val="24"/>
        </w:rPr>
        <w:t xml:space="preserve">connected conditions and to periodically re-evaluate said conditions for the purpose of adjusting the </w:t>
      </w:r>
      <w:r w:rsidR="00DD172A">
        <w:rPr>
          <w:color w:val="auto"/>
          <w:szCs w:val="24"/>
        </w:rPr>
        <w:t>V</w:t>
      </w:r>
      <w:r w:rsidR="002A2D51" w:rsidRPr="002A2D51">
        <w:rPr>
          <w:color w:val="auto"/>
          <w:szCs w:val="24"/>
        </w:rPr>
        <w:t xml:space="preserve">eteran’s disability rating should </w:t>
      </w:r>
      <w:r w:rsidR="00DD172A">
        <w:rPr>
          <w:color w:val="auto"/>
          <w:szCs w:val="24"/>
        </w:rPr>
        <w:t>the</w:t>
      </w:r>
      <w:r w:rsidR="002A2D51" w:rsidRPr="002A2D51">
        <w:rPr>
          <w:color w:val="auto"/>
          <w:szCs w:val="24"/>
        </w:rPr>
        <w:t xml:space="preserve"> degree of impairment vary over time.  The Board is empowered to evaluate the fairness of fitness determinations, and to make recommendations for rating of conditions which it concludes would </w:t>
      </w:r>
      <w:r w:rsidR="00DD172A" w:rsidRPr="002A2D51">
        <w:rPr>
          <w:color w:val="auto"/>
          <w:szCs w:val="24"/>
        </w:rPr>
        <w:t>have independently</w:t>
      </w:r>
      <w:r w:rsidR="002A2D51" w:rsidRPr="002A2D51">
        <w:rPr>
          <w:color w:val="auto"/>
          <w:szCs w:val="24"/>
        </w:rPr>
        <w:t xml:space="preserve"> prevented the performance of required duties (at the time of separation).  The Board’s threshold for coun</w:t>
      </w:r>
      <w:r w:rsidR="00DD172A">
        <w:rPr>
          <w:color w:val="auto"/>
          <w:szCs w:val="24"/>
        </w:rPr>
        <w:t xml:space="preserve">tering </w:t>
      </w:r>
      <w:r w:rsidR="002A2D51" w:rsidRPr="002A2D51">
        <w:rPr>
          <w:color w:val="auto"/>
          <w:szCs w:val="24"/>
        </w:rPr>
        <w:t>DES fitness determinations is higher than the VASRD §4.3 (reasonable doubt) standard used for its rating recommendations, but remains adherent to the DoDI 6040.44 “fair and equitable” standard.</w:t>
      </w:r>
    </w:p>
    <w:p w:rsidR="00AD2379" w:rsidRPr="00F64312" w:rsidRDefault="00AD2379" w:rsidP="00726F84">
      <w:pPr>
        <w:jc w:val="both"/>
        <w:rPr>
          <w:color w:val="auto"/>
        </w:rPr>
      </w:pPr>
    </w:p>
    <w:p w:rsidR="00DD172A" w:rsidRDefault="00C033F3" w:rsidP="0069687C">
      <w:pPr>
        <w:jc w:val="both"/>
        <w:rPr>
          <w:color w:val="auto"/>
        </w:rPr>
      </w:pPr>
      <w:proofErr w:type="gramStart"/>
      <w:r w:rsidRPr="00C033F3">
        <w:rPr>
          <w:color w:val="auto"/>
          <w:u w:val="single"/>
        </w:rPr>
        <w:t>Right Hip</w:t>
      </w:r>
      <w:r w:rsidR="00AD2379" w:rsidRPr="00C033F3">
        <w:rPr>
          <w:color w:val="auto"/>
          <w:u w:val="single"/>
        </w:rPr>
        <w:t xml:space="preserve"> 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385708" w:rsidRPr="008F5007">
        <w:rPr>
          <w:color w:val="auto"/>
        </w:rPr>
        <w:t xml:space="preserve">The </w:t>
      </w:r>
      <w:r w:rsidR="008F5007" w:rsidRPr="008F5007">
        <w:rPr>
          <w:color w:val="auto"/>
        </w:rPr>
        <w:t xml:space="preserve">orthopedic </w:t>
      </w:r>
      <w:r w:rsidR="00385708" w:rsidRPr="008F5007">
        <w:rPr>
          <w:color w:val="auto"/>
        </w:rPr>
        <w:t>narrative summary (NARSUM) notes</w:t>
      </w:r>
      <w:r w:rsidR="00385708" w:rsidRPr="00F64312">
        <w:rPr>
          <w:color w:val="auto"/>
        </w:rPr>
        <w:t xml:space="preserve"> </w:t>
      </w:r>
      <w:r w:rsidR="008F5007">
        <w:rPr>
          <w:color w:val="auto"/>
        </w:rPr>
        <w:t xml:space="preserve">the condition began as a consequence of a stretching-type injury to the hip while deployed in August 2003.  Pain </w:t>
      </w:r>
      <w:r w:rsidR="00E35914">
        <w:rPr>
          <w:color w:val="auto"/>
        </w:rPr>
        <w:t xml:space="preserve">subsequently </w:t>
      </w:r>
      <w:r w:rsidR="008F5007">
        <w:rPr>
          <w:color w:val="auto"/>
        </w:rPr>
        <w:t xml:space="preserve">worsened </w:t>
      </w:r>
      <w:r w:rsidR="00D93D36">
        <w:rPr>
          <w:color w:val="auto"/>
        </w:rPr>
        <w:t xml:space="preserve">and did not respond well to </w:t>
      </w:r>
      <w:r w:rsidR="00D93D36" w:rsidRPr="00986187">
        <w:rPr>
          <w:color w:val="auto"/>
        </w:rPr>
        <w:t xml:space="preserve">hip injections.  </w:t>
      </w:r>
      <w:r w:rsidR="003D2FE2" w:rsidRPr="00986187">
        <w:rPr>
          <w:color w:val="auto"/>
        </w:rPr>
        <w:t>F</w:t>
      </w:r>
      <w:r w:rsidR="00E35914" w:rsidRPr="00986187">
        <w:rPr>
          <w:color w:val="auto"/>
        </w:rPr>
        <w:t>emoral head resur</w:t>
      </w:r>
      <w:r w:rsidR="00D93D36" w:rsidRPr="00986187">
        <w:rPr>
          <w:color w:val="auto"/>
        </w:rPr>
        <w:t xml:space="preserve">facing surgery </w:t>
      </w:r>
      <w:r w:rsidR="003D2FE2" w:rsidRPr="00986187">
        <w:rPr>
          <w:color w:val="auto"/>
        </w:rPr>
        <w:t xml:space="preserve">was performed </w:t>
      </w:r>
      <w:r w:rsidR="005C4391" w:rsidRPr="00986187">
        <w:rPr>
          <w:color w:val="auto"/>
        </w:rPr>
        <w:t xml:space="preserve">one year prior to separation </w:t>
      </w:r>
      <w:r w:rsidR="003D2FE2" w:rsidRPr="00986187">
        <w:rPr>
          <w:color w:val="auto"/>
        </w:rPr>
        <w:t xml:space="preserve">for what was deemed end stage osteoarthritis.  </w:t>
      </w:r>
      <w:r w:rsidR="00F22BB5" w:rsidRPr="00986187">
        <w:rPr>
          <w:color w:val="auto"/>
        </w:rPr>
        <w:t>An outpatien</w:t>
      </w:r>
      <w:r w:rsidR="00E259FC" w:rsidRPr="00986187">
        <w:rPr>
          <w:color w:val="auto"/>
        </w:rPr>
        <w:t>t</w:t>
      </w:r>
      <w:r w:rsidR="00F22BB5" w:rsidRPr="00986187">
        <w:rPr>
          <w:color w:val="auto"/>
        </w:rPr>
        <w:t xml:space="preserve"> physical exam</w:t>
      </w:r>
      <w:r w:rsidR="00DD172A">
        <w:rPr>
          <w:color w:val="auto"/>
        </w:rPr>
        <w:t>, performed 8</w:t>
      </w:r>
      <w:r w:rsidR="005C4391">
        <w:rPr>
          <w:color w:val="auto"/>
        </w:rPr>
        <w:t xml:space="preserve"> months prior to </w:t>
      </w:r>
      <w:r w:rsidR="00DD172A">
        <w:rPr>
          <w:color w:val="auto"/>
        </w:rPr>
        <w:t>separation,</w:t>
      </w:r>
      <w:r w:rsidR="00E259FC">
        <w:rPr>
          <w:color w:val="auto"/>
        </w:rPr>
        <w:t xml:space="preserve"> </w:t>
      </w:r>
      <w:r w:rsidR="00F22BB5" w:rsidRPr="00F22BB5">
        <w:rPr>
          <w:color w:val="auto"/>
        </w:rPr>
        <w:t xml:space="preserve">noted that he was </w:t>
      </w:r>
      <w:r w:rsidR="00E259FC">
        <w:rPr>
          <w:color w:val="auto"/>
        </w:rPr>
        <w:t>“</w:t>
      </w:r>
      <w:r w:rsidR="00F22BB5" w:rsidRPr="00F22BB5">
        <w:rPr>
          <w:color w:val="auto"/>
        </w:rPr>
        <w:t>pain free.</w:t>
      </w:r>
      <w:r w:rsidR="00E259FC">
        <w:rPr>
          <w:color w:val="auto"/>
        </w:rPr>
        <w:t>”</w:t>
      </w:r>
      <w:r w:rsidR="00D6395A">
        <w:rPr>
          <w:color w:val="auto"/>
        </w:rPr>
        <w:t xml:space="preserve"> </w:t>
      </w:r>
      <w:r w:rsidR="00F22BB5" w:rsidRPr="00F22BB5">
        <w:rPr>
          <w:color w:val="auto"/>
        </w:rPr>
        <w:t xml:space="preserve"> </w:t>
      </w:r>
      <w:r w:rsidR="00753D46">
        <w:rPr>
          <w:color w:val="auto"/>
        </w:rPr>
        <w:t>The orthopedic NARSUM</w:t>
      </w:r>
      <w:r w:rsidR="00DD172A">
        <w:rPr>
          <w:color w:val="auto"/>
        </w:rPr>
        <w:t>, performed 3</w:t>
      </w:r>
      <w:r w:rsidR="00931A09">
        <w:rPr>
          <w:color w:val="auto"/>
        </w:rPr>
        <w:t xml:space="preserve"> months prior to separation</w:t>
      </w:r>
      <w:r w:rsidR="00DD172A">
        <w:rPr>
          <w:color w:val="auto"/>
        </w:rPr>
        <w:t>,</w:t>
      </w:r>
      <w:r w:rsidR="00931A09">
        <w:rPr>
          <w:color w:val="auto"/>
        </w:rPr>
        <w:t xml:space="preserve"> stated that </w:t>
      </w:r>
      <w:r w:rsidR="00DD172A">
        <w:rPr>
          <w:color w:val="auto"/>
        </w:rPr>
        <w:t>the CI</w:t>
      </w:r>
      <w:r w:rsidR="00931A09">
        <w:rPr>
          <w:color w:val="auto"/>
        </w:rPr>
        <w:t xml:space="preserve"> could walk approximately </w:t>
      </w:r>
      <w:r w:rsidR="00DD172A">
        <w:rPr>
          <w:color w:val="auto"/>
        </w:rPr>
        <w:t>a</w:t>
      </w:r>
      <w:r w:rsidR="00931A09">
        <w:rPr>
          <w:color w:val="auto"/>
        </w:rPr>
        <w:t xml:space="preserve"> mile without significant pain</w:t>
      </w:r>
      <w:r w:rsidR="00DD172A">
        <w:rPr>
          <w:color w:val="auto"/>
        </w:rPr>
        <w:t xml:space="preserve"> and also </w:t>
      </w:r>
      <w:r w:rsidR="00931A09">
        <w:rPr>
          <w:color w:val="auto"/>
        </w:rPr>
        <w:t xml:space="preserve">reported complaints of </w:t>
      </w:r>
      <w:r w:rsidR="00E259FC" w:rsidRPr="00E259FC">
        <w:rPr>
          <w:color w:val="auto"/>
        </w:rPr>
        <w:t>p</w:t>
      </w:r>
      <w:r w:rsidR="00E82168" w:rsidRPr="00E259FC">
        <w:rPr>
          <w:color w:val="auto"/>
        </w:rPr>
        <w:t>ain located along the right</w:t>
      </w:r>
      <w:r w:rsidR="00E82168">
        <w:rPr>
          <w:color w:val="auto"/>
        </w:rPr>
        <w:t xml:space="preserve"> groin and inguinal area </w:t>
      </w:r>
      <w:r w:rsidR="00931A09">
        <w:rPr>
          <w:color w:val="auto"/>
        </w:rPr>
        <w:t>which</w:t>
      </w:r>
      <w:r w:rsidR="00E82168">
        <w:rPr>
          <w:color w:val="auto"/>
        </w:rPr>
        <w:t xml:space="preserve"> worsened with bending forward and climbing stairs.  Mild stretching was helpful.</w:t>
      </w:r>
      <w:r w:rsidR="00986187">
        <w:rPr>
          <w:color w:val="auto"/>
        </w:rPr>
        <w:t xml:space="preserve">  </w:t>
      </w:r>
    </w:p>
    <w:p w:rsidR="00DD172A" w:rsidRDefault="00DD172A" w:rsidP="0069687C">
      <w:pPr>
        <w:jc w:val="both"/>
        <w:rPr>
          <w:color w:val="auto"/>
        </w:rPr>
      </w:pPr>
    </w:p>
    <w:p w:rsidR="0069687C" w:rsidRDefault="0069687C" w:rsidP="0069687C">
      <w:pPr>
        <w:jc w:val="both"/>
        <w:rPr>
          <w:color w:val="auto"/>
          <w:szCs w:val="24"/>
        </w:rPr>
      </w:pPr>
      <w:r w:rsidRPr="00F64312">
        <w:rPr>
          <w:color w:val="auto"/>
          <w:szCs w:val="24"/>
        </w:rPr>
        <w:t xml:space="preserve">There were </w:t>
      </w:r>
      <w:r w:rsidR="0091079A">
        <w:rPr>
          <w:color w:val="auto"/>
          <w:szCs w:val="24"/>
        </w:rPr>
        <w:t>two</w:t>
      </w:r>
      <w:r w:rsidR="00DD172A">
        <w:rPr>
          <w:color w:val="auto"/>
          <w:szCs w:val="24"/>
        </w:rPr>
        <w:t xml:space="preserve"> goniometric range-of-</w:t>
      </w:r>
      <w:r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836B7B" w:rsidRPr="00B32921" w:rsidRDefault="00836B7B" w:rsidP="00B32921">
      <w:pPr>
        <w:jc w:val="both"/>
        <w:rPr>
          <w:color w:val="auto"/>
          <w:szCs w:val="24"/>
        </w:rPr>
      </w:pPr>
    </w:p>
    <w:tbl>
      <w:tblPr>
        <w:tblW w:w="6981" w:type="dxa"/>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1"/>
        <w:gridCol w:w="2560"/>
        <w:gridCol w:w="2340"/>
      </w:tblGrid>
      <w:tr w:rsidR="00C033F3" w:rsidRPr="00B32921" w:rsidTr="00CB2498">
        <w:trPr>
          <w:jc w:val="center"/>
        </w:trPr>
        <w:tc>
          <w:tcPr>
            <w:tcW w:w="2081" w:type="dxa"/>
            <w:shd w:val="clear" w:color="auto" w:fill="D9D9D9" w:themeFill="background1" w:themeFillShade="D9"/>
            <w:vAlign w:val="center"/>
          </w:tcPr>
          <w:p w:rsidR="00C033F3" w:rsidRPr="00B32921" w:rsidRDefault="00C033F3"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Right Hip (Thigh) ROM</w:t>
            </w:r>
          </w:p>
        </w:tc>
        <w:tc>
          <w:tcPr>
            <w:tcW w:w="2560" w:type="dxa"/>
            <w:shd w:val="clear" w:color="auto" w:fill="D9D9D9" w:themeFill="background1" w:themeFillShade="D9"/>
            <w:vAlign w:val="center"/>
          </w:tcPr>
          <w:p w:rsidR="00C033F3" w:rsidRPr="00B32921" w:rsidRDefault="00C033F3" w:rsidP="00986187">
            <w:pPr>
              <w:spacing w:line="220" w:lineRule="exact"/>
              <w:contextualSpacing/>
              <w:rPr>
                <w:rFonts w:asciiTheme="majorHAnsi" w:hAnsiTheme="majorHAnsi" w:cstheme="majorHAnsi"/>
                <w:color w:val="auto"/>
                <w:sz w:val="18"/>
                <w:szCs w:val="18"/>
              </w:rPr>
            </w:pPr>
            <w:r w:rsidRPr="00B32921">
              <w:rPr>
                <w:rFonts w:asciiTheme="majorHAnsi" w:hAnsiTheme="majorHAnsi" w:cstheme="majorHAnsi"/>
                <w:color w:val="auto"/>
                <w:sz w:val="18"/>
                <w:szCs w:val="18"/>
              </w:rPr>
              <w:t>Ortho/MEB ~3 Mo. Pre-Sep</w:t>
            </w:r>
          </w:p>
        </w:tc>
        <w:tc>
          <w:tcPr>
            <w:tcW w:w="2340" w:type="dxa"/>
            <w:shd w:val="clear" w:color="auto" w:fill="D9D9D9" w:themeFill="background1" w:themeFillShade="D9"/>
            <w:vAlign w:val="center"/>
          </w:tcPr>
          <w:p w:rsidR="00C033F3" w:rsidRPr="00B32921" w:rsidRDefault="00C033F3" w:rsidP="001341E3">
            <w:pPr>
              <w:spacing w:line="220" w:lineRule="exact"/>
              <w:contextualSpacing/>
              <w:rPr>
                <w:rFonts w:asciiTheme="majorHAnsi" w:hAnsiTheme="majorHAnsi" w:cstheme="majorHAnsi"/>
                <w:color w:val="auto"/>
                <w:sz w:val="18"/>
                <w:szCs w:val="18"/>
              </w:rPr>
            </w:pPr>
            <w:r w:rsidRPr="00B32921">
              <w:rPr>
                <w:rFonts w:asciiTheme="majorHAnsi" w:hAnsiTheme="majorHAnsi" w:cstheme="majorHAnsi"/>
                <w:color w:val="auto"/>
                <w:sz w:val="18"/>
                <w:szCs w:val="18"/>
              </w:rPr>
              <w:t>VA C&amp;P ~</w:t>
            </w:r>
            <w:r w:rsidR="001341E3" w:rsidRPr="00B32921">
              <w:rPr>
                <w:rFonts w:asciiTheme="majorHAnsi" w:hAnsiTheme="majorHAnsi" w:cstheme="majorHAnsi"/>
                <w:color w:val="auto"/>
                <w:sz w:val="18"/>
                <w:szCs w:val="18"/>
              </w:rPr>
              <w:t>1.5</w:t>
            </w:r>
            <w:r w:rsidRPr="00B32921">
              <w:rPr>
                <w:rFonts w:asciiTheme="majorHAnsi" w:hAnsiTheme="majorHAnsi" w:cstheme="majorHAnsi"/>
                <w:color w:val="auto"/>
                <w:sz w:val="18"/>
                <w:szCs w:val="18"/>
              </w:rPr>
              <w:t xml:space="preserve"> Mo. Post-Sep</w:t>
            </w:r>
          </w:p>
        </w:tc>
      </w:tr>
      <w:tr w:rsidR="00C033F3" w:rsidRPr="00B32921" w:rsidTr="00CB2498">
        <w:trPr>
          <w:jc w:val="center"/>
        </w:trPr>
        <w:tc>
          <w:tcPr>
            <w:tcW w:w="2081" w:type="dxa"/>
            <w:vAlign w:val="center"/>
          </w:tcPr>
          <w:p w:rsidR="00C033F3" w:rsidRPr="00B32921" w:rsidRDefault="00C033F3"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Flexion (0-125⁰)</w:t>
            </w:r>
          </w:p>
        </w:tc>
        <w:tc>
          <w:tcPr>
            <w:tcW w:w="2560" w:type="dxa"/>
            <w:vAlign w:val="center"/>
          </w:tcPr>
          <w:p w:rsidR="00C033F3" w:rsidRPr="00B32921" w:rsidRDefault="00C033F3"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90⁰</w:t>
            </w:r>
          </w:p>
        </w:tc>
        <w:tc>
          <w:tcPr>
            <w:tcW w:w="2340" w:type="dxa"/>
            <w:vAlign w:val="center"/>
          </w:tcPr>
          <w:p w:rsidR="00C033F3" w:rsidRPr="00B32921" w:rsidRDefault="00C033F3"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90⁰</w:t>
            </w:r>
          </w:p>
        </w:tc>
      </w:tr>
      <w:tr w:rsidR="00C033F3" w:rsidRPr="00B32921" w:rsidTr="00C033F3">
        <w:trPr>
          <w:trHeight w:val="224"/>
          <w:jc w:val="center"/>
        </w:trPr>
        <w:tc>
          <w:tcPr>
            <w:tcW w:w="2081" w:type="dxa"/>
            <w:vAlign w:val="center"/>
          </w:tcPr>
          <w:p w:rsidR="00C033F3" w:rsidRPr="00B32921" w:rsidRDefault="00C033F3"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Extension (0-20⁰)</w:t>
            </w:r>
          </w:p>
        </w:tc>
        <w:tc>
          <w:tcPr>
            <w:tcW w:w="2560" w:type="dxa"/>
            <w:vAlign w:val="center"/>
          </w:tcPr>
          <w:p w:rsidR="00C033F3" w:rsidRPr="00B32921" w:rsidRDefault="00DE284F"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Not recorded</w:t>
            </w:r>
          </w:p>
        </w:tc>
        <w:tc>
          <w:tcPr>
            <w:tcW w:w="2340" w:type="dxa"/>
            <w:vAlign w:val="center"/>
          </w:tcPr>
          <w:p w:rsidR="00C033F3" w:rsidRPr="00B32921" w:rsidRDefault="0091079A"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20⁰ (</w:t>
            </w:r>
            <w:r w:rsidR="00C033F3" w:rsidRPr="00B32921">
              <w:rPr>
                <w:rFonts w:asciiTheme="majorHAnsi" w:eastAsia="Calibri" w:hAnsiTheme="majorHAnsi" w:cstheme="majorHAnsi"/>
                <w:color w:val="auto"/>
                <w:sz w:val="18"/>
                <w:szCs w:val="18"/>
              </w:rPr>
              <w:t>40⁰</w:t>
            </w:r>
            <w:r w:rsidRPr="00B32921">
              <w:rPr>
                <w:rFonts w:asciiTheme="majorHAnsi" w:eastAsia="Calibri" w:hAnsiTheme="majorHAnsi" w:cstheme="majorHAnsi"/>
                <w:color w:val="auto"/>
                <w:sz w:val="18"/>
                <w:szCs w:val="18"/>
              </w:rPr>
              <w:t>)</w:t>
            </w:r>
          </w:p>
        </w:tc>
      </w:tr>
      <w:tr w:rsidR="00C033F3" w:rsidRPr="00B32921" w:rsidTr="00CB2498">
        <w:trPr>
          <w:jc w:val="center"/>
        </w:trPr>
        <w:tc>
          <w:tcPr>
            <w:tcW w:w="2081" w:type="dxa"/>
            <w:vAlign w:val="center"/>
          </w:tcPr>
          <w:p w:rsidR="00C033F3" w:rsidRPr="00B32921" w:rsidRDefault="00C033F3"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Internal Rotation (0-45⁰)</w:t>
            </w:r>
          </w:p>
        </w:tc>
        <w:tc>
          <w:tcPr>
            <w:tcW w:w="2560" w:type="dxa"/>
            <w:vAlign w:val="center"/>
          </w:tcPr>
          <w:p w:rsidR="00C033F3" w:rsidRPr="00B32921" w:rsidRDefault="00C033F3"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30⁰</w:t>
            </w:r>
          </w:p>
        </w:tc>
        <w:tc>
          <w:tcPr>
            <w:tcW w:w="2340" w:type="dxa"/>
            <w:vAlign w:val="center"/>
          </w:tcPr>
          <w:p w:rsidR="00C033F3" w:rsidRPr="00B32921" w:rsidRDefault="00C033F3"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40⁰</w:t>
            </w:r>
          </w:p>
        </w:tc>
      </w:tr>
      <w:tr w:rsidR="00C033F3" w:rsidRPr="00B32921" w:rsidTr="00CB2498">
        <w:trPr>
          <w:jc w:val="center"/>
        </w:trPr>
        <w:tc>
          <w:tcPr>
            <w:tcW w:w="2081" w:type="dxa"/>
            <w:vAlign w:val="center"/>
          </w:tcPr>
          <w:p w:rsidR="00C033F3" w:rsidRPr="00B32921" w:rsidRDefault="00C033F3"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External Rotation (0-45⁰)</w:t>
            </w:r>
          </w:p>
        </w:tc>
        <w:tc>
          <w:tcPr>
            <w:tcW w:w="2560" w:type="dxa"/>
            <w:vAlign w:val="center"/>
          </w:tcPr>
          <w:p w:rsidR="00C033F3" w:rsidRPr="00B32921" w:rsidRDefault="00C033F3"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40⁰</w:t>
            </w:r>
          </w:p>
        </w:tc>
        <w:tc>
          <w:tcPr>
            <w:tcW w:w="2340" w:type="dxa"/>
            <w:vAlign w:val="center"/>
          </w:tcPr>
          <w:p w:rsidR="00C033F3" w:rsidRPr="00B32921" w:rsidRDefault="00C033F3"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90⁰</w:t>
            </w:r>
          </w:p>
        </w:tc>
      </w:tr>
      <w:tr w:rsidR="00C033F3" w:rsidRPr="00B32921" w:rsidTr="00CB2498">
        <w:trPr>
          <w:jc w:val="center"/>
        </w:trPr>
        <w:tc>
          <w:tcPr>
            <w:tcW w:w="2081" w:type="dxa"/>
            <w:vAlign w:val="center"/>
          </w:tcPr>
          <w:p w:rsidR="00C033F3" w:rsidRPr="00B32921" w:rsidRDefault="00C033F3"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Abduction (0-45⁰)</w:t>
            </w:r>
          </w:p>
        </w:tc>
        <w:tc>
          <w:tcPr>
            <w:tcW w:w="2560" w:type="dxa"/>
            <w:vAlign w:val="center"/>
          </w:tcPr>
          <w:p w:rsidR="00C033F3" w:rsidRPr="00B32921" w:rsidRDefault="00C033F3"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40⁰</w:t>
            </w:r>
          </w:p>
        </w:tc>
        <w:tc>
          <w:tcPr>
            <w:tcW w:w="2340" w:type="dxa"/>
            <w:vAlign w:val="center"/>
          </w:tcPr>
          <w:p w:rsidR="00C033F3" w:rsidRPr="00B32921" w:rsidRDefault="00C033F3"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40⁰</w:t>
            </w:r>
          </w:p>
        </w:tc>
      </w:tr>
      <w:tr w:rsidR="00C033F3" w:rsidRPr="00B32921" w:rsidTr="00CB2498">
        <w:trPr>
          <w:jc w:val="center"/>
        </w:trPr>
        <w:tc>
          <w:tcPr>
            <w:tcW w:w="2081" w:type="dxa"/>
            <w:vAlign w:val="center"/>
          </w:tcPr>
          <w:p w:rsidR="00C033F3" w:rsidRPr="00B32921" w:rsidRDefault="00C033F3"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Adduction (0-45⁰)</w:t>
            </w:r>
          </w:p>
        </w:tc>
        <w:tc>
          <w:tcPr>
            <w:tcW w:w="2560" w:type="dxa"/>
            <w:vAlign w:val="center"/>
          </w:tcPr>
          <w:p w:rsidR="00C033F3" w:rsidRPr="00B32921" w:rsidRDefault="00C033F3"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30⁰</w:t>
            </w:r>
          </w:p>
        </w:tc>
        <w:tc>
          <w:tcPr>
            <w:tcW w:w="2340" w:type="dxa"/>
            <w:vAlign w:val="center"/>
          </w:tcPr>
          <w:p w:rsidR="00C033F3" w:rsidRPr="00B32921" w:rsidRDefault="00C033F3" w:rsidP="00CB2498">
            <w:pPr>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20⁰</w:t>
            </w:r>
          </w:p>
        </w:tc>
      </w:tr>
      <w:tr w:rsidR="00C033F3" w:rsidRPr="00B32921" w:rsidTr="00CB2498">
        <w:trPr>
          <w:jc w:val="center"/>
        </w:trPr>
        <w:tc>
          <w:tcPr>
            <w:tcW w:w="2081" w:type="dxa"/>
            <w:vAlign w:val="center"/>
          </w:tcPr>
          <w:p w:rsidR="00C033F3" w:rsidRPr="00B32921" w:rsidRDefault="00C033F3" w:rsidP="00CB2498">
            <w:pPr>
              <w:tabs>
                <w:tab w:val="left" w:pos="288"/>
                <w:tab w:val="left" w:pos="4752"/>
              </w:tabs>
              <w:rPr>
                <w:rFonts w:asciiTheme="majorHAnsi" w:eastAsiaTheme="minorHAnsi" w:hAnsiTheme="majorHAnsi" w:cstheme="majorHAnsi"/>
                <w:color w:val="auto"/>
                <w:sz w:val="18"/>
                <w:szCs w:val="18"/>
              </w:rPr>
            </w:pPr>
            <w:r w:rsidRPr="00B32921">
              <w:rPr>
                <w:rFonts w:asciiTheme="majorHAnsi" w:eastAsiaTheme="minorHAnsi" w:hAnsiTheme="majorHAnsi" w:cstheme="majorHAnsi"/>
                <w:color w:val="auto"/>
                <w:sz w:val="18"/>
                <w:szCs w:val="18"/>
              </w:rPr>
              <w:t>Comment</w:t>
            </w:r>
          </w:p>
        </w:tc>
        <w:tc>
          <w:tcPr>
            <w:tcW w:w="2560" w:type="dxa"/>
            <w:vAlign w:val="center"/>
          </w:tcPr>
          <w:p w:rsidR="00C033F3" w:rsidRPr="00B32921" w:rsidRDefault="007637D0" w:rsidP="00CB2498">
            <w:pPr>
              <w:pStyle w:val="ListParagraph"/>
              <w:spacing w:after="0" w:line="240" w:lineRule="exact"/>
              <w:ind w:left="0"/>
              <w:rPr>
                <w:rFonts w:asciiTheme="majorHAnsi" w:eastAsia="Calibri" w:hAnsiTheme="majorHAnsi" w:cstheme="majorHAnsi"/>
                <w:sz w:val="18"/>
                <w:szCs w:val="18"/>
                <w:highlight w:val="lightGray"/>
              </w:rPr>
            </w:pPr>
            <w:r w:rsidRPr="00B32921">
              <w:rPr>
                <w:rFonts w:asciiTheme="majorHAnsi" w:eastAsia="Calibri" w:hAnsiTheme="majorHAnsi" w:cstheme="majorHAnsi"/>
                <w:sz w:val="18"/>
                <w:szCs w:val="18"/>
              </w:rPr>
              <w:t>Painful motion; antalgic gait</w:t>
            </w:r>
          </w:p>
        </w:tc>
        <w:tc>
          <w:tcPr>
            <w:tcW w:w="2340" w:type="dxa"/>
            <w:vAlign w:val="center"/>
          </w:tcPr>
          <w:p w:rsidR="00C033F3" w:rsidRPr="00B32921" w:rsidRDefault="00834285" w:rsidP="00CB2498">
            <w:pPr>
              <w:pStyle w:val="ListParagraph"/>
              <w:spacing w:after="0" w:line="240" w:lineRule="exact"/>
              <w:ind w:left="0"/>
              <w:rPr>
                <w:rFonts w:asciiTheme="majorHAnsi" w:eastAsia="Calibri" w:hAnsiTheme="majorHAnsi" w:cstheme="majorHAnsi"/>
                <w:sz w:val="18"/>
                <w:szCs w:val="18"/>
                <w:highlight w:val="lightGray"/>
              </w:rPr>
            </w:pPr>
            <w:r w:rsidRPr="00B32921">
              <w:rPr>
                <w:rFonts w:asciiTheme="majorHAnsi" w:eastAsia="Calibri" w:hAnsiTheme="majorHAnsi" w:cstheme="majorHAnsi"/>
                <w:sz w:val="18"/>
                <w:szCs w:val="18"/>
              </w:rPr>
              <w:t>Pain free movement</w:t>
            </w:r>
          </w:p>
        </w:tc>
      </w:tr>
      <w:tr w:rsidR="00C033F3" w:rsidRPr="00B32921" w:rsidTr="00CB2498">
        <w:trPr>
          <w:jc w:val="center"/>
        </w:trPr>
        <w:tc>
          <w:tcPr>
            <w:tcW w:w="2081" w:type="dxa"/>
            <w:vAlign w:val="center"/>
          </w:tcPr>
          <w:p w:rsidR="00C033F3" w:rsidRPr="00B32921" w:rsidRDefault="00C033F3" w:rsidP="00CB2498">
            <w:pPr>
              <w:tabs>
                <w:tab w:val="left" w:pos="288"/>
                <w:tab w:val="left" w:pos="4752"/>
              </w:tabs>
              <w:rPr>
                <w:rFonts w:asciiTheme="majorHAnsi" w:eastAsiaTheme="minorHAnsi" w:hAnsiTheme="majorHAnsi" w:cstheme="majorHAnsi"/>
                <w:color w:val="auto"/>
                <w:sz w:val="18"/>
                <w:szCs w:val="18"/>
              </w:rPr>
            </w:pPr>
            <w:r w:rsidRPr="00B32921">
              <w:rPr>
                <w:rFonts w:asciiTheme="majorHAnsi" w:eastAsiaTheme="minorHAnsi" w:hAnsiTheme="majorHAnsi" w:cstheme="majorHAnsi"/>
                <w:color w:val="auto"/>
                <w:sz w:val="18"/>
                <w:szCs w:val="18"/>
              </w:rPr>
              <w:t>§4.71a Rating</w:t>
            </w:r>
          </w:p>
        </w:tc>
        <w:tc>
          <w:tcPr>
            <w:tcW w:w="2560" w:type="dxa"/>
            <w:vAlign w:val="center"/>
          </w:tcPr>
          <w:p w:rsidR="00C033F3" w:rsidRPr="00B32921" w:rsidRDefault="007637D0" w:rsidP="00CB2498">
            <w:pPr>
              <w:pStyle w:val="ListParagraph"/>
              <w:spacing w:after="0" w:line="240" w:lineRule="exact"/>
              <w:ind w:left="0"/>
              <w:rPr>
                <w:rFonts w:asciiTheme="majorHAnsi" w:eastAsia="Calibri" w:hAnsiTheme="majorHAnsi" w:cstheme="majorHAnsi"/>
                <w:sz w:val="18"/>
                <w:szCs w:val="18"/>
                <w:highlight w:val="lightGray"/>
              </w:rPr>
            </w:pPr>
            <w:r w:rsidRPr="00B32921">
              <w:rPr>
                <w:rFonts w:asciiTheme="majorHAnsi" w:eastAsia="Calibri" w:hAnsiTheme="majorHAnsi" w:cstheme="majorHAnsi"/>
                <w:sz w:val="18"/>
                <w:szCs w:val="18"/>
              </w:rPr>
              <w:t>10</w:t>
            </w:r>
            <w:r w:rsidR="00C033F3" w:rsidRPr="00B32921">
              <w:rPr>
                <w:rFonts w:asciiTheme="majorHAnsi" w:eastAsia="Calibri" w:hAnsiTheme="majorHAnsi" w:cstheme="majorHAnsi"/>
                <w:sz w:val="18"/>
                <w:szCs w:val="18"/>
              </w:rPr>
              <w:t>%</w:t>
            </w:r>
          </w:p>
        </w:tc>
        <w:tc>
          <w:tcPr>
            <w:tcW w:w="2340" w:type="dxa"/>
            <w:vAlign w:val="center"/>
          </w:tcPr>
          <w:p w:rsidR="00C033F3" w:rsidRPr="00B32921" w:rsidRDefault="00834285" w:rsidP="00CB2498">
            <w:pPr>
              <w:pStyle w:val="ListParagraph"/>
              <w:spacing w:after="0" w:line="240" w:lineRule="exact"/>
              <w:ind w:left="0"/>
              <w:rPr>
                <w:rFonts w:asciiTheme="majorHAnsi" w:eastAsia="Calibri" w:hAnsiTheme="majorHAnsi" w:cstheme="majorHAnsi"/>
                <w:sz w:val="18"/>
                <w:szCs w:val="18"/>
                <w:highlight w:val="lightGray"/>
              </w:rPr>
            </w:pPr>
            <w:r w:rsidRPr="00B32921">
              <w:rPr>
                <w:rFonts w:asciiTheme="majorHAnsi" w:eastAsia="Calibri" w:hAnsiTheme="majorHAnsi" w:cstheme="majorHAnsi"/>
                <w:sz w:val="18"/>
                <w:szCs w:val="18"/>
              </w:rPr>
              <w:t>10%</w:t>
            </w:r>
          </w:p>
        </w:tc>
      </w:tr>
    </w:tbl>
    <w:p w:rsidR="00836B7B" w:rsidRPr="00B32921" w:rsidRDefault="00836B7B" w:rsidP="0069687C">
      <w:pPr>
        <w:jc w:val="both"/>
        <w:rPr>
          <w:color w:val="auto"/>
          <w:szCs w:val="24"/>
        </w:rPr>
      </w:pPr>
    </w:p>
    <w:p w:rsidR="00CF0280" w:rsidRPr="00F64312" w:rsidRDefault="00CF0280" w:rsidP="00CF0280">
      <w:pPr>
        <w:jc w:val="both"/>
        <w:rPr>
          <w:color w:val="auto"/>
          <w:szCs w:val="24"/>
        </w:rPr>
      </w:pPr>
      <w:r w:rsidRPr="00B32921">
        <w:rPr>
          <w:color w:val="auto"/>
          <w:szCs w:val="24"/>
        </w:rPr>
        <w:t xml:space="preserve">The </w:t>
      </w:r>
      <w:r w:rsidR="00C105DA" w:rsidRPr="00B32921">
        <w:rPr>
          <w:color w:val="auto"/>
          <w:szCs w:val="24"/>
        </w:rPr>
        <w:t>orthopedic NARSUM</w:t>
      </w:r>
      <w:r w:rsidRPr="00B32921">
        <w:rPr>
          <w:color w:val="auto"/>
          <w:szCs w:val="24"/>
        </w:rPr>
        <w:t xml:space="preserve"> physical exam noted</w:t>
      </w:r>
      <w:r w:rsidR="00C105DA" w:rsidRPr="00B32921">
        <w:rPr>
          <w:color w:val="auto"/>
          <w:szCs w:val="24"/>
        </w:rPr>
        <w:t xml:space="preserve"> a slightly antalgic gait, although</w:t>
      </w:r>
      <w:r w:rsidR="00C105DA" w:rsidRPr="00D63566">
        <w:rPr>
          <w:color w:val="auto"/>
          <w:szCs w:val="24"/>
        </w:rPr>
        <w:t xml:space="preserve"> it </w:t>
      </w:r>
      <w:r w:rsidR="00D63566">
        <w:rPr>
          <w:color w:val="auto"/>
          <w:szCs w:val="24"/>
        </w:rPr>
        <w:t>is</w:t>
      </w:r>
      <w:r w:rsidR="00C105DA" w:rsidRPr="00D63566">
        <w:rPr>
          <w:color w:val="auto"/>
          <w:szCs w:val="24"/>
        </w:rPr>
        <w:t xml:space="preserve"> not </w:t>
      </w:r>
      <w:r w:rsidR="00D63566">
        <w:rPr>
          <w:color w:val="auto"/>
          <w:szCs w:val="24"/>
        </w:rPr>
        <w:t>clear</w:t>
      </w:r>
      <w:r w:rsidR="00C105DA" w:rsidRPr="00D63566">
        <w:rPr>
          <w:color w:val="auto"/>
          <w:szCs w:val="24"/>
        </w:rPr>
        <w:t xml:space="preserve"> </w:t>
      </w:r>
      <w:r w:rsidR="00E7712E" w:rsidRPr="00D63566">
        <w:rPr>
          <w:color w:val="auto"/>
          <w:szCs w:val="24"/>
        </w:rPr>
        <w:t xml:space="preserve">if </w:t>
      </w:r>
      <w:r w:rsidR="00C105DA" w:rsidRPr="00D63566">
        <w:rPr>
          <w:color w:val="auto"/>
          <w:szCs w:val="24"/>
        </w:rPr>
        <w:t>this gait was due to hip pain</w:t>
      </w:r>
      <w:r w:rsidR="00E7712E" w:rsidRPr="00D63566">
        <w:rPr>
          <w:color w:val="auto"/>
          <w:szCs w:val="24"/>
        </w:rPr>
        <w:t xml:space="preserve"> or </w:t>
      </w:r>
      <w:r w:rsidR="00DD172A">
        <w:rPr>
          <w:color w:val="auto"/>
          <w:szCs w:val="24"/>
        </w:rPr>
        <w:t>LBP</w:t>
      </w:r>
      <w:r w:rsidR="00C105DA" w:rsidRPr="00D63566">
        <w:rPr>
          <w:color w:val="auto"/>
          <w:szCs w:val="24"/>
        </w:rPr>
        <w:t>.</w:t>
      </w:r>
      <w:r w:rsidR="00C105DA">
        <w:rPr>
          <w:color w:val="auto"/>
          <w:szCs w:val="24"/>
        </w:rPr>
        <w:t xml:space="preserve">  Hip pain was noted at 90</w:t>
      </w:r>
      <w:r w:rsidR="00C105DA" w:rsidRPr="00C105DA">
        <w:rPr>
          <w:color w:val="auto"/>
          <w:szCs w:val="24"/>
        </w:rPr>
        <w:t>⁰</w:t>
      </w:r>
      <w:r w:rsidR="00E7712E">
        <w:rPr>
          <w:color w:val="auto"/>
          <w:szCs w:val="24"/>
        </w:rPr>
        <w:t xml:space="preserve"> of flexion, but there</w:t>
      </w:r>
      <w:r w:rsidR="00C105DA">
        <w:rPr>
          <w:color w:val="auto"/>
          <w:szCs w:val="24"/>
        </w:rPr>
        <w:t xml:space="preserve"> was no pain with hip distraction.</w:t>
      </w:r>
      <w:r w:rsidR="001341E3">
        <w:rPr>
          <w:color w:val="auto"/>
          <w:szCs w:val="24"/>
        </w:rPr>
        <w:t xml:space="preserve">  </w:t>
      </w:r>
      <w:r w:rsidR="0052270D">
        <w:rPr>
          <w:color w:val="auto"/>
          <w:szCs w:val="24"/>
        </w:rPr>
        <w:t>An endocrinology NARSUM examiner</w:t>
      </w:r>
      <w:r w:rsidR="00DD172A">
        <w:rPr>
          <w:color w:val="auto"/>
          <w:szCs w:val="24"/>
        </w:rPr>
        <w:t xml:space="preserve">, 3 </w:t>
      </w:r>
      <w:r w:rsidR="005C4391">
        <w:rPr>
          <w:color w:val="auto"/>
          <w:szCs w:val="24"/>
        </w:rPr>
        <w:t>months prior to separation</w:t>
      </w:r>
      <w:r w:rsidR="00DD172A">
        <w:rPr>
          <w:color w:val="auto"/>
          <w:szCs w:val="24"/>
        </w:rPr>
        <w:t>,</w:t>
      </w:r>
      <w:r w:rsidR="007F7C4C">
        <w:rPr>
          <w:color w:val="auto"/>
          <w:szCs w:val="24"/>
        </w:rPr>
        <w:t xml:space="preserve"> </w:t>
      </w:r>
      <w:r w:rsidR="0052270D">
        <w:rPr>
          <w:color w:val="auto"/>
          <w:szCs w:val="24"/>
        </w:rPr>
        <w:t>noted a normal gait and stance.</w:t>
      </w:r>
      <w:r w:rsidR="001341E3">
        <w:rPr>
          <w:color w:val="auto"/>
          <w:szCs w:val="24"/>
        </w:rPr>
        <w:t xml:space="preserve">  </w:t>
      </w:r>
      <w:r w:rsidRPr="00F64312">
        <w:rPr>
          <w:color w:val="auto"/>
          <w:szCs w:val="24"/>
        </w:rPr>
        <w:t>At the VA Compensation and Pension (C&amp;P) exam</w:t>
      </w:r>
      <w:r w:rsidR="00ED7820">
        <w:rPr>
          <w:color w:val="auto"/>
          <w:szCs w:val="24"/>
        </w:rPr>
        <w:t xml:space="preserve"> </w:t>
      </w:r>
      <w:r w:rsidR="00986187">
        <w:rPr>
          <w:color w:val="auto"/>
          <w:szCs w:val="24"/>
        </w:rPr>
        <w:t>1</w:t>
      </w:r>
      <w:r w:rsidR="00DD172A">
        <w:rPr>
          <w:color w:val="auto"/>
          <w:szCs w:val="24"/>
        </w:rPr>
        <w:t xml:space="preserve"> 1/2</w:t>
      </w:r>
      <w:r w:rsidR="00986187">
        <w:rPr>
          <w:color w:val="auto"/>
          <w:szCs w:val="24"/>
        </w:rPr>
        <w:t xml:space="preserve"> months</w:t>
      </w:r>
      <w:r w:rsidR="00E7712E">
        <w:rPr>
          <w:color w:val="auto"/>
          <w:szCs w:val="24"/>
        </w:rPr>
        <w:t xml:space="preserve"> </w:t>
      </w:r>
      <w:r w:rsidR="00ED7820" w:rsidRPr="00E7712E">
        <w:rPr>
          <w:color w:val="auto"/>
          <w:szCs w:val="24"/>
        </w:rPr>
        <w:t>after</w:t>
      </w:r>
      <w:r w:rsidR="00ED7820">
        <w:rPr>
          <w:color w:val="auto"/>
          <w:szCs w:val="24"/>
        </w:rPr>
        <w:t xml:space="preserve"> separation</w:t>
      </w:r>
      <w:r w:rsidRPr="00F64312">
        <w:rPr>
          <w:color w:val="auto"/>
          <w:szCs w:val="24"/>
        </w:rPr>
        <w:t>, the CI reported</w:t>
      </w:r>
      <w:r w:rsidR="00E7712E">
        <w:rPr>
          <w:color w:val="auto"/>
          <w:szCs w:val="24"/>
        </w:rPr>
        <w:t xml:space="preserve"> doing very well after the hip surgery.  He was generally pain-free </w:t>
      </w:r>
      <w:r w:rsidR="00E7712E">
        <w:rPr>
          <w:color w:val="auto"/>
          <w:szCs w:val="24"/>
        </w:rPr>
        <w:lastRenderedPageBreak/>
        <w:t>but could experience p</w:t>
      </w:r>
      <w:r w:rsidR="00DD172A">
        <w:rPr>
          <w:color w:val="auto"/>
          <w:szCs w:val="24"/>
        </w:rPr>
        <w:t xml:space="preserve">ain after prolonged standing, </w:t>
      </w:r>
      <w:r w:rsidR="00E7712E">
        <w:rPr>
          <w:color w:val="auto"/>
          <w:szCs w:val="24"/>
        </w:rPr>
        <w:t xml:space="preserve">denied flare-ups, did not require an assistive device and could walk two blocks.  </w:t>
      </w:r>
      <w:r w:rsidR="00C17CCE">
        <w:rPr>
          <w:color w:val="auto"/>
          <w:szCs w:val="24"/>
        </w:rPr>
        <w:t xml:space="preserve">The examination revealed </w:t>
      </w:r>
      <w:r w:rsidR="0086409B">
        <w:rPr>
          <w:color w:val="auto"/>
          <w:szCs w:val="24"/>
        </w:rPr>
        <w:t xml:space="preserve">an unremarkable gait, </w:t>
      </w:r>
      <w:r w:rsidR="00C17CCE">
        <w:rPr>
          <w:color w:val="auto"/>
          <w:szCs w:val="24"/>
        </w:rPr>
        <w:t xml:space="preserve">limitation of adduction as noted in the ROM chart, but hip movements </w:t>
      </w:r>
      <w:r w:rsidR="0086409B">
        <w:rPr>
          <w:color w:val="auto"/>
          <w:szCs w:val="24"/>
        </w:rPr>
        <w:t xml:space="preserve">that </w:t>
      </w:r>
      <w:r w:rsidR="00C17CCE">
        <w:rPr>
          <w:color w:val="auto"/>
          <w:szCs w:val="24"/>
        </w:rPr>
        <w:t>were “quick, brisk and pain-free.”</w:t>
      </w:r>
      <w:r w:rsidR="007017F4">
        <w:rPr>
          <w:color w:val="auto"/>
          <w:szCs w:val="24"/>
        </w:rPr>
        <w:t xml:space="preserve">  X-ray</w:t>
      </w:r>
      <w:r w:rsidR="0086409B">
        <w:rPr>
          <w:color w:val="auto"/>
          <w:szCs w:val="24"/>
        </w:rPr>
        <w:t>s</w:t>
      </w:r>
      <w:r w:rsidR="007017F4">
        <w:rPr>
          <w:color w:val="auto"/>
          <w:szCs w:val="24"/>
        </w:rPr>
        <w:t xml:space="preserve"> showed post-surgical changes.</w:t>
      </w:r>
    </w:p>
    <w:p w:rsidR="00CF0280" w:rsidRPr="00F64312" w:rsidRDefault="00CF0280" w:rsidP="0069687C">
      <w:pPr>
        <w:jc w:val="both"/>
        <w:rPr>
          <w:color w:val="auto"/>
          <w:szCs w:val="24"/>
        </w:rPr>
      </w:pPr>
    </w:p>
    <w:p w:rsidR="00241B01" w:rsidRPr="008D167B" w:rsidRDefault="00AD2379" w:rsidP="001E0617">
      <w:pPr>
        <w:tabs>
          <w:tab w:val="left" w:pos="288"/>
          <w:tab w:val="left" w:pos="4752"/>
        </w:tabs>
        <w:jc w:val="both"/>
        <w:rPr>
          <w:rFonts w:eastAsia="Calibri" w:cs="Times New Roman"/>
          <w:color w:val="auto"/>
          <w:szCs w:val="24"/>
        </w:rPr>
      </w:pPr>
      <w:r w:rsidRPr="008D167B">
        <w:rPr>
          <w:rFonts w:cs="Times New Roman"/>
          <w:color w:val="auto"/>
        </w:rPr>
        <w:t>The Board directs attenti</w:t>
      </w:r>
      <w:r w:rsidR="00782CC1" w:rsidRPr="008D167B">
        <w:rPr>
          <w:rFonts w:cs="Times New Roman"/>
          <w:color w:val="auto"/>
        </w:rPr>
        <w:t>on to its rating recommendation</w:t>
      </w:r>
      <w:r w:rsidRPr="008D167B">
        <w:rPr>
          <w:rFonts w:cs="Times New Roman"/>
          <w:color w:val="auto"/>
        </w:rPr>
        <w:t xml:space="preserve"> </w:t>
      </w:r>
      <w:r w:rsidR="00B13A51" w:rsidRPr="008D167B">
        <w:rPr>
          <w:rFonts w:cs="Times New Roman"/>
          <w:color w:val="auto"/>
        </w:rPr>
        <w:t>based on the above evidence</w:t>
      </w:r>
      <w:r w:rsidRPr="008D167B">
        <w:rPr>
          <w:rFonts w:cs="Times New Roman"/>
          <w:color w:val="auto"/>
        </w:rPr>
        <w:t>.</w:t>
      </w:r>
      <w:r w:rsidR="00165C7B" w:rsidRPr="008D167B">
        <w:rPr>
          <w:rFonts w:cs="Times New Roman"/>
          <w:color w:val="auto"/>
        </w:rPr>
        <w:t xml:space="preserve">  </w:t>
      </w:r>
      <w:r w:rsidR="001B42C0" w:rsidRPr="008D167B">
        <w:rPr>
          <w:rFonts w:cs="Times New Roman"/>
          <w:color w:val="auto"/>
        </w:rPr>
        <w:t xml:space="preserve">A compensable limitation of motion was not present on either exam (VASRD codes 5252 and 5253).  The PEB assigned a 0% rating under the 5003 code despite acknowledging </w:t>
      </w:r>
      <w:r w:rsidR="001E0617" w:rsidRPr="008D167B">
        <w:rPr>
          <w:rFonts w:cs="Times New Roman"/>
          <w:color w:val="auto"/>
        </w:rPr>
        <w:t xml:space="preserve">the presence of </w:t>
      </w:r>
      <w:r w:rsidR="001B42C0" w:rsidRPr="008D167B">
        <w:rPr>
          <w:rFonts w:cs="Times New Roman"/>
          <w:color w:val="auto"/>
        </w:rPr>
        <w:t>pain-limited motion</w:t>
      </w:r>
      <w:r w:rsidR="0086409B">
        <w:rPr>
          <w:rFonts w:cs="Times New Roman"/>
          <w:color w:val="auto"/>
        </w:rPr>
        <w:t xml:space="preserve">, </w:t>
      </w:r>
      <w:r w:rsidR="001D324B">
        <w:rPr>
          <w:color w:val="auto"/>
        </w:rPr>
        <w:t>likely</w:t>
      </w:r>
      <w:r w:rsidR="0086409B">
        <w:rPr>
          <w:color w:val="auto"/>
        </w:rPr>
        <w:t xml:space="preserve"> due to </w:t>
      </w:r>
      <w:r w:rsidR="0086409B" w:rsidRPr="002B473D">
        <w:rPr>
          <w:color w:val="auto"/>
        </w:rPr>
        <w:t xml:space="preserve">application of the </w:t>
      </w:r>
      <w:r w:rsidR="0086409B" w:rsidRPr="002B473D">
        <w:rPr>
          <w:color w:val="auto"/>
          <w:szCs w:val="24"/>
        </w:rPr>
        <w:t>USAPDA pain policy</w:t>
      </w:r>
      <w:r w:rsidR="001B42C0" w:rsidRPr="008D167B">
        <w:rPr>
          <w:rFonts w:cs="Times New Roman"/>
          <w:color w:val="auto"/>
        </w:rPr>
        <w:t>.  The VA gave a 10% rating for limited motion</w:t>
      </w:r>
      <w:r w:rsidR="001E0617" w:rsidRPr="008D167B">
        <w:rPr>
          <w:rFonts w:cs="Times New Roman"/>
          <w:color w:val="auto"/>
        </w:rPr>
        <w:t xml:space="preserve"> under the 5255 code (impairment of femur)</w:t>
      </w:r>
      <w:r w:rsidR="001B42C0" w:rsidRPr="008D167B">
        <w:rPr>
          <w:rFonts w:cs="Times New Roman"/>
          <w:color w:val="auto"/>
        </w:rPr>
        <w:t xml:space="preserve">.  </w:t>
      </w:r>
      <w:r w:rsidR="001E0617" w:rsidRPr="008D167B">
        <w:rPr>
          <w:rFonts w:cs="Times New Roman"/>
          <w:color w:val="auto"/>
        </w:rPr>
        <w:t>The Board agreed that a 10% rating was justified under either the 5003</w:t>
      </w:r>
      <w:r w:rsidR="00250F7B">
        <w:rPr>
          <w:rFonts w:cs="Times New Roman"/>
          <w:color w:val="auto"/>
        </w:rPr>
        <w:t>, 5252, 5253</w:t>
      </w:r>
      <w:r w:rsidR="001E0617" w:rsidRPr="008D167B">
        <w:rPr>
          <w:rFonts w:cs="Times New Roman"/>
          <w:color w:val="auto"/>
        </w:rPr>
        <w:t xml:space="preserve"> or 5255 codes for limitation of motion, pain with use (</w:t>
      </w:r>
      <w:r w:rsidR="001E0617" w:rsidRPr="008D167B">
        <w:rPr>
          <w:rFonts w:eastAsia="Calibri" w:cs="Times New Roman"/>
          <w:color w:val="auto"/>
          <w:szCs w:val="24"/>
        </w:rPr>
        <w:t>§</w:t>
      </w:r>
      <w:r w:rsidR="001E0617" w:rsidRPr="008D167B">
        <w:rPr>
          <w:rFonts w:cs="Times New Roman"/>
          <w:color w:val="auto"/>
        </w:rPr>
        <w:t>4.40) or painful motion (</w:t>
      </w:r>
      <w:r w:rsidR="001E0617" w:rsidRPr="008D167B">
        <w:rPr>
          <w:rFonts w:eastAsia="Calibri" w:cs="Times New Roman"/>
          <w:color w:val="auto"/>
          <w:szCs w:val="24"/>
        </w:rPr>
        <w:t>§</w:t>
      </w:r>
      <w:r w:rsidR="001E0617" w:rsidRPr="008D167B">
        <w:rPr>
          <w:rFonts w:cs="Times New Roman"/>
          <w:color w:val="auto"/>
        </w:rPr>
        <w:t>4.59).  Extension in de</w:t>
      </w:r>
      <w:r w:rsidR="00DD172A">
        <w:rPr>
          <w:rFonts w:cs="Times New Roman"/>
          <w:color w:val="auto"/>
        </w:rPr>
        <w:t>grees was not specified at the s</w:t>
      </w:r>
      <w:r w:rsidR="001E0617" w:rsidRPr="008D167B">
        <w:rPr>
          <w:rFonts w:cs="Times New Roman"/>
          <w:color w:val="auto"/>
        </w:rPr>
        <w:t xml:space="preserve">ervice exam, but </w:t>
      </w:r>
      <w:r w:rsidR="00E82168">
        <w:rPr>
          <w:rFonts w:cs="Times New Roman"/>
          <w:color w:val="auto"/>
        </w:rPr>
        <w:t>the maximum rating for c</w:t>
      </w:r>
      <w:r w:rsidR="001E0617" w:rsidRPr="008D167B">
        <w:rPr>
          <w:rFonts w:cs="Times New Roman"/>
          <w:color w:val="auto"/>
        </w:rPr>
        <w:t>ompensable limitation</w:t>
      </w:r>
      <w:r w:rsidR="0017631B">
        <w:rPr>
          <w:rFonts w:cs="Times New Roman"/>
          <w:color w:val="auto"/>
        </w:rPr>
        <w:t xml:space="preserve"> under the 5251 code</w:t>
      </w:r>
      <w:r w:rsidR="00E82168">
        <w:rPr>
          <w:rFonts w:cs="Times New Roman"/>
          <w:color w:val="auto"/>
        </w:rPr>
        <w:t xml:space="preserve"> is</w:t>
      </w:r>
      <w:r w:rsidR="001E0617" w:rsidRPr="008D167B">
        <w:rPr>
          <w:rFonts w:cs="Times New Roman"/>
          <w:color w:val="auto"/>
        </w:rPr>
        <w:t xml:space="preserve"> 10%.  </w:t>
      </w:r>
      <w:r w:rsidR="00241B01" w:rsidRPr="008D167B">
        <w:rPr>
          <w:rFonts w:eastAsia="Calibri" w:cs="Times New Roman"/>
          <w:color w:val="auto"/>
          <w:szCs w:val="24"/>
        </w:rPr>
        <w:t xml:space="preserve">After due deliberation, considering all of the evidence and mindful of VASRD §4.3 (reasonable doubt), the Board recommends a disability rating of </w:t>
      </w:r>
      <w:r w:rsidR="001E0617" w:rsidRPr="008D167B">
        <w:rPr>
          <w:rFonts w:eastAsia="Calibri" w:cs="Times New Roman"/>
          <w:color w:val="auto"/>
          <w:szCs w:val="24"/>
        </w:rPr>
        <w:t>10</w:t>
      </w:r>
      <w:r w:rsidR="00241B01" w:rsidRPr="008D167B">
        <w:rPr>
          <w:rFonts w:eastAsia="Calibri" w:cs="Times New Roman"/>
          <w:color w:val="auto"/>
          <w:szCs w:val="24"/>
        </w:rPr>
        <w:t xml:space="preserve">% for the </w:t>
      </w:r>
      <w:r w:rsidR="001E0617" w:rsidRPr="008D167B">
        <w:rPr>
          <w:rFonts w:eastAsia="Calibri" w:cs="Times New Roman"/>
          <w:color w:val="auto"/>
          <w:szCs w:val="24"/>
        </w:rPr>
        <w:t>right hip condition</w:t>
      </w:r>
      <w:r w:rsidR="00567449">
        <w:rPr>
          <w:rFonts w:eastAsia="Calibri" w:cs="Times New Roman"/>
          <w:color w:val="auto"/>
          <w:szCs w:val="24"/>
        </w:rPr>
        <w:t>, coded 5003</w:t>
      </w:r>
      <w:r w:rsidR="00241B01" w:rsidRPr="008D167B">
        <w:rPr>
          <w:rFonts w:eastAsia="Calibri" w:cs="Times New Roman"/>
          <w:color w:val="auto"/>
          <w:szCs w:val="24"/>
        </w:rPr>
        <w:t>.</w:t>
      </w:r>
    </w:p>
    <w:p w:rsidR="00626902" w:rsidRPr="00F64312" w:rsidRDefault="00626902" w:rsidP="00241B01">
      <w:pPr>
        <w:jc w:val="both"/>
        <w:rPr>
          <w:rFonts w:eastAsia="Calibri" w:cs="Times New Roman"/>
          <w:color w:val="auto"/>
          <w:szCs w:val="24"/>
        </w:rPr>
      </w:pPr>
    </w:p>
    <w:p w:rsidR="00DD172A" w:rsidRDefault="00EF51D9" w:rsidP="00CB648E">
      <w:pPr>
        <w:jc w:val="both"/>
        <w:rPr>
          <w:rFonts w:eastAsia="HiddenHorzOCR"/>
          <w:color w:val="auto"/>
        </w:rPr>
      </w:pPr>
      <w:r>
        <w:rPr>
          <w:rFonts w:eastAsia="HiddenHorzOCR"/>
          <w:color w:val="auto"/>
          <w:u w:val="single"/>
        </w:rPr>
        <w:t>Low Back Condition</w:t>
      </w:r>
      <w:r>
        <w:rPr>
          <w:rFonts w:eastAsia="HiddenHorzOCR"/>
          <w:color w:val="auto"/>
        </w:rPr>
        <w:t>.  The NARSUM examiner noted that the back pain</w:t>
      </w:r>
      <w:r w:rsidR="00775A24">
        <w:rPr>
          <w:rFonts w:eastAsia="HiddenHorzOCR"/>
          <w:color w:val="auto"/>
        </w:rPr>
        <w:t xml:space="preserve"> began while deployed in August 2003, when he </w:t>
      </w:r>
      <w:r w:rsidR="00775A24" w:rsidRPr="001341E3">
        <w:rPr>
          <w:rFonts w:eastAsia="HiddenHorzOCR"/>
          <w:color w:val="auto"/>
        </w:rPr>
        <w:t>fell out of a vehicle.</w:t>
      </w:r>
      <w:r w:rsidR="00775A24">
        <w:rPr>
          <w:rFonts w:eastAsia="HiddenHorzOCR"/>
          <w:color w:val="auto"/>
        </w:rPr>
        <w:t xml:space="preserve">  He </w:t>
      </w:r>
      <w:r w:rsidR="00E82168">
        <w:rPr>
          <w:rFonts w:eastAsia="HiddenHorzOCR"/>
          <w:color w:val="auto"/>
        </w:rPr>
        <w:t xml:space="preserve">subsequently </w:t>
      </w:r>
      <w:r w:rsidR="00775A24">
        <w:rPr>
          <w:rFonts w:eastAsia="HiddenHorzOCR"/>
          <w:color w:val="auto"/>
        </w:rPr>
        <w:t xml:space="preserve">experienced increased pain and some right lower extremity numbness and pain.  </w:t>
      </w:r>
      <w:r w:rsidR="00E238FB">
        <w:rPr>
          <w:rFonts w:eastAsia="HiddenHorzOCR"/>
          <w:color w:val="auto"/>
        </w:rPr>
        <w:t xml:space="preserve">The back pain was located in the right lumbar </w:t>
      </w:r>
      <w:r w:rsidR="00CB648E">
        <w:rPr>
          <w:rFonts w:eastAsia="HiddenHorzOCR"/>
          <w:color w:val="auto"/>
        </w:rPr>
        <w:t>area and was described as constant;</w:t>
      </w:r>
      <w:r w:rsidR="00E238FB">
        <w:rPr>
          <w:rFonts w:eastAsia="HiddenHorzOCR"/>
          <w:color w:val="auto"/>
        </w:rPr>
        <w:t xml:space="preserve"> </w:t>
      </w:r>
      <w:r w:rsidR="00CB648E">
        <w:rPr>
          <w:rFonts w:eastAsia="HiddenHorzOCR"/>
          <w:color w:val="auto"/>
        </w:rPr>
        <w:t>it</w:t>
      </w:r>
      <w:r w:rsidR="00E238FB">
        <w:rPr>
          <w:rFonts w:eastAsia="HiddenHorzOCR"/>
          <w:color w:val="auto"/>
        </w:rPr>
        <w:t xml:space="preserve"> worsened with prolonged sitting, standing, driving, repeated bending and lifting, or any impact activities.  Medications, stretching and ice were helpful.  </w:t>
      </w:r>
      <w:r w:rsidR="00E82168">
        <w:rPr>
          <w:rFonts w:eastAsia="HiddenHorzOCR"/>
          <w:color w:val="auto"/>
        </w:rPr>
        <w:t>Symptoms remained unchanged since 2003</w:t>
      </w:r>
      <w:r w:rsidR="003D2FE2">
        <w:rPr>
          <w:rFonts w:eastAsia="HiddenHorzOCR"/>
          <w:color w:val="auto"/>
        </w:rPr>
        <w:t>, although an outpatient note</w:t>
      </w:r>
      <w:r w:rsidR="00DD172A">
        <w:rPr>
          <w:rFonts w:eastAsia="HiddenHorzOCR"/>
          <w:color w:val="auto"/>
        </w:rPr>
        <w:t>, dated</w:t>
      </w:r>
      <w:r w:rsidR="003D2FE2">
        <w:rPr>
          <w:rFonts w:eastAsia="HiddenHorzOCR"/>
          <w:color w:val="auto"/>
        </w:rPr>
        <w:t xml:space="preserve"> </w:t>
      </w:r>
      <w:r w:rsidR="00CB648E">
        <w:rPr>
          <w:rFonts w:eastAsia="HiddenHorzOCR"/>
          <w:color w:val="auto"/>
        </w:rPr>
        <w:t>10 months prior to separation</w:t>
      </w:r>
      <w:r w:rsidR="00DD172A">
        <w:rPr>
          <w:rFonts w:eastAsia="HiddenHorzOCR"/>
          <w:color w:val="auto"/>
        </w:rPr>
        <w:t>,</w:t>
      </w:r>
      <w:r w:rsidR="003D2FE2">
        <w:rPr>
          <w:rFonts w:eastAsia="HiddenHorzOCR"/>
          <w:color w:val="auto"/>
        </w:rPr>
        <w:t xml:space="preserve"> stated the </w:t>
      </w:r>
      <w:r w:rsidR="00DD172A">
        <w:rPr>
          <w:rFonts w:eastAsia="HiddenHorzOCR"/>
          <w:color w:val="auto"/>
        </w:rPr>
        <w:t>LBP</w:t>
      </w:r>
      <w:r w:rsidR="003D2FE2">
        <w:rPr>
          <w:rFonts w:eastAsia="HiddenHorzOCR"/>
          <w:color w:val="auto"/>
        </w:rPr>
        <w:t xml:space="preserve"> was “almost gone”</w:t>
      </w:r>
      <w:r w:rsidR="00810350">
        <w:rPr>
          <w:rFonts w:eastAsia="HiddenHorzOCR"/>
          <w:color w:val="auto"/>
        </w:rPr>
        <w:t xml:space="preserve"> since his hip surgery, and a physical exam</w:t>
      </w:r>
      <w:r w:rsidR="00DD172A">
        <w:rPr>
          <w:rFonts w:eastAsia="HiddenHorzOCR"/>
          <w:color w:val="auto"/>
        </w:rPr>
        <w:t>, performed</w:t>
      </w:r>
      <w:r w:rsidR="00810350">
        <w:rPr>
          <w:rFonts w:eastAsia="HiddenHorzOCR"/>
          <w:color w:val="auto"/>
        </w:rPr>
        <w:t xml:space="preserve"> </w:t>
      </w:r>
      <w:r w:rsidR="00DD172A">
        <w:rPr>
          <w:rFonts w:eastAsia="HiddenHorzOCR"/>
          <w:color w:val="auto"/>
        </w:rPr>
        <w:t>8</w:t>
      </w:r>
      <w:r w:rsidR="00CB648E">
        <w:rPr>
          <w:rFonts w:eastAsia="HiddenHorzOCR"/>
          <w:color w:val="auto"/>
        </w:rPr>
        <w:t xml:space="preserve"> months prior to separation</w:t>
      </w:r>
      <w:r w:rsidR="00DD172A">
        <w:rPr>
          <w:rFonts w:eastAsia="HiddenHorzOCR"/>
          <w:color w:val="auto"/>
        </w:rPr>
        <w:t>,</w:t>
      </w:r>
      <w:r w:rsidR="00CB648E">
        <w:rPr>
          <w:rFonts w:eastAsia="HiddenHorzOCR"/>
          <w:color w:val="auto"/>
        </w:rPr>
        <w:t xml:space="preserve"> </w:t>
      </w:r>
      <w:r w:rsidR="00810350">
        <w:rPr>
          <w:rFonts w:eastAsia="HiddenHorzOCR"/>
          <w:color w:val="auto"/>
        </w:rPr>
        <w:t>noted that he was “pain free.”</w:t>
      </w:r>
      <w:r w:rsidR="00931A09">
        <w:rPr>
          <w:rFonts w:eastAsia="HiddenHorzOCR"/>
          <w:color w:val="auto"/>
        </w:rPr>
        <w:t xml:space="preserve">  As documented in the hip discussion</w:t>
      </w:r>
      <w:r w:rsidR="002960AC">
        <w:rPr>
          <w:rFonts w:eastAsia="HiddenHorzOCR"/>
          <w:color w:val="auto"/>
        </w:rPr>
        <w:t xml:space="preserve"> above</w:t>
      </w:r>
      <w:r w:rsidR="00931A09">
        <w:rPr>
          <w:rFonts w:eastAsia="HiddenHorzOCR"/>
          <w:color w:val="auto"/>
        </w:rPr>
        <w:t xml:space="preserve">, </w:t>
      </w:r>
      <w:r w:rsidR="002960AC">
        <w:rPr>
          <w:rFonts w:eastAsia="HiddenHorzOCR"/>
          <w:color w:val="auto"/>
        </w:rPr>
        <w:t>t</w:t>
      </w:r>
      <w:r w:rsidR="00931A09">
        <w:rPr>
          <w:rFonts w:eastAsia="HiddenHorzOCR"/>
          <w:color w:val="auto"/>
        </w:rPr>
        <w:t>he orthopedic NARSUM examiner</w:t>
      </w:r>
      <w:r w:rsidR="00DD172A">
        <w:rPr>
          <w:rFonts w:eastAsia="HiddenHorzOCR"/>
          <w:color w:val="auto"/>
        </w:rPr>
        <w:t xml:space="preserve">, 3 </w:t>
      </w:r>
      <w:r w:rsidR="002960AC">
        <w:rPr>
          <w:rFonts w:eastAsia="HiddenHorzOCR"/>
          <w:color w:val="auto"/>
        </w:rPr>
        <w:t>months prior to separation</w:t>
      </w:r>
      <w:r w:rsidR="00DD172A">
        <w:rPr>
          <w:rFonts w:eastAsia="HiddenHorzOCR"/>
          <w:color w:val="auto"/>
        </w:rPr>
        <w:t>,</w:t>
      </w:r>
      <w:r w:rsidR="002960AC">
        <w:rPr>
          <w:rFonts w:eastAsia="HiddenHorzOCR"/>
          <w:color w:val="auto"/>
        </w:rPr>
        <w:t xml:space="preserve"> reported the CI could walk </w:t>
      </w:r>
      <w:r w:rsidR="00DD172A">
        <w:rPr>
          <w:rFonts w:eastAsia="HiddenHorzOCR"/>
          <w:color w:val="auto"/>
        </w:rPr>
        <w:t>a</w:t>
      </w:r>
      <w:r w:rsidR="002960AC">
        <w:rPr>
          <w:rFonts w:eastAsia="HiddenHorzOCR"/>
          <w:color w:val="auto"/>
        </w:rPr>
        <w:t xml:space="preserve"> mile.</w:t>
      </w:r>
      <w:r w:rsidR="00DE6FB3">
        <w:rPr>
          <w:rFonts w:eastAsia="HiddenHorzOCR"/>
          <w:color w:val="auto"/>
        </w:rPr>
        <w:t xml:space="preserve">  </w:t>
      </w:r>
    </w:p>
    <w:p w:rsidR="00DD172A" w:rsidRDefault="00DD172A" w:rsidP="00CB648E">
      <w:pPr>
        <w:jc w:val="both"/>
        <w:rPr>
          <w:rFonts w:eastAsia="HiddenHorzOCR"/>
          <w:color w:val="auto"/>
        </w:rPr>
      </w:pPr>
    </w:p>
    <w:p w:rsidR="00CB648E" w:rsidRPr="00B32921" w:rsidRDefault="00CB648E" w:rsidP="00CB648E">
      <w:pPr>
        <w:jc w:val="both"/>
        <w:rPr>
          <w:color w:val="auto"/>
          <w:szCs w:val="24"/>
        </w:rPr>
      </w:pPr>
      <w:r w:rsidRPr="00F64312">
        <w:rPr>
          <w:color w:val="auto"/>
          <w:szCs w:val="24"/>
        </w:rPr>
        <w:t xml:space="preserve">There were </w:t>
      </w:r>
      <w:r>
        <w:rPr>
          <w:color w:val="auto"/>
          <w:szCs w:val="24"/>
        </w:rPr>
        <w:t xml:space="preserve">two </w:t>
      </w:r>
      <w:r w:rsidR="00DD172A">
        <w:rPr>
          <w:color w:val="auto"/>
          <w:szCs w:val="24"/>
        </w:rPr>
        <w:t>ROM</w:t>
      </w:r>
      <w:r w:rsidRPr="00F64312">
        <w:rPr>
          <w:color w:val="auto"/>
          <w:szCs w:val="24"/>
        </w:rPr>
        <w:t xml:space="preserve"> evaluations in evidence, with documentation of additional ratable criteria, which the Board weighed in arriving at its rating recommendation</w:t>
      </w:r>
      <w:r>
        <w:rPr>
          <w:color w:val="auto"/>
          <w:szCs w:val="24"/>
        </w:rPr>
        <w:t>,</w:t>
      </w:r>
      <w:r w:rsidRPr="00F64312">
        <w:rPr>
          <w:color w:val="auto"/>
          <w:szCs w:val="24"/>
        </w:rPr>
        <w:t xml:space="preserve"> as summarized in the chart </w:t>
      </w:r>
      <w:r w:rsidRPr="00B32921">
        <w:rPr>
          <w:color w:val="auto"/>
          <w:szCs w:val="24"/>
        </w:rPr>
        <w:t xml:space="preserve">below.  </w:t>
      </w:r>
    </w:p>
    <w:p w:rsidR="00BB717F" w:rsidRPr="00B32921" w:rsidRDefault="00BB717F" w:rsidP="003863E9">
      <w:pPr>
        <w:jc w:val="both"/>
        <w:rPr>
          <w:rFonts w:eastAsia="HiddenHorzOC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2525"/>
        <w:gridCol w:w="2250"/>
      </w:tblGrid>
      <w:tr w:rsidR="00BB717F" w:rsidRPr="00B32921" w:rsidTr="00CB2498">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B717F" w:rsidRPr="00B32921" w:rsidRDefault="00BB717F" w:rsidP="00CB2498">
            <w:pPr>
              <w:pStyle w:val="ListParagraph"/>
              <w:spacing w:after="0" w:line="200" w:lineRule="exact"/>
              <w:ind w:left="0"/>
              <w:rPr>
                <w:rFonts w:asciiTheme="majorHAnsi" w:eastAsia="Calibri" w:hAnsiTheme="majorHAnsi" w:cstheme="majorHAnsi"/>
                <w:b/>
                <w:sz w:val="18"/>
                <w:szCs w:val="18"/>
              </w:rPr>
            </w:pPr>
            <w:r w:rsidRPr="00B32921">
              <w:rPr>
                <w:rFonts w:asciiTheme="majorHAnsi" w:eastAsia="Calibri" w:hAnsiTheme="majorHAnsi" w:cstheme="majorHAnsi"/>
                <w:sz w:val="18"/>
                <w:szCs w:val="18"/>
              </w:rPr>
              <w:t>Thoracolumbar ROM</w:t>
            </w:r>
          </w:p>
        </w:tc>
        <w:tc>
          <w:tcPr>
            <w:tcW w:w="252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B717F" w:rsidRPr="00B32921" w:rsidRDefault="00BB717F" w:rsidP="002910E1">
            <w:pPr>
              <w:spacing w:line="200" w:lineRule="exact"/>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Ortho/PT/MEB ~3 Mo. Pre-Sep</w:t>
            </w:r>
          </w:p>
        </w:tc>
        <w:tc>
          <w:tcPr>
            <w:tcW w:w="225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B717F" w:rsidRPr="00B32921" w:rsidRDefault="00BB717F" w:rsidP="002910E1">
            <w:pPr>
              <w:spacing w:line="200" w:lineRule="exact"/>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VA</w:t>
            </w:r>
            <w:r w:rsidRPr="00B32921">
              <w:rPr>
                <w:rFonts w:asciiTheme="majorHAnsi" w:eastAsiaTheme="minorHAnsi" w:hAnsiTheme="majorHAnsi" w:cstheme="majorHAnsi"/>
                <w:color w:val="auto"/>
                <w:sz w:val="18"/>
                <w:szCs w:val="18"/>
              </w:rPr>
              <w:t xml:space="preserve"> C&amp;P </w:t>
            </w:r>
            <w:r w:rsidRPr="00B32921">
              <w:rPr>
                <w:rFonts w:asciiTheme="majorHAnsi" w:eastAsia="Calibri" w:hAnsiTheme="majorHAnsi" w:cstheme="majorHAnsi"/>
                <w:color w:val="auto"/>
                <w:sz w:val="18"/>
                <w:szCs w:val="18"/>
              </w:rPr>
              <w:t>~</w:t>
            </w:r>
            <w:r w:rsidR="00DE6FB3" w:rsidRPr="00B32921">
              <w:rPr>
                <w:rFonts w:asciiTheme="majorHAnsi" w:eastAsia="Calibri" w:hAnsiTheme="majorHAnsi" w:cstheme="majorHAnsi"/>
                <w:color w:val="auto"/>
                <w:sz w:val="18"/>
                <w:szCs w:val="18"/>
              </w:rPr>
              <w:t>1.5</w:t>
            </w:r>
            <w:r w:rsidRPr="00B32921">
              <w:rPr>
                <w:rFonts w:asciiTheme="majorHAnsi" w:eastAsia="Calibri" w:hAnsiTheme="majorHAnsi" w:cstheme="majorHAnsi"/>
                <w:color w:val="auto"/>
                <w:sz w:val="18"/>
                <w:szCs w:val="18"/>
              </w:rPr>
              <w:t xml:space="preserve"> Mo. Post-Sep</w:t>
            </w:r>
          </w:p>
        </w:tc>
      </w:tr>
      <w:tr w:rsidR="00DE6FB3" w:rsidRPr="00B32921" w:rsidTr="00426FB7">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E6FB3" w:rsidRPr="00B32921" w:rsidRDefault="00DE6FB3" w:rsidP="00CB2498">
            <w:pPr>
              <w:pStyle w:val="ListParagraph"/>
              <w:spacing w:after="0" w:line="200" w:lineRule="exact"/>
              <w:ind w:left="0"/>
              <w:rPr>
                <w:rFonts w:asciiTheme="majorHAnsi" w:eastAsia="Calibri" w:hAnsiTheme="majorHAnsi" w:cstheme="majorHAnsi"/>
                <w:sz w:val="18"/>
                <w:szCs w:val="18"/>
              </w:rPr>
            </w:pPr>
            <w:r w:rsidRPr="00B32921">
              <w:rPr>
                <w:rFonts w:asciiTheme="majorHAnsi" w:hAnsiTheme="majorHAnsi" w:cstheme="majorHAnsi"/>
                <w:sz w:val="18"/>
                <w:szCs w:val="18"/>
              </w:rPr>
              <w:t>Flexion (90⁰ Normal)</w:t>
            </w:r>
          </w:p>
        </w:tc>
        <w:tc>
          <w:tcPr>
            <w:tcW w:w="2525" w:type="dxa"/>
            <w:vMerge w:val="restart"/>
            <w:tcBorders>
              <w:top w:val="single" w:sz="4" w:space="0" w:color="000000"/>
              <w:left w:val="single" w:sz="4" w:space="0" w:color="000000"/>
              <w:right w:val="single" w:sz="4" w:space="0" w:color="000000"/>
            </w:tcBorders>
            <w:vAlign w:val="center"/>
          </w:tcPr>
          <w:p w:rsidR="00DE6FB3" w:rsidRPr="00B32921" w:rsidRDefault="00DE6FB3" w:rsidP="00CB2498">
            <w:pPr>
              <w:spacing w:line="200" w:lineRule="exact"/>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“FAROM”</w:t>
            </w:r>
          </w:p>
        </w:tc>
        <w:tc>
          <w:tcPr>
            <w:tcW w:w="2250" w:type="dxa"/>
            <w:tcBorders>
              <w:top w:val="single" w:sz="4" w:space="0" w:color="000000"/>
              <w:left w:val="single" w:sz="4" w:space="0" w:color="000000"/>
              <w:bottom w:val="single" w:sz="4" w:space="0" w:color="000000"/>
              <w:right w:val="single" w:sz="4" w:space="0" w:color="000000"/>
            </w:tcBorders>
            <w:vAlign w:val="center"/>
          </w:tcPr>
          <w:p w:rsidR="00DE6FB3" w:rsidRPr="00B32921" w:rsidRDefault="00DE6FB3" w:rsidP="00CB2498">
            <w:pPr>
              <w:spacing w:line="200" w:lineRule="exact"/>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45⁰</w:t>
            </w:r>
          </w:p>
        </w:tc>
      </w:tr>
      <w:tr w:rsidR="00DE6FB3" w:rsidRPr="00B32921" w:rsidTr="00C642C6">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E6FB3" w:rsidRPr="00B32921" w:rsidRDefault="00DE6FB3" w:rsidP="00CB2498">
            <w:pPr>
              <w:pStyle w:val="ListParagraph"/>
              <w:spacing w:after="0" w:line="200" w:lineRule="exact"/>
              <w:ind w:left="0"/>
              <w:rPr>
                <w:rFonts w:asciiTheme="majorHAnsi" w:eastAsia="Calibri" w:hAnsiTheme="majorHAnsi" w:cstheme="majorHAnsi"/>
                <w:sz w:val="18"/>
                <w:szCs w:val="18"/>
              </w:rPr>
            </w:pPr>
            <w:r w:rsidRPr="00B32921">
              <w:rPr>
                <w:rFonts w:asciiTheme="majorHAnsi" w:eastAsia="Calibri" w:hAnsiTheme="majorHAnsi" w:cstheme="majorHAnsi"/>
                <w:sz w:val="18"/>
                <w:szCs w:val="18"/>
              </w:rPr>
              <w:t>Ext (0-30)</w:t>
            </w:r>
          </w:p>
        </w:tc>
        <w:tc>
          <w:tcPr>
            <w:tcW w:w="2525" w:type="dxa"/>
            <w:vMerge/>
            <w:tcBorders>
              <w:left w:val="single" w:sz="4" w:space="0" w:color="000000"/>
              <w:right w:val="single" w:sz="4" w:space="0" w:color="000000"/>
            </w:tcBorders>
          </w:tcPr>
          <w:p w:rsidR="00DE6FB3" w:rsidRPr="00B32921" w:rsidRDefault="00DE6FB3" w:rsidP="00CB2498">
            <w:pPr>
              <w:rPr>
                <w:i/>
                <w:strike/>
                <w:color w:val="auto"/>
                <w:highlight w:val="cyan"/>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DE6FB3" w:rsidRPr="00B32921" w:rsidRDefault="00DE6FB3" w:rsidP="00CB2498">
            <w:pPr>
              <w:spacing w:line="200" w:lineRule="exact"/>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5⁰</w:t>
            </w:r>
          </w:p>
        </w:tc>
      </w:tr>
      <w:tr w:rsidR="00DE6FB3" w:rsidRPr="00B32921" w:rsidTr="002E55FA">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E6FB3" w:rsidRPr="00B32921" w:rsidRDefault="00DE6FB3" w:rsidP="00CB2498">
            <w:pPr>
              <w:pStyle w:val="ListParagraph"/>
              <w:spacing w:after="0" w:line="200" w:lineRule="exact"/>
              <w:ind w:left="0"/>
              <w:rPr>
                <w:rFonts w:asciiTheme="majorHAnsi" w:eastAsia="Calibri" w:hAnsiTheme="majorHAnsi" w:cstheme="majorHAnsi"/>
                <w:sz w:val="18"/>
                <w:szCs w:val="18"/>
              </w:rPr>
            </w:pPr>
            <w:r w:rsidRPr="00B32921">
              <w:rPr>
                <w:rFonts w:asciiTheme="majorHAnsi" w:eastAsia="Calibri" w:hAnsiTheme="majorHAnsi" w:cstheme="majorHAnsi"/>
                <w:sz w:val="18"/>
                <w:szCs w:val="18"/>
              </w:rPr>
              <w:t>R Lat Flex (0-30)</w:t>
            </w:r>
          </w:p>
        </w:tc>
        <w:tc>
          <w:tcPr>
            <w:tcW w:w="2525" w:type="dxa"/>
            <w:vMerge/>
            <w:tcBorders>
              <w:left w:val="single" w:sz="4" w:space="0" w:color="000000"/>
              <w:right w:val="single" w:sz="4" w:space="0" w:color="000000"/>
            </w:tcBorders>
          </w:tcPr>
          <w:p w:rsidR="00DE6FB3" w:rsidRPr="00B32921" w:rsidRDefault="00DE6FB3" w:rsidP="00CB2498">
            <w:pPr>
              <w:rPr>
                <w:i/>
                <w:strike/>
                <w:color w:val="auto"/>
                <w:highlight w:val="cyan"/>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DE6FB3" w:rsidRPr="00B32921" w:rsidRDefault="00DE6FB3" w:rsidP="00CB2498">
            <w:pPr>
              <w:spacing w:line="200" w:lineRule="exact"/>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10⁰</w:t>
            </w:r>
          </w:p>
        </w:tc>
      </w:tr>
      <w:tr w:rsidR="00DE6FB3" w:rsidRPr="00B32921" w:rsidTr="00585997">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E6FB3" w:rsidRPr="00B32921" w:rsidRDefault="00DE6FB3" w:rsidP="00CB2498">
            <w:pPr>
              <w:pStyle w:val="ListParagraph"/>
              <w:spacing w:after="0" w:line="200" w:lineRule="exact"/>
              <w:ind w:left="0"/>
              <w:rPr>
                <w:rFonts w:asciiTheme="majorHAnsi" w:eastAsia="Calibri" w:hAnsiTheme="majorHAnsi" w:cstheme="majorHAnsi"/>
                <w:sz w:val="18"/>
                <w:szCs w:val="18"/>
              </w:rPr>
            </w:pPr>
            <w:r w:rsidRPr="00B32921">
              <w:rPr>
                <w:rFonts w:asciiTheme="majorHAnsi" w:eastAsia="Calibri" w:hAnsiTheme="majorHAnsi" w:cstheme="majorHAnsi"/>
                <w:sz w:val="18"/>
                <w:szCs w:val="18"/>
              </w:rPr>
              <w:t>L Lat Flex 0-30)</w:t>
            </w:r>
          </w:p>
        </w:tc>
        <w:tc>
          <w:tcPr>
            <w:tcW w:w="2525" w:type="dxa"/>
            <w:vMerge/>
            <w:tcBorders>
              <w:left w:val="single" w:sz="4" w:space="0" w:color="000000"/>
              <w:right w:val="single" w:sz="4" w:space="0" w:color="000000"/>
            </w:tcBorders>
          </w:tcPr>
          <w:p w:rsidR="00DE6FB3" w:rsidRPr="00B32921" w:rsidRDefault="00DE6FB3" w:rsidP="00CB2498">
            <w:pPr>
              <w:rPr>
                <w:i/>
                <w:strike/>
                <w:color w:val="auto"/>
                <w:highlight w:val="cyan"/>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DE6FB3" w:rsidRPr="00B32921" w:rsidRDefault="00DE6FB3" w:rsidP="00CB2498">
            <w:pPr>
              <w:spacing w:line="200" w:lineRule="exact"/>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10⁰</w:t>
            </w:r>
          </w:p>
        </w:tc>
      </w:tr>
      <w:tr w:rsidR="00DE6FB3" w:rsidRPr="00B32921" w:rsidTr="000406F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E6FB3" w:rsidRPr="00B32921" w:rsidRDefault="00DE6FB3" w:rsidP="00CB2498">
            <w:pPr>
              <w:pStyle w:val="ListParagraph"/>
              <w:spacing w:after="0" w:line="200" w:lineRule="exact"/>
              <w:ind w:left="0"/>
              <w:rPr>
                <w:rFonts w:asciiTheme="majorHAnsi" w:eastAsia="Calibri" w:hAnsiTheme="majorHAnsi" w:cstheme="majorHAnsi"/>
                <w:sz w:val="18"/>
                <w:szCs w:val="18"/>
              </w:rPr>
            </w:pPr>
            <w:r w:rsidRPr="00B32921">
              <w:rPr>
                <w:rFonts w:asciiTheme="majorHAnsi" w:eastAsia="Calibri" w:hAnsiTheme="majorHAnsi" w:cstheme="majorHAnsi"/>
                <w:sz w:val="18"/>
                <w:szCs w:val="18"/>
              </w:rPr>
              <w:t>R Rotation (0-30)</w:t>
            </w:r>
          </w:p>
        </w:tc>
        <w:tc>
          <w:tcPr>
            <w:tcW w:w="2525" w:type="dxa"/>
            <w:vMerge/>
            <w:tcBorders>
              <w:left w:val="single" w:sz="4" w:space="0" w:color="000000"/>
              <w:right w:val="single" w:sz="4" w:space="0" w:color="000000"/>
            </w:tcBorders>
          </w:tcPr>
          <w:p w:rsidR="00DE6FB3" w:rsidRPr="00B32921" w:rsidRDefault="00DE6FB3" w:rsidP="00CB2498">
            <w:pPr>
              <w:rPr>
                <w:i/>
                <w:strike/>
                <w:color w:val="auto"/>
                <w:highlight w:val="cyan"/>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DE6FB3" w:rsidRPr="00B32921" w:rsidRDefault="00DE6FB3" w:rsidP="00CB2498">
            <w:pPr>
              <w:spacing w:line="200" w:lineRule="exact"/>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15⁰</w:t>
            </w:r>
          </w:p>
        </w:tc>
      </w:tr>
      <w:tr w:rsidR="00DE6FB3" w:rsidRPr="00B32921" w:rsidTr="000406FD">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E6FB3" w:rsidRPr="00B32921" w:rsidRDefault="00DE6FB3" w:rsidP="00CB2498">
            <w:pPr>
              <w:pStyle w:val="ListParagraph"/>
              <w:spacing w:after="0" w:line="200" w:lineRule="exact"/>
              <w:ind w:left="0"/>
              <w:rPr>
                <w:rFonts w:asciiTheme="majorHAnsi" w:eastAsia="Calibri" w:hAnsiTheme="majorHAnsi" w:cstheme="majorHAnsi"/>
                <w:sz w:val="18"/>
                <w:szCs w:val="18"/>
              </w:rPr>
            </w:pPr>
            <w:r w:rsidRPr="00B32921">
              <w:rPr>
                <w:rFonts w:asciiTheme="majorHAnsi" w:eastAsia="Calibri" w:hAnsiTheme="majorHAnsi" w:cstheme="majorHAnsi"/>
                <w:sz w:val="18"/>
                <w:szCs w:val="18"/>
              </w:rPr>
              <w:t>L Rotation (0-30)</w:t>
            </w:r>
          </w:p>
        </w:tc>
        <w:tc>
          <w:tcPr>
            <w:tcW w:w="2525" w:type="dxa"/>
            <w:vMerge/>
            <w:tcBorders>
              <w:left w:val="single" w:sz="4" w:space="0" w:color="000000"/>
              <w:bottom w:val="single" w:sz="4" w:space="0" w:color="000000"/>
              <w:right w:val="single" w:sz="4" w:space="0" w:color="000000"/>
            </w:tcBorders>
          </w:tcPr>
          <w:p w:rsidR="00DE6FB3" w:rsidRPr="00B32921" w:rsidRDefault="00DE6FB3" w:rsidP="00CB2498">
            <w:pPr>
              <w:rPr>
                <w:i/>
                <w:strike/>
                <w:color w:val="auto"/>
                <w:highlight w:val="cyan"/>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DE6FB3" w:rsidRPr="00B32921" w:rsidRDefault="00DE6FB3" w:rsidP="00CB2498">
            <w:pPr>
              <w:spacing w:line="200" w:lineRule="exact"/>
              <w:contextualSpacing/>
              <w:rPr>
                <w:rFonts w:asciiTheme="majorHAnsi" w:eastAsia="Calibri" w:hAnsiTheme="majorHAnsi" w:cstheme="majorHAnsi"/>
                <w:color w:val="auto"/>
                <w:sz w:val="18"/>
                <w:szCs w:val="18"/>
              </w:rPr>
            </w:pPr>
            <w:r w:rsidRPr="00B32921">
              <w:rPr>
                <w:rFonts w:asciiTheme="majorHAnsi" w:eastAsia="Calibri" w:hAnsiTheme="majorHAnsi" w:cstheme="majorHAnsi"/>
                <w:color w:val="auto"/>
                <w:sz w:val="18"/>
                <w:szCs w:val="18"/>
              </w:rPr>
              <w:t>15⁰</w:t>
            </w:r>
          </w:p>
        </w:tc>
      </w:tr>
      <w:tr w:rsidR="00BB717F" w:rsidRPr="00B32921" w:rsidTr="00CB249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B717F" w:rsidRPr="00B32921" w:rsidRDefault="00BB717F" w:rsidP="00CB2498">
            <w:pPr>
              <w:pStyle w:val="ListParagraph"/>
              <w:spacing w:after="0" w:line="200" w:lineRule="exact"/>
              <w:ind w:left="0"/>
              <w:rPr>
                <w:rFonts w:asciiTheme="majorHAnsi" w:eastAsia="Calibri" w:hAnsiTheme="majorHAnsi" w:cstheme="majorHAnsi"/>
                <w:sz w:val="18"/>
                <w:szCs w:val="18"/>
              </w:rPr>
            </w:pPr>
            <w:r w:rsidRPr="00B32921">
              <w:rPr>
                <w:rFonts w:asciiTheme="majorHAnsi" w:eastAsia="Calibri" w:hAnsiTheme="majorHAnsi" w:cstheme="majorHAnsi"/>
                <w:sz w:val="18"/>
                <w:szCs w:val="18"/>
              </w:rPr>
              <w:t>Combined (240⁰)</w:t>
            </w:r>
          </w:p>
        </w:tc>
        <w:tc>
          <w:tcPr>
            <w:tcW w:w="2525" w:type="dxa"/>
            <w:tcBorders>
              <w:top w:val="single" w:sz="4" w:space="0" w:color="000000"/>
              <w:left w:val="single" w:sz="4" w:space="0" w:color="000000"/>
              <w:bottom w:val="single" w:sz="4" w:space="0" w:color="000000"/>
              <w:right w:val="single" w:sz="4" w:space="0" w:color="000000"/>
            </w:tcBorders>
            <w:vAlign w:val="center"/>
          </w:tcPr>
          <w:p w:rsidR="00BB717F" w:rsidRPr="00B32921" w:rsidRDefault="00A92F95" w:rsidP="00106F1F">
            <w:pPr>
              <w:rPr>
                <w:rFonts w:asciiTheme="majorHAnsi" w:eastAsia="Calibri" w:hAnsiTheme="majorHAnsi" w:cstheme="majorHAnsi"/>
                <w:strike/>
                <w:color w:val="auto"/>
                <w:sz w:val="18"/>
                <w:szCs w:val="18"/>
                <w:highlight w:val="cyan"/>
              </w:rPr>
            </w:pPr>
            <w:r w:rsidRPr="00B32921">
              <w:rPr>
                <w:rFonts w:asciiTheme="majorHAnsi" w:eastAsia="Calibri" w:hAnsiTheme="majorHAnsi" w:cstheme="majorHAnsi"/>
                <w:strike/>
                <w:color w:val="auto"/>
                <w:sz w:val="18"/>
                <w:szCs w:val="18"/>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BB717F" w:rsidRPr="00B32921" w:rsidRDefault="007B251A" w:rsidP="00CB2498">
            <w:pPr>
              <w:spacing w:line="200" w:lineRule="exact"/>
              <w:rPr>
                <w:rFonts w:asciiTheme="majorHAnsi" w:hAnsiTheme="majorHAnsi" w:cstheme="majorHAnsi"/>
                <w:color w:val="auto"/>
                <w:sz w:val="18"/>
                <w:szCs w:val="18"/>
                <w:highlight w:val="lightGray"/>
              </w:rPr>
            </w:pPr>
            <w:r w:rsidRPr="00B32921">
              <w:rPr>
                <w:rFonts w:asciiTheme="majorHAnsi" w:eastAsia="Calibri" w:hAnsiTheme="majorHAnsi" w:cstheme="majorHAnsi"/>
                <w:color w:val="auto"/>
                <w:sz w:val="18"/>
                <w:szCs w:val="18"/>
              </w:rPr>
              <w:t>100</w:t>
            </w:r>
            <w:r w:rsidR="00BB717F" w:rsidRPr="00B32921">
              <w:rPr>
                <w:rFonts w:asciiTheme="majorHAnsi" w:eastAsia="Calibri" w:hAnsiTheme="majorHAnsi" w:cstheme="majorHAnsi"/>
                <w:color w:val="auto"/>
                <w:sz w:val="18"/>
                <w:szCs w:val="18"/>
              </w:rPr>
              <w:t>⁰</w:t>
            </w:r>
          </w:p>
        </w:tc>
      </w:tr>
      <w:tr w:rsidR="00BB717F" w:rsidRPr="00B32921" w:rsidTr="00CB249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B717F" w:rsidRPr="00B32921" w:rsidRDefault="00BB717F" w:rsidP="00CB2498">
            <w:pPr>
              <w:pStyle w:val="ListParagraph"/>
              <w:spacing w:after="0" w:line="200" w:lineRule="exact"/>
              <w:ind w:left="0"/>
              <w:rPr>
                <w:rFonts w:asciiTheme="majorHAnsi" w:eastAsia="Calibri" w:hAnsiTheme="majorHAnsi" w:cstheme="majorHAnsi"/>
                <w:sz w:val="18"/>
                <w:szCs w:val="18"/>
              </w:rPr>
            </w:pPr>
            <w:r w:rsidRPr="00B32921">
              <w:rPr>
                <w:rFonts w:asciiTheme="majorHAnsi" w:eastAsia="Calibri" w:hAnsiTheme="majorHAnsi" w:cstheme="majorHAnsi"/>
                <w:sz w:val="18"/>
                <w:szCs w:val="18"/>
              </w:rPr>
              <w:t>Comment</w:t>
            </w:r>
          </w:p>
        </w:tc>
        <w:tc>
          <w:tcPr>
            <w:tcW w:w="2525" w:type="dxa"/>
            <w:tcBorders>
              <w:top w:val="single" w:sz="4" w:space="0" w:color="000000"/>
              <w:left w:val="single" w:sz="4" w:space="0" w:color="000000"/>
              <w:bottom w:val="single" w:sz="4" w:space="0" w:color="000000"/>
              <w:right w:val="single" w:sz="4" w:space="0" w:color="000000"/>
            </w:tcBorders>
            <w:vAlign w:val="center"/>
          </w:tcPr>
          <w:p w:rsidR="00BB717F" w:rsidRPr="00B32921" w:rsidRDefault="00A92F95" w:rsidP="00CB2498">
            <w:pPr>
              <w:pStyle w:val="ListParagraph"/>
              <w:spacing w:after="0" w:line="200" w:lineRule="exact"/>
              <w:ind w:left="0"/>
              <w:rPr>
                <w:rFonts w:asciiTheme="majorHAnsi" w:eastAsia="Calibri" w:hAnsiTheme="majorHAnsi" w:cstheme="majorHAnsi"/>
                <w:sz w:val="18"/>
                <w:szCs w:val="18"/>
                <w:highlight w:val="lightGray"/>
              </w:rPr>
            </w:pPr>
            <w:r w:rsidRPr="00B32921">
              <w:rPr>
                <w:rFonts w:asciiTheme="majorHAnsi" w:eastAsia="Calibri" w:hAnsiTheme="majorHAnsi" w:cstheme="majorHAnsi"/>
                <w:sz w:val="18"/>
                <w:szCs w:val="18"/>
              </w:rPr>
              <w:t>No spasm</w:t>
            </w:r>
            <w:r w:rsidR="00557D14" w:rsidRPr="00B32921">
              <w:rPr>
                <w:rFonts w:asciiTheme="majorHAnsi" w:eastAsia="Calibri" w:hAnsiTheme="majorHAnsi" w:cstheme="majorHAnsi"/>
                <w:sz w:val="18"/>
                <w:szCs w:val="18"/>
              </w:rPr>
              <w:t xml:space="preserve"> or tenderness</w:t>
            </w:r>
            <w:r w:rsidR="005D0378" w:rsidRPr="00B32921">
              <w:rPr>
                <w:rFonts w:asciiTheme="majorHAnsi" w:eastAsia="Calibri" w:hAnsiTheme="majorHAnsi" w:cstheme="majorHAnsi"/>
                <w:sz w:val="18"/>
                <w:szCs w:val="18"/>
              </w:rPr>
              <w:t>; antalgic gait</w:t>
            </w:r>
          </w:p>
        </w:tc>
        <w:tc>
          <w:tcPr>
            <w:tcW w:w="2250" w:type="dxa"/>
            <w:tcBorders>
              <w:top w:val="single" w:sz="4" w:space="0" w:color="000000"/>
              <w:left w:val="single" w:sz="4" w:space="0" w:color="000000"/>
              <w:bottom w:val="single" w:sz="4" w:space="0" w:color="000000"/>
              <w:right w:val="single" w:sz="4" w:space="0" w:color="000000"/>
            </w:tcBorders>
            <w:vAlign w:val="center"/>
          </w:tcPr>
          <w:p w:rsidR="00BB717F" w:rsidRPr="00B32921" w:rsidRDefault="00BB717F" w:rsidP="00CB2498">
            <w:pPr>
              <w:pStyle w:val="ListParagraph"/>
              <w:spacing w:after="0" w:line="200" w:lineRule="exact"/>
              <w:ind w:left="0"/>
              <w:rPr>
                <w:rFonts w:asciiTheme="majorHAnsi" w:eastAsia="Calibri" w:hAnsiTheme="majorHAnsi" w:cstheme="majorHAnsi"/>
                <w:sz w:val="18"/>
                <w:szCs w:val="18"/>
                <w:highlight w:val="lightGray"/>
              </w:rPr>
            </w:pPr>
            <w:r w:rsidRPr="00B32921">
              <w:rPr>
                <w:rFonts w:asciiTheme="majorHAnsi" w:eastAsia="Calibri" w:hAnsiTheme="majorHAnsi" w:cstheme="majorHAnsi"/>
                <w:sz w:val="18"/>
                <w:szCs w:val="18"/>
              </w:rPr>
              <w:t>+ Tenderness; painful motion</w:t>
            </w:r>
          </w:p>
        </w:tc>
      </w:tr>
      <w:tr w:rsidR="00BB717F" w:rsidRPr="00B32921" w:rsidTr="00CB249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B717F" w:rsidRPr="00B32921" w:rsidRDefault="00BB717F" w:rsidP="00CB2498">
            <w:pPr>
              <w:pStyle w:val="ListParagraph"/>
              <w:spacing w:after="0" w:line="200" w:lineRule="exact"/>
              <w:ind w:left="0"/>
              <w:rPr>
                <w:rFonts w:asciiTheme="majorHAnsi" w:eastAsia="Calibri" w:hAnsiTheme="majorHAnsi" w:cstheme="majorHAnsi"/>
                <w:sz w:val="18"/>
                <w:szCs w:val="18"/>
              </w:rPr>
            </w:pPr>
            <w:r w:rsidRPr="00B32921">
              <w:rPr>
                <w:rFonts w:asciiTheme="majorHAnsi" w:eastAsia="Calibri" w:hAnsiTheme="majorHAnsi" w:cstheme="majorHAnsi"/>
                <w:sz w:val="18"/>
                <w:szCs w:val="18"/>
              </w:rPr>
              <w:t>§4.71a Rating</w:t>
            </w:r>
          </w:p>
        </w:tc>
        <w:tc>
          <w:tcPr>
            <w:tcW w:w="2525" w:type="dxa"/>
            <w:tcBorders>
              <w:top w:val="single" w:sz="4" w:space="0" w:color="000000"/>
              <w:left w:val="single" w:sz="4" w:space="0" w:color="000000"/>
              <w:bottom w:val="single" w:sz="4" w:space="0" w:color="000000"/>
              <w:right w:val="single" w:sz="4" w:space="0" w:color="000000"/>
            </w:tcBorders>
            <w:vAlign w:val="center"/>
          </w:tcPr>
          <w:p w:rsidR="00BB717F" w:rsidRPr="00B32921" w:rsidRDefault="00A92F95" w:rsidP="00CB2498">
            <w:pPr>
              <w:pStyle w:val="ListParagraph"/>
              <w:spacing w:after="0" w:line="200" w:lineRule="exact"/>
              <w:ind w:left="0"/>
              <w:rPr>
                <w:rFonts w:asciiTheme="majorHAnsi" w:eastAsia="Calibri" w:hAnsiTheme="majorHAnsi" w:cstheme="majorHAnsi"/>
                <w:sz w:val="18"/>
                <w:szCs w:val="18"/>
                <w:highlight w:val="lightGray"/>
              </w:rPr>
            </w:pPr>
            <w:r w:rsidRPr="00B32921">
              <w:rPr>
                <w:rFonts w:asciiTheme="majorHAnsi" w:eastAsia="Calibri" w:hAnsiTheme="majorHAnsi" w:cstheme="majorHAnsi"/>
                <w:sz w:val="18"/>
                <w:szCs w:val="18"/>
              </w:rPr>
              <w:t>10</w:t>
            </w:r>
            <w:r w:rsidR="00BB717F" w:rsidRPr="00B32921">
              <w:rPr>
                <w:rFonts w:asciiTheme="majorHAnsi" w:eastAsia="Calibri" w:hAnsiTheme="majorHAnsi" w:cstheme="majorHAnsi"/>
                <w:sz w:val="18"/>
                <w:szCs w:val="18"/>
              </w:rPr>
              <w:t>%</w:t>
            </w:r>
            <w:r w:rsidRPr="00B32921">
              <w:rPr>
                <w:rFonts w:asciiTheme="majorHAnsi" w:eastAsia="Calibri" w:hAnsiTheme="majorHAnsi" w:cstheme="majorHAnsi"/>
                <w:sz w:val="18"/>
                <w:szCs w:val="18"/>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BB717F" w:rsidRPr="00B32921" w:rsidRDefault="007B251A" w:rsidP="00CB2498">
            <w:pPr>
              <w:pStyle w:val="ListParagraph"/>
              <w:spacing w:after="0" w:line="200" w:lineRule="exact"/>
              <w:ind w:left="0"/>
              <w:rPr>
                <w:rFonts w:asciiTheme="majorHAnsi" w:eastAsia="Calibri" w:hAnsiTheme="majorHAnsi" w:cstheme="majorHAnsi"/>
                <w:sz w:val="18"/>
                <w:szCs w:val="18"/>
                <w:highlight w:val="lightGray"/>
              </w:rPr>
            </w:pPr>
            <w:r w:rsidRPr="00B32921">
              <w:rPr>
                <w:rFonts w:asciiTheme="majorHAnsi" w:eastAsia="Calibri" w:hAnsiTheme="majorHAnsi" w:cstheme="majorHAnsi"/>
                <w:sz w:val="18"/>
                <w:szCs w:val="18"/>
              </w:rPr>
              <w:t>20</w:t>
            </w:r>
            <w:r w:rsidR="00BB717F" w:rsidRPr="00B32921">
              <w:rPr>
                <w:rFonts w:asciiTheme="majorHAnsi" w:eastAsia="Calibri" w:hAnsiTheme="majorHAnsi" w:cstheme="majorHAnsi"/>
                <w:sz w:val="18"/>
                <w:szCs w:val="18"/>
              </w:rPr>
              <w:t>%</w:t>
            </w:r>
          </w:p>
        </w:tc>
      </w:tr>
    </w:tbl>
    <w:p w:rsidR="00EF51D9" w:rsidRPr="00B32921" w:rsidRDefault="00A92F95" w:rsidP="00A92F95">
      <w:pPr>
        <w:jc w:val="both"/>
        <w:rPr>
          <w:rFonts w:eastAsia="HiddenHorzOCR"/>
          <w:color w:val="auto"/>
          <w:sz w:val="18"/>
          <w:szCs w:val="18"/>
        </w:rPr>
      </w:pPr>
      <w:r w:rsidRPr="00B32921">
        <w:rPr>
          <w:rFonts w:eastAsia="HiddenHorzOCR"/>
          <w:color w:val="auto"/>
        </w:rPr>
        <w:tab/>
      </w:r>
      <w:r w:rsidRPr="00B32921">
        <w:rPr>
          <w:rFonts w:eastAsia="HiddenHorzOCR"/>
          <w:color w:val="auto"/>
        </w:rPr>
        <w:tab/>
      </w:r>
      <w:r w:rsidRPr="00B32921">
        <w:rPr>
          <w:rFonts w:eastAsia="HiddenHorzOCR"/>
          <w:color w:val="auto"/>
          <w:sz w:val="18"/>
          <w:szCs w:val="18"/>
        </w:rPr>
        <w:t>*Conceding pain with use</w:t>
      </w:r>
    </w:p>
    <w:p w:rsidR="003D2FE2" w:rsidRPr="00B32921" w:rsidRDefault="003D2FE2" w:rsidP="003863E9">
      <w:pPr>
        <w:jc w:val="both"/>
        <w:rPr>
          <w:rFonts w:eastAsia="HiddenHorzOCR"/>
          <w:color w:val="auto"/>
        </w:rPr>
      </w:pPr>
    </w:p>
    <w:p w:rsidR="00DD172A" w:rsidRDefault="00CB648E" w:rsidP="003863E9">
      <w:pPr>
        <w:jc w:val="both"/>
        <w:rPr>
          <w:rFonts w:eastAsia="HiddenHorzOCR"/>
          <w:color w:val="auto"/>
        </w:rPr>
      </w:pPr>
      <w:r>
        <w:rPr>
          <w:rFonts w:eastAsia="HiddenHorzOCR"/>
          <w:color w:val="auto"/>
        </w:rPr>
        <w:t xml:space="preserve">The MEB physical therapist </w:t>
      </w:r>
      <w:r w:rsidR="00585631">
        <w:rPr>
          <w:rFonts w:eastAsia="HiddenHorzOCR"/>
          <w:color w:val="auto"/>
        </w:rPr>
        <w:t xml:space="preserve">(PT) </w:t>
      </w:r>
      <w:r>
        <w:rPr>
          <w:rFonts w:eastAsia="HiddenHorzOCR"/>
          <w:color w:val="auto"/>
        </w:rPr>
        <w:t xml:space="preserve">documented that goniometric ROM was performed on </w:t>
      </w:r>
      <w:r w:rsidR="00CB2863">
        <w:rPr>
          <w:rFonts w:eastAsia="HiddenHorzOCR"/>
          <w:color w:val="auto"/>
        </w:rPr>
        <w:t xml:space="preserve">              </w:t>
      </w:r>
      <w:r w:rsidR="00DE6FB3">
        <w:rPr>
          <w:rFonts w:eastAsia="HiddenHorzOCR"/>
          <w:color w:val="auto"/>
        </w:rPr>
        <w:t>3</w:t>
      </w:r>
      <w:r w:rsidR="00CB2863">
        <w:rPr>
          <w:rFonts w:eastAsia="HiddenHorzOCR"/>
          <w:color w:val="auto"/>
        </w:rPr>
        <w:t xml:space="preserve"> November 2006</w:t>
      </w:r>
      <w:r w:rsidR="002960AC">
        <w:rPr>
          <w:rFonts w:eastAsia="HiddenHorzOCR"/>
          <w:color w:val="auto"/>
        </w:rPr>
        <w:t xml:space="preserve">, and further stated that </w:t>
      </w:r>
      <w:r>
        <w:rPr>
          <w:rFonts w:eastAsia="HiddenHorzOCR"/>
          <w:color w:val="auto"/>
        </w:rPr>
        <w:t>the results were recorded in d</w:t>
      </w:r>
      <w:r w:rsidR="00586878">
        <w:rPr>
          <w:rFonts w:eastAsia="HiddenHorzOCR"/>
          <w:color w:val="auto"/>
        </w:rPr>
        <w:t>egrees.  Although those results</w:t>
      </w:r>
      <w:r w:rsidR="00585631">
        <w:rPr>
          <w:rFonts w:eastAsia="HiddenHorzOCR"/>
          <w:color w:val="auto"/>
        </w:rPr>
        <w:t xml:space="preserve"> are not in evidence</w:t>
      </w:r>
      <w:r w:rsidR="00586878">
        <w:rPr>
          <w:rFonts w:eastAsia="HiddenHorzOCR"/>
          <w:color w:val="auto"/>
        </w:rPr>
        <w:t>, the examiner did document that “ROM is normal for body type.”</w:t>
      </w:r>
      <w:r>
        <w:rPr>
          <w:rFonts w:eastAsia="HiddenHorzOCR"/>
          <w:color w:val="auto"/>
        </w:rPr>
        <w:t xml:space="preserve">  </w:t>
      </w:r>
      <w:r w:rsidR="00586878">
        <w:rPr>
          <w:rFonts w:eastAsia="HiddenHorzOCR"/>
          <w:color w:val="auto"/>
        </w:rPr>
        <w:t xml:space="preserve">The NARSUM examiner refers to the PT documentation as </w:t>
      </w:r>
      <w:r w:rsidR="00585631">
        <w:rPr>
          <w:rFonts w:eastAsia="HiddenHorzOCR"/>
          <w:color w:val="auto"/>
        </w:rPr>
        <w:t xml:space="preserve">stating </w:t>
      </w:r>
      <w:r w:rsidR="00586878">
        <w:rPr>
          <w:rFonts w:eastAsia="HiddenHorzOCR"/>
          <w:color w:val="auto"/>
        </w:rPr>
        <w:t>“full active range of motion</w:t>
      </w:r>
      <w:r w:rsidR="00585631">
        <w:rPr>
          <w:rFonts w:eastAsia="HiddenHorzOCR"/>
          <w:color w:val="auto"/>
        </w:rPr>
        <w:t>” (FAROM) of the thoracolumbar spine</w:t>
      </w:r>
      <w:r w:rsidR="003E0E20">
        <w:rPr>
          <w:rFonts w:eastAsia="HiddenHorzOCR"/>
          <w:color w:val="auto"/>
        </w:rPr>
        <w:t xml:space="preserve"> was present</w:t>
      </w:r>
      <w:r w:rsidR="00585631">
        <w:rPr>
          <w:rFonts w:eastAsia="HiddenHorzOCR"/>
          <w:color w:val="auto"/>
        </w:rPr>
        <w:t xml:space="preserve">.  </w:t>
      </w:r>
      <w:r w:rsidR="00BB717F">
        <w:rPr>
          <w:rFonts w:eastAsia="HiddenHorzOCR"/>
          <w:color w:val="auto"/>
        </w:rPr>
        <w:t xml:space="preserve">Examination </w:t>
      </w:r>
      <w:r w:rsidR="00DD172A">
        <w:rPr>
          <w:rFonts w:eastAsia="HiddenHorzOCR"/>
          <w:color w:val="auto"/>
        </w:rPr>
        <w:t xml:space="preserve">by the orthopedist NARSUM, 3 </w:t>
      </w:r>
      <w:r w:rsidR="003E0E20">
        <w:rPr>
          <w:rFonts w:eastAsia="HiddenHorzOCR"/>
          <w:color w:val="auto"/>
        </w:rPr>
        <w:t>months prior to separation</w:t>
      </w:r>
      <w:r w:rsidR="00DD172A">
        <w:rPr>
          <w:rFonts w:eastAsia="HiddenHorzOCR"/>
          <w:color w:val="auto"/>
        </w:rPr>
        <w:t>,</w:t>
      </w:r>
      <w:r w:rsidR="00A92F95">
        <w:rPr>
          <w:rFonts w:eastAsia="HiddenHorzOCR"/>
          <w:color w:val="auto"/>
        </w:rPr>
        <w:t xml:space="preserve"> </w:t>
      </w:r>
      <w:r w:rsidR="00BB717F">
        <w:rPr>
          <w:rFonts w:eastAsia="HiddenHorzOCR"/>
          <w:color w:val="auto"/>
        </w:rPr>
        <w:t>revealed a slightly antalgic gait, as noted in the hip condition discussion.  Tandem gait was normal</w:t>
      </w:r>
      <w:r w:rsidR="00585631">
        <w:rPr>
          <w:rFonts w:eastAsia="HiddenHorzOCR"/>
          <w:color w:val="auto"/>
        </w:rPr>
        <w:t>, and the CI could heel and toe walk</w:t>
      </w:r>
      <w:r w:rsidR="00BB717F">
        <w:rPr>
          <w:rFonts w:eastAsia="HiddenHorzOCR"/>
          <w:color w:val="auto"/>
        </w:rPr>
        <w:t xml:space="preserve">.  The </w:t>
      </w:r>
      <w:r w:rsidR="00BB717F">
        <w:rPr>
          <w:rFonts w:eastAsia="HiddenHorzOCR"/>
          <w:color w:val="auto"/>
        </w:rPr>
        <w:lastRenderedPageBreak/>
        <w:t>examination was silent regarding spinal contour</w:t>
      </w:r>
      <w:r w:rsidR="00E238FB">
        <w:rPr>
          <w:rFonts w:eastAsia="HiddenHorzOCR"/>
          <w:color w:val="auto"/>
        </w:rPr>
        <w:t xml:space="preserve"> and</w:t>
      </w:r>
      <w:r w:rsidR="00BB717F">
        <w:rPr>
          <w:rFonts w:eastAsia="HiddenHorzOCR"/>
          <w:color w:val="auto"/>
        </w:rPr>
        <w:t xml:space="preserve"> tenderness.  Muscle strength was normal, deep tendon reflexes (DTR) were symmetric and sensation of the lower extremities was intact.  Straight leg raise (SLR) testing was negative.</w:t>
      </w:r>
      <w:r w:rsidR="00A85B18">
        <w:rPr>
          <w:rFonts w:eastAsia="HiddenHorzOCR"/>
          <w:color w:val="auto"/>
        </w:rPr>
        <w:t xml:space="preserve">  </w:t>
      </w:r>
      <w:r w:rsidR="00DD172A">
        <w:rPr>
          <w:rFonts w:eastAsia="HiddenHorzOCR"/>
          <w:color w:val="auto"/>
        </w:rPr>
        <w:t xml:space="preserve">The MEB examiner, 3 </w:t>
      </w:r>
      <w:r w:rsidR="007E5F6C">
        <w:rPr>
          <w:rFonts w:eastAsia="HiddenHorzOCR"/>
          <w:color w:val="auto"/>
        </w:rPr>
        <w:t>months prior to separation</w:t>
      </w:r>
      <w:r w:rsidR="00DD172A">
        <w:rPr>
          <w:rFonts w:eastAsia="HiddenHorzOCR"/>
          <w:color w:val="auto"/>
        </w:rPr>
        <w:t>,</w:t>
      </w:r>
      <w:r w:rsidR="007E7780">
        <w:rPr>
          <w:rFonts w:eastAsia="HiddenHorzOCR"/>
          <w:color w:val="auto"/>
        </w:rPr>
        <w:t xml:space="preserve"> </w:t>
      </w:r>
      <w:r w:rsidR="00E238FB">
        <w:rPr>
          <w:rFonts w:eastAsia="HiddenHorzOCR"/>
          <w:color w:val="auto"/>
        </w:rPr>
        <w:t xml:space="preserve">noted the absence of muscle spasm.  </w:t>
      </w:r>
      <w:r w:rsidR="00A92F95">
        <w:rPr>
          <w:rFonts w:eastAsia="HiddenHorzOCR"/>
          <w:color w:val="auto"/>
        </w:rPr>
        <w:t xml:space="preserve">An </w:t>
      </w:r>
      <w:r w:rsidR="00A60A9B">
        <w:rPr>
          <w:rFonts w:eastAsia="HiddenHorzOCR"/>
          <w:color w:val="auto"/>
        </w:rPr>
        <w:t xml:space="preserve">MEB </w:t>
      </w:r>
      <w:r w:rsidR="00A92F95">
        <w:rPr>
          <w:rFonts w:eastAsia="HiddenHorzOCR"/>
          <w:color w:val="auto"/>
        </w:rPr>
        <w:t>endocrinology examiner</w:t>
      </w:r>
      <w:r w:rsidR="00DD172A">
        <w:rPr>
          <w:rFonts w:eastAsia="HiddenHorzOCR"/>
          <w:color w:val="auto"/>
        </w:rPr>
        <w:t>, 3</w:t>
      </w:r>
      <w:r w:rsidR="00547968">
        <w:rPr>
          <w:rFonts w:eastAsia="HiddenHorzOCR"/>
          <w:color w:val="auto"/>
        </w:rPr>
        <w:t xml:space="preserve"> months prior to separation</w:t>
      </w:r>
      <w:r w:rsidR="00DD172A">
        <w:rPr>
          <w:rFonts w:eastAsia="HiddenHorzOCR"/>
          <w:color w:val="auto"/>
        </w:rPr>
        <w:t>,</w:t>
      </w:r>
      <w:r w:rsidR="00A92F95">
        <w:rPr>
          <w:rFonts w:eastAsia="HiddenHorzOCR"/>
          <w:color w:val="auto"/>
        </w:rPr>
        <w:t xml:space="preserve"> noted a </w:t>
      </w:r>
      <w:r w:rsidR="00126962">
        <w:rPr>
          <w:rFonts w:eastAsia="HiddenHorzOCR"/>
          <w:color w:val="auto"/>
        </w:rPr>
        <w:t>normal gait and no back tenderness</w:t>
      </w:r>
      <w:r w:rsidR="00A92F95">
        <w:rPr>
          <w:rFonts w:eastAsia="HiddenHorzOCR"/>
          <w:color w:val="auto"/>
        </w:rPr>
        <w:t xml:space="preserve">.  </w:t>
      </w:r>
      <w:r w:rsidR="007E7780">
        <w:rPr>
          <w:rFonts w:eastAsia="HiddenHorzOCR"/>
          <w:color w:val="auto"/>
        </w:rPr>
        <w:t xml:space="preserve">X-rays showed degenerative changes.  </w:t>
      </w:r>
      <w:r w:rsidR="00A85B18">
        <w:rPr>
          <w:rFonts w:eastAsia="HiddenHorzOCR"/>
          <w:color w:val="auto"/>
        </w:rPr>
        <w:t xml:space="preserve">Lumbar spine magnetic resonance imaging </w:t>
      </w:r>
      <w:r w:rsidR="00A85B18" w:rsidRPr="00DE6FB3">
        <w:rPr>
          <w:rFonts w:eastAsia="HiddenHorzOCR"/>
          <w:color w:val="auto"/>
        </w:rPr>
        <w:t>(MRI) showed severe discogenic disease</w:t>
      </w:r>
      <w:r w:rsidR="00E238FB" w:rsidRPr="00DE6FB3">
        <w:rPr>
          <w:rFonts w:eastAsia="HiddenHorzOCR"/>
          <w:color w:val="auto"/>
        </w:rPr>
        <w:t>,</w:t>
      </w:r>
      <w:r w:rsidR="00A85B18" w:rsidRPr="00DE6FB3">
        <w:rPr>
          <w:rFonts w:eastAsia="HiddenHorzOCR"/>
          <w:color w:val="auto"/>
        </w:rPr>
        <w:t xml:space="preserve"> </w:t>
      </w:r>
      <w:r w:rsidR="007B251A" w:rsidRPr="00DE6FB3">
        <w:rPr>
          <w:rFonts w:eastAsia="HiddenHorzOCR"/>
          <w:color w:val="auto"/>
        </w:rPr>
        <w:t xml:space="preserve">mild to moderate </w:t>
      </w:r>
      <w:r w:rsidR="00A85B18" w:rsidRPr="00DE6FB3">
        <w:rPr>
          <w:rFonts w:eastAsia="HiddenHorzOCR"/>
          <w:color w:val="auto"/>
        </w:rPr>
        <w:t>central canal stenosis and bilateral neuroforaminal narrowing</w:t>
      </w:r>
      <w:r w:rsidR="007B251A" w:rsidRPr="00DE6FB3">
        <w:rPr>
          <w:rFonts w:eastAsia="HiddenHorzOCR"/>
          <w:color w:val="auto"/>
        </w:rPr>
        <w:t xml:space="preserve"> from disc protrusion</w:t>
      </w:r>
      <w:r w:rsidR="00A85B18" w:rsidRPr="00DE6FB3">
        <w:rPr>
          <w:rFonts w:eastAsia="HiddenHorzOCR"/>
          <w:color w:val="auto"/>
        </w:rPr>
        <w:t>.</w:t>
      </w:r>
      <w:r w:rsidR="00DE6FB3">
        <w:rPr>
          <w:rFonts w:eastAsia="HiddenHorzOCR"/>
          <w:color w:val="auto"/>
        </w:rPr>
        <w:t xml:space="preserve">  </w:t>
      </w:r>
    </w:p>
    <w:p w:rsidR="00DD172A" w:rsidRDefault="00DD172A" w:rsidP="003863E9">
      <w:pPr>
        <w:jc w:val="both"/>
        <w:rPr>
          <w:rFonts w:eastAsia="HiddenHorzOCR"/>
          <w:color w:val="auto"/>
        </w:rPr>
      </w:pPr>
    </w:p>
    <w:p w:rsidR="00D13B45" w:rsidRDefault="007F7413" w:rsidP="003863E9">
      <w:pPr>
        <w:jc w:val="both"/>
        <w:rPr>
          <w:rFonts w:eastAsia="HiddenHorzOCR"/>
          <w:color w:val="auto"/>
          <w:u w:val="single"/>
        </w:rPr>
      </w:pPr>
      <w:r>
        <w:rPr>
          <w:rFonts w:eastAsia="HiddenHorzOCR"/>
          <w:color w:val="auto"/>
        </w:rPr>
        <w:t>The C&amp;P examiner</w:t>
      </w:r>
      <w:r w:rsidR="00DD172A">
        <w:rPr>
          <w:rFonts w:eastAsia="HiddenHorzOCR"/>
          <w:color w:val="auto"/>
        </w:rPr>
        <w:t xml:space="preserve"> </w:t>
      </w:r>
      <w:r w:rsidR="00D13B45">
        <w:rPr>
          <w:rFonts w:eastAsia="HiddenHorzOCR"/>
          <w:color w:val="auto"/>
        </w:rPr>
        <w:t>reported that the back pain</w:t>
      </w:r>
      <w:r w:rsidR="006E2CAD">
        <w:rPr>
          <w:rFonts w:eastAsia="HiddenHorzOCR"/>
          <w:color w:val="auto"/>
        </w:rPr>
        <w:t xml:space="preserve"> began in 2001 or 2002.  It</w:t>
      </w:r>
      <w:r w:rsidR="00D13B45">
        <w:rPr>
          <w:rFonts w:eastAsia="HiddenHorzOCR"/>
          <w:color w:val="auto"/>
        </w:rPr>
        <w:t xml:space="preserve"> increased to the point that</w:t>
      </w:r>
      <w:r w:rsidR="006E2CAD">
        <w:rPr>
          <w:rFonts w:eastAsia="HiddenHorzOCR"/>
          <w:color w:val="auto"/>
        </w:rPr>
        <w:t xml:space="preserve"> it was present 80% of the time</w:t>
      </w:r>
      <w:r w:rsidR="00D13B45">
        <w:rPr>
          <w:rFonts w:eastAsia="HiddenHorzOCR"/>
          <w:color w:val="auto"/>
        </w:rPr>
        <w:t xml:space="preserve"> and was associated with </w:t>
      </w:r>
      <w:r w:rsidR="00D13B45" w:rsidRPr="00DE6FB3">
        <w:rPr>
          <w:rFonts w:eastAsia="HiddenHorzOCR"/>
          <w:color w:val="auto"/>
        </w:rPr>
        <w:t>radiation of pain to the thigh.</w:t>
      </w:r>
      <w:r w:rsidR="00D13B45">
        <w:rPr>
          <w:rFonts w:eastAsia="HiddenHorzOCR"/>
          <w:color w:val="auto"/>
        </w:rPr>
        <w:t xml:space="preserve">  The CI could only walk </w:t>
      </w:r>
      <w:r w:rsidR="00DD172A">
        <w:rPr>
          <w:rFonts w:eastAsia="HiddenHorzOCR"/>
          <w:color w:val="auto"/>
        </w:rPr>
        <w:t>2</w:t>
      </w:r>
      <w:r w:rsidR="00D13B45">
        <w:rPr>
          <w:rFonts w:eastAsia="HiddenHorzOCR"/>
          <w:color w:val="auto"/>
        </w:rPr>
        <w:t xml:space="preserve"> blocks.  Pain medication was taken twice per week and was helpful.  He did not use a brace, cane or crutch.  Flare-ups occurred two to three time</w:t>
      </w:r>
      <w:r w:rsidR="00A85B18">
        <w:rPr>
          <w:rFonts w:eastAsia="HiddenHorzOCR"/>
          <w:color w:val="auto"/>
        </w:rPr>
        <w:t xml:space="preserve">s per month and lasted </w:t>
      </w:r>
      <w:r w:rsidR="00DD172A">
        <w:rPr>
          <w:rFonts w:eastAsia="HiddenHorzOCR"/>
          <w:color w:val="auto"/>
        </w:rPr>
        <w:t>2</w:t>
      </w:r>
      <w:r w:rsidR="00A85B18">
        <w:rPr>
          <w:rFonts w:eastAsia="HiddenHorzOCR"/>
          <w:color w:val="auto"/>
        </w:rPr>
        <w:t xml:space="preserve"> days, but there were no incapacitating episodes.</w:t>
      </w:r>
      <w:r w:rsidR="00D13B45">
        <w:rPr>
          <w:rFonts w:eastAsia="HiddenHorzOCR"/>
          <w:color w:val="auto"/>
        </w:rPr>
        <w:t xml:space="preserve">  </w:t>
      </w:r>
      <w:r w:rsidR="00C10ECD">
        <w:rPr>
          <w:rFonts w:eastAsia="HiddenHorzOCR"/>
          <w:color w:val="auto"/>
        </w:rPr>
        <w:t>Examination revealed a</w:t>
      </w:r>
      <w:r w:rsidR="00E71DC2">
        <w:rPr>
          <w:rFonts w:eastAsia="HiddenHorzOCR"/>
          <w:color w:val="auto"/>
        </w:rPr>
        <w:t>n unremarkable</w:t>
      </w:r>
      <w:r w:rsidR="00C10ECD">
        <w:rPr>
          <w:rFonts w:eastAsia="HiddenHorzOCR"/>
          <w:color w:val="auto"/>
        </w:rPr>
        <w:t xml:space="preserve"> gait, but spinal contour </w:t>
      </w:r>
      <w:r w:rsidR="00736987">
        <w:rPr>
          <w:rFonts w:eastAsia="HiddenHorzOCR"/>
          <w:color w:val="auto"/>
        </w:rPr>
        <w:t>and spasm were</w:t>
      </w:r>
      <w:r w:rsidR="00C10ECD">
        <w:rPr>
          <w:rFonts w:eastAsia="HiddenHorzOCR"/>
          <w:color w:val="auto"/>
        </w:rPr>
        <w:t xml:space="preserve"> not mentioned.  </w:t>
      </w:r>
      <w:r w:rsidR="00037B66">
        <w:rPr>
          <w:rFonts w:cs="Times New Roman"/>
          <w:color w:val="auto"/>
        </w:rPr>
        <w:t>T</w:t>
      </w:r>
      <w:r w:rsidR="00037B66" w:rsidRPr="00B27968">
        <w:rPr>
          <w:rFonts w:cs="Times New Roman"/>
          <w:color w:val="auto"/>
        </w:rPr>
        <w:t>he examiner stated, “</w:t>
      </w:r>
      <w:r w:rsidR="00037B66">
        <w:rPr>
          <w:rFonts w:cs="Times New Roman"/>
          <w:color w:val="auto"/>
        </w:rPr>
        <w:t>He has a considerable amount of pain with all movements from inception to completion including getting on and off the examining table and going from sitting to lying and lying to sitting, sitting to standing.”</w:t>
      </w:r>
      <w:r w:rsidR="00037B66" w:rsidRPr="00B27968">
        <w:rPr>
          <w:rFonts w:cs="Times New Roman"/>
          <w:color w:val="auto"/>
        </w:rPr>
        <w:t xml:space="preserve"> </w:t>
      </w:r>
      <w:r w:rsidR="00037B66">
        <w:rPr>
          <w:rFonts w:cs="Times New Roman"/>
          <w:color w:val="auto"/>
        </w:rPr>
        <w:t xml:space="preserve"> </w:t>
      </w:r>
      <w:r w:rsidR="00C10ECD">
        <w:rPr>
          <w:rFonts w:eastAsia="HiddenHorzOCR"/>
          <w:color w:val="auto"/>
        </w:rPr>
        <w:t xml:space="preserve">There was no tenderness.  </w:t>
      </w:r>
      <w:r w:rsidR="00A85B18">
        <w:rPr>
          <w:rFonts w:eastAsia="HiddenHorzOCR"/>
          <w:color w:val="auto"/>
        </w:rPr>
        <w:t>SLR testing was limited to 80</w:t>
      </w:r>
      <w:r w:rsidR="00A85B18" w:rsidRPr="00C105DA">
        <w:rPr>
          <w:color w:val="auto"/>
          <w:szCs w:val="24"/>
        </w:rPr>
        <w:t>⁰</w:t>
      </w:r>
      <w:r w:rsidR="00A85B18">
        <w:rPr>
          <w:rFonts w:eastAsia="HiddenHorzOCR"/>
          <w:color w:val="auto"/>
        </w:rPr>
        <w:t xml:space="preserve"> bilaterally.  </w:t>
      </w:r>
      <w:r w:rsidR="00C10ECD">
        <w:rPr>
          <w:rFonts w:eastAsia="HiddenHorzOCR"/>
          <w:color w:val="auto"/>
        </w:rPr>
        <w:t>There was a considerable am</w:t>
      </w:r>
      <w:r w:rsidR="00A85B18">
        <w:rPr>
          <w:rFonts w:eastAsia="HiddenHorzOCR"/>
          <w:color w:val="auto"/>
        </w:rPr>
        <w:t xml:space="preserve">ount of pain with all movements, but no additional limitation after repetition.  </w:t>
      </w:r>
      <w:r w:rsidR="00E71DC2">
        <w:rPr>
          <w:rFonts w:eastAsia="HiddenHorzOCR"/>
          <w:color w:val="auto"/>
        </w:rPr>
        <w:t xml:space="preserve">Muscle strength was normal </w:t>
      </w:r>
      <w:r w:rsidR="00E71DC2" w:rsidRPr="00DE6FB3">
        <w:rPr>
          <w:rFonts w:eastAsia="HiddenHorzOCR"/>
          <w:color w:val="auto"/>
        </w:rPr>
        <w:t>but sensory loss was noted at the tips of the toes.</w:t>
      </w:r>
      <w:r w:rsidR="00E71DC2">
        <w:rPr>
          <w:rFonts w:eastAsia="HiddenHorzOCR"/>
          <w:color w:val="auto"/>
        </w:rPr>
        <w:t xml:space="preserve">  </w:t>
      </w:r>
      <w:r w:rsidR="00177A16">
        <w:rPr>
          <w:rFonts w:eastAsia="HiddenHorzOCR"/>
          <w:color w:val="auto"/>
        </w:rPr>
        <w:t xml:space="preserve">Lumbar spine </w:t>
      </w:r>
      <w:r>
        <w:rPr>
          <w:rFonts w:eastAsia="HiddenHorzOCR"/>
          <w:color w:val="auto"/>
        </w:rPr>
        <w:t>X</w:t>
      </w:r>
      <w:r w:rsidR="007B251A">
        <w:rPr>
          <w:rFonts w:eastAsia="HiddenHorzOCR"/>
          <w:color w:val="auto"/>
        </w:rPr>
        <w:t xml:space="preserve">-rays showed </w:t>
      </w:r>
      <w:r w:rsidR="00177A16">
        <w:rPr>
          <w:rFonts w:eastAsia="HiddenHorzOCR"/>
          <w:color w:val="auto"/>
        </w:rPr>
        <w:t>disc space narrowing and osteophytes.</w:t>
      </w:r>
    </w:p>
    <w:p w:rsidR="00BB717F" w:rsidRDefault="00BB717F" w:rsidP="003863E9">
      <w:pPr>
        <w:jc w:val="both"/>
        <w:rPr>
          <w:rFonts w:eastAsia="HiddenHorzOCR"/>
          <w:color w:val="auto"/>
          <w:u w:val="single"/>
        </w:rPr>
      </w:pPr>
    </w:p>
    <w:p w:rsidR="00535839" w:rsidRPr="00535839" w:rsidRDefault="00421D29" w:rsidP="00535839">
      <w:pPr>
        <w:jc w:val="both"/>
        <w:rPr>
          <w:rFonts w:cs="Times New Roman"/>
          <w:color w:val="auto"/>
          <w:szCs w:val="24"/>
        </w:rPr>
      </w:pPr>
      <w:r w:rsidRPr="008D167B">
        <w:rPr>
          <w:rFonts w:cs="Times New Roman"/>
          <w:color w:val="auto"/>
        </w:rPr>
        <w:t>The Board directs attention to its rating recommendation based on the above evidence.</w:t>
      </w:r>
      <w:r w:rsidR="005D0378">
        <w:rPr>
          <w:rFonts w:cs="Times New Roman"/>
          <w:color w:val="auto"/>
        </w:rPr>
        <w:t xml:space="preserve">  The PEB assigned a 0% rating for no mechanical loss of motion under an analogous 5237 code (lumbar strain), with likely application of the USAPDA pain policy. </w:t>
      </w:r>
      <w:r>
        <w:rPr>
          <w:rFonts w:cs="Times New Roman"/>
          <w:color w:val="auto"/>
        </w:rPr>
        <w:t xml:space="preserve"> </w:t>
      </w:r>
      <w:r w:rsidR="002960AC">
        <w:rPr>
          <w:rFonts w:cs="Times New Roman"/>
          <w:color w:val="auto"/>
        </w:rPr>
        <w:t xml:space="preserve">Board members discussed the </w:t>
      </w:r>
      <w:r w:rsidR="003F2DF1">
        <w:rPr>
          <w:rFonts w:cs="Times New Roman"/>
          <w:color w:val="auto"/>
        </w:rPr>
        <w:t>missing</w:t>
      </w:r>
      <w:r w:rsidR="002960AC">
        <w:rPr>
          <w:rFonts w:cs="Times New Roman"/>
          <w:color w:val="auto"/>
        </w:rPr>
        <w:t xml:space="preserve"> ROM data performed by the MEB physical therapist, and debated the </w:t>
      </w:r>
      <w:r w:rsidR="00E94674">
        <w:rPr>
          <w:rFonts w:cs="Times New Roman"/>
          <w:color w:val="auto"/>
        </w:rPr>
        <w:t xml:space="preserve">value </w:t>
      </w:r>
      <w:r w:rsidR="002960AC">
        <w:rPr>
          <w:rFonts w:cs="Times New Roman"/>
          <w:color w:val="auto"/>
        </w:rPr>
        <w:t>of “FAROM</w:t>
      </w:r>
      <w:r w:rsidR="003F2DF1">
        <w:rPr>
          <w:rFonts w:cs="Times New Roman"/>
          <w:color w:val="auto"/>
        </w:rPr>
        <w:t xml:space="preserve">” recorded by the NARSUM examiner.  The Board agreed there is strong evidence the PEB relied on actual goniometric measurements, and that these values at least approximated VASRD normal values.  </w:t>
      </w:r>
      <w:r w:rsidR="00B27968" w:rsidRPr="00B27968">
        <w:rPr>
          <w:rFonts w:cs="Times New Roman"/>
          <w:color w:val="auto"/>
        </w:rPr>
        <w:t xml:space="preserve">The ROM values reported by the VA examiner </w:t>
      </w:r>
      <w:r w:rsidR="00D37241">
        <w:rPr>
          <w:rFonts w:cs="Times New Roman"/>
          <w:color w:val="auto"/>
        </w:rPr>
        <w:t>were</w:t>
      </w:r>
      <w:r w:rsidR="00B27968" w:rsidRPr="00B27968">
        <w:rPr>
          <w:rFonts w:cs="Times New Roman"/>
          <w:color w:val="auto"/>
        </w:rPr>
        <w:t xml:space="preserve"> significantly worse than those reported by the MEB.  There is no record of recurrent injury or other development </w:t>
      </w:r>
      <w:r w:rsidR="00CB2863">
        <w:rPr>
          <w:rFonts w:cs="Times New Roman"/>
          <w:color w:val="auto"/>
        </w:rPr>
        <w:t>to</w:t>
      </w:r>
      <w:r w:rsidR="00B27968" w:rsidRPr="00B27968">
        <w:rPr>
          <w:rFonts w:cs="Times New Roman"/>
          <w:color w:val="auto"/>
        </w:rPr>
        <w:t xml:space="preserve"> expla</w:t>
      </w:r>
      <w:r w:rsidR="00CB2863">
        <w:rPr>
          <w:rFonts w:cs="Times New Roman"/>
          <w:color w:val="auto"/>
        </w:rPr>
        <w:t>i</w:t>
      </w:r>
      <w:r w:rsidR="00B27968" w:rsidRPr="00B27968">
        <w:rPr>
          <w:rFonts w:cs="Times New Roman"/>
          <w:color w:val="auto"/>
        </w:rPr>
        <w:t>n the more marked impairment reflected by the VA measurements</w:t>
      </w:r>
      <w:r w:rsidR="008E1342">
        <w:rPr>
          <w:rFonts w:cs="Times New Roman"/>
          <w:color w:val="auto"/>
        </w:rPr>
        <w:t xml:space="preserve">, the CI having a “pain-free” condition </w:t>
      </w:r>
      <w:r w:rsidR="00DD172A">
        <w:rPr>
          <w:rFonts w:cs="Times New Roman"/>
          <w:color w:val="auto"/>
        </w:rPr>
        <w:t>8</w:t>
      </w:r>
      <w:r w:rsidR="008E1342">
        <w:rPr>
          <w:rFonts w:cs="Times New Roman"/>
          <w:color w:val="auto"/>
        </w:rPr>
        <w:t xml:space="preserve"> months prior to separation</w:t>
      </w:r>
      <w:r w:rsidR="00DD172A">
        <w:rPr>
          <w:rFonts w:cs="Times New Roman"/>
          <w:color w:val="auto"/>
        </w:rPr>
        <w:t>;</w:t>
      </w:r>
      <w:r w:rsidR="00037B66">
        <w:rPr>
          <w:rFonts w:cs="Times New Roman"/>
          <w:color w:val="auto"/>
        </w:rPr>
        <w:t xml:space="preserve"> but</w:t>
      </w:r>
      <w:r w:rsidR="00DD172A">
        <w:rPr>
          <w:rFonts w:cs="Times New Roman"/>
          <w:color w:val="auto"/>
        </w:rPr>
        <w:t>,</w:t>
      </w:r>
      <w:r w:rsidR="00037B66">
        <w:rPr>
          <w:rFonts w:cs="Times New Roman"/>
          <w:color w:val="auto"/>
        </w:rPr>
        <w:t xml:space="preserve"> pain with all movements at the VA exam, or the CI </w:t>
      </w:r>
      <w:r w:rsidR="00CB2863">
        <w:rPr>
          <w:rFonts w:cs="Times New Roman"/>
          <w:color w:val="auto"/>
        </w:rPr>
        <w:t xml:space="preserve">being </w:t>
      </w:r>
      <w:r w:rsidR="00037B66">
        <w:rPr>
          <w:rFonts w:cs="Times New Roman"/>
          <w:color w:val="auto"/>
        </w:rPr>
        <w:t xml:space="preserve">able to walk </w:t>
      </w:r>
      <w:r w:rsidR="00DD172A">
        <w:rPr>
          <w:rFonts w:cs="Times New Roman"/>
          <w:color w:val="auto"/>
        </w:rPr>
        <w:t>a</w:t>
      </w:r>
      <w:r w:rsidR="00037B66">
        <w:rPr>
          <w:rFonts w:cs="Times New Roman"/>
          <w:color w:val="auto"/>
        </w:rPr>
        <w:t xml:space="preserve"> mile at the time of the NARSUM </w:t>
      </w:r>
      <w:r w:rsidR="008C7BC4">
        <w:rPr>
          <w:rFonts w:cs="Times New Roman"/>
          <w:color w:val="auto"/>
        </w:rPr>
        <w:t xml:space="preserve">exam </w:t>
      </w:r>
      <w:r w:rsidR="00037B66">
        <w:rPr>
          <w:rFonts w:cs="Times New Roman"/>
          <w:color w:val="auto"/>
        </w:rPr>
        <w:t>but only two blocks at the time of the VA exam</w:t>
      </w:r>
      <w:r w:rsidR="00B27968" w:rsidRPr="00B27968">
        <w:rPr>
          <w:rFonts w:cs="Times New Roman"/>
          <w:color w:val="auto"/>
        </w:rPr>
        <w:t xml:space="preserve">.  The </w:t>
      </w:r>
      <w:r w:rsidR="00037B66">
        <w:rPr>
          <w:rFonts w:cs="Times New Roman"/>
          <w:color w:val="auto"/>
        </w:rPr>
        <w:t xml:space="preserve">ROM </w:t>
      </w:r>
      <w:r w:rsidR="00B27968" w:rsidRPr="00B27968">
        <w:rPr>
          <w:rFonts w:cs="Times New Roman"/>
          <w:color w:val="auto"/>
        </w:rPr>
        <w:t xml:space="preserve">values reported </w:t>
      </w:r>
      <w:r w:rsidR="00037B66">
        <w:rPr>
          <w:rFonts w:cs="Times New Roman"/>
          <w:color w:val="auto"/>
        </w:rPr>
        <w:t xml:space="preserve">by the VA examiner </w:t>
      </w:r>
      <w:r w:rsidR="00B27968" w:rsidRPr="00B27968">
        <w:rPr>
          <w:rFonts w:cs="Times New Roman"/>
          <w:color w:val="auto"/>
        </w:rPr>
        <w:t>were performed in the context of expressly providin</w:t>
      </w:r>
      <w:r w:rsidR="00037B66">
        <w:rPr>
          <w:rFonts w:cs="Times New Roman"/>
          <w:color w:val="auto"/>
        </w:rPr>
        <w:t>g a basis for disability rating,</w:t>
      </w:r>
      <w:r w:rsidR="00B27968" w:rsidRPr="00B27968">
        <w:rPr>
          <w:rFonts w:cs="Times New Roman"/>
          <w:color w:val="auto"/>
        </w:rPr>
        <w:t xml:space="preserve"> thus subject to loss of objectivity.  </w:t>
      </w:r>
      <w:r w:rsidR="008C7BC4">
        <w:rPr>
          <w:rFonts w:cs="Times New Roman"/>
          <w:color w:val="auto"/>
        </w:rPr>
        <w:t xml:space="preserve">Board members agreed </w:t>
      </w:r>
      <w:r w:rsidR="00D37241">
        <w:rPr>
          <w:rFonts w:cs="Times New Roman"/>
          <w:color w:val="auto"/>
        </w:rPr>
        <w:t>that the totality of the evidence and underlying pathology provided</w:t>
      </w:r>
      <w:r w:rsidR="007E5F6C">
        <w:rPr>
          <w:rFonts w:cs="Times New Roman"/>
          <w:color w:val="auto"/>
        </w:rPr>
        <w:t xml:space="preserve"> </w:t>
      </w:r>
      <w:r w:rsidR="008C7BC4">
        <w:rPr>
          <w:rFonts w:cs="Times New Roman"/>
          <w:color w:val="auto"/>
        </w:rPr>
        <w:t xml:space="preserve">sufficient </w:t>
      </w:r>
      <w:r w:rsidR="00D37241">
        <w:rPr>
          <w:rFonts w:cs="Times New Roman"/>
          <w:color w:val="auto"/>
        </w:rPr>
        <w:t>justification to reasonably</w:t>
      </w:r>
      <w:r w:rsidR="00EB2648">
        <w:rPr>
          <w:rFonts w:cs="Times New Roman"/>
          <w:color w:val="auto"/>
        </w:rPr>
        <w:t xml:space="preserve"> conced</w:t>
      </w:r>
      <w:r w:rsidR="00D37241">
        <w:rPr>
          <w:rFonts w:cs="Times New Roman"/>
          <w:color w:val="auto"/>
        </w:rPr>
        <w:t>e</w:t>
      </w:r>
      <w:r w:rsidR="008C7BC4">
        <w:rPr>
          <w:rFonts w:cs="Times New Roman"/>
          <w:color w:val="auto"/>
        </w:rPr>
        <w:t xml:space="preserve"> a 10%</w:t>
      </w:r>
      <w:r w:rsidR="00EB2648">
        <w:rPr>
          <w:rFonts w:cs="Times New Roman"/>
          <w:color w:val="auto"/>
        </w:rPr>
        <w:t xml:space="preserve"> rating</w:t>
      </w:r>
      <w:r w:rsidR="008C7BC4">
        <w:rPr>
          <w:rFonts w:cs="Times New Roman"/>
          <w:color w:val="auto"/>
        </w:rPr>
        <w:t xml:space="preserve">.  Although spinal contour </w:t>
      </w:r>
      <w:r w:rsidR="007E5F6C">
        <w:rPr>
          <w:rFonts w:cs="Times New Roman"/>
          <w:color w:val="auto"/>
        </w:rPr>
        <w:t xml:space="preserve">and guarding </w:t>
      </w:r>
      <w:r w:rsidR="008C7BC4">
        <w:rPr>
          <w:rFonts w:cs="Times New Roman"/>
          <w:color w:val="auto"/>
        </w:rPr>
        <w:t>w</w:t>
      </w:r>
      <w:r w:rsidR="00D37241">
        <w:rPr>
          <w:rFonts w:cs="Times New Roman"/>
          <w:color w:val="auto"/>
        </w:rPr>
        <w:t>ere</w:t>
      </w:r>
      <w:r w:rsidR="008C7BC4">
        <w:rPr>
          <w:rFonts w:cs="Times New Roman"/>
          <w:color w:val="auto"/>
        </w:rPr>
        <w:t xml:space="preserve"> not mentioned, there was </w:t>
      </w:r>
      <w:r w:rsidR="007E5F6C">
        <w:rPr>
          <w:rFonts w:cs="Times New Roman"/>
          <w:color w:val="auto"/>
        </w:rPr>
        <w:t>no spasm;</w:t>
      </w:r>
      <w:r w:rsidR="008C7BC4">
        <w:rPr>
          <w:rFonts w:cs="Times New Roman"/>
          <w:color w:val="auto"/>
        </w:rPr>
        <w:t xml:space="preserve"> evidence of abnormal gait </w:t>
      </w:r>
      <w:r w:rsidR="007E5F6C">
        <w:rPr>
          <w:rFonts w:cs="Times New Roman"/>
          <w:color w:val="auto"/>
        </w:rPr>
        <w:t xml:space="preserve">was insufficient </w:t>
      </w:r>
      <w:r w:rsidR="008C7BC4">
        <w:rPr>
          <w:rFonts w:cs="Times New Roman"/>
          <w:color w:val="auto"/>
        </w:rPr>
        <w:t xml:space="preserve">to justify a 20% </w:t>
      </w:r>
      <w:r w:rsidR="008C7BC4" w:rsidRPr="00DE6FB3">
        <w:rPr>
          <w:rFonts w:cs="Times New Roman"/>
          <w:color w:val="auto"/>
        </w:rPr>
        <w:t>rating</w:t>
      </w:r>
      <w:r w:rsidR="007E5F6C" w:rsidRPr="00DE6FB3">
        <w:rPr>
          <w:rFonts w:cs="Times New Roman"/>
          <w:color w:val="auto"/>
        </w:rPr>
        <w:t>.</w:t>
      </w:r>
      <w:r w:rsidR="00DE6FB3" w:rsidRPr="00DE6FB3">
        <w:rPr>
          <w:rFonts w:cs="Times New Roman"/>
          <w:color w:val="auto"/>
          <w:sz w:val="20"/>
        </w:rPr>
        <w:t xml:space="preserve">  </w:t>
      </w:r>
      <w:r w:rsidR="00547968" w:rsidRPr="00DE6FB3">
        <w:rPr>
          <w:rFonts w:cs="Times New Roman"/>
          <w:color w:val="auto"/>
        </w:rPr>
        <w:t>There</w:t>
      </w:r>
      <w:r w:rsidR="00547968" w:rsidRPr="00547968">
        <w:rPr>
          <w:rFonts w:cs="Times New Roman"/>
          <w:color w:val="auto"/>
        </w:rPr>
        <w:t xml:space="preserve"> was no evidence of ratable peripheral nerve impairment </w:t>
      </w:r>
      <w:r w:rsidR="00547968">
        <w:rPr>
          <w:rFonts w:cs="Times New Roman"/>
          <w:color w:val="auto"/>
        </w:rPr>
        <w:t xml:space="preserve">due to </w:t>
      </w:r>
      <w:r w:rsidR="00E94674">
        <w:rPr>
          <w:rFonts w:cs="Times New Roman"/>
          <w:color w:val="auto"/>
        </w:rPr>
        <w:t xml:space="preserve">the </w:t>
      </w:r>
      <w:r w:rsidR="00547968">
        <w:rPr>
          <w:rFonts w:cs="Times New Roman"/>
          <w:color w:val="auto"/>
        </w:rPr>
        <w:t>spine condition</w:t>
      </w:r>
      <w:r w:rsidR="00E94674">
        <w:rPr>
          <w:rFonts w:cs="Times New Roman"/>
          <w:color w:val="auto"/>
        </w:rPr>
        <w:t>,</w:t>
      </w:r>
      <w:r w:rsidR="00547968">
        <w:rPr>
          <w:rFonts w:cs="Times New Roman"/>
          <w:color w:val="auto"/>
        </w:rPr>
        <w:t xml:space="preserve"> </w:t>
      </w:r>
      <w:r w:rsidR="00547968" w:rsidRPr="00547968">
        <w:rPr>
          <w:rFonts w:cs="Times New Roman"/>
          <w:color w:val="auto"/>
        </w:rPr>
        <w:t>or documentation of incapacitating episodes which would provide for additional or higher rating.</w:t>
      </w:r>
      <w:r w:rsidR="00DE6FB3">
        <w:rPr>
          <w:rFonts w:cs="Times New Roman"/>
          <w:color w:val="auto"/>
        </w:rPr>
        <w:t xml:space="preserve"> </w:t>
      </w:r>
      <w:r w:rsidR="00547968">
        <w:rPr>
          <w:rFonts w:cs="Times New Roman"/>
          <w:color w:val="auto"/>
        </w:rPr>
        <w:t xml:space="preserve"> </w:t>
      </w:r>
      <w:r w:rsidR="00535839" w:rsidRPr="00535839">
        <w:rPr>
          <w:rFonts w:cs="Times New Roman"/>
          <w:color w:val="auto"/>
          <w:szCs w:val="24"/>
        </w:rPr>
        <w:t xml:space="preserve">After due deliberation, considering all of the evidence and mindful of VASRD §4.3 (reasonable doubt), the Board recommends a disability rating of </w:t>
      </w:r>
      <w:r w:rsidR="00535839">
        <w:rPr>
          <w:rFonts w:cs="Times New Roman"/>
          <w:color w:val="auto"/>
          <w:szCs w:val="24"/>
        </w:rPr>
        <w:t>10</w:t>
      </w:r>
      <w:r w:rsidR="00535839" w:rsidRPr="00535839">
        <w:rPr>
          <w:rFonts w:cs="Times New Roman"/>
          <w:color w:val="auto"/>
          <w:szCs w:val="24"/>
        </w:rPr>
        <w:t xml:space="preserve">% for the </w:t>
      </w:r>
      <w:r w:rsidR="00535839">
        <w:rPr>
          <w:rFonts w:cs="Times New Roman"/>
          <w:color w:val="auto"/>
          <w:szCs w:val="24"/>
        </w:rPr>
        <w:t xml:space="preserve">chronic </w:t>
      </w:r>
      <w:r w:rsidR="00DD172A">
        <w:rPr>
          <w:rFonts w:cs="Times New Roman"/>
          <w:color w:val="auto"/>
          <w:szCs w:val="24"/>
        </w:rPr>
        <w:t>LBP</w:t>
      </w:r>
      <w:r w:rsidR="00D5269B">
        <w:rPr>
          <w:rFonts w:cs="Times New Roman"/>
          <w:color w:val="auto"/>
          <w:szCs w:val="24"/>
        </w:rPr>
        <w:t xml:space="preserve"> condition.</w:t>
      </w:r>
    </w:p>
    <w:p w:rsidR="003E0E20" w:rsidRDefault="003E0E20" w:rsidP="003863E9">
      <w:pPr>
        <w:jc w:val="both"/>
        <w:rPr>
          <w:rFonts w:eastAsia="HiddenHorzOCR"/>
          <w:color w:val="auto"/>
          <w:u w:val="single"/>
        </w:rPr>
      </w:pPr>
    </w:p>
    <w:p w:rsidR="003863E9" w:rsidRPr="00792790" w:rsidRDefault="006B690F" w:rsidP="003863E9">
      <w:pPr>
        <w:jc w:val="both"/>
        <w:rPr>
          <w:rFonts w:eastAsia="Calibri" w:cs="Times New Roman"/>
          <w:color w:val="auto"/>
          <w:szCs w:val="24"/>
        </w:rPr>
      </w:pPr>
      <w:proofErr w:type="gramStart"/>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proofErr w:type="gramEnd"/>
      <w:r w:rsidR="0001281C" w:rsidRPr="00F64312">
        <w:rPr>
          <w:rFonts w:eastAsia="HiddenHorzOCR"/>
          <w:color w:val="auto"/>
        </w:rPr>
        <w:t xml:space="preserve">  </w:t>
      </w:r>
      <w:r w:rsidR="003863E9" w:rsidRPr="00792790">
        <w:rPr>
          <w:rFonts w:eastAsia="Calibri" w:cs="Times New Roman"/>
          <w:color w:val="auto"/>
          <w:szCs w:val="24"/>
        </w:rPr>
        <w:t xml:space="preserve">The contended condition adjudicated as </w:t>
      </w:r>
      <w:r w:rsidR="001C545A">
        <w:rPr>
          <w:rFonts w:eastAsia="Calibri" w:cs="Times New Roman"/>
          <w:color w:val="auto"/>
          <w:szCs w:val="24"/>
        </w:rPr>
        <w:t xml:space="preserve">not </w:t>
      </w:r>
      <w:r w:rsidR="003863E9" w:rsidRPr="00792790">
        <w:rPr>
          <w:rFonts w:eastAsia="Calibri" w:cs="Times New Roman"/>
          <w:color w:val="auto"/>
          <w:szCs w:val="24"/>
        </w:rPr>
        <w:t>unfitting by the PEB w</w:t>
      </w:r>
      <w:r w:rsidR="00092B7E">
        <w:rPr>
          <w:rFonts w:eastAsia="Calibri" w:cs="Times New Roman"/>
          <w:color w:val="auto"/>
          <w:szCs w:val="24"/>
        </w:rPr>
        <w:t xml:space="preserve">as type </w:t>
      </w:r>
      <w:r w:rsidR="00DD172A">
        <w:rPr>
          <w:rFonts w:eastAsia="Calibri" w:cs="Times New Roman"/>
          <w:color w:val="auto"/>
          <w:szCs w:val="24"/>
        </w:rPr>
        <w:t>II</w:t>
      </w:r>
      <w:r w:rsidR="00092B7E">
        <w:rPr>
          <w:rFonts w:eastAsia="Calibri" w:cs="Times New Roman"/>
          <w:color w:val="auto"/>
          <w:szCs w:val="24"/>
        </w:rPr>
        <w:t xml:space="preserve"> diabetes mellitus</w:t>
      </w:r>
      <w:r w:rsidR="003863E9" w:rsidRPr="00792790">
        <w:rPr>
          <w:rFonts w:eastAsia="Calibri" w:cs="Times New Roman"/>
          <w:color w:val="auto"/>
          <w:szCs w:val="24"/>
        </w:rPr>
        <w:t>.  The Board’s first charge with respect to th</w:t>
      </w:r>
      <w:r w:rsidR="00092B7E">
        <w:rPr>
          <w:rFonts w:eastAsia="Calibri" w:cs="Times New Roman"/>
          <w:color w:val="auto"/>
          <w:szCs w:val="24"/>
        </w:rPr>
        <w:t>is</w:t>
      </w:r>
      <w:r w:rsidR="003863E9" w:rsidRPr="00792790">
        <w:rPr>
          <w:rFonts w:eastAsia="Calibri" w:cs="Times New Roman"/>
          <w:color w:val="auto"/>
          <w:szCs w:val="24"/>
        </w:rPr>
        <w:t xml:space="preserve"> condition is an assessment of the appropriateness of the PEB’s fitness adjudication.  The Board’s threshold for countering fitness determinations is higher than the VASRD §4.3 (reasonable doubt) standard used for its rating recommendations, but remains adherent to the DoDI 6040.44 “fair and equitable” standard.  </w:t>
      </w:r>
      <w:r w:rsidR="00B3408B">
        <w:rPr>
          <w:color w:val="000000"/>
        </w:rPr>
        <w:t xml:space="preserve">The endocrinology consultant </w:t>
      </w:r>
      <w:r w:rsidR="00B3408B" w:rsidRPr="00B3408B">
        <w:rPr>
          <w:color w:val="000000"/>
        </w:rPr>
        <w:t xml:space="preserve">examiner </w:t>
      </w:r>
      <w:r w:rsidR="00724F60">
        <w:rPr>
          <w:color w:val="000000"/>
        </w:rPr>
        <w:t xml:space="preserve">noted the condition was not well-controlled on his current </w:t>
      </w:r>
      <w:r w:rsidR="00724F60" w:rsidRPr="00D27C5F">
        <w:rPr>
          <w:color w:val="000000"/>
        </w:rPr>
        <w:t>oral medications</w:t>
      </w:r>
      <w:r w:rsidR="00CB2498">
        <w:rPr>
          <w:color w:val="000000"/>
        </w:rPr>
        <w:t>.</w:t>
      </w:r>
      <w:r w:rsidR="00D27C5F">
        <w:rPr>
          <w:color w:val="000000"/>
        </w:rPr>
        <w:t xml:space="preserve"> </w:t>
      </w:r>
      <w:r w:rsidR="00577896">
        <w:rPr>
          <w:color w:val="000000"/>
        </w:rPr>
        <w:t xml:space="preserve"> </w:t>
      </w:r>
      <w:r w:rsidR="0005046E">
        <w:rPr>
          <w:color w:val="000000"/>
        </w:rPr>
        <w:t xml:space="preserve">The examiner judged the condition to not meet retention standards due to the possibility that the stress of field or combat environments could </w:t>
      </w:r>
      <w:r w:rsidR="0005046E">
        <w:rPr>
          <w:color w:val="000000"/>
        </w:rPr>
        <w:lastRenderedPageBreak/>
        <w:t xml:space="preserve">adversely impact </w:t>
      </w:r>
      <w:r w:rsidR="00CB2863">
        <w:rPr>
          <w:color w:val="000000"/>
        </w:rPr>
        <w:t>the CI’s</w:t>
      </w:r>
      <w:r w:rsidR="0005046E">
        <w:rPr>
          <w:color w:val="000000"/>
        </w:rPr>
        <w:t xml:space="preserve"> diabetic control.  The condition was consequently profiled (P3).</w:t>
      </w:r>
      <w:r w:rsidR="00D27C5F">
        <w:rPr>
          <w:color w:val="000000"/>
        </w:rPr>
        <w:t xml:space="preserve"> </w:t>
      </w:r>
      <w:r w:rsidR="0005046E">
        <w:rPr>
          <w:color w:val="000000"/>
        </w:rPr>
        <w:t xml:space="preserve"> </w:t>
      </w:r>
      <w:r w:rsidR="00577896">
        <w:rPr>
          <w:color w:val="000000"/>
        </w:rPr>
        <w:t xml:space="preserve">The CI had </w:t>
      </w:r>
      <w:r w:rsidR="00463B5E">
        <w:rPr>
          <w:color w:val="000000"/>
        </w:rPr>
        <w:t xml:space="preserve">experienced </w:t>
      </w:r>
      <w:r w:rsidR="00577896">
        <w:rPr>
          <w:color w:val="000000"/>
        </w:rPr>
        <w:t xml:space="preserve">no episodes of hypoglycemia, </w:t>
      </w:r>
      <w:r w:rsidR="00463B5E">
        <w:rPr>
          <w:color w:val="000000"/>
        </w:rPr>
        <w:t xml:space="preserve">no </w:t>
      </w:r>
      <w:r w:rsidR="00577896">
        <w:rPr>
          <w:color w:val="000000"/>
        </w:rPr>
        <w:t xml:space="preserve">symptoms caused by his diabetes </w:t>
      </w:r>
      <w:r w:rsidR="00463B5E">
        <w:rPr>
          <w:color w:val="000000"/>
        </w:rPr>
        <w:t>and no</w:t>
      </w:r>
      <w:r w:rsidR="00577896">
        <w:rPr>
          <w:color w:val="000000"/>
        </w:rPr>
        <w:t xml:space="preserve"> diabetic complications.</w:t>
      </w:r>
      <w:r w:rsidR="00CB2498">
        <w:rPr>
          <w:color w:val="000000"/>
        </w:rPr>
        <w:t xml:space="preserve">  </w:t>
      </w:r>
      <w:r w:rsidR="00AB6966" w:rsidRPr="00535839">
        <w:rPr>
          <w:color w:val="auto"/>
          <w:szCs w:val="24"/>
        </w:rPr>
        <w:t>It should be noted that the AR 40-501 retention standards for diabetes trigger a MEB by virtue of the diagnosis alone, although controlled diabetes is not generally considered unfitting or prohibitive of deployment.</w:t>
      </w:r>
      <w:r w:rsidR="00AB6966">
        <w:rPr>
          <w:color w:val="000000"/>
        </w:rPr>
        <w:t xml:space="preserve">  </w:t>
      </w:r>
      <w:r w:rsidR="00E95FAB">
        <w:rPr>
          <w:color w:val="000000"/>
        </w:rPr>
        <w:t xml:space="preserve">The condition was </w:t>
      </w:r>
      <w:r w:rsidR="003863E9" w:rsidRPr="001F29F9">
        <w:rPr>
          <w:color w:val="000000"/>
        </w:rPr>
        <w:t xml:space="preserve">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 xml:space="preserve">There was no indication from the record that </w:t>
      </w:r>
      <w:r w:rsidR="00E95FAB">
        <w:rPr>
          <w:color w:val="000000"/>
        </w:rPr>
        <w:t>it</w:t>
      </w:r>
      <w:r w:rsidR="003863E9" w:rsidRPr="001F29F9">
        <w:rPr>
          <w:color w:val="000000"/>
        </w:rPr>
        <w:t xml:space="preserve"> significantly interfered with satisfactory duty performance.</w:t>
      </w:r>
      <w:r w:rsidR="00E95FAB">
        <w:rPr>
          <w:color w:val="000000"/>
        </w:rPr>
        <w:t xml:space="preserve">  </w:t>
      </w:r>
      <w:r w:rsidR="003863E9" w:rsidRPr="00792790">
        <w:rPr>
          <w:rFonts w:eastAsia="Calibri" w:cs="Times New Roman"/>
          <w:color w:val="auto"/>
          <w:szCs w:val="24"/>
        </w:rPr>
        <w:t xml:space="preserve">After due deliberation in consideration of the </w:t>
      </w:r>
      <w:r w:rsidR="003863E9" w:rsidRPr="00D27C5F">
        <w:rPr>
          <w:rFonts w:eastAsia="Calibri" w:cs="Times New Roman"/>
          <w:color w:val="auto"/>
          <w:szCs w:val="24"/>
        </w:rPr>
        <w:t>preponderance</w:t>
      </w:r>
      <w:r w:rsidR="003863E9" w:rsidRPr="00792790">
        <w:rPr>
          <w:rFonts w:eastAsia="Calibri" w:cs="Times New Roman"/>
          <w:color w:val="auto"/>
          <w:szCs w:val="24"/>
        </w:rPr>
        <w:t xml:space="preserve"> of the evidence, the Board concluded that there was insufficient cause to recommend a change in the PEB fitness determination for the </w:t>
      </w:r>
      <w:r w:rsidR="00361D33">
        <w:rPr>
          <w:rFonts w:eastAsia="Calibri" w:cs="Times New Roman"/>
          <w:color w:val="auto"/>
          <w:szCs w:val="24"/>
        </w:rPr>
        <w:t xml:space="preserve">type </w:t>
      </w:r>
      <w:r w:rsidR="00DD172A">
        <w:rPr>
          <w:rFonts w:eastAsia="Calibri" w:cs="Times New Roman"/>
          <w:color w:val="auto"/>
          <w:szCs w:val="24"/>
        </w:rPr>
        <w:t>II</w:t>
      </w:r>
      <w:r w:rsidR="00361D33">
        <w:rPr>
          <w:rFonts w:eastAsia="Calibri" w:cs="Times New Roman"/>
          <w:color w:val="auto"/>
          <w:szCs w:val="24"/>
        </w:rPr>
        <w:t xml:space="preserve"> diabetes mellitus cond</w:t>
      </w:r>
      <w:r w:rsidR="00E95FAB">
        <w:rPr>
          <w:rFonts w:eastAsia="Calibri" w:cs="Times New Roman"/>
          <w:color w:val="auto"/>
          <w:szCs w:val="24"/>
        </w:rPr>
        <w:t>i</w:t>
      </w:r>
      <w:r w:rsidR="00361D33">
        <w:rPr>
          <w:rFonts w:eastAsia="Calibri" w:cs="Times New Roman"/>
          <w:color w:val="auto"/>
          <w:szCs w:val="24"/>
        </w:rPr>
        <w:t>tion</w:t>
      </w:r>
      <w:r w:rsidR="003863E9" w:rsidRPr="00792790">
        <w:rPr>
          <w:rFonts w:eastAsia="Calibri" w:cs="Times New Roman"/>
          <w:color w:val="auto"/>
          <w:szCs w:val="24"/>
        </w:rPr>
        <w:t xml:space="preserve"> and therefore, no additional disability rating can be recommended.</w:t>
      </w: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241B01" w:rsidRPr="00F64312">
        <w:rPr>
          <w:rFonts w:eastAsia="Calibri" w:cs="Times New Roman"/>
          <w:color w:val="auto"/>
          <w:szCs w:val="24"/>
        </w:rPr>
        <w:t xml:space="preserve">As discussed above, PEB reliance on </w:t>
      </w:r>
      <w:r w:rsidR="00241B01" w:rsidRPr="00535839">
        <w:rPr>
          <w:rFonts w:eastAsia="Calibri" w:cs="Times New Roman"/>
          <w:color w:val="auto"/>
          <w:szCs w:val="24"/>
        </w:rPr>
        <w:t>the USAPDA pain policy</w:t>
      </w:r>
      <w:r w:rsidR="00241B01" w:rsidRPr="00F64312">
        <w:rPr>
          <w:rFonts w:eastAsia="Calibri" w:cs="Times New Roman"/>
          <w:color w:val="auto"/>
          <w:szCs w:val="24"/>
        </w:rPr>
        <w:t xml:space="preserve"> for rating </w:t>
      </w:r>
      <w:r w:rsidR="00393241">
        <w:rPr>
          <w:rFonts w:eastAsia="Calibri" w:cs="Times New Roman"/>
          <w:color w:val="auto"/>
          <w:szCs w:val="24"/>
        </w:rPr>
        <w:t xml:space="preserve">the right hip condition </w:t>
      </w:r>
      <w:r w:rsidR="00393241" w:rsidRPr="00535839">
        <w:rPr>
          <w:rFonts w:eastAsia="Calibri" w:cs="Times New Roman"/>
          <w:color w:val="auto"/>
          <w:szCs w:val="24"/>
        </w:rPr>
        <w:t>and low back condition</w:t>
      </w:r>
      <w:r w:rsidR="00241B01" w:rsidRPr="00F64312">
        <w:rPr>
          <w:rFonts w:eastAsia="Calibri" w:cs="Times New Roman"/>
          <w:color w:val="auto"/>
          <w:szCs w:val="24"/>
        </w:rPr>
        <w:t xml:space="preserve"> was </w:t>
      </w:r>
      <w:r w:rsidR="00CB2863">
        <w:rPr>
          <w:rFonts w:eastAsia="Calibri" w:cs="Times New Roman"/>
          <w:color w:val="auto"/>
          <w:szCs w:val="24"/>
        </w:rPr>
        <w:t xml:space="preserve">likely </w:t>
      </w:r>
      <w:r w:rsidR="00241B01" w:rsidRPr="00F64312">
        <w:rPr>
          <w:rFonts w:eastAsia="Calibri" w:cs="Times New Roman"/>
          <w:color w:val="auto"/>
          <w:szCs w:val="24"/>
        </w:rPr>
        <w:t>operant in this case and the condition was adjudicated independently of that policy by the Board.</w:t>
      </w:r>
      <w:r w:rsidR="00D37241">
        <w:rPr>
          <w:rFonts w:eastAsia="Calibri" w:cs="Times New Roman"/>
          <w:color w:val="auto"/>
          <w:szCs w:val="24"/>
        </w:rPr>
        <w:t xml:space="preserve">  </w:t>
      </w:r>
      <w:r w:rsidR="00241B01" w:rsidRPr="00F64312">
        <w:rPr>
          <w:rFonts w:eastAsia="Calibri" w:cs="Times New Roman"/>
          <w:color w:val="auto"/>
          <w:szCs w:val="24"/>
        </w:rPr>
        <w:t xml:space="preserve">In the matter of the </w:t>
      </w:r>
      <w:r w:rsidR="00361D33">
        <w:rPr>
          <w:rFonts w:eastAsia="Calibri" w:cs="Times New Roman"/>
          <w:color w:val="auto"/>
          <w:szCs w:val="24"/>
        </w:rPr>
        <w:t>chronic right hip pain</w:t>
      </w:r>
      <w:r w:rsidR="00241B01" w:rsidRPr="00F64312">
        <w:rPr>
          <w:rFonts w:eastAsia="Calibri" w:cs="Times New Roman"/>
          <w:color w:val="auto"/>
          <w:szCs w:val="24"/>
        </w:rPr>
        <w:t xml:space="preserve"> condition, the Board </w:t>
      </w:r>
      <w:r w:rsidR="00241B01" w:rsidRPr="00D37241">
        <w:rPr>
          <w:rFonts w:eastAsia="Calibri" w:cs="Times New Roman"/>
          <w:color w:val="auto"/>
          <w:szCs w:val="24"/>
        </w:rPr>
        <w:t>unanimously</w:t>
      </w:r>
      <w:r w:rsidR="00241B01" w:rsidRPr="00F64312">
        <w:rPr>
          <w:rFonts w:eastAsia="Calibri" w:cs="Times New Roman"/>
          <w:color w:val="auto"/>
          <w:szCs w:val="24"/>
        </w:rPr>
        <w:t xml:space="preserve"> recommends a disability rating of </w:t>
      </w:r>
      <w:r w:rsidR="00361D33">
        <w:rPr>
          <w:rFonts w:eastAsia="Calibri" w:cs="Times New Roman"/>
          <w:color w:val="auto"/>
          <w:szCs w:val="24"/>
        </w:rPr>
        <w:t>10</w:t>
      </w:r>
      <w:r w:rsidR="00241B01" w:rsidRPr="00361D33">
        <w:rPr>
          <w:rFonts w:eastAsia="Calibri" w:cs="Times New Roman"/>
          <w:color w:val="auto"/>
          <w:szCs w:val="24"/>
        </w:rPr>
        <w:t>%,</w:t>
      </w:r>
      <w:r w:rsidR="00241B01" w:rsidRPr="00F64312">
        <w:rPr>
          <w:rFonts w:eastAsia="Calibri" w:cs="Times New Roman"/>
          <w:color w:val="auto"/>
          <w:szCs w:val="24"/>
        </w:rPr>
        <w:t xml:space="preserve"> </w:t>
      </w:r>
      <w:r w:rsidR="00241B01" w:rsidRPr="00D37241">
        <w:rPr>
          <w:rFonts w:eastAsia="Calibri" w:cs="Times New Roman"/>
          <w:color w:val="auto"/>
          <w:szCs w:val="24"/>
        </w:rPr>
        <w:t xml:space="preserve">coded </w:t>
      </w:r>
      <w:r w:rsidR="00361D33" w:rsidRPr="00D37241">
        <w:rPr>
          <w:rFonts w:eastAsia="Calibri" w:cs="Times New Roman"/>
          <w:color w:val="auto"/>
          <w:szCs w:val="24"/>
        </w:rPr>
        <w:t>5003</w:t>
      </w:r>
      <w:r w:rsidR="00241B01" w:rsidRPr="00D37241">
        <w:rPr>
          <w:rFonts w:eastAsia="Calibri" w:cs="Times New Roman"/>
          <w:color w:val="auto"/>
          <w:szCs w:val="24"/>
        </w:rPr>
        <w:t xml:space="preserve"> IAW</w:t>
      </w:r>
      <w:r w:rsidR="00241B01" w:rsidRPr="00F64312">
        <w:rPr>
          <w:rFonts w:eastAsia="Calibri" w:cs="Times New Roman"/>
          <w:color w:val="auto"/>
          <w:szCs w:val="24"/>
        </w:rPr>
        <w:t xml:space="preserve"> VASRD </w:t>
      </w:r>
      <w:r w:rsidR="00241B01" w:rsidRPr="00361D33">
        <w:rPr>
          <w:rFonts w:eastAsia="Calibri" w:cs="Times New Roman"/>
          <w:color w:val="auto"/>
          <w:szCs w:val="24"/>
        </w:rPr>
        <w:t>§4.71a</w:t>
      </w:r>
      <w:r w:rsidR="00241B01" w:rsidRPr="00F64312">
        <w:rPr>
          <w:rFonts w:eastAsia="Calibri" w:cs="Times New Roman"/>
          <w:color w:val="auto"/>
          <w:szCs w:val="24"/>
        </w:rPr>
        <w:t>.</w:t>
      </w:r>
      <w:r w:rsidR="00D37241">
        <w:rPr>
          <w:rFonts w:eastAsia="Calibri" w:cs="Times New Roman"/>
          <w:color w:val="auto"/>
          <w:szCs w:val="24"/>
        </w:rPr>
        <w:t xml:space="preserve">  </w:t>
      </w:r>
      <w:r w:rsidR="00393241" w:rsidRPr="00F64312">
        <w:rPr>
          <w:rFonts w:eastAsia="Calibri" w:cs="Times New Roman"/>
          <w:color w:val="auto"/>
          <w:szCs w:val="24"/>
        </w:rPr>
        <w:t xml:space="preserve">In the matter of the </w:t>
      </w:r>
      <w:r w:rsidR="00393241">
        <w:rPr>
          <w:rFonts w:eastAsia="Calibri" w:cs="Times New Roman"/>
          <w:color w:val="auto"/>
          <w:szCs w:val="24"/>
        </w:rPr>
        <w:t xml:space="preserve">chronic </w:t>
      </w:r>
      <w:r w:rsidR="00DD172A">
        <w:rPr>
          <w:rFonts w:eastAsia="Calibri" w:cs="Times New Roman"/>
          <w:color w:val="auto"/>
          <w:szCs w:val="24"/>
        </w:rPr>
        <w:t>LBP</w:t>
      </w:r>
      <w:r w:rsidR="00393241" w:rsidRPr="00F64312">
        <w:rPr>
          <w:rFonts w:eastAsia="Calibri" w:cs="Times New Roman"/>
          <w:color w:val="auto"/>
          <w:szCs w:val="24"/>
        </w:rPr>
        <w:t xml:space="preserve"> condition, the </w:t>
      </w:r>
      <w:r w:rsidR="00393241" w:rsidRPr="00D37241">
        <w:rPr>
          <w:rFonts w:eastAsia="Calibri" w:cs="Times New Roman"/>
          <w:color w:val="auto"/>
          <w:szCs w:val="24"/>
        </w:rPr>
        <w:t>Board unanimously</w:t>
      </w:r>
      <w:r w:rsidR="00393241" w:rsidRPr="00F64312">
        <w:rPr>
          <w:rFonts w:eastAsia="Calibri" w:cs="Times New Roman"/>
          <w:color w:val="auto"/>
          <w:szCs w:val="24"/>
        </w:rPr>
        <w:t xml:space="preserve"> recommends a disability rating of </w:t>
      </w:r>
      <w:r w:rsidR="00535839">
        <w:rPr>
          <w:rFonts w:eastAsia="Calibri" w:cs="Times New Roman"/>
          <w:color w:val="auto"/>
          <w:szCs w:val="24"/>
        </w:rPr>
        <w:t>10%</w:t>
      </w:r>
      <w:r w:rsidR="00393241" w:rsidRPr="00361D33">
        <w:rPr>
          <w:rFonts w:eastAsia="Calibri" w:cs="Times New Roman"/>
          <w:color w:val="auto"/>
          <w:szCs w:val="24"/>
        </w:rPr>
        <w:t>,</w:t>
      </w:r>
      <w:r w:rsidR="00393241" w:rsidRPr="00F64312">
        <w:rPr>
          <w:rFonts w:eastAsia="Calibri" w:cs="Times New Roman"/>
          <w:color w:val="auto"/>
          <w:szCs w:val="24"/>
        </w:rPr>
        <w:t xml:space="preserve"> coded </w:t>
      </w:r>
      <w:r w:rsidR="00535839">
        <w:rPr>
          <w:rFonts w:eastAsia="Calibri" w:cs="Times New Roman"/>
          <w:color w:val="auto"/>
          <w:szCs w:val="24"/>
        </w:rPr>
        <w:t>5299-5237</w:t>
      </w:r>
      <w:r w:rsidR="00393241" w:rsidRPr="00F64312">
        <w:rPr>
          <w:rFonts w:eastAsia="Calibri" w:cs="Times New Roman"/>
          <w:color w:val="auto"/>
          <w:szCs w:val="24"/>
        </w:rPr>
        <w:t xml:space="preserve"> IAW VASRD </w:t>
      </w:r>
      <w:r w:rsidR="00393241" w:rsidRPr="00361D33">
        <w:rPr>
          <w:rFonts w:eastAsia="Calibri" w:cs="Times New Roman"/>
          <w:color w:val="auto"/>
          <w:szCs w:val="24"/>
        </w:rPr>
        <w:t>§4.71a</w:t>
      </w:r>
      <w:r w:rsidR="00393241" w:rsidRPr="00F64312">
        <w:rPr>
          <w:rFonts w:eastAsia="Calibri" w:cs="Times New Roman"/>
          <w:color w:val="auto"/>
          <w:szCs w:val="24"/>
        </w:rPr>
        <w:t>.</w:t>
      </w:r>
      <w:r w:rsidR="00D37241">
        <w:rPr>
          <w:rFonts w:eastAsia="Calibri" w:cs="Times New Roman"/>
          <w:color w:val="auto"/>
          <w:szCs w:val="24"/>
        </w:rPr>
        <w:t xml:space="preserve">  </w:t>
      </w:r>
      <w:r w:rsidR="00560F12" w:rsidRPr="00F64312">
        <w:rPr>
          <w:rFonts w:eastAsia="Calibri" w:cs="Times New Roman"/>
          <w:color w:val="auto"/>
          <w:szCs w:val="24"/>
        </w:rPr>
        <w:t xml:space="preserve">In the matter of the contended </w:t>
      </w:r>
      <w:r w:rsidR="00393241">
        <w:rPr>
          <w:rFonts w:eastAsia="Calibri" w:cs="Times New Roman"/>
          <w:color w:val="auto"/>
          <w:szCs w:val="24"/>
        </w:rPr>
        <w:t xml:space="preserve">type </w:t>
      </w:r>
      <w:r w:rsidR="00DD172A">
        <w:rPr>
          <w:rFonts w:eastAsia="Calibri" w:cs="Times New Roman"/>
          <w:color w:val="auto"/>
          <w:szCs w:val="24"/>
        </w:rPr>
        <w:t>II</w:t>
      </w:r>
      <w:r w:rsidR="00393241">
        <w:rPr>
          <w:rFonts w:eastAsia="Calibri" w:cs="Times New Roman"/>
          <w:color w:val="auto"/>
          <w:szCs w:val="24"/>
        </w:rPr>
        <w:t xml:space="preserve"> diabetes mellitus condition</w:t>
      </w:r>
      <w:r w:rsidR="00560F12" w:rsidRPr="00F64312">
        <w:rPr>
          <w:rFonts w:eastAsia="Calibri" w:cs="Times New Roman"/>
          <w:color w:val="auto"/>
          <w:szCs w:val="24"/>
        </w:rPr>
        <w:t xml:space="preserve">, the </w:t>
      </w:r>
      <w:r w:rsidR="00560F12" w:rsidRPr="00D37241">
        <w:rPr>
          <w:rFonts w:eastAsia="Calibri" w:cs="Times New Roman"/>
          <w:color w:val="auto"/>
          <w:szCs w:val="24"/>
        </w:rPr>
        <w:t xml:space="preserve">Board unanimously </w:t>
      </w:r>
      <w:r w:rsidR="00417BED" w:rsidRPr="00D37241">
        <w:rPr>
          <w:rFonts w:eastAsia="Calibri" w:cs="Times New Roman"/>
          <w:color w:val="auto"/>
          <w:szCs w:val="24"/>
        </w:rPr>
        <w:t>recommends</w:t>
      </w:r>
      <w:r w:rsidR="00417BED" w:rsidRPr="00F64312">
        <w:rPr>
          <w:rFonts w:eastAsia="Calibri" w:cs="Times New Roman"/>
          <w:color w:val="auto"/>
          <w:szCs w:val="24"/>
        </w:rPr>
        <w:t xml:space="preserve"> no change from the PEB determination as not unfitting.</w:t>
      </w:r>
      <w:r w:rsidR="00D37241">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741B5C" w:rsidRDefault="00AD2379" w:rsidP="00535839">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determination be </w:t>
      </w:r>
      <w:r w:rsidR="00565636" w:rsidRPr="00741B5C">
        <w:rPr>
          <w:rFonts w:eastAsia="Calibri" w:cs="Times New Roman"/>
          <w:color w:val="auto"/>
          <w:szCs w:val="24"/>
        </w:rPr>
        <w:t xml:space="preserve">modified as follows, effective as of the date of his prior medical </w:t>
      </w:r>
      <w:r w:rsidR="00417BED" w:rsidRPr="00741B5C">
        <w:rPr>
          <w:rFonts w:eastAsia="Calibri" w:cs="Times New Roman"/>
          <w:color w:val="auto"/>
          <w:szCs w:val="24"/>
        </w:rPr>
        <w:t>separation:</w:t>
      </w:r>
    </w:p>
    <w:p w:rsidR="00361D33" w:rsidRPr="00741B5C" w:rsidRDefault="00361D33"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741B5C" w:rsidTr="006B690F">
        <w:trPr>
          <w:trHeight w:val="233"/>
          <w:jc w:val="center"/>
        </w:trPr>
        <w:tc>
          <w:tcPr>
            <w:tcW w:w="6768" w:type="dxa"/>
            <w:shd w:val="clear" w:color="auto" w:fill="D9D9D9"/>
            <w:vAlign w:val="center"/>
          </w:tcPr>
          <w:p w:rsidR="00AD2379" w:rsidRPr="00741B5C" w:rsidRDefault="00AD2379" w:rsidP="006B690F">
            <w:pPr>
              <w:tabs>
                <w:tab w:val="left" w:pos="288"/>
                <w:tab w:val="left" w:pos="4752"/>
              </w:tabs>
              <w:rPr>
                <w:b/>
                <w:color w:val="auto"/>
              </w:rPr>
            </w:pPr>
            <w:r w:rsidRPr="00741B5C">
              <w:rPr>
                <w:b/>
                <w:color w:val="auto"/>
              </w:rPr>
              <w:t>UNFITTING CONDITION</w:t>
            </w:r>
          </w:p>
        </w:tc>
        <w:tc>
          <w:tcPr>
            <w:tcW w:w="1530" w:type="dxa"/>
            <w:shd w:val="clear" w:color="auto" w:fill="D9D9D9"/>
            <w:vAlign w:val="center"/>
          </w:tcPr>
          <w:p w:rsidR="00AD2379" w:rsidRPr="00741B5C" w:rsidRDefault="00AD2379" w:rsidP="006B690F">
            <w:pPr>
              <w:tabs>
                <w:tab w:val="left" w:pos="288"/>
                <w:tab w:val="left" w:pos="4752"/>
              </w:tabs>
              <w:rPr>
                <w:b/>
                <w:color w:val="auto"/>
              </w:rPr>
            </w:pPr>
            <w:r w:rsidRPr="00741B5C">
              <w:rPr>
                <w:b/>
                <w:color w:val="auto"/>
              </w:rPr>
              <w:t>VASRD CODE</w:t>
            </w:r>
          </w:p>
        </w:tc>
        <w:tc>
          <w:tcPr>
            <w:tcW w:w="1026" w:type="dxa"/>
            <w:shd w:val="clear" w:color="auto" w:fill="D9D9D9"/>
            <w:vAlign w:val="center"/>
          </w:tcPr>
          <w:p w:rsidR="00AD2379" w:rsidRPr="00741B5C" w:rsidRDefault="00AD2379" w:rsidP="006B690F">
            <w:pPr>
              <w:tabs>
                <w:tab w:val="left" w:pos="288"/>
                <w:tab w:val="left" w:pos="4752"/>
              </w:tabs>
              <w:rPr>
                <w:b/>
                <w:color w:val="auto"/>
              </w:rPr>
            </w:pPr>
            <w:r w:rsidRPr="00741B5C">
              <w:rPr>
                <w:b/>
                <w:color w:val="auto"/>
              </w:rPr>
              <w:t>RATING</w:t>
            </w:r>
          </w:p>
        </w:tc>
      </w:tr>
      <w:tr w:rsidR="00AD2379" w:rsidRPr="00741B5C" w:rsidTr="006B690F">
        <w:trPr>
          <w:jc w:val="center"/>
        </w:trPr>
        <w:tc>
          <w:tcPr>
            <w:tcW w:w="6768" w:type="dxa"/>
            <w:vAlign w:val="center"/>
          </w:tcPr>
          <w:p w:rsidR="00AD2379" w:rsidRPr="00741B5C" w:rsidRDefault="00071071" w:rsidP="006B690F">
            <w:pPr>
              <w:tabs>
                <w:tab w:val="left" w:pos="288"/>
                <w:tab w:val="left" w:pos="4752"/>
              </w:tabs>
              <w:jc w:val="left"/>
              <w:rPr>
                <w:color w:val="auto"/>
              </w:rPr>
            </w:pPr>
            <w:r w:rsidRPr="00741B5C">
              <w:rPr>
                <w:color w:val="auto"/>
              </w:rPr>
              <w:t>C</w:t>
            </w:r>
            <w:r w:rsidR="00361D33" w:rsidRPr="00741B5C">
              <w:rPr>
                <w:color w:val="auto"/>
              </w:rPr>
              <w:t>hronic Right Hip Pain</w:t>
            </w:r>
          </w:p>
        </w:tc>
        <w:tc>
          <w:tcPr>
            <w:tcW w:w="1530" w:type="dxa"/>
            <w:vAlign w:val="center"/>
          </w:tcPr>
          <w:p w:rsidR="00AD2379" w:rsidRPr="00741B5C" w:rsidRDefault="00361D33" w:rsidP="006B690F">
            <w:pPr>
              <w:tabs>
                <w:tab w:val="left" w:pos="288"/>
                <w:tab w:val="left" w:pos="4752"/>
              </w:tabs>
              <w:rPr>
                <w:color w:val="auto"/>
                <w:highlight w:val="lightGray"/>
              </w:rPr>
            </w:pPr>
            <w:r w:rsidRPr="00741B5C">
              <w:rPr>
                <w:color w:val="auto"/>
              </w:rPr>
              <w:t>5003</w:t>
            </w:r>
          </w:p>
        </w:tc>
        <w:tc>
          <w:tcPr>
            <w:tcW w:w="1026" w:type="dxa"/>
            <w:vAlign w:val="center"/>
          </w:tcPr>
          <w:p w:rsidR="00AD2379" w:rsidRPr="00741B5C" w:rsidRDefault="00361D33" w:rsidP="006B690F">
            <w:pPr>
              <w:tabs>
                <w:tab w:val="left" w:pos="288"/>
                <w:tab w:val="left" w:pos="4752"/>
              </w:tabs>
              <w:rPr>
                <w:color w:val="auto"/>
                <w:highlight w:val="lightGray"/>
              </w:rPr>
            </w:pPr>
            <w:r w:rsidRPr="00741B5C">
              <w:rPr>
                <w:color w:val="auto"/>
              </w:rPr>
              <w:t>1</w:t>
            </w:r>
            <w:r w:rsidR="00AD2379" w:rsidRPr="00741B5C">
              <w:rPr>
                <w:color w:val="auto"/>
              </w:rPr>
              <w:t>0%</w:t>
            </w:r>
          </w:p>
        </w:tc>
      </w:tr>
      <w:tr w:rsidR="00361D33" w:rsidRPr="00741B5C" w:rsidTr="006B690F">
        <w:trPr>
          <w:jc w:val="center"/>
        </w:trPr>
        <w:tc>
          <w:tcPr>
            <w:tcW w:w="6768" w:type="dxa"/>
            <w:vAlign w:val="center"/>
          </w:tcPr>
          <w:p w:rsidR="00361D33" w:rsidRPr="00741B5C" w:rsidRDefault="00361D33" w:rsidP="006B690F">
            <w:pPr>
              <w:tabs>
                <w:tab w:val="left" w:pos="288"/>
                <w:tab w:val="left" w:pos="4752"/>
              </w:tabs>
              <w:jc w:val="left"/>
              <w:rPr>
                <w:color w:val="auto"/>
              </w:rPr>
            </w:pPr>
            <w:r w:rsidRPr="00741B5C">
              <w:rPr>
                <w:color w:val="auto"/>
              </w:rPr>
              <w:t>Chronic Low Back Pain</w:t>
            </w:r>
          </w:p>
        </w:tc>
        <w:tc>
          <w:tcPr>
            <w:tcW w:w="1530" w:type="dxa"/>
            <w:vAlign w:val="center"/>
          </w:tcPr>
          <w:p w:rsidR="00361D33" w:rsidRPr="00741B5C" w:rsidRDefault="00393241" w:rsidP="00535839">
            <w:pPr>
              <w:tabs>
                <w:tab w:val="left" w:pos="288"/>
                <w:tab w:val="left" w:pos="4752"/>
              </w:tabs>
              <w:rPr>
                <w:color w:val="auto"/>
                <w:highlight w:val="yellow"/>
              </w:rPr>
            </w:pPr>
            <w:r w:rsidRPr="00741B5C">
              <w:rPr>
                <w:color w:val="auto"/>
              </w:rPr>
              <w:t>5</w:t>
            </w:r>
            <w:r w:rsidR="00535839" w:rsidRPr="00741B5C">
              <w:rPr>
                <w:color w:val="auto"/>
              </w:rPr>
              <w:t>299-5237</w:t>
            </w:r>
          </w:p>
        </w:tc>
        <w:tc>
          <w:tcPr>
            <w:tcW w:w="1026" w:type="dxa"/>
            <w:vAlign w:val="center"/>
          </w:tcPr>
          <w:p w:rsidR="00361D33" w:rsidRPr="00741B5C" w:rsidRDefault="00535839" w:rsidP="006B690F">
            <w:pPr>
              <w:tabs>
                <w:tab w:val="left" w:pos="288"/>
                <w:tab w:val="left" w:pos="4752"/>
              </w:tabs>
              <w:rPr>
                <w:color w:val="auto"/>
              </w:rPr>
            </w:pPr>
            <w:r w:rsidRPr="00741B5C">
              <w:rPr>
                <w:color w:val="auto"/>
              </w:rPr>
              <w:t>10%</w:t>
            </w:r>
          </w:p>
        </w:tc>
      </w:tr>
      <w:tr w:rsidR="00AD2379" w:rsidRPr="00741B5C"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741B5C" w:rsidRDefault="00AD2379" w:rsidP="006B690F">
            <w:pPr>
              <w:tabs>
                <w:tab w:val="left" w:pos="288"/>
                <w:tab w:val="left" w:pos="4752"/>
              </w:tabs>
              <w:rPr>
                <w:b/>
                <w:color w:val="auto"/>
              </w:rPr>
            </w:pPr>
            <w:r w:rsidRPr="00741B5C">
              <w:rPr>
                <w:b/>
                <w:color w:val="auto"/>
              </w:rPr>
              <w:t>COMBINED</w:t>
            </w:r>
          </w:p>
        </w:tc>
        <w:tc>
          <w:tcPr>
            <w:tcW w:w="1026" w:type="dxa"/>
            <w:shd w:val="clear" w:color="auto" w:fill="D9D9D9"/>
            <w:vAlign w:val="center"/>
          </w:tcPr>
          <w:p w:rsidR="00AD2379" w:rsidRPr="00741B5C" w:rsidRDefault="00535839" w:rsidP="006B690F">
            <w:pPr>
              <w:tabs>
                <w:tab w:val="left" w:pos="288"/>
                <w:tab w:val="left" w:pos="4752"/>
              </w:tabs>
              <w:rPr>
                <w:b/>
                <w:color w:val="auto"/>
              </w:rPr>
            </w:pPr>
            <w:r w:rsidRPr="00741B5C">
              <w:rPr>
                <w:b/>
                <w:color w:val="auto"/>
              </w:rPr>
              <w:t>2</w:t>
            </w:r>
            <w:r w:rsidR="00AD2379" w:rsidRPr="00741B5C">
              <w:rPr>
                <w:b/>
                <w:color w:val="auto"/>
              </w:rPr>
              <w:t>0%</w:t>
            </w:r>
          </w:p>
        </w:tc>
      </w:tr>
    </w:tbl>
    <w:p w:rsidR="00AD2379" w:rsidRPr="00741B5C" w:rsidRDefault="00AD2379" w:rsidP="006B690F">
      <w:pPr>
        <w:pBdr>
          <w:bottom w:val="single" w:sz="12" w:space="1" w:color="auto"/>
        </w:pBdr>
        <w:tabs>
          <w:tab w:val="left" w:pos="288"/>
          <w:tab w:val="left" w:pos="4752"/>
        </w:tabs>
        <w:jc w:val="both"/>
        <w:rPr>
          <w:color w:val="auto"/>
        </w:rPr>
      </w:pPr>
    </w:p>
    <w:p w:rsidR="00AD2379" w:rsidRPr="00741B5C" w:rsidRDefault="00AD2379" w:rsidP="006B690F">
      <w:pPr>
        <w:jc w:val="both"/>
        <w:rPr>
          <w:color w:val="auto"/>
        </w:rPr>
      </w:pPr>
    </w:p>
    <w:p w:rsidR="00AD2379" w:rsidRPr="00741B5C" w:rsidRDefault="00AD2379" w:rsidP="006B690F">
      <w:pPr>
        <w:tabs>
          <w:tab w:val="left" w:pos="288"/>
          <w:tab w:val="left" w:pos="4752"/>
        </w:tabs>
        <w:jc w:val="both"/>
        <w:rPr>
          <w:color w:val="auto"/>
        </w:rPr>
      </w:pPr>
      <w:r w:rsidRPr="00741B5C">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913182">
        <w:rPr>
          <w:color w:val="auto"/>
        </w:rPr>
        <w:t>dated 20</w:t>
      </w:r>
      <w:r w:rsidR="00913182" w:rsidRPr="00913182">
        <w:rPr>
          <w:color w:val="auto"/>
        </w:rPr>
        <w:t>120212</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FD2E17">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FD2E17" w:rsidRDefault="00AD2379" w:rsidP="00BF0E94">
      <w:pPr>
        <w:tabs>
          <w:tab w:val="left" w:pos="0"/>
          <w:tab w:val="left" w:pos="4320"/>
        </w:tabs>
        <w:jc w:val="both"/>
        <w:rPr>
          <w:color w:val="auto"/>
        </w:rPr>
      </w:pPr>
      <w:r w:rsidRPr="00F64312">
        <w:rPr>
          <w:color w:val="auto"/>
        </w:rPr>
        <w:tab/>
        <w:t xml:space="preserve">           Physical Disability Board of Review</w:t>
      </w:r>
    </w:p>
    <w:p w:rsidR="00FD2E17" w:rsidRDefault="00FD2E17">
      <w:pPr>
        <w:spacing w:line="240" w:lineRule="auto"/>
        <w:jc w:val="left"/>
        <w:rPr>
          <w:color w:val="auto"/>
        </w:rPr>
      </w:pPr>
      <w:r>
        <w:rPr>
          <w:color w:val="auto"/>
        </w:rPr>
        <w:br w:type="page"/>
      </w:r>
    </w:p>
    <w:p w:rsidR="00FD2E17" w:rsidRDefault="00FD2E17" w:rsidP="00FD2E17">
      <w:pPr>
        <w:sectPr w:rsidR="00FD2E17">
          <w:pgSz w:w="12240" w:h="15840"/>
          <w:pgMar w:top="2160" w:right="1440" w:bottom="1440" w:left="1440" w:header="720" w:footer="720" w:gutter="0"/>
          <w:cols w:space="720"/>
        </w:sectPr>
      </w:pPr>
    </w:p>
    <w:p w:rsidR="00FD2E17" w:rsidRDefault="00FD2E17" w:rsidP="00FD2E17">
      <w:pPr>
        <w:pStyle w:val="Header"/>
        <w:tabs>
          <w:tab w:val="left" w:pos="720"/>
        </w:tabs>
        <w:jc w:val="left"/>
      </w:pPr>
      <w:r>
        <w:lastRenderedPageBreak/>
        <w:t>SFMR-RB</w:t>
      </w:r>
      <w:r>
        <w:tab/>
      </w:r>
      <w:r>
        <w:tab/>
      </w:r>
      <w:r>
        <w:tab/>
      </w:r>
      <w:r>
        <w:tab/>
      </w:r>
      <w:r>
        <w:tab/>
      </w:r>
      <w:r>
        <w:tab/>
      </w:r>
      <w:r>
        <w:tab/>
      </w:r>
      <w:r>
        <w:tab/>
      </w:r>
      <w:r>
        <w:tab/>
      </w:r>
    </w:p>
    <w:p w:rsidR="00FD2E17" w:rsidRDefault="00FD2E17" w:rsidP="00FD2E17">
      <w:pPr>
        <w:pStyle w:val="Header"/>
        <w:tabs>
          <w:tab w:val="left" w:pos="720"/>
        </w:tabs>
        <w:jc w:val="left"/>
      </w:pPr>
    </w:p>
    <w:p w:rsidR="00FD2E17" w:rsidRDefault="00FD2E17" w:rsidP="00FD2E17">
      <w:pPr>
        <w:jc w:val="left"/>
      </w:pPr>
    </w:p>
    <w:p w:rsidR="00FD2E17" w:rsidRDefault="00FD2E17" w:rsidP="00FD2E17">
      <w:pPr>
        <w:jc w:val="left"/>
      </w:pPr>
      <w:r>
        <w:t xml:space="preserve">MEMORANDUM FOR Commander, US Army Physical Disability Agency </w:t>
      </w:r>
    </w:p>
    <w:p w:rsidR="00FD2E17" w:rsidRDefault="00FD2E17" w:rsidP="00FD2E17">
      <w:pPr>
        <w:jc w:val="left"/>
      </w:pPr>
      <w:r>
        <w:t>(TAPD-ZB /</w:t>
      </w:r>
      <w:bookmarkStart w:id="0" w:name="_GoBack"/>
      <w:bookmarkEnd w:id="0"/>
      <w:r>
        <w:t>), 2900 Crystal Drive, Suite 300, Arlington, VA  22202</w:t>
      </w:r>
    </w:p>
    <w:p w:rsidR="00FD2E17" w:rsidRDefault="00FD2E17" w:rsidP="00FD2E17">
      <w:pPr>
        <w:jc w:val="left"/>
      </w:pPr>
    </w:p>
    <w:p w:rsidR="00FD2E17" w:rsidRDefault="00FD2E17" w:rsidP="00FD2E17">
      <w:pPr>
        <w:ind w:right="-180"/>
        <w:jc w:val="left"/>
      </w:pPr>
      <w:r>
        <w:t xml:space="preserve">SUBJECT:  Department of Defense Physical Disability Board of Review Recommendation </w:t>
      </w:r>
    </w:p>
    <w:p w:rsidR="00FD2E17" w:rsidRDefault="00FD2E17" w:rsidP="00FD2E17">
      <w:pPr>
        <w:pStyle w:val="Header"/>
        <w:tabs>
          <w:tab w:val="left" w:pos="720"/>
        </w:tabs>
        <w:jc w:val="left"/>
      </w:pPr>
      <w:r>
        <w:t xml:space="preserve">for </w:t>
      </w:r>
      <w:r w:rsidR="00E95EF7">
        <w:t>XXXXXXXXXXXXXXXXXXXXXXXX</w:t>
      </w:r>
      <w:r>
        <w:t>, AR20120015671 (PD201200139)</w:t>
      </w:r>
    </w:p>
    <w:p w:rsidR="00FD2E17" w:rsidRDefault="00FD2E17" w:rsidP="00FD2E17">
      <w:pPr>
        <w:pStyle w:val="Header"/>
        <w:tabs>
          <w:tab w:val="left" w:pos="720"/>
        </w:tabs>
        <w:jc w:val="left"/>
      </w:pPr>
    </w:p>
    <w:p w:rsidR="00FD2E17" w:rsidRDefault="00FD2E17" w:rsidP="00FD2E17">
      <w:pPr>
        <w:jc w:val="left"/>
      </w:pPr>
    </w:p>
    <w:p w:rsidR="00FD2E17" w:rsidRDefault="00FD2E17" w:rsidP="00FD2E17">
      <w:pPr>
        <w:jc w:val="left"/>
      </w:pPr>
      <w:r>
        <w:t xml:space="preserve">1.  I have reviewed the enclosed Department of Defense Physical Disability Board of Review (DoD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FD2E17" w:rsidRDefault="00FD2E17" w:rsidP="00FD2E17">
      <w:pPr>
        <w:jc w:val="left"/>
      </w:pPr>
    </w:p>
    <w:p w:rsidR="00FD2E17" w:rsidRDefault="00FD2E17" w:rsidP="00FD2E17">
      <w:pPr>
        <w:jc w:val="left"/>
      </w:pPr>
      <w:r>
        <w:t xml:space="preserve">2.  I direct that all the Department of the Army records of the individual concerned be corrected accordingly no later than 120 days from the date of this memorandum.   </w:t>
      </w:r>
    </w:p>
    <w:p w:rsidR="00FD2E17" w:rsidRDefault="00FD2E17" w:rsidP="00FD2E17">
      <w:pPr>
        <w:jc w:val="left"/>
      </w:pPr>
    </w:p>
    <w:p w:rsidR="00FD2E17" w:rsidRDefault="00FD2E17" w:rsidP="00FD2E17">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FD2E17" w:rsidRDefault="00FD2E17" w:rsidP="00FD2E17">
      <w:pPr>
        <w:jc w:val="left"/>
      </w:pPr>
    </w:p>
    <w:p w:rsidR="00FD2E17" w:rsidRDefault="00FD2E17" w:rsidP="00FD2E17">
      <w:pPr>
        <w:jc w:val="left"/>
      </w:pPr>
      <w:r>
        <w:t>BY ORDER OF THE SECRETARY OF THE ARMY:</w:t>
      </w:r>
    </w:p>
    <w:p w:rsidR="00FD2E17" w:rsidRDefault="00FD2E17" w:rsidP="00FD2E17">
      <w:pPr>
        <w:jc w:val="left"/>
      </w:pPr>
    </w:p>
    <w:p w:rsidR="00FD2E17" w:rsidRDefault="00FD2E17" w:rsidP="00FD2E17">
      <w:pPr>
        <w:jc w:val="left"/>
      </w:pPr>
    </w:p>
    <w:p w:rsidR="00FD2E17" w:rsidRDefault="00FD2E17" w:rsidP="00FD2E17">
      <w:pPr>
        <w:pStyle w:val="Header"/>
        <w:tabs>
          <w:tab w:val="left" w:pos="720"/>
        </w:tabs>
        <w:jc w:val="left"/>
      </w:pPr>
    </w:p>
    <w:p w:rsidR="00FD2E17" w:rsidRDefault="00FD2E17" w:rsidP="00FD2E17">
      <w:pPr>
        <w:jc w:val="left"/>
      </w:pPr>
    </w:p>
    <w:p w:rsidR="00FD2E17" w:rsidRDefault="00FD2E17" w:rsidP="00FD2E17">
      <w:pPr>
        <w:jc w:val="left"/>
      </w:pPr>
      <w:bookmarkStart w:id="1" w:name="OLE_LINK4"/>
      <w:bookmarkStart w:id="2" w:name="OLE_LINK3"/>
      <w:r>
        <w:t>Encl</w:t>
      </w:r>
      <w:r>
        <w:tab/>
      </w:r>
      <w:r>
        <w:tab/>
      </w:r>
      <w:r>
        <w:tab/>
      </w:r>
      <w:r>
        <w:tab/>
      </w:r>
      <w:r>
        <w:tab/>
      </w:r>
      <w:r>
        <w:tab/>
        <w:t xml:space="preserve">     XXXXXXXXXXXXXXXXXXXXXXX</w:t>
      </w:r>
    </w:p>
    <w:p w:rsidR="00FD2E17" w:rsidRDefault="00FD2E17" w:rsidP="00FD2E17">
      <w:pPr>
        <w:jc w:val="left"/>
      </w:pPr>
      <w:r>
        <w:tab/>
      </w:r>
      <w:r>
        <w:tab/>
      </w:r>
      <w:r>
        <w:tab/>
      </w:r>
      <w:r>
        <w:tab/>
      </w:r>
      <w:r>
        <w:tab/>
      </w:r>
      <w:r>
        <w:tab/>
        <w:t xml:space="preserve">     Deputy Assistant Secretary</w:t>
      </w:r>
    </w:p>
    <w:p w:rsidR="00FD2E17" w:rsidRDefault="00FD2E17" w:rsidP="00FD2E17">
      <w:pPr>
        <w:jc w:val="left"/>
      </w:pPr>
      <w:r>
        <w:tab/>
      </w:r>
      <w:r>
        <w:tab/>
      </w:r>
      <w:r>
        <w:tab/>
      </w:r>
      <w:r>
        <w:tab/>
      </w:r>
      <w:r>
        <w:tab/>
      </w:r>
      <w:r>
        <w:tab/>
        <w:t xml:space="preserve">         (Army Review Boards)</w:t>
      </w:r>
      <w:bookmarkEnd w:id="1"/>
      <w:bookmarkEnd w:id="2"/>
    </w:p>
    <w:p w:rsidR="00FD2E17" w:rsidRDefault="00FD2E17" w:rsidP="00FD2E17">
      <w:pPr>
        <w:jc w:val="left"/>
      </w:pPr>
    </w:p>
    <w:p w:rsidR="00FD2E17" w:rsidRDefault="00FD2E17" w:rsidP="00FD2E17">
      <w:pPr>
        <w:jc w:val="left"/>
      </w:pPr>
      <w:r>
        <w:t xml:space="preserve">CF: </w:t>
      </w:r>
    </w:p>
    <w:p w:rsidR="00FD2E17" w:rsidRDefault="00FD2E17" w:rsidP="00FD2E17">
      <w:pPr>
        <w:jc w:val="left"/>
      </w:pPr>
      <w:r>
        <w:t xml:space="preserve">(  ) </w:t>
      </w:r>
      <w:proofErr w:type="gramStart"/>
      <w:r>
        <w:t>DoD</w:t>
      </w:r>
      <w:proofErr w:type="gramEnd"/>
      <w:r>
        <w:t xml:space="preserve"> PDBR</w:t>
      </w:r>
    </w:p>
    <w:p w:rsidR="00FD2E17" w:rsidRDefault="00FD2E17" w:rsidP="00FD2E17">
      <w:pPr>
        <w:jc w:val="left"/>
      </w:pPr>
      <w:r>
        <w:t>(  ) DVA</w:t>
      </w:r>
    </w:p>
    <w:p w:rsidR="00AD2379" w:rsidRDefault="00AD2379"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945" w:rsidRDefault="00505945">
      <w:r>
        <w:separator/>
      </w:r>
    </w:p>
  </w:endnote>
  <w:endnote w:type="continuationSeparator" w:id="0">
    <w:p w:rsidR="00505945" w:rsidRDefault="0050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498" w:rsidRPr="00374247" w:rsidRDefault="00CB2498" w:rsidP="00726F84">
    <w:pPr>
      <w:pStyle w:val="Footer"/>
      <w:ind w:firstLine="4320"/>
      <w:rPr>
        <w:color w:val="auto"/>
      </w:rPr>
    </w:pPr>
    <w:r w:rsidRPr="00374247">
      <w:rPr>
        <w:color w:val="auto"/>
      </w:rPr>
      <w:t xml:space="preserve">   </w:t>
    </w:r>
    <w:r w:rsidR="00BB7014">
      <w:fldChar w:fldCharType="begin"/>
    </w:r>
    <w:r w:rsidR="00BB7014">
      <w:instrText xml:space="preserve"> PAGE   \* MERGEFORMAT </w:instrText>
    </w:r>
    <w:r w:rsidR="00BB7014">
      <w:fldChar w:fldCharType="separate"/>
    </w:r>
    <w:r w:rsidR="00FD2E17" w:rsidRPr="00FD2E17">
      <w:rPr>
        <w:noProof/>
        <w:color w:val="auto"/>
      </w:rPr>
      <w:t>6</w:t>
    </w:r>
    <w:r w:rsidR="00BB7014">
      <w:rPr>
        <w:noProof/>
        <w:color w:val="auto"/>
      </w:rPr>
      <w:fldChar w:fldCharType="end"/>
    </w:r>
    <w:r w:rsidRPr="00374247">
      <w:rPr>
        <w:color w:val="auto"/>
      </w:rPr>
      <w:t xml:space="preserve">                                                           </w:t>
    </w:r>
    <w:r w:rsidRPr="00306D90">
      <w:rPr>
        <w:color w:val="auto"/>
      </w:rPr>
      <w:t>PD120013</w:t>
    </w:r>
    <w:r>
      <w:rPr>
        <w:color w:val="auto"/>
      </w:rPr>
      <w:t>9</w:t>
    </w:r>
  </w:p>
  <w:p w:rsidR="00CB2498" w:rsidRPr="00684CE6" w:rsidRDefault="00CB2498">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945" w:rsidRDefault="00505945">
      <w:r>
        <w:separator/>
      </w:r>
    </w:p>
  </w:footnote>
  <w:footnote w:type="continuationSeparator" w:id="0">
    <w:p w:rsidR="00505945" w:rsidRDefault="00505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6180"/>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37B66"/>
    <w:rsid w:val="00040FC4"/>
    <w:rsid w:val="000416F8"/>
    <w:rsid w:val="00042978"/>
    <w:rsid w:val="00042C26"/>
    <w:rsid w:val="00043382"/>
    <w:rsid w:val="00044623"/>
    <w:rsid w:val="000452D7"/>
    <w:rsid w:val="00046203"/>
    <w:rsid w:val="0005046E"/>
    <w:rsid w:val="00051622"/>
    <w:rsid w:val="00051A11"/>
    <w:rsid w:val="00051F89"/>
    <w:rsid w:val="00052234"/>
    <w:rsid w:val="00053D7C"/>
    <w:rsid w:val="000575C5"/>
    <w:rsid w:val="000577C9"/>
    <w:rsid w:val="00060C18"/>
    <w:rsid w:val="00060FFD"/>
    <w:rsid w:val="00061D69"/>
    <w:rsid w:val="00063BE5"/>
    <w:rsid w:val="00063DE1"/>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B7E"/>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89E"/>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6F1F"/>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790"/>
    <w:rsid w:val="00122ABE"/>
    <w:rsid w:val="00122FC5"/>
    <w:rsid w:val="001231DC"/>
    <w:rsid w:val="0012453A"/>
    <w:rsid w:val="0012489B"/>
    <w:rsid w:val="00126962"/>
    <w:rsid w:val="001272AE"/>
    <w:rsid w:val="00130756"/>
    <w:rsid w:val="001315DD"/>
    <w:rsid w:val="001341E3"/>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25C"/>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31B"/>
    <w:rsid w:val="00176D63"/>
    <w:rsid w:val="00177659"/>
    <w:rsid w:val="001779E5"/>
    <w:rsid w:val="00177A16"/>
    <w:rsid w:val="00180826"/>
    <w:rsid w:val="00181240"/>
    <w:rsid w:val="0018208F"/>
    <w:rsid w:val="00182A4C"/>
    <w:rsid w:val="00183F77"/>
    <w:rsid w:val="00183FB3"/>
    <w:rsid w:val="001844D8"/>
    <w:rsid w:val="001856CF"/>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7FE"/>
    <w:rsid w:val="001968BB"/>
    <w:rsid w:val="001A025E"/>
    <w:rsid w:val="001A08CD"/>
    <w:rsid w:val="001A0A1E"/>
    <w:rsid w:val="001A2182"/>
    <w:rsid w:val="001A323E"/>
    <w:rsid w:val="001A5320"/>
    <w:rsid w:val="001A5E62"/>
    <w:rsid w:val="001A6848"/>
    <w:rsid w:val="001A7538"/>
    <w:rsid w:val="001B06FB"/>
    <w:rsid w:val="001B0B1A"/>
    <w:rsid w:val="001B20E6"/>
    <w:rsid w:val="001B42C0"/>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24B"/>
    <w:rsid w:val="001D37B9"/>
    <w:rsid w:val="001D3DC0"/>
    <w:rsid w:val="001D4F88"/>
    <w:rsid w:val="001D64F3"/>
    <w:rsid w:val="001D68CF"/>
    <w:rsid w:val="001D6A8C"/>
    <w:rsid w:val="001D7A56"/>
    <w:rsid w:val="001E0291"/>
    <w:rsid w:val="001E0617"/>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B35"/>
    <w:rsid w:val="00241ECD"/>
    <w:rsid w:val="00242238"/>
    <w:rsid w:val="0024227D"/>
    <w:rsid w:val="00242D14"/>
    <w:rsid w:val="002432F4"/>
    <w:rsid w:val="0024501A"/>
    <w:rsid w:val="00246860"/>
    <w:rsid w:val="002468D9"/>
    <w:rsid w:val="00246995"/>
    <w:rsid w:val="00246DFF"/>
    <w:rsid w:val="00246E89"/>
    <w:rsid w:val="00250F7B"/>
    <w:rsid w:val="0025183C"/>
    <w:rsid w:val="00251FED"/>
    <w:rsid w:val="00252351"/>
    <w:rsid w:val="002528EC"/>
    <w:rsid w:val="00252A84"/>
    <w:rsid w:val="00253EAA"/>
    <w:rsid w:val="00255049"/>
    <w:rsid w:val="00256EE4"/>
    <w:rsid w:val="00257538"/>
    <w:rsid w:val="00257AFF"/>
    <w:rsid w:val="00257DE5"/>
    <w:rsid w:val="00260531"/>
    <w:rsid w:val="00260B9A"/>
    <w:rsid w:val="00261B7E"/>
    <w:rsid w:val="00262179"/>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08D7"/>
    <w:rsid w:val="002810A4"/>
    <w:rsid w:val="0028261C"/>
    <w:rsid w:val="00282DB6"/>
    <w:rsid w:val="00284A26"/>
    <w:rsid w:val="00285095"/>
    <w:rsid w:val="002854EB"/>
    <w:rsid w:val="00287006"/>
    <w:rsid w:val="0029030A"/>
    <w:rsid w:val="002910E1"/>
    <w:rsid w:val="00291A69"/>
    <w:rsid w:val="00292397"/>
    <w:rsid w:val="00292AB2"/>
    <w:rsid w:val="00292B82"/>
    <w:rsid w:val="00293DB6"/>
    <w:rsid w:val="00293FE8"/>
    <w:rsid w:val="00294437"/>
    <w:rsid w:val="002960AC"/>
    <w:rsid w:val="00296686"/>
    <w:rsid w:val="00297A00"/>
    <w:rsid w:val="00297A45"/>
    <w:rsid w:val="00297E20"/>
    <w:rsid w:val="002A233F"/>
    <w:rsid w:val="002A2D51"/>
    <w:rsid w:val="002A3237"/>
    <w:rsid w:val="002A4119"/>
    <w:rsid w:val="002A58B7"/>
    <w:rsid w:val="002A5943"/>
    <w:rsid w:val="002A5C3C"/>
    <w:rsid w:val="002A685E"/>
    <w:rsid w:val="002A72C7"/>
    <w:rsid w:val="002B0204"/>
    <w:rsid w:val="002B03B2"/>
    <w:rsid w:val="002B0749"/>
    <w:rsid w:val="002B0763"/>
    <w:rsid w:val="002B1308"/>
    <w:rsid w:val="002B21F9"/>
    <w:rsid w:val="002B2645"/>
    <w:rsid w:val="002B2D0B"/>
    <w:rsid w:val="002B303A"/>
    <w:rsid w:val="002B32E9"/>
    <w:rsid w:val="002B473D"/>
    <w:rsid w:val="002B4E22"/>
    <w:rsid w:val="002B6FA0"/>
    <w:rsid w:val="002B7710"/>
    <w:rsid w:val="002C0910"/>
    <w:rsid w:val="002C0DEA"/>
    <w:rsid w:val="002C1D4C"/>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1D8C"/>
    <w:rsid w:val="003029D5"/>
    <w:rsid w:val="0030433B"/>
    <w:rsid w:val="00304511"/>
    <w:rsid w:val="00305856"/>
    <w:rsid w:val="00305867"/>
    <w:rsid w:val="0030678B"/>
    <w:rsid w:val="00306D16"/>
    <w:rsid w:val="00306D90"/>
    <w:rsid w:val="0030700A"/>
    <w:rsid w:val="00307595"/>
    <w:rsid w:val="00307DA6"/>
    <w:rsid w:val="00310CD7"/>
    <w:rsid w:val="00313C3A"/>
    <w:rsid w:val="00313D7A"/>
    <w:rsid w:val="00314517"/>
    <w:rsid w:val="003155FB"/>
    <w:rsid w:val="0032136A"/>
    <w:rsid w:val="00321799"/>
    <w:rsid w:val="003219E5"/>
    <w:rsid w:val="003224D8"/>
    <w:rsid w:val="0032281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74"/>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1D33"/>
    <w:rsid w:val="003620C8"/>
    <w:rsid w:val="00363087"/>
    <w:rsid w:val="0036319E"/>
    <w:rsid w:val="003632A4"/>
    <w:rsid w:val="00363362"/>
    <w:rsid w:val="0036392A"/>
    <w:rsid w:val="00364CAB"/>
    <w:rsid w:val="00365767"/>
    <w:rsid w:val="003659C0"/>
    <w:rsid w:val="003660DF"/>
    <w:rsid w:val="003674A9"/>
    <w:rsid w:val="00367904"/>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241"/>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3B"/>
    <w:rsid w:val="003B2143"/>
    <w:rsid w:val="003B227A"/>
    <w:rsid w:val="003B2ED0"/>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2FE2"/>
    <w:rsid w:val="003D316B"/>
    <w:rsid w:val="003D3C22"/>
    <w:rsid w:val="003D56A0"/>
    <w:rsid w:val="003D609F"/>
    <w:rsid w:val="003D69F5"/>
    <w:rsid w:val="003D7084"/>
    <w:rsid w:val="003D7089"/>
    <w:rsid w:val="003D7DDB"/>
    <w:rsid w:val="003E024F"/>
    <w:rsid w:val="003E02C7"/>
    <w:rsid w:val="003E0543"/>
    <w:rsid w:val="003E061D"/>
    <w:rsid w:val="003E0B5A"/>
    <w:rsid w:val="003E0E20"/>
    <w:rsid w:val="003E1682"/>
    <w:rsid w:val="003E31E3"/>
    <w:rsid w:val="003E3E93"/>
    <w:rsid w:val="003E46D1"/>
    <w:rsid w:val="003E6214"/>
    <w:rsid w:val="003F070E"/>
    <w:rsid w:val="003F1206"/>
    <w:rsid w:val="003F2418"/>
    <w:rsid w:val="003F28DB"/>
    <w:rsid w:val="003F2DF1"/>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29"/>
    <w:rsid w:val="00421DEA"/>
    <w:rsid w:val="00422B75"/>
    <w:rsid w:val="00424458"/>
    <w:rsid w:val="00424612"/>
    <w:rsid w:val="0042528C"/>
    <w:rsid w:val="00425672"/>
    <w:rsid w:val="00425A6A"/>
    <w:rsid w:val="00426A23"/>
    <w:rsid w:val="00427C7F"/>
    <w:rsid w:val="00427F54"/>
    <w:rsid w:val="00430247"/>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0CE"/>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3B5E"/>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6D17"/>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3F88"/>
    <w:rsid w:val="00505524"/>
    <w:rsid w:val="005058D5"/>
    <w:rsid w:val="00505945"/>
    <w:rsid w:val="00506688"/>
    <w:rsid w:val="00510588"/>
    <w:rsid w:val="00510F9C"/>
    <w:rsid w:val="0051146C"/>
    <w:rsid w:val="00511881"/>
    <w:rsid w:val="0051220B"/>
    <w:rsid w:val="00512253"/>
    <w:rsid w:val="00512484"/>
    <w:rsid w:val="00514449"/>
    <w:rsid w:val="005144A7"/>
    <w:rsid w:val="00515419"/>
    <w:rsid w:val="005157BD"/>
    <w:rsid w:val="0051594B"/>
    <w:rsid w:val="00516818"/>
    <w:rsid w:val="005214A3"/>
    <w:rsid w:val="005222E7"/>
    <w:rsid w:val="0052270D"/>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5839"/>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968"/>
    <w:rsid w:val="00547BDA"/>
    <w:rsid w:val="00547BE6"/>
    <w:rsid w:val="0055034F"/>
    <w:rsid w:val="00550476"/>
    <w:rsid w:val="00551C24"/>
    <w:rsid w:val="0055288D"/>
    <w:rsid w:val="005533DE"/>
    <w:rsid w:val="00555259"/>
    <w:rsid w:val="00555C66"/>
    <w:rsid w:val="005569EF"/>
    <w:rsid w:val="00556BDE"/>
    <w:rsid w:val="00557D14"/>
    <w:rsid w:val="0056056C"/>
    <w:rsid w:val="00560D57"/>
    <w:rsid w:val="00560F12"/>
    <w:rsid w:val="00562922"/>
    <w:rsid w:val="00562A94"/>
    <w:rsid w:val="00563FAD"/>
    <w:rsid w:val="00565636"/>
    <w:rsid w:val="00567449"/>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7896"/>
    <w:rsid w:val="0058039C"/>
    <w:rsid w:val="00580A63"/>
    <w:rsid w:val="00583379"/>
    <w:rsid w:val="0058417C"/>
    <w:rsid w:val="005854F9"/>
    <w:rsid w:val="00585631"/>
    <w:rsid w:val="00586878"/>
    <w:rsid w:val="00586EC6"/>
    <w:rsid w:val="00587DDE"/>
    <w:rsid w:val="00593043"/>
    <w:rsid w:val="00595B60"/>
    <w:rsid w:val="00595B63"/>
    <w:rsid w:val="00595BF0"/>
    <w:rsid w:val="00596E6A"/>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391"/>
    <w:rsid w:val="005C4D72"/>
    <w:rsid w:val="005C50C1"/>
    <w:rsid w:val="005C62C2"/>
    <w:rsid w:val="005D0378"/>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2D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2A8"/>
    <w:rsid w:val="0067443B"/>
    <w:rsid w:val="006770AA"/>
    <w:rsid w:val="00680450"/>
    <w:rsid w:val="0068098E"/>
    <w:rsid w:val="006810BD"/>
    <w:rsid w:val="00681350"/>
    <w:rsid w:val="0068160C"/>
    <w:rsid w:val="00681A55"/>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B7DC1"/>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CAD"/>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17F4"/>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4F60"/>
    <w:rsid w:val="00725BC5"/>
    <w:rsid w:val="007260A9"/>
    <w:rsid w:val="00726C1D"/>
    <w:rsid w:val="00726F84"/>
    <w:rsid w:val="007272F1"/>
    <w:rsid w:val="00727565"/>
    <w:rsid w:val="007301B1"/>
    <w:rsid w:val="0073062D"/>
    <w:rsid w:val="0073093B"/>
    <w:rsid w:val="0073254D"/>
    <w:rsid w:val="007340F3"/>
    <w:rsid w:val="007347BB"/>
    <w:rsid w:val="00735704"/>
    <w:rsid w:val="00736987"/>
    <w:rsid w:val="00736A49"/>
    <w:rsid w:val="007419A1"/>
    <w:rsid w:val="00741B5C"/>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3D46"/>
    <w:rsid w:val="0076100C"/>
    <w:rsid w:val="00761127"/>
    <w:rsid w:val="007612A5"/>
    <w:rsid w:val="007635A8"/>
    <w:rsid w:val="007637D0"/>
    <w:rsid w:val="00763CAE"/>
    <w:rsid w:val="00763F95"/>
    <w:rsid w:val="00764B5C"/>
    <w:rsid w:val="007651ED"/>
    <w:rsid w:val="00766C87"/>
    <w:rsid w:val="00771043"/>
    <w:rsid w:val="0077272B"/>
    <w:rsid w:val="00773AF7"/>
    <w:rsid w:val="00773C45"/>
    <w:rsid w:val="00774FFD"/>
    <w:rsid w:val="00775A24"/>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E77"/>
    <w:rsid w:val="007A5AD1"/>
    <w:rsid w:val="007A5B7B"/>
    <w:rsid w:val="007A65A9"/>
    <w:rsid w:val="007A795C"/>
    <w:rsid w:val="007A7FD8"/>
    <w:rsid w:val="007B0128"/>
    <w:rsid w:val="007B0635"/>
    <w:rsid w:val="007B0A06"/>
    <w:rsid w:val="007B0B24"/>
    <w:rsid w:val="007B0F8B"/>
    <w:rsid w:val="007B1C83"/>
    <w:rsid w:val="007B251A"/>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5F6C"/>
    <w:rsid w:val="007E71B1"/>
    <w:rsid w:val="007E7507"/>
    <w:rsid w:val="007E7780"/>
    <w:rsid w:val="007E7B4E"/>
    <w:rsid w:val="007E7F02"/>
    <w:rsid w:val="007F0292"/>
    <w:rsid w:val="007F0722"/>
    <w:rsid w:val="007F0AB7"/>
    <w:rsid w:val="007F0CE2"/>
    <w:rsid w:val="007F0EFF"/>
    <w:rsid w:val="007F1375"/>
    <w:rsid w:val="007F1AFD"/>
    <w:rsid w:val="007F30E4"/>
    <w:rsid w:val="007F7413"/>
    <w:rsid w:val="007F7C4C"/>
    <w:rsid w:val="0080064F"/>
    <w:rsid w:val="00801B85"/>
    <w:rsid w:val="00803850"/>
    <w:rsid w:val="008039E8"/>
    <w:rsid w:val="00804385"/>
    <w:rsid w:val="00804E0E"/>
    <w:rsid w:val="008051EB"/>
    <w:rsid w:val="0080588E"/>
    <w:rsid w:val="00805AFD"/>
    <w:rsid w:val="00806397"/>
    <w:rsid w:val="008078D8"/>
    <w:rsid w:val="0080798E"/>
    <w:rsid w:val="00810350"/>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285"/>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431"/>
    <w:rsid w:val="00855E73"/>
    <w:rsid w:val="00856428"/>
    <w:rsid w:val="00856AC7"/>
    <w:rsid w:val="00856FA4"/>
    <w:rsid w:val="00860869"/>
    <w:rsid w:val="00860E60"/>
    <w:rsid w:val="0086102A"/>
    <w:rsid w:val="0086162B"/>
    <w:rsid w:val="00861710"/>
    <w:rsid w:val="00861D5C"/>
    <w:rsid w:val="00861E7C"/>
    <w:rsid w:val="008626C2"/>
    <w:rsid w:val="0086409B"/>
    <w:rsid w:val="0086429C"/>
    <w:rsid w:val="00865207"/>
    <w:rsid w:val="008656A7"/>
    <w:rsid w:val="00865FA3"/>
    <w:rsid w:val="00866231"/>
    <w:rsid w:val="00871262"/>
    <w:rsid w:val="0087170E"/>
    <w:rsid w:val="00871D4E"/>
    <w:rsid w:val="00871E7B"/>
    <w:rsid w:val="008721BB"/>
    <w:rsid w:val="008734E7"/>
    <w:rsid w:val="00873E98"/>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43B9"/>
    <w:rsid w:val="00895FCB"/>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B6757"/>
    <w:rsid w:val="008C22F3"/>
    <w:rsid w:val="008C3223"/>
    <w:rsid w:val="008C3FD0"/>
    <w:rsid w:val="008C4F01"/>
    <w:rsid w:val="008C5152"/>
    <w:rsid w:val="008C710E"/>
    <w:rsid w:val="008C7BC4"/>
    <w:rsid w:val="008D1484"/>
    <w:rsid w:val="008D167B"/>
    <w:rsid w:val="008D29E7"/>
    <w:rsid w:val="008D5104"/>
    <w:rsid w:val="008D75F4"/>
    <w:rsid w:val="008D795D"/>
    <w:rsid w:val="008D7B07"/>
    <w:rsid w:val="008E0D8F"/>
    <w:rsid w:val="008E0F4E"/>
    <w:rsid w:val="008E1342"/>
    <w:rsid w:val="008E1E94"/>
    <w:rsid w:val="008E2D99"/>
    <w:rsid w:val="008E30D4"/>
    <w:rsid w:val="008E38B0"/>
    <w:rsid w:val="008E3C90"/>
    <w:rsid w:val="008E4A60"/>
    <w:rsid w:val="008E744D"/>
    <w:rsid w:val="008F1E08"/>
    <w:rsid w:val="008F30F4"/>
    <w:rsid w:val="008F4072"/>
    <w:rsid w:val="008F5007"/>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079A"/>
    <w:rsid w:val="00911490"/>
    <w:rsid w:val="009115F2"/>
    <w:rsid w:val="00911B11"/>
    <w:rsid w:val="00913182"/>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A09"/>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187"/>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2BE3"/>
    <w:rsid w:val="009F3B63"/>
    <w:rsid w:val="009F43E2"/>
    <w:rsid w:val="009F44A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6E21"/>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58A"/>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A9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5B18"/>
    <w:rsid w:val="00A86530"/>
    <w:rsid w:val="00A86CB6"/>
    <w:rsid w:val="00A90D55"/>
    <w:rsid w:val="00A91E6C"/>
    <w:rsid w:val="00A9225E"/>
    <w:rsid w:val="00A92F95"/>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B6966"/>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4E9"/>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505F"/>
    <w:rsid w:val="00B06930"/>
    <w:rsid w:val="00B076B6"/>
    <w:rsid w:val="00B0773A"/>
    <w:rsid w:val="00B07955"/>
    <w:rsid w:val="00B1176B"/>
    <w:rsid w:val="00B11858"/>
    <w:rsid w:val="00B13A51"/>
    <w:rsid w:val="00B140B8"/>
    <w:rsid w:val="00B14FAA"/>
    <w:rsid w:val="00B15BED"/>
    <w:rsid w:val="00B15CCF"/>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27968"/>
    <w:rsid w:val="00B300BD"/>
    <w:rsid w:val="00B31965"/>
    <w:rsid w:val="00B32179"/>
    <w:rsid w:val="00B32341"/>
    <w:rsid w:val="00B32685"/>
    <w:rsid w:val="00B32921"/>
    <w:rsid w:val="00B32C2B"/>
    <w:rsid w:val="00B33007"/>
    <w:rsid w:val="00B331A9"/>
    <w:rsid w:val="00B33498"/>
    <w:rsid w:val="00B33598"/>
    <w:rsid w:val="00B3408B"/>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1590"/>
    <w:rsid w:val="00B643A6"/>
    <w:rsid w:val="00B64DD6"/>
    <w:rsid w:val="00B64F78"/>
    <w:rsid w:val="00B66505"/>
    <w:rsid w:val="00B6710C"/>
    <w:rsid w:val="00B67E84"/>
    <w:rsid w:val="00B72076"/>
    <w:rsid w:val="00B72303"/>
    <w:rsid w:val="00B727A9"/>
    <w:rsid w:val="00B72C72"/>
    <w:rsid w:val="00B72D6F"/>
    <w:rsid w:val="00B72ED9"/>
    <w:rsid w:val="00B731E4"/>
    <w:rsid w:val="00B745DC"/>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0B5E"/>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B7014"/>
    <w:rsid w:val="00BB717F"/>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2B9D"/>
    <w:rsid w:val="00C033F3"/>
    <w:rsid w:val="00C0359D"/>
    <w:rsid w:val="00C038EC"/>
    <w:rsid w:val="00C03C21"/>
    <w:rsid w:val="00C05C6D"/>
    <w:rsid w:val="00C0671A"/>
    <w:rsid w:val="00C072D7"/>
    <w:rsid w:val="00C10302"/>
    <w:rsid w:val="00C104DB"/>
    <w:rsid w:val="00C105DA"/>
    <w:rsid w:val="00C10702"/>
    <w:rsid w:val="00C10A22"/>
    <w:rsid w:val="00C10ECD"/>
    <w:rsid w:val="00C10F5B"/>
    <w:rsid w:val="00C1122B"/>
    <w:rsid w:val="00C127F2"/>
    <w:rsid w:val="00C13B34"/>
    <w:rsid w:val="00C13F26"/>
    <w:rsid w:val="00C144D7"/>
    <w:rsid w:val="00C1474E"/>
    <w:rsid w:val="00C14C37"/>
    <w:rsid w:val="00C15735"/>
    <w:rsid w:val="00C157AA"/>
    <w:rsid w:val="00C162E1"/>
    <w:rsid w:val="00C1681F"/>
    <w:rsid w:val="00C16BE4"/>
    <w:rsid w:val="00C16E9F"/>
    <w:rsid w:val="00C1713D"/>
    <w:rsid w:val="00C17523"/>
    <w:rsid w:val="00C177F1"/>
    <w:rsid w:val="00C17CCE"/>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77F"/>
    <w:rsid w:val="00C45B27"/>
    <w:rsid w:val="00C45DCC"/>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3B6F"/>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498"/>
    <w:rsid w:val="00CB2863"/>
    <w:rsid w:val="00CB28E2"/>
    <w:rsid w:val="00CB2F20"/>
    <w:rsid w:val="00CB3395"/>
    <w:rsid w:val="00CB3F63"/>
    <w:rsid w:val="00CB5801"/>
    <w:rsid w:val="00CB648E"/>
    <w:rsid w:val="00CB758D"/>
    <w:rsid w:val="00CB7A3E"/>
    <w:rsid w:val="00CB7FF7"/>
    <w:rsid w:val="00CC0D0E"/>
    <w:rsid w:val="00CC1253"/>
    <w:rsid w:val="00CC19B3"/>
    <w:rsid w:val="00CC2044"/>
    <w:rsid w:val="00CC2D95"/>
    <w:rsid w:val="00CC39D2"/>
    <w:rsid w:val="00CC55D6"/>
    <w:rsid w:val="00CC59B4"/>
    <w:rsid w:val="00CC61D0"/>
    <w:rsid w:val="00CC69EC"/>
    <w:rsid w:val="00CC78A2"/>
    <w:rsid w:val="00CC7DF8"/>
    <w:rsid w:val="00CD15BE"/>
    <w:rsid w:val="00CD1EF2"/>
    <w:rsid w:val="00CD32BD"/>
    <w:rsid w:val="00CD34C7"/>
    <w:rsid w:val="00CD5653"/>
    <w:rsid w:val="00CD5E6D"/>
    <w:rsid w:val="00CD62C0"/>
    <w:rsid w:val="00CD63C8"/>
    <w:rsid w:val="00CD76F8"/>
    <w:rsid w:val="00CD78A5"/>
    <w:rsid w:val="00CE0246"/>
    <w:rsid w:val="00CE02E8"/>
    <w:rsid w:val="00CE069E"/>
    <w:rsid w:val="00CE0DE0"/>
    <w:rsid w:val="00CE214F"/>
    <w:rsid w:val="00CE2B1F"/>
    <w:rsid w:val="00CE2CC2"/>
    <w:rsid w:val="00CE3722"/>
    <w:rsid w:val="00CE449C"/>
    <w:rsid w:val="00CF0280"/>
    <w:rsid w:val="00CF02B2"/>
    <w:rsid w:val="00CF095C"/>
    <w:rsid w:val="00CF0DA9"/>
    <w:rsid w:val="00CF158D"/>
    <w:rsid w:val="00CF175B"/>
    <w:rsid w:val="00CF2166"/>
    <w:rsid w:val="00CF4340"/>
    <w:rsid w:val="00CF4394"/>
    <w:rsid w:val="00CF48B4"/>
    <w:rsid w:val="00CF5C12"/>
    <w:rsid w:val="00CF7B72"/>
    <w:rsid w:val="00CF7FC0"/>
    <w:rsid w:val="00D000A9"/>
    <w:rsid w:val="00D00384"/>
    <w:rsid w:val="00D005DB"/>
    <w:rsid w:val="00D0064E"/>
    <w:rsid w:val="00D006D7"/>
    <w:rsid w:val="00D00981"/>
    <w:rsid w:val="00D02596"/>
    <w:rsid w:val="00D0280D"/>
    <w:rsid w:val="00D02AEF"/>
    <w:rsid w:val="00D03EC9"/>
    <w:rsid w:val="00D05669"/>
    <w:rsid w:val="00D061EB"/>
    <w:rsid w:val="00D06952"/>
    <w:rsid w:val="00D07A72"/>
    <w:rsid w:val="00D10577"/>
    <w:rsid w:val="00D12405"/>
    <w:rsid w:val="00D12A4E"/>
    <w:rsid w:val="00D1323B"/>
    <w:rsid w:val="00D13B45"/>
    <w:rsid w:val="00D14BAE"/>
    <w:rsid w:val="00D15107"/>
    <w:rsid w:val="00D1648B"/>
    <w:rsid w:val="00D16819"/>
    <w:rsid w:val="00D17DD9"/>
    <w:rsid w:val="00D20AC0"/>
    <w:rsid w:val="00D229E7"/>
    <w:rsid w:val="00D2321B"/>
    <w:rsid w:val="00D23350"/>
    <w:rsid w:val="00D237E7"/>
    <w:rsid w:val="00D23DE4"/>
    <w:rsid w:val="00D25A5C"/>
    <w:rsid w:val="00D26873"/>
    <w:rsid w:val="00D27C5F"/>
    <w:rsid w:val="00D27C99"/>
    <w:rsid w:val="00D31683"/>
    <w:rsid w:val="00D33452"/>
    <w:rsid w:val="00D336C8"/>
    <w:rsid w:val="00D339E8"/>
    <w:rsid w:val="00D33FDD"/>
    <w:rsid w:val="00D3654A"/>
    <w:rsid w:val="00D3662E"/>
    <w:rsid w:val="00D366FF"/>
    <w:rsid w:val="00D37241"/>
    <w:rsid w:val="00D373F1"/>
    <w:rsid w:val="00D37567"/>
    <w:rsid w:val="00D37D36"/>
    <w:rsid w:val="00D40B1F"/>
    <w:rsid w:val="00D40D75"/>
    <w:rsid w:val="00D41542"/>
    <w:rsid w:val="00D43978"/>
    <w:rsid w:val="00D43CBD"/>
    <w:rsid w:val="00D441F1"/>
    <w:rsid w:val="00D449F0"/>
    <w:rsid w:val="00D45319"/>
    <w:rsid w:val="00D45371"/>
    <w:rsid w:val="00D458AB"/>
    <w:rsid w:val="00D462D7"/>
    <w:rsid w:val="00D46A33"/>
    <w:rsid w:val="00D5062C"/>
    <w:rsid w:val="00D50AB9"/>
    <w:rsid w:val="00D50C8C"/>
    <w:rsid w:val="00D519AC"/>
    <w:rsid w:val="00D52393"/>
    <w:rsid w:val="00D523E4"/>
    <w:rsid w:val="00D5269B"/>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66"/>
    <w:rsid w:val="00D63577"/>
    <w:rsid w:val="00D6395A"/>
    <w:rsid w:val="00D67FD7"/>
    <w:rsid w:val="00D704E4"/>
    <w:rsid w:val="00D71A04"/>
    <w:rsid w:val="00D72410"/>
    <w:rsid w:val="00D73D53"/>
    <w:rsid w:val="00D73E7E"/>
    <w:rsid w:val="00D7402C"/>
    <w:rsid w:val="00D7408A"/>
    <w:rsid w:val="00D74261"/>
    <w:rsid w:val="00D7441B"/>
    <w:rsid w:val="00D749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BAE"/>
    <w:rsid w:val="00D91DA6"/>
    <w:rsid w:val="00D921A0"/>
    <w:rsid w:val="00D93A41"/>
    <w:rsid w:val="00D93B9A"/>
    <w:rsid w:val="00D93D36"/>
    <w:rsid w:val="00D94F76"/>
    <w:rsid w:val="00D94FD9"/>
    <w:rsid w:val="00D95984"/>
    <w:rsid w:val="00D95C64"/>
    <w:rsid w:val="00D9706F"/>
    <w:rsid w:val="00D972D4"/>
    <w:rsid w:val="00DA0614"/>
    <w:rsid w:val="00DA0FE3"/>
    <w:rsid w:val="00DA195B"/>
    <w:rsid w:val="00DA1DB1"/>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172A"/>
    <w:rsid w:val="00DD286D"/>
    <w:rsid w:val="00DD2CAF"/>
    <w:rsid w:val="00DD3593"/>
    <w:rsid w:val="00DD462A"/>
    <w:rsid w:val="00DD501D"/>
    <w:rsid w:val="00DD5558"/>
    <w:rsid w:val="00DD6465"/>
    <w:rsid w:val="00DD64E0"/>
    <w:rsid w:val="00DD775C"/>
    <w:rsid w:val="00DD7BE0"/>
    <w:rsid w:val="00DE0C67"/>
    <w:rsid w:val="00DE1551"/>
    <w:rsid w:val="00DE284F"/>
    <w:rsid w:val="00DE3555"/>
    <w:rsid w:val="00DE3AAD"/>
    <w:rsid w:val="00DE598A"/>
    <w:rsid w:val="00DE5A80"/>
    <w:rsid w:val="00DE5EB5"/>
    <w:rsid w:val="00DE6952"/>
    <w:rsid w:val="00DE6FB3"/>
    <w:rsid w:val="00DE6FBE"/>
    <w:rsid w:val="00DE7A7D"/>
    <w:rsid w:val="00DE7E74"/>
    <w:rsid w:val="00DF071B"/>
    <w:rsid w:val="00DF3B06"/>
    <w:rsid w:val="00DF5C84"/>
    <w:rsid w:val="00DF5D3A"/>
    <w:rsid w:val="00DF5EC0"/>
    <w:rsid w:val="00DF650A"/>
    <w:rsid w:val="00DF6EF8"/>
    <w:rsid w:val="00DF6EFE"/>
    <w:rsid w:val="00DF70F4"/>
    <w:rsid w:val="00DF77BC"/>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38FB"/>
    <w:rsid w:val="00E2421B"/>
    <w:rsid w:val="00E242AF"/>
    <w:rsid w:val="00E24849"/>
    <w:rsid w:val="00E2536E"/>
    <w:rsid w:val="00E259FC"/>
    <w:rsid w:val="00E25A99"/>
    <w:rsid w:val="00E25B8A"/>
    <w:rsid w:val="00E25EF8"/>
    <w:rsid w:val="00E2632B"/>
    <w:rsid w:val="00E26F75"/>
    <w:rsid w:val="00E27423"/>
    <w:rsid w:val="00E3077F"/>
    <w:rsid w:val="00E322F7"/>
    <w:rsid w:val="00E3369B"/>
    <w:rsid w:val="00E35914"/>
    <w:rsid w:val="00E362D2"/>
    <w:rsid w:val="00E36D76"/>
    <w:rsid w:val="00E40478"/>
    <w:rsid w:val="00E405EA"/>
    <w:rsid w:val="00E408B7"/>
    <w:rsid w:val="00E412EB"/>
    <w:rsid w:val="00E41637"/>
    <w:rsid w:val="00E422A3"/>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5F6F"/>
    <w:rsid w:val="00E670F8"/>
    <w:rsid w:val="00E6741B"/>
    <w:rsid w:val="00E67FAC"/>
    <w:rsid w:val="00E70164"/>
    <w:rsid w:val="00E71485"/>
    <w:rsid w:val="00E71DC2"/>
    <w:rsid w:val="00E7200B"/>
    <w:rsid w:val="00E738CB"/>
    <w:rsid w:val="00E73C88"/>
    <w:rsid w:val="00E73E21"/>
    <w:rsid w:val="00E74437"/>
    <w:rsid w:val="00E7443D"/>
    <w:rsid w:val="00E74D1A"/>
    <w:rsid w:val="00E75ACE"/>
    <w:rsid w:val="00E7712E"/>
    <w:rsid w:val="00E771AF"/>
    <w:rsid w:val="00E80386"/>
    <w:rsid w:val="00E807F1"/>
    <w:rsid w:val="00E809C3"/>
    <w:rsid w:val="00E814D4"/>
    <w:rsid w:val="00E81A1A"/>
    <w:rsid w:val="00E81C3E"/>
    <w:rsid w:val="00E82168"/>
    <w:rsid w:val="00E82359"/>
    <w:rsid w:val="00E823F9"/>
    <w:rsid w:val="00E82B6D"/>
    <w:rsid w:val="00E83187"/>
    <w:rsid w:val="00E831E9"/>
    <w:rsid w:val="00E84DDA"/>
    <w:rsid w:val="00E8608F"/>
    <w:rsid w:val="00E86C1D"/>
    <w:rsid w:val="00E90703"/>
    <w:rsid w:val="00E90A62"/>
    <w:rsid w:val="00E9265E"/>
    <w:rsid w:val="00E94674"/>
    <w:rsid w:val="00E956DB"/>
    <w:rsid w:val="00E957D7"/>
    <w:rsid w:val="00E95EF7"/>
    <w:rsid w:val="00E95FAB"/>
    <w:rsid w:val="00E9763D"/>
    <w:rsid w:val="00EA00A4"/>
    <w:rsid w:val="00EA08B6"/>
    <w:rsid w:val="00EA1177"/>
    <w:rsid w:val="00EA118B"/>
    <w:rsid w:val="00EA11B6"/>
    <w:rsid w:val="00EA2181"/>
    <w:rsid w:val="00EA2DD8"/>
    <w:rsid w:val="00EA30FC"/>
    <w:rsid w:val="00EA4475"/>
    <w:rsid w:val="00EA52FE"/>
    <w:rsid w:val="00EA681F"/>
    <w:rsid w:val="00EB04C6"/>
    <w:rsid w:val="00EB06A6"/>
    <w:rsid w:val="00EB2648"/>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0BE8"/>
    <w:rsid w:val="00EE125D"/>
    <w:rsid w:val="00EE23DE"/>
    <w:rsid w:val="00EE48BB"/>
    <w:rsid w:val="00EE6FE0"/>
    <w:rsid w:val="00EE704A"/>
    <w:rsid w:val="00EE7840"/>
    <w:rsid w:val="00EF2346"/>
    <w:rsid w:val="00EF2E75"/>
    <w:rsid w:val="00EF4C74"/>
    <w:rsid w:val="00EF51D9"/>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07E17"/>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2BB5"/>
    <w:rsid w:val="00F2361E"/>
    <w:rsid w:val="00F24072"/>
    <w:rsid w:val="00F26432"/>
    <w:rsid w:val="00F3197A"/>
    <w:rsid w:val="00F32139"/>
    <w:rsid w:val="00F33CF0"/>
    <w:rsid w:val="00F33D56"/>
    <w:rsid w:val="00F34E08"/>
    <w:rsid w:val="00F35D57"/>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26E1"/>
    <w:rsid w:val="00F531D9"/>
    <w:rsid w:val="00F54D8E"/>
    <w:rsid w:val="00F5580D"/>
    <w:rsid w:val="00F566B7"/>
    <w:rsid w:val="00F56EA1"/>
    <w:rsid w:val="00F606D5"/>
    <w:rsid w:val="00F611B3"/>
    <w:rsid w:val="00F6196E"/>
    <w:rsid w:val="00F61CCC"/>
    <w:rsid w:val="00F624DD"/>
    <w:rsid w:val="00F629C0"/>
    <w:rsid w:val="00F63FC7"/>
    <w:rsid w:val="00F64312"/>
    <w:rsid w:val="00F65880"/>
    <w:rsid w:val="00F65E1F"/>
    <w:rsid w:val="00F65ED5"/>
    <w:rsid w:val="00F6608B"/>
    <w:rsid w:val="00F6636A"/>
    <w:rsid w:val="00F667C5"/>
    <w:rsid w:val="00F67E31"/>
    <w:rsid w:val="00F70B44"/>
    <w:rsid w:val="00F71436"/>
    <w:rsid w:val="00F718A8"/>
    <w:rsid w:val="00F7207E"/>
    <w:rsid w:val="00F72183"/>
    <w:rsid w:val="00F75C12"/>
    <w:rsid w:val="00F762B0"/>
    <w:rsid w:val="00F764AF"/>
    <w:rsid w:val="00F76D01"/>
    <w:rsid w:val="00F80B43"/>
    <w:rsid w:val="00F80C97"/>
    <w:rsid w:val="00F81C35"/>
    <w:rsid w:val="00F82981"/>
    <w:rsid w:val="00F8311F"/>
    <w:rsid w:val="00F83248"/>
    <w:rsid w:val="00F83376"/>
    <w:rsid w:val="00F853AE"/>
    <w:rsid w:val="00F86BEE"/>
    <w:rsid w:val="00F90376"/>
    <w:rsid w:val="00F908D5"/>
    <w:rsid w:val="00F912A0"/>
    <w:rsid w:val="00F913B9"/>
    <w:rsid w:val="00F91B14"/>
    <w:rsid w:val="00F93C74"/>
    <w:rsid w:val="00F93DCC"/>
    <w:rsid w:val="00F93EA6"/>
    <w:rsid w:val="00F9421D"/>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2E17"/>
    <w:rsid w:val="00FD4B85"/>
    <w:rsid w:val="00FD5059"/>
    <w:rsid w:val="00FD554D"/>
    <w:rsid w:val="00FD5BCC"/>
    <w:rsid w:val="00FD5EB4"/>
    <w:rsid w:val="00FD5EB8"/>
    <w:rsid w:val="00FD6C2D"/>
    <w:rsid w:val="00FD6F13"/>
    <w:rsid w:val="00FD7B23"/>
    <w:rsid w:val="00FE2A48"/>
    <w:rsid w:val="00FE2B74"/>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3193">
      <w:bodyDiv w:val="1"/>
      <w:marLeft w:val="0"/>
      <w:marRight w:val="0"/>
      <w:marTop w:val="0"/>
      <w:marBottom w:val="0"/>
      <w:divBdr>
        <w:top w:val="none" w:sz="0" w:space="0" w:color="auto"/>
        <w:left w:val="none" w:sz="0" w:space="0" w:color="auto"/>
        <w:bottom w:val="none" w:sz="0" w:space="0" w:color="auto"/>
        <w:right w:val="none" w:sz="0" w:space="0" w:color="auto"/>
      </w:divBdr>
    </w:div>
    <w:div w:id="1103960113">
      <w:bodyDiv w:val="1"/>
      <w:marLeft w:val="0"/>
      <w:marRight w:val="0"/>
      <w:marTop w:val="0"/>
      <w:marBottom w:val="0"/>
      <w:divBdr>
        <w:top w:val="none" w:sz="0" w:space="0" w:color="auto"/>
        <w:left w:val="none" w:sz="0" w:space="0" w:color="auto"/>
        <w:bottom w:val="none" w:sz="0" w:space="0" w:color="auto"/>
        <w:right w:val="none" w:sz="0" w:space="0" w:color="auto"/>
      </w:divBdr>
    </w:div>
    <w:div w:id="1744401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2012-08-23T18:00:00Z</cp:lastPrinted>
  <dcterms:created xsi:type="dcterms:W3CDTF">2012-09-12T16:55:00Z</dcterms:created>
  <dcterms:modified xsi:type="dcterms:W3CDTF">2012-09-18T14:02:00Z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