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222B93" w:rsidRDefault="0095270D" w:rsidP="00DD5558">
      <w:pPr>
        <w:tabs>
          <w:tab w:val="right" w:pos="9360"/>
        </w:tabs>
        <w:jc w:val="both"/>
        <w:rPr>
          <w:caps/>
          <w:color w:val="auto"/>
        </w:rPr>
      </w:pPr>
      <w:r w:rsidRPr="00F64312">
        <w:rPr>
          <w:caps/>
          <w:color w:val="auto"/>
        </w:rPr>
        <w:t xml:space="preserve">NAME:  </w:t>
      </w:r>
      <w:r w:rsidR="002C47D4">
        <w:rPr>
          <w:caps/>
          <w:color w:val="auto"/>
        </w:rPr>
        <w:t>XXXXXXXXXXXXXX</w:t>
      </w:r>
      <w:r w:rsidR="00222B93">
        <w:rPr>
          <w:caps/>
          <w:color w:val="auto"/>
        </w:rPr>
        <w:t xml:space="preserve">                                                                </w:t>
      </w:r>
      <w:r w:rsidR="00467184">
        <w:rPr>
          <w:caps/>
          <w:color w:val="auto"/>
        </w:rPr>
        <w:t xml:space="preserve">      </w:t>
      </w:r>
      <w:r w:rsidRPr="00F64312">
        <w:rPr>
          <w:caps/>
          <w:color w:val="auto"/>
        </w:rPr>
        <w:t>BRANCH OF SERVICE</w:t>
      </w:r>
      <w:r w:rsidRPr="00222B93">
        <w:rPr>
          <w:caps/>
          <w:color w:val="auto"/>
        </w:rPr>
        <w:t xml:space="preserve">:  </w:t>
      </w:r>
      <w:r w:rsidR="00DF70F4" w:rsidRPr="00222B93">
        <w:rPr>
          <w:caps/>
          <w:color w:val="auto"/>
        </w:rPr>
        <w:t>Army</w:t>
      </w:r>
    </w:p>
    <w:p w:rsidR="0095270D" w:rsidRPr="00F64312" w:rsidRDefault="0095270D" w:rsidP="00DD5558">
      <w:pPr>
        <w:tabs>
          <w:tab w:val="right" w:pos="9360"/>
        </w:tabs>
        <w:jc w:val="both"/>
        <w:rPr>
          <w:color w:val="auto"/>
        </w:rPr>
      </w:pPr>
      <w:r w:rsidRPr="00F64312">
        <w:rPr>
          <w:caps/>
          <w:color w:val="auto"/>
        </w:rPr>
        <w:t xml:space="preserve">CASE NUMBER:  </w:t>
      </w:r>
      <w:r w:rsidRPr="00222B93">
        <w:rPr>
          <w:caps/>
          <w:color w:val="auto"/>
        </w:rPr>
        <w:t>PD</w:t>
      </w:r>
      <w:r w:rsidR="001657BE" w:rsidRPr="00222B93">
        <w:rPr>
          <w:caps/>
          <w:color w:val="auto"/>
        </w:rPr>
        <w:t>12</w:t>
      </w:r>
      <w:r w:rsidRPr="00222B93">
        <w:rPr>
          <w:caps/>
          <w:color w:val="auto"/>
        </w:rPr>
        <w:t>00</w:t>
      </w:r>
      <w:r w:rsidR="00222B93" w:rsidRPr="00222B93">
        <w:rPr>
          <w:caps/>
          <w:color w:val="auto"/>
        </w:rPr>
        <w:t>133</w:t>
      </w:r>
      <w:r w:rsidR="00DD5558">
        <w:rPr>
          <w:color w:val="auto"/>
        </w:rPr>
        <w:tab/>
      </w:r>
      <w:r w:rsidR="0018208F" w:rsidRPr="00F64312">
        <w:rPr>
          <w:color w:val="auto"/>
        </w:rPr>
        <w:t>SE</w:t>
      </w:r>
      <w:r w:rsidRPr="00F64312">
        <w:rPr>
          <w:color w:val="auto"/>
        </w:rPr>
        <w:t>PARATION DATE:  200</w:t>
      </w:r>
      <w:r w:rsidR="00222B93">
        <w:rPr>
          <w:color w:val="auto"/>
        </w:rPr>
        <w:t>60316</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310105">
        <w:rPr>
          <w:caps/>
          <w:color w:val="auto"/>
        </w:rPr>
        <w:t>1018</w:t>
      </w:r>
      <w:r w:rsidR="00532B33" w:rsidRPr="00F64312">
        <w:rPr>
          <w:caps/>
          <w:color w:val="auto"/>
        </w:rPr>
        <w:t xml:space="preserve">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222B93"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222B93">
        <w:rPr>
          <w:color w:val="auto"/>
        </w:rPr>
        <w:t>active duty</w:t>
      </w:r>
      <w:r w:rsidRPr="00222B93">
        <w:rPr>
          <w:color w:val="auto"/>
        </w:rPr>
        <w:t xml:space="preserve"> </w:t>
      </w:r>
      <w:r w:rsidR="0017172C" w:rsidRPr="00222B93">
        <w:rPr>
          <w:color w:val="auto"/>
        </w:rPr>
        <w:t>S</w:t>
      </w:r>
      <w:r w:rsidR="00222B93" w:rsidRPr="00222B93">
        <w:rPr>
          <w:color w:val="auto"/>
        </w:rPr>
        <w:t>PC/E-4</w:t>
      </w:r>
      <w:r w:rsidRPr="00222B93">
        <w:rPr>
          <w:color w:val="auto"/>
        </w:rPr>
        <w:t xml:space="preserve"> (</w:t>
      </w:r>
      <w:r w:rsidR="00222B93" w:rsidRPr="00222B93">
        <w:rPr>
          <w:color w:val="auto"/>
        </w:rPr>
        <w:t>11B</w:t>
      </w:r>
      <w:r w:rsidR="004572D2">
        <w:rPr>
          <w:color w:val="auto"/>
        </w:rPr>
        <w:t>/</w:t>
      </w:r>
      <w:r w:rsidR="00222B93">
        <w:rPr>
          <w:color w:val="auto"/>
        </w:rPr>
        <w:t>Infantry</w:t>
      </w:r>
      <w:r w:rsidR="00A70270" w:rsidRPr="00F64312">
        <w:rPr>
          <w:color w:val="auto"/>
        </w:rPr>
        <w:t>)</w:t>
      </w:r>
      <w:r w:rsidR="00565636" w:rsidRPr="00F64312">
        <w:rPr>
          <w:color w:val="auto"/>
        </w:rPr>
        <w:t>,</w:t>
      </w:r>
      <w:r w:rsidR="00A70270" w:rsidRPr="00F64312">
        <w:rPr>
          <w:color w:val="auto"/>
        </w:rPr>
        <w:t xml:space="preserve"> </w:t>
      </w:r>
      <w:r w:rsidRPr="00F64312">
        <w:rPr>
          <w:color w:val="auto"/>
        </w:rPr>
        <w:t>medically separated for</w:t>
      </w:r>
      <w:r w:rsidR="00222B93">
        <w:rPr>
          <w:color w:val="auto"/>
        </w:rPr>
        <w:t xml:space="preserve"> </w:t>
      </w:r>
      <w:r w:rsidR="00AE228D">
        <w:rPr>
          <w:color w:val="auto"/>
        </w:rPr>
        <w:t>c</w:t>
      </w:r>
      <w:r w:rsidR="00222B93">
        <w:rPr>
          <w:color w:val="auto"/>
        </w:rPr>
        <w:t xml:space="preserve">hronic </w:t>
      </w:r>
      <w:r w:rsidR="00AE228D">
        <w:rPr>
          <w:color w:val="auto"/>
        </w:rPr>
        <w:t>l</w:t>
      </w:r>
      <w:r w:rsidR="00222B93">
        <w:rPr>
          <w:color w:val="auto"/>
        </w:rPr>
        <w:t xml:space="preserve">ow </w:t>
      </w:r>
      <w:r w:rsidR="00AE228D">
        <w:rPr>
          <w:color w:val="auto"/>
        </w:rPr>
        <w:t>b</w:t>
      </w:r>
      <w:r w:rsidR="00222B93">
        <w:rPr>
          <w:color w:val="auto"/>
        </w:rPr>
        <w:t xml:space="preserve">ack </w:t>
      </w:r>
      <w:r w:rsidR="00AE228D">
        <w:rPr>
          <w:color w:val="auto"/>
        </w:rPr>
        <w:t>p</w:t>
      </w:r>
      <w:r w:rsidR="00222B93">
        <w:rPr>
          <w:color w:val="auto"/>
        </w:rPr>
        <w:t xml:space="preserve">ain </w:t>
      </w:r>
      <w:r w:rsidR="002F6906">
        <w:rPr>
          <w:color w:val="auto"/>
        </w:rPr>
        <w:t xml:space="preserve">with </w:t>
      </w:r>
      <w:r w:rsidR="00AE228D">
        <w:rPr>
          <w:color w:val="auto"/>
        </w:rPr>
        <w:t>l</w:t>
      </w:r>
      <w:r w:rsidR="00222B93">
        <w:rPr>
          <w:color w:val="auto"/>
        </w:rPr>
        <w:t xml:space="preserve">eft </w:t>
      </w:r>
      <w:r w:rsidR="00AE228D">
        <w:rPr>
          <w:color w:val="auto"/>
        </w:rPr>
        <w:t>l</w:t>
      </w:r>
      <w:r w:rsidR="00222B93">
        <w:rPr>
          <w:color w:val="auto"/>
        </w:rPr>
        <w:t xml:space="preserve">eg </w:t>
      </w:r>
      <w:r w:rsidR="00AE228D">
        <w:rPr>
          <w:color w:val="auto"/>
        </w:rPr>
        <w:t>p</w:t>
      </w:r>
      <w:r w:rsidR="00222B93">
        <w:rPr>
          <w:color w:val="auto"/>
        </w:rPr>
        <w:t>ain</w:t>
      </w:r>
      <w:r w:rsidR="002F6906">
        <w:rPr>
          <w:color w:val="auto"/>
        </w:rPr>
        <w:t xml:space="preserve"> and left </w:t>
      </w:r>
      <w:r w:rsidR="00AE228D">
        <w:rPr>
          <w:color w:val="auto"/>
        </w:rPr>
        <w:t>l</w:t>
      </w:r>
      <w:r w:rsidR="002F6906">
        <w:rPr>
          <w:color w:val="auto"/>
        </w:rPr>
        <w:t xml:space="preserve">eg </w:t>
      </w:r>
      <w:r w:rsidR="00AE228D">
        <w:rPr>
          <w:color w:val="auto"/>
        </w:rPr>
        <w:t>p</w:t>
      </w:r>
      <w:r w:rsidR="002F6906">
        <w:rPr>
          <w:color w:val="auto"/>
        </w:rPr>
        <w:t xml:space="preserve">ain with </w:t>
      </w:r>
      <w:r w:rsidR="00AE228D">
        <w:rPr>
          <w:color w:val="auto"/>
        </w:rPr>
        <w:t>r</w:t>
      </w:r>
      <w:r w:rsidR="002F6906">
        <w:rPr>
          <w:color w:val="auto"/>
        </w:rPr>
        <w:t>adiculopathy</w:t>
      </w:r>
      <w:r w:rsidR="0021565F" w:rsidRPr="00F64312">
        <w:rPr>
          <w:color w:val="auto"/>
          <w:szCs w:val="24"/>
        </w:rPr>
        <w:t>.</w:t>
      </w:r>
      <w:r w:rsidR="00E1410F">
        <w:rPr>
          <w:color w:val="auto"/>
          <w:szCs w:val="24"/>
        </w:rPr>
        <w:t xml:space="preserve">  The CI injured his </w:t>
      </w:r>
      <w:r w:rsidR="00E1410F" w:rsidRPr="00310105">
        <w:rPr>
          <w:color w:val="auto"/>
          <w:szCs w:val="24"/>
        </w:rPr>
        <w:t xml:space="preserve">back while standing in the gunner’s turret of a Humvee when </w:t>
      </w:r>
      <w:r w:rsidR="000B4071" w:rsidRPr="00310105">
        <w:rPr>
          <w:color w:val="auto"/>
          <w:szCs w:val="24"/>
        </w:rPr>
        <w:t>the vehicle</w:t>
      </w:r>
      <w:r w:rsidR="00E1410F" w:rsidRPr="00310105">
        <w:rPr>
          <w:color w:val="auto"/>
          <w:szCs w:val="24"/>
        </w:rPr>
        <w:t xml:space="preserve"> was hit by an</w:t>
      </w:r>
      <w:r w:rsidR="00AE228D">
        <w:rPr>
          <w:color w:val="auto"/>
          <w:szCs w:val="24"/>
        </w:rPr>
        <w:t xml:space="preserve"> improvised explosive device</w:t>
      </w:r>
      <w:r w:rsidR="00E1410F" w:rsidRPr="00310105">
        <w:rPr>
          <w:color w:val="auto"/>
          <w:szCs w:val="24"/>
        </w:rPr>
        <w:t xml:space="preserve"> </w:t>
      </w:r>
      <w:r w:rsidR="00AE228D">
        <w:rPr>
          <w:color w:val="auto"/>
          <w:szCs w:val="24"/>
        </w:rPr>
        <w:t>(</w:t>
      </w:r>
      <w:r w:rsidR="00E1410F" w:rsidRPr="00310105">
        <w:rPr>
          <w:color w:val="auto"/>
          <w:szCs w:val="24"/>
        </w:rPr>
        <w:t>IED</w:t>
      </w:r>
      <w:r w:rsidR="00AE228D">
        <w:rPr>
          <w:color w:val="auto"/>
          <w:szCs w:val="24"/>
        </w:rPr>
        <w:t>)</w:t>
      </w:r>
      <w:r w:rsidR="00E1410F" w:rsidRPr="00310105">
        <w:rPr>
          <w:color w:val="auto"/>
          <w:szCs w:val="24"/>
        </w:rPr>
        <w:t xml:space="preserve">. </w:t>
      </w:r>
      <w:r w:rsidR="003564BA" w:rsidRPr="00310105">
        <w:rPr>
          <w:color w:val="auto"/>
          <w:szCs w:val="24"/>
        </w:rPr>
        <w:t xml:space="preserve"> </w:t>
      </w:r>
      <w:r w:rsidR="00E1410F" w:rsidRPr="00310105">
        <w:rPr>
          <w:color w:val="auto"/>
          <w:szCs w:val="24"/>
        </w:rPr>
        <w:t xml:space="preserve">The CI was evacuated to Landstuhl Regional Medical Center and then on to Walter Reed Army </w:t>
      </w:r>
      <w:r w:rsidR="00A4447F">
        <w:rPr>
          <w:color w:val="auto"/>
          <w:szCs w:val="24"/>
        </w:rPr>
        <w:t>M</w:t>
      </w:r>
      <w:r w:rsidR="00E1410F" w:rsidRPr="00310105">
        <w:rPr>
          <w:color w:val="auto"/>
          <w:szCs w:val="24"/>
        </w:rPr>
        <w:t xml:space="preserve">edical </w:t>
      </w:r>
      <w:r w:rsidR="00A4447F">
        <w:rPr>
          <w:color w:val="auto"/>
          <w:szCs w:val="24"/>
        </w:rPr>
        <w:t>C</w:t>
      </w:r>
      <w:r w:rsidR="00E1410F" w:rsidRPr="00310105">
        <w:rPr>
          <w:color w:val="auto"/>
          <w:szCs w:val="24"/>
        </w:rPr>
        <w:t xml:space="preserve">enter where he underwent an L5-S1 </w:t>
      </w:r>
      <w:proofErr w:type="spellStart"/>
      <w:r w:rsidR="00E1410F" w:rsidRPr="00310105">
        <w:rPr>
          <w:color w:val="auto"/>
          <w:szCs w:val="24"/>
        </w:rPr>
        <w:t>discectomy</w:t>
      </w:r>
      <w:proofErr w:type="spellEnd"/>
      <w:r w:rsidR="00E1410F" w:rsidRPr="00310105">
        <w:rPr>
          <w:color w:val="auto"/>
          <w:szCs w:val="24"/>
        </w:rPr>
        <w:t xml:space="preserve"> on 29 June 2005.</w:t>
      </w:r>
      <w:r w:rsidR="006D5E1E" w:rsidRPr="00310105">
        <w:rPr>
          <w:color w:val="auto"/>
          <w:szCs w:val="24"/>
        </w:rPr>
        <w:t xml:space="preserve"> </w:t>
      </w:r>
      <w:r w:rsidR="003564BA" w:rsidRPr="00310105">
        <w:rPr>
          <w:color w:val="auto"/>
          <w:szCs w:val="24"/>
        </w:rPr>
        <w:t xml:space="preserve"> </w:t>
      </w:r>
      <w:r w:rsidR="00E1410F" w:rsidRPr="00310105">
        <w:rPr>
          <w:color w:val="auto"/>
          <w:szCs w:val="24"/>
        </w:rPr>
        <w:t xml:space="preserve">His symptoms of back pain and well as extreme left leg pain with constant sharp numbness, tingling, and burning sensation improved after surgery but the CI remained unable to perform the duties required of his MOS. </w:t>
      </w:r>
      <w:r w:rsidR="003564BA" w:rsidRPr="00310105">
        <w:rPr>
          <w:color w:val="auto"/>
          <w:szCs w:val="24"/>
        </w:rPr>
        <w:t xml:space="preserve"> </w:t>
      </w:r>
      <w:r w:rsidR="00E1410F" w:rsidRPr="00310105">
        <w:rPr>
          <w:color w:val="auto"/>
          <w:szCs w:val="24"/>
        </w:rPr>
        <w:t xml:space="preserve">Additionally, although his knee pain had been present prior to his deployment, it got significantly worse after the deployment. </w:t>
      </w:r>
      <w:r w:rsidR="003564BA" w:rsidRPr="00310105">
        <w:rPr>
          <w:color w:val="auto"/>
          <w:szCs w:val="24"/>
        </w:rPr>
        <w:t xml:space="preserve"> </w:t>
      </w:r>
      <w:r w:rsidR="00E1410F" w:rsidRPr="00310105">
        <w:rPr>
          <w:color w:val="auto"/>
          <w:szCs w:val="24"/>
        </w:rPr>
        <w:t>None of</w:t>
      </w:r>
      <w:r w:rsidR="00E1410F" w:rsidRPr="00E1410F">
        <w:rPr>
          <w:color w:val="auto"/>
          <w:szCs w:val="24"/>
        </w:rPr>
        <w:t xml:space="preserve"> these conditions could be </w:t>
      </w:r>
      <w:r w:rsidR="00E1410F" w:rsidRPr="00E1410F">
        <w:rPr>
          <w:color w:val="auto"/>
        </w:rPr>
        <w:t xml:space="preserve">adequately rehabilitated and the </w:t>
      </w:r>
      <w:r w:rsidR="00F15483" w:rsidRPr="00E1410F">
        <w:rPr>
          <w:color w:val="auto"/>
        </w:rPr>
        <w:t xml:space="preserve">CI </w:t>
      </w:r>
      <w:r w:rsidR="00E1410F" w:rsidRPr="00E1410F">
        <w:rPr>
          <w:color w:val="auto"/>
        </w:rPr>
        <w:t xml:space="preserve">remained unable </w:t>
      </w:r>
      <w:r w:rsidR="00F566B7" w:rsidRPr="00E1410F">
        <w:rPr>
          <w:color w:val="auto"/>
        </w:rPr>
        <w:t>to meet the physical requirements of his Military Occupational Specialty (MOS)</w:t>
      </w:r>
      <w:r w:rsidR="0021565F" w:rsidRPr="00E1410F">
        <w:rPr>
          <w:color w:val="auto"/>
        </w:rPr>
        <w:t xml:space="preserve"> </w:t>
      </w:r>
      <w:r w:rsidR="00F566B7" w:rsidRPr="00E1410F">
        <w:rPr>
          <w:color w:val="auto"/>
        </w:rPr>
        <w:t>or satis</w:t>
      </w:r>
      <w:r w:rsidR="009C12A1" w:rsidRPr="00E1410F">
        <w:rPr>
          <w:color w:val="auto"/>
        </w:rPr>
        <w:t>fy physical fitness standards.</w:t>
      </w:r>
      <w:r w:rsidR="00F566B7" w:rsidRPr="00E1410F">
        <w:rPr>
          <w:color w:val="auto"/>
        </w:rPr>
        <w:t xml:space="preserve"> </w:t>
      </w:r>
      <w:r w:rsidR="009C12A1" w:rsidRPr="00E1410F">
        <w:rPr>
          <w:color w:val="auto"/>
        </w:rPr>
        <w:t xml:space="preserve"> He </w:t>
      </w:r>
      <w:r w:rsidR="00F566B7" w:rsidRPr="00E1410F">
        <w:rPr>
          <w:color w:val="auto"/>
        </w:rPr>
        <w:t>was issued a permanent L3</w:t>
      </w:r>
      <w:r w:rsidR="00F566B7" w:rsidRPr="00222B93">
        <w:rPr>
          <w:color w:val="auto"/>
        </w:rPr>
        <w:t xml:space="preserve"> profile </w:t>
      </w:r>
      <w:r w:rsidR="00E1410F">
        <w:rPr>
          <w:color w:val="auto"/>
        </w:rPr>
        <w:t xml:space="preserve">for chronic left knee pain and lumbar disc surgery </w:t>
      </w:r>
      <w:r w:rsidR="00F566B7" w:rsidRPr="00F64312">
        <w:rPr>
          <w:color w:val="auto"/>
        </w:rPr>
        <w:t>and</w:t>
      </w:r>
      <w:r w:rsidR="009C12A1" w:rsidRPr="00F64312">
        <w:rPr>
          <w:color w:val="auto"/>
        </w:rPr>
        <w:t xml:space="preserve"> </w:t>
      </w:r>
      <w:r w:rsidR="00E1410F">
        <w:rPr>
          <w:color w:val="auto"/>
        </w:rPr>
        <w:t xml:space="preserve">was </w:t>
      </w:r>
      <w:r w:rsidR="00F566B7" w:rsidRPr="00F64312">
        <w:rPr>
          <w:color w:val="auto"/>
        </w:rPr>
        <w:t>referred for a Medical Evaluation Board (MEB).</w:t>
      </w:r>
      <w:r w:rsidR="002F6906">
        <w:rPr>
          <w:color w:val="auto"/>
        </w:rPr>
        <w:t xml:space="preserve">  </w:t>
      </w:r>
      <w:r w:rsidR="00222B93" w:rsidRPr="00222B93">
        <w:rPr>
          <w:color w:val="auto"/>
        </w:rPr>
        <w:t xml:space="preserve">Left </w:t>
      </w:r>
      <w:r w:rsidR="00A4447F">
        <w:rPr>
          <w:color w:val="auto"/>
        </w:rPr>
        <w:t>k</w:t>
      </w:r>
      <w:r w:rsidR="00222B93" w:rsidRPr="00222B93">
        <w:rPr>
          <w:color w:val="auto"/>
        </w:rPr>
        <w:t xml:space="preserve">nee </w:t>
      </w:r>
      <w:r w:rsidR="00A4447F">
        <w:rPr>
          <w:color w:val="auto"/>
        </w:rPr>
        <w:t>p</w:t>
      </w:r>
      <w:r w:rsidR="00222B93" w:rsidRPr="00222B93">
        <w:rPr>
          <w:color w:val="auto"/>
        </w:rPr>
        <w:t xml:space="preserve">ain, </w:t>
      </w:r>
      <w:r w:rsidR="00A4447F">
        <w:rPr>
          <w:color w:val="auto"/>
        </w:rPr>
        <w:t>b</w:t>
      </w:r>
      <w:r w:rsidR="00222B93" w:rsidRPr="00222B93">
        <w:rPr>
          <w:color w:val="auto"/>
        </w:rPr>
        <w:t xml:space="preserve">ilateral </w:t>
      </w:r>
      <w:r w:rsidR="00A4447F">
        <w:rPr>
          <w:color w:val="auto"/>
        </w:rPr>
        <w:t>s</w:t>
      </w:r>
      <w:r w:rsidR="00222B93" w:rsidRPr="00222B93">
        <w:rPr>
          <w:color w:val="auto"/>
        </w:rPr>
        <w:t xml:space="preserve">houlder </w:t>
      </w:r>
      <w:r w:rsidR="00A4447F">
        <w:rPr>
          <w:color w:val="auto"/>
        </w:rPr>
        <w:t>p</w:t>
      </w:r>
      <w:r w:rsidR="00222B93" w:rsidRPr="00222B93">
        <w:rPr>
          <w:color w:val="auto"/>
        </w:rPr>
        <w:t xml:space="preserve">ain and </w:t>
      </w:r>
      <w:proofErr w:type="spellStart"/>
      <w:r w:rsidR="00A4447F">
        <w:rPr>
          <w:color w:val="auto"/>
        </w:rPr>
        <w:t>h</w:t>
      </w:r>
      <w:r w:rsidR="00222B93" w:rsidRPr="00222B93">
        <w:rPr>
          <w:color w:val="auto"/>
        </w:rPr>
        <w:t>ypertriglycer</w:t>
      </w:r>
      <w:r w:rsidR="00962C3D">
        <w:rPr>
          <w:color w:val="auto"/>
        </w:rPr>
        <w:t>i</w:t>
      </w:r>
      <w:r w:rsidR="00222B93" w:rsidRPr="00222B93">
        <w:rPr>
          <w:color w:val="auto"/>
        </w:rPr>
        <w:t>demia</w:t>
      </w:r>
      <w:proofErr w:type="spellEnd"/>
      <w:r w:rsidR="00F566B7" w:rsidRPr="00222B93">
        <w:rPr>
          <w:color w:val="auto"/>
        </w:rPr>
        <w:t xml:space="preserve"> </w:t>
      </w:r>
      <w:r w:rsidR="00071F0D" w:rsidRPr="00222B93">
        <w:rPr>
          <w:color w:val="auto"/>
        </w:rPr>
        <w:t>conditions, identified in the rating chart below, were also identified and forwarded by the MEB</w:t>
      </w:r>
      <w:r w:rsidR="00E1410F">
        <w:rPr>
          <w:color w:val="auto"/>
        </w:rPr>
        <w:t xml:space="preserve">.  </w:t>
      </w:r>
      <w:r w:rsidRPr="00F64312">
        <w:rPr>
          <w:color w:val="auto"/>
        </w:rPr>
        <w:t xml:space="preserve">The </w:t>
      </w:r>
      <w:r w:rsidR="00D81E13">
        <w:rPr>
          <w:color w:val="auto"/>
        </w:rPr>
        <w:t>Physical Evaluation Board (</w:t>
      </w:r>
      <w:r w:rsidRPr="00F64312">
        <w:rPr>
          <w:color w:val="auto"/>
        </w:rPr>
        <w:t>PEB</w:t>
      </w:r>
      <w:r w:rsidR="00D81E13">
        <w:rPr>
          <w:color w:val="auto"/>
        </w:rPr>
        <w:t>)</w:t>
      </w:r>
      <w:r w:rsidRPr="00F64312">
        <w:rPr>
          <w:color w:val="auto"/>
        </w:rPr>
        <w:t xml:space="preserve"> adjudicated the </w:t>
      </w:r>
      <w:r w:rsidR="00A4447F">
        <w:rPr>
          <w:color w:val="auto"/>
        </w:rPr>
        <w:t>c</w:t>
      </w:r>
      <w:r w:rsidR="00222B93">
        <w:rPr>
          <w:color w:val="auto"/>
        </w:rPr>
        <w:t xml:space="preserve">hronic </w:t>
      </w:r>
      <w:r w:rsidR="00A4447F">
        <w:rPr>
          <w:color w:val="auto"/>
        </w:rPr>
        <w:t>l</w:t>
      </w:r>
      <w:r w:rsidR="00222B93">
        <w:rPr>
          <w:color w:val="auto"/>
        </w:rPr>
        <w:t xml:space="preserve">ow </w:t>
      </w:r>
      <w:r w:rsidR="00A4447F">
        <w:rPr>
          <w:color w:val="auto"/>
        </w:rPr>
        <w:t>b</w:t>
      </w:r>
      <w:r w:rsidR="00222B93">
        <w:rPr>
          <w:color w:val="auto"/>
        </w:rPr>
        <w:t xml:space="preserve">ack </w:t>
      </w:r>
      <w:r w:rsidR="00A4447F">
        <w:rPr>
          <w:color w:val="auto"/>
        </w:rPr>
        <w:t>p</w:t>
      </w:r>
      <w:r w:rsidR="00222B93" w:rsidRPr="00222B93">
        <w:rPr>
          <w:color w:val="auto"/>
        </w:rPr>
        <w:t>ain</w:t>
      </w:r>
      <w:r w:rsidR="00E46D90" w:rsidRPr="00222B93">
        <w:rPr>
          <w:color w:val="auto"/>
        </w:rPr>
        <w:t xml:space="preserve"> </w:t>
      </w:r>
      <w:r w:rsidR="00E1410F">
        <w:rPr>
          <w:color w:val="auto"/>
        </w:rPr>
        <w:t xml:space="preserve">with </w:t>
      </w:r>
      <w:r w:rsidR="00A4447F">
        <w:rPr>
          <w:color w:val="auto"/>
        </w:rPr>
        <w:t>l</w:t>
      </w:r>
      <w:r w:rsidR="00E1410F">
        <w:rPr>
          <w:color w:val="auto"/>
        </w:rPr>
        <w:t xml:space="preserve">eft </w:t>
      </w:r>
      <w:r w:rsidR="00A4447F">
        <w:rPr>
          <w:color w:val="auto"/>
        </w:rPr>
        <w:t>l</w:t>
      </w:r>
      <w:r w:rsidR="00E1410F">
        <w:rPr>
          <w:color w:val="auto"/>
        </w:rPr>
        <w:t xml:space="preserve">eg </w:t>
      </w:r>
      <w:r w:rsidR="00A4447F">
        <w:rPr>
          <w:color w:val="auto"/>
        </w:rPr>
        <w:t>p</w:t>
      </w:r>
      <w:r w:rsidR="00E1410F">
        <w:rPr>
          <w:color w:val="auto"/>
        </w:rPr>
        <w:t xml:space="preserve">ain </w:t>
      </w:r>
      <w:r w:rsidR="00E46D90" w:rsidRPr="00222B93">
        <w:rPr>
          <w:color w:val="auto"/>
        </w:rPr>
        <w:t xml:space="preserve">and </w:t>
      </w:r>
      <w:r w:rsidR="00A4447F">
        <w:rPr>
          <w:color w:val="auto"/>
        </w:rPr>
        <w:t>c</w:t>
      </w:r>
      <w:r w:rsidR="00222B93" w:rsidRPr="00222B93">
        <w:rPr>
          <w:color w:val="auto"/>
        </w:rPr>
        <w:t xml:space="preserve">hronic </w:t>
      </w:r>
      <w:r w:rsidR="00A4447F">
        <w:rPr>
          <w:color w:val="auto"/>
        </w:rPr>
        <w:t>l</w:t>
      </w:r>
      <w:r w:rsidR="00222B93" w:rsidRPr="00222B93">
        <w:rPr>
          <w:color w:val="auto"/>
        </w:rPr>
        <w:t xml:space="preserve">eft </w:t>
      </w:r>
      <w:r w:rsidR="00A4447F">
        <w:rPr>
          <w:color w:val="auto"/>
        </w:rPr>
        <w:t>l</w:t>
      </w:r>
      <w:r w:rsidR="00222B93" w:rsidRPr="00222B93">
        <w:rPr>
          <w:color w:val="auto"/>
        </w:rPr>
        <w:t xml:space="preserve">eg </w:t>
      </w:r>
      <w:r w:rsidR="00A4447F">
        <w:rPr>
          <w:color w:val="auto"/>
        </w:rPr>
        <w:t>p</w:t>
      </w:r>
      <w:r w:rsidR="00222B93" w:rsidRPr="00222B93">
        <w:rPr>
          <w:color w:val="auto"/>
        </w:rPr>
        <w:t>ain</w:t>
      </w:r>
      <w:r w:rsidR="00E1410F">
        <w:rPr>
          <w:color w:val="auto"/>
        </w:rPr>
        <w:t xml:space="preserve"> with </w:t>
      </w:r>
      <w:proofErr w:type="spellStart"/>
      <w:r w:rsidR="00A4447F">
        <w:rPr>
          <w:color w:val="auto"/>
        </w:rPr>
        <w:t>r</w:t>
      </w:r>
      <w:r w:rsidR="00E1410F">
        <w:rPr>
          <w:color w:val="auto"/>
        </w:rPr>
        <w:t>adiculopathy</w:t>
      </w:r>
      <w:proofErr w:type="spellEnd"/>
      <w:r w:rsidR="008530E3" w:rsidRPr="00222B93">
        <w:rPr>
          <w:color w:val="auto"/>
        </w:rPr>
        <w:t xml:space="preserve"> condition</w:t>
      </w:r>
      <w:r w:rsidR="000C647D" w:rsidRPr="00222B93">
        <w:rPr>
          <w:color w:val="auto"/>
        </w:rPr>
        <w:t>s</w:t>
      </w:r>
      <w:r w:rsidR="008530E3" w:rsidRPr="00F64312">
        <w:rPr>
          <w:color w:val="auto"/>
        </w:rPr>
        <w:t xml:space="preserve"> as unfitting, rated </w:t>
      </w:r>
      <w:r w:rsidR="00222B93" w:rsidRPr="00222B93">
        <w:rPr>
          <w:color w:val="auto"/>
        </w:rPr>
        <w:t>10</w:t>
      </w:r>
      <w:r w:rsidRPr="00222B93">
        <w:rPr>
          <w:color w:val="auto"/>
        </w:rPr>
        <w:t>%</w:t>
      </w:r>
      <w:r w:rsidR="000C647D" w:rsidRPr="00222B93">
        <w:rPr>
          <w:color w:val="auto"/>
        </w:rPr>
        <w:t xml:space="preserve"> </w:t>
      </w:r>
      <w:r w:rsidR="000B4071">
        <w:rPr>
          <w:color w:val="auto"/>
        </w:rPr>
        <w:t>each</w:t>
      </w:r>
      <w:r w:rsidRPr="00222B93">
        <w:rPr>
          <w:color w:val="auto"/>
        </w:rPr>
        <w:t>,</w:t>
      </w:r>
      <w:r w:rsidRPr="00F64312">
        <w:rPr>
          <w:color w:val="auto"/>
        </w:rPr>
        <w:t xml:space="preserve"> </w:t>
      </w:r>
      <w:r w:rsidR="00E46D90" w:rsidRPr="00F64312">
        <w:rPr>
          <w:color w:val="auto"/>
        </w:rPr>
        <w:t xml:space="preserve">with application of the </w:t>
      </w:r>
      <w:r w:rsidRPr="00222B93">
        <w:rPr>
          <w:color w:val="auto"/>
        </w:rPr>
        <w:t>Veteran</w:t>
      </w:r>
      <w:r w:rsidR="00BF72CA" w:rsidRPr="00222B93">
        <w:rPr>
          <w:color w:val="auto"/>
        </w:rPr>
        <w:t>’</w:t>
      </w:r>
      <w:r w:rsidRPr="00222B93">
        <w:rPr>
          <w:color w:val="auto"/>
        </w:rPr>
        <w:t>s A</w:t>
      </w:r>
      <w:r w:rsidR="00BF72CA" w:rsidRPr="00222B93">
        <w:rPr>
          <w:color w:val="auto"/>
        </w:rPr>
        <w:t>ffairs</w:t>
      </w:r>
      <w:r w:rsidRPr="00222B93">
        <w:rPr>
          <w:color w:val="auto"/>
        </w:rPr>
        <w:t xml:space="preserve"> Schedule for Rating Disabilities (VASRD)</w:t>
      </w:r>
      <w:r w:rsidR="00222B93">
        <w:rPr>
          <w:color w:val="auto"/>
        </w:rPr>
        <w:t>.</w:t>
      </w:r>
      <w:r w:rsidR="00165C7B" w:rsidRPr="00F64312">
        <w:rPr>
          <w:color w:val="auto"/>
        </w:rPr>
        <w:t xml:space="preserve">  </w:t>
      </w:r>
      <w:r w:rsidR="00E1410F">
        <w:rPr>
          <w:color w:val="auto"/>
        </w:rPr>
        <w:t xml:space="preserve">The </w:t>
      </w:r>
      <w:r w:rsidR="00A4447F">
        <w:rPr>
          <w:color w:val="auto"/>
        </w:rPr>
        <w:t>chronic l</w:t>
      </w:r>
      <w:r w:rsidR="00E1410F">
        <w:rPr>
          <w:color w:val="auto"/>
        </w:rPr>
        <w:t xml:space="preserve">eft </w:t>
      </w:r>
      <w:r w:rsidR="00A4447F">
        <w:rPr>
          <w:color w:val="auto"/>
        </w:rPr>
        <w:t>l</w:t>
      </w:r>
      <w:r w:rsidR="00E1410F">
        <w:rPr>
          <w:color w:val="auto"/>
        </w:rPr>
        <w:t xml:space="preserve">eg </w:t>
      </w:r>
      <w:r w:rsidR="00A4447F">
        <w:rPr>
          <w:color w:val="auto"/>
        </w:rPr>
        <w:t>p</w:t>
      </w:r>
      <w:r w:rsidR="00E1410F">
        <w:rPr>
          <w:color w:val="auto"/>
        </w:rPr>
        <w:t xml:space="preserve">ain with Radiculopathy condition included two MEB diagnoses: </w:t>
      </w:r>
      <w:r w:rsidR="00A4447F">
        <w:rPr>
          <w:color w:val="auto"/>
        </w:rPr>
        <w:t>l</w:t>
      </w:r>
      <w:r w:rsidR="00E1410F">
        <w:rPr>
          <w:color w:val="auto"/>
        </w:rPr>
        <w:t xml:space="preserve">eft </w:t>
      </w:r>
      <w:r w:rsidR="00A4447F">
        <w:rPr>
          <w:color w:val="auto"/>
        </w:rPr>
        <w:t>l</w:t>
      </w:r>
      <w:r w:rsidR="00E1410F">
        <w:rPr>
          <w:color w:val="auto"/>
        </w:rPr>
        <w:t xml:space="preserve">ower </w:t>
      </w:r>
      <w:r w:rsidR="00A4447F">
        <w:rPr>
          <w:color w:val="auto"/>
        </w:rPr>
        <w:t>e</w:t>
      </w:r>
      <w:r w:rsidR="00E1410F">
        <w:rPr>
          <w:color w:val="auto"/>
        </w:rPr>
        <w:t xml:space="preserve">xtremity </w:t>
      </w:r>
      <w:proofErr w:type="spellStart"/>
      <w:r w:rsidR="00A4447F">
        <w:rPr>
          <w:color w:val="auto"/>
        </w:rPr>
        <w:t>r</w:t>
      </w:r>
      <w:r w:rsidR="00E1410F">
        <w:rPr>
          <w:color w:val="auto"/>
        </w:rPr>
        <w:t>adiculopathy</w:t>
      </w:r>
      <w:proofErr w:type="spellEnd"/>
      <w:r w:rsidR="00E1410F">
        <w:rPr>
          <w:color w:val="auto"/>
        </w:rPr>
        <w:t xml:space="preserve"> and </w:t>
      </w:r>
      <w:r w:rsidR="00A4447F">
        <w:rPr>
          <w:color w:val="auto"/>
        </w:rPr>
        <w:t>l</w:t>
      </w:r>
      <w:r w:rsidR="00E1410F">
        <w:rPr>
          <w:color w:val="auto"/>
        </w:rPr>
        <w:t xml:space="preserve">eft </w:t>
      </w:r>
      <w:r w:rsidR="00A4447F">
        <w:rPr>
          <w:color w:val="auto"/>
        </w:rPr>
        <w:t>k</w:t>
      </w:r>
      <w:r w:rsidR="00E1410F">
        <w:rPr>
          <w:color w:val="auto"/>
        </w:rPr>
        <w:t xml:space="preserve">nee </w:t>
      </w:r>
      <w:r w:rsidR="00A4447F">
        <w:rPr>
          <w:color w:val="auto"/>
        </w:rPr>
        <w:t>p</w:t>
      </w:r>
      <w:r w:rsidR="00E1410F">
        <w:rPr>
          <w:color w:val="auto"/>
        </w:rPr>
        <w:t xml:space="preserve">ain.  </w:t>
      </w:r>
      <w:r w:rsidR="00380601" w:rsidRPr="00222B93">
        <w:rPr>
          <w:color w:val="auto"/>
        </w:rPr>
        <w:t xml:space="preserve">The remaining conditions were determined to be </w:t>
      </w:r>
      <w:r w:rsidR="00D92F2A">
        <w:rPr>
          <w:color w:val="auto"/>
        </w:rPr>
        <w:t>medically acceptable and were not rated</w:t>
      </w:r>
      <w:r w:rsidR="00222B93" w:rsidRPr="00222B93">
        <w:rPr>
          <w:color w:val="auto"/>
        </w:rPr>
        <w:t>.</w:t>
      </w:r>
      <w:r w:rsidR="00E1410F">
        <w:rPr>
          <w:color w:val="auto"/>
        </w:rPr>
        <w:t xml:space="preserve">  </w:t>
      </w:r>
      <w:r w:rsidRPr="00222B93">
        <w:rPr>
          <w:color w:val="auto"/>
        </w:rPr>
        <w:t xml:space="preserve">The CI made no appeals, and was medically separated with </w:t>
      </w:r>
      <w:r w:rsidR="0066684A" w:rsidRPr="00222B93">
        <w:rPr>
          <w:color w:val="auto"/>
        </w:rPr>
        <w:t xml:space="preserve">a </w:t>
      </w:r>
      <w:r w:rsidR="00222B93" w:rsidRPr="00222B93">
        <w:rPr>
          <w:color w:val="auto"/>
        </w:rPr>
        <w:t>20</w:t>
      </w:r>
      <w:r w:rsidR="0066684A" w:rsidRPr="00222B93">
        <w:rPr>
          <w:color w:val="auto"/>
        </w:rPr>
        <w:t xml:space="preserve">% </w:t>
      </w:r>
      <w:r w:rsidRPr="00222B93">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310105" w:rsidRDefault="00AD2379" w:rsidP="00932813">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932813">
        <w:rPr>
          <w:color w:val="auto"/>
        </w:rPr>
        <w:t>“I am rated 60% by VA for same condition which since separation has worsened.  I received a 2</w:t>
      </w:r>
      <w:r w:rsidR="00932813" w:rsidRPr="00932813">
        <w:rPr>
          <w:color w:val="auto"/>
          <w:vertAlign w:val="superscript"/>
        </w:rPr>
        <w:t>nd</w:t>
      </w:r>
      <w:r w:rsidR="00932813">
        <w:rPr>
          <w:color w:val="auto"/>
        </w:rPr>
        <w:t xml:space="preserve"> </w:t>
      </w:r>
      <w:r w:rsidR="00932813" w:rsidRPr="00310105">
        <w:rPr>
          <w:color w:val="auto"/>
        </w:rPr>
        <w:t xml:space="preserve">back surgery on 2/8/11 which placed </w:t>
      </w:r>
      <w:r w:rsidR="000E56DA" w:rsidRPr="00310105">
        <w:rPr>
          <w:color w:val="auto"/>
        </w:rPr>
        <w:t>titanium</w:t>
      </w:r>
      <w:r w:rsidR="00932813" w:rsidRPr="00310105">
        <w:rPr>
          <w:color w:val="auto"/>
        </w:rPr>
        <w:t xml:space="preserve"> screws, rods, cage between vertebrae and spinal fusion.  I do now and will always suffer severe pain and discomfort.  I have trouble walking, sitting, standing, laying and do normal activities.  I have permanent nerve damage L leg, severe headaches requiring oxygen tanks in my home, memory loss, trouble concentrating.  Severe PTSD,</w:t>
      </w:r>
      <w:r w:rsidR="001F3D2C" w:rsidRPr="00310105">
        <w:rPr>
          <w:color w:val="auto"/>
        </w:rPr>
        <w:t xml:space="preserve"> </w:t>
      </w:r>
      <w:r w:rsidR="00932813" w:rsidRPr="00310105">
        <w:rPr>
          <w:color w:val="auto"/>
        </w:rPr>
        <w:t>TBI (mild to moderate).  All of this was caused by the same IED explosion in May of 2005 which evac’d me from Iraq to Walter Reed which subsequently cost me my Army career</w:t>
      </w:r>
      <w:r w:rsidR="00634A12" w:rsidRPr="00310105">
        <w:rPr>
          <w:color w:val="auto"/>
        </w:rPr>
        <w:t>.</w:t>
      </w:r>
      <w:r w:rsidR="00932813" w:rsidRPr="00310105">
        <w:rPr>
          <w:color w:val="auto"/>
        </w:rPr>
        <w:t>”</w:t>
      </w:r>
      <w:r w:rsidR="006B690F" w:rsidRPr="00310105">
        <w:rPr>
          <w:rFonts w:eastAsia="Cambria"/>
          <w:color w:val="auto"/>
          <w:szCs w:val="24"/>
        </w:rPr>
        <w:t xml:space="preserve"> </w:t>
      </w:r>
    </w:p>
    <w:p w:rsidR="004306E0" w:rsidRPr="00310105" w:rsidRDefault="004306E0" w:rsidP="00BF0E94">
      <w:pPr>
        <w:pBdr>
          <w:bottom w:val="single" w:sz="12" w:space="1" w:color="auto"/>
        </w:pBdr>
        <w:tabs>
          <w:tab w:val="left" w:pos="288"/>
          <w:tab w:val="left" w:pos="4752"/>
        </w:tabs>
        <w:jc w:val="both"/>
        <w:rPr>
          <w:color w:val="auto"/>
        </w:rPr>
      </w:pPr>
    </w:p>
    <w:p w:rsidR="007635A8" w:rsidRPr="00310105" w:rsidRDefault="007635A8" w:rsidP="007635A8">
      <w:pPr>
        <w:jc w:val="both"/>
        <w:rPr>
          <w:color w:val="auto"/>
          <w:u w:val="single"/>
        </w:rPr>
      </w:pPr>
    </w:p>
    <w:p w:rsidR="009239C0" w:rsidRPr="00C566C9" w:rsidRDefault="009239C0" w:rsidP="009239C0">
      <w:pPr>
        <w:jc w:val="both"/>
        <w:rPr>
          <w:color w:val="auto"/>
        </w:rPr>
      </w:pPr>
      <w:r w:rsidRPr="00310105">
        <w:rPr>
          <w:color w:val="auto"/>
          <w:u w:val="single"/>
        </w:rPr>
        <w:t>SCOPE OF REVIEW</w:t>
      </w:r>
      <w:r w:rsidRPr="00310105">
        <w:rPr>
          <w:color w:val="auto"/>
        </w:rPr>
        <w:t>:  The Board wishes to clarify that the scope of its re</w:t>
      </w:r>
      <w:r w:rsidR="00AE2B85" w:rsidRPr="00310105">
        <w:rPr>
          <w:color w:val="auto"/>
        </w:rPr>
        <w:t xml:space="preserve">view as defined in </w:t>
      </w:r>
      <w:r w:rsidR="00A4447F">
        <w:rPr>
          <w:color w:val="auto"/>
        </w:rPr>
        <w:t>the Department of Defense Instruction (</w:t>
      </w:r>
      <w:proofErr w:type="spellStart"/>
      <w:r w:rsidR="00AE2B85" w:rsidRPr="00310105">
        <w:rPr>
          <w:color w:val="auto"/>
        </w:rPr>
        <w:t>DoDI</w:t>
      </w:r>
      <w:proofErr w:type="spellEnd"/>
      <w:r w:rsidR="00A4447F">
        <w:rPr>
          <w:color w:val="auto"/>
        </w:rPr>
        <w:t>)</w:t>
      </w:r>
      <w:r w:rsidR="00AE2B85" w:rsidRPr="00310105">
        <w:rPr>
          <w:color w:val="auto"/>
        </w:rPr>
        <w:t xml:space="preserve"> 6040.44, Enclosure 3, paragraph 5.e</w:t>
      </w:r>
      <w:proofErr w:type="gramStart"/>
      <w:r w:rsidR="00AE2B85" w:rsidRPr="00310105">
        <w:rPr>
          <w:color w:val="auto"/>
        </w:rPr>
        <w:t>.(</w:t>
      </w:r>
      <w:proofErr w:type="gramEnd"/>
      <w:r w:rsidR="00AE2B85" w:rsidRPr="00310105">
        <w:rPr>
          <w:color w:val="auto"/>
        </w:rPr>
        <w:t>2)</w:t>
      </w:r>
      <w:r w:rsidRPr="00310105">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1F3D2C" w:rsidRPr="00310105">
        <w:rPr>
          <w:color w:val="auto"/>
        </w:rPr>
        <w:t>.</w:t>
      </w:r>
      <w:r w:rsidRPr="00310105">
        <w:rPr>
          <w:color w:val="auto"/>
        </w:rPr>
        <w:t xml:space="preserve">”  The ratings for unfitting conditions will be reviewed in all cases.  The </w:t>
      </w:r>
      <w:r w:rsidR="0023554A">
        <w:rPr>
          <w:color w:val="auto"/>
        </w:rPr>
        <w:t>c</w:t>
      </w:r>
      <w:r w:rsidR="00932813" w:rsidRPr="00310105">
        <w:rPr>
          <w:color w:val="auto"/>
        </w:rPr>
        <w:t xml:space="preserve">hronic </w:t>
      </w:r>
      <w:r w:rsidR="0023554A">
        <w:rPr>
          <w:color w:val="auto"/>
        </w:rPr>
        <w:t>l</w:t>
      </w:r>
      <w:r w:rsidR="00932813" w:rsidRPr="00310105">
        <w:rPr>
          <w:color w:val="auto"/>
        </w:rPr>
        <w:t xml:space="preserve">ow </w:t>
      </w:r>
      <w:r w:rsidR="0023554A">
        <w:rPr>
          <w:color w:val="auto"/>
        </w:rPr>
        <w:t>b</w:t>
      </w:r>
      <w:r w:rsidR="00932813" w:rsidRPr="00310105">
        <w:rPr>
          <w:color w:val="auto"/>
        </w:rPr>
        <w:t xml:space="preserve">ack pain and </w:t>
      </w:r>
      <w:r w:rsidR="0023554A">
        <w:rPr>
          <w:color w:val="auto"/>
        </w:rPr>
        <w:t>l</w:t>
      </w:r>
      <w:r w:rsidR="00932813" w:rsidRPr="00310105">
        <w:rPr>
          <w:color w:val="auto"/>
        </w:rPr>
        <w:t xml:space="preserve">eft </w:t>
      </w:r>
      <w:r w:rsidR="0023554A">
        <w:rPr>
          <w:color w:val="auto"/>
        </w:rPr>
        <w:t>l</w:t>
      </w:r>
      <w:r w:rsidR="00932813" w:rsidRPr="00310105">
        <w:rPr>
          <w:color w:val="auto"/>
        </w:rPr>
        <w:t xml:space="preserve">eg </w:t>
      </w:r>
      <w:r w:rsidR="0023554A">
        <w:rPr>
          <w:color w:val="auto"/>
        </w:rPr>
        <w:t>p</w:t>
      </w:r>
      <w:r w:rsidR="00932813" w:rsidRPr="00310105">
        <w:rPr>
          <w:color w:val="auto"/>
        </w:rPr>
        <w:t>ain</w:t>
      </w:r>
      <w:r w:rsidRPr="00310105">
        <w:rPr>
          <w:color w:val="auto"/>
        </w:rPr>
        <w:t xml:space="preserve"> </w:t>
      </w:r>
      <w:r w:rsidR="001F3D2C" w:rsidRPr="00310105">
        <w:rPr>
          <w:color w:val="auto"/>
        </w:rPr>
        <w:t xml:space="preserve">conditions were identified as unfitting and </w:t>
      </w:r>
      <w:r w:rsidRPr="00310105">
        <w:rPr>
          <w:color w:val="auto"/>
        </w:rPr>
        <w:t>meet the criteria prescribed in</w:t>
      </w:r>
      <w:r w:rsidR="001F3D2C" w:rsidRPr="00310105">
        <w:rPr>
          <w:color w:val="auto"/>
        </w:rPr>
        <w:t xml:space="preserve"> DoDI 6040.44 for Board purview</w:t>
      </w:r>
      <w:r w:rsidR="00932813" w:rsidRPr="00310105">
        <w:rPr>
          <w:color w:val="auto"/>
        </w:rPr>
        <w:t>.</w:t>
      </w:r>
      <w:r w:rsidRPr="00310105">
        <w:rPr>
          <w:color w:val="auto"/>
        </w:rPr>
        <w:t xml:space="preserve">  The other requested conditions </w:t>
      </w:r>
      <w:r w:rsidR="001F3D2C" w:rsidRPr="00310105">
        <w:rPr>
          <w:color w:val="auto"/>
        </w:rPr>
        <w:t>(</w:t>
      </w:r>
      <w:r w:rsidR="00D81E13">
        <w:rPr>
          <w:color w:val="auto"/>
        </w:rPr>
        <w:t>h</w:t>
      </w:r>
      <w:r w:rsidR="001F3D2C" w:rsidRPr="00310105">
        <w:rPr>
          <w:color w:val="auto"/>
        </w:rPr>
        <w:t xml:space="preserve">eadaches, PTSD, and TBI) </w:t>
      </w:r>
      <w:r w:rsidRPr="00310105">
        <w:rPr>
          <w:color w:val="auto"/>
        </w:rPr>
        <w:t>are not within the Board’s purview.  Any conditions or contention not requested in this</w:t>
      </w:r>
      <w:r w:rsidRPr="00C566C9">
        <w:rPr>
          <w:color w:val="auto"/>
        </w:rPr>
        <w:t xml:space="preserve">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932813">
        <w:rPr>
          <w:color w:val="auto"/>
        </w:rPr>
        <w:t>the Army Board for Correction of Military Records</w:t>
      </w:r>
      <w:r w:rsidR="00932813">
        <w:rPr>
          <w:color w:val="auto"/>
        </w:rPr>
        <w:t>.</w:t>
      </w:r>
      <w:r>
        <w:rPr>
          <w:color w:val="auto"/>
        </w:rPr>
        <w:t xml:space="preserve">  </w:t>
      </w:r>
    </w:p>
    <w:p w:rsidR="00AD2379" w:rsidRPr="00F64312" w:rsidRDefault="00AD2379" w:rsidP="00BF0E94">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1895"/>
        <w:gridCol w:w="1080"/>
        <w:gridCol w:w="810"/>
        <w:gridCol w:w="2970"/>
        <w:gridCol w:w="810"/>
        <w:gridCol w:w="810"/>
        <w:gridCol w:w="994"/>
      </w:tblGrid>
      <w:tr w:rsidR="00F90376" w:rsidRPr="00F64312" w:rsidTr="00D92F2A">
        <w:trPr>
          <w:trHeight w:val="170"/>
          <w:jc w:val="center"/>
        </w:trPr>
        <w:tc>
          <w:tcPr>
            <w:tcW w:w="3785" w:type="dxa"/>
            <w:gridSpan w:val="3"/>
            <w:tcBorders>
              <w:right w:val="thinThickThinSmallGap" w:sz="24" w:space="0" w:color="auto"/>
            </w:tcBorders>
            <w:shd w:val="clear" w:color="auto" w:fill="D9D9D9"/>
            <w:vAlign w:val="center"/>
          </w:tcPr>
          <w:p w:rsidR="00F90376" w:rsidRPr="00F64312" w:rsidRDefault="00F90376" w:rsidP="00081E11">
            <w:pPr>
              <w:spacing w:line="180" w:lineRule="exact"/>
              <w:contextualSpacing/>
              <w:rPr>
                <w:rFonts w:cs="Calibri"/>
                <w:b/>
                <w:color w:val="auto"/>
                <w:sz w:val="18"/>
              </w:rPr>
            </w:pPr>
            <w:r w:rsidRPr="00F64312">
              <w:rPr>
                <w:b/>
                <w:color w:val="auto"/>
                <w:sz w:val="18"/>
              </w:rPr>
              <w:t xml:space="preserve">Service PEB – Dated </w:t>
            </w:r>
            <w:r w:rsidRPr="00081E11">
              <w:rPr>
                <w:b/>
                <w:color w:val="auto"/>
                <w:sz w:val="18"/>
              </w:rPr>
              <w:t>200</w:t>
            </w:r>
            <w:r w:rsidR="00081E11" w:rsidRPr="00081E11">
              <w:rPr>
                <w:b/>
                <w:color w:val="auto"/>
                <w:sz w:val="18"/>
              </w:rPr>
              <w:t>60125</w:t>
            </w:r>
          </w:p>
        </w:tc>
        <w:tc>
          <w:tcPr>
            <w:tcW w:w="5584" w:type="dxa"/>
            <w:gridSpan w:val="4"/>
            <w:tcBorders>
              <w:left w:val="thinThickThinSmallGap" w:sz="24" w:space="0" w:color="auto"/>
            </w:tcBorders>
            <w:shd w:val="clear" w:color="auto" w:fill="D9D9D9"/>
            <w:vAlign w:val="center"/>
          </w:tcPr>
          <w:p w:rsidR="00F90376" w:rsidRPr="00F64312" w:rsidRDefault="00F90376" w:rsidP="00081E11">
            <w:pPr>
              <w:spacing w:line="180" w:lineRule="exact"/>
              <w:contextualSpacing/>
              <w:rPr>
                <w:rFonts w:cs="Calibri"/>
                <w:b/>
                <w:color w:val="auto"/>
                <w:sz w:val="18"/>
              </w:rPr>
            </w:pPr>
            <w:r w:rsidRPr="00F64312">
              <w:rPr>
                <w:b/>
                <w:color w:val="auto"/>
                <w:sz w:val="18"/>
              </w:rPr>
              <w:t>VA (</w:t>
            </w:r>
            <w:r w:rsidR="00081E11">
              <w:rPr>
                <w:b/>
                <w:color w:val="auto"/>
                <w:sz w:val="18"/>
              </w:rPr>
              <w:t>10 Days</w:t>
            </w:r>
            <w:r w:rsidRPr="00F64312">
              <w:rPr>
                <w:b/>
                <w:color w:val="auto"/>
                <w:sz w:val="18"/>
              </w:rPr>
              <w:t xml:space="preserve"> </w:t>
            </w:r>
            <w:r w:rsidRPr="00081E11">
              <w:rPr>
                <w:b/>
                <w:color w:val="auto"/>
                <w:sz w:val="18"/>
              </w:rPr>
              <w:t>Pre</w:t>
            </w:r>
            <w:r w:rsidRPr="00F64312">
              <w:rPr>
                <w:b/>
                <w:color w:val="auto"/>
                <w:sz w:val="18"/>
              </w:rPr>
              <w:t xml:space="preserve">-Separation) – All Effective Date </w:t>
            </w:r>
            <w:r w:rsidRPr="00081E11">
              <w:rPr>
                <w:b/>
                <w:color w:val="auto"/>
                <w:sz w:val="18"/>
              </w:rPr>
              <w:t>200</w:t>
            </w:r>
            <w:r w:rsidR="00081E11" w:rsidRPr="00081E11">
              <w:rPr>
                <w:b/>
                <w:color w:val="auto"/>
                <w:sz w:val="18"/>
              </w:rPr>
              <w:t>60317</w:t>
            </w:r>
          </w:p>
        </w:tc>
      </w:tr>
      <w:tr w:rsidR="00F90376" w:rsidRPr="00F64312" w:rsidTr="00D92F2A">
        <w:trPr>
          <w:trHeight w:val="97"/>
          <w:jc w:val="center"/>
        </w:trPr>
        <w:tc>
          <w:tcPr>
            <w:tcW w:w="1895"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81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970"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81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81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4"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D92F2A">
        <w:trPr>
          <w:trHeight w:val="118"/>
          <w:jc w:val="center"/>
        </w:trPr>
        <w:tc>
          <w:tcPr>
            <w:tcW w:w="1895" w:type="dxa"/>
            <w:tcBorders>
              <w:right w:val="single" w:sz="4" w:space="0" w:color="auto"/>
            </w:tcBorders>
            <w:shd w:val="clear" w:color="auto" w:fill="FFFFFF"/>
            <w:vAlign w:val="center"/>
          </w:tcPr>
          <w:p w:rsidR="00F90376" w:rsidRPr="00F64312" w:rsidRDefault="00081E11" w:rsidP="001F3D2C">
            <w:pPr>
              <w:spacing w:line="180" w:lineRule="exact"/>
              <w:contextualSpacing/>
              <w:jc w:val="left"/>
              <w:rPr>
                <w:rFonts w:cs="Calibri"/>
                <w:color w:val="auto"/>
                <w:sz w:val="18"/>
              </w:rPr>
            </w:pPr>
            <w:r>
              <w:rPr>
                <w:rFonts w:cs="Calibri"/>
                <w:color w:val="auto"/>
                <w:sz w:val="18"/>
              </w:rPr>
              <w:t>Chronic Low Back Pain with Left Leg Pain</w:t>
            </w:r>
          </w:p>
        </w:tc>
        <w:tc>
          <w:tcPr>
            <w:tcW w:w="1080" w:type="dxa"/>
            <w:tcBorders>
              <w:left w:val="single" w:sz="4" w:space="0" w:color="auto"/>
            </w:tcBorders>
            <w:shd w:val="clear" w:color="auto" w:fill="FFFFFF"/>
            <w:vAlign w:val="center"/>
          </w:tcPr>
          <w:p w:rsidR="00F90376" w:rsidRPr="00F64312" w:rsidRDefault="00081E11" w:rsidP="001F3D2C">
            <w:pPr>
              <w:spacing w:line="180" w:lineRule="exact"/>
              <w:contextualSpacing/>
              <w:rPr>
                <w:rFonts w:cs="Calibri"/>
                <w:color w:val="auto"/>
                <w:sz w:val="18"/>
              </w:rPr>
            </w:pPr>
            <w:r>
              <w:rPr>
                <w:rFonts w:cs="Calibri"/>
                <w:color w:val="auto"/>
                <w:sz w:val="18"/>
              </w:rPr>
              <w:t>5243</w:t>
            </w:r>
          </w:p>
        </w:tc>
        <w:tc>
          <w:tcPr>
            <w:tcW w:w="810" w:type="dxa"/>
            <w:tcBorders>
              <w:right w:val="thinThickThinSmallGap" w:sz="24" w:space="0" w:color="auto"/>
            </w:tcBorders>
            <w:shd w:val="clear" w:color="auto" w:fill="FFFFFF"/>
            <w:vAlign w:val="center"/>
          </w:tcPr>
          <w:p w:rsidR="00F90376" w:rsidRPr="00F64312" w:rsidRDefault="00081E11" w:rsidP="001F3D2C">
            <w:pPr>
              <w:spacing w:line="180" w:lineRule="exact"/>
              <w:rPr>
                <w:rFonts w:cs="Calibri"/>
                <w:color w:val="auto"/>
                <w:sz w:val="18"/>
              </w:rPr>
            </w:pPr>
            <w:r>
              <w:rPr>
                <w:rFonts w:cs="Calibri"/>
                <w:color w:val="auto"/>
                <w:sz w:val="18"/>
              </w:rPr>
              <w:t>10%</w:t>
            </w:r>
          </w:p>
        </w:tc>
        <w:tc>
          <w:tcPr>
            <w:tcW w:w="2970" w:type="dxa"/>
            <w:tcBorders>
              <w:left w:val="thinThickThinSmallGap" w:sz="24" w:space="0" w:color="auto"/>
            </w:tcBorders>
            <w:shd w:val="clear" w:color="auto" w:fill="FFFFFF"/>
            <w:vAlign w:val="center"/>
          </w:tcPr>
          <w:p w:rsidR="00F90376" w:rsidRPr="00F64312" w:rsidRDefault="00081E11" w:rsidP="001F3D2C">
            <w:pPr>
              <w:spacing w:line="180" w:lineRule="exact"/>
              <w:contextualSpacing/>
              <w:jc w:val="left"/>
              <w:rPr>
                <w:rFonts w:cs="Calibri"/>
                <w:color w:val="auto"/>
                <w:sz w:val="18"/>
              </w:rPr>
            </w:pPr>
            <w:r>
              <w:rPr>
                <w:rFonts w:cs="Calibri"/>
                <w:color w:val="auto"/>
                <w:sz w:val="18"/>
              </w:rPr>
              <w:t xml:space="preserve">Post Operative </w:t>
            </w:r>
            <w:r w:rsidR="004572D2">
              <w:rPr>
                <w:rFonts w:cs="Calibri"/>
                <w:color w:val="auto"/>
                <w:sz w:val="18"/>
              </w:rPr>
              <w:t>Herniated</w:t>
            </w:r>
            <w:r>
              <w:rPr>
                <w:rFonts w:cs="Calibri"/>
                <w:color w:val="auto"/>
                <w:sz w:val="18"/>
              </w:rPr>
              <w:t xml:space="preserve"> Nucleus Pulposus, Lumbosacral Spine</w:t>
            </w:r>
          </w:p>
        </w:tc>
        <w:tc>
          <w:tcPr>
            <w:tcW w:w="810" w:type="dxa"/>
            <w:shd w:val="clear" w:color="auto" w:fill="FFFFFF"/>
            <w:vAlign w:val="center"/>
          </w:tcPr>
          <w:p w:rsidR="00F90376" w:rsidRPr="00F64312" w:rsidRDefault="00081E11" w:rsidP="001F3D2C">
            <w:pPr>
              <w:spacing w:line="180" w:lineRule="exact"/>
              <w:contextualSpacing/>
              <w:rPr>
                <w:rFonts w:cs="Calibri"/>
                <w:color w:val="auto"/>
                <w:sz w:val="18"/>
              </w:rPr>
            </w:pPr>
            <w:r>
              <w:rPr>
                <w:rFonts w:cs="Calibri"/>
                <w:color w:val="auto"/>
                <w:sz w:val="18"/>
              </w:rPr>
              <w:t>5243-5237</w:t>
            </w:r>
          </w:p>
        </w:tc>
        <w:tc>
          <w:tcPr>
            <w:tcW w:w="810" w:type="dxa"/>
            <w:shd w:val="clear" w:color="auto" w:fill="FFFFFF"/>
            <w:vAlign w:val="center"/>
          </w:tcPr>
          <w:p w:rsidR="00F90376" w:rsidRPr="00F64312" w:rsidRDefault="00081E11" w:rsidP="001F3D2C">
            <w:pPr>
              <w:spacing w:line="180" w:lineRule="exact"/>
              <w:contextualSpacing/>
              <w:rPr>
                <w:rFonts w:cs="Calibri"/>
                <w:color w:val="auto"/>
                <w:sz w:val="18"/>
              </w:rPr>
            </w:pPr>
            <w:r>
              <w:rPr>
                <w:rFonts w:cs="Calibri"/>
                <w:color w:val="auto"/>
                <w:sz w:val="18"/>
              </w:rPr>
              <w:t>10%</w:t>
            </w:r>
            <w:r w:rsidR="00E92FA1">
              <w:rPr>
                <w:rFonts w:cs="Calibri"/>
                <w:color w:val="auto"/>
                <w:sz w:val="18"/>
              </w:rPr>
              <w:t>*</w:t>
            </w:r>
          </w:p>
        </w:tc>
        <w:tc>
          <w:tcPr>
            <w:tcW w:w="994" w:type="dxa"/>
            <w:shd w:val="clear" w:color="auto" w:fill="FFFFFF"/>
            <w:vAlign w:val="center"/>
          </w:tcPr>
          <w:p w:rsidR="00F90376" w:rsidRPr="00F64312" w:rsidRDefault="00A314B6" w:rsidP="001F3D2C">
            <w:pPr>
              <w:spacing w:line="180" w:lineRule="exact"/>
              <w:contextualSpacing/>
              <w:rPr>
                <w:rFonts w:cs="Calibri"/>
                <w:color w:val="auto"/>
                <w:sz w:val="18"/>
              </w:rPr>
            </w:pPr>
            <w:r w:rsidRPr="00081E11">
              <w:rPr>
                <w:color w:val="auto"/>
                <w:sz w:val="18"/>
              </w:rPr>
              <w:t>200</w:t>
            </w:r>
            <w:r w:rsidR="00081E11" w:rsidRPr="00081E11">
              <w:rPr>
                <w:color w:val="auto"/>
                <w:sz w:val="18"/>
              </w:rPr>
              <w:t>60307</w:t>
            </w:r>
          </w:p>
        </w:tc>
      </w:tr>
      <w:tr w:rsidR="006B0889" w:rsidRPr="00F64312" w:rsidTr="00D92F2A">
        <w:trPr>
          <w:trHeight w:val="118"/>
          <w:jc w:val="center"/>
        </w:trPr>
        <w:tc>
          <w:tcPr>
            <w:tcW w:w="1895" w:type="dxa"/>
            <w:vMerge w:val="restart"/>
            <w:tcBorders>
              <w:right w:val="single" w:sz="4" w:space="0" w:color="auto"/>
            </w:tcBorders>
            <w:shd w:val="clear" w:color="auto" w:fill="FFFFFF"/>
            <w:vAlign w:val="center"/>
          </w:tcPr>
          <w:p w:rsidR="006B0889" w:rsidRPr="00F64312" w:rsidRDefault="006B0889" w:rsidP="001F3D2C">
            <w:pPr>
              <w:spacing w:line="180" w:lineRule="exact"/>
              <w:contextualSpacing/>
              <w:jc w:val="left"/>
              <w:rPr>
                <w:color w:val="auto"/>
                <w:sz w:val="18"/>
              </w:rPr>
            </w:pPr>
            <w:r>
              <w:rPr>
                <w:color w:val="auto"/>
                <w:sz w:val="18"/>
              </w:rPr>
              <w:t>Left Leg Pain with  L5-S1 Radiculopathy</w:t>
            </w:r>
          </w:p>
        </w:tc>
        <w:tc>
          <w:tcPr>
            <w:tcW w:w="1080" w:type="dxa"/>
            <w:vMerge w:val="restart"/>
            <w:tcBorders>
              <w:left w:val="single" w:sz="4" w:space="0" w:color="auto"/>
            </w:tcBorders>
            <w:shd w:val="clear" w:color="auto" w:fill="FFFFFF"/>
            <w:vAlign w:val="center"/>
          </w:tcPr>
          <w:p w:rsidR="006B0889" w:rsidRPr="00F64312" w:rsidRDefault="006B0889" w:rsidP="001F3D2C">
            <w:pPr>
              <w:spacing w:line="180" w:lineRule="exact"/>
              <w:contextualSpacing/>
              <w:rPr>
                <w:color w:val="auto"/>
                <w:sz w:val="18"/>
              </w:rPr>
            </w:pPr>
            <w:r>
              <w:rPr>
                <w:color w:val="auto"/>
                <w:sz w:val="18"/>
              </w:rPr>
              <w:t>5243-8520</w:t>
            </w:r>
          </w:p>
        </w:tc>
        <w:tc>
          <w:tcPr>
            <w:tcW w:w="810" w:type="dxa"/>
            <w:vMerge w:val="restart"/>
            <w:tcBorders>
              <w:right w:val="thinThickThinSmallGap" w:sz="24" w:space="0" w:color="auto"/>
            </w:tcBorders>
            <w:shd w:val="clear" w:color="auto" w:fill="FFFFFF"/>
            <w:vAlign w:val="center"/>
          </w:tcPr>
          <w:p w:rsidR="006B0889" w:rsidRPr="00F64312" w:rsidRDefault="006B0889" w:rsidP="001F3D2C">
            <w:pPr>
              <w:spacing w:line="180" w:lineRule="exact"/>
              <w:rPr>
                <w:color w:val="auto"/>
                <w:sz w:val="18"/>
              </w:rPr>
            </w:pPr>
            <w:r>
              <w:rPr>
                <w:color w:val="auto"/>
                <w:sz w:val="18"/>
              </w:rPr>
              <w:t>10%</w:t>
            </w:r>
          </w:p>
        </w:tc>
        <w:tc>
          <w:tcPr>
            <w:tcW w:w="2970" w:type="dxa"/>
            <w:tcBorders>
              <w:left w:val="thinThickThinSmallGap" w:sz="24" w:space="0" w:color="auto"/>
            </w:tcBorders>
            <w:shd w:val="clear" w:color="auto" w:fill="FFFFFF"/>
            <w:vAlign w:val="center"/>
          </w:tcPr>
          <w:p w:rsidR="006B0889" w:rsidRPr="00F64312" w:rsidRDefault="006B0889" w:rsidP="001F3D2C">
            <w:pPr>
              <w:spacing w:line="180" w:lineRule="exact"/>
              <w:contextualSpacing/>
              <w:jc w:val="left"/>
              <w:rPr>
                <w:color w:val="auto"/>
                <w:sz w:val="18"/>
              </w:rPr>
            </w:pPr>
            <w:r>
              <w:rPr>
                <w:color w:val="auto"/>
                <w:sz w:val="18"/>
              </w:rPr>
              <w:t>Right Lower Extremity Radiculopathy Residual of Lumbosacral Herniated Nucleus Pulposus</w:t>
            </w:r>
          </w:p>
        </w:tc>
        <w:tc>
          <w:tcPr>
            <w:tcW w:w="810" w:type="dxa"/>
            <w:shd w:val="clear" w:color="auto" w:fill="FFFFFF"/>
            <w:vAlign w:val="center"/>
          </w:tcPr>
          <w:p w:rsidR="006B0889" w:rsidRPr="00F64312" w:rsidRDefault="006B0889" w:rsidP="001F3D2C">
            <w:pPr>
              <w:spacing w:line="180" w:lineRule="exact"/>
              <w:contextualSpacing/>
              <w:rPr>
                <w:color w:val="auto"/>
                <w:sz w:val="18"/>
              </w:rPr>
            </w:pPr>
            <w:r>
              <w:rPr>
                <w:color w:val="auto"/>
                <w:sz w:val="18"/>
              </w:rPr>
              <w:t>8599-8520</w:t>
            </w:r>
          </w:p>
        </w:tc>
        <w:tc>
          <w:tcPr>
            <w:tcW w:w="810" w:type="dxa"/>
            <w:shd w:val="clear" w:color="auto" w:fill="FFFFFF"/>
            <w:vAlign w:val="center"/>
          </w:tcPr>
          <w:p w:rsidR="006B0889" w:rsidRPr="00F64312" w:rsidRDefault="006B0889" w:rsidP="001F3D2C">
            <w:pPr>
              <w:spacing w:line="180" w:lineRule="exact"/>
              <w:contextualSpacing/>
              <w:rPr>
                <w:color w:val="auto"/>
                <w:sz w:val="18"/>
              </w:rPr>
            </w:pPr>
            <w:r>
              <w:rPr>
                <w:color w:val="auto"/>
                <w:sz w:val="18"/>
              </w:rPr>
              <w:t>10%**</w:t>
            </w:r>
          </w:p>
        </w:tc>
        <w:tc>
          <w:tcPr>
            <w:tcW w:w="994" w:type="dxa"/>
            <w:shd w:val="clear" w:color="auto" w:fill="FFFFFF"/>
            <w:vAlign w:val="center"/>
          </w:tcPr>
          <w:p w:rsidR="006B0889" w:rsidRPr="00F64312" w:rsidRDefault="006B0889" w:rsidP="001F3D2C">
            <w:pPr>
              <w:spacing w:line="180" w:lineRule="exact"/>
              <w:contextualSpacing/>
              <w:rPr>
                <w:color w:val="auto"/>
                <w:sz w:val="18"/>
                <w:highlight w:val="yellow"/>
              </w:rPr>
            </w:pPr>
            <w:r w:rsidRPr="006F4BB6">
              <w:rPr>
                <w:color w:val="auto"/>
                <w:sz w:val="18"/>
              </w:rPr>
              <w:t>20060307</w:t>
            </w:r>
          </w:p>
        </w:tc>
      </w:tr>
      <w:tr w:rsidR="006B0889" w:rsidRPr="00F64312" w:rsidTr="00D92F2A">
        <w:trPr>
          <w:trHeight w:val="118"/>
          <w:jc w:val="center"/>
        </w:trPr>
        <w:tc>
          <w:tcPr>
            <w:tcW w:w="1895" w:type="dxa"/>
            <w:vMerge/>
            <w:tcBorders>
              <w:right w:val="single" w:sz="4" w:space="0" w:color="auto"/>
            </w:tcBorders>
            <w:shd w:val="clear" w:color="auto" w:fill="FFFFFF"/>
            <w:vAlign w:val="center"/>
          </w:tcPr>
          <w:p w:rsidR="006B0889" w:rsidRDefault="006B0889" w:rsidP="001F3D2C">
            <w:pPr>
              <w:spacing w:line="180" w:lineRule="exact"/>
              <w:contextualSpacing/>
              <w:jc w:val="left"/>
              <w:rPr>
                <w:color w:val="auto"/>
                <w:sz w:val="18"/>
              </w:rPr>
            </w:pPr>
          </w:p>
        </w:tc>
        <w:tc>
          <w:tcPr>
            <w:tcW w:w="1080" w:type="dxa"/>
            <w:vMerge/>
            <w:tcBorders>
              <w:left w:val="single" w:sz="4" w:space="0" w:color="auto"/>
            </w:tcBorders>
            <w:shd w:val="clear" w:color="auto" w:fill="FFFFFF"/>
            <w:vAlign w:val="center"/>
          </w:tcPr>
          <w:p w:rsidR="006B0889" w:rsidRDefault="006B0889" w:rsidP="001F3D2C">
            <w:pPr>
              <w:spacing w:line="180" w:lineRule="exact"/>
              <w:contextualSpacing/>
              <w:rPr>
                <w:color w:val="auto"/>
                <w:sz w:val="18"/>
              </w:rPr>
            </w:pPr>
          </w:p>
        </w:tc>
        <w:tc>
          <w:tcPr>
            <w:tcW w:w="810" w:type="dxa"/>
            <w:vMerge/>
            <w:tcBorders>
              <w:right w:val="thinThickThinSmallGap" w:sz="24" w:space="0" w:color="auto"/>
            </w:tcBorders>
            <w:shd w:val="clear" w:color="auto" w:fill="FFFFFF"/>
            <w:vAlign w:val="center"/>
          </w:tcPr>
          <w:p w:rsidR="006B0889" w:rsidRDefault="006B0889" w:rsidP="001F3D2C">
            <w:pPr>
              <w:spacing w:line="180" w:lineRule="exact"/>
              <w:rPr>
                <w:color w:val="auto"/>
                <w:sz w:val="18"/>
              </w:rPr>
            </w:pPr>
          </w:p>
        </w:tc>
        <w:tc>
          <w:tcPr>
            <w:tcW w:w="2970" w:type="dxa"/>
            <w:tcBorders>
              <w:left w:val="thinThickThinSmallGap" w:sz="24" w:space="0" w:color="auto"/>
            </w:tcBorders>
            <w:shd w:val="clear" w:color="auto" w:fill="FFFFFF"/>
            <w:vAlign w:val="center"/>
          </w:tcPr>
          <w:p w:rsidR="006B0889" w:rsidRPr="00F64312" w:rsidRDefault="006B0889" w:rsidP="006A3F32">
            <w:pPr>
              <w:spacing w:line="180" w:lineRule="exact"/>
              <w:contextualSpacing/>
              <w:jc w:val="left"/>
              <w:rPr>
                <w:color w:val="auto"/>
                <w:sz w:val="18"/>
              </w:rPr>
            </w:pPr>
            <w:r>
              <w:rPr>
                <w:color w:val="auto"/>
                <w:sz w:val="18"/>
              </w:rPr>
              <w:t>Left Knee Tendonitis</w:t>
            </w:r>
          </w:p>
        </w:tc>
        <w:tc>
          <w:tcPr>
            <w:tcW w:w="810" w:type="dxa"/>
            <w:shd w:val="clear" w:color="auto" w:fill="FFFFFF"/>
            <w:vAlign w:val="center"/>
          </w:tcPr>
          <w:p w:rsidR="006B0889" w:rsidRPr="00F64312" w:rsidRDefault="006B0889" w:rsidP="006A3F32">
            <w:pPr>
              <w:spacing w:line="180" w:lineRule="exact"/>
              <w:contextualSpacing/>
              <w:rPr>
                <w:color w:val="auto"/>
                <w:sz w:val="18"/>
              </w:rPr>
            </w:pPr>
            <w:r>
              <w:rPr>
                <w:color w:val="auto"/>
                <w:sz w:val="18"/>
              </w:rPr>
              <w:t>5010-5260</w:t>
            </w:r>
          </w:p>
        </w:tc>
        <w:tc>
          <w:tcPr>
            <w:tcW w:w="810" w:type="dxa"/>
            <w:shd w:val="clear" w:color="auto" w:fill="FFFFFF"/>
            <w:vAlign w:val="center"/>
          </w:tcPr>
          <w:p w:rsidR="006B0889" w:rsidRPr="00F64312" w:rsidRDefault="006B0889" w:rsidP="006A3F32">
            <w:pPr>
              <w:spacing w:line="180" w:lineRule="exact"/>
              <w:contextualSpacing/>
              <w:rPr>
                <w:color w:val="auto"/>
                <w:sz w:val="18"/>
              </w:rPr>
            </w:pPr>
            <w:r>
              <w:rPr>
                <w:color w:val="auto"/>
                <w:sz w:val="18"/>
              </w:rPr>
              <w:t>10%</w:t>
            </w:r>
          </w:p>
        </w:tc>
        <w:tc>
          <w:tcPr>
            <w:tcW w:w="994" w:type="dxa"/>
            <w:shd w:val="clear" w:color="auto" w:fill="FFFFFF"/>
            <w:vAlign w:val="center"/>
          </w:tcPr>
          <w:p w:rsidR="006B0889" w:rsidRPr="00F64312" w:rsidRDefault="006B0889" w:rsidP="006A3F32">
            <w:pPr>
              <w:spacing w:line="180" w:lineRule="exact"/>
              <w:contextualSpacing/>
              <w:rPr>
                <w:color w:val="auto"/>
                <w:sz w:val="18"/>
                <w:highlight w:val="yellow"/>
              </w:rPr>
            </w:pPr>
            <w:r w:rsidRPr="00081E11">
              <w:rPr>
                <w:color w:val="auto"/>
                <w:sz w:val="18"/>
              </w:rPr>
              <w:t>20060307</w:t>
            </w:r>
          </w:p>
        </w:tc>
      </w:tr>
      <w:tr w:rsidR="006B0889" w:rsidRPr="00F64312" w:rsidTr="00D92F2A">
        <w:trPr>
          <w:trHeight w:val="118"/>
          <w:jc w:val="center"/>
        </w:trPr>
        <w:tc>
          <w:tcPr>
            <w:tcW w:w="1895" w:type="dxa"/>
            <w:vMerge w:val="restart"/>
            <w:tcBorders>
              <w:right w:val="single" w:sz="4" w:space="0" w:color="auto"/>
            </w:tcBorders>
            <w:shd w:val="clear" w:color="auto" w:fill="FFFFFF"/>
            <w:vAlign w:val="center"/>
          </w:tcPr>
          <w:p w:rsidR="006B0889" w:rsidRDefault="006B0889" w:rsidP="001F3D2C">
            <w:pPr>
              <w:spacing w:line="180" w:lineRule="exact"/>
              <w:contextualSpacing/>
              <w:jc w:val="left"/>
              <w:rPr>
                <w:color w:val="auto"/>
                <w:sz w:val="18"/>
              </w:rPr>
            </w:pPr>
            <w:r>
              <w:rPr>
                <w:color w:val="auto"/>
                <w:sz w:val="18"/>
              </w:rPr>
              <w:t>Bilateral Shoulder Pain</w:t>
            </w:r>
          </w:p>
        </w:tc>
        <w:tc>
          <w:tcPr>
            <w:tcW w:w="1890" w:type="dxa"/>
            <w:gridSpan w:val="2"/>
            <w:vMerge w:val="restart"/>
            <w:tcBorders>
              <w:left w:val="single" w:sz="4" w:space="0" w:color="auto"/>
              <w:right w:val="thinThickThinSmallGap" w:sz="24" w:space="0" w:color="auto"/>
            </w:tcBorders>
            <w:shd w:val="clear" w:color="auto" w:fill="FFFFFF"/>
            <w:vAlign w:val="center"/>
          </w:tcPr>
          <w:p w:rsidR="006B0889" w:rsidRDefault="006B0889" w:rsidP="001F3D2C">
            <w:pPr>
              <w:spacing w:line="180" w:lineRule="exact"/>
              <w:rPr>
                <w:color w:val="auto"/>
                <w:sz w:val="18"/>
              </w:rPr>
            </w:pPr>
            <w:r>
              <w:rPr>
                <w:color w:val="auto"/>
                <w:sz w:val="18"/>
              </w:rPr>
              <w:t>Medically Acceptable</w:t>
            </w:r>
          </w:p>
        </w:tc>
        <w:tc>
          <w:tcPr>
            <w:tcW w:w="2970" w:type="dxa"/>
            <w:tcBorders>
              <w:left w:val="thinThickThinSmallGap" w:sz="24" w:space="0" w:color="auto"/>
            </w:tcBorders>
            <w:shd w:val="clear" w:color="auto" w:fill="FFFFFF"/>
            <w:vAlign w:val="center"/>
          </w:tcPr>
          <w:p w:rsidR="006B0889" w:rsidRDefault="006B0889" w:rsidP="001F3D2C">
            <w:pPr>
              <w:spacing w:line="180" w:lineRule="exact"/>
              <w:contextualSpacing/>
              <w:jc w:val="left"/>
              <w:rPr>
                <w:color w:val="auto"/>
                <w:sz w:val="18"/>
              </w:rPr>
            </w:pPr>
            <w:r>
              <w:rPr>
                <w:color w:val="auto"/>
                <w:sz w:val="18"/>
              </w:rPr>
              <w:t>Right Shoulder Condition</w:t>
            </w:r>
          </w:p>
        </w:tc>
        <w:tc>
          <w:tcPr>
            <w:tcW w:w="810" w:type="dxa"/>
            <w:shd w:val="clear" w:color="auto" w:fill="FFFFFF"/>
            <w:vAlign w:val="center"/>
          </w:tcPr>
          <w:p w:rsidR="006B0889" w:rsidRDefault="006B0889" w:rsidP="001F3D2C">
            <w:pPr>
              <w:spacing w:line="180" w:lineRule="exact"/>
              <w:contextualSpacing/>
              <w:rPr>
                <w:color w:val="auto"/>
                <w:sz w:val="18"/>
              </w:rPr>
            </w:pPr>
            <w:r>
              <w:rPr>
                <w:color w:val="auto"/>
                <w:sz w:val="18"/>
              </w:rPr>
              <w:t>5201</w:t>
            </w:r>
          </w:p>
        </w:tc>
        <w:tc>
          <w:tcPr>
            <w:tcW w:w="810" w:type="dxa"/>
            <w:shd w:val="clear" w:color="auto" w:fill="FFFFFF"/>
            <w:vAlign w:val="center"/>
          </w:tcPr>
          <w:p w:rsidR="006B0889" w:rsidRDefault="006B0889" w:rsidP="001F3D2C">
            <w:pPr>
              <w:spacing w:line="180" w:lineRule="exact"/>
              <w:contextualSpacing/>
              <w:rPr>
                <w:color w:val="auto"/>
                <w:sz w:val="18"/>
              </w:rPr>
            </w:pPr>
            <w:r>
              <w:rPr>
                <w:color w:val="auto"/>
                <w:sz w:val="18"/>
              </w:rPr>
              <w:t>NSC</w:t>
            </w:r>
          </w:p>
        </w:tc>
        <w:tc>
          <w:tcPr>
            <w:tcW w:w="994" w:type="dxa"/>
            <w:shd w:val="clear" w:color="auto" w:fill="FFFFFF"/>
            <w:vAlign w:val="center"/>
          </w:tcPr>
          <w:p w:rsidR="006B0889" w:rsidRDefault="006B0889" w:rsidP="001F3D2C">
            <w:r w:rsidRPr="00E24542">
              <w:rPr>
                <w:color w:val="auto"/>
                <w:sz w:val="18"/>
              </w:rPr>
              <w:t>20060307</w:t>
            </w:r>
          </w:p>
        </w:tc>
      </w:tr>
      <w:tr w:rsidR="006B0889" w:rsidRPr="00F64312" w:rsidTr="00D92F2A">
        <w:trPr>
          <w:trHeight w:val="118"/>
          <w:jc w:val="center"/>
        </w:trPr>
        <w:tc>
          <w:tcPr>
            <w:tcW w:w="1895" w:type="dxa"/>
            <w:vMerge/>
            <w:tcBorders>
              <w:right w:val="single" w:sz="4" w:space="0" w:color="auto"/>
            </w:tcBorders>
            <w:shd w:val="clear" w:color="auto" w:fill="FFFFFF"/>
            <w:vAlign w:val="center"/>
          </w:tcPr>
          <w:p w:rsidR="006B0889" w:rsidRDefault="006B0889" w:rsidP="001F3D2C">
            <w:pPr>
              <w:spacing w:line="180" w:lineRule="exact"/>
              <w:contextualSpacing/>
              <w:jc w:val="left"/>
              <w:rPr>
                <w:color w:val="auto"/>
                <w:sz w:val="18"/>
              </w:rPr>
            </w:pPr>
          </w:p>
        </w:tc>
        <w:tc>
          <w:tcPr>
            <w:tcW w:w="1890" w:type="dxa"/>
            <w:gridSpan w:val="2"/>
            <w:vMerge/>
            <w:tcBorders>
              <w:left w:val="single" w:sz="4" w:space="0" w:color="auto"/>
              <w:right w:val="thinThickThinSmallGap" w:sz="24" w:space="0" w:color="auto"/>
            </w:tcBorders>
            <w:shd w:val="clear" w:color="auto" w:fill="FFFFFF"/>
            <w:vAlign w:val="center"/>
          </w:tcPr>
          <w:p w:rsidR="006B0889" w:rsidRDefault="006B0889" w:rsidP="001F3D2C">
            <w:pPr>
              <w:spacing w:line="180" w:lineRule="exact"/>
              <w:rPr>
                <w:color w:val="auto"/>
                <w:sz w:val="18"/>
              </w:rPr>
            </w:pPr>
          </w:p>
        </w:tc>
        <w:tc>
          <w:tcPr>
            <w:tcW w:w="2970" w:type="dxa"/>
            <w:tcBorders>
              <w:left w:val="thinThickThinSmallGap" w:sz="24" w:space="0" w:color="auto"/>
            </w:tcBorders>
            <w:shd w:val="clear" w:color="auto" w:fill="FFFFFF"/>
            <w:vAlign w:val="center"/>
          </w:tcPr>
          <w:p w:rsidR="006B0889" w:rsidRDefault="006B0889" w:rsidP="001F3D2C">
            <w:pPr>
              <w:spacing w:line="180" w:lineRule="exact"/>
              <w:contextualSpacing/>
              <w:jc w:val="left"/>
              <w:rPr>
                <w:color w:val="auto"/>
                <w:sz w:val="18"/>
              </w:rPr>
            </w:pPr>
            <w:r>
              <w:rPr>
                <w:color w:val="auto"/>
                <w:sz w:val="18"/>
              </w:rPr>
              <w:t>Left Shoulder Condition</w:t>
            </w:r>
          </w:p>
        </w:tc>
        <w:tc>
          <w:tcPr>
            <w:tcW w:w="810" w:type="dxa"/>
            <w:shd w:val="clear" w:color="auto" w:fill="FFFFFF"/>
            <w:vAlign w:val="center"/>
          </w:tcPr>
          <w:p w:rsidR="006B0889" w:rsidRDefault="006B0889" w:rsidP="001F3D2C">
            <w:pPr>
              <w:spacing w:line="180" w:lineRule="exact"/>
              <w:contextualSpacing/>
              <w:rPr>
                <w:color w:val="auto"/>
                <w:sz w:val="18"/>
              </w:rPr>
            </w:pPr>
            <w:r>
              <w:rPr>
                <w:color w:val="auto"/>
                <w:sz w:val="18"/>
              </w:rPr>
              <w:t>5201</w:t>
            </w:r>
          </w:p>
        </w:tc>
        <w:tc>
          <w:tcPr>
            <w:tcW w:w="810" w:type="dxa"/>
            <w:shd w:val="clear" w:color="auto" w:fill="FFFFFF"/>
            <w:vAlign w:val="center"/>
          </w:tcPr>
          <w:p w:rsidR="006B0889" w:rsidRDefault="006B0889" w:rsidP="001F3D2C">
            <w:pPr>
              <w:spacing w:line="180" w:lineRule="exact"/>
              <w:contextualSpacing/>
              <w:rPr>
                <w:color w:val="auto"/>
                <w:sz w:val="18"/>
              </w:rPr>
            </w:pPr>
            <w:r>
              <w:rPr>
                <w:color w:val="auto"/>
                <w:sz w:val="18"/>
              </w:rPr>
              <w:t>NSC</w:t>
            </w:r>
          </w:p>
        </w:tc>
        <w:tc>
          <w:tcPr>
            <w:tcW w:w="994" w:type="dxa"/>
            <w:shd w:val="clear" w:color="auto" w:fill="FFFFFF"/>
            <w:vAlign w:val="center"/>
          </w:tcPr>
          <w:p w:rsidR="006B0889" w:rsidRDefault="006B0889" w:rsidP="001F3D2C">
            <w:r w:rsidRPr="00E24542">
              <w:rPr>
                <w:color w:val="auto"/>
                <w:sz w:val="18"/>
              </w:rPr>
              <w:t>20060307</w:t>
            </w:r>
          </w:p>
        </w:tc>
      </w:tr>
      <w:tr w:rsidR="006B0889" w:rsidRPr="00F64312" w:rsidTr="00D92F2A">
        <w:trPr>
          <w:trHeight w:val="118"/>
          <w:jc w:val="center"/>
        </w:trPr>
        <w:tc>
          <w:tcPr>
            <w:tcW w:w="1895" w:type="dxa"/>
            <w:tcBorders>
              <w:right w:val="single" w:sz="4" w:space="0" w:color="auto"/>
            </w:tcBorders>
            <w:shd w:val="clear" w:color="auto" w:fill="FFFFFF"/>
            <w:vAlign w:val="center"/>
          </w:tcPr>
          <w:p w:rsidR="006B0889" w:rsidRDefault="006B0889" w:rsidP="001F3D2C">
            <w:pPr>
              <w:spacing w:line="180" w:lineRule="exact"/>
              <w:contextualSpacing/>
              <w:jc w:val="left"/>
              <w:rPr>
                <w:color w:val="auto"/>
                <w:sz w:val="18"/>
              </w:rPr>
            </w:pPr>
            <w:r>
              <w:rPr>
                <w:color w:val="auto"/>
                <w:sz w:val="18"/>
              </w:rPr>
              <w:t>Hypertriglyceridemia</w:t>
            </w:r>
          </w:p>
        </w:tc>
        <w:tc>
          <w:tcPr>
            <w:tcW w:w="1890" w:type="dxa"/>
            <w:gridSpan w:val="2"/>
            <w:tcBorders>
              <w:left w:val="single" w:sz="4" w:space="0" w:color="auto"/>
              <w:right w:val="thinThickThinSmallGap" w:sz="24" w:space="0" w:color="auto"/>
            </w:tcBorders>
            <w:shd w:val="clear" w:color="auto" w:fill="FFFFFF"/>
            <w:vAlign w:val="center"/>
          </w:tcPr>
          <w:p w:rsidR="006B0889" w:rsidRDefault="006B0889" w:rsidP="001F3D2C">
            <w:pPr>
              <w:spacing w:line="180" w:lineRule="exact"/>
              <w:rPr>
                <w:color w:val="auto"/>
                <w:sz w:val="18"/>
              </w:rPr>
            </w:pPr>
            <w:r>
              <w:rPr>
                <w:color w:val="auto"/>
                <w:sz w:val="18"/>
              </w:rPr>
              <w:t>Medically Acceptable</w:t>
            </w:r>
          </w:p>
        </w:tc>
        <w:tc>
          <w:tcPr>
            <w:tcW w:w="5584" w:type="dxa"/>
            <w:gridSpan w:val="4"/>
            <w:tcBorders>
              <w:left w:val="thinThickThinSmallGap" w:sz="24" w:space="0" w:color="auto"/>
            </w:tcBorders>
            <w:shd w:val="clear" w:color="auto" w:fill="FFFFFF"/>
            <w:vAlign w:val="center"/>
          </w:tcPr>
          <w:p w:rsidR="006B0889" w:rsidRPr="006F4BB6" w:rsidRDefault="006B0889" w:rsidP="001F3D2C">
            <w:pPr>
              <w:spacing w:line="180" w:lineRule="exact"/>
              <w:contextualSpacing/>
              <w:rPr>
                <w:color w:val="auto"/>
                <w:sz w:val="18"/>
              </w:rPr>
            </w:pPr>
            <w:r>
              <w:rPr>
                <w:color w:val="auto"/>
                <w:sz w:val="18"/>
              </w:rPr>
              <w:t>No VA Entry</w:t>
            </w:r>
          </w:p>
        </w:tc>
      </w:tr>
      <w:tr w:rsidR="006B0889" w:rsidRPr="00F64312" w:rsidTr="00D92F2A">
        <w:trPr>
          <w:trHeight w:val="118"/>
          <w:jc w:val="center"/>
        </w:trPr>
        <w:tc>
          <w:tcPr>
            <w:tcW w:w="3785" w:type="dxa"/>
            <w:gridSpan w:val="3"/>
            <w:vMerge w:val="restart"/>
            <w:tcBorders>
              <w:right w:val="thinThickThinSmallGap" w:sz="24" w:space="0" w:color="auto"/>
            </w:tcBorders>
            <w:shd w:val="clear" w:color="auto" w:fill="FFFFFF"/>
            <w:vAlign w:val="center"/>
          </w:tcPr>
          <w:p w:rsidR="006B0889" w:rsidRDefault="006B0889" w:rsidP="006B690F">
            <w:pPr>
              <w:spacing w:line="180" w:lineRule="exact"/>
              <w:contextualSpacing/>
              <w:rPr>
                <w:color w:val="auto"/>
                <w:sz w:val="18"/>
              </w:rPr>
            </w:pPr>
            <w:r w:rsidRPr="00F64312">
              <w:rPr>
                <w:rFonts w:cs="Calibri"/>
                <w:color w:val="auto"/>
                <w:sz w:val="18"/>
                <w:szCs w:val="18"/>
              </w:rPr>
              <w:t xml:space="preserve">↓No Additional </w:t>
            </w:r>
            <w:r>
              <w:rPr>
                <w:rFonts w:cs="Calibri"/>
                <w:color w:val="auto"/>
                <w:sz w:val="18"/>
                <w:szCs w:val="18"/>
              </w:rPr>
              <w:t xml:space="preserve"> </w:t>
            </w:r>
            <w:r w:rsidRPr="00F64312">
              <w:rPr>
                <w:rFonts w:cs="Calibri"/>
                <w:color w:val="auto"/>
                <w:sz w:val="18"/>
                <w:szCs w:val="18"/>
              </w:rPr>
              <w:t>MEB/PEB Entries↓</w:t>
            </w:r>
          </w:p>
        </w:tc>
        <w:tc>
          <w:tcPr>
            <w:tcW w:w="2970" w:type="dxa"/>
            <w:tcBorders>
              <w:left w:val="thinThickThinSmallGap" w:sz="24" w:space="0" w:color="auto"/>
            </w:tcBorders>
            <w:shd w:val="clear" w:color="auto" w:fill="FFFFFF"/>
            <w:vAlign w:val="center"/>
          </w:tcPr>
          <w:p w:rsidR="006B0889" w:rsidRDefault="006B0889" w:rsidP="001F3D2C">
            <w:pPr>
              <w:spacing w:line="180" w:lineRule="exact"/>
              <w:contextualSpacing/>
              <w:jc w:val="left"/>
              <w:rPr>
                <w:color w:val="auto"/>
                <w:sz w:val="18"/>
              </w:rPr>
            </w:pPr>
            <w:r>
              <w:rPr>
                <w:color w:val="auto"/>
                <w:sz w:val="18"/>
              </w:rPr>
              <w:t>Post Traumatic Stress Disorder</w:t>
            </w:r>
          </w:p>
        </w:tc>
        <w:tc>
          <w:tcPr>
            <w:tcW w:w="810" w:type="dxa"/>
            <w:shd w:val="clear" w:color="auto" w:fill="FFFFFF"/>
            <w:vAlign w:val="center"/>
          </w:tcPr>
          <w:p w:rsidR="006B0889" w:rsidRPr="00F64312" w:rsidRDefault="006B0889" w:rsidP="001F3D2C">
            <w:pPr>
              <w:spacing w:line="180" w:lineRule="exact"/>
              <w:contextualSpacing/>
              <w:rPr>
                <w:color w:val="auto"/>
                <w:sz w:val="18"/>
              </w:rPr>
            </w:pPr>
            <w:r>
              <w:rPr>
                <w:color w:val="auto"/>
                <w:sz w:val="18"/>
              </w:rPr>
              <w:t>9411</w:t>
            </w:r>
          </w:p>
        </w:tc>
        <w:tc>
          <w:tcPr>
            <w:tcW w:w="810" w:type="dxa"/>
            <w:shd w:val="clear" w:color="auto" w:fill="FFFFFF"/>
            <w:vAlign w:val="center"/>
          </w:tcPr>
          <w:p w:rsidR="006B0889" w:rsidRPr="00F64312" w:rsidRDefault="006B0889" w:rsidP="001F3D2C">
            <w:pPr>
              <w:spacing w:line="180" w:lineRule="exact"/>
              <w:contextualSpacing/>
              <w:rPr>
                <w:color w:val="auto"/>
                <w:sz w:val="18"/>
              </w:rPr>
            </w:pPr>
            <w:r>
              <w:rPr>
                <w:color w:val="auto"/>
                <w:sz w:val="18"/>
              </w:rPr>
              <w:t>30%***</w:t>
            </w:r>
          </w:p>
        </w:tc>
        <w:tc>
          <w:tcPr>
            <w:tcW w:w="994" w:type="dxa"/>
            <w:shd w:val="clear" w:color="auto" w:fill="FFFFFF"/>
            <w:vAlign w:val="center"/>
          </w:tcPr>
          <w:p w:rsidR="006B0889" w:rsidRPr="00F64312" w:rsidRDefault="006B0889" w:rsidP="001F3D2C">
            <w:pPr>
              <w:spacing w:line="180" w:lineRule="exact"/>
              <w:contextualSpacing/>
              <w:rPr>
                <w:color w:val="auto"/>
                <w:sz w:val="18"/>
                <w:highlight w:val="yellow"/>
              </w:rPr>
            </w:pPr>
            <w:r w:rsidRPr="006F4BB6">
              <w:rPr>
                <w:color w:val="auto"/>
                <w:sz w:val="18"/>
              </w:rPr>
              <w:t>20060223</w:t>
            </w:r>
          </w:p>
        </w:tc>
      </w:tr>
      <w:tr w:rsidR="006B0889" w:rsidRPr="00F64312" w:rsidTr="00D92F2A">
        <w:trPr>
          <w:trHeight w:val="172"/>
          <w:jc w:val="center"/>
        </w:trPr>
        <w:tc>
          <w:tcPr>
            <w:tcW w:w="3785" w:type="dxa"/>
            <w:gridSpan w:val="3"/>
            <w:vMerge/>
            <w:tcBorders>
              <w:right w:val="thinThickThinSmallGap" w:sz="24" w:space="0" w:color="auto"/>
            </w:tcBorders>
            <w:shd w:val="clear" w:color="auto" w:fill="FFFFFF"/>
            <w:vAlign w:val="center"/>
          </w:tcPr>
          <w:p w:rsidR="006B0889" w:rsidRPr="00F64312" w:rsidRDefault="006B0889" w:rsidP="006B690F">
            <w:pPr>
              <w:spacing w:line="180" w:lineRule="exact"/>
              <w:contextualSpacing/>
              <w:rPr>
                <w:rFonts w:cs="Calibri"/>
                <w:color w:val="auto"/>
                <w:sz w:val="18"/>
              </w:rPr>
            </w:pPr>
          </w:p>
        </w:tc>
        <w:tc>
          <w:tcPr>
            <w:tcW w:w="4590" w:type="dxa"/>
            <w:gridSpan w:val="3"/>
            <w:tcBorders>
              <w:left w:val="thinThickThinSmallGap" w:sz="24" w:space="0" w:color="auto"/>
            </w:tcBorders>
            <w:shd w:val="clear" w:color="auto" w:fill="FFFFFF"/>
            <w:vAlign w:val="center"/>
          </w:tcPr>
          <w:p w:rsidR="006B0889" w:rsidRPr="00F64312" w:rsidRDefault="006B0889" w:rsidP="001F3D2C">
            <w:pPr>
              <w:spacing w:line="180" w:lineRule="exact"/>
              <w:contextualSpacing/>
              <w:rPr>
                <w:rFonts w:cs="Calibri"/>
                <w:color w:val="auto"/>
                <w:sz w:val="18"/>
              </w:rPr>
            </w:pPr>
            <w:r w:rsidRPr="00F64312">
              <w:rPr>
                <w:color w:val="auto"/>
                <w:sz w:val="18"/>
              </w:rPr>
              <w:t xml:space="preserve">0% X </w:t>
            </w:r>
            <w:r>
              <w:rPr>
                <w:color w:val="auto"/>
                <w:sz w:val="18"/>
              </w:rPr>
              <w:t>2</w:t>
            </w:r>
            <w:r w:rsidRPr="00F64312">
              <w:rPr>
                <w:color w:val="auto"/>
                <w:sz w:val="18"/>
              </w:rPr>
              <w:t xml:space="preserve"> </w:t>
            </w:r>
            <w:r>
              <w:rPr>
                <w:color w:val="auto"/>
                <w:sz w:val="18"/>
              </w:rPr>
              <w:t>/ Not Service-</w:t>
            </w:r>
            <w:r w:rsidRPr="00F64312">
              <w:rPr>
                <w:color w:val="auto"/>
                <w:sz w:val="18"/>
              </w:rPr>
              <w:t xml:space="preserve">Connected x </w:t>
            </w:r>
            <w:r>
              <w:rPr>
                <w:color w:val="auto"/>
                <w:sz w:val="18"/>
              </w:rPr>
              <w:t>1 other</w:t>
            </w:r>
          </w:p>
        </w:tc>
        <w:tc>
          <w:tcPr>
            <w:tcW w:w="994" w:type="dxa"/>
            <w:shd w:val="clear" w:color="auto" w:fill="FFFFFF"/>
            <w:vAlign w:val="center"/>
          </w:tcPr>
          <w:p w:rsidR="006B0889" w:rsidRPr="00F64312" w:rsidRDefault="006B0889" w:rsidP="0017172C">
            <w:pPr>
              <w:spacing w:line="180" w:lineRule="exact"/>
              <w:contextualSpacing/>
              <w:rPr>
                <w:rFonts w:cs="Calibri"/>
                <w:color w:val="auto"/>
                <w:sz w:val="18"/>
              </w:rPr>
            </w:pPr>
            <w:r>
              <w:rPr>
                <w:rFonts w:cs="Calibri"/>
                <w:color w:val="auto"/>
                <w:sz w:val="18"/>
              </w:rPr>
              <w:t>20060307</w:t>
            </w:r>
          </w:p>
        </w:tc>
      </w:tr>
      <w:tr w:rsidR="006B0889" w:rsidRPr="00F64312" w:rsidTr="00D92F2A">
        <w:trPr>
          <w:trHeight w:val="124"/>
          <w:jc w:val="center"/>
        </w:trPr>
        <w:tc>
          <w:tcPr>
            <w:tcW w:w="3785" w:type="dxa"/>
            <w:gridSpan w:val="3"/>
            <w:tcBorders>
              <w:right w:val="thinThickThinSmallGap" w:sz="24" w:space="0" w:color="auto"/>
            </w:tcBorders>
            <w:shd w:val="clear" w:color="auto" w:fill="D9D9D9"/>
          </w:tcPr>
          <w:p w:rsidR="006B0889" w:rsidRPr="00F64312" w:rsidRDefault="006B0889" w:rsidP="00081E11">
            <w:pPr>
              <w:spacing w:line="180" w:lineRule="exact"/>
              <w:contextualSpacing/>
              <w:rPr>
                <w:rFonts w:cs="Calibri"/>
                <w:b/>
                <w:color w:val="auto"/>
                <w:sz w:val="18"/>
              </w:rPr>
            </w:pPr>
            <w:r w:rsidRPr="00F64312">
              <w:rPr>
                <w:b/>
                <w:color w:val="auto"/>
                <w:sz w:val="18"/>
              </w:rPr>
              <w:t xml:space="preserve">Combined:  </w:t>
            </w:r>
            <w:r>
              <w:rPr>
                <w:b/>
                <w:color w:val="auto"/>
                <w:sz w:val="18"/>
              </w:rPr>
              <w:t>20</w:t>
            </w:r>
            <w:r w:rsidRPr="00F64312">
              <w:rPr>
                <w:b/>
                <w:color w:val="auto"/>
                <w:sz w:val="18"/>
              </w:rPr>
              <w:t>%</w:t>
            </w:r>
          </w:p>
        </w:tc>
        <w:tc>
          <w:tcPr>
            <w:tcW w:w="5584" w:type="dxa"/>
            <w:gridSpan w:val="4"/>
            <w:tcBorders>
              <w:left w:val="thinThickThinSmallGap" w:sz="24" w:space="0" w:color="auto"/>
            </w:tcBorders>
            <w:shd w:val="clear" w:color="auto" w:fill="D9D9D9"/>
          </w:tcPr>
          <w:p w:rsidR="006B0889" w:rsidRPr="00F64312" w:rsidRDefault="006B0889" w:rsidP="006F4BB6">
            <w:pPr>
              <w:spacing w:line="180" w:lineRule="exact"/>
              <w:contextualSpacing/>
              <w:rPr>
                <w:rFonts w:cs="Calibri"/>
                <w:b/>
                <w:color w:val="auto"/>
                <w:sz w:val="18"/>
              </w:rPr>
            </w:pPr>
            <w:r w:rsidRPr="00F64312">
              <w:rPr>
                <w:b/>
                <w:color w:val="auto"/>
                <w:sz w:val="18"/>
              </w:rPr>
              <w:t xml:space="preserve">Combined:  </w:t>
            </w:r>
            <w:r>
              <w:rPr>
                <w:b/>
                <w:color w:val="auto"/>
                <w:sz w:val="18"/>
              </w:rPr>
              <w:t>50</w:t>
            </w:r>
            <w:r w:rsidRPr="00F64312">
              <w:rPr>
                <w:b/>
                <w:color w:val="auto"/>
                <w:sz w:val="18"/>
              </w:rPr>
              <w:t>%</w:t>
            </w:r>
            <w:r>
              <w:rPr>
                <w:b/>
                <w:color w:val="auto"/>
                <w:sz w:val="18"/>
              </w:rPr>
              <w:t>****</w:t>
            </w:r>
          </w:p>
        </w:tc>
      </w:tr>
    </w:tbl>
    <w:p w:rsidR="00E92FA1" w:rsidRDefault="00E92FA1" w:rsidP="00165C7B">
      <w:pPr>
        <w:pBdr>
          <w:bottom w:val="single" w:sz="12" w:space="1" w:color="auto"/>
        </w:pBdr>
        <w:tabs>
          <w:tab w:val="left" w:pos="288"/>
          <w:tab w:val="left" w:pos="4752"/>
        </w:tabs>
        <w:spacing w:line="180" w:lineRule="exact"/>
        <w:jc w:val="both"/>
        <w:rPr>
          <w:color w:val="auto"/>
          <w:sz w:val="18"/>
          <w:szCs w:val="18"/>
        </w:rPr>
      </w:pPr>
      <w:r>
        <w:rPr>
          <w:color w:val="auto"/>
          <w:sz w:val="18"/>
          <w:szCs w:val="18"/>
        </w:rPr>
        <w:t>*Increased to 40% effective 20101109, increased to 100% from 20110208, and then decreased to 40% effective 20110501.</w:t>
      </w:r>
    </w:p>
    <w:p w:rsidR="00E92FA1" w:rsidRDefault="00E92FA1" w:rsidP="00165C7B">
      <w:pPr>
        <w:pBdr>
          <w:bottom w:val="single" w:sz="12" w:space="1" w:color="auto"/>
        </w:pBdr>
        <w:tabs>
          <w:tab w:val="left" w:pos="288"/>
          <w:tab w:val="left" w:pos="4752"/>
        </w:tabs>
        <w:spacing w:line="180" w:lineRule="exact"/>
        <w:jc w:val="both"/>
        <w:rPr>
          <w:color w:val="auto"/>
          <w:sz w:val="18"/>
          <w:szCs w:val="18"/>
        </w:rPr>
      </w:pPr>
      <w:r>
        <w:rPr>
          <w:color w:val="auto"/>
          <w:sz w:val="18"/>
          <w:szCs w:val="18"/>
        </w:rPr>
        <w:t>*</w:t>
      </w:r>
      <w:r w:rsidR="00F90376" w:rsidRPr="00F64312">
        <w:rPr>
          <w:color w:val="auto"/>
          <w:sz w:val="18"/>
          <w:szCs w:val="18"/>
        </w:rPr>
        <w:t>*</w:t>
      </w:r>
      <w:r>
        <w:rPr>
          <w:color w:val="auto"/>
          <w:sz w:val="18"/>
          <w:szCs w:val="18"/>
        </w:rPr>
        <w:t>Increased to 20% effective 20101109.</w:t>
      </w:r>
    </w:p>
    <w:p w:rsidR="00F90376" w:rsidRDefault="00E92FA1" w:rsidP="00165C7B">
      <w:pPr>
        <w:pBdr>
          <w:bottom w:val="single" w:sz="12" w:space="1" w:color="auto"/>
        </w:pBdr>
        <w:tabs>
          <w:tab w:val="left" w:pos="288"/>
          <w:tab w:val="left" w:pos="4752"/>
        </w:tabs>
        <w:spacing w:line="180" w:lineRule="exact"/>
        <w:jc w:val="both"/>
        <w:rPr>
          <w:color w:val="auto"/>
          <w:sz w:val="18"/>
          <w:szCs w:val="18"/>
        </w:rPr>
      </w:pPr>
      <w:r>
        <w:rPr>
          <w:color w:val="auto"/>
          <w:sz w:val="18"/>
          <w:szCs w:val="18"/>
        </w:rPr>
        <w:t>***Increased to 70% effective 20101202.</w:t>
      </w:r>
    </w:p>
    <w:p w:rsidR="00E92FA1" w:rsidRPr="00F64312" w:rsidRDefault="005D1A06" w:rsidP="00165C7B">
      <w:pPr>
        <w:pBdr>
          <w:bottom w:val="single" w:sz="12" w:space="1" w:color="auto"/>
        </w:pBdr>
        <w:tabs>
          <w:tab w:val="left" w:pos="288"/>
          <w:tab w:val="left" w:pos="4752"/>
        </w:tabs>
        <w:spacing w:line="180" w:lineRule="exact"/>
        <w:jc w:val="both"/>
        <w:rPr>
          <w:color w:val="auto"/>
          <w:sz w:val="18"/>
          <w:szCs w:val="18"/>
        </w:rPr>
      </w:pPr>
      <w:r>
        <w:rPr>
          <w:color w:val="auto"/>
          <w:sz w:val="18"/>
          <w:szCs w:val="18"/>
        </w:rPr>
        <w:t>****Increased to 80%</w:t>
      </w:r>
      <w:r w:rsidR="00E92FA1">
        <w:rPr>
          <w:color w:val="auto"/>
          <w:sz w:val="18"/>
          <w:szCs w:val="18"/>
        </w:rPr>
        <w:t xml:space="preserve"> effective 20101109 with above increases and addition of 8100 Post Traumatic Headache at 30% and 8045 Mild Traumatic Brain Injury at 10%. Also increased to 100% effective 20110208 and then decreased to 90% effective 20110501 with changes in ratings for 5243-5237.</w:t>
      </w:r>
    </w:p>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7F4CE5" w:rsidRPr="00F64312" w:rsidRDefault="00AD2379" w:rsidP="007F4CE5">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7F4CE5" w:rsidRPr="009A376C">
        <w:rPr>
          <w:color w:val="auto"/>
        </w:rPr>
        <w:t xml:space="preserve">The </w:t>
      </w:r>
      <w:r w:rsidR="007F4CE5" w:rsidRPr="00310105">
        <w:rPr>
          <w:color w:val="auto"/>
        </w:rPr>
        <w:t>Board acknowledges the sentiment expressed in the CI’s application, i.e., that the gravity of his condition and predictable consequences merit consideration for a higher separation rating.  The Board also acknowledges the CI’s contention that suggests ratings should have been conferred for other conditions documented at the time of separation.  The Board wishes to clarify that it is subject to the same laws for disability entitlements as those under which the Disability Evaluation System (DES) operates.  While the DES considers all of the member's medical conditions</w:t>
      </w:r>
      <w:r w:rsidR="007F4CE5" w:rsidRPr="00F15CF9">
        <w:rPr>
          <w:color w:val="auto"/>
        </w:rPr>
        <w:t xml:space="preserve">, compensation can only be offered for those medical conditions that cut short a member’s career, and then only to the degree of severity present at the time of final disposition. </w:t>
      </w:r>
      <w:r w:rsidR="007F4CE5">
        <w:rPr>
          <w:color w:val="auto"/>
        </w:rPr>
        <w:t xml:space="preserve"> </w:t>
      </w:r>
      <w:r w:rsidR="007F4CE5" w:rsidRPr="00F15CF9">
        <w:rPr>
          <w:color w:val="auto"/>
        </w:rPr>
        <w:t>However the Department of Veteran</w:t>
      </w:r>
      <w:r w:rsidR="0023554A">
        <w:rPr>
          <w:color w:val="auto"/>
        </w:rPr>
        <w:t>s’</w:t>
      </w:r>
      <w:r w:rsidR="007F4CE5" w:rsidRPr="00F15CF9">
        <w:rPr>
          <w:color w:val="auto"/>
        </w:rPr>
        <w:t xml:space="preserve"> Affairs (DVA), operating under a different set of laws (Title 38, United States Code), is empowered to compensate all service</w:t>
      </w:r>
      <w:r w:rsidR="0023554A">
        <w:rPr>
          <w:color w:val="auto"/>
        </w:rPr>
        <w:t>-</w:t>
      </w:r>
      <w:r w:rsidR="007F4CE5" w:rsidRPr="00F15CF9">
        <w:rPr>
          <w:color w:val="auto"/>
        </w:rPr>
        <w:t xml:space="preserve">connected conditions and to periodically reevaluate said conditions for the purpose of adjusting the </w:t>
      </w:r>
      <w:r w:rsidR="0023554A">
        <w:rPr>
          <w:color w:val="auto"/>
        </w:rPr>
        <w:t>V</w:t>
      </w:r>
      <w:r w:rsidR="007F4CE5" w:rsidRPr="00F15CF9">
        <w:rPr>
          <w:color w:val="auto"/>
        </w:rPr>
        <w:t xml:space="preserve">eteran’s disability rating should </w:t>
      </w:r>
      <w:r w:rsidR="00D81E13">
        <w:rPr>
          <w:color w:val="auto"/>
        </w:rPr>
        <w:t>the</w:t>
      </w:r>
      <w:r w:rsidR="007F4CE5" w:rsidRPr="00F15CF9">
        <w:rPr>
          <w:color w:val="auto"/>
        </w:rPr>
        <w:t xml:space="preserve"> degree of impairment vary over time.</w:t>
      </w:r>
      <w:r w:rsidR="007F4CE5">
        <w:rPr>
          <w:color w:val="auto"/>
        </w:rPr>
        <w:t xml:space="preserve">  </w:t>
      </w:r>
      <w:r w:rsidR="007F4CE5" w:rsidRPr="00F15CF9">
        <w:rPr>
          <w:color w:val="auto"/>
        </w:rPr>
        <w:t xml:space="preserve">The Board utilizes </w:t>
      </w:r>
      <w:r w:rsidR="0023554A">
        <w:rPr>
          <w:color w:val="auto"/>
        </w:rPr>
        <w:t>D</w:t>
      </w:r>
      <w:r w:rsidR="007F4CE5" w:rsidRPr="00F15CF9">
        <w:rPr>
          <w:color w:val="auto"/>
        </w:rPr>
        <w:t xml:space="preserve">VA evidence proximal to separation in arriving at its </w:t>
      </w:r>
      <w:r w:rsidR="007F4CE5" w:rsidRPr="00E5179D">
        <w:rPr>
          <w:color w:val="auto"/>
        </w:rPr>
        <w:t xml:space="preserve">recommendations; and, DoDI 6040.44 defines a 12-month interval for special consideration to post-separation evidence. </w:t>
      </w:r>
      <w:r w:rsidR="003564BA">
        <w:rPr>
          <w:color w:val="auto"/>
        </w:rPr>
        <w:t xml:space="preserve"> </w:t>
      </w:r>
      <w:r w:rsidR="007F4CE5" w:rsidRPr="00E5179D">
        <w:rPr>
          <w:color w:val="auto"/>
        </w:rPr>
        <w:t>The Board’s authority as defined in DoDI 6040.44, however, resides in evaluating the fairness of DES fitness determinations and rating decisions for disability at the time of separation and is limited to conditions adjudicated by the PEB as either unfitting or not unfitting.  Post-separation evidence</w:t>
      </w:r>
      <w:r w:rsidR="007F4CE5" w:rsidRPr="00F15CF9">
        <w:rPr>
          <w:color w:val="auto"/>
        </w:rPr>
        <w:t xml:space="preserve"> therefore is probative only to the extent that it reasonably reflects the disability and fitness implications at the time of separation.</w:t>
      </w:r>
    </w:p>
    <w:p w:rsidR="00AD2379" w:rsidRPr="00F64312" w:rsidRDefault="00AD2379" w:rsidP="00B22D42">
      <w:pPr>
        <w:jc w:val="both"/>
        <w:rPr>
          <w:color w:val="auto"/>
          <w:highlight w:val="yellow"/>
        </w:rPr>
      </w:pPr>
    </w:p>
    <w:p w:rsidR="00836B7B" w:rsidRDefault="00B8210A" w:rsidP="0069687C">
      <w:pPr>
        <w:jc w:val="both"/>
        <w:rPr>
          <w:color w:val="auto"/>
          <w:szCs w:val="24"/>
        </w:rPr>
      </w:pPr>
      <w:r w:rsidRPr="00B8210A">
        <w:rPr>
          <w:color w:val="auto"/>
          <w:u w:val="single"/>
        </w:rPr>
        <w:t>Chronic Low Back Pain with Left Leg Pain</w:t>
      </w:r>
      <w:r w:rsidR="00AD2379" w:rsidRPr="00B8210A">
        <w:rPr>
          <w:color w:val="auto"/>
          <w:u w:val="single"/>
        </w:rPr>
        <w:t xml:space="preserve"> Condition</w:t>
      </w:r>
      <w:r w:rsidR="00AD2379" w:rsidRPr="00B8210A">
        <w:rPr>
          <w:color w:val="auto"/>
        </w:rPr>
        <w:t>.</w:t>
      </w:r>
      <w:r w:rsidR="006A3F32">
        <w:rPr>
          <w:color w:val="auto"/>
        </w:rPr>
        <w:t xml:space="preserve">  </w:t>
      </w:r>
      <w:r w:rsidR="0069687C" w:rsidRPr="00F64312">
        <w:rPr>
          <w:color w:val="auto"/>
          <w:szCs w:val="24"/>
        </w:rPr>
        <w:t xml:space="preserve">There were </w:t>
      </w:r>
      <w:r w:rsidR="00D81E13">
        <w:rPr>
          <w:color w:val="auto"/>
          <w:szCs w:val="24"/>
        </w:rPr>
        <w:t>three</w:t>
      </w:r>
      <w:r w:rsidR="00001EFC">
        <w:rPr>
          <w:color w:val="auto"/>
          <w:szCs w:val="24"/>
        </w:rPr>
        <w:t xml:space="preserve"> goniometric range</w:t>
      </w:r>
      <w:r w:rsidR="0023554A">
        <w:rPr>
          <w:color w:val="auto"/>
          <w:szCs w:val="24"/>
        </w:rPr>
        <w:t>-</w:t>
      </w:r>
      <w:r w:rsidR="00001EFC">
        <w:rPr>
          <w:color w:val="auto"/>
          <w:szCs w:val="24"/>
        </w:rPr>
        <w:t>of</w:t>
      </w:r>
      <w:r w:rsidR="0023554A">
        <w:rPr>
          <w:color w:val="auto"/>
          <w:szCs w:val="24"/>
        </w:rPr>
        <w:t>-</w:t>
      </w:r>
      <w:r w:rsidR="0069687C" w:rsidRPr="00F64312">
        <w:rPr>
          <w:color w:val="auto"/>
          <w:szCs w:val="24"/>
        </w:rPr>
        <w:t>motion (ROM)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1607D0" w:rsidRPr="00F64312" w:rsidRDefault="001607D0" w:rsidP="0069687C">
      <w:pPr>
        <w:jc w:val="both"/>
        <w:rPr>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1965"/>
        <w:gridCol w:w="2160"/>
        <w:gridCol w:w="3167"/>
      </w:tblGrid>
      <w:tr w:rsidR="00B8210A" w:rsidRPr="00F64312" w:rsidTr="0009705D">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8210A" w:rsidRPr="00F64312" w:rsidRDefault="00B8210A" w:rsidP="000E56DA">
            <w:pPr>
              <w:pStyle w:val="ListParagraph"/>
              <w:spacing w:after="0" w:line="200" w:lineRule="exact"/>
              <w:ind w:left="0"/>
              <w:rPr>
                <w:rFonts w:asciiTheme="majorHAnsi" w:eastAsia="Calibri" w:hAnsiTheme="majorHAnsi" w:cstheme="majorHAnsi"/>
                <w:b/>
                <w:sz w:val="18"/>
                <w:szCs w:val="18"/>
              </w:rPr>
            </w:pPr>
            <w:r w:rsidRPr="00F64312">
              <w:rPr>
                <w:rFonts w:asciiTheme="majorHAnsi" w:eastAsia="Calibri" w:hAnsiTheme="majorHAnsi" w:cstheme="majorHAnsi"/>
                <w:sz w:val="18"/>
                <w:szCs w:val="18"/>
              </w:rPr>
              <w:t>Thoracolumbar ROM</w:t>
            </w:r>
          </w:p>
        </w:tc>
        <w:tc>
          <w:tcPr>
            <w:tcW w:w="196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B0889" w:rsidRDefault="006A3F32" w:rsidP="000E56D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NARSUM</w:t>
            </w:r>
            <w:r w:rsidR="00B8210A" w:rsidRPr="00F64312">
              <w:rPr>
                <w:rFonts w:asciiTheme="majorHAnsi" w:eastAsia="Calibri" w:hAnsiTheme="majorHAnsi" w:cstheme="majorHAnsi"/>
                <w:color w:val="auto"/>
                <w:sz w:val="18"/>
                <w:szCs w:val="18"/>
              </w:rPr>
              <w:t xml:space="preserve"> ~</w:t>
            </w:r>
            <w:r w:rsidR="00C31F83">
              <w:rPr>
                <w:rFonts w:asciiTheme="majorHAnsi" w:eastAsia="Calibri" w:hAnsiTheme="majorHAnsi" w:cstheme="majorHAnsi"/>
                <w:color w:val="auto"/>
                <w:sz w:val="18"/>
                <w:szCs w:val="18"/>
              </w:rPr>
              <w:t>5</w:t>
            </w:r>
            <w:r w:rsidR="006B0889">
              <w:rPr>
                <w:rFonts w:asciiTheme="majorHAnsi" w:eastAsia="Calibri" w:hAnsiTheme="majorHAnsi" w:cstheme="majorHAnsi"/>
                <w:color w:val="auto"/>
                <w:sz w:val="18"/>
                <w:szCs w:val="18"/>
              </w:rPr>
              <w:t xml:space="preserve"> Months</w:t>
            </w:r>
            <w:r w:rsidR="00B8210A" w:rsidRPr="00F64312">
              <w:rPr>
                <w:rFonts w:asciiTheme="majorHAnsi" w:eastAsia="Calibri" w:hAnsiTheme="majorHAnsi" w:cstheme="majorHAnsi"/>
                <w:color w:val="auto"/>
                <w:sz w:val="18"/>
                <w:szCs w:val="18"/>
              </w:rPr>
              <w:t xml:space="preserve"> </w:t>
            </w:r>
          </w:p>
          <w:p w:rsidR="00B8210A" w:rsidRPr="00F64312" w:rsidRDefault="00B8210A" w:rsidP="00310105">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Pre-Sep</w:t>
            </w:r>
            <w:r w:rsidR="006B0889">
              <w:rPr>
                <w:rFonts w:asciiTheme="majorHAnsi" w:eastAsia="Calibri" w:hAnsiTheme="majorHAnsi" w:cstheme="majorHAnsi"/>
                <w:color w:val="auto"/>
                <w:sz w:val="18"/>
                <w:szCs w:val="18"/>
              </w:rPr>
              <w:t>aration</w:t>
            </w:r>
          </w:p>
        </w:tc>
        <w:tc>
          <w:tcPr>
            <w:tcW w:w="216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B0889" w:rsidRDefault="002D580F" w:rsidP="000E56D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PT for P</w:t>
            </w:r>
            <w:r w:rsidR="00B8210A" w:rsidRPr="00F64312">
              <w:rPr>
                <w:rFonts w:asciiTheme="majorHAnsi" w:eastAsia="Calibri" w:hAnsiTheme="majorHAnsi" w:cstheme="majorHAnsi"/>
                <w:color w:val="auto"/>
                <w:sz w:val="18"/>
                <w:szCs w:val="18"/>
              </w:rPr>
              <w:t>EB ~</w:t>
            </w:r>
            <w:r w:rsidR="00C31F83">
              <w:rPr>
                <w:rFonts w:asciiTheme="majorHAnsi" w:eastAsia="Calibri" w:hAnsiTheme="majorHAnsi" w:cstheme="majorHAnsi"/>
                <w:color w:val="auto"/>
                <w:sz w:val="18"/>
                <w:szCs w:val="18"/>
              </w:rPr>
              <w:t>2</w:t>
            </w:r>
            <w:r w:rsidR="006B0889">
              <w:rPr>
                <w:rFonts w:asciiTheme="majorHAnsi" w:eastAsia="Calibri" w:hAnsiTheme="majorHAnsi" w:cstheme="majorHAnsi"/>
                <w:color w:val="auto"/>
                <w:sz w:val="18"/>
                <w:szCs w:val="18"/>
              </w:rPr>
              <w:t xml:space="preserve"> Months</w:t>
            </w:r>
          </w:p>
          <w:p w:rsidR="00B8210A" w:rsidRPr="00F64312" w:rsidRDefault="00B8210A" w:rsidP="00310105">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Pre-Sep</w:t>
            </w:r>
            <w:r w:rsidR="006B0889">
              <w:rPr>
                <w:rFonts w:asciiTheme="majorHAnsi" w:eastAsia="Calibri" w:hAnsiTheme="majorHAnsi" w:cstheme="majorHAnsi"/>
                <w:color w:val="auto"/>
                <w:sz w:val="18"/>
                <w:szCs w:val="18"/>
              </w:rPr>
              <w:t>aration</w:t>
            </w:r>
          </w:p>
        </w:tc>
        <w:tc>
          <w:tcPr>
            <w:tcW w:w="316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B0889" w:rsidRDefault="00B8210A" w:rsidP="000E56DA">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VA</w:t>
            </w:r>
            <w:r w:rsidRPr="00F64312">
              <w:rPr>
                <w:rFonts w:asciiTheme="majorHAnsi" w:eastAsiaTheme="minorHAnsi" w:hAnsiTheme="majorHAnsi" w:cstheme="majorHAnsi"/>
                <w:color w:val="auto"/>
                <w:sz w:val="18"/>
                <w:szCs w:val="18"/>
              </w:rPr>
              <w:t xml:space="preserve"> C&amp;P </w:t>
            </w:r>
            <w:r w:rsidRPr="00F64312">
              <w:rPr>
                <w:rFonts w:asciiTheme="majorHAnsi" w:eastAsia="Calibri" w:hAnsiTheme="majorHAnsi" w:cstheme="majorHAnsi"/>
                <w:color w:val="auto"/>
                <w:sz w:val="18"/>
                <w:szCs w:val="18"/>
              </w:rPr>
              <w:t>~</w:t>
            </w:r>
            <w:r w:rsidR="00D63428">
              <w:rPr>
                <w:rFonts w:asciiTheme="majorHAnsi" w:eastAsia="Calibri" w:hAnsiTheme="majorHAnsi" w:cstheme="majorHAnsi"/>
                <w:color w:val="auto"/>
                <w:sz w:val="18"/>
                <w:szCs w:val="18"/>
              </w:rPr>
              <w:t>9 Days</w:t>
            </w:r>
            <w:r w:rsidRPr="00F64312">
              <w:rPr>
                <w:rFonts w:asciiTheme="majorHAnsi" w:eastAsia="Calibri" w:hAnsiTheme="majorHAnsi" w:cstheme="majorHAnsi"/>
                <w:color w:val="auto"/>
                <w:sz w:val="18"/>
                <w:szCs w:val="18"/>
              </w:rPr>
              <w:t xml:space="preserve"> </w:t>
            </w:r>
          </w:p>
          <w:p w:rsidR="00B8210A" w:rsidRPr="00310105" w:rsidRDefault="00B8210A" w:rsidP="00310105">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P</w:t>
            </w:r>
            <w:r w:rsidR="00D63428">
              <w:rPr>
                <w:rFonts w:asciiTheme="majorHAnsi" w:eastAsia="Calibri" w:hAnsiTheme="majorHAnsi" w:cstheme="majorHAnsi"/>
                <w:color w:val="auto"/>
                <w:sz w:val="18"/>
                <w:szCs w:val="18"/>
              </w:rPr>
              <w:t>re</w:t>
            </w:r>
            <w:r w:rsidRPr="00F64312">
              <w:rPr>
                <w:rFonts w:asciiTheme="majorHAnsi" w:eastAsia="Calibri" w:hAnsiTheme="majorHAnsi" w:cstheme="majorHAnsi"/>
                <w:color w:val="auto"/>
                <w:sz w:val="18"/>
                <w:szCs w:val="18"/>
              </w:rPr>
              <w:t>-Sep</w:t>
            </w:r>
            <w:r w:rsidR="006B0889">
              <w:rPr>
                <w:rFonts w:asciiTheme="majorHAnsi" w:eastAsia="Calibri" w:hAnsiTheme="majorHAnsi" w:cstheme="majorHAnsi"/>
                <w:color w:val="auto"/>
                <w:sz w:val="18"/>
                <w:szCs w:val="18"/>
              </w:rPr>
              <w:t>aration</w:t>
            </w:r>
          </w:p>
        </w:tc>
      </w:tr>
      <w:tr w:rsidR="00B8210A" w:rsidRPr="00F64312" w:rsidTr="0009705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8210A" w:rsidRPr="00F64312" w:rsidRDefault="00B8210A" w:rsidP="000E56DA">
            <w:pPr>
              <w:pStyle w:val="ListParagraph"/>
              <w:spacing w:after="0" w:line="200" w:lineRule="exact"/>
              <w:ind w:left="0"/>
              <w:rPr>
                <w:rFonts w:asciiTheme="majorHAnsi" w:eastAsia="Calibri" w:hAnsiTheme="majorHAnsi" w:cstheme="majorHAnsi"/>
                <w:sz w:val="18"/>
                <w:szCs w:val="18"/>
              </w:rPr>
            </w:pPr>
            <w:r w:rsidRPr="00F64312">
              <w:rPr>
                <w:rFonts w:asciiTheme="majorHAnsi" w:hAnsiTheme="majorHAnsi" w:cstheme="majorHAnsi"/>
                <w:sz w:val="18"/>
                <w:szCs w:val="18"/>
              </w:rPr>
              <w:t>Flexion (90⁰ Normal)</w:t>
            </w:r>
          </w:p>
        </w:tc>
        <w:tc>
          <w:tcPr>
            <w:tcW w:w="1965" w:type="dxa"/>
            <w:tcBorders>
              <w:top w:val="single" w:sz="4" w:space="0" w:color="000000"/>
              <w:left w:val="single" w:sz="4" w:space="0" w:color="000000"/>
              <w:bottom w:val="single" w:sz="4" w:space="0" w:color="000000"/>
              <w:right w:val="single" w:sz="4" w:space="0" w:color="000000"/>
            </w:tcBorders>
            <w:vAlign w:val="center"/>
          </w:tcPr>
          <w:p w:rsidR="00B8210A" w:rsidRPr="00310105" w:rsidRDefault="00C31F83" w:rsidP="000E56DA">
            <w:pPr>
              <w:spacing w:line="200" w:lineRule="exact"/>
              <w:contextualSpacing/>
              <w:rPr>
                <w:rFonts w:asciiTheme="majorHAnsi" w:eastAsia="Calibri" w:hAnsiTheme="majorHAnsi" w:cstheme="majorHAnsi"/>
                <w:color w:val="auto"/>
                <w:sz w:val="18"/>
                <w:szCs w:val="18"/>
              </w:rPr>
            </w:pPr>
            <w:r w:rsidRPr="00310105">
              <w:rPr>
                <w:rFonts w:asciiTheme="majorHAnsi" w:eastAsia="Calibri" w:hAnsiTheme="majorHAnsi" w:cstheme="majorHAnsi"/>
                <w:color w:val="auto"/>
                <w:sz w:val="18"/>
                <w:szCs w:val="18"/>
              </w:rPr>
              <w:t>60</w:t>
            </w:r>
            <w:r w:rsidR="00B8210A" w:rsidRPr="00310105">
              <w:rPr>
                <w:rFonts w:asciiTheme="majorHAnsi" w:eastAsia="Calibri" w:hAnsiTheme="majorHAnsi" w:cstheme="majorHAnsi"/>
                <w:color w:val="auto"/>
                <w:sz w:val="18"/>
                <w:szCs w:val="18"/>
              </w:rPr>
              <w:t>⁰</w:t>
            </w:r>
          </w:p>
        </w:tc>
        <w:tc>
          <w:tcPr>
            <w:tcW w:w="2160" w:type="dxa"/>
            <w:tcBorders>
              <w:top w:val="single" w:sz="4" w:space="0" w:color="000000"/>
              <w:left w:val="single" w:sz="4" w:space="0" w:color="000000"/>
              <w:bottom w:val="single" w:sz="4" w:space="0" w:color="000000"/>
              <w:right w:val="single" w:sz="4" w:space="0" w:color="000000"/>
            </w:tcBorders>
            <w:vAlign w:val="center"/>
          </w:tcPr>
          <w:p w:rsidR="00B8210A" w:rsidRPr="00D63428" w:rsidRDefault="009510DE" w:rsidP="00C31F83">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 (</w:t>
            </w:r>
            <w:r w:rsidR="00C31F83" w:rsidRPr="00D63428">
              <w:rPr>
                <w:rFonts w:asciiTheme="majorHAnsi" w:eastAsia="Calibri" w:hAnsiTheme="majorHAnsi" w:cstheme="majorHAnsi"/>
                <w:color w:val="auto"/>
                <w:sz w:val="18"/>
                <w:szCs w:val="18"/>
              </w:rPr>
              <w:t>30</w:t>
            </w:r>
            <w:r w:rsidR="00B8210A" w:rsidRPr="00D63428">
              <w:rPr>
                <w:rFonts w:asciiTheme="majorHAnsi" w:eastAsia="Calibri" w:hAnsiTheme="majorHAnsi" w:cstheme="majorHAnsi"/>
                <w:color w:val="auto"/>
                <w:sz w:val="18"/>
                <w:szCs w:val="18"/>
              </w:rPr>
              <w:t>⁰</w:t>
            </w:r>
            <w:r w:rsidR="00C31F83" w:rsidRPr="00D63428">
              <w:rPr>
                <w:rFonts w:asciiTheme="majorHAnsi" w:eastAsia="Calibri" w:hAnsiTheme="majorHAnsi" w:cstheme="majorHAnsi"/>
                <w:color w:val="auto"/>
                <w:sz w:val="18"/>
                <w:szCs w:val="18"/>
              </w:rPr>
              <w:t>/32⁰/32⁰</w:t>
            </w:r>
            <w:r>
              <w:rPr>
                <w:rFonts w:asciiTheme="majorHAnsi" w:eastAsia="Calibri" w:hAnsiTheme="majorHAnsi" w:cstheme="majorHAnsi"/>
                <w:color w:val="auto"/>
                <w:sz w:val="18"/>
                <w:szCs w:val="18"/>
              </w:rPr>
              <w:t>)</w:t>
            </w:r>
          </w:p>
        </w:tc>
        <w:tc>
          <w:tcPr>
            <w:tcW w:w="3167" w:type="dxa"/>
            <w:tcBorders>
              <w:top w:val="single" w:sz="4" w:space="0" w:color="000000"/>
              <w:left w:val="single" w:sz="4" w:space="0" w:color="000000"/>
              <w:bottom w:val="single" w:sz="4" w:space="0" w:color="000000"/>
              <w:right w:val="single" w:sz="4" w:space="0" w:color="000000"/>
            </w:tcBorders>
            <w:vAlign w:val="center"/>
          </w:tcPr>
          <w:p w:rsidR="00B8210A" w:rsidRPr="00D63428" w:rsidRDefault="00D63428" w:rsidP="000E56DA">
            <w:pPr>
              <w:spacing w:line="200" w:lineRule="exact"/>
              <w:contextualSpacing/>
              <w:rPr>
                <w:rFonts w:asciiTheme="majorHAnsi" w:eastAsia="Calibri" w:hAnsiTheme="majorHAnsi" w:cstheme="majorHAnsi"/>
                <w:color w:val="auto"/>
                <w:sz w:val="18"/>
                <w:szCs w:val="18"/>
              </w:rPr>
            </w:pPr>
            <w:r w:rsidRPr="00D63428">
              <w:rPr>
                <w:rFonts w:asciiTheme="majorHAnsi" w:eastAsia="Calibri" w:hAnsiTheme="majorHAnsi" w:cstheme="majorHAnsi"/>
                <w:color w:val="auto"/>
                <w:sz w:val="18"/>
                <w:szCs w:val="18"/>
              </w:rPr>
              <w:t>70</w:t>
            </w:r>
            <w:r w:rsidR="00B8210A" w:rsidRPr="00D63428">
              <w:rPr>
                <w:rFonts w:asciiTheme="majorHAnsi" w:eastAsia="Calibri" w:hAnsiTheme="majorHAnsi" w:cstheme="majorHAnsi"/>
                <w:color w:val="auto"/>
                <w:sz w:val="18"/>
                <w:szCs w:val="18"/>
              </w:rPr>
              <w:t>⁰</w:t>
            </w:r>
            <w:r w:rsidR="009510DE">
              <w:rPr>
                <w:rFonts w:asciiTheme="majorHAnsi" w:eastAsia="Calibri" w:hAnsiTheme="majorHAnsi" w:cstheme="majorHAnsi"/>
                <w:color w:val="auto"/>
                <w:sz w:val="18"/>
                <w:szCs w:val="18"/>
              </w:rPr>
              <w:t xml:space="preserve"> (Pain at 55°)</w:t>
            </w:r>
          </w:p>
        </w:tc>
      </w:tr>
      <w:tr w:rsidR="00B8210A" w:rsidRPr="00F64312" w:rsidTr="0009705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8210A" w:rsidRPr="00C31F83" w:rsidRDefault="00B8210A" w:rsidP="000E56DA">
            <w:pPr>
              <w:pStyle w:val="ListParagraph"/>
              <w:spacing w:after="0" w:line="200" w:lineRule="exact"/>
              <w:ind w:left="0"/>
              <w:rPr>
                <w:rFonts w:asciiTheme="majorHAnsi" w:eastAsia="Calibri" w:hAnsiTheme="majorHAnsi" w:cstheme="majorHAnsi"/>
                <w:sz w:val="18"/>
                <w:szCs w:val="18"/>
              </w:rPr>
            </w:pPr>
            <w:r w:rsidRPr="00C31F83">
              <w:rPr>
                <w:rFonts w:asciiTheme="majorHAnsi" w:eastAsia="Calibri" w:hAnsiTheme="majorHAnsi" w:cstheme="majorHAnsi"/>
                <w:sz w:val="18"/>
                <w:szCs w:val="18"/>
              </w:rPr>
              <w:t>Ext (0-30)</w:t>
            </w:r>
          </w:p>
        </w:tc>
        <w:tc>
          <w:tcPr>
            <w:tcW w:w="1965" w:type="dxa"/>
            <w:tcBorders>
              <w:top w:val="single" w:sz="4" w:space="0" w:color="000000"/>
              <w:left w:val="single" w:sz="4" w:space="0" w:color="000000"/>
              <w:bottom w:val="single" w:sz="4" w:space="0" w:color="000000"/>
              <w:right w:val="single" w:sz="4" w:space="0" w:color="000000"/>
            </w:tcBorders>
            <w:vAlign w:val="center"/>
          </w:tcPr>
          <w:p w:rsidR="00B8210A" w:rsidRPr="00310105" w:rsidRDefault="00C31F83" w:rsidP="000E56DA">
            <w:pPr>
              <w:spacing w:line="200" w:lineRule="exact"/>
              <w:contextualSpacing/>
              <w:rPr>
                <w:rFonts w:asciiTheme="majorHAnsi" w:eastAsia="Calibri" w:hAnsiTheme="majorHAnsi" w:cstheme="majorHAnsi"/>
                <w:color w:val="auto"/>
                <w:sz w:val="18"/>
                <w:szCs w:val="18"/>
              </w:rPr>
            </w:pPr>
            <w:r w:rsidRPr="00310105">
              <w:rPr>
                <w:rFonts w:asciiTheme="majorHAnsi" w:eastAsia="Calibri" w:hAnsiTheme="majorHAnsi" w:cstheme="majorHAnsi"/>
                <w:color w:val="auto"/>
                <w:sz w:val="18"/>
                <w:szCs w:val="18"/>
              </w:rPr>
              <w:t>30</w:t>
            </w:r>
            <w:r w:rsidR="00B8210A" w:rsidRPr="00310105">
              <w:rPr>
                <w:rFonts w:asciiTheme="majorHAnsi" w:eastAsia="Calibri" w:hAnsiTheme="majorHAnsi" w:cstheme="majorHAnsi"/>
                <w:color w:val="auto"/>
                <w:sz w:val="18"/>
                <w:szCs w:val="18"/>
              </w:rPr>
              <w:t>⁰</w:t>
            </w:r>
          </w:p>
        </w:tc>
        <w:tc>
          <w:tcPr>
            <w:tcW w:w="2160" w:type="dxa"/>
            <w:tcBorders>
              <w:top w:val="single" w:sz="4" w:space="0" w:color="000000"/>
              <w:left w:val="single" w:sz="4" w:space="0" w:color="000000"/>
              <w:bottom w:val="single" w:sz="4" w:space="0" w:color="000000"/>
              <w:right w:val="single" w:sz="4" w:space="0" w:color="000000"/>
            </w:tcBorders>
            <w:vAlign w:val="center"/>
          </w:tcPr>
          <w:p w:rsidR="00B8210A" w:rsidRPr="00D63428" w:rsidRDefault="009510DE" w:rsidP="000E56D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20° (</w:t>
            </w:r>
            <w:r w:rsidR="00C31F83" w:rsidRPr="00D63428">
              <w:rPr>
                <w:rFonts w:asciiTheme="majorHAnsi" w:eastAsia="Calibri" w:hAnsiTheme="majorHAnsi" w:cstheme="majorHAnsi"/>
                <w:color w:val="auto"/>
                <w:sz w:val="18"/>
                <w:szCs w:val="18"/>
              </w:rPr>
              <w:t>18</w:t>
            </w:r>
            <w:r w:rsidR="00B8210A" w:rsidRPr="00D63428">
              <w:rPr>
                <w:rFonts w:asciiTheme="majorHAnsi" w:eastAsia="Calibri" w:hAnsiTheme="majorHAnsi" w:cstheme="majorHAnsi"/>
                <w:color w:val="auto"/>
                <w:sz w:val="18"/>
                <w:szCs w:val="18"/>
              </w:rPr>
              <w:t>⁰</w:t>
            </w:r>
            <w:r w:rsidR="00C31F83" w:rsidRPr="00D63428">
              <w:rPr>
                <w:rFonts w:asciiTheme="majorHAnsi" w:eastAsia="Calibri" w:hAnsiTheme="majorHAnsi" w:cstheme="majorHAnsi"/>
                <w:color w:val="auto"/>
                <w:sz w:val="18"/>
                <w:szCs w:val="18"/>
              </w:rPr>
              <w:t>/18⁰/18⁰</w:t>
            </w:r>
            <w:r>
              <w:rPr>
                <w:rFonts w:asciiTheme="majorHAnsi" w:eastAsia="Calibri" w:hAnsiTheme="majorHAnsi" w:cstheme="majorHAnsi"/>
                <w:color w:val="auto"/>
                <w:sz w:val="18"/>
                <w:szCs w:val="18"/>
              </w:rPr>
              <w:t>)</w:t>
            </w:r>
          </w:p>
        </w:tc>
        <w:tc>
          <w:tcPr>
            <w:tcW w:w="3167" w:type="dxa"/>
            <w:tcBorders>
              <w:top w:val="single" w:sz="4" w:space="0" w:color="000000"/>
              <w:left w:val="single" w:sz="4" w:space="0" w:color="000000"/>
              <w:bottom w:val="single" w:sz="4" w:space="0" w:color="000000"/>
              <w:right w:val="single" w:sz="4" w:space="0" w:color="000000"/>
            </w:tcBorders>
            <w:vAlign w:val="center"/>
          </w:tcPr>
          <w:p w:rsidR="00B8210A" w:rsidRPr="00D63428" w:rsidRDefault="00D63428" w:rsidP="000E56DA">
            <w:pPr>
              <w:spacing w:line="200" w:lineRule="exact"/>
              <w:contextualSpacing/>
              <w:rPr>
                <w:rFonts w:asciiTheme="majorHAnsi" w:eastAsia="Calibri" w:hAnsiTheme="majorHAnsi" w:cstheme="majorHAnsi"/>
                <w:color w:val="auto"/>
                <w:sz w:val="18"/>
                <w:szCs w:val="18"/>
              </w:rPr>
            </w:pPr>
            <w:r w:rsidRPr="00D63428">
              <w:rPr>
                <w:rFonts w:asciiTheme="majorHAnsi" w:eastAsia="Calibri" w:hAnsiTheme="majorHAnsi" w:cstheme="majorHAnsi"/>
                <w:color w:val="auto"/>
                <w:sz w:val="18"/>
                <w:szCs w:val="18"/>
              </w:rPr>
              <w:t>30</w:t>
            </w:r>
            <w:r w:rsidR="00B8210A" w:rsidRPr="00D63428">
              <w:rPr>
                <w:rFonts w:asciiTheme="majorHAnsi" w:eastAsia="Calibri" w:hAnsiTheme="majorHAnsi" w:cstheme="majorHAnsi"/>
                <w:color w:val="auto"/>
                <w:sz w:val="18"/>
                <w:szCs w:val="18"/>
              </w:rPr>
              <w:t>⁰</w:t>
            </w:r>
          </w:p>
        </w:tc>
      </w:tr>
      <w:tr w:rsidR="00B8210A" w:rsidRPr="00F64312" w:rsidTr="0009705D">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8210A" w:rsidRPr="00C31F83" w:rsidRDefault="00B8210A" w:rsidP="000E56DA">
            <w:pPr>
              <w:pStyle w:val="ListParagraph"/>
              <w:spacing w:after="0" w:line="200" w:lineRule="exact"/>
              <w:ind w:left="0"/>
              <w:rPr>
                <w:rFonts w:asciiTheme="majorHAnsi" w:eastAsia="Calibri" w:hAnsiTheme="majorHAnsi" w:cstheme="majorHAnsi"/>
                <w:sz w:val="18"/>
                <w:szCs w:val="18"/>
              </w:rPr>
            </w:pPr>
            <w:r w:rsidRPr="00C31F83">
              <w:rPr>
                <w:rFonts w:asciiTheme="majorHAnsi" w:eastAsia="Calibri" w:hAnsiTheme="majorHAnsi" w:cstheme="majorHAnsi"/>
                <w:sz w:val="18"/>
                <w:szCs w:val="18"/>
              </w:rPr>
              <w:t>R Lat Flex (0-30)</w:t>
            </w:r>
          </w:p>
        </w:tc>
        <w:tc>
          <w:tcPr>
            <w:tcW w:w="1965" w:type="dxa"/>
            <w:tcBorders>
              <w:top w:val="single" w:sz="4" w:space="0" w:color="000000"/>
              <w:left w:val="single" w:sz="4" w:space="0" w:color="000000"/>
              <w:bottom w:val="single" w:sz="4" w:space="0" w:color="000000"/>
              <w:right w:val="single" w:sz="4" w:space="0" w:color="000000"/>
            </w:tcBorders>
            <w:vAlign w:val="center"/>
          </w:tcPr>
          <w:p w:rsidR="00B8210A" w:rsidRPr="00310105" w:rsidRDefault="00C31F83" w:rsidP="000E56DA">
            <w:pPr>
              <w:spacing w:line="200" w:lineRule="exact"/>
              <w:contextualSpacing/>
              <w:rPr>
                <w:rFonts w:asciiTheme="majorHAnsi" w:eastAsia="Calibri" w:hAnsiTheme="majorHAnsi" w:cstheme="majorHAnsi"/>
                <w:color w:val="auto"/>
                <w:sz w:val="18"/>
                <w:szCs w:val="18"/>
              </w:rPr>
            </w:pPr>
            <w:r w:rsidRPr="00310105">
              <w:rPr>
                <w:rFonts w:asciiTheme="majorHAnsi" w:eastAsia="Calibri" w:hAnsiTheme="majorHAnsi" w:cstheme="majorHAnsi"/>
                <w:color w:val="auto"/>
                <w:sz w:val="18"/>
                <w:szCs w:val="18"/>
              </w:rPr>
              <w:t>30</w:t>
            </w:r>
            <w:r w:rsidR="00B8210A" w:rsidRPr="00310105">
              <w:rPr>
                <w:rFonts w:asciiTheme="majorHAnsi" w:eastAsia="Calibri" w:hAnsiTheme="majorHAnsi" w:cstheme="majorHAnsi"/>
                <w:color w:val="auto"/>
                <w:sz w:val="18"/>
                <w:szCs w:val="18"/>
              </w:rPr>
              <w:t>⁰</w:t>
            </w:r>
          </w:p>
        </w:tc>
        <w:tc>
          <w:tcPr>
            <w:tcW w:w="2160" w:type="dxa"/>
            <w:tcBorders>
              <w:top w:val="single" w:sz="4" w:space="0" w:color="000000"/>
              <w:left w:val="single" w:sz="4" w:space="0" w:color="000000"/>
              <w:bottom w:val="single" w:sz="4" w:space="0" w:color="000000"/>
              <w:right w:val="single" w:sz="4" w:space="0" w:color="000000"/>
            </w:tcBorders>
            <w:vAlign w:val="center"/>
          </w:tcPr>
          <w:p w:rsidR="00B8210A" w:rsidRPr="00D63428" w:rsidRDefault="009510DE" w:rsidP="00C31F83">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15° (</w:t>
            </w:r>
            <w:r w:rsidR="00C31F83" w:rsidRPr="00D63428">
              <w:rPr>
                <w:rFonts w:asciiTheme="majorHAnsi" w:eastAsia="Calibri" w:hAnsiTheme="majorHAnsi" w:cstheme="majorHAnsi"/>
                <w:color w:val="auto"/>
                <w:sz w:val="18"/>
                <w:szCs w:val="18"/>
              </w:rPr>
              <w:t>15</w:t>
            </w:r>
            <w:r w:rsidR="00B8210A" w:rsidRPr="00D63428">
              <w:rPr>
                <w:rFonts w:asciiTheme="majorHAnsi" w:eastAsia="Calibri" w:hAnsiTheme="majorHAnsi" w:cstheme="majorHAnsi"/>
                <w:color w:val="auto"/>
                <w:sz w:val="18"/>
                <w:szCs w:val="18"/>
              </w:rPr>
              <w:t>⁰</w:t>
            </w:r>
            <w:r w:rsidR="00C31F83" w:rsidRPr="00D63428">
              <w:rPr>
                <w:rFonts w:asciiTheme="majorHAnsi" w:eastAsia="Calibri" w:hAnsiTheme="majorHAnsi" w:cstheme="majorHAnsi"/>
                <w:color w:val="auto"/>
                <w:sz w:val="18"/>
                <w:szCs w:val="18"/>
              </w:rPr>
              <w:t>/17⁰/17⁰</w:t>
            </w:r>
            <w:r>
              <w:rPr>
                <w:rFonts w:asciiTheme="majorHAnsi" w:eastAsia="Calibri" w:hAnsiTheme="majorHAnsi" w:cstheme="majorHAnsi"/>
                <w:color w:val="auto"/>
                <w:sz w:val="18"/>
                <w:szCs w:val="18"/>
              </w:rPr>
              <w:t>)</w:t>
            </w:r>
          </w:p>
        </w:tc>
        <w:tc>
          <w:tcPr>
            <w:tcW w:w="3167" w:type="dxa"/>
            <w:tcBorders>
              <w:top w:val="single" w:sz="4" w:space="0" w:color="000000"/>
              <w:left w:val="single" w:sz="4" w:space="0" w:color="000000"/>
              <w:bottom w:val="single" w:sz="4" w:space="0" w:color="000000"/>
              <w:right w:val="single" w:sz="4" w:space="0" w:color="000000"/>
            </w:tcBorders>
            <w:vAlign w:val="center"/>
          </w:tcPr>
          <w:p w:rsidR="00B8210A" w:rsidRPr="00D63428" w:rsidRDefault="009510DE" w:rsidP="000E56D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25° (</w:t>
            </w:r>
            <w:r w:rsidR="00D63428" w:rsidRPr="00D63428">
              <w:rPr>
                <w:rFonts w:asciiTheme="majorHAnsi" w:eastAsia="Calibri" w:hAnsiTheme="majorHAnsi" w:cstheme="majorHAnsi"/>
                <w:color w:val="auto"/>
                <w:sz w:val="18"/>
                <w:szCs w:val="18"/>
              </w:rPr>
              <w:t>27</w:t>
            </w:r>
            <w:r w:rsidR="00B8210A" w:rsidRPr="00D63428">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w:t>
            </w:r>
          </w:p>
        </w:tc>
      </w:tr>
      <w:tr w:rsidR="00B8210A" w:rsidRPr="00F64312" w:rsidTr="0009705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8210A" w:rsidRPr="00C31F83" w:rsidRDefault="00B8210A" w:rsidP="000E56DA">
            <w:pPr>
              <w:pStyle w:val="ListParagraph"/>
              <w:spacing w:after="0" w:line="200" w:lineRule="exact"/>
              <w:ind w:left="0"/>
              <w:rPr>
                <w:rFonts w:asciiTheme="majorHAnsi" w:eastAsia="Calibri" w:hAnsiTheme="majorHAnsi" w:cstheme="majorHAnsi"/>
                <w:sz w:val="18"/>
                <w:szCs w:val="18"/>
              </w:rPr>
            </w:pPr>
            <w:r w:rsidRPr="00C31F83">
              <w:rPr>
                <w:rFonts w:asciiTheme="majorHAnsi" w:eastAsia="Calibri" w:hAnsiTheme="majorHAnsi" w:cstheme="majorHAnsi"/>
                <w:sz w:val="18"/>
                <w:szCs w:val="18"/>
              </w:rPr>
              <w:t>L Lat Flex 0-30)</w:t>
            </w:r>
          </w:p>
        </w:tc>
        <w:tc>
          <w:tcPr>
            <w:tcW w:w="1965" w:type="dxa"/>
            <w:tcBorders>
              <w:top w:val="single" w:sz="4" w:space="0" w:color="000000"/>
              <w:left w:val="single" w:sz="4" w:space="0" w:color="000000"/>
              <w:bottom w:val="single" w:sz="4" w:space="0" w:color="000000"/>
              <w:right w:val="single" w:sz="4" w:space="0" w:color="000000"/>
            </w:tcBorders>
            <w:vAlign w:val="center"/>
          </w:tcPr>
          <w:p w:rsidR="00B8210A" w:rsidRPr="00310105" w:rsidRDefault="00C31F83" w:rsidP="000E56DA">
            <w:pPr>
              <w:spacing w:line="200" w:lineRule="exact"/>
              <w:contextualSpacing/>
              <w:rPr>
                <w:rFonts w:asciiTheme="majorHAnsi" w:eastAsia="Calibri" w:hAnsiTheme="majorHAnsi" w:cstheme="majorHAnsi"/>
                <w:color w:val="auto"/>
                <w:sz w:val="18"/>
                <w:szCs w:val="18"/>
              </w:rPr>
            </w:pPr>
            <w:r w:rsidRPr="00310105">
              <w:rPr>
                <w:rFonts w:asciiTheme="majorHAnsi" w:eastAsia="Calibri" w:hAnsiTheme="majorHAnsi" w:cstheme="majorHAnsi"/>
                <w:color w:val="auto"/>
                <w:sz w:val="18"/>
                <w:szCs w:val="18"/>
              </w:rPr>
              <w:t>30</w:t>
            </w:r>
            <w:r w:rsidR="00B8210A" w:rsidRPr="00310105">
              <w:rPr>
                <w:rFonts w:asciiTheme="majorHAnsi" w:eastAsia="Calibri" w:hAnsiTheme="majorHAnsi" w:cstheme="majorHAnsi"/>
                <w:color w:val="auto"/>
                <w:sz w:val="18"/>
                <w:szCs w:val="18"/>
              </w:rPr>
              <w:t>⁰</w:t>
            </w:r>
          </w:p>
        </w:tc>
        <w:tc>
          <w:tcPr>
            <w:tcW w:w="2160" w:type="dxa"/>
            <w:tcBorders>
              <w:top w:val="single" w:sz="4" w:space="0" w:color="000000"/>
              <w:left w:val="single" w:sz="4" w:space="0" w:color="000000"/>
              <w:bottom w:val="single" w:sz="4" w:space="0" w:color="000000"/>
              <w:right w:val="single" w:sz="4" w:space="0" w:color="000000"/>
            </w:tcBorders>
            <w:vAlign w:val="center"/>
          </w:tcPr>
          <w:p w:rsidR="00B8210A" w:rsidRPr="00D63428" w:rsidRDefault="009510DE" w:rsidP="000E56D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15° or 20° (</w:t>
            </w:r>
            <w:r w:rsidR="00C31F83" w:rsidRPr="00D63428">
              <w:rPr>
                <w:rFonts w:asciiTheme="majorHAnsi" w:eastAsia="Calibri" w:hAnsiTheme="majorHAnsi" w:cstheme="majorHAnsi"/>
                <w:color w:val="auto"/>
                <w:sz w:val="18"/>
                <w:szCs w:val="18"/>
              </w:rPr>
              <w:t>14</w:t>
            </w:r>
            <w:r w:rsidR="00B8210A" w:rsidRPr="00D63428">
              <w:rPr>
                <w:rFonts w:asciiTheme="majorHAnsi" w:eastAsia="Calibri" w:hAnsiTheme="majorHAnsi" w:cstheme="majorHAnsi"/>
                <w:color w:val="auto"/>
                <w:sz w:val="18"/>
                <w:szCs w:val="18"/>
              </w:rPr>
              <w:t>⁰</w:t>
            </w:r>
            <w:r w:rsidR="00C31F83" w:rsidRPr="00D63428">
              <w:rPr>
                <w:rFonts w:asciiTheme="majorHAnsi" w:eastAsia="Calibri" w:hAnsiTheme="majorHAnsi" w:cstheme="majorHAnsi"/>
                <w:color w:val="auto"/>
                <w:sz w:val="18"/>
                <w:szCs w:val="18"/>
              </w:rPr>
              <w:t>/14⁰/18⁰</w:t>
            </w:r>
            <w:r>
              <w:rPr>
                <w:rFonts w:asciiTheme="majorHAnsi" w:eastAsia="Calibri" w:hAnsiTheme="majorHAnsi" w:cstheme="majorHAnsi"/>
                <w:color w:val="auto"/>
                <w:sz w:val="18"/>
                <w:szCs w:val="18"/>
              </w:rPr>
              <w:t>)</w:t>
            </w:r>
          </w:p>
        </w:tc>
        <w:tc>
          <w:tcPr>
            <w:tcW w:w="3167" w:type="dxa"/>
            <w:tcBorders>
              <w:top w:val="single" w:sz="4" w:space="0" w:color="000000"/>
              <w:left w:val="single" w:sz="4" w:space="0" w:color="000000"/>
              <w:bottom w:val="single" w:sz="4" w:space="0" w:color="000000"/>
              <w:right w:val="single" w:sz="4" w:space="0" w:color="000000"/>
            </w:tcBorders>
            <w:vAlign w:val="center"/>
          </w:tcPr>
          <w:p w:rsidR="00B8210A" w:rsidRPr="00D63428" w:rsidRDefault="00D63428" w:rsidP="000E56DA">
            <w:pPr>
              <w:spacing w:line="200" w:lineRule="exact"/>
              <w:contextualSpacing/>
              <w:rPr>
                <w:rFonts w:asciiTheme="majorHAnsi" w:eastAsia="Calibri" w:hAnsiTheme="majorHAnsi" w:cstheme="majorHAnsi"/>
                <w:color w:val="auto"/>
                <w:sz w:val="18"/>
                <w:szCs w:val="18"/>
              </w:rPr>
            </w:pPr>
            <w:r w:rsidRPr="00D63428">
              <w:rPr>
                <w:rFonts w:asciiTheme="majorHAnsi" w:eastAsia="Calibri" w:hAnsiTheme="majorHAnsi" w:cstheme="majorHAnsi"/>
                <w:color w:val="auto"/>
                <w:sz w:val="18"/>
                <w:szCs w:val="18"/>
              </w:rPr>
              <w:t>30</w:t>
            </w:r>
            <w:r w:rsidR="00B8210A" w:rsidRPr="00D63428">
              <w:rPr>
                <w:rFonts w:asciiTheme="majorHAnsi" w:eastAsia="Calibri" w:hAnsiTheme="majorHAnsi" w:cstheme="majorHAnsi"/>
                <w:color w:val="auto"/>
                <w:sz w:val="18"/>
                <w:szCs w:val="18"/>
              </w:rPr>
              <w:t>⁰</w:t>
            </w:r>
          </w:p>
        </w:tc>
      </w:tr>
      <w:tr w:rsidR="00B8210A" w:rsidRPr="00F64312" w:rsidTr="0009705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8210A" w:rsidRPr="00C31F83" w:rsidRDefault="00B8210A" w:rsidP="000E56DA">
            <w:pPr>
              <w:pStyle w:val="ListParagraph"/>
              <w:spacing w:after="0" w:line="200" w:lineRule="exact"/>
              <w:ind w:left="0"/>
              <w:rPr>
                <w:rFonts w:asciiTheme="majorHAnsi" w:eastAsia="Calibri" w:hAnsiTheme="majorHAnsi" w:cstheme="majorHAnsi"/>
                <w:sz w:val="18"/>
                <w:szCs w:val="18"/>
              </w:rPr>
            </w:pPr>
            <w:r w:rsidRPr="00C31F83">
              <w:rPr>
                <w:rFonts w:asciiTheme="majorHAnsi" w:eastAsia="Calibri" w:hAnsiTheme="majorHAnsi" w:cstheme="majorHAnsi"/>
                <w:sz w:val="18"/>
                <w:szCs w:val="18"/>
              </w:rPr>
              <w:t>R Rotation (0-30)</w:t>
            </w:r>
          </w:p>
        </w:tc>
        <w:tc>
          <w:tcPr>
            <w:tcW w:w="1965" w:type="dxa"/>
            <w:tcBorders>
              <w:top w:val="single" w:sz="4" w:space="0" w:color="000000"/>
              <w:left w:val="single" w:sz="4" w:space="0" w:color="000000"/>
              <w:bottom w:val="single" w:sz="4" w:space="0" w:color="000000"/>
              <w:right w:val="single" w:sz="4" w:space="0" w:color="000000"/>
            </w:tcBorders>
            <w:vAlign w:val="center"/>
          </w:tcPr>
          <w:p w:rsidR="00B8210A" w:rsidRPr="00310105" w:rsidRDefault="009510DE" w:rsidP="000E56DA">
            <w:pPr>
              <w:spacing w:line="200" w:lineRule="exact"/>
              <w:contextualSpacing/>
              <w:rPr>
                <w:rFonts w:asciiTheme="majorHAnsi" w:eastAsia="Calibri" w:hAnsiTheme="majorHAnsi" w:cstheme="majorHAnsi"/>
                <w:color w:val="auto"/>
                <w:sz w:val="18"/>
                <w:szCs w:val="18"/>
              </w:rPr>
            </w:pPr>
            <w:r w:rsidRPr="00310105">
              <w:rPr>
                <w:rFonts w:asciiTheme="majorHAnsi" w:eastAsia="Calibri" w:hAnsiTheme="majorHAnsi" w:cstheme="majorHAnsi"/>
                <w:color w:val="auto"/>
                <w:sz w:val="18"/>
                <w:szCs w:val="18"/>
              </w:rPr>
              <w:t>Not Measured</w:t>
            </w:r>
          </w:p>
        </w:tc>
        <w:tc>
          <w:tcPr>
            <w:tcW w:w="2160" w:type="dxa"/>
            <w:tcBorders>
              <w:top w:val="single" w:sz="4" w:space="0" w:color="000000"/>
              <w:left w:val="single" w:sz="4" w:space="0" w:color="000000"/>
              <w:bottom w:val="single" w:sz="4" w:space="0" w:color="000000"/>
              <w:right w:val="single" w:sz="4" w:space="0" w:color="000000"/>
            </w:tcBorders>
            <w:vAlign w:val="center"/>
          </w:tcPr>
          <w:p w:rsidR="00B8210A" w:rsidRPr="00D63428" w:rsidRDefault="009510DE" w:rsidP="000E56D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 (</w:t>
            </w:r>
            <w:r w:rsidR="00C31F83" w:rsidRPr="00D63428">
              <w:rPr>
                <w:rFonts w:asciiTheme="majorHAnsi" w:eastAsia="Calibri" w:hAnsiTheme="majorHAnsi" w:cstheme="majorHAnsi"/>
                <w:color w:val="auto"/>
                <w:sz w:val="18"/>
                <w:szCs w:val="18"/>
              </w:rPr>
              <w:t>50</w:t>
            </w:r>
            <w:r w:rsidR="00B8210A" w:rsidRPr="00D63428">
              <w:rPr>
                <w:rFonts w:asciiTheme="majorHAnsi" w:eastAsia="Calibri" w:hAnsiTheme="majorHAnsi" w:cstheme="majorHAnsi"/>
                <w:color w:val="auto"/>
                <w:sz w:val="18"/>
                <w:szCs w:val="18"/>
              </w:rPr>
              <w:t>⁰</w:t>
            </w:r>
            <w:r w:rsidR="00C31F83" w:rsidRPr="00D63428">
              <w:rPr>
                <w:rFonts w:asciiTheme="majorHAnsi" w:eastAsia="Calibri" w:hAnsiTheme="majorHAnsi" w:cstheme="majorHAnsi"/>
                <w:color w:val="auto"/>
                <w:sz w:val="18"/>
                <w:szCs w:val="18"/>
              </w:rPr>
              <w:t>/51⁰/51⁰</w:t>
            </w:r>
            <w:r>
              <w:rPr>
                <w:rFonts w:asciiTheme="majorHAnsi" w:eastAsia="Calibri" w:hAnsiTheme="majorHAnsi" w:cstheme="majorHAnsi"/>
                <w:color w:val="auto"/>
                <w:sz w:val="18"/>
                <w:szCs w:val="18"/>
              </w:rPr>
              <w:t>)</w:t>
            </w:r>
          </w:p>
        </w:tc>
        <w:tc>
          <w:tcPr>
            <w:tcW w:w="3167" w:type="dxa"/>
            <w:tcBorders>
              <w:top w:val="single" w:sz="4" w:space="0" w:color="000000"/>
              <w:left w:val="single" w:sz="4" w:space="0" w:color="000000"/>
              <w:bottom w:val="single" w:sz="4" w:space="0" w:color="000000"/>
              <w:right w:val="single" w:sz="4" w:space="0" w:color="000000"/>
            </w:tcBorders>
            <w:vAlign w:val="center"/>
          </w:tcPr>
          <w:p w:rsidR="00B8210A" w:rsidRPr="00D63428" w:rsidRDefault="009510DE" w:rsidP="000E56DA">
            <w:pPr>
              <w:spacing w:line="200" w:lineRule="exact"/>
              <w:contextualSpacing/>
              <w:rPr>
                <w:rFonts w:asciiTheme="majorHAnsi" w:eastAsia="Calibri" w:hAnsiTheme="majorHAnsi" w:cstheme="majorHAnsi"/>
                <w:color w:val="auto"/>
                <w:sz w:val="18"/>
                <w:szCs w:val="18"/>
              </w:rPr>
            </w:pPr>
            <w:r w:rsidRPr="00D63428">
              <w:rPr>
                <w:rFonts w:asciiTheme="majorHAnsi" w:eastAsia="Calibri" w:hAnsiTheme="majorHAnsi" w:cstheme="majorHAnsi"/>
                <w:color w:val="auto"/>
                <w:sz w:val="18"/>
                <w:szCs w:val="18"/>
              </w:rPr>
              <w:t>30⁰</w:t>
            </w:r>
            <w:r>
              <w:rPr>
                <w:rFonts w:asciiTheme="majorHAnsi" w:eastAsia="Calibri" w:hAnsiTheme="majorHAnsi" w:cstheme="majorHAnsi"/>
                <w:color w:val="auto"/>
                <w:sz w:val="18"/>
                <w:szCs w:val="18"/>
              </w:rPr>
              <w:t xml:space="preserve"> (</w:t>
            </w:r>
            <w:r w:rsidR="00D63428" w:rsidRPr="00D63428">
              <w:rPr>
                <w:rFonts w:asciiTheme="majorHAnsi" w:eastAsia="Calibri" w:hAnsiTheme="majorHAnsi" w:cstheme="majorHAnsi"/>
                <w:color w:val="auto"/>
                <w:sz w:val="18"/>
                <w:szCs w:val="18"/>
              </w:rPr>
              <w:t>45</w:t>
            </w:r>
            <w:r w:rsidR="00B8210A" w:rsidRPr="00D63428">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w:t>
            </w:r>
          </w:p>
        </w:tc>
      </w:tr>
      <w:tr w:rsidR="00B8210A" w:rsidRPr="00F64312" w:rsidTr="0009705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8210A" w:rsidRPr="00C31F83" w:rsidRDefault="00B8210A" w:rsidP="000E56DA">
            <w:pPr>
              <w:pStyle w:val="ListParagraph"/>
              <w:spacing w:after="0" w:line="200" w:lineRule="exact"/>
              <w:ind w:left="0"/>
              <w:rPr>
                <w:rFonts w:asciiTheme="majorHAnsi" w:eastAsia="Calibri" w:hAnsiTheme="majorHAnsi" w:cstheme="majorHAnsi"/>
                <w:sz w:val="18"/>
                <w:szCs w:val="18"/>
              </w:rPr>
            </w:pPr>
            <w:r w:rsidRPr="00C31F83">
              <w:rPr>
                <w:rFonts w:asciiTheme="majorHAnsi" w:eastAsia="Calibri" w:hAnsiTheme="majorHAnsi" w:cstheme="majorHAnsi"/>
                <w:sz w:val="18"/>
                <w:szCs w:val="18"/>
              </w:rPr>
              <w:t>L Rotation (0-30)</w:t>
            </w:r>
          </w:p>
        </w:tc>
        <w:tc>
          <w:tcPr>
            <w:tcW w:w="1965" w:type="dxa"/>
            <w:tcBorders>
              <w:top w:val="single" w:sz="4" w:space="0" w:color="000000"/>
              <w:left w:val="single" w:sz="4" w:space="0" w:color="000000"/>
              <w:bottom w:val="single" w:sz="4" w:space="0" w:color="000000"/>
              <w:right w:val="single" w:sz="4" w:space="0" w:color="000000"/>
            </w:tcBorders>
            <w:vAlign w:val="center"/>
          </w:tcPr>
          <w:p w:rsidR="00B8210A" w:rsidRPr="00310105" w:rsidRDefault="009510DE" w:rsidP="000E56DA">
            <w:pPr>
              <w:spacing w:line="200" w:lineRule="exact"/>
              <w:contextualSpacing/>
              <w:rPr>
                <w:rFonts w:asciiTheme="majorHAnsi" w:eastAsia="Calibri" w:hAnsiTheme="majorHAnsi" w:cstheme="majorHAnsi"/>
                <w:color w:val="auto"/>
                <w:sz w:val="18"/>
                <w:szCs w:val="18"/>
              </w:rPr>
            </w:pPr>
            <w:r w:rsidRPr="00310105">
              <w:rPr>
                <w:rFonts w:asciiTheme="majorHAnsi" w:eastAsia="Calibri" w:hAnsiTheme="majorHAnsi" w:cstheme="majorHAnsi"/>
                <w:color w:val="auto"/>
                <w:sz w:val="18"/>
                <w:szCs w:val="18"/>
              </w:rPr>
              <w:t>Not Measured</w:t>
            </w:r>
          </w:p>
        </w:tc>
        <w:tc>
          <w:tcPr>
            <w:tcW w:w="2160" w:type="dxa"/>
            <w:tcBorders>
              <w:top w:val="single" w:sz="4" w:space="0" w:color="000000"/>
              <w:left w:val="single" w:sz="4" w:space="0" w:color="000000"/>
              <w:bottom w:val="single" w:sz="4" w:space="0" w:color="000000"/>
              <w:right w:val="single" w:sz="4" w:space="0" w:color="000000"/>
            </w:tcBorders>
            <w:vAlign w:val="center"/>
          </w:tcPr>
          <w:p w:rsidR="00B8210A" w:rsidRPr="00D63428" w:rsidRDefault="009510DE" w:rsidP="000E56D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 (</w:t>
            </w:r>
            <w:r w:rsidR="00D63428" w:rsidRPr="00D63428">
              <w:rPr>
                <w:rFonts w:asciiTheme="majorHAnsi" w:eastAsia="Calibri" w:hAnsiTheme="majorHAnsi" w:cstheme="majorHAnsi"/>
                <w:color w:val="auto"/>
                <w:sz w:val="18"/>
                <w:szCs w:val="18"/>
              </w:rPr>
              <w:t>38</w:t>
            </w:r>
            <w:r w:rsidR="00B8210A" w:rsidRPr="00D63428">
              <w:rPr>
                <w:rFonts w:asciiTheme="majorHAnsi" w:eastAsia="Calibri" w:hAnsiTheme="majorHAnsi" w:cstheme="majorHAnsi"/>
                <w:color w:val="auto"/>
                <w:sz w:val="18"/>
                <w:szCs w:val="18"/>
              </w:rPr>
              <w:t>⁰</w:t>
            </w:r>
            <w:r w:rsidR="00D63428" w:rsidRPr="00D63428">
              <w:rPr>
                <w:rFonts w:asciiTheme="majorHAnsi" w:eastAsia="Calibri" w:hAnsiTheme="majorHAnsi" w:cstheme="majorHAnsi"/>
                <w:color w:val="auto"/>
                <w:sz w:val="18"/>
                <w:szCs w:val="18"/>
              </w:rPr>
              <w:t>/38⁰/38⁰</w:t>
            </w:r>
            <w:r>
              <w:rPr>
                <w:rFonts w:asciiTheme="majorHAnsi" w:eastAsia="Calibri" w:hAnsiTheme="majorHAnsi" w:cstheme="majorHAnsi"/>
                <w:color w:val="auto"/>
                <w:sz w:val="18"/>
                <w:szCs w:val="18"/>
              </w:rPr>
              <w:t>)</w:t>
            </w:r>
          </w:p>
        </w:tc>
        <w:tc>
          <w:tcPr>
            <w:tcW w:w="3167" w:type="dxa"/>
            <w:tcBorders>
              <w:top w:val="single" w:sz="4" w:space="0" w:color="000000"/>
              <w:left w:val="single" w:sz="4" w:space="0" w:color="000000"/>
              <w:bottom w:val="single" w:sz="4" w:space="0" w:color="000000"/>
              <w:right w:val="single" w:sz="4" w:space="0" w:color="000000"/>
            </w:tcBorders>
            <w:vAlign w:val="center"/>
          </w:tcPr>
          <w:p w:rsidR="00B8210A" w:rsidRPr="00D63428" w:rsidRDefault="009510DE" w:rsidP="000E56DA">
            <w:pPr>
              <w:spacing w:line="200" w:lineRule="exact"/>
              <w:contextualSpacing/>
              <w:rPr>
                <w:rFonts w:asciiTheme="majorHAnsi" w:eastAsia="Calibri" w:hAnsiTheme="majorHAnsi" w:cstheme="majorHAnsi"/>
                <w:color w:val="auto"/>
                <w:sz w:val="18"/>
                <w:szCs w:val="18"/>
              </w:rPr>
            </w:pPr>
            <w:r w:rsidRPr="00D63428">
              <w:rPr>
                <w:rFonts w:asciiTheme="majorHAnsi" w:eastAsia="Calibri" w:hAnsiTheme="majorHAnsi" w:cstheme="majorHAnsi"/>
                <w:color w:val="auto"/>
                <w:sz w:val="18"/>
                <w:szCs w:val="18"/>
              </w:rPr>
              <w:t>30⁰</w:t>
            </w:r>
            <w:r>
              <w:rPr>
                <w:rFonts w:asciiTheme="majorHAnsi" w:eastAsia="Calibri" w:hAnsiTheme="majorHAnsi" w:cstheme="majorHAnsi"/>
                <w:color w:val="auto"/>
                <w:sz w:val="18"/>
                <w:szCs w:val="18"/>
              </w:rPr>
              <w:t xml:space="preserve"> (</w:t>
            </w:r>
            <w:r w:rsidRPr="00D63428">
              <w:rPr>
                <w:rFonts w:asciiTheme="majorHAnsi" w:eastAsia="Calibri" w:hAnsiTheme="majorHAnsi" w:cstheme="majorHAnsi"/>
                <w:color w:val="auto"/>
                <w:sz w:val="18"/>
                <w:szCs w:val="18"/>
              </w:rPr>
              <w:t>45⁰</w:t>
            </w:r>
            <w:r>
              <w:rPr>
                <w:rFonts w:asciiTheme="majorHAnsi" w:eastAsia="Calibri" w:hAnsiTheme="majorHAnsi" w:cstheme="majorHAnsi"/>
                <w:color w:val="auto"/>
                <w:sz w:val="18"/>
                <w:szCs w:val="18"/>
              </w:rPr>
              <w:t>)</w:t>
            </w:r>
          </w:p>
        </w:tc>
      </w:tr>
      <w:tr w:rsidR="00B8210A" w:rsidRPr="00F64312" w:rsidTr="0009705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8210A" w:rsidRPr="00F64312" w:rsidRDefault="00B8210A" w:rsidP="000E56DA">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Combined (240⁰)</w:t>
            </w:r>
          </w:p>
        </w:tc>
        <w:tc>
          <w:tcPr>
            <w:tcW w:w="1965" w:type="dxa"/>
            <w:tcBorders>
              <w:top w:val="single" w:sz="4" w:space="0" w:color="000000"/>
              <w:left w:val="single" w:sz="4" w:space="0" w:color="000000"/>
              <w:bottom w:val="single" w:sz="4" w:space="0" w:color="000000"/>
              <w:right w:val="single" w:sz="4" w:space="0" w:color="000000"/>
            </w:tcBorders>
            <w:vAlign w:val="center"/>
          </w:tcPr>
          <w:p w:rsidR="00B8210A" w:rsidRPr="00310105" w:rsidRDefault="009510DE" w:rsidP="000E56DA">
            <w:pPr>
              <w:pStyle w:val="ListParagraph"/>
              <w:spacing w:after="0" w:line="200" w:lineRule="exact"/>
              <w:ind w:left="0"/>
              <w:rPr>
                <w:rFonts w:asciiTheme="majorHAnsi" w:eastAsia="Calibri" w:hAnsiTheme="majorHAnsi" w:cstheme="majorHAnsi"/>
                <w:sz w:val="18"/>
                <w:szCs w:val="18"/>
              </w:rPr>
            </w:pPr>
            <w:r w:rsidRPr="00310105">
              <w:rPr>
                <w:rFonts w:asciiTheme="majorHAnsi" w:eastAsia="Calibri" w:hAnsiTheme="majorHAnsi" w:cstheme="majorHAnsi"/>
                <w:sz w:val="18"/>
                <w:szCs w:val="18"/>
              </w:rPr>
              <w:t>NA</w:t>
            </w:r>
          </w:p>
        </w:tc>
        <w:tc>
          <w:tcPr>
            <w:tcW w:w="2160" w:type="dxa"/>
            <w:tcBorders>
              <w:top w:val="single" w:sz="4" w:space="0" w:color="000000"/>
              <w:left w:val="single" w:sz="4" w:space="0" w:color="000000"/>
              <w:bottom w:val="single" w:sz="4" w:space="0" w:color="000000"/>
              <w:right w:val="single" w:sz="4" w:space="0" w:color="000000"/>
            </w:tcBorders>
            <w:vAlign w:val="center"/>
          </w:tcPr>
          <w:p w:rsidR="00B8210A" w:rsidRPr="009510DE" w:rsidRDefault="009510DE" w:rsidP="000E56DA">
            <w:pPr>
              <w:spacing w:line="200" w:lineRule="exact"/>
              <w:rPr>
                <w:rFonts w:asciiTheme="majorHAnsi" w:hAnsiTheme="majorHAnsi" w:cstheme="majorHAnsi"/>
                <w:color w:val="auto"/>
                <w:sz w:val="18"/>
                <w:szCs w:val="18"/>
              </w:rPr>
            </w:pPr>
            <w:r w:rsidRPr="009510DE">
              <w:rPr>
                <w:rFonts w:asciiTheme="majorHAnsi" w:eastAsia="Calibri" w:hAnsiTheme="majorHAnsi" w:cstheme="majorHAnsi"/>
                <w:color w:val="auto"/>
                <w:sz w:val="18"/>
                <w:szCs w:val="18"/>
              </w:rPr>
              <w:t>140</w:t>
            </w:r>
            <w:r w:rsidR="00B8210A" w:rsidRPr="009510DE">
              <w:rPr>
                <w:rFonts w:asciiTheme="majorHAnsi" w:eastAsia="Calibri" w:hAnsiTheme="majorHAnsi" w:cstheme="majorHAnsi"/>
                <w:color w:val="auto"/>
                <w:sz w:val="18"/>
                <w:szCs w:val="18"/>
              </w:rPr>
              <w:t>⁰</w:t>
            </w:r>
            <w:r w:rsidRPr="009510DE">
              <w:rPr>
                <w:rFonts w:asciiTheme="majorHAnsi" w:eastAsia="Calibri" w:hAnsiTheme="majorHAnsi" w:cstheme="majorHAnsi"/>
                <w:color w:val="auto"/>
                <w:sz w:val="18"/>
                <w:szCs w:val="18"/>
              </w:rPr>
              <w:t xml:space="preserve"> (or 145°)</w:t>
            </w:r>
          </w:p>
        </w:tc>
        <w:tc>
          <w:tcPr>
            <w:tcW w:w="3167" w:type="dxa"/>
            <w:tcBorders>
              <w:top w:val="single" w:sz="4" w:space="0" w:color="000000"/>
              <w:left w:val="single" w:sz="4" w:space="0" w:color="000000"/>
              <w:bottom w:val="single" w:sz="4" w:space="0" w:color="000000"/>
              <w:right w:val="single" w:sz="4" w:space="0" w:color="000000"/>
            </w:tcBorders>
            <w:vAlign w:val="center"/>
          </w:tcPr>
          <w:p w:rsidR="00B8210A" w:rsidRPr="009510DE" w:rsidRDefault="009510DE" w:rsidP="000E56DA">
            <w:pPr>
              <w:spacing w:line="200" w:lineRule="exact"/>
              <w:rPr>
                <w:rFonts w:asciiTheme="majorHAnsi" w:hAnsiTheme="majorHAnsi" w:cstheme="majorHAnsi"/>
                <w:color w:val="auto"/>
                <w:sz w:val="18"/>
                <w:szCs w:val="18"/>
              </w:rPr>
            </w:pPr>
            <w:r>
              <w:rPr>
                <w:rFonts w:asciiTheme="majorHAnsi" w:eastAsia="Calibri" w:hAnsiTheme="majorHAnsi" w:cstheme="majorHAnsi"/>
                <w:color w:val="auto"/>
                <w:sz w:val="18"/>
                <w:szCs w:val="18"/>
              </w:rPr>
              <w:t>215</w:t>
            </w:r>
            <w:r w:rsidR="00B8210A" w:rsidRPr="009510DE">
              <w:rPr>
                <w:rFonts w:asciiTheme="majorHAnsi" w:eastAsia="Calibri" w:hAnsiTheme="majorHAnsi" w:cstheme="majorHAnsi"/>
                <w:color w:val="auto"/>
                <w:sz w:val="18"/>
                <w:szCs w:val="18"/>
              </w:rPr>
              <w:t>⁰</w:t>
            </w:r>
          </w:p>
        </w:tc>
      </w:tr>
      <w:tr w:rsidR="00B8210A" w:rsidRPr="00F64312" w:rsidTr="0009705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8210A" w:rsidRPr="00F64312" w:rsidRDefault="00B8210A" w:rsidP="000E56DA">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Comment</w:t>
            </w:r>
          </w:p>
        </w:tc>
        <w:tc>
          <w:tcPr>
            <w:tcW w:w="1965" w:type="dxa"/>
            <w:tcBorders>
              <w:top w:val="single" w:sz="4" w:space="0" w:color="000000"/>
              <w:left w:val="single" w:sz="4" w:space="0" w:color="000000"/>
              <w:bottom w:val="single" w:sz="4" w:space="0" w:color="000000"/>
              <w:right w:val="single" w:sz="4" w:space="0" w:color="000000"/>
            </w:tcBorders>
            <w:vAlign w:val="center"/>
          </w:tcPr>
          <w:p w:rsidR="00B8210A" w:rsidRPr="00310105" w:rsidRDefault="006A3F32" w:rsidP="00020958">
            <w:pPr>
              <w:pStyle w:val="ListParagraph"/>
              <w:spacing w:after="0" w:line="200" w:lineRule="exact"/>
              <w:ind w:left="0"/>
              <w:jc w:val="left"/>
              <w:rPr>
                <w:rFonts w:asciiTheme="majorHAnsi" w:eastAsia="Calibri" w:hAnsiTheme="majorHAnsi" w:cstheme="majorHAnsi"/>
                <w:sz w:val="18"/>
                <w:szCs w:val="18"/>
              </w:rPr>
            </w:pPr>
            <w:r w:rsidRPr="00310105">
              <w:rPr>
                <w:rFonts w:asciiTheme="majorHAnsi" w:eastAsia="Calibri" w:hAnsiTheme="majorHAnsi" w:cstheme="majorHAnsi"/>
                <w:sz w:val="18"/>
                <w:szCs w:val="18"/>
              </w:rPr>
              <w:t xml:space="preserve">Motor 5/5 bilateral </w:t>
            </w:r>
            <w:r w:rsidRPr="00310105">
              <w:rPr>
                <w:rFonts w:asciiTheme="majorHAnsi" w:eastAsia="Calibri" w:hAnsiTheme="majorHAnsi" w:cstheme="majorHAnsi"/>
                <w:sz w:val="18"/>
                <w:szCs w:val="18"/>
              </w:rPr>
              <w:lastRenderedPageBreak/>
              <w:t>lower extremities except gastrocsoleus is 4+/5 on left and 5/5 on right. Decreased sensation on lateral border of left foot. Reflexes 1+ and equal bilateral lower extremities.</w:t>
            </w:r>
          </w:p>
        </w:tc>
        <w:tc>
          <w:tcPr>
            <w:tcW w:w="2160" w:type="dxa"/>
            <w:tcBorders>
              <w:top w:val="single" w:sz="4" w:space="0" w:color="000000"/>
              <w:left w:val="single" w:sz="4" w:space="0" w:color="000000"/>
              <w:bottom w:val="single" w:sz="4" w:space="0" w:color="000000"/>
              <w:right w:val="single" w:sz="4" w:space="0" w:color="000000"/>
            </w:tcBorders>
            <w:vAlign w:val="center"/>
          </w:tcPr>
          <w:p w:rsidR="00B8210A" w:rsidRPr="00B67142" w:rsidRDefault="002D580F" w:rsidP="006A3F32">
            <w:pPr>
              <w:pStyle w:val="ListParagraph"/>
              <w:spacing w:after="0" w:line="200" w:lineRule="exact"/>
              <w:ind w:left="0"/>
              <w:jc w:val="left"/>
              <w:rPr>
                <w:rFonts w:asciiTheme="majorHAnsi" w:eastAsia="Calibri" w:hAnsiTheme="majorHAnsi" w:cstheme="majorHAnsi"/>
                <w:sz w:val="18"/>
                <w:szCs w:val="18"/>
              </w:rPr>
            </w:pPr>
            <w:r>
              <w:rPr>
                <w:rFonts w:asciiTheme="majorHAnsi" w:eastAsia="Calibri" w:hAnsiTheme="majorHAnsi" w:cstheme="majorHAnsi"/>
                <w:sz w:val="18"/>
                <w:szCs w:val="18"/>
              </w:rPr>
              <w:lastRenderedPageBreak/>
              <w:t xml:space="preserve">Active ROM measured </w:t>
            </w:r>
            <w:r>
              <w:rPr>
                <w:rFonts w:asciiTheme="majorHAnsi" w:eastAsia="Calibri" w:hAnsiTheme="majorHAnsi" w:cstheme="majorHAnsi"/>
                <w:sz w:val="18"/>
                <w:szCs w:val="18"/>
              </w:rPr>
              <w:lastRenderedPageBreak/>
              <w:t>with a goniometer and limited by pain.</w:t>
            </w:r>
          </w:p>
        </w:tc>
        <w:tc>
          <w:tcPr>
            <w:tcW w:w="3167" w:type="dxa"/>
            <w:tcBorders>
              <w:top w:val="single" w:sz="4" w:space="0" w:color="000000"/>
              <w:left w:val="single" w:sz="4" w:space="0" w:color="000000"/>
              <w:bottom w:val="single" w:sz="4" w:space="0" w:color="000000"/>
              <w:right w:val="single" w:sz="4" w:space="0" w:color="000000"/>
            </w:tcBorders>
            <w:vAlign w:val="center"/>
          </w:tcPr>
          <w:p w:rsidR="00B8210A" w:rsidRPr="00B67142" w:rsidRDefault="0009705D" w:rsidP="00BF5C29">
            <w:pPr>
              <w:pStyle w:val="ListParagraph"/>
              <w:spacing w:after="0" w:line="200" w:lineRule="exact"/>
              <w:ind w:left="0"/>
              <w:jc w:val="left"/>
              <w:rPr>
                <w:rFonts w:asciiTheme="majorHAnsi" w:eastAsia="Calibri" w:hAnsiTheme="majorHAnsi" w:cstheme="majorHAnsi"/>
                <w:sz w:val="18"/>
                <w:szCs w:val="18"/>
              </w:rPr>
            </w:pPr>
            <w:r>
              <w:rPr>
                <w:rFonts w:asciiTheme="majorHAnsi" w:eastAsia="Calibri" w:hAnsiTheme="majorHAnsi" w:cstheme="majorHAnsi"/>
                <w:sz w:val="18"/>
                <w:szCs w:val="18"/>
              </w:rPr>
              <w:lastRenderedPageBreak/>
              <w:t xml:space="preserve">Normal gait. </w:t>
            </w:r>
            <w:r w:rsidR="00BF5C29">
              <w:rPr>
                <w:rFonts w:asciiTheme="majorHAnsi" w:eastAsia="Calibri" w:hAnsiTheme="majorHAnsi" w:cstheme="majorHAnsi"/>
                <w:sz w:val="18"/>
                <w:szCs w:val="18"/>
              </w:rPr>
              <w:t>Tender throughout the L5-</w:t>
            </w:r>
            <w:r w:rsidR="00BF5C29">
              <w:rPr>
                <w:rFonts w:asciiTheme="majorHAnsi" w:eastAsia="Calibri" w:hAnsiTheme="majorHAnsi" w:cstheme="majorHAnsi"/>
                <w:sz w:val="18"/>
                <w:szCs w:val="18"/>
              </w:rPr>
              <w:lastRenderedPageBreak/>
              <w:t xml:space="preserve">S1 paravertebral area; well healed scar; no spasm; straight leg raise (Lasegue’s) negative; </w:t>
            </w:r>
            <w:r>
              <w:rPr>
                <w:rFonts w:asciiTheme="majorHAnsi" w:eastAsia="Calibri" w:hAnsiTheme="majorHAnsi" w:cstheme="majorHAnsi"/>
                <w:sz w:val="18"/>
                <w:szCs w:val="18"/>
              </w:rPr>
              <w:t xml:space="preserve">motor 5/5 bilaterally; reflexes 2+ knees, 1+ ankles; normal sensation throughout right and left lower extremities with vibration, position, and light touch; </w:t>
            </w:r>
            <w:r w:rsidR="00BF5C29">
              <w:rPr>
                <w:rFonts w:asciiTheme="majorHAnsi" w:eastAsia="Calibri" w:hAnsiTheme="majorHAnsi" w:cstheme="majorHAnsi"/>
                <w:sz w:val="18"/>
                <w:szCs w:val="18"/>
              </w:rPr>
              <w:t>some pain getting on and off the table;  He cooperated well and Waddell’s were negative.</w:t>
            </w:r>
          </w:p>
        </w:tc>
      </w:tr>
      <w:tr w:rsidR="00B8210A" w:rsidRPr="00F64312" w:rsidTr="0009705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8210A" w:rsidRPr="00F64312" w:rsidRDefault="00B8210A" w:rsidP="000E56DA">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lastRenderedPageBreak/>
              <w:t>§4.71a Rating</w:t>
            </w:r>
          </w:p>
        </w:tc>
        <w:tc>
          <w:tcPr>
            <w:tcW w:w="1965" w:type="dxa"/>
            <w:tcBorders>
              <w:top w:val="single" w:sz="4" w:space="0" w:color="000000"/>
              <w:left w:val="single" w:sz="4" w:space="0" w:color="000000"/>
              <w:bottom w:val="single" w:sz="4" w:space="0" w:color="000000"/>
              <w:right w:val="single" w:sz="4" w:space="0" w:color="000000"/>
            </w:tcBorders>
            <w:vAlign w:val="center"/>
          </w:tcPr>
          <w:p w:rsidR="00B8210A" w:rsidRPr="00B67142" w:rsidRDefault="00B67142" w:rsidP="000E56DA">
            <w:pPr>
              <w:pStyle w:val="ListParagraph"/>
              <w:spacing w:after="0" w:line="200" w:lineRule="exact"/>
              <w:ind w:left="0"/>
              <w:rPr>
                <w:rFonts w:asciiTheme="majorHAnsi" w:eastAsia="Calibri" w:hAnsiTheme="majorHAnsi" w:cstheme="majorHAnsi"/>
                <w:sz w:val="18"/>
                <w:szCs w:val="18"/>
              </w:rPr>
            </w:pPr>
            <w:r w:rsidRPr="00B67142">
              <w:rPr>
                <w:rFonts w:asciiTheme="majorHAnsi" w:eastAsia="Calibri" w:hAnsiTheme="majorHAnsi" w:cstheme="majorHAnsi"/>
                <w:sz w:val="18"/>
                <w:szCs w:val="18"/>
              </w:rPr>
              <w:t>20%</w:t>
            </w:r>
          </w:p>
        </w:tc>
        <w:tc>
          <w:tcPr>
            <w:tcW w:w="2160" w:type="dxa"/>
            <w:tcBorders>
              <w:top w:val="single" w:sz="4" w:space="0" w:color="000000"/>
              <w:left w:val="single" w:sz="4" w:space="0" w:color="000000"/>
              <w:bottom w:val="single" w:sz="4" w:space="0" w:color="000000"/>
              <w:right w:val="single" w:sz="4" w:space="0" w:color="000000"/>
            </w:tcBorders>
            <w:vAlign w:val="center"/>
          </w:tcPr>
          <w:p w:rsidR="00B8210A" w:rsidRPr="00B67142" w:rsidRDefault="00B67142" w:rsidP="000E56DA">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40%</w:t>
            </w:r>
          </w:p>
        </w:tc>
        <w:tc>
          <w:tcPr>
            <w:tcW w:w="3167" w:type="dxa"/>
            <w:tcBorders>
              <w:top w:val="single" w:sz="4" w:space="0" w:color="000000"/>
              <w:left w:val="single" w:sz="4" w:space="0" w:color="000000"/>
              <w:bottom w:val="single" w:sz="4" w:space="0" w:color="000000"/>
              <w:right w:val="single" w:sz="4" w:space="0" w:color="000000"/>
            </w:tcBorders>
            <w:vAlign w:val="center"/>
          </w:tcPr>
          <w:p w:rsidR="00B8210A" w:rsidRPr="00B67142" w:rsidRDefault="00B67142" w:rsidP="000E56DA">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10%</w:t>
            </w:r>
          </w:p>
        </w:tc>
      </w:tr>
    </w:tbl>
    <w:p w:rsidR="00B8210A" w:rsidRDefault="00B8210A" w:rsidP="0069687C">
      <w:pPr>
        <w:jc w:val="both"/>
        <w:rPr>
          <w:color w:val="auto"/>
          <w:szCs w:val="24"/>
        </w:rPr>
      </w:pPr>
    </w:p>
    <w:p w:rsidR="00D54414" w:rsidRDefault="00D54414" w:rsidP="0069687C">
      <w:pPr>
        <w:jc w:val="both"/>
        <w:rPr>
          <w:color w:val="auto"/>
          <w:szCs w:val="24"/>
        </w:rPr>
      </w:pPr>
      <w:r w:rsidRPr="003763EE">
        <w:rPr>
          <w:color w:val="auto"/>
          <w:szCs w:val="24"/>
        </w:rPr>
        <w:t xml:space="preserve">The CI did have a previous history of a significant back injury when he fell approximately </w:t>
      </w:r>
      <w:r w:rsidR="00D81E13">
        <w:rPr>
          <w:color w:val="auto"/>
          <w:szCs w:val="24"/>
        </w:rPr>
        <w:t>six</w:t>
      </w:r>
      <w:r w:rsidRPr="003763EE">
        <w:rPr>
          <w:color w:val="auto"/>
          <w:szCs w:val="24"/>
        </w:rPr>
        <w:t xml:space="preserve"> feet off a ladder in </w:t>
      </w:r>
      <w:r w:rsidR="003763EE" w:rsidRPr="003763EE">
        <w:rPr>
          <w:color w:val="auto"/>
          <w:szCs w:val="24"/>
        </w:rPr>
        <w:t xml:space="preserve">October </w:t>
      </w:r>
      <w:r w:rsidRPr="003763EE">
        <w:rPr>
          <w:color w:val="auto"/>
          <w:szCs w:val="24"/>
        </w:rPr>
        <w:t xml:space="preserve">2004. </w:t>
      </w:r>
      <w:r w:rsidR="007E26C4">
        <w:rPr>
          <w:color w:val="auto"/>
          <w:szCs w:val="24"/>
        </w:rPr>
        <w:t xml:space="preserve"> </w:t>
      </w:r>
      <w:r w:rsidR="0023554A">
        <w:rPr>
          <w:color w:val="auto"/>
          <w:szCs w:val="24"/>
        </w:rPr>
        <w:t>ROM</w:t>
      </w:r>
      <w:r w:rsidRPr="003763EE">
        <w:rPr>
          <w:color w:val="auto"/>
          <w:szCs w:val="24"/>
        </w:rPr>
        <w:t xml:space="preserve"> measurements were n</w:t>
      </w:r>
      <w:r w:rsidR="003763EE" w:rsidRPr="003763EE">
        <w:rPr>
          <w:color w:val="auto"/>
          <w:szCs w:val="24"/>
        </w:rPr>
        <w:t>ot</w:t>
      </w:r>
      <w:r w:rsidRPr="003763EE">
        <w:rPr>
          <w:color w:val="auto"/>
          <w:szCs w:val="24"/>
        </w:rPr>
        <w:t xml:space="preserve"> taken at the time, but flexion of the spine was noted to be restricted by pain. </w:t>
      </w:r>
      <w:r w:rsidR="007E26C4">
        <w:rPr>
          <w:color w:val="auto"/>
          <w:szCs w:val="24"/>
        </w:rPr>
        <w:t xml:space="preserve"> </w:t>
      </w:r>
      <w:r w:rsidRPr="003763EE">
        <w:rPr>
          <w:color w:val="auto"/>
          <w:szCs w:val="24"/>
        </w:rPr>
        <w:t xml:space="preserve">He was treated with physical therapy and </w:t>
      </w:r>
      <w:r w:rsidR="003763EE" w:rsidRPr="003763EE">
        <w:rPr>
          <w:color w:val="auto"/>
          <w:szCs w:val="24"/>
        </w:rPr>
        <w:t xml:space="preserve">although he </w:t>
      </w:r>
      <w:r w:rsidRPr="003763EE">
        <w:rPr>
          <w:color w:val="auto"/>
          <w:szCs w:val="24"/>
        </w:rPr>
        <w:t xml:space="preserve">achieved full ROM </w:t>
      </w:r>
      <w:r w:rsidR="003763EE" w:rsidRPr="003763EE">
        <w:rPr>
          <w:color w:val="auto"/>
          <w:szCs w:val="24"/>
        </w:rPr>
        <w:t xml:space="preserve">after approximately </w:t>
      </w:r>
      <w:r w:rsidR="0023554A">
        <w:rPr>
          <w:color w:val="auto"/>
          <w:szCs w:val="24"/>
        </w:rPr>
        <w:t>4</w:t>
      </w:r>
      <w:r w:rsidR="003763EE" w:rsidRPr="003763EE">
        <w:rPr>
          <w:color w:val="auto"/>
          <w:szCs w:val="24"/>
        </w:rPr>
        <w:t xml:space="preserve"> weeks his pain persisted at a significant level</w:t>
      </w:r>
      <w:r w:rsidR="00FA30D3">
        <w:rPr>
          <w:color w:val="auto"/>
          <w:szCs w:val="24"/>
        </w:rPr>
        <w:t xml:space="preserve"> and was not relieved with narcotic pain medication</w:t>
      </w:r>
      <w:r w:rsidR="003763EE" w:rsidRPr="003763EE">
        <w:rPr>
          <w:color w:val="auto"/>
          <w:szCs w:val="24"/>
        </w:rPr>
        <w:t xml:space="preserve">. </w:t>
      </w:r>
      <w:r w:rsidR="007E26C4">
        <w:rPr>
          <w:color w:val="auto"/>
          <w:szCs w:val="24"/>
        </w:rPr>
        <w:t xml:space="preserve"> </w:t>
      </w:r>
      <w:r w:rsidR="003763EE" w:rsidRPr="003763EE">
        <w:rPr>
          <w:color w:val="auto"/>
          <w:szCs w:val="24"/>
        </w:rPr>
        <w:t xml:space="preserve">A </w:t>
      </w:r>
      <w:r w:rsidR="0023554A">
        <w:rPr>
          <w:color w:val="auto"/>
          <w:szCs w:val="24"/>
        </w:rPr>
        <w:t>magnetic resonance imaging (</w:t>
      </w:r>
      <w:r w:rsidR="003763EE" w:rsidRPr="003763EE">
        <w:rPr>
          <w:color w:val="auto"/>
          <w:szCs w:val="24"/>
        </w:rPr>
        <w:t>MRI</w:t>
      </w:r>
      <w:r w:rsidR="0023554A">
        <w:rPr>
          <w:color w:val="auto"/>
          <w:szCs w:val="24"/>
        </w:rPr>
        <w:t>)</w:t>
      </w:r>
      <w:r w:rsidR="003763EE" w:rsidRPr="003763EE">
        <w:rPr>
          <w:color w:val="auto"/>
          <w:szCs w:val="24"/>
        </w:rPr>
        <w:t xml:space="preserve"> was </w:t>
      </w:r>
      <w:r w:rsidR="0023554A">
        <w:rPr>
          <w:color w:val="auto"/>
          <w:szCs w:val="24"/>
        </w:rPr>
        <w:t>performed</w:t>
      </w:r>
      <w:r w:rsidR="003763EE" w:rsidRPr="003763EE">
        <w:rPr>
          <w:color w:val="auto"/>
          <w:szCs w:val="24"/>
        </w:rPr>
        <w:t xml:space="preserve"> in December 2004 and i</w:t>
      </w:r>
      <w:r w:rsidR="007E26C4">
        <w:rPr>
          <w:color w:val="auto"/>
          <w:szCs w:val="24"/>
        </w:rPr>
        <w:t xml:space="preserve">t documented </w:t>
      </w:r>
      <w:r w:rsidR="00D044C0">
        <w:rPr>
          <w:color w:val="auto"/>
          <w:szCs w:val="24"/>
        </w:rPr>
        <w:t>moderate-</w:t>
      </w:r>
      <w:r w:rsidR="003763EE" w:rsidRPr="003763EE">
        <w:rPr>
          <w:color w:val="auto"/>
          <w:szCs w:val="24"/>
        </w:rPr>
        <w:t xml:space="preserve">sized disc herniation to the left of midline at the L5-S1 level that displaced the left S1 nerve root slightly posteriorly.  There was also a minimal disc bulge at the L1-L2 level and bilateral pars defects at the L5-S1 level without evidence of spondylolisthesis.  A December 2004 note documenting an appointment with the division </w:t>
      </w:r>
      <w:r w:rsidR="0023554A">
        <w:rPr>
          <w:color w:val="auto"/>
          <w:szCs w:val="24"/>
        </w:rPr>
        <w:t>p</w:t>
      </w:r>
      <w:r w:rsidR="003763EE" w:rsidRPr="003763EE">
        <w:rPr>
          <w:color w:val="auto"/>
          <w:szCs w:val="24"/>
        </w:rPr>
        <w:t xml:space="preserve">hysician </w:t>
      </w:r>
      <w:r w:rsidR="0023554A">
        <w:rPr>
          <w:color w:val="auto"/>
          <w:szCs w:val="24"/>
        </w:rPr>
        <w:t>a</w:t>
      </w:r>
      <w:r w:rsidR="003763EE" w:rsidRPr="003763EE">
        <w:rPr>
          <w:color w:val="auto"/>
          <w:szCs w:val="24"/>
        </w:rPr>
        <w:t>ssistant noted the herniated disc on MRI, complaints of bilateral lower extremity paresthesias radiating down to the toes</w:t>
      </w:r>
      <w:r w:rsidR="00D044C0">
        <w:rPr>
          <w:color w:val="auto"/>
          <w:szCs w:val="24"/>
        </w:rPr>
        <w:t>,</w:t>
      </w:r>
      <w:r w:rsidR="003763EE" w:rsidRPr="003763EE">
        <w:rPr>
          <w:color w:val="auto"/>
          <w:szCs w:val="24"/>
        </w:rPr>
        <w:t xml:space="preserve"> full ROM, a negative straight leg raise test, and normal motor strength.  The plan was for orthopedic consult, apparently to determine ability to deploy. There is no evidence in the record of such a visit and the CI did deploy.  </w:t>
      </w:r>
      <w:r w:rsidR="00FA30D3">
        <w:rPr>
          <w:color w:val="auto"/>
          <w:szCs w:val="24"/>
        </w:rPr>
        <w:t xml:space="preserve">While deployed, the CI suffered a second serious back injury in May 2005 that required surgical treatment in June 2005.  </w:t>
      </w:r>
      <w:r w:rsidR="002D580F" w:rsidRPr="003763EE">
        <w:rPr>
          <w:color w:val="auto"/>
          <w:szCs w:val="24"/>
        </w:rPr>
        <w:t>Although</w:t>
      </w:r>
      <w:r w:rsidR="002D580F">
        <w:rPr>
          <w:color w:val="auto"/>
          <w:szCs w:val="24"/>
        </w:rPr>
        <w:t xml:space="preserve"> the </w:t>
      </w:r>
      <w:r w:rsidR="002D580F" w:rsidRPr="00310105">
        <w:rPr>
          <w:color w:val="auto"/>
          <w:szCs w:val="24"/>
        </w:rPr>
        <w:t xml:space="preserve">MEB </w:t>
      </w:r>
      <w:r w:rsidR="0023554A">
        <w:rPr>
          <w:color w:val="auto"/>
          <w:szCs w:val="24"/>
        </w:rPr>
        <w:t>n</w:t>
      </w:r>
      <w:r w:rsidR="00754168" w:rsidRPr="00310105">
        <w:rPr>
          <w:color w:val="auto"/>
          <w:szCs w:val="24"/>
        </w:rPr>
        <w:t xml:space="preserve">arrative </w:t>
      </w:r>
      <w:r w:rsidR="0023554A">
        <w:rPr>
          <w:color w:val="auto"/>
          <w:szCs w:val="24"/>
        </w:rPr>
        <w:t>s</w:t>
      </w:r>
      <w:r w:rsidR="00754168" w:rsidRPr="00310105">
        <w:rPr>
          <w:color w:val="auto"/>
          <w:szCs w:val="24"/>
        </w:rPr>
        <w:t>ummary (</w:t>
      </w:r>
      <w:r w:rsidR="002D580F" w:rsidRPr="00310105">
        <w:rPr>
          <w:color w:val="auto"/>
          <w:szCs w:val="24"/>
        </w:rPr>
        <w:t>NARSUM</w:t>
      </w:r>
      <w:r w:rsidR="00754168" w:rsidRPr="00310105">
        <w:rPr>
          <w:color w:val="auto"/>
          <w:szCs w:val="24"/>
        </w:rPr>
        <w:t>)</w:t>
      </w:r>
      <w:r w:rsidR="002D580F" w:rsidRPr="00310105">
        <w:rPr>
          <w:color w:val="auto"/>
          <w:szCs w:val="24"/>
        </w:rPr>
        <w:t xml:space="preserve"> examination contained ROM measurements, no right or left rotation measurements were noted and it is not clear if a goniometer was used. </w:t>
      </w:r>
      <w:r w:rsidR="003564BA" w:rsidRPr="00310105">
        <w:rPr>
          <w:color w:val="auto"/>
          <w:szCs w:val="24"/>
        </w:rPr>
        <w:t xml:space="preserve"> </w:t>
      </w:r>
      <w:r w:rsidR="002D580F" w:rsidRPr="00310105">
        <w:rPr>
          <w:color w:val="auto"/>
          <w:szCs w:val="24"/>
        </w:rPr>
        <w:t xml:space="preserve">The disability case was returned from the PEB to the military treatment facility in December 2005 with instructions to obtain a complete set of cervical and thoracolumbar ROM measurements from a physical therapist using an inclinometer. </w:t>
      </w:r>
      <w:r w:rsidR="00D044C0">
        <w:rPr>
          <w:color w:val="auto"/>
          <w:szCs w:val="24"/>
        </w:rPr>
        <w:t xml:space="preserve"> </w:t>
      </w:r>
      <w:r w:rsidR="002D580F" w:rsidRPr="00310105">
        <w:rPr>
          <w:color w:val="auto"/>
          <w:szCs w:val="24"/>
        </w:rPr>
        <w:t xml:space="preserve">The </w:t>
      </w:r>
      <w:r w:rsidR="00D044C0">
        <w:rPr>
          <w:color w:val="auto"/>
          <w:szCs w:val="24"/>
        </w:rPr>
        <w:t xml:space="preserve">requested </w:t>
      </w:r>
      <w:proofErr w:type="spellStart"/>
      <w:r w:rsidR="002D580F" w:rsidRPr="00310105">
        <w:rPr>
          <w:color w:val="auto"/>
          <w:szCs w:val="24"/>
        </w:rPr>
        <w:t>thoracolumbar</w:t>
      </w:r>
      <w:proofErr w:type="spellEnd"/>
      <w:r w:rsidR="002D580F" w:rsidRPr="00310105">
        <w:rPr>
          <w:color w:val="auto"/>
          <w:szCs w:val="24"/>
        </w:rPr>
        <w:t xml:space="preserve"> ROM </w:t>
      </w:r>
      <w:r w:rsidR="004B791D" w:rsidRPr="00310105">
        <w:rPr>
          <w:color w:val="auto"/>
          <w:szCs w:val="24"/>
        </w:rPr>
        <w:t xml:space="preserve">measurements </w:t>
      </w:r>
      <w:r w:rsidR="004B791D">
        <w:rPr>
          <w:color w:val="auto"/>
          <w:szCs w:val="24"/>
        </w:rPr>
        <w:t xml:space="preserve">were performed on </w:t>
      </w:r>
      <w:r w:rsidR="002D580F" w:rsidRPr="00310105">
        <w:rPr>
          <w:color w:val="auto"/>
          <w:szCs w:val="24"/>
        </w:rPr>
        <w:t>10 January 2006 and are in the chart above.</w:t>
      </w:r>
      <w:r w:rsidR="00EC1B11" w:rsidRPr="00310105">
        <w:rPr>
          <w:color w:val="auto"/>
          <w:szCs w:val="24"/>
        </w:rPr>
        <w:t xml:space="preserve">  </w:t>
      </w:r>
      <w:r w:rsidR="00CE0545" w:rsidRPr="00310105">
        <w:rPr>
          <w:color w:val="auto"/>
          <w:szCs w:val="24"/>
        </w:rPr>
        <w:t xml:space="preserve">The MEB NARSUM ROM measurements obtained </w:t>
      </w:r>
      <w:r w:rsidR="004B791D">
        <w:rPr>
          <w:color w:val="auto"/>
          <w:szCs w:val="24"/>
        </w:rPr>
        <w:t>5</w:t>
      </w:r>
      <w:r w:rsidR="00CE0545" w:rsidRPr="00310105">
        <w:rPr>
          <w:color w:val="auto"/>
          <w:szCs w:val="24"/>
        </w:rPr>
        <w:t xml:space="preserve"> months </w:t>
      </w:r>
      <w:r w:rsidR="00D044C0">
        <w:rPr>
          <w:color w:val="auto"/>
          <w:szCs w:val="24"/>
        </w:rPr>
        <w:t xml:space="preserve">prior to </w:t>
      </w:r>
      <w:r w:rsidR="00CE0545" w:rsidRPr="00310105">
        <w:rPr>
          <w:color w:val="auto"/>
          <w:szCs w:val="24"/>
        </w:rPr>
        <w:t xml:space="preserve">separation support a disability rating of 20% based on thoracolumbar flexion not greater than 60 degrees and the </w:t>
      </w:r>
      <w:r w:rsidR="004B791D">
        <w:rPr>
          <w:color w:val="auto"/>
          <w:szCs w:val="24"/>
        </w:rPr>
        <w:t>p</w:t>
      </w:r>
      <w:r w:rsidR="00CE0545" w:rsidRPr="00310105">
        <w:rPr>
          <w:color w:val="auto"/>
          <w:szCs w:val="24"/>
        </w:rPr>
        <w:t xml:space="preserve">hysical </w:t>
      </w:r>
      <w:r w:rsidR="004B791D">
        <w:rPr>
          <w:color w:val="auto"/>
          <w:szCs w:val="24"/>
        </w:rPr>
        <w:t>t</w:t>
      </w:r>
      <w:r w:rsidR="00CE0545" w:rsidRPr="00310105">
        <w:rPr>
          <w:color w:val="auto"/>
          <w:szCs w:val="24"/>
        </w:rPr>
        <w:t xml:space="preserve">herapy ROM measurements obtained </w:t>
      </w:r>
      <w:r w:rsidR="004B791D">
        <w:rPr>
          <w:color w:val="auto"/>
          <w:szCs w:val="24"/>
        </w:rPr>
        <w:t>2</w:t>
      </w:r>
      <w:r w:rsidR="00CE0545" w:rsidRPr="00310105">
        <w:rPr>
          <w:color w:val="auto"/>
          <w:szCs w:val="24"/>
        </w:rPr>
        <w:t xml:space="preserve"> months </w:t>
      </w:r>
      <w:r w:rsidR="00D044C0">
        <w:rPr>
          <w:color w:val="auto"/>
          <w:szCs w:val="24"/>
        </w:rPr>
        <w:t xml:space="preserve">prior to </w:t>
      </w:r>
      <w:r w:rsidR="00CE0545" w:rsidRPr="00310105">
        <w:rPr>
          <w:color w:val="auto"/>
          <w:szCs w:val="24"/>
        </w:rPr>
        <w:t xml:space="preserve">separation support a 40% rating for thoracolumbar flexion of 30 degrees or less. </w:t>
      </w:r>
      <w:r w:rsidR="003564BA" w:rsidRPr="00310105">
        <w:rPr>
          <w:color w:val="auto"/>
          <w:szCs w:val="24"/>
        </w:rPr>
        <w:t xml:space="preserve"> </w:t>
      </w:r>
      <w:r w:rsidR="00CE0545" w:rsidRPr="00310105">
        <w:rPr>
          <w:color w:val="auto"/>
          <w:szCs w:val="24"/>
        </w:rPr>
        <w:t xml:space="preserve">The DA Form 199 noted the forward flexion of 60 degrees but assigned a 10% rating. </w:t>
      </w:r>
      <w:r w:rsidR="003564BA" w:rsidRPr="00310105">
        <w:rPr>
          <w:color w:val="auto"/>
          <w:szCs w:val="24"/>
        </w:rPr>
        <w:t xml:space="preserve"> </w:t>
      </w:r>
      <w:r w:rsidR="00CE0545" w:rsidRPr="00310105">
        <w:rPr>
          <w:color w:val="auto"/>
          <w:szCs w:val="24"/>
        </w:rPr>
        <w:t xml:space="preserve">The VA </w:t>
      </w:r>
      <w:r w:rsidR="004B791D">
        <w:rPr>
          <w:color w:val="auto"/>
          <w:szCs w:val="24"/>
        </w:rPr>
        <w:t>C</w:t>
      </w:r>
      <w:r w:rsidR="00EC1B11" w:rsidRPr="00310105">
        <w:rPr>
          <w:color w:val="auto"/>
          <w:szCs w:val="24"/>
        </w:rPr>
        <w:t xml:space="preserve">ompensation and </w:t>
      </w:r>
      <w:r w:rsidR="004B791D">
        <w:rPr>
          <w:color w:val="auto"/>
          <w:szCs w:val="24"/>
        </w:rPr>
        <w:t>P</w:t>
      </w:r>
      <w:r w:rsidR="00EC1B11" w:rsidRPr="00310105">
        <w:rPr>
          <w:color w:val="auto"/>
          <w:szCs w:val="24"/>
        </w:rPr>
        <w:t xml:space="preserve">ension (C&amp;P) </w:t>
      </w:r>
      <w:r w:rsidR="00CE0545" w:rsidRPr="00310105">
        <w:rPr>
          <w:color w:val="auto"/>
          <w:szCs w:val="24"/>
        </w:rPr>
        <w:t xml:space="preserve">examination was completed just days prior to separation and it supports a 10% rating with thoracolumbar flexion of greater than 60 degrees but not greater than 85 degrees. </w:t>
      </w:r>
      <w:r w:rsidRPr="00310105">
        <w:rPr>
          <w:color w:val="auto"/>
          <w:szCs w:val="24"/>
        </w:rPr>
        <w:t xml:space="preserve">The VA applied a 10% disability rating based on the VA examination. </w:t>
      </w:r>
    </w:p>
    <w:p w:rsidR="00D044C0" w:rsidRDefault="00D044C0" w:rsidP="0069687C">
      <w:pPr>
        <w:jc w:val="both"/>
        <w:rPr>
          <w:color w:val="auto"/>
          <w:szCs w:val="24"/>
        </w:rPr>
      </w:pPr>
    </w:p>
    <w:p w:rsidR="00626902" w:rsidRPr="00F64312" w:rsidRDefault="00BD47BA" w:rsidP="00D6056F">
      <w:pPr>
        <w:jc w:val="both"/>
        <w:rPr>
          <w:rFonts w:eastAsia="Calibri" w:cs="Times New Roman"/>
          <w:color w:val="auto"/>
          <w:szCs w:val="24"/>
        </w:rPr>
      </w:pPr>
      <w:r w:rsidRPr="00F64312">
        <w:rPr>
          <w:rFonts w:cs="Times New Roman"/>
          <w:color w:val="auto"/>
        </w:rPr>
        <w:t>The Board directs attention to its rating recommendation based on the above evidence.</w:t>
      </w:r>
      <w:r>
        <w:rPr>
          <w:rFonts w:cs="Times New Roman"/>
          <w:color w:val="auto"/>
        </w:rPr>
        <w:t xml:space="preserve">  </w:t>
      </w:r>
      <w:r w:rsidR="00D54414">
        <w:rPr>
          <w:color w:val="auto"/>
          <w:szCs w:val="24"/>
        </w:rPr>
        <w:t xml:space="preserve">It is not clear why the PEB did not apply a 20% rating as required by VASRD </w:t>
      </w:r>
      <w:r w:rsidR="00D54414" w:rsidRPr="009F000A">
        <w:rPr>
          <w:rFonts w:eastAsia="Calibri" w:cs="Times New Roman"/>
          <w:color w:val="auto"/>
          <w:szCs w:val="24"/>
        </w:rPr>
        <w:t>§4.71a</w:t>
      </w:r>
      <w:r w:rsidR="00D54414">
        <w:rPr>
          <w:rFonts w:eastAsia="Calibri" w:cs="Times New Roman"/>
          <w:color w:val="auto"/>
          <w:szCs w:val="24"/>
        </w:rPr>
        <w:t xml:space="preserve"> for </w:t>
      </w:r>
      <w:r w:rsidR="00310105">
        <w:rPr>
          <w:rFonts w:eastAsia="Calibri" w:cs="Times New Roman"/>
          <w:color w:val="auto"/>
          <w:szCs w:val="24"/>
        </w:rPr>
        <w:t xml:space="preserve">thoracolumbar spine </w:t>
      </w:r>
      <w:r w:rsidR="00D54414">
        <w:rPr>
          <w:rFonts w:eastAsia="Calibri" w:cs="Times New Roman"/>
          <w:color w:val="auto"/>
          <w:szCs w:val="24"/>
        </w:rPr>
        <w:t xml:space="preserve">flexion not greater than 60 degrees.  It is also not clear why the PEB did not use the ROM </w:t>
      </w:r>
      <w:r w:rsidR="00D54414" w:rsidRPr="00310105">
        <w:rPr>
          <w:rFonts w:eastAsia="Calibri" w:cs="Times New Roman"/>
          <w:color w:val="auto"/>
          <w:szCs w:val="24"/>
        </w:rPr>
        <w:t xml:space="preserve">measurements it specifically requested from the military treatment facility </w:t>
      </w:r>
      <w:r w:rsidR="00310105">
        <w:rPr>
          <w:rFonts w:eastAsia="Calibri" w:cs="Times New Roman"/>
          <w:color w:val="auto"/>
          <w:szCs w:val="24"/>
        </w:rPr>
        <w:t>and</w:t>
      </w:r>
      <w:r w:rsidR="00D54414" w:rsidRPr="00310105">
        <w:rPr>
          <w:rFonts w:eastAsia="Calibri" w:cs="Times New Roman"/>
          <w:color w:val="auto"/>
          <w:szCs w:val="24"/>
        </w:rPr>
        <w:t xml:space="preserve"> were obtained by physical therapy in January 2006. As discussed above, those measurements support a 40% rating.  </w:t>
      </w:r>
      <w:r w:rsidR="00CE0545" w:rsidRPr="00310105">
        <w:rPr>
          <w:color w:val="auto"/>
          <w:szCs w:val="24"/>
        </w:rPr>
        <w:t>T</w:t>
      </w:r>
      <w:r w:rsidRPr="00310105">
        <w:rPr>
          <w:color w:val="auto"/>
          <w:szCs w:val="24"/>
        </w:rPr>
        <w:t xml:space="preserve">here is no cause for doubting the accuracy of any of the examinations on the day they were completed. </w:t>
      </w:r>
      <w:r w:rsidR="003564BA" w:rsidRPr="00310105">
        <w:rPr>
          <w:color w:val="auto"/>
          <w:szCs w:val="24"/>
        </w:rPr>
        <w:t xml:space="preserve"> </w:t>
      </w:r>
      <w:r w:rsidRPr="00310105">
        <w:rPr>
          <w:color w:val="auto"/>
          <w:szCs w:val="24"/>
        </w:rPr>
        <w:t>T</w:t>
      </w:r>
      <w:r w:rsidR="00CE0545" w:rsidRPr="00310105">
        <w:rPr>
          <w:color w:val="auto"/>
          <w:szCs w:val="24"/>
        </w:rPr>
        <w:t xml:space="preserve">he CI’s back condition appears to wax and wane over time. </w:t>
      </w:r>
      <w:r w:rsidR="003564BA" w:rsidRPr="00310105">
        <w:rPr>
          <w:color w:val="auto"/>
          <w:szCs w:val="24"/>
        </w:rPr>
        <w:t xml:space="preserve"> </w:t>
      </w:r>
      <w:r w:rsidR="00CE0545" w:rsidRPr="00310105">
        <w:rPr>
          <w:color w:val="auto"/>
          <w:szCs w:val="24"/>
        </w:rPr>
        <w:t xml:space="preserve">While these three examinations appear to document a terminal upward trend of increasing flexion, the record documents that, overall, the CI’s condition </w:t>
      </w:r>
      <w:r w:rsidR="0041625F" w:rsidRPr="00310105">
        <w:rPr>
          <w:color w:val="auto"/>
          <w:szCs w:val="24"/>
        </w:rPr>
        <w:t>was not at the level documented on the initial VA C&amp;P examination</w:t>
      </w:r>
      <w:r w:rsidR="00D044C0">
        <w:rPr>
          <w:color w:val="auto"/>
          <w:szCs w:val="24"/>
        </w:rPr>
        <w:t>, either continuously or for a majority of the time</w:t>
      </w:r>
      <w:r w:rsidR="0041625F" w:rsidRPr="00310105">
        <w:rPr>
          <w:color w:val="auto"/>
          <w:szCs w:val="24"/>
        </w:rPr>
        <w:t xml:space="preserve">. </w:t>
      </w:r>
      <w:r w:rsidR="003564BA" w:rsidRPr="00310105">
        <w:rPr>
          <w:color w:val="auto"/>
          <w:szCs w:val="24"/>
        </w:rPr>
        <w:t xml:space="preserve"> </w:t>
      </w:r>
      <w:r w:rsidR="00310105">
        <w:rPr>
          <w:color w:val="auto"/>
          <w:szCs w:val="24"/>
        </w:rPr>
        <w:t xml:space="preserve">His condition ranged from slightly worse to significantly worse both before and after separation. </w:t>
      </w:r>
      <w:r w:rsidR="00D044C0">
        <w:rPr>
          <w:color w:val="auto"/>
          <w:szCs w:val="24"/>
        </w:rPr>
        <w:t xml:space="preserve"> </w:t>
      </w:r>
      <w:r w:rsidR="0041625F" w:rsidRPr="00310105">
        <w:rPr>
          <w:color w:val="auto"/>
          <w:szCs w:val="24"/>
        </w:rPr>
        <w:t xml:space="preserve">After separation, the CI continued to receive regular and continuing treatment for continued back pain with significant flare-ups related to increased activity both from the VA and from a private physician.  Treatment included numerous transforaminal epidural steroid injects which brought good but only temporary improvement. </w:t>
      </w:r>
      <w:r w:rsidR="003564BA" w:rsidRPr="00310105">
        <w:rPr>
          <w:color w:val="auto"/>
          <w:szCs w:val="24"/>
        </w:rPr>
        <w:t xml:space="preserve"> </w:t>
      </w:r>
      <w:r w:rsidR="00201284" w:rsidRPr="00310105">
        <w:rPr>
          <w:color w:val="auto"/>
          <w:szCs w:val="24"/>
        </w:rPr>
        <w:t xml:space="preserve">Evaluation by a private physician </w:t>
      </w:r>
      <w:r w:rsidR="00201284" w:rsidRPr="00310105">
        <w:rPr>
          <w:color w:val="auto"/>
          <w:szCs w:val="24"/>
        </w:rPr>
        <w:lastRenderedPageBreak/>
        <w:t xml:space="preserve">in January 2010 documents essentially identical findings as the MEB NARSUM examination in October 2005.  </w:t>
      </w:r>
      <w:r w:rsidR="0041625F" w:rsidRPr="00310105">
        <w:rPr>
          <w:color w:val="auto"/>
          <w:szCs w:val="24"/>
        </w:rPr>
        <w:t xml:space="preserve">Although a second VA C&amp;P examination of the spine was not </w:t>
      </w:r>
      <w:r w:rsidR="008C5F3B">
        <w:rPr>
          <w:color w:val="auto"/>
          <w:szCs w:val="24"/>
        </w:rPr>
        <w:t>performed</w:t>
      </w:r>
      <w:r w:rsidR="0041625F" w:rsidRPr="00310105">
        <w:rPr>
          <w:color w:val="auto"/>
          <w:szCs w:val="24"/>
        </w:rPr>
        <w:t xml:space="preserve"> until December 2010, it documented flexion limited to 30 degrees as was present in January 2006. </w:t>
      </w:r>
      <w:r w:rsidR="003564BA" w:rsidRPr="00310105">
        <w:rPr>
          <w:color w:val="auto"/>
          <w:szCs w:val="24"/>
        </w:rPr>
        <w:t xml:space="preserve"> </w:t>
      </w:r>
      <w:r w:rsidR="000B5923" w:rsidRPr="00310105">
        <w:rPr>
          <w:color w:val="auto"/>
          <w:szCs w:val="24"/>
        </w:rPr>
        <w:t>Findings of moderate degenerative disc disease</w:t>
      </w:r>
      <w:r w:rsidR="008C5F3B">
        <w:rPr>
          <w:color w:val="auto"/>
          <w:szCs w:val="24"/>
        </w:rPr>
        <w:t xml:space="preserve"> (DDD)</w:t>
      </w:r>
      <w:r w:rsidR="000B5923" w:rsidRPr="00310105">
        <w:rPr>
          <w:color w:val="auto"/>
          <w:szCs w:val="24"/>
        </w:rPr>
        <w:t xml:space="preserve"> at L5-S1 </w:t>
      </w:r>
      <w:r w:rsidRPr="00310105">
        <w:rPr>
          <w:color w:val="auto"/>
          <w:szCs w:val="24"/>
        </w:rPr>
        <w:t>were</w:t>
      </w:r>
      <w:r w:rsidR="000B5923" w:rsidRPr="00310105">
        <w:rPr>
          <w:color w:val="auto"/>
          <w:szCs w:val="24"/>
        </w:rPr>
        <w:t xml:space="preserve"> noted on MRI examinations in both 2007 and 2010</w:t>
      </w:r>
      <w:r w:rsidRPr="00310105">
        <w:rPr>
          <w:color w:val="auto"/>
          <w:szCs w:val="24"/>
        </w:rPr>
        <w:t>, only slightly improved from the moderately large left L5-S1 disc herniation noted on MRI in 2005, prior to the first surgery</w:t>
      </w:r>
      <w:r w:rsidR="000B5923" w:rsidRPr="00310105">
        <w:rPr>
          <w:color w:val="auto"/>
          <w:szCs w:val="24"/>
        </w:rPr>
        <w:t xml:space="preserve">. </w:t>
      </w:r>
      <w:r w:rsidR="003564BA" w:rsidRPr="00310105">
        <w:rPr>
          <w:color w:val="auto"/>
          <w:szCs w:val="24"/>
        </w:rPr>
        <w:t xml:space="preserve"> </w:t>
      </w:r>
      <w:r w:rsidR="000B5923" w:rsidRPr="00310105">
        <w:rPr>
          <w:color w:val="auto"/>
          <w:szCs w:val="24"/>
        </w:rPr>
        <w:t xml:space="preserve">Ultimately, a second </w:t>
      </w:r>
      <w:r w:rsidR="003564BA" w:rsidRPr="00310105">
        <w:rPr>
          <w:color w:val="auto"/>
          <w:szCs w:val="24"/>
        </w:rPr>
        <w:t>spinal</w:t>
      </w:r>
      <w:r w:rsidR="000B5923" w:rsidRPr="00310105">
        <w:rPr>
          <w:color w:val="auto"/>
          <w:szCs w:val="24"/>
        </w:rPr>
        <w:t xml:space="preserve"> surgery was required in 2011 with transforaminal interbody fusion with percutaneous hardware at the site of the 2005 L5-S1 microdiskectomy. </w:t>
      </w:r>
      <w:r w:rsidR="003564BA" w:rsidRPr="00310105">
        <w:rPr>
          <w:color w:val="auto"/>
          <w:szCs w:val="24"/>
        </w:rPr>
        <w:t xml:space="preserve"> </w:t>
      </w:r>
      <w:r w:rsidR="000B5923" w:rsidRPr="00310105">
        <w:rPr>
          <w:color w:val="auto"/>
          <w:szCs w:val="24"/>
        </w:rPr>
        <w:t xml:space="preserve">The VA applied a 40% disability rating both before and after this surgery, initially effective in November 2010, the date </w:t>
      </w:r>
      <w:r w:rsidRPr="00310105">
        <w:rPr>
          <w:color w:val="auto"/>
          <w:szCs w:val="24"/>
        </w:rPr>
        <w:t xml:space="preserve">of the CI’s </w:t>
      </w:r>
      <w:r w:rsidR="00EC1B11" w:rsidRPr="00310105">
        <w:rPr>
          <w:color w:val="auto"/>
          <w:szCs w:val="24"/>
        </w:rPr>
        <w:t xml:space="preserve">first </w:t>
      </w:r>
      <w:r w:rsidRPr="00310105">
        <w:rPr>
          <w:color w:val="auto"/>
          <w:szCs w:val="24"/>
        </w:rPr>
        <w:t>claim for increase</w:t>
      </w:r>
      <w:r w:rsidR="00EC1B11" w:rsidRPr="00310105">
        <w:rPr>
          <w:color w:val="auto"/>
          <w:szCs w:val="24"/>
        </w:rPr>
        <w:t>d evaluation</w:t>
      </w:r>
      <w:r w:rsidRPr="00310105">
        <w:rPr>
          <w:color w:val="auto"/>
          <w:szCs w:val="24"/>
        </w:rPr>
        <w:t xml:space="preserve">.  </w:t>
      </w:r>
      <w:r w:rsidR="000B5923" w:rsidRPr="00310105">
        <w:rPr>
          <w:color w:val="auto"/>
          <w:szCs w:val="24"/>
        </w:rPr>
        <w:t>Th</w:t>
      </w:r>
      <w:r w:rsidRPr="00310105">
        <w:rPr>
          <w:color w:val="auto"/>
          <w:szCs w:val="24"/>
        </w:rPr>
        <w:t>is</w:t>
      </w:r>
      <w:r w:rsidR="000B5923" w:rsidRPr="00310105">
        <w:rPr>
          <w:color w:val="auto"/>
          <w:szCs w:val="24"/>
        </w:rPr>
        <w:t xml:space="preserve"> evidence supports a determination that the VA examination </w:t>
      </w:r>
      <w:r w:rsidR="008C5F3B">
        <w:rPr>
          <w:color w:val="auto"/>
          <w:szCs w:val="24"/>
        </w:rPr>
        <w:t xml:space="preserve">performed </w:t>
      </w:r>
      <w:r w:rsidR="000B5923" w:rsidRPr="00310105">
        <w:rPr>
          <w:color w:val="auto"/>
          <w:szCs w:val="24"/>
        </w:rPr>
        <w:t xml:space="preserve">in March 2006 </w:t>
      </w:r>
      <w:r w:rsidR="008C5F3B">
        <w:rPr>
          <w:color w:val="auto"/>
          <w:szCs w:val="24"/>
        </w:rPr>
        <w:t xml:space="preserve">and </w:t>
      </w:r>
      <w:r w:rsidR="000B5923" w:rsidRPr="00310105">
        <w:rPr>
          <w:color w:val="auto"/>
          <w:szCs w:val="24"/>
        </w:rPr>
        <w:t xml:space="preserve">is not representative of the CI’s true </w:t>
      </w:r>
      <w:r w:rsidR="00D6056F" w:rsidRPr="00310105">
        <w:rPr>
          <w:color w:val="auto"/>
          <w:szCs w:val="24"/>
        </w:rPr>
        <w:t xml:space="preserve">overall </w:t>
      </w:r>
      <w:r w:rsidR="000B5923" w:rsidRPr="00310105">
        <w:rPr>
          <w:color w:val="auto"/>
          <w:szCs w:val="24"/>
        </w:rPr>
        <w:t>disability picture</w:t>
      </w:r>
      <w:r w:rsidR="00D6056F" w:rsidRPr="00310105">
        <w:rPr>
          <w:color w:val="auto"/>
          <w:szCs w:val="24"/>
        </w:rPr>
        <w:t xml:space="preserve"> but that the condition waxes and wanes over time with flexion ranging from 30 to 70 degrees supporting disability ratings ranging from 10% to 40%</w:t>
      </w:r>
      <w:r w:rsidR="000B5923" w:rsidRPr="00310105">
        <w:rPr>
          <w:color w:val="auto"/>
          <w:szCs w:val="24"/>
        </w:rPr>
        <w:t xml:space="preserve">. </w:t>
      </w:r>
      <w:r w:rsidR="003564BA" w:rsidRPr="00310105">
        <w:rPr>
          <w:color w:val="auto"/>
          <w:szCs w:val="24"/>
        </w:rPr>
        <w:t xml:space="preserve"> </w:t>
      </w:r>
      <w:r w:rsidR="00D6056F" w:rsidRPr="00310105">
        <w:rPr>
          <w:color w:val="auto"/>
          <w:szCs w:val="24"/>
        </w:rPr>
        <w:t xml:space="preserve">Paragraph §4.7 of the VASRD (Higher of two evaluations) states that where there is a question as to which of two evaluations shall be applied, the higher evaluation will be assigned if the disability picture more nearly approximates the criteria required for that rating. </w:t>
      </w:r>
      <w:r w:rsidR="003564BA" w:rsidRPr="00310105">
        <w:rPr>
          <w:color w:val="auto"/>
          <w:szCs w:val="24"/>
        </w:rPr>
        <w:t xml:space="preserve"> </w:t>
      </w:r>
      <w:r w:rsidR="00D6056F" w:rsidRPr="00310105">
        <w:rPr>
          <w:color w:val="auto"/>
          <w:szCs w:val="24"/>
        </w:rPr>
        <w:t xml:space="preserve">Otherwise, the lower rating will be assigned. </w:t>
      </w:r>
      <w:r w:rsidR="008C5F3B">
        <w:rPr>
          <w:color w:val="auto"/>
          <w:szCs w:val="24"/>
        </w:rPr>
        <w:t xml:space="preserve"> </w:t>
      </w:r>
      <w:r w:rsidR="00D6056F" w:rsidRPr="00310105">
        <w:rPr>
          <w:color w:val="auto"/>
          <w:szCs w:val="24"/>
        </w:rPr>
        <w:t>In this case</w:t>
      </w:r>
      <w:r w:rsidR="00EC1B11" w:rsidRPr="00310105">
        <w:rPr>
          <w:color w:val="auto"/>
          <w:szCs w:val="24"/>
        </w:rPr>
        <w:t>,</w:t>
      </w:r>
      <w:r w:rsidR="00D6056F" w:rsidRPr="00310105">
        <w:rPr>
          <w:color w:val="auto"/>
          <w:szCs w:val="24"/>
        </w:rPr>
        <w:t xml:space="preserve"> the </w:t>
      </w:r>
      <w:r w:rsidR="00CA5F6E" w:rsidRPr="00310105">
        <w:rPr>
          <w:color w:val="auto"/>
          <w:szCs w:val="24"/>
        </w:rPr>
        <w:t xml:space="preserve">overall </w:t>
      </w:r>
      <w:r w:rsidR="00D6056F" w:rsidRPr="00310105">
        <w:rPr>
          <w:color w:val="auto"/>
          <w:szCs w:val="24"/>
        </w:rPr>
        <w:t xml:space="preserve">disability more nearly approximates the 20% rating criteria, as opposed to either the 10% or the 40% rating.  </w:t>
      </w:r>
      <w:r w:rsidR="00241B01" w:rsidRPr="00310105">
        <w:rPr>
          <w:rFonts w:eastAsia="Calibri" w:cs="Times New Roman"/>
          <w:color w:val="auto"/>
          <w:szCs w:val="24"/>
        </w:rPr>
        <w:t xml:space="preserve">After due deliberation, considering all of the evidence and mindful of VASRD §4.3 (reasonable doubt), the Board recommends a disability rating of </w:t>
      </w:r>
      <w:r w:rsidRPr="00310105">
        <w:rPr>
          <w:rFonts w:eastAsia="Calibri" w:cs="Times New Roman"/>
          <w:color w:val="auto"/>
          <w:szCs w:val="24"/>
        </w:rPr>
        <w:t>20</w:t>
      </w:r>
      <w:r w:rsidR="00241B01" w:rsidRPr="00310105">
        <w:rPr>
          <w:rFonts w:eastAsia="Calibri" w:cs="Times New Roman"/>
          <w:color w:val="auto"/>
          <w:szCs w:val="24"/>
        </w:rPr>
        <w:t xml:space="preserve">% for the </w:t>
      </w:r>
      <w:r w:rsidRPr="00310105">
        <w:rPr>
          <w:color w:val="auto"/>
        </w:rPr>
        <w:t>chronic low back pain with left leg pain</w:t>
      </w:r>
      <w:r w:rsidRPr="00310105">
        <w:rPr>
          <w:rFonts w:eastAsia="Calibri" w:cs="Times New Roman"/>
          <w:color w:val="auto"/>
          <w:szCs w:val="24"/>
        </w:rPr>
        <w:t xml:space="preserve"> condition.</w:t>
      </w:r>
      <w:r w:rsidRPr="00BD47BA">
        <w:rPr>
          <w:rFonts w:eastAsia="Calibri" w:cs="Times New Roman"/>
          <w:color w:val="auto"/>
          <w:szCs w:val="24"/>
        </w:rPr>
        <w:t xml:space="preserve">  </w:t>
      </w:r>
    </w:p>
    <w:p w:rsidR="00AD2379" w:rsidRDefault="00AD2379" w:rsidP="00BF0E94">
      <w:pPr>
        <w:jc w:val="left"/>
        <w:rPr>
          <w:rFonts w:eastAsia="HiddenHorzOCR"/>
          <w:color w:val="auto"/>
          <w:highlight w:val="magenta"/>
          <w:u w:val="single"/>
        </w:rPr>
      </w:pPr>
    </w:p>
    <w:p w:rsidR="00D63428" w:rsidRPr="003763EE" w:rsidRDefault="00D63428" w:rsidP="00D63428">
      <w:pPr>
        <w:jc w:val="both"/>
        <w:rPr>
          <w:color w:val="auto"/>
          <w:szCs w:val="24"/>
        </w:rPr>
      </w:pPr>
      <w:r>
        <w:rPr>
          <w:color w:val="auto"/>
          <w:u w:val="single"/>
        </w:rPr>
        <w:t xml:space="preserve">Left Leg Pain with Radiculopathy </w:t>
      </w:r>
      <w:r w:rsidRPr="00B8210A">
        <w:rPr>
          <w:color w:val="auto"/>
          <w:u w:val="single"/>
        </w:rPr>
        <w:t>Condition</w:t>
      </w:r>
      <w:r w:rsidRPr="00B8210A">
        <w:rPr>
          <w:color w:val="auto"/>
        </w:rPr>
        <w:t>.</w:t>
      </w:r>
      <w:r w:rsidRPr="00F64312">
        <w:rPr>
          <w:color w:val="auto"/>
        </w:rPr>
        <w:t xml:space="preserve">  </w:t>
      </w:r>
      <w:r w:rsidRPr="003763EE">
        <w:rPr>
          <w:color w:val="auto"/>
        </w:rPr>
        <w:t xml:space="preserve">The </w:t>
      </w:r>
      <w:r w:rsidR="00CA5F6E" w:rsidRPr="003763EE">
        <w:rPr>
          <w:color w:val="auto"/>
        </w:rPr>
        <w:t xml:space="preserve">MEB </w:t>
      </w:r>
      <w:r w:rsidR="00EC1B11" w:rsidRPr="003763EE">
        <w:rPr>
          <w:color w:val="auto"/>
        </w:rPr>
        <w:t xml:space="preserve">NARSUM and </w:t>
      </w:r>
      <w:r w:rsidR="00EC1B11" w:rsidRPr="003763EE">
        <w:rPr>
          <w:color w:val="auto"/>
          <w:szCs w:val="24"/>
        </w:rPr>
        <w:t>C&amp;P</w:t>
      </w:r>
      <w:r w:rsidRPr="003763EE">
        <w:rPr>
          <w:color w:val="auto"/>
          <w:szCs w:val="24"/>
        </w:rPr>
        <w:t xml:space="preserve"> exam</w:t>
      </w:r>
      <w:r w:rsidR="00CA5F6E" w:rsidRPr="003763EE">
        <w:rPr>
          <w:color w:val="auto"/>
          <w:szCs w:val="24"/>
        </w:rPr>
        <w:t xml:space="preserve"> findings are presented in the thoracolumbar spine ROM chart above. </w:t>
      </w:r>
      <w:r w:rsidR="003564BA" w:rsidRPr="003763EE">
        <w:rPr>
          <w:color w:val="auto"/>
          <w:szCs w:val="24"/>
        </w:rPr>
        <w:t xml:space="preserve"> </w:t>
      </w:r>
      <w:r w:rsidR="00CA5F6E" w:rsidRPr="003763EE">
        <w:rPr>
          <w:color w:val="auto"/>
          <w:szCs w:val="24"/>
        </w:rPr>
        <w:t xml:space="preserve">Additionally, a nerve conduction study </w:t>
      </w:r>
      <w:r w:rsidR="008C5F3B">
        <w:rPr>
          <w:color w:val="auto"/>
          <w:szCs w:val="24"/>
        </w:rPr>
        <w:t>performed</w:t>
      </w:r>
      <w:r w:rsidR="00CA5F6E" w:rsidRPr="003763EE">
        <w:rPr>
          <w:color w:val="auto"/>
          <w:szCs w:val="24"/>
        </w:rPr>
        <w:t xml:space="preserve"> in November 2005</w:t>
      </w:r>
      <w:r w:rsidR="00EC1B11" w:rsidRPr="003763EE">
        <w:rPr>
          <w:color w:val="auto"/>
          <w:szCs w:val="24"/>
        </w:rPr>
        <w:t xml:space="preserve"> </w:t>
      </w:r>
      <w:r w:rsidR="00CA5F6E" w:rsidRPr="003763EE">
        <w:rPr>
          <w:color w:val="auto"/>
          <w:szCs w:val="24"/>
        </w:rPr>
        <w:t>documented denervation in the muscles of the left lo</w:t>
      </w:r>
      <w:r w:rsidR="00C02429" w:rsidRPr="003763EE">
        <w:rPr>
          <w:color w:val="auto"/>
          <w:szCs w:val="24"/>
        </w:rPr>
        <w:t>wer extremity suggestive of an L</w:t>
      </w:r>
      <w:r w:rsidR="00CA5F6E" w:rsidRPr="003763EE">
        <w:rPr>
          <w:color w:val="auto"/>
          <w:szCs w:val="24"/>
        </w:rPr>
        <w:t xml:space="preserve">5-S1 nerve root compression with mild re-innervation in these muscles suggestive of a chronic process.  The PEB noted constant pain and decreased strength in the gastrocsoleus muscle group.  Both the PEB and the VA rated the radiculopathy at 10% for mild incomplete </w:t>
      </w:r>
      <w:r w:rsidR="00C02429" w:rsidRPr="003763EE">
        <w:rPr>
          <w:color w:val="auto"/>
          <w:szCs w:val="24"/>
        </w:rPr>
        <w:t xml:space="preserve">paralysis of the sciatic nerve.  </w:t>
      </w:r>
      <w:r w:rsidR="00CA5F6E" w:rsidRPr="003763EE">
        <w:rPr>
          <w:color w:val="auto"/>
          <w:szCs w:val="24"/>
        </w:rPr>
        <w:t xml:space="preserve">The VA later increased the rating to 20% after a second C&amp;P examination in December 2010. </w:t>
      </w:r>
      <w:r w:rsidR="008C5F3B">
        <w:rPr>
          <w:color w:val="auto"/>
          <w:szCs w:val="24"/>
        </w:rPr>
        <w:t xml:space="preserve"> </w:t>
      </w:r>
      <w:r w:rsidR="00CA5F6E" w:rsidRPr="003763EE">
        <w:rPr>
          <w:color w:val="auto"/>
          <w:szCs w:val="24"/>
        </w:rPr>
        <w:t>However, this appears to be based on</w:t>
      </w:r>
      <w:r w:rsidR="0068101F" w:rsidRPr="003763EE">
        <w:rPr>
          <w:color w:val="auto"/>
          <w:szCs w:val="24"/>
        </w:rPr>
        <w:t xml:space="preserve"> </w:t>
      </w:r>
      <w:r w:rsidR="00CA5F6E" w:rsidRPr="003763EE">
        <w:rPr>
          <w:color w:val="auto"/>
          <w:szCs w:val="24"/>
        </w:rPr>
        <w:t>a worsening of symptoms over time</w:t>
      </w:r>
      <w:r w:rsidR="0068101F" w:rsidRPr="003763EE">
        <w:rPr>
          <w:color w:val="auto"/>
          <w:szCs w:val="24"/>
        </w:rPr>
        <w:t xml:space="preserve"> and the presence of new objective findings.</w:t>
      </w:r>
    </w:p>
    <w:p w:rsidR="00D63428" w:rsidRPr="003763EE" w:rsidRDefault="00D63428" w:rsidP="00D63428">
      <w:pPr>
        <w:jc w:val="both"/>
        <w:rPr>
          <w:color w:val="auto"/>
          <w:szCs w:val="24"/>
        </w:rPr>
      </w:pPr>
    </w:p>
    <w:p w:rsidR="00D63428" w:rsidRPr="00F64312" w:rsidRDefault="00D63428" w:rsidP="0068101F">
      <w:pPr>
        <w:tabs>
          <w:tab w:val="left" w:pos="288"/>
          <w:tab w:val="left" w:pos="4752"/>
        </w:tabs>
        <w:jc w:val="both"/>
        <w:rPr>
          <w:rFonts w:eastAsia="Calibri" w:cs="Times New Roman"/>
          <w:color w:val="auto"/>
          <w:szCs w:val="24"/>
        </w:rPr>
      </w:pPr>
      <w:r w:rsidRPr="003763EE">
        <w:rPr>
          <w:rFonts w:cs="Times New Roman"/>
          <w:color w:val="auto"/>
        </w:rPr>
        <w:t>The Board directs attention to its rating recommendation based on the above evidence</w:t>
      </w:r>
      <w:r w:rsidRPr="00D81E13">
        <w:rPr>
          <w:rFonts w:cs="Times New Roman"/>
          <w:color w:val="auto"/>
        </w:rPr>
        <w:t>.</w:t>
      </w:r>
      <w:r w:rsidR="0068101F" w:rsidRPr="00D81E13">
        <w:rPr>
          <w:rFonts w:cs="Times New Roman"/>
          <w:color w:val="auto"/>
        </w:rPr>
        <w:t xml:space="preserve"> </w:t>
      </w:r>
      <w:r w:rsidR="008C5F3B" w:rsidRPr="00D81E13">
        <w:rPr>
          <w:rFonts w:cs="Times New Roman"/>
          <w:color w:val="auto"/>
        </w:rPr>
        <w:t xml:space="preserve"> </w:t>
      </w:r>
      <w:r w:rsidR="0068101F" w:rsidRPr="00D81E13">
        <w:rPr>
          <w:rFonts w:cs="Times New Roman"/>
          <w:color w:val="auto"/>
        </w:rPr>
        <w:t>Both</w:t>
      </w:r>
      <w:r w:rsidR="008C5F3B">
        <w:rPr>
          <w:rFonts w:cs="Times New Roman"/>
          <w:color w:val="auto"/>
        </w:rPr>
        <w:t xml:space="preserve"> the Army</w:t>
      </w:r>
      <w:r w:rsidR="0068101F" w:rsidRPr="003763EE">
        <w:rPr>
          <w:rFonts w:cs="Times New Roman"/>
          <w:color w:val="auto"/>
        </w:rPr>
        <w:t xml:space="preserve"> and VA examinations at the time of separation support a 10% finding and no appropriate rating scheme affords a rating greater than 10%.  </w:t>
      </w:r>
      <w:r w:rsidRPr="003763EE">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8C5F3B">
        <w:rPr>
          <w:rFonts w:eastAsia="Calibri" w:cs="Times New Roman"/>
          <w:color w:val="auto"/>
          <w:szCs w:val="24"/>
        </w:rPr>
        <w:t>l</w:t>
      </w:r>
      <w:r w:rsidR="0068101F" w:rsidRPr="003763EE">
        <w:rPr>
          <w:rFonts w:eastAsia="Calibri" w:cs="Times New Roman"/>
          <w:color w:val="auto"/>
          <w:szCs w:val="24"/>
        </w:rPr>
        <w:t xml:space="preserve">eft </w:t>
      </w:r>
      <w:r w:rsidR="008C5F3B">
        <w:rPr>
          <w:rFonts w:eastAsia="Calibri" w:cs="Times New Roman"/>
          <w:color w:val="auto"/>
          <w:szCs w:val="24"/>
        </w:rPr>
        <w:t>l</w:t>
      </w:r>
      <w:r w:rsidR="0068101F" w:rsidRPr="003763EE">
        <w:rPr>
          <w:rFonts w:eastAsia="Calibri" w:cs="Times New Roman"/>
          <w:color w:val="auto"/>
          <w:szCs w:val="24"/>
        </w:rPr>
        <w:t xml:space="preserve">eg </w:t>
      </w:r>
      <w:r w:rsidR="008C5F3B">
        <w:rPr>
          <w:rFonts w:eastAsia="Calibri" w:cs="Times New Roman"/>
          <w:color w:val="auto"/>
          <w:szCs w:val="24"/>
        </w:rPr>
        <w:t>p</w:t>
      </w:r>
      <w:r w:rsidR="00D81E13">
        <w:rPr>
          <w:rFonts w:eastAsia="Calibri" w:cs="Times New Roman"/>
          <w:color w:val="auto"/>
          <w:szCs w:val="24"/>
        </w:rPr>
        <w:t xml:space="preserve">ain with </w:t>
      </w:r>
      <w:proofErr w:type="spellStart"/>
      <w:r w:rsidR="00D81E13">
        <w:rPr>
          <w:rFonts w:eastAsia="Calibri" w:cs="Times New Roman"/>
          <w:color w:val="auto"/>
          <w:szCs w:val="24"/>
        </w:rPr>
        <w:t>r</w:t>
      </w:r>
      <w:r w:rsidR="0068101F" w:rsidRPr="003763EE">
        <w:rPr>
          <w:rFonts w:eastAsia="Calibri" w:cs="Times New Roman"/>
          <w:color w:val="auto"/>
          <w:szCs w:val="24"/>
        </w:rPr>
        <w:t>adiculopathy</w:t>
      </w:r>
      <w:proofErr w:type="spellEnd"/>
      <w:r w:rsidRPr="003763EE">
        <w:rPr>
          <w:rFonts w:eastAsia="Calibri" w:cs="Times New Roman"/>
          <w:color w:val="auto"/>
          <w:szCs w:val="24"/>
        </w:rPr>
        <w:t xml:space="preserve"> condition.</w:t>
      </w:r>
      <w:r w:rsidRPr="00F64312">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xml:space="preserve">:  IAW DoDI 6040.44, provisions of DoD or Military Department regulations or guidelines relied upon by the PEB will </w:t>
      </w:r>
      <w:r w:rsidRPr="003763EE">
        <w:rPr>
          <w:color w:val="auto"/>
        </w:rPr>
        <w:t>not be considered by the Board to the extent they were inconsistent with the VASRD in effect at the time of the adjudication</w:t>
      </w:r>
      <w:r w:rsidRPr="003763EE">
        <w:rPr>
          <w:rFonts w:cs="Times New Roman"/>
          <w:color w:val="auto"/>
        </w:rPr>
        <w:t>.</w:t>
      </w:r>
      <w:r w:rsidR="009F000A" w:rsidRPr="003763EE">
        <w:rPr>
          <w:rFonts w:cs="Times New Roman"/>
          <w:color w:val="auto"/>
        </w:rPr>
        <w:t xml:space="preserve">  </w:t>
      </w:r>
      <w:r w:rsidRPr="003763EE">
        <w:rPr>
          <w:rFonts w:cs="Times New Roman"/>
          <w:color w:val="auto"/>
        </w:rPr>
        <w:t>The Board did not surmise from the record or PEB ruling in this case that any prerogatives outside the VASRD were exercised.</w:t>
      </w:r>
      <w:r w:rsidR="00407EE7" w:rsidRPr="003763EE">
        <w:rPr>
          <w:rFonts w:cs="Times New Roman"/>
          <w:color w:val="auto"/>
        </w:rPr>
        <w:t xml:space="preserve">  </w:t>
      </w:r>
      <w:r w:rsidR="00241B01" w:rsidRPr="003763EE">
        <w:rPr>
          <w:rFonts w:eastAsia="Calibri" w:cs="Times New Roman"/>
          <w:color w:val="auto"/>
          <w:szCs w:val="24"/>
        </w:rPr>
        <w:t xml:space="preserve">In the matter of the </w:t>
      </w:r>
      <w:r w:rsidR="008C5F3B">
        <w:rPr>
          <w:rFonts w:eastAsia="Calibri" w:cs="Times New Roman"/>
          <w:color w:val="auto"/>
          <w:szCs w:val="24"/>
        </w:rPr>
        <w:t>c</w:t>
      </w:r>
      <w:r w:rsidR="009F000A" w:rsidRPr="003763EE">
        <w:rPr>
          <w:color w:val="auto"/>
        </w:rPr>
        <w:t xml:space="preserve">hronic </w:t>
      </w:r>
      <w:r w:rsidR="008C5F3B">
        <w:rPr>
          <w:color w:val="auto"/>
        </w:rPr>
        <w:t>l</w:t>
      </w:r>
      <w:r w:rsidR="009F000A" w:rsidRPr="003763EE">
        <w:rPr>
          <w:color w:val="auto"/>
        </w:rPr>
        <w:t xml:space="preserve">ow </w:t>
      </w:r>
      <w:r w:rsidR="008C5F3B">
        <w:rPr>
          <w:color w:val="auto"/>
        </w:rPr>
        <w:t>b</w:t>
      </w:r>
      <w:r w:rsidR="009F000A" w:rsidRPr="003763EE">
        <w:rPr>
          <w:color w:val="auto"/>
        </w:rPr>
        <w:t xml:space="preserve">ack </w:t>
      </w:r>
      <w:r w:rsidR="008C5F3B">
        <w:rPr>
          <w:color w:val="auto"/>
        </w:rPr>
        <w:t>p</w:t>
      </w:r>
      <w:r w:rsidR="009F000A" w:rsidRPr="003763EE">
        <w:rPr>
          <w:color w:val="auto"/>
        </w:rPr>
        <w:t xml:space="preserve">ain with </w:t>
      </w:r>
      <w:r w:rsidR="008C5F3B">
        <w:rPr>
          <w:color w:val="auto"/>
        </w:rPr>
        <w:t>l</w:t>
      </w:r>
      <w:r w:rsidR="009F000A" w:rsidRPr="003763EE">
        <w:rPr>
          <w:color w:val="auto"/>
        </w:rPr>
        <w:t xml:space="preserve">eft </w:t>
      </w:r>
      <w:r w:rsidR="008C5F3B">
        <w:rPr>
          <w:color w:val="auto"/>
        </w:rPr>
        <w:t>l</w:t>
      </w:r>
      <w:r w:rsidR="009F000A" w:rsidRPr="003763EE">
        <w:rPr>
          <w:color w:val="auto"/>
        </w:rPr>
        <w:t xml:space="preserve">eg </w:t>
      </w:r>
      <w:r w:rsidR="008C5F3B">
        <w:rPr>
          <w:color w:val="auto"/>
        </w:rPr>
        <w:t>p</w:t>
      </w:r>
      <w:r w:rsidR="009F000A" w:rsidRPr="003763EE">
        <w:rPr>
          <w:color w:val="auto"/>
        </w:rPr>
        <w:t>ain</w:t>
      </w:r>
      <w:r w:rsidR="009F000A" w:rsidRPr="003763EE">
        <w:rPr>
          <w:rFonts w:eastAsia="Calibri" w:cs="Times New Roman"/>
          <w:color w:val="auto"/>
          <w:szCs w:val="24"/>
        </w:rPr>
        <w:t xml:space="preserve"> </w:t>
      </w:r>
      <w:r w:rsidR="00241B01" w:rsidRPr="003763EE">
        <w:rPr>
          <w:rFonts w:eastAsia="Calibri" w:cs="Times New Roman"/>
          <w:color w:val="auto"/>
          <w:szCs w:val="24"/>
        </w:rPr>
        <w:t xml:space="preserve">condition, the Board unanimously recommends a disability rating of </w:t>
      </w:r>
      <w:r w:rsidR="008D3D78" w:rsidRPr="003763EE">
        <w:rPr>
          <w:rFonts w:eastAsia="Calibri" w:cs="Times New Roman"/>
          <w:color w:val="auto"/>
          <w:szCs w:val="24"/>
        </w:rPr>
        <w:t>20</w:t>
      </w:r>
      <w:r w:rsidR="00241B01" w:rsidRPr="003763EE">
        <w:rPr>
          <w:rFonts w:eastAsia="Calibri" w:cs="Times New Roman"/>
          <w:color w:val="auto"/>
          <w:szCs w:val="24"/>
        </w:rPr>
        <w:t xml:space="preserve">%, coded </w:t>
      </w:r>
      <w:r w:rsidR="009F000A" w:rsidRPr="003763EE">
        <w:rPr>
          <w:rFonts w:eastAsia="Calibri" w:cs="Times New Roman"/>
          <w:color w:val="auto"/>
          <w:szCs w:val="24"/>
        </w:rPr>
        <w:t>5243</w:t>
      </w:r>
      <w:r w:rsidR="00241B01" w:rsidRPr="003763EE">
        <w:rPr>
          <w:rFonts w:eastAsia="Calibri" w:cs="Times New Roman"/>
          <w:color w:val="auto"/>
          <w:szCs w:val="24"/>
        </w:rPr>
        <w:t xml:space="preserve"> IAW VASRD §4.71a.</w:t>
      </w:r>
      <w:r w:rsidR="00407EE7" w:rsidRPr="003763EE">
        <w:rPr>
          <w:rFonts w:eastAsia="Calibri" w:cs="Times New Roman"/>
          <w:color w:val="auto"/>
          <w:szCs w:val="24"/>
        </w:rPr>
        <w:t xml:space="preserve">  </w:t>
      </w:r>
      <w:r w:rsidR="009F000A" w:rsidRPr="003763EE">
        <w:rPr>
          <w:rFonts w:eastAsia="Calibri" w:cs="Times New Roman"/>
          <w:color w:val="auto"/>
          <w:szCs w:val="24"/>
        </w:rPr>
        <w:t xml:space="preserve">In the matter of the </w:t>
      </w:r>
      <w:r w:rsidR="008C5F3B">
        <w:rPr>
          <w:rFonts w:eastAsia="Calibri" w:cs="Times New Roman"/>
          <w:color w:val="auto"/>
          <w:szCs w:val="24"/>
        </w:rPr>
        <w:t>l</w:t>
      </w:r>
      <w:r w:rsidR="009F000A" w:rsidRPr="003763EE">
        <w:rPr>
          <w:color w:val="auto"/>
        </w:rPr>
        <w:t xml:space="preserve">eft </w:t>
      </w:r>
      <w:r w:rsidR="008C5F3B">
        <w:rPr>
          <w:color w:val="auto"/>
        </w:rPr>
        <w:t>l</w:t>
      </w:r>
      <w:r w:rsidR="009F000A" w:rsidRPr="003763EE">
        <w:rPr>
          <w:color w:val="auto"/>
        </w:rPr>
        <w:t xml:space="preserve">eg </w:t>
      </w:r>
      <w:r w:rsidR="008C5F3B">
        <w:rPr>
          <w:color w:val="auto"/>
        </w:rPr>
        <w:t>p</w:t>
      </w:r>
      <w:r w:rsidR="00D81E13">
        <w:rPr>
          <w:color w:val="auto"/>
        </w:rPr>
        <w:t xml:space="preserve">ain with L5-S1 </w:t>
      </w:r>
      <w:proofErr w:type="spellStart"/>
      <w:r w:rsidR="00D81E13">
        <w:rPr>
          <w:color w:val="auto"/>
        </w:rPr>
        <w:t>r</w:t>
      </w:r>
      <w:r w:rsidR="009F000A" w:rsidRPr="003763EE">
        <w:rPr>
          <w:color w:val="auto"/>
        </w:rPr>
        <w:t>adiculopathy</w:t>
      </w:r>
      <w:proofErr w:type="spellEnd"/>
      <w:r w:rsidR="009F000A" w:rsidRPr="003763EE">
        <w:rPr>
          <w:rFonts w:eastAsia="Calibri" w:cs="Times New Roman"/>
          <w:color w:val="auto"/>
          <w:szCs w:val="24"/>
        </w:rPr>
        <w:t xml:space="preserve"> condition and IAW VASRD §4.124a, the Board unanimously recommends no change in the PEB adjudication.</w:t>
      </w:r>
      <w:r w:rsidR="00407EE7" w:rsidRPr="003763EE">
        <w:rPr>
          <w:rFonts w:eastAsia="Calibri" w:cs="Times New Roman"/>
          <w:color w:val="auto"/>
          <w:szCs w:val="24"/>
        </w:rPr>
        <w:t xml:space="preserve">  </w:t>
      </w:r>
      <w:r w:rsidR="00417BED" w:rsidRPr="003763EE">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Default="00AD2379" w:rsidP="006364ED">
      <w:pPr>
        <w:jc w:val="left"/>
        <w:rPr>
          <w:color w:val="auto"/>
          <w:highlight w:val="magenta"/>
        </w:rPr>
      </w:pPr>
    </w:p>
    <w:p w:rsidR="008C5F3B" w:rsidRDefault="008C5F3B" w:rsidP="006364ED">
      <w:pPr>
        <w:jc w:val="left"/>
        <w:rPr>
          <w:color w:val="auto"/>
          <w:highlight w:val="magenta"/>
        </w:rPr>
      </w:pPr>
    </w:p>
    <w:p w:rsidR="008C5F3B" w:rsidRPr="00F64312" w:rsidRDefault="008C5F3B" w:rsidP="006364ED">
      <w:pPr>
        <w:jc w:val="left"/>
        <w:rPr>
          <w:color w:val="auto"/>
          <w:highlight w:val="magenta"/>
        </w:rPr>
      </w:pPr>
    </w:p>
    <w:p w:rsidR="00565636" w:rsidRPr="00F64312" w:rsidRDefault="00AD2379" w:rsidP="008D3D78">
      <w:pPr>
        <w:jc w:val="left"/>
        <w:rPr>
          <w:rFonts w:eastAsia="Calibri" w:cs="Times New Roman"/>
          <w:color w:val="auto"/>
          <w:szCs w:val="24"/>
        </w:rPr>
      </w:pPr>
      <w:r w:rsidRPr="00F64312">
        <w:rPr>
          <w:color w:val="auto"/>
          <w:u w:val="single"/>
        </w:rPr>
        <w:lastRenderedPageBreak/>
        <w:t>RECOMMENDATION</w:t>
      </w:r>
      <w:r w:rsidRPr="00F64312">
        <w:rPr>
          <w:color w:val="auto"/>
        </w:rPr>
        <w:t xml:space="preserve">: </w:t>
      </w:r>
      <w:r w:rsidR="008D3D78">
        <w:rPr>
          <w:color w:val="auto"/>
        </w:rPr>
        <w:t xml:space="preserve">  </w:t>
      </w:r>
      <w:r w:rsidR="00565636" w:rsidRPr="00F64312">
        <w:rPr>
          <w:rFonts w:eastAsia="Calibri" w:cs="Times New Roman"/>
          <w:color w:val="auto"/>
          <w:szCs w:val="24"/>
        </w:rPr>
        <w:t>The Board recommends that the CI’s prior determination be modified as follows</w:t>
      </w:r>
      <w:r w:rsidR="00417BED" w:rsidRPr="00F64312">
        <w:rPr>
          <w:rFonts w:eastAsia="Calibri" w:cs="Times New Roman"/>
          <w:color w:val="auto"/>
          <w:szCs w:val="24"/>
        </w:rPr>
        <w:t>;</w:t>
      </w:r>
      <w:r w:rsidR="00565636" w:rsidRPr="00F64312">
        <w:rPr>
          <w:rFonts w:eastAsia="Calibri" w:cs="Times New Roman"/>
          <w:color w:val="auto"/>
          <w:szCs w:val="24"/>
        </w:rPr>
        <w:t xml:space="preserve"> and</w:t>
      </w:r>
      <w:r w:rsidR="00417BED" w:rsidRPr="00F64312">
        <w:rPr>
          <w:rFonts w:eastAsia="Calibri" w:cs="Times New Roman"/>
          <w:color w:val="auto"/>
          <w:szCs w:val="24"/>
        </w:rPr>
        <w:t>,</w:t>
      </w:r>
      <w:r w:rsidR="00565636" w:rsidRPr="00F64312">
        <w:rPr>
          <w:rFonts w:eastAsia="Calibri" w:cs="Times New Roman"/>
          <w:color w:val="auto"/>
          <w:szCs w:val="24"/>
        </w:rPr>
        <w:t xml:space="preserve"> that the discharge with severance pay be recharacterized to reflect permanent disability retirement, effective as of the date of his</w:t>
      </w:r>
      <w:r w:rsidR="00417BED" w:rsidRPr="00F64312">
        <w:rPr>
          <w:rFonts w:eastAsia="Calibri" w:cs="Times New Roman"/>
          <w:color w:val="auto"/>
          <w:szCs w:val="24"/>
        </w:rPr>
        <w:t xml:space="preserve"> prior medical separation:</w:t>
      </w:r>
      <w:r w:rsidR="006B690F" w:rsidRPr="00F64312">
        <w:rPr>
          <w:rFonts w:eastAsia="Calibri" w:cs="Times New Roman"/>
          <w:color w:val="auto"/>
          <w:szCs w:val="24"/>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6B0889" w:rsidRPr="00F64312" w:rsidTr="006A3F32">
        <w:trPr>
          <w:jc w:val="center"/>
        </w:trPr>
        <w:tc>
          <w:tcPr>
            <w:tcW w:w="6768" w:type="dxa"/>
          </w:tcPr>
          <w:p w:rsidR="006B0889" w:rsidRPr="006B0889" w:rsidRDefault="006B0889" w:rsidP="006B0889">
            <w:pPr>
              <w:jc w:val="left"/>
              <w:rPr>
                <w:color w:val="auto"/>
              </w:rPr>
            </w:pPr>
            <w:r w:rsidRPr="006B0889">
              <w:rPr>
                <w:color w:val="auto"/>
              </w:rPr>
              <w:t>Chronic Low Back Pain with Left Leg Pain</w:t>
            </w:r>
          </w:p>
        </w:tc>
        <w:tc>
          <w:tcPr>
            <w:tcW w:w="1530" w:type="dxa"/>
          </w:tcPr>
          <w:p w:rsidR="006B0889" w:rsidRPr="006B0889" w:rsidRDefault="006B0889" w:rsidP="006A3F32">
            <w:pPr>
              <w:rPr>
                <w:color w:val="auto"/>
              </w:rPr>
            </w:pPr>
            <w:r w:rsidRPr="006B0889">
              <w:rPr>
                <w:color w:val="auto"/>
              </w:rPr>
              <w:t>5243</w:t>
            </w:r>
          </w:p>
        </w:tc>
        <w:tc>
          <w:tcPr>
            <w:tcW w:w="1026" w:type="dxa"/>
            <w:vAlign w:val="center"/>
          </w:tcPr>
          <w:p w:rsidR="006B0889" w:rsidRPr="006B0889" w:rsidRDefault="00CE0545" w:rsidP="006B690F">
            <w:pPr>
              <w:tabs>
                <w:tab w:val="left" w:pos="288"/>
                <w:tab w:val="left" w:pos="4752"/>
              </w:tabs>
              <w:rPr>
                <w:color w:val="auto"/>
              </w:rPr>
            </w:pPr>
            <w:r>
              <w:rPr>
                <w:color w:val="auto"/>
              </w:rPr>
              <w:t>2</w:t>
            </w:r>
            <w:r w:rsidR="006B0889" w:rsidRPr="006B0889">
              <w:rPr>
                <w:color w:val="auto"/>
              </w:rPr>
              <w:t>0%</w:t>
            </w:r>
          </w:p>
        </w:tc>
      </w:tr>
      <w:tr w:rsidR="006B0889" w:rsidRPr="00F64312" w:rsidTr="006A3F32">
        <w:trPr>
          <w:jc w:val="center"/>
        </w:trPr>
        <w:tc>
          <w:tcPr>
            <w:tcW w:w="6768" w:type="dxa"/>
          </w:tcPr>
          <w:p w:rsidR="006B0889" w:rsidRPr="006B0889" w:rsidRDefault="006B0889" w:rsidP="006B0889">
            <w:pPr>
              <w:jc w:val="left"/>
              <w:rPr>
                <w:color w:val="auto"/>
              </w:rPr>
            </w:pPr>
            <w:r w:rsidRPr="006B0889">
              <w:rPr>
                <w:color w:val="auto"/>
              </w:rPr>
              <w:t>Left Leg Pain with  L5-S1 Radiculopathy</w:t>
            </w:r>
          </w:p>
        </w:tc>
        <w:tc>
          <w:tcPr>
            <w:tcW w:w="1530" w:type="dxa"/>
          </w:tcPr>
          <w:p w:rsidR="006B0889" w:rsidRPr="006B0889" w:rsidRDefault="006B0889" w:rsidP="006A3F32">
            <w:pPr>
              <w:rPr>
                <w:color w:val="auto"/>
              </w:rPr>
            </w:pPr>
            <w:r w:rsidRPr="006B0889">
              <w:rPr>
                <w:color w:val="auto"/>
              </w:rPr>
              <w:t>5243-8520</w:t>
            </w:r>
          </w:p>
        </w:tc>
        <w:tc>
          <w:tcPr>
            <w:tcW w:w="1026" w:type="dxa"/>
            <w:vAlign w:val="center"/>
          </w:tcPr>
          <w:p w:rsidR="006B0889" w:rsidRPr="006B0889" w:rsidRDefault="008E5BDD" w:rsidP="006B690F">
            <w:pPr>
              <w:tabs>
                <w:tab w:val="left" w:pos="288"/>
                <w:tab w:val="left" w:pos="4752"/>
              </w:tabs>
              <w:rPr>
                <w:color w:val="auto"/>
              </w:rPr>
            </w:pPr>
            <w:r>
              <w:rPr>
                <w:color w:val="auto"/>
              </w:rPr>
              <w:t>10%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p>
        </w:tc>
        <w:tc>
          <w:tcPr>
            <w:tcW w:w="1026" w:type="dxa"/>
            <w:shd w:val="clear" w:color="auto" w:fill="D9D9D9"/>
            <w:vAlign w:val="center"/>
          </w:tcPr>
          <w:p w:rsidR="00AD2379" w:rsidRPr="006B0889" w:rsidRDefault="00407EE7" w:rsidP="006B690F">
            <w:pPr>
              <w:tabs>
                <w:tab w:val="left" w:pos="288"/>
                <w:tab w:val="left" w:pos="4752"/>
              </w:tabs>
              <w:rPr>
                <w:b/>
                <w:color w:val="auto"/>
              </w:rPr>
            </w:pPr>
            <w:r>
              <w:rPr>
                <w:b/>
                <w:color w:val="auto"/>
              </w:rPr>
              <w:t>3</w:t>
            </w:r>
            <w:r w:rsidR="00AD2379" w:rsidRPr="006B0889">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B8210A">
        <w:rPr>
          <w:color w:val="auto"/>
        </w:rPr>
        <w:t>20</w:t>
      </w:r>
      <w:r w:rsidR="00B8210A" w:rsidRPr="00B8210A">
        <w:rPr>
          <w:color w:val="auto"/>
        </w:rPr>
        <w:t>120203</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2C47D4">
        <w:rPr>
          <w:color w:val="auto"/>
        </w:rPr>
        <w:t>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2C47D4" w:rsidRDefault="002C47D4" w:rsidP="00BF0E94">
      <w:pPr>
        <w:tabs>
          <w:tab w:val="left" w:pos="0"/>
          <w:tab w:val="left" w:pos="4320"/>
        </w:tabs>
        <w:jc w:val="both"/>
        <w:rPr>
          <w:color w:val="auto"/>
        </w:rPr>
      </w:pPr>
    </w:p>
    <w:p w:rsidR="002C47D4" w:rsidRDefault="002C47D4">
      <w:pPr>
        <w:spacing w:line="240" w:lineRule="auto"/>
        <w:jc w:val="left"/>
        <w:rPr>
          <w:color w:val="auto"/>
        </w:rPr>
      </w:pPr>
      <w:r>
        <w:rPr>
          <w:color w:val="auto"/>
        </w:rPr>
        <w:br w:type="page"/>
      </w:r>
    </w:p>
    <w:p w:rsidR="002C47D4" w:rsidRDefault="002C47D4" w:rsidP="002C47D4">
      <w:pPr>
        <w:pStyle w:val="Header"/>
        <w:tabs>
          <w:tab w:val="left" w:pos="720"/>
        </w:tabs>
        <w:jc w:val="left"/>
      </w:pPr>
      <w:r>
        <w:lastRenderedPageBreak/>
        <w:t>SFMR-RB</w:t>
      </w:r>
      <w:r>
        <w:tab/>
      </w:r>
      <w:r>
        <w:tab/>
      </w:r>
      <w:r>
        <w:tab/>
      </w:r>
      <w:r>
        <w:tab/>
      </w:r>
      <w:r>
        <w:tab/>
      </w:r>
      <w:r>
        <w:tab/>
      </w:r>
      <w:r>
        <w:tab/>
      </w:r>
      <w:r>
        <w:tab/>
      </w:r>
      <w:r>
        <w:tab/>
      </w:r>
    </w:p>
    <w:p w:rsidR="002C47D4" w:rsidRDefault="002C47D4" w:rsidP="002C47D4">
      <w:pPr>
        <w:pStyle w:val="Header"/>
        <w:tabs>
          <w:tab w:val="left" w:pos="720"/>
        </w:tabs>
        <w:jc w:val="left"/>
      </w:pPr>
    </w:p>
    <w:p w:rsidR="002C47D4" w:rsidRDefault="002C47D4" w:rsidP="002C47D4">
      <w:pPr>
        <w:jc w:val="left"/>
      </w:pPr>
    </w:p>
    <w:p w:rsidR="002C47D4" w:rsidRDefault="002C47D4" w:rsidP="002C47D4">
      <w:pPr>
        <w:jc w:val="left"/>
      </w:pPr>
      <w:r>
        <w:t xml:space="preserve">MEMORANDUM FOR Commander, US Army Physical Disability Agency </w:t>
      </w:r>
    </w:p>
    <w:p w:rsidR="002C47D4" w:rsidRDefault="002C47D4" w:rsidP="002C47D4">
      <w:pPr>
        <w:jc w:val="left"/>
      </w:pPr>
      <w:r>
        <w:t xml:space="preserve">(TAPD-ZB </w:t>
      </w:r>
      <w:proofErr w:type="gramStart"/>
      <w:r>
        <w:t>/  )</w:t>
      </w:r>
      <w:proofErr w:type="gramEnd"/>
      <w:r>
        <w:t>, 2900 Crystal Drive, Suite 300, Arlington, VA  22202-3557</w:t>
      </w:r>
    </w:p>
    <w:p w:rsidR="002C47D4" w:rsidRDefault="002C47D4" w:rsidP="002C47D4">
      <w:pPr>
        <w:jc w:val="left"/>
      </w:pPr>
    </w:p>
    <w:p w:rsidR="002C47D4" w:rsidRDefault="002C47D4" w:rsidP="002C47D4">
      <w:pPr>
        <w:jc w:val="left"/>
      </w:pPr>
    </w:p>
    <w:p w:rsidR="002C47D4" w:rsidRDefault="002C47D4" w:rsidP="002C47D4">
      <w:pPr>
        <w:ind w:right="-180"/>
        <w:jc w:val="left"/>
      </w:pPr>
      <w:r>
        <w:t xml:space="preserve">SUBJECT:  Department of Defense Physical Disability Board of Review Recommendation </w:t>
      </w:r>
    </w:p>
    <w:p w:rsidR="002C47D4" w:rsidRDefault="002C47D4" w:rsidP="002C47D4">
      <w:pPr>
        <w:pStyle w:val="Header"/>
        <w:tabs>
          <w:tab w:val="left" w:pos="720"/>
        </w:tabs>
        <w:jc w:val="left"/>
      </w:pPr>
      <w:proofErr w:type="gramStart"/>
      <w:r>
        <w:t>for</w:t>
      </w:r>
      <w:proofErr w:type="gramEnd"/>
      <w:r>
        <w:t xml:space="preserve"> XXXXXXXXXXXXXXXXXXXXX, AR20120020011 (PD201200133)</w:t>
      </w:r>
    </w:p>
    <w:p w:rsidR="002C47D4" w:rsidRDefault="002C47D4" w:rsidP="002C47D4">
      <w:pPr>
        <w:pStyle w:val="Header"/>
        <w:tabs>
          <w:tab w:val="left" w:pos="720"/>
        </w:tabs>
        <w:jc w:val="left"/>
      </w:pPr>
    </w:p>
    <w:p w:rsidR="002C47D4" w:rsidRDefault="002C47D4" w:rsidP="002C47D4">
      <w:pPr>
        <w:jc w:val="left"/>
      </w:pPr>
    </w:p>
    <w:p w:rsidR="002C47D4" w:rsidRDefault="002C47D4" w:rsidP="002C47D4">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2C47D4" w:rsidRDefault="002C47D4" w:rsidP="002C47D4">
      <w:pPr>
        <w:jc w:val="left"/>
      </w:pPr>
    </w:p>
    <w:p w:rsidR="002C47D4" w:rsidRDefault="002C47D4" w:rsidP="002C47D4">
      <w:pPr>
        <w:jc w:val="left"/>
      </w:pPr>
      <w:r>
        <w:t>2.  I direct that all the Department of the Army records of the individual concerned be corrected accordingly no later than 120 days from the date of this memorandum:</w:t>
      </w:r>
    </w:p>
    <w:p w:rsidR="002C47D4" w:rsidRDefault="002C47D4" w:rsidP="002C47D4">
      <w:pPr>
        <w:jc w:val="left"/>
      </w:pPr>
    </w:p>
    <w:p w:rsidR="002C47D4" w:rsidRDefault="002C47D4" w:rsidP="002C47D4">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2C47D4" w:rsidRDefault="002C47D4" w:rsidP="002C47D4">
      <w:pPr>
        <w:jc w:val="left"/>
      </w:pPr>
    </w:p>
    <w:p w:rsidR="002C47D4" w:rsidRDefault="002C47D4" w:rsidP="002C47D4">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2C47D4" w:rsidRDefault="002C47D4" w:rsidP="002C47D4">
      <w:pPr>
        <w:jc w:val="left"/>
      </w:pPr>
    </w:p>
    <w:p w:rsidR="002C47D4" w:rsidRDefault="002C47D4" w:rsidP="002C47D4">
      <w:pPr>
        <w:jc w:val="left"/>
      </w:pPr>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2C47D4" w:rsidRDefault="002C47D4" w:rsidP="002C47D4">
      <w:pPr>
        <w:jc w:val="left"/>
      </w:pPr>
    </w:p>
    <w:p w:rsidR="002C47D4" w:rsidRDefault="002C47D4" w:rsidP="002C47D4">
      <w:pPr>
        <w:jc w:val="left"/>
      </w:pPr>
      <w:r>
        <w:tab/>
      </w:r>
      <w:proofErr w:type="gramStart"/>
      <w:r>
        <w:t>d.  Affording</w:t>
      </w:r>
      <w:proofErr w:type="gramEnd"/>
      <w:r>
        <w:t xml:space="preserve"> the individual the opportunity to elect Survivor Benefit Plan (SBP) and medical TRICARE retiree options.</w:t>
      </w:r>
    </w:p>
    <w:p w:rsidR="002C47D4" w:rsidRDefault="002C47D4" w:rsidP="002C47D4">
      <w:pPr>
        <w:jc w:val="left"/>
      </w:pPr>
    </w:p>
    <w:p w:rsidR="002C47D4" w:rsidRDefault="002C47D4" w:rsidP="002C47D4">
      <w:pPr>
        <w:jc w:val="left"/>
      </w:pPr>
    </w:p>
    <w:p w:rsidR="002C47D4" w:rsidRDefault="002C47D4" w:rsidP="002C47D4">
      <w:pPr>
        <w:jc w:val="left"/>
      </w:pPr>
    </w:p>
    <w:p w:rsidR="002C47D4" w:rsidRDefault="002C47D4" w:rsidP="002C47D4">
      <w:pPr>
        <w:jc w:val="left"/>
      </w:pPr>
    </w:p>
    <w:p w:rsidR="002C47D4" w:rsidRDefault="002C47D4" w:rsidP="002C47D4">
      <w:pPr>
        <w:jc w:val="left"/>
      </w:pPr>
    </w:p>
    <w:p w:rsidR="002C47D4" w:rsidRDefault="002C47D4" w:rsidP="002C47D4">
      <w:pPr>
        <w:jc w:val="left"/>
      </w:pPr>
    </w:p>
    <w:p w:rsidR="002C47D4" w:rsidRDefault="002C47D4" w:rsidP="002C47D4">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2C47D4" w:rsidRDefault="002C47D4" w:rsidP="002C47D4">
      <w:pPr>
        <w:jc w:val="left"/>
      </w:pPr>
    </w:p>
    <w:p w:rsidR="002C47D4" w:rsidRDefault="002C47D4" w:rsidP="002C47D4">
      <w:pPr>
        <w:jc w:val="left"/>
      </w:pPr>
      <w:r>
        <w:t>BY ORDER OF THE SECRETARY OF THE ARMY:</w:t>
      </w:r>
    </w:p>
    <w:p w:rsidR="002C47D4" w:rsidRDefault="002C47D4" w:rsidP="002C47D4">
      <w:pPr>
        <w:jc w:val="left"/>
      </w:pPr>
    </w:p>
    <w:p w:rsidR="002C47D4" w:rsidRDefault="002C47D4" w:rsidP="002C47D4">
      <w:pPr>
        <w:jc w:val="left"/>
      </w:pPr>
    </w:p>
    <w:p w:rsidR="002C47D4" w:rsidRDefault="002C47D4" w:rsidP="002C47D4">
      <w:pPr>
        <w:pStyle w:val="Header"/>
        <w:tabs>
          <w:tab w:val="left" w:pos="720"/>
        </w:tabs>
        <w:jc w:val="left"/>
      </w:pPr>
    </w:p>
    <w:p w:rsidR="002C47D4" w:rsidRDefault="002C47D4" w:rsidP="002C47D4">
      <w:pPr>
        <w:jc w:val="left"/>
      </w:pPr>
    </w:p>
    <w:p w:rsidR="002C47D4" w:rsidRDefault="002C47D4" w:rsidP="002C47D4">
      <w:pPr>
        <w:jc w:val="left"/>
      </w:pPr>
      <w:bookmarkStart w:id="0" w:name="OLE_LINK4"/>
      <w:bookmarkStart w:id="1" w:name="OLE_LINK3"/>
      <w:r>
        <w:t>Encl</w:t>
      </w:r>
      <w:r>
        <w:tab/>
      </w:r>
      <w:r>
        <w:tab/>
      </w:r>
      <w:r>
        <w:tab/>
      </w:r>
      <w:r>
        <w:tab/>
      </w:r>
      <w:r>
        <w:tab/>
      </w:r>
      <w:r>
        <w:tab/>
        <w:t xml:space="preserve">     XXXXXXXXXXXXXXXXXX</w:t>
      </w:r>
    </w:p>
    <w:p w:rsidR="002C47D4" w:rsidRDefault="002C47D4" w:rsidP="002C47D4">
      <w:pPr>
        <w:jc w:val="left"/>
      </w:pPr>
      <w:r>
        <w:tab/>
      </w:r>
      <w:r>
        <w:tab/>
      </w:r>
      <w:r>
        <w:tab/>
      </w:r>
      <w:r>
        <w:tab/>
      </w:r>
      <w:r>
        <w:tab/>
      </w:r>
      <w:r>
        <w:tab/>
        <w:t xml:space="preserve">     Deputy Assistant Secretary</w:t>
      </w:r>
    </w:p>
    <w:p w:rsidR="002C47D4" w:rsidRDefault="002C47D4" w:rsidP="002C47D4">
      <w:pPr>
        <w:jc w:val="left"/>
      </w:pPr>
      <w:r>
        <w:tab/>
      </w:r>
      <w:r>
        <w:tab/>
      </w:r>
      <w:r>
        <w:tab/>
      </w:r>
      <w:r>
        <w:tab/>
      </w:r>
      <w:r>
        <w:tab/>
      </w:r>
      <w:r>
        <w:tab/>
        <w:t xml:space="preserve">         (Army Review Boards)</w:t>
      </w:r>
      <w:bookmarkEnd w:id="0"/>
      <w:bookmarkEnd w:id="1"/>
    </w:p>
    <w:p w:rsidR="002C47D4" w:rsidRDefault="002C47D4" w:rsidP="002C47D4">
      <w:pPr>
        <w:jc w:val="left"/>
      </w:pPr>
    </w:p>
    <w:p w:rsidR="002C47D4" w:rsidRDefault="002C47D4" w:rsidP="002C47D4">
      <w:pPr>
        <w:jc w:val="left"/>
      </w:pPr>
      <w:r>
        <w:t xml:space="preserve">CF: </w:t>
      </w:r>
    </w:p>
    <w:p w:rsidR="002C47D4" w:rsidRDefault="002C47D4" w:rsidP="002C47D4">
      <w:pPr>
        <w:jc w:val="left"/>
      </w:pPr>
      <w:r>
        <w:t xml:space="preserve">(  ) </w:t>
      </w:r>
      <w:proofErr w:type="spellStart"/>
      <w:proofErr w:type="gramStart"/>
      <w:r>
        <w:t>DoD</w:t>
      </w:r>
      <w:proofErr w:type="spellEnd"/>
      <w:proofErr w:type="gramEnd"/>
      <w:r>
        <w:t xml:space="preserve"> PDBR</w:t>
      </w:r>
    </w:p>
    <w:p w:rsidR="002C47D4" w:rsidRDefault="002C47D4" w:rsidP="002C47D4">
      <w:pPr>
        <w:jc w:val="left"/>
      </w:pPr>
      <w:r>
        <w:t>(  ) DVA</w:t>
      </w:r>
    </w:p>
    <w:p w:rsidR="00DF3B06" w:rsidRDefault="00DF3B06" w:rsidP="002C47D4">
      <w:pPr>
        <w:tabs>
          <w:tab w:val="left" w:pos="0"/>
          <w:tab w:val="left" w:pos="4320"/>
        </w:tabs>
        <w:jc w:val="left"/>
        <w:rPr>
          <w:color w:val="auto"/>
        </w:rPr>
      </w:pPr>
    </w:p>
    <w:sectPr w:rsidR="00DF3B06"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21F" w:rsidRDefault="009E721F">
      <w:r>
        <w:separator/>
      </w:r>
    </w:p>
  </w:endnote>
  <w:endnote w:type="continuationSeparator" w:id="0">
    <w:p w:rsidR="009E721F" w:rsidRDefault="009E72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6C4" w:rsidRPr="00374247" w:rsidRDefault="007E26C4" w:rsidP="00726F84">
    <w:pPr>
      <w:pStyle w:val="Footer"/>
      <w:ind w:firstLine="4320"/>
      <w:rPr>
        <w:color w:val="auto"/>
      </w:rPr>
    </w:pPr>
    <w:r w:rsidRPr="00374247">
      <w:rPr>
        <w:color w:val="auto"/>
      </w:rPr>
      <w:t xml:space="preserve">   </w:t>
    </w:r>
    <w:fldSimple w:instr=" PAGE   \* MERGEFORMAT ">
      <w:r w:rsidR="002C47D4" w:rsidRPr="002C47D4">
        <w:rPr>
          <w:noProof/>
          <w:color w:val="auto"/>
        </w:rPr>
        <w:t>6</w:t>
      </w:r>
    </w:fldSimple>
    <w:r w:rsidRPr="00374247">
      <w:rPr>
        <w:color w:val="auto"/>
      </w:rPr>
      <w:t xml:space="preserve">                                                           </w:t>
    </w:r>
    <w:r>
      <w:rPr>
        <w:color w:val="auto"/>
      </w:rPr>
      <w:t>PD12</w:t>
    </w:r>
    <w:r w:rsidRPr="00222B93">
      <w:rPr>
        <w:color w:val="auto"/>
      </w:rPr>
      <w:t>00133</w:t>
    </w:r>
  </w:p>
  <w:p w:rsidR="007E26C4" w:rsidRPr="00684CE6" w:rsidRDefault="007E26C4">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21F" w:rsidRDefault="009E721F">
      <w:r>
        <w:separator/>
      </w:r>
    </w:p>
  </w:footnote>
  <w:footnote w:type="continuationSeparator" w:id="0">
    <w:p w:rsidR="009E721F" w:rsidRDefault="009E72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0958"/>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3BA"/>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1E11"/>
    <w:rsid w:val="00082482"/>
    <w:rsid w:val="00082CA0"/>
    <w:rsid w:val="00084CF2"/>
    <w:rsid w:val="00084FE5"/>
    <w:rsid w:val="00085D7B"/>
    <w:rsid w:val="0008708B"/>
    <w:rsid w:val="00092619"/>
    <w:rsid w:val="00092C66"/>
    <w:rsid w:val="00092CC9"/>
    <w:rsid w:val="000949DD"/>
    <w:rsid w:val="00094E4F"/>
    <w:rsid w:val="0009705D"/>
    <w:rsid w:val="000A2BCE"/>
    <w:rsid w:val="000A31E2"/>
    <w:rsid w:val="000A33C8"/>
    <w:rsid w:val="000A41E3"/>
    <w:rsid w:val="000A4AB4"/>
    <w:rsid w:val="000A4BBA"/>
    <w:rsid w:val="000A5071"/>
    <w:rsid w:val="000B0AD2"/>
    <w:rsid w:val="000B1022"/>
    <w:rsid w:val="000B1C9E"/>
    <w:rsid w:val="000B1DD1"/>
    <w:rsid w:val="000B2FB8"/>
    <w:rsid w:val="000B3927"/>
    <w:rsid w:val="000B4071"/>
    <w:rsid w:val="000B471C"/>
    <w:rsid w:val="000B4C99"/>
    <w:rsid w:val="000B5923"/>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56DA"/>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07D0"/>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41AD"/>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4F9C"/>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3D2C"/>
    <w:rsid w:val="001F6E0B"/>
    <w:rsid w:val="00200AA0"/>
    <w:rsid w:val="00201284"/>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2B93"/>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54A"/>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47D4"/>
    <w:rsid w:val="002C5D9D"/>
    <w:rsid w:val="002C5F10"/>
    <w:rsid w:val="002C6E5B"/>
    <w:rsid w:val="002D08F3"/>
    <w:rsid w:val="002D18B4"/>
    <w:rsid w:val="002D2058"/>
    <w:rsid w:val="002D231A"/>
    <w:rsid w:val="002D5330"/>
    <w:rsid w:val="002D580F"/>
    <w:rsid w:val="002D5F57"/>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906"/>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105"/>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7E0"/>
    <w:rsid w:val="00344A4F"/>
    <w:rsid w:val="00344D17"/>
    <w:rsid w:val="0034669F"/>
    <w:rsid w:val="003470C4"/>
    <w:rsid w:val="00347D0D"/>
    <w:rsid w:val="00351498"/>
    <w:rsid w:val="003525D0"/>
    <w:rsid w:val="00352B22"/>
    <w:rsid w:val="00352CBF"/>
    <w:rsid w:val="003534DC"/>
    <w:rsid w:val="00354547"/>
    <w:rsid w:val="003549F5"/>
    <w:rsid w:val="00355ACB"/>
    <w:rsid w:val="003564BA"/>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3EE"/>
    <w:rsid w:val="00376A07"/>
    <w:rsid w:val="00376B81"/>
    <w:rsid w:val="00376E08"/>
    <w:rsid w:val="00377BD2"/>
    <w:rsid w:val="00380601"/>
    <w:rsid w:val="00380FD4"/>
    <w:rsid w:val="00381E16"/>
    <w:rsid w:val="003821E1"/>
    <w:rsid w:val="003840F6"/>
    <w:rsid w:val="0038444D"/>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07EE7"/>
    <w:rsid w:val="004101B2"/>
    <w:rsid w:val="004123D7"/>
    <w:rsid w:val="00412658"/>
    <w:rsid w:val="004129DA"/>
    <w:rsid w:val="00415EA4"/>
    <w:rsid w:val="0041604B"/>
    <w:rsid w:val="0041625F"/>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2D2"/>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184"/>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A42"/>
    <w:rsid w:val="004B1C61"/>
    <w:rsid w:val="004B2536"/>
    <w:rsid w:val="004B46D7"/>
    <w:rsid w:val="004B478D"/>
    <w:rsid w:val="004B6AF3"/>
    <w:rsid w:val="004B6B34"/>
    <w:rsid w:val="004B6F1F"/>
    <w:rsid w:val="004B715E"/>
    <w:rsid w:val="004B7169"/>
    <w:rsid w:val="004B791D"/>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13DE"/>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2DC"/>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1A06"/>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2DB8"/>
    <w:rsid w:val="00634A12"/>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1F"/>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3F32"/>
    <w:rsid w:val="006A40E6"/>
    <w:rsid w:val="006A516B"/>
    <w:rsid w:val="006A5362"/>
    <w:rsid w:val="006A543A"/>
    <w:rsid w:val="006A5C07"/>
    <w:rsid w:val="006A75FA"/>
    <w:rsid w:val="006B07D5"/>
    <w:rsid w:val="006B0889"/>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43E"/>
    <w:rsid w:val="006E58CB"/>
    <w:rsid w:val="006E6B68"/>
    <w:rsid w:val="006E7089"/>
    <w:rsid w:val="006E7356"/>
    <w:rsid w:val="006E77C8"/>
    <w:rsid w:val="006F0F9C"/>
    <w:rsid w:val="006F149D"/>
    <w:rsid w:val="006F1A46"/>
    <w:rsid w:val="006F2B5B"/>
    <w:rsid w:val="006F45A0"/>
    <w:rsid w:val="006F4BB6"/>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4168"/>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58E"/>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2A2"/>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26C4"/>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4CE5"/>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5F3B"/>
    <w:rsid w:val="008C710E"/>
    <w:rsid w:val="008D1484"/>
    <w:rsid w:val="008D219E"/>
    <w:rsid w:val="008D29E7"/>
    <w:rsid w:val="008D3D78"/>
    <w:rsid w:val="008D5104"/>
    <w:rsid w:val="008D75F4"/>
    <w:rsid w:val="008D795D"/>
    <w:rsid w:val="008D7B07"/>
    <w:rsid w:val="008E0D8F"/>
    <w:rsid w:val="008E0F4E"/>
    <w:rsid w:val="008E1E94"/>
    <w:rsid w:val="008E2D99"/>
    <w:rsid w:val="008E30D4"/>
    <w:rsid w:val="008E38B0"/>
    <w:rsid w:val="008E3C90"/>
    <w:rsid w:val="008E4A60"/>
    <w:rsid w:val="008E5BDD"/>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0B8"/>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2813"/>
    <w:rsid w:val="0093311A"/>
    <w:rsid w:val="009346D0"/>
    <w:rsid w:val="009369A6"/>
    <w:rsid w:val="00936E38"/>
    <w:rsid w:val="00937433"/>
    <w:rsid w:val="00937F57"/>
    <w:rsid w:val="0094031E"/>
    <w:rsid w:val="009419B4"/>
    <w:rsid w:val="00941A4C"/>
    <w:rsid w:val="00942645"/>
    <w:rsid w:val="009461E6"/>
    <w:rsid w:val="00950A3A"/>
    <w:rsid w:val="009510DE"/>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C3D"/>
    <w:rsid w:val="00962F2D"/>
    <w:rsid w:val="00963A7A"/>
    <w:rsid w:val="009644C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7AA"/>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958EB"/>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044"/>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E721F"/>
    <w:rsid w:val="009F000A"/>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47F"/>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1CB"/>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0DF0"/>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1DC"/>
    <w:rsid w:val="00AE228D"/>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27385"/>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2F9"/>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0C1"/>
    <w:rsid w:val="00B57921"/>
    <w:rsid w:val="00B57E78"/>
    <w:rsid w:val="00B57EB8"/>
    <w:rsid w:val="00B609F6"/>
    <w:rsid w:val="00B60E75"/>
    <w:rsid w:val="00B643A6"/>
    <w:rsid w:val="00B64DD6"/>
    <w:rsid w:val="00B64F78"/>
    <w:rsid w:val="00B66505"/>
    <w:rsid w:val="00B6710C"/>
    <w:rsid w:val="00B67142"/>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10A"/>
    <w:rsid w:val="00B82277"/>
    <w:rsid w:val="00B83F87"/>
    <w:rsid w:val="00B843DD"/>
    <w:rsid w:val="00B8478F"/>
    <w:rsid w:val="00B84F93"/>
    <w:rsid w:val="00B91676"/>
    <w:rsid w:val="00B9322B"/>
    <w:rsid w:val="00B93640"/>
    <w:rsid w:val="00B94023"/>
    <w:rsid w:val="00B955D5"/>
    <w:rsid w:val="00B95833"/>
    <w:rsid w:val="00B96429"/>
    <w:rsid w:val="00BA1824"/>
    <w:rsid w:val="00BA2D98"/>
    <w:rsid w:val="00BA2F0C"/>
    <w:rsid w:val="00BA30D1"/>
    <w:rsid w:val="00BA30E1"/>
    <w:rsid w:val="00BA4609"/>
    <w:rsid w:val="00BA5BE2"/>
    <w:rsid w:val="00BA60FC"/>
    <w:rsid w:val="00BA6A9C"/>
    <w:rsid w:val="00BA7F46"/>
    <w:rsid w:val="00BB0388"/>
    <w:rsid w:val="00BB0A0A"/>
    <w:rsid w:val="00BB0BE7"/>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47BA"/>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5C29"/>
    <w:rsid w:val="00BF6759"/>
    <w:rsid w:val="00BF70A6"/>
    <w:rsid w:val="00BF72CA"/>
    <w:rsid w:val="00BF7B4F"/>
    <w:rsid w:val="00BF7B63"/>
    <w:rsid w:val="00BF7F3C"/>
    <w:rsid w:val="00C005D4"/>
    <w:rsid w:val="00C00671"/>
    <w:rsid w:val="00C02429"/>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1F83"/>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6E"/>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545"/>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44C0"/>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414"/>
    <w:rsid w:val="00D54BE4"/>
    <w:rsid w:val="00D54DDB"/>
    <w:rsid w:val="00D554BC"/>
    <w:rsid w:val="00D560DC"/>
    <w:rsid w:val="00D56602"/>
    <w:rsid w:val="00D60483"/>
    <w:rsid w:val="00D6056F"/>
    <w:rsid w:val="00D61ABB"/>
    <w:rsid w:val="00D62D5C"/>
    <w:rsid w:val="00D63428"/>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1E13"/>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2F2A"/>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10F"/>
    <w:rsid w:val="00E14581"/>
    <w:rsid w:val="00E14623"/>
    <w:rsid w:val="00E15539"/>
    <w:rsid w:val="00E16541"/>
    <w:rsid w:val="00E16B7D"/>
    <w:rsid w:val="00E17EC9"/>
    <w:rsid w:val="00E202F4"/>
    <w:rsid w:val="00E207C3"/>
    <w:rsid w:val="00E20C7C"/>
    <w:rsid w:val="00E212DF"/>
    <w:rsid w:val="00E21386"/>
    <w:rsid w:val="00E2347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2FA1"/>
    <w:rsid w:val="00E956DB"/>
    <w:rsid w:val="00E957D7"/>
    <w:rsid w:val="00E9763D"/>
    <w:rsid w:val="00EA00A4"/>
    <w:rsid w:val="00EA08E9"/>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B1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29B"/>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0D3"/>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2C72"/>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32113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2862</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2012-11-21T15:46:00Z</dcterms:created>
  <dcterms:modified xsi:type="dcterms:W3CDTF">2012-11-21T15:46:00Z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