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AC4DB4" w:rsidRDefault="00AD2379" w:rsidP="000D4AF7">
      <w:pPr>
        <w:tabs>
          <w:tab w:val="left" w:pos="288"/>
          <w:tab w:val="left" w:pos="4770"/>
        </w:tabs>
        <w:rPr>
          <w:rFonts w:asciiTheme="majorHAnsi" w:hAnsiTheme="majorHAnsi" w:cstheme="majorHAnsi"/>
          <w:color w:val="auto"/>
          <w:szCs w:val="24"/>
        </w:rPr>
      </w:pPr>
      <w:r w:rsidRPr="00AC4DB4">
        <w:rPr>
          <w:rFonts w:asciiTheme="majorHAnsi" w:hAnsiTheme="majorHAnsi" w:cstheme="majorHAnsi"/>
          <w:color w:val="auto"/>
          <w:szCs w:val="24"/>
        </w:rPr>
        <w:t>RECORD OF PROCEEDINGS</w:t>
      </w:r>
    </w:p>
    <w:p w:rsidR="00AD2379" w:rsidRPr="00AC4DB4" w:rsidRDefault="00AD2379" w:rsidP="00BF0E94">
      <w:pPr>
        <w:tabs>
          <w:tab w:val="left" w:pos="288"/>
          <w:tab w:val="left" w:pos="4752"/>
        </w:tabs>
        <w:rPr>
          <w:rFonts w:asciiTheme="majorHAnsi" w:hAnsiTheme="majorHAnsi" w:cstheme="majorHAnsi"/>
          <w:color w:val="auto"/>
          <w:szCs w:val="24"/>
        </w:rPr>
      </w:pPr>
      <w:r w:rsidRPr="00AC4DB4">
        <w:rPr>
          <w:rFonts w:asciiTheme="majorHAnsi" w:hAnsiTheme="majorHAnsi" w:cstheme="majorHAnsi"/>
          <w:color w:val="auto"/>
          <w:szCs w:val="24"/>
        </w:rPr>
        <w:t>PHYSICAL DISABILITY BOARD OF REVIEW</w:t>
      </w:r>
    </w:p>
    <w:p w:rsidR="00AD2379" w:rsidRPr="00AC4DB4" w:rsidRDefault="00AD2379" w:rsidP="00BF0E94">
      <w:pPr>
        <w:tabs>
          <w:tab w:val="left" w:pos="288"/>
          <w:tab w:val="left" w:pos="4752"/>
        </w:tabs>
        <w:jc w:val="both"/>
        <w:rPr>
          <w:rFonts w:asciiTheme="majorHAnsi" w:hAnsiTheme="majorHAnsi" w:cstheme="majorHAnsi"/>
          <w:caps/>
          <w:color w:val="auto"/>
          <w:szCs w:val="24"/>
        </w:rPr>
      </w:pPr>
    </w:p>
    <w:p w:rsidR="0095270D" w:rsidRPr="00AC4DB4" w:rsidRDefault="0095270D" w:rsidP="0094483B">
      <w:pPr>
        <w:tabs>
          <w:tab w:val="left" w:pos="5670"/>
          <w:tab w:val="left" w:pos="6390"/>
          <w:tab w:val="right" w:pos="9270"/>
        </w:tabs>
        <w:jc w:val="both"/>
        <w:rPr>
          <w:rFonts w:asciiTheme="majorHAnsi" w:hAnsiTheme="majorHAnsi" w:cstheme="majorHAnsi"/>
          <w:caps/>
          <w:color w:val="auto"/>
          <w:szCs w:val="24"/>
        </w:rPr>
      </w:pPr>
      <w:r w:rsidRPr="00AC4DB4">
        <w:rPr>
          <w:rFonts w:asciiTheme="majorHAnsi" w:hAnsiTheme="majorHAnsi" w:cstheme="majorHAnsi"/>
          <w:caps/>
          <w:color w:val="auto"/>
          <w:szCs w:val="24"/>
        </w:rPr>
        <w:t xml:space="preserve">NAME:  </w:t>
      </w:r>
      <w:r w:rsidR="008A401D">
        <w:rPr>
          <w:rFonts w:asciiTheme="majorHAnsi" w:hAnsiTheme="majorHAnsi" w:cstheme="majorHAnsi"/>
          <w:caps/>
          <w:color w:val="auto"/>
          <w:szCs w:val="24"/>
        </w:rPr>
        <w:t>XXXXXXXXXXXXXXXXX</w:t>
      </w:r>
      <w:r w:rsidR="00532B33" w:rsidRPr="00AC4DB4">
        <w:rPr>
          <w:rFonts w:asciiTheme="majorHAnsi" w:hAnsiTheme="majorHAnsi" w:cstheme="majorHAnsi"/>
          <w:caps/>
          <w:color w:val="auto"/>
          <w:szCs w:val="24"/>
        </w:rPr>
        <w:t xml:space="preserve">     </w:t>
      </w:r>
      <w:r w:rsidRPr="00AC4DB4">
        <w:rPr>
          <w:rFonts w:asciiTheme="majorHAnsi" w:hAnsiTheme="majorHAnsi" w:cstheme="majorHAnsi"/>
          <w:caps/>
          <w:color w:val="auto"/>
          <w:szCs w:val="24"/>
        </w:rPr>
        <w:t xml:space="preserve">    </w:t>
      </w:r>
      <w:r w:rsidR="0047570F" w:rsidRPr="00AC4DB4">
        <w:rPr>
          <w:rFonts w:asciiTheme="majorHAnsi" w:hAnsiTheme="majorHAnsi" w:cstheme="majorHAnsi"/>
          <w:caps/>
          <w:color w:val="auto"/>
          <w:szCs w:val="24"/>
        </w:rPr>
        <w:t xml:space="preserve">    </w:t>
      </w:r>
      <w:r w:rsidRPr="00AC4DB4">
        <w:rPr>
          <w:rFonts w:asciiTheme="majorHAnsi" w:hAnsiTheme="majorHAnsi" w:cstheme="majorHAnsi"/>
          <w:caps/>
          <w:color w:val="auto"/>
          <w:szCs w:val="24"/>
        </w:rPr>
        <w:t xml:space="preserve">    </w:t>
      </w:r>
      <w:r w:rsidR="00AC4DB4" w:rsidRPr="00AC4DB4">
        <w:rPr>
          <w:rFonts w:asciiTheme="majorHAnsi" w:hAnsiTheme="majorHAnsi" w:cstheme="majorHAnsi"/>
          <w:caps/>
          <w:color w:val="auto"/>
          <w:szCs w:val="24"/>
        </w:rPr>
        <w:tab/>
      </w:r>
      <w:r w:rsidR="004F7C57">
        <w:rPr>
          <w:rFonts w:asciiTheme="majorHAnsi" w:hAnsiTheme="majorHAnsi" w:cstheme="majorHAnsi"/>
          <w:caps/>
          <w:color w:val="auto"/>
          <w:szCs w:val="24"/>
        </w:rPr>
        <w:t xml:space="preserve">  </w:t>
      </w:r>
      <w:r w:rsidR="0094483B">
        <w:rPr>
          <w:rFonts w:asciiTheme="majorHAnsi" w:hAnsiTheme="majorHAnsi" w:cstheme="majorHAnsi"/>
          <w:caps/>
          <w:color w:val="auto"/>
          <w:szCs w:val="24"/>
        </w:rPr>
        <w:tab/>
      </w:r>
      <w:r w:rsidRPr="00AC4DB4">
        <w:rPr>
          <w:rFonts w:asciiTheme="majorHAnsi" w:hAnsiTheme="majorHAnsi" w:cstheme="majorHAnsi"/>
          <w:caps/>
          <w:color w:val="auto"/>
          <w:szCs w:val="24"/>
        </w:rPr>
        <w:t>BRANCH OF SERVICE:  Army</w:t>
      </w:r>
    </w:p>
    <w:p w:rsidR="0095270D" w:rsidRPr="00AC4DB4" w:rsidRDefault="0095270D" w:rsidP="0094483B">
      <w:pPr>
        <w:tabs>
          <w:tab w:val="left" w:pos="288"/>
          <w:tab w:val="left" w:pos="5130"/>
          <w:tab w:val="left" w:pos="5670"/>
          <w:tab w:val="left" w:pos="6390"/>
          <w:tab w:val="right" w:pos="9270"/>
        </w:tabs>
        <w:jc w:val="both"/>
        <w:rPr>
          <w:rFonts w:asciiTheme="majorHAnsi" w:hAnsiTheme="majorHAnsi" w:cstheme="majorHAnsi"/>
          <w:color w:val="auto"/>
          <w:szCs w:val="24"/>
        </w:rPr>
      </w:pPr>
      <w:r w:rsidRPr="00AC4DB4">
        <w:rPr>
          <w:rFonts w:asciiTheme="majorHAnsi" w:hAnsiTheme="majorHAnsi" w:cstheme="majorHAnsi"/>
          <w:caps/>
          <w:color w:val="auto"/>
          <w:szCs w:val="24"/>
        </w:rPr>
        <w:t>CASE NUMBER:  PD</w:t>
      </w:r>
      <w:r w:rsidR="001657BE" w:rsidRPr="00AC4DB4">
        <w:rPr>
          <w:rFonts w:asciiTheme="majorHAnsi" w:hAnsiTheme="majorHAnsi" w:cstheme="majorHAnsi"/>
          <w:caps/>
          <w:color w:val="auto"/>
          <w:szCs w:val="24"/>
        </w:rPr>
        <w:t>12</w:t>
      </w:r>
      <w:r w:rsidRPr="00AC4DB4">
        <w:rPr>
          <w:rFonts w:asciiTheme="majorHAnsi" w:hAnsiTheme="majorHAnsi" w:cstheme="majorHAnsi"/>
          <w:caps/>
          <w:color w:val="auto"/>
          <w:szCs w:val="24"/>
        </w:rPr>
        <w:t>00</w:t>
      </w:r>
      <w:r w:rsidR="00AC4DB4" w:rsidRPr="00AC4DB4">
        <w:rPr>
          <w:rFonts w:asciiTheme="majorHAnsi" w:hAnsiTheme="majorHAnsi" w:cstheme="majorHAnsi"/>
          <w:caps/>
          <w:color w:val="auto"/>
          <w:szCs w:val="24"/>
        </w:rPr>
        <w:t>117</w:t>
      </w:r>
      <w:r w:rsidRPr="00AC4DB4">
        <w:rPr>
          <w:rFonts w:asciiTheme="majorHAnsi" w:hAnsiTheme="majorHAnsi" w:cstheme="majorHAnsi"/>
          <w:color w:val="auto"/>
          <w:szCs w:val="24"/>
        </w:rPr>
        <w:t xml:space="preserve">                            </w:t>
      </w:r>
      <w:r w:rsidRPr="00AC4DB4">
        <w:rPr>
          <w:rFonts w:asciiTheme="majorHAnsi" w:hAnsiTheme="majorHAnsi" w:cstheme="majorHAnsi"/>
          <w:color w:val="auto"/>
          <w:szCs w:val="24"/>
        </w:rPr>
        <w:tab/>
      </w:r>
      <w:r w:rsidRPr="00AC4DB4">
        <w:rPr>
          <w:rFonts w:asciiTheme="majorHAnsi" w:hAnsiTheme="majorHAnsi" w:cstheme="majorHAnsi"/>
          <w:color w:val="auto"/>
          <w:szCs w:val="24"/>
        </w:rPr>
        <w:tab/>
        <w:t xml:space="preserve">           </w:t>
      </w:r>
      <w:r w:rsidR="004F7C57">
        <w:rPr>
          <w:rFonts w:asciiTheme="majorHAnsi" w:hAnsiTheme="majorHAnsi" w:cstheme="majorHAnsi"/>
          <w:color w:val="auto"/>
          <w:szCs w:val="24"/>
        </w:rPr>
        <w:t xml:space="preserve">  </w:t>
      </w:r>
      <w:r w:rsidRPr="00AC4DB4">
        <w:rPr>
          <w:rFonts w:asciiTheme="majorHAnsi" w:hAnsiTheme="majorHAnsi" w:cstheme="majorHAnsi"/>
          <w:color w:val="auto"/>
          <w:szCs w:val="24"/>
        </w:rPr>
        <w:t>SEPARATION DATE:  200</w:t>
      </w:r>
      <w:r w:rsidR="00AC4DB4" w:rsidRPr="00AC4DB4">
        <w:rPr>
          <w:rFonts w:asciiTheme="majorHAnsi" w:hAnsiTheme="majorHAnsi" w:cstheme="majorHAnsi"/>
          <w:color w:val="auto"/>
          <w:szCs w:val="24"/>
        </w:rPr>
        <w:t>50812</w:t>
      </w:r>
    </w:p>
    <w:p w:rsidR="00AD2379" w:rsidRPr="00AC4DB4" w:rsidRDefault="0095270D" w:rsidP="0095270D">
      <w:pPr>
        <w:pBdr>
          <w:bottom w:val="single" w:sz="12" w:space="1" w:color="auto"/>
        </w:pBdr>
        <w:tabs>
          <w:tab w:val="left" w:pos="288"/>
          <w:tab w:val="left" w:pos="4752"/>
        </w:tabs>
        <w:jc w:val="both"/>
        <w:rPr>
          <w:rFonts w:asciiTheme="majorHAnsi" w:hAnsiTheme="majorHAnsi" w:cstheme="majorHAnsi"/>
          <w:caps/>
          <w:color w:val="auto"/>
          <w:szCs w:val="24"/>
        </w:rPr>
      </w:pPr>
      <w:r w:rsidRPr="00AC4DB4">
        <w:rPr>
          <w:rFonts w:asciiTheme="majorHAnsi" w:hAnsiTheme="majorHAnsi" w:cstheme="majorHAnsi"/>
          <w:caps/>
          <w:color w:val="auto"/>
          <w:szCs w:val="24"/>
        </w:rPr>
        <w:t>BOARD DATE:  2012</w:t>
      </w:r>
      <w:r w:rsidR="003D3A6E">
        <w:rPr>
          <w:rFonts w:asciiTheme="majorHAnsi" w:hAnsiTheme="majorHAnsi" w:cstheme="majorHAnsi"/>
          <w:caps/>
          <w:color w:val="auto"/>
          <w:szCs w:val="24"/>
        </w:rPr>
        <w:t>1010</w:t>
      </w:r>
    </w:p>
    <w:p w:rsidR="0095270D" w:rsidRPr="00AC4DB4" w:rsidRDefault="0095270D" w:rsidP="0095270D">
      <w:pPr>
        <w:pBdr>
          <w:bottom w:val="single" w:sz="12" w:space="1" w:color="auto"/>
        </w:pBdr>
        <w:tabs>
          <w:tab w:val="left" w:pos="288"/>
          <w:tab w:val="left" w:pos="4752"/>
        </w:tabs>
        <w:jc w:val="both"/>
        <w:rPr>
          <w:rFonts w:asciiTheme="majorHAnsi" w:hAnsiTheme="majorHAnsi" w:cstheme="majorHAnsi"/>
          <w:color w:val="auto"/>
          <w:szCs w:val="24"/>
        </w:rPr>
      </w:pPr>
    </w:p>
    <w:p w:rsidR="00AD2379" w:rsidRPr="00AC4DB4" w:rsidRDefault="00AD2379" w:rsidP="00BF0E94">
      <w:pPr>
        <w:tabs>
          <w:tab w:val="left" w:pos="288"/>
          <w:tab w:val="left" w:pos="4752"/>
        </w:tabs>
        <w:jc w:val="both"/>
        <w:rPr>
          <w:rFonts w:asciiTheme="majorHAnsi" w:hAnsiTheme="majorHAnsi" w:cstheme="majorHAnsi"/>
          <w:color w:val="auto"/>
          <w:szCs w:val="24"/>
        </w:rPr>
      </w:pPr>
    </w:p>
    <w:p w:rsidR="000B1C9E" w:rsidRDefault="00AD2379" w:rsidP="00BF0E94">
      <w:pPr>
        <w:tabs>
          <w:tab w:val="left" w:pos="288"/>
          <w:tab w:val="left" w:pos="4752"/>
        </w:tabs>
        <w:jc w:val="both"/>
        <w:rPr>
          <w:color w:val="000000"/>
        </w:rPr>
      </w:pPr>
      <w:r w:rsidRPr="00AC4DB4">
        <w:rPr>
          <w:rFonts w:asciiTheme="majorHAnsi" w:hAnsiTheme="majorHAnsi" w:cstheme="majorHAnsi"/>
          <w:color w:val="auto"/>
          <w:szCs w:val="24"/>
          <w:u w:val="single"/>
        </w:rPr>
        <w:t>SUMMARY OF CASE</w:t>
      </w:r>
      <w:r w:rsidRPr="00AC4DB4">
        <w:rPr>
          <w:rFonts w:asciiTheme="majorHAnsi" w:hAnsiTheme="majorHAnsi" w:cstheme="majorHAnsi"/>
          <w:color w:val="auto"/>
          <w:szCs w:val="24"/>
        </w:rPr>
        <w:t>:</w:t>
      </w:r>
      <w:r w:rsidR="00532B33" w:rsidRPr="00AC4DB4">
        <w:rPr>
          <w:rFonts w:asciiTheme="majorHAnsi" w:hAnsiTheme="majorHAnsi" w:cstheme="majorHAnsi"/>
          <w:color w:val="auto"/>
          <w:szCs w:val="24"/>
        </w:rPr>
        <w:t xml:space="preserve"> </w:t>
      </w:r>
      <w:r w:rsidRPr="00AC4DB4">
        <w:rPr>
          <w:rFonts w:asciiTheme="majorHAnsi" w:hAnsiTheme="majorHAnsi" w:cstheme="majorHAnsi"/>
          <w:color w:val="auto"/>
          <w:szCs w:val="24"/>
        </w:rPr>
        <w:t xml:space="preserve"> Data extracted from the available evidence of record reflects that this covered individual (CI) was </w:t>
      </w:r>
      <w:r w:rsidR="00A70270" w:rsidRPr="00AC4DB4">
        <w:rPr>
          <w:rFonts w:asciiTheme="majorHAnsi" w:hAnsiTheme="majorHAnsi" w:cstheme="majorHAnsi"/>
          <w:color w:val="auto"/>
          <w:szCs w:val="24"/>
        </w:rPr>
        <w:t>an</w:t>
      </w:r>
      <w:r w:rsidR="00AC4DB4" w:rsidRPr="00AC4DB4">
        <w:rPr>
          <w:rFonts w:asciiTheme="majorHAnsi" w:hAnsiTheme="majorHAnsi" w:cstheme="majorHAnsi"/>
          <w:color w:val="auto"/>
          <w:szCs w:val="24"/>
        </w:rPr>
        <w:t xml:space="preserve"> </w:t>
      </w:r>
      <w:r w:rsidR="00A70270" w:rsidRPr="00AC4DB4">
        <w:rPr>
          <w:rFonts w:asciiTheme="majorHAnsi" w:hAnsiTheme="majorHAnsi" w:cstheme="majorHAnsi"/>
          <w:color w:val="auto"/>
          <w:szCs w:val="24"/>
        </w:rPr>
        <w:t>active duty</w:t>
      </w:r>
      <w:r w:rsidR="0021565F" w:rsidRPr="00AC4DB4">
        <w:rPr>
          <w:rFonts w:asciiTheme="majorHAnsi" w:hAnsiTheme="majorHAnsi" w:cstheme="majorHAnsi"/>
          <w:color w:val="auto"/>
          <w:szCs w:val="24"/>
        </w:rPr>
        <w:t xml:space="preserve"> </w:t>
      </w:r>
      <w:r w:rsidR="00AC4DB4" w:rsidRPr="00AC4DB4">
        <w:rPr>
          <w:rFonts w:asciiTheme="majorHAnsi" w:hAnsiTheme="majorHAnsi" w:cstheme="majorHAnsi"/>
          <w:color w:val="auto"/>
          <w:szCs w:val="24"/>
        </w:rPr>
        <w:t xml:space="preserve">SGT/E-5 </w:t>
      </w:r>
      <w:r w:rsidRPr="00AC4DB4">
        <w:rPr>
          <w:rFonts w:asciiTheme="majorHAnsi" w:hAnsiTheme="majorHAnsi" w:cstheme="majorHAnsi"/>
          <w:color w:val="auto"/>
          <w:szCs w:val="24"/>
        </w:rPr>
        <w:t>(</w:t>
      </w:r>
      <w:r w:rsidR="00AC4DB4" w:rsidRPr="003D3A6E">
        <w:rPr>
          <w:rFonts w:asciiTheme="majorHAnsi" w:hAnsiTheme="majorHAnsi" w:cstheme="majorHAnsi"/>
          <w:color w:val="auto"/>
          <w:szCs w:val="24"/>
        </w:rPr>
        <w:t>13B20</w:t>
      </w:r>
      <w:r w:rsidR="00112F44" w:rsidRPr="003D3A6E">
        <w:rPr>
          <w:rFonts w:asciiTheme="majorHAnsi" w:hAnsiTheme="majorHAnsi" w:cstheme="majorHAnsi"/>
          <w:color w:val="auto"/>
          <w:szCs w:val="24"/>
        </w:rPr>
        <w:t>/A</w:t>
      </w:r>
      <w:r w:rsidR="00AC4DB4" w:rsidRPr="003D3A6E">
        <w:rPr>
          <w:rFonts w:asciiTheme="majorHAnsi" w:hAnsiTheme="majorHAnsi" w:cstheme="majorHAnsi"/>
          <w:color w:val="auto"/>
          <w:szCs w:val="24"/>
        </w:rPr>
        <w:t>rtillery</w:t>
      </w:r>
      <w:r w:rsidR="00D846AF" w:rsidRPr="003D3A6E">
        <w:rPr>
          <w:rFonts w:asciiTheme="majorHAnsi" w:hAnsiTheme="majorHAnsi" w:cstheme="majorHAnsi"/>
          <w:color w:val="auto"/>
          <w:szCs w:val="24"/>
        </w:rPr>
        <w:t xml:space="preserve"> Crew</w:t>
      </w:r>
      <w:r w:rsidR="00AC4DB4" w:rsidRPr="003D3A6E">
        <w:rPr>
          <w:rFonts w:asciiTheme="majorHAnsi" w:hAnsiTheme="majorHAnsi" w:cstheme="majorHAnsi"/>
          <w:color w:val="auto"/>
          <w:szCs w:val="24"/>
        </w:rPr>
        <w:t>man</w:t>
      </w:r>
      <w:r w:rsidR="00A70270" w:rsidRPr="003D3A6E">
        <w:rPr>
          <w:rFonts w:asciiTheme="majorHAnsi" w:hAnsiTheme="majorHAnsi" w:cstheme="majorHAnsi"/>
          <w:color w:val="auto"/>
          <w:szCs w:val="24"/>
        </w:rPr>
        <w:t>)</w:t>
      </w:r>
      <w:r w:rsidR="00565636" w:rsidRPr="003D3A6E">
        <w:rPr>
          <w:rFonts w:asciiTheme="majorHAnsi" w:hAnsiTheme="majorHAnsi" w:cstheme="majorHAnsi"/>
          <w:color w:val="auto"/>
          <w:szCs w:val="24"/>
        </w:rPr>
        <w:t>,</w:t>
      </w:r>
      <w:r w:rsidR="00A70270" w:rsidRPr="003D3A6E">
        <w:rPr>
          <w:rFonts w:asciiTheme="majorHAnsi" w:hAnsiTheme="majorHAnsi" w:cstheme="majorHAnsi"/>
          <w:color w:val="auto"/>
          <w:szCs w:val="24"/>
        </w:rPr>
        <w:t xml:space="preserve"> </w:t>
      </w:r>
      <w:r w:rsidRPr="003D3A6E">
        <w:rPr>
          <w:rFonts w:asciiTheme="majorHAnsi" w:hAnsiTheme="majorHAnsi" w:cstheme="majorHAnsi"/>
          <w:color w:val="auto"/>
          <w:szCs w:val="24"/>
        </w:rPr>
        <w:t xml:space="preserve">medically separated for </w:t>
      </w:r>
      <w:r w:rsidR="008702D9" w:rsidRPr="003D3A6E">
        <w:rPr>
          <w:rFonts w:asciiTheme="majorHAnsi" w:hAnsiTheme="majorHAnsi" w:cstheme="majorHAnsi"/>
          <w:color w:val="auto"/>
          <w:szCs w:val="24"/>
        </w:rPr>
        <w:t>chronic back pain</w:t>
      </w:r>
      <w:r w:rsidR="00AC4DB4" w:rsidRPr="003D3A6E">
        <w:rPr>
          <w:rFonts w:asciiTheme="majorHAnsi" w:hAnsiTheme="majorHAnsi" w:cstheme="majorHAnsi"/>
          <w:color w:val="auto"/>
          <w:szCs w:val="24"/>
        </w:rPr>
        <w:t xml:space="preserve"> </w:t>
      </w:r>
      <w:r w:rsidR="00411FBE" w:rsidRPr="003D3A6E">
        <w:rPr>
          <w:rFonts w:asciiTheme="majorHAnsi" w:hAnsiTheme="majorHAnsi" w:cstheme="majorHAnsi"/>
          <w:color w:val="auto"/>
          <w:szCs w:val="24"/>
        </w:rPr>
        <w:t>and posttraumatic stress disorder</w:t>
      </w:r>
      <w:r w:rsidR="008E5254">
        <w:rPr>
          <w:rFonts w:asciiTheme="majorHAnsi" w:hAnsiTheme="majorHAnsi" w:cstheme="majorHAnsi"/>
          <w:color w:val="auto"/>
          <w:szCs w:val="24"/>
        </w:rPr>
        <w:t xml:space="preserve"> (PTSD)</w:t>
      </w:r>
      <w:r w:rsidR="00AC4DB4" w:rsidRPr="003D3A6E">
        <w:rPr>
          <w:rFonts w:asciiTheme="majorHAnsi" w:hAnsiTheme="majorHAnsi" w:cstheme="majorHAnsi"/>
          <w:color w:val="auto"/>
          <w:szCs w:val="24"/>
        </w:rPr>
        <w:t>.</w:t>
      </w:r>
      <w:r w:rsidR="00B95213" w:rsidRPr="003D3A6E">
        <w:rPr>
          <w:rFonts w:asciiTheme="majorHAnsi" w:hAnsiTheme="majorHAnsi" w:cstheme="majorHAnsi"/>
          <w:color w:val="auto"/>
          <w:szCs w:val="24"/>
        </w:rPr>
        <w:t xml:space="preserve">  The CI developed back pain after a motor vehicle accident in 2002 and despite treatment his condition continued to worsen over time. </w:t>
      </w:r>
      <w:r w:rsidR="00C337D0">
        <w:rPr>
          <w:rFonts w:asciiTheme="majorHAnsi" w:hAnsiTheme="majorHAnsi" w:cstheme="majorHAnsi"/>
          <w:color w:val="auto"/>
          <w:szCs w:val="24"/>
        </w:rPr>
        <w:t xml:space="preserve"> </w:t>
      </w:r>
      <w:r w:rsidR="00B95213" w:rsidRPr="003D3A6E">
        <w:rPr>
          <w:rFonts w:asciiTheme="majorHAnsi" w:hAnsiTheme="majorHAnsi" w:cstheme="majorHAnsi"/>
          <w:color w:val="auto"/>
          <w:szCs w:val="24"/>
        </w:rPr>
        <w:t xml:space="preserve">His symptoms did abate enough to allow a deployment in 2003 but worsened afterwards. </w:t>
      </w:r>
      <w:r w:rsidR="00C337D0">
        <w:rPr>
          <w:rFonts w:asciiTheme="majorHAnsi" w:hAnsiTheme="majorHAnsi" w:cstheme="majorHAnsi"/>
          <w:color w:val="auto"/>
          <w:szCs w:val="24"/>
        </w:rPr>
        <w:t xml:space="preserve"> </w:t>
      </w:r>
      <w:r w:rsidR="00B95213" w:rsidRPr="003D3A6E">
        <w:rPr>
          <w:rFonts w:asciiTheme="majorHAnsi" w:hAnsiTheme="majorHAnsi" w:cstheme="majorHAnsi"/>
          <w:color w:val="auto"/>
          <w:szCs w:val="24"/>
        </w:rPr>
        <w:t>The</w:t>
      </w:r>
      <w:r w:rsidR="001578AC" w:rsidRPr="003D3A6E">
        <w:rPr>
          <w:rFonts w:asciiTheme="majorHAnsi" w:hAnsiTheme="majorHAnsi" w:cstheme="majorHAnsi"/>
          <w:color w:val="auto"/>
          <w:szCs w:val="24"/>
        </w:rPr>
        <w:t xml:space="preserve"> CI</w:t>
      </w:r>
      <w:r w:rsidR="00B95213" w:rsidRPr="003D3A6E">
        <w:rPr>
          <w:rFonts w:asciiTheme="majorHAnsi" w:hAnsiTheme="majorHAnsi" w:cstheme="majorHAnsi"/>
          <w:color w:val="auto"/>
          <w:szCs w:val="24"/>
        </w:rPr>
        <w:t xml:space="preserve"> sought help for mental health issues related to his deployment after he returned in 2004</w:t>
      </w:r>
      <w:r w:rsidR="001578AC" w:rsidRPr="003D3A6E">
        <w:rPr>
          <w:rFonts w:asciiTheme="majorHAnsi" w:hAnsiTheme="majorHAnsi" w:cstheme="majorHAnsi"/>
          <w:color w:val="auto"/>
          <w:szCs w:val="24"/>
        </w:rPr>
        <w:t xml:space="preserve"> and he was diagnosed with PTSD. </w:t>
      </w:r>
      <w:r w:rsidR="00C337D0">
        <w:rPr>
          <w:rFonts w:asciiTheme="majorHAnsi" w:hAnsiTheme="majorHAnsi" w:cstheme="majorHAnsi"/>
          <w:color w:val="auto"/>
          <w:szCs w:val="24"/>
        </w:rPr>
        <w:t xml:space="preserve"> </w:t>
      </w:r>
      <w:r w:rsidR="001578AC" w:rsidRPr="003D3A6E">
        <w:rPr>
          <w:rFonts w:asciiTheme="majorHAnsi" w:hAnsiTheme="majorHAnsi" w:cstheme="majorHAnsi"/>
          <w:color w:val="auto"/>
          <w:szCs w:val="24"/>
        </w:rPr>
        <w:t xml:space="preserve">A year of intensive treatment with medication and both individual and weekly group therapy brought little relief. </w:t>
      </w:r>
      <w:r w:rsidR="00C337D0">
        <w:rPr>
          <w:rFonts w:asciiTheme="majorHAnsi" w:hAnsiTheme="majorHAnsi" w:cstheme="majorHAnsi"/>
          <w:color w:val="auto"/>
          <w:szCs w:val="24"/>
        </w:rPr>
        <w:t xml:space="preserve"> </w:t>
      </w:r>
      <w:r w:rsidR="00B95213" w:rsidRPr="003D3A6E">
        <w:rPr>
          <w:rFonts w:asciiTheme="majorHAnsi" w:hAnsiTheme="majorHAnsi" w:cstheme="majorHAnsi"/>
          <w:color w:val="auto"/>
          <w:szCs w:val="24"/>
        </w:rPr>
        <w:t>Neither condition improved adequately</w:t>
      </w:r>
      <w:r w:rsidR="00106370">
        <w:rPr>
          <w:rFonts w:asciiTheme="majorHAnsi" w:hAnsiTheme="majorHAnsi" w:cstheme="majorHAnsi"/>
          <w:color w:val="auto"/>
          <w:szCs w:val="24"/>
        </w:rPr>
        <w:t>;</w:t>
      </w:r>
      <w:r w:rsidR="00B95213" w:rsidRPr="003D3A6E">
        <w:rPr>
          <w:rFonts w:asciiTheme="majorHAnsi" w:hAnsiTheme="majorHAnsi" w:cstheme="majorHAnsi"/>
          <w:color w:val="auto"/>
          <w:szCs w:val="24"/>
        </w:rPr>
        <w:t xml:space="preserve"> the CI </w:t>
      </w:r>
      <w:r w:rsidR="001578AC" w:rsidRPr="003D3A6E">
        <w:rPr>
          <w:rFonts w:asciiTheme="majorHAnsi" w:hAnsiTheme="majorHAnsi" w:cstheme="majorHAnsi"/>
          <w:color w:val="auto"/>
          <w:szCs w:val="24"/>
        </w:rPr>
        <w:t>remained</w:t>
      </w:r>
      <w:r w:rsidR="00B95213" w:rsidRPr="003D3A6E">
        <w:rPr>
          <w:rFonts w:asciiTheme="majorHAnsi" w:hAnsiTheme="majorHAnsi" w:cstheme="majorHAnsi"/>
          <w:color w:val="auto"/>
          <w:szCs w:val="24"/>
        </w:rPr>
        <w:t xml:space="preserve"> unable to </w:t>
      </w:r>
      <w:r w:rsidR="00F566B7" w:rsidRPr="003D3A6E">
        <w:rPr>
          <w:color w:val="000000"/>
        </w:rPr>
        <w:t>meet the physical requirements of his Military Occupational Specialty (MOS)</w:t>
      </w:r>
      <w:r w:rsidR="0021565F" w:rsidRPr="003D3A6E">
        <w:rPr>
          <w:color w:val="000000"/>
        </w:rPr>
        <w:t xml:space="preserve"> </w:t>
      </w:r>
      <w:r w:rsidR="00F566B7" w:rsidRPr="003D3A6E">
        <w:rPr>
          <w:color w:val="000000"/>
        </w:rPr>
        <w:t>or satis</w:t>
      </w:r>
      <w:r w:rsidR="009C12A1" w:rsidRPr="003D3A6E">
        <w:rPr>
          <w:color w:val="000000"/>
        </w:rPr>
        <w:t>fy physical fitness standards.</w:t>
      </w:r>
      <w:r w:rsidR="00F566B7" w:rsidRPr="003D3A6E">
        <w:rPr>
          <w:color w:val="000000"/>
        </w:rPr>
        <w:t xml:space="preserve"> </w:t>
      </w:r>
      <w:r w:rsidR="009C12A1" w:rsidRPr="003D3A6E">
        <w:rPr>
          <w:color w:val="000000"/>
        </w:rPr>
        <w:t xml:space="preserve"> He </w:t>
      </w:r>
      <w:r w:rsidR="00F566B7" w:rsidRPr="003D3A6E">
        <w:rPr>
          <w:color w:val="000000"/>
        </w:rPr>
        <w:t>was issued a permanent L3</w:t>
      </w:r>
      <w:r w:rsidR="0094483B">
        <w:rPr>
          <w:color w:val="000000"/>
        </w:rPr>
        <w:t>/</w:t>
      </w:r>
      <w:r w:rsidR="00FE0730" w:rsidRPr="003D3A6E">
        <w:rPr>
          <w:color w:val="000000"/>
        </w:rPr>
        <w:t xml:space="preserve">S3 </w:t>
      </w:r>
      <w:r w:rsidR="00F566B7" w:rsidRPr="003D3A6E">
        <w:rPr>
          <w:color w:val="000000"/>
        </w:rPr>
        <w:t>profile and</w:t>
      </w:r>
      <w:r w:rsidR="009C12A1" w:rsidRPr="003D3A6E">
        <w:rPr>
          <w:color w:val="000000"/>
        </w:rPr>
        <w:t xml:space="preserve"> </w:t>
      </w:r>
      <w:r w:rsidR="00F566B7" w:rsidRPr="003D3A6E">
        <w:rPr>
          <w:color w:val="000000"/>
        </w:rPr>
        <w:t>referred for a Medical</w:t>
      </w:r>
      <w:r w:rsidR="00F566B7" w:rsidRPr="004F7C57">
        <w:rPr>
          <w:color w:val="000000"/>
        </w:rPr>
        <w:t xml:space="preserve"> Evaluation Board (MEB).</w:t>
      </w:r>
      <w:r w:rsidR="001578AC">
        <w:rPr>
          <w:color w:val="000000"/>
        </w:rPr>
        <w:t xml:space="preserve">  </w:t>
      </w:r>
      <w:r w:rsidR="00F15483" w:rsidRPr="004F7C57">
        <w:rPr>
          <w:color w:val="000000"/>
        </w:rPr>
        <w:t xml:space="preserve">The MEB forwarded no other conditions for </w:t>
      </w:r>
      <w:r w:rsidR="008702D9">
        <w:rPr>
          <w:color w:val="000000"/>
        </w:rPr>
        <w:t>Physical Evaluation Board (</w:t>
      </w:r>
      <w:r w:rsidR="00F15483" w:rsidRPr="004F7C57">
        <w:rPr>
          <w:color w:val="000000"/>
        </w:rPr>
        <w:t>PEB</w:t>
      </w:r>
      <w:r w:rsidR="008702D9">
        <w:rPr>
          <w:color w:val="000000"/>
        </w:rPr>
        <w:t>)</w:t>
      </w:r>
      <w:r w:rsidR="00F15483" w:rsidRPr="004F7C57">
        <w:rPr>
          <w:color w:val="000000"/>
        </w:rPr>
        <w:t xml:space="preserve"> adjudication.</w:t>
      </w:r>
      <w:r w:rsidR="00411FBE" w:rsidRPr="004F7C57">
        <w:rPr>
          <w:color w:val="000000"/>
        </w:rPr>
        <w:t xml:space="preserve">  </w:t>
      </w:r>
      <w:r w:rsidRPr="004F7C57">
        <w:rPr>
          <w:color w:val="000000"/>
        </w:rPr>
        <w:t xml:space="preserve">The PEB adjudicated the </w:t>
      </w:r>
      <w:r w:rsidR="008702D9">
        <w:rPr>
          <w:color w:val="000000"/>
        </w:rPr>
        <w:t>c</w:t>
      </w:r>
      <w:r w:rsidR="00B36081" w:rsidRPr="004F7C57">
        <w:rPr>
          <w:color w:val="000000"/>
        </w:rPr>
        <w:t xml:space="preserve">hronic back pain and </w:t>
      </w:r>
      <w:r w:rsidR="001578AC">
        <w:rPr>
          <w:color w:val="000000"/>
        </w:rPr>
        <w:t>PTSD</w:t>
      </w:r>
      <w:r w:rsidR="00411FBE" w:rsidRPr="004F7C57">
        <w:rPr>
          <w:color w:val="000000"/>
        </w:rPr>
        <w:t xml:space="preserve"> </w:t>
      </w:r>
      <w:r w:rsidR="008530E3" w:rsidRPr="004F7C57">
        <w:rPr>
          <w:color w:val="000000"/>
        </w:rPr>
        <w:t>condition</w:t>
      </w:r>
      <w:r w:rsidR="000C647D" w:rsidRPr="004F7C57">
        <w:rPr>
          <w:color w:val="000000"/>
        </w:rPr>
        <w:t>s</w:t>
      </w:r>
      <w:r w:rsidR="008530E3" w:rsidRPr="004F7C57">
        <w:rPr>
          <w:color w:val="000000"/>
        </w:rPr>
        <w:t xml:space="preserve"> as unfitting, rated </w:t>
      </w:r>
      <w:r w:rsidR="00B36081" w:rsidRPr="004F7C57">
        <w:rPr>
          <w:color w:val="000000"/>
        </w:rPr>
        <w:t>10</w:t>
      </w:r>
      <w:r w:rsidRPr="004F7C57">
        <w:rPr>
          <w:color w:val="000000"/>
        </w:rPr>
        <w:t>%</w:t>
      </w:r>
      <w:r w:rsidR="000C647D" w:rsidRPr="004F7C57">
        <w:rPr>
          <w:color w:val="000000"/>
        </w:rPr>
        <w:t xml:space="preserve"> </w:t>
      </w:r>
      <w:r w:rsidR="00411FBE" w:rsidRPr="004F7C57">
        <w:rPr>
          <w:color w:val="000000"/>
        </w:rPr>
        <w:t>each</w:t>
      </w:r>
      <w:r w:rsidRPr="004F7C57">
        <w:rPr>
          <w:color w:val="000000"/>
        </w:rPr>
        <w:t xml:space="preserve">, </w:t>
      </w:r>
      <w:r w:rsidR="00E46D90" w:rsidRPr="004F7C57">
        <w:rPr>
          <w:color w:val="000000"/>
        </w:rPr>
        <w:t xml:space="preserve">with application of the </w:t>
      </w:r>
      <w:r w:rsidRPr="004F7C57">
        <w:rPr>
          <w:color w:val="000000"/>
        </w:rPr>
        <w:t>Veteran</w:t>
      </w:r>
      <w:r w:rsidR="00BF72CA" w:rsidRPr="004F7C57">
        <w:rPr>
          <w:color w:val="000000"/>
        </w:rPr>
        <w:t>’</w:t>
      </w:r>
      <w:r w:rsidRPr="004F7C57">
        <w:rPr>
          <w:color w:val="000000"/>
        </w:rPr>
        <w:t>s A</w:t>
      </w:r>
      <w:r w:rsidR="00BF72CA" w:rsidRPr="004F7C57">
        <w:rPr>
          <w:color w:val="000000"/>
        </w:rPr>
        <w:t>ffairs</w:t>
      </w:r>
      <w:r w:rsidRPr="004F7C57">
        <w:rPr>
          <w:color w:val="000000"/>
        </w:rPr>
        <w:t xml:space="preserve"> Schedule for Rating Disabilities (VASRD)</w:t>
      </w:r>
      <w:r w:rsidR="00BF72CA" w:rsidRPr="004F7C57">
        <w:rPr>
          <w:color w:val="000000"/>
        </w:rPr>
        <w:t>.</w:t>
      </w:r>
      <w:r w:rsidR="00411FBE" w:rsidRPr="004F7C57">
        <w:rPr>
          <w:color w:val="000000"/>
        </w:rPr>
        <w:t xml:space="preserve">  </w:t>
      </w:r>
      <w:r w:rsidRPr="004F7C57">
        <w:rPr>
          <w:color w:val="000000"/>
        </w:rPr>
        <w:t xml:space="preserve">The CI made no appeals, and was medically separated with </w:t>
      </w:r>
      <w:r w:rsidR="0066684A" w:rsidRPr="004F7C57">
        <w:rPr>
          <w:color w:val="000000"/>
        </w:rPr>
        <w:t xml:space="preserve">a </w:t>
      </w:r>
      <w:r w:rsidR="00B36081" w:rsidRPr="004F7C57">
        <w:rPr>
          <w:color w:val="000000"/>
        </w:rPr>
        <w:t>20</w:t>
      </w:r>
      <w:r w:rsidR="0066684A" w:rsidRPr="004F7C57">
        <w:rPr>
          <w:color w:val="000000"/>
        </w:rPr>
        <w:t xml:space="preserve">% </w:t>
      </w:r>
      <w:r w:rsidR="00D7763E">
        <w:rPr>
          <w:color w:val="000000"/>
        </w:rPr>
        <w:t xml:space="preserve">disability </w:t>
      </w:r>
      <w:r w:rsidRPr="004F7C57">
        <w:rPr>
          <w:color w:val="000000"/>
        </w:rPr>
        <w:t>rating.</w:t>
      </w:r>
    </w:p>
    <w:p w:rsidR="00AD2379" w:rsidRPr="001F29F9" w:rsidRDefault="00AD2379" w:rsidP="00BF0E94">
      <w:pPr>
        <w:pBdr>
          <w:bottom w:val="single" w:sz="12" w:space="1" w:color="auto"/>
        </w:pBdr>
        <w:tabs>
          <w:tab w:val="left" w:pos="288"/>
          <w:tab w:val="left" w:pos="4752"/>
        </w:tabs>
        <w:jc w:val="both"/>
        <w:rPr>
          <w:color w:val="000000"/>
        </w:rPr>
      </w:pPr>
    </w:p>
    <w:p w:rsidR="00B36081" w:rsidRDefault="00B36081" w:rsidP="00E212DF">
      <w:pPr>
        <w:tabs>
          <w:tab w:val="left" w:pos="288"/>
          <w:tab w:val="left" w:pos="4752"/>
        </w:tabs>
        <w:jc w:val="both"/>
        <w:rPr>
          <w:color w:val="000000"/>
          <w:u w:val="single"/>
        </w:rPr>
      </w:pPr>
    </w:p>
    <w:p w:rsidR="00E212DF" w:rsidRDefault="00AD2379" w:rsidP="00E212DF">
      <w:pPr>
        <w:tabs>
          <w:tab w:val="left" w:pos="288"/>
          <w:tab w:val="left" w:pos="4752"/>
        </w:tabs>
        <w:jc w:val="both"/>
        <w:rPr>
          <w:color w:val="000000"/>
        </w:rPr>
      </w:pPr>
      <w:r w:rsidRPr="001F29F9">
        <w:rPr>
          <w:color w:val="000000"/>
          <w:u w:val="single"/>
        </w:rPr>
        <w:t>CI CONTENTION</w:t>
      </w:r>
      <w:r w:rsidRPr="001F29F9">
        <w:rPr>
          <w:color w:val="000000"/>
        </w:rPr>
        <w:t>:</w:t>
      </w:r>
      <w:r w:rsidR="0066684A">
        <w:rPr>
          <w:color w:val="000000"/>
        </w:rPr>
        <w:t xml:space="preserve"> </w:t>
      </w:r>
      <w:r w:rsidR="00FE0730">
        <w:rPr>
          <w:color w:val="000000"/>
        </w:rPr>
        <w:t xml:space="preserve"> </w:t>
      </w:r>
      <w:r w:rsidR="001E7784">
        <w:rPr>
          <w:color w:val="000000"/>
        </w:rPr>
        <w:t>“</w:t>
      </w:r>
      <w:r w:rsidR="001E7784" w:rsidRPr="001E7784">
        <w:rPr>
          <w:color w:val="000000"/>
        </w:rPr>
        <w:t>I strongly believe that my 20% rating is too low and that I wasn't fairly rated at the time of my separation from the United States A</w:t>
      </w:r>
      <w:r w:rsidR="001E7784">
        <w:rPr>
          <w:color w:val="000000"/>
        </w:rPr>
        <w:t>rm</w:t>
      </w:r>
      <w:r w:rsidR="001E7784" w:rsidRPr="001E7784">
        <w:rPr>
          <w:color w:val="000000"/>
        </w:rPr>
        <w:t>y.</w:t>
      </w:r>
      <w:r w:rsidR="001E7784">
        <w:rPr>
          <w:color w:val="000000"/>
        </w:rPr>
        <w:t>”</w:t>
      </w:r>
      <w:r w:rsidR="001E7784" w:rsidRPr="001E7784">
        <w:rPr>
          <w:color w:val="000000"/>
        </w:rPr>
        <w:t xml:space="preserve"> </w:t>
      </w:r>
      <w:r w:rsidR="00C337D0">
        <w:rPr>
          <w:color w:val="000000"/>
        </w:rPr>
        <w:t xml:space="preserve"> </w:t>
      </w:r>
      <w:r w:rsidR="0094483B">
        <w:rPr>
          <w:color w:val="000000"/>
        </w:rPr>
        <w:t xml:space="preserve">The CI also stated </w:t>
      </w:r>
      <w:r w:rsidR="00E212DF">
        <w:rPr>
          <w:color w:val="000000"/>
        </w:rPr>
        <w:t>“</w:t>
      </w:r>
      <w:r w:rsidR="00FE0730" w:rsidRPr="00FE0730">
        <w:rPr>
          <w:color w:val="000000"/>
        </w:rPr>
        <w:t>I received only 10% for my back and 10</w:t>
      </w:r>
      <w:r w:rsidR="00FE0730">
        <w:rPr>
          <w:color w:val="000000"/>
        </w:rPr>
        <w:t>%</w:t>
      </w:r>
      <w:r w:rsidR="00FE0730" w:rsidRPr="00FE0730">
        <w:rPr>
          <w:color w:val="000000"/>
        </w:rPr>
        <w:t xml:space="preserve"> for my PTSD, which comes to a total of 20% after 9 years of service</w:t>
      </w:r>
      <w:r w:rsidR="00FE0730">
        <w:rPr>
          <w:color w:val="000000"/>
        </w:rPr>
        <w:t>.</w:t>
      </w:r>
      <w:r w:rsidR="00E212DF">
        <w:rPr>
          <w:color w:val="000000"/>
        </w:rPr>
        <w:t>”</w:t>
      </w:r>
    </w:p>
    <w:p w:rsidR="00CA5CC9" w:rsidRDefault="00CA5CC9" w:rsidP="00CA5CC9">
      <w:pPr>
        <w:pBdr>
          <w:bottom w:val="single" w:sz="12" w:space="1" w:color="auto"/>
        </w:pBdr>
        <w:tabs>
          <w:tab w:val="left" w:pos="288"/>
          <w:tab w:val="left" w:pos="4752"/>
        </w:tabs>
        <w:jc w:val="both"/>
        <w:rPr>
          <w:color w:val="000000"/>
          <w:szCs w:val="24"/>
        </w:rPr>
      </w:pPr>
    </w:p>
    <w:p w:rsidR="00CA5CC9" w:rsidRDefault="00CA5CC9" w:rsidP="00CA5CC9">
      <w:pPr>
        <w:jc w:val="both"/>
        <w:rPr>
          <w:color w:val="000000"/>
          <w:szCs w:val="24"/>
          <w:u w:val="single"/>
        </w:rPr>
      </w:pPr>
    </w:p>
    <w:p w:rsidR="00CA5CC9" w:rsidRDefault="00CA5CC9" w:rsidP="00CA5CC9">
      <w:pPr>
        <w:jc w:val="both"/>
        <w:rPr>
          <w:color w:val="auto"/>
        </w:rPr>
      </w:pPr>
      <w:r>
        <w:rPr>
          <w:color w:val="auto"/>
          <w:u w:val="single"/>
        </w:rPr>
        <w:t>SCOPE OF REVIEW</w:t>
      </w:r>
      <w:r>
        <w:rPr>
          <w:color w:val="auto"/>
        </w:rPr>
        <w:t xml:space="preserve">:  The Board wishes to clarify that the scope of its review as defined in </w:t>
      </w:r>
      <w:r w:rsidR="00D7763E">
        <w:rPr>
          <w:color w:val="auto"/>
        </w:rPr>
        <w:t>the Department of Defense Instruction (</w:t>
      </w:r>
      <w:r>
        <w:rPr>
          <w:color w:val="auto"/>
        </w:rPr>
        <w:t>DoDI</w:t>
      </w:r>
      <w:r w:rsidR="00D7763E">
        <w:rPr>
          <w:color w:val="auto"/>
        </w:rPr>
        <w:t>)</w:t>
      </w:r>
      <w:r>
        <w:rPr>
          <w:color w:val="auto"/>
        </w:rPr>
        <w:t xml:space="preserve"> 6040.44, Enclosure 3, paragraph 5.e</w:t>
      </w:r>
      <w:proofErr w:type="gramStart"/>
      <w:r>
        <w:rPr>
          <w:color w:val="auto"/>
        </w:rPr>
        <w:t>.(</w:t>
      </w:r>
      <w:proofErr w:type="gramEnd"/>
      <w:r>
        <w:rPr>
          <w:color w:val="auto"/>
        </w:rPr>
        <w:t xml:space="preserve">2) is limited to those conditions which were determined by the PEB to be specifically unfitting for continued military service; or, when requested by the CI, those condition(s) “identified but not </w:t>
      </w:r>
      <w:r w:rsidRPr="00CA5CC9">
        <w:rPr>
          <w:color w:val="auto"/>
        </w:rPr>
        <w:t xml:space="preserve">determined to be unfitting </w:t>
      </w:r>
      <w:r w:rsidRPr="003D3A6E">
        <w:rPr>
          <w:color w:val="auto"/>
        </w:rPr>
        <w:t>by the PEB.”  The ratings for unfitting conditions will be reviewed in all cases.  The unfitting chronic back pain and post traumatic stress disorder conditions meet the criteria prescribed in DoDI 6040.44 for Board purview, and are accordingly addressed below.  Any conditions or contention not requested in this application, or otherwise outside the Board’s defined scope of review, remain eligible for future consideration by the Army Board for Correction of Military Records.</w:t>
      </w:r>
      <w:r>
        <w:rPr>
          <w:color w:val="auto"/>
        </w:rPr>
        <w:t xml:space="preserve">  </w:t>
      </w:r>
    </w:p>
    <w:p w:rsidR="00B36081" w:rsidRPr="001F29F9" w:rsidRDefault="00B36081" w:rsidP="00B36081">
      <w:pPr>
        <w:pBdr>
          <w:bottom w:val="single" w:sz="12" w:space="1" w:color="auto"/>
        </w:pBdr>
        <w:tabs>
          <w:tab w:val="left" w:pos="288"/>
          <w:tab w:val="left" w:pos="4752"/>
        </w:tabs>
        <w:jc w:val="both"/>
        <w:rPr>
          <w:color w:val="000000"/>
        </w:rPr>
      </w:pPr>
    </w:p>
    <w:p w:rsidR="00B36081" w:rsidRPr="001F29F9" w:rsidRDefault="00B36081" w:rsidP="00B36081">
      <w:pPr>
        <w:tabs>
          <w:tab w:val="left" w:pos="288"/>
          <w:tab w:val="left" w:pos="4752"/>
        </w:tabs>
        <w:jc w:val="both"/>
        <w:rPr>
          <w:color w:val="000000"/>
        </w:rPr>
      </w:pPr>
    </w:p>
    <w:p w:rsidR="00AD2379" w:rsidRPr="001F29F9" w:rsidRDefault="00AD2379" w:rsidP="00BF0E94">
      <w:pPr>
        <w:jc w:val="left"/>
        <w:rPr>
          <w:color w:val="000000"/>
        </w:rPr>
      </w:pPr>
      <w:r w:rsidRPr="001F29F9">
        <w:rPr>
          <w:color w:val="000000"/>
          <w:u w:val="single"/>
        </w:rPr>
        <w:t>RATING COMPARISON</w:t>
      </w:r>
      <w:r w:rsidRPr="001F29F9">
        <w:rPr>
          <w:color w:val="000000"/>
        </w:rPr>
        <w:t>:</w:t>
      </w:r>
      <w:r w:rsidRPr="00726F84">
        <w:rPr>
          <w:color w:val="000000"/>
        </w:rPr>
        <w:t xml:space="preserve"> </w:t>
      </w:r>
      <w:r w:rsidR="00855E73">
        <w:rPr>
          <w:color w:val="000000"/>
        </w:rPr>
        <w:t xml:space="preserve"> </w:t>
      </w:r>
    </w:p>
    <w:p w:rsidR="00F90376" w:rsidRPr="001F29F9" w:rsidRDefault="00F90376" w:rsidP="00F90376">
      <w:pPr>
        <w:jc w:val="both"/>
        <w:rPr>
          <w:color w:val="000000"/>
        </w:rPr>
      </w:pPr>
    </w:p>
    <w:tbl>
      <w:tblPr>
        <w:tblStyle w:val="TableGrid"/>
        <w:tblpPr w:leftFromText="187" w:rightFromText="187" w:vertAnchor="text" w:tblpXSpec="center" w:tblpY="1"/>
        <w:tblOverlap w:val="never"/>
        <w:tblW w:w="9348" w:type="dxa"/>
        <w:tblLayout w:type="fixed"/>
        <w:tblLook w:val="00A0"/>
      </w:tblPr>
      <w:tblGrid>
        <w:gridCol w:w="2628"/>
        <w:gridCol w:w="630"/>
        <w:gridCol w:w="720"/>
        <w:gridCol w:w="3060"/>
        <w:gridCol w:w="630"/>
        <w:gridCol w:w="720"/>
        <w:gridCol w:w="960"/>
      </w:tblGrid>
      <w:tr w:rsidR="00F90376" w:rsidRPr="00405E2D" w:rsidTr="00411FBE">
        <w:trPr>
          <w:trHeight w:val="170"/>
        </w:trPr>
        <w:tc>
          <w:tcPr>
            <w:tcW w:w="3978" w:type="dxa"/>
            <w:gridSpan w:val="3"/>
            <w:tcBorders>
              <w:right w:val="thinThickThinSmallGap" w:sz="24" w:space="0" w:color="auto"/>
            </w:tcBorders>
            <w:shd w:val="clear" w:color="auto" w:fill="D9D9D9"/>
            <w:vAlign w:val="center"/>
          </w:tcPr>
          <w:p w:rsidR="00F90376" w:rsidRPr="00947728" w:rsidRDefault="00F90376" w:rsidP="00B36081">
            <w:pPr>
              <w:contextualSpacing/>
              <w:rPr>
                <w:rFonts w:cs="Calibri"/>
                <w:b/>
                <w:color w:val="auto"/>
                <w:sz w:val="18"/>
              </w:rPr>
            </w:pPr>
            <w:r w:rsidRPr="00947728">
              <w:rPr>
                <w:b/>
                <w:color w:val="auto"/>
                <w:sz w:val="18"/>
              </w:rPr>
              <w:t>Service IPEB – Dated 200</w:t>
            </w:r>
            <w:r w:rsidR="00B36081">
              <w:rPr>
                <w:b/>
                <w:color w:val="auto"/>
                <w:sz w:val="18"/>
              </w:rPr>
              <w:t>50429</w:t>
            </w:r>
          </w:p>
        </w:tc>
        <w:tc>
          <w:tcPr>
            <w:tcW w:w="5370" w:type="dxa"/>
            <w:gridSpan w:val="4"/>
            <w:tcBorders>
              <w:left w:val="thinThickThinSmallGap" w:sz="24" w:space="0" w:color="auto"/>
            </w:tcBorders>
            <w:shd w:val="clear" w:color="auto" w:fill="D9D9D9"/>
            <w:vAlign w:val="center"/>
          </w:tcPr>
          <w:p w:rsidR="00F90376" w:rsidRPr="00947728" w:rsidRDefault="00F90376" w:rsidP="003E6A64">
            <w:pPr>
              <w:contextualSpacing/>
              <w:rPr>
                <w:rFonts w:cs="Calibri"/>
                <w:b/>
                <w:color w:val="auto"/>
                <w:sz w:val="18"/>
              </w:rPr>
            </w:pPr>
            <w:r>
              <w:rPr>
                <w:b/>
                <w:color w:val="auto"/>
                <w:sz w:val="18"/>
              </w:rPr>
              <w:t>VA (</w:t>
            </w:r>
            <w:r w:rsidR="003E6A64">
              <w:rPr>
                <w:b/>
                <w:color w:val="auto"/>
                <w:sz w:val="18"/>
              </w:rPr>
              <w:t>~</w:t>
            </w:r>
            <w:r w:rsidR="00D96691">
              <w:rPr>
                <w:b/>
                <w:color w:val="auto"/>
                <w:sz w:val="18"/>
              </w:rPr>
              <w:t>2</w:t>
            </w:r>
            <w:r w:rsidRPr="00947728">
              <w:rPr>
                <w:b/>
                <w:color w:val="auto"/>
                <w:sz w:val="18"/>
              </w:rPr>
              <w:t xml:space="preserve"> Mo</w:t>
            </w:r>
            <w:r w:rsidR="003E6A64">
              <w:rPr>
                <w:b/>
                <w:color w:val="auto"/>
                <w:sz w:val="18"/>
              </w:rPr>
              <w:t>nth</w:t>
            </w:r>
            <w:r>
              <w:rPr>
                <w:b/>
                <w:color w:val="auto"/>
                <w:sz w:val="18"/>
              </w:rPr>
              <w:t>s</w:t>
            </w:r>
            <w:r w:rsidRPr="00947728">
              <w:rPr>
                <w:b/>
                <w:color w:val="auto"/>
                <w:sz w:val="18"/>
              </w:rPr>
              <w:t xml:space="preserve"> Post-Separation) – All Effective Date 200</w:t>
            </w:r>
            <w:r w:rsidR="00FE0730">
              <w:rPr>
                <w:b/>
                <w:color w:val="auto"/>
                <w:sz w:val="18"/>
              </w:rPr>
              <w:t>50813</w:t>
            </w:r>
          </w:p>
        </w:tc>
      </w:tr>
      <w:tr w:rsidR="00F90376" w:rsidRPr="00405E2D" w:rsidTr="00411FBE">
        <w:trPr>
          <w:trHeight w:val="97"/>
        </w:trPr>
        <w:tc>
          <w:tcPr>
            <w:tcW w:w="2628" w:type="dxa"/>
            <w:tcBorders>
              <w:bottom w:val="single" w:sz="4" w:space="0" w:color="000000"/>
              <w:right w:val="single" w:sz="4" w:space="0" w:color="auto"/>
            </w:tcBorders>
            <w:shd w:val="clear" w:color="auto" w:fill="D9D9D9"/>
            <w:vAlign w:val="center"/>
          </w:tcPr>
          <w:p w:rsidR="00F90376" w:rsidRPr="000D5DBE" w:rsidRDefault="00F90376" w:rsidP="00411FBE">
            <w:pPr>
              <w:contextualSpacing/>
              <w:rPr>
                <w:rFonts w:cs="Calibri"/>
                <w:b/>
                <w:color w:val="000000"/>
                <w:sz w:val="18"/>
              </w:rPr>
            </w:pPr>
            <w:r w:rsidRPr="000D5DBE">
              <w:rPr>
                <w:b/>
                <w:color w:val="000000"/>
                <w:sz w:val="18"/>
              </w:rPr>
              <w:t>Condition</w:t>
            </w:r>
          </w:p>
        </w:tc>
        <w:tc>
          <w:tcPr>
            <w:tcW w:w="630" w:type="dxa"/>
            <w:tcBorders>
              <w:left w:val="single" w:sz="4" w:space="0" w:color="auto"/>
              <w:bottom w:val="single" w:sz="4" w:space="0" w:color="000000"/>
            </w:tcBorders>
            <w:shd w:val="clear" w:color="auto" w:fill="D9D9D9"/>
            <w:vAlign w:val="center"/>
          </w:tcPr>
          <w:p w:rsidR="00F90376" w:rsidRPr="000D5DBE" w:rsidRDefault="00F90376" w:rsidP="00411FBE">
            <w:pPr>
              <w:contextualSpacing/>
              <w:rPr>
                <w:rFonts w:cs="Calibri"/>
                <w:b/>
                <w:color w:val="000000"/>
                <w:sz w:val="18"/>
              </w:rPr>
            </w:pPr>
            <w:r w:rsidRPr="000D5DBE">
              <w:rPr>
                <w:b/>
                <w:color w:val="000000"/>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0D5DBE" w:rsidRDefault="00F90376" w:rsidP="00411FBE">
            <w:pPr>
              <w:contextualSpacing/>
              <w:rPr>
                <w:rFonts w:cs="Calibri"/>
                <w:b/>
                <w:color w:val="000000"/>
                <w:sz w:val="18"/>
              </w:rPr>
            </w:pPr>
            <w:r w:rsidRPr="000D5DBE">
              <w:rPr>
                <w:b/>
                <w:color w:val="000000"/>
                <w:sz w:val="18"/>
              </w:rPr>
              <w:t>Rating</w:t>
            </w:r>
          </w:p>
        </w:tc>
        <w:tc>
          <w:tcPr>
            <w:tcW w:w="3060" w:type="dxa"/>
            <w:tcBorders>
              <w:left w:val="thinThickThinSmallGap" w:sz="24" w:space="0" w:color="auto"/>
              <w:bottom w:val="single" w:sz="4" w:space="0" w:color="000000"/>
            </w:tcBorders>
            <w:shd w:val="clear" w:color="auto" w:fill="D9D9D9"/>
            <w:vAlign w:val="center"/>
          </w:tcPr>
          <w:p w:rsidR="00F90376" w:rsidRPr="000D5DBE" w:rsidRDefault="00F90376" w:rsidP="00411FBE">
            <w:pPr>
              <w:contextualSpacing/>
              <w:rPr>
                <w:rFonts w:cs="Calibri"/>
                <w:b/>
                <w:color w:val="000000"/>
                <w:sz w:val="18"/>
              </w:rPr>
            </w:pPr>
            <w:r w:rsidRPr="000D5DBE">
              <w:rPr>
                <w:b/>
                <w:color w:val="000000"/>
                <w:sz w:val="18"/>
              </w:rPr>
              <w:t>Condition</w:t>
            </w:r>
          </w:p>
        </w:tc>
        <w:tc>
          <w:tcPr>
            <w:tcW w:w="630" w:type="dxa"/>
            <w:tcBorders>
              <w:bottom w:val="single" w:sz="4" w:space="0" w:color="000000"/>
            </w:tcBorders>
            <w:shd w:val="clear" w:color="auto" w:fill="D9D9D9"/>
            <w:vAlign w:val="center"/>
          </w:tcPr>
          <w:p w:rsidR="00F90376" w:rsidRPr="000D5DBE" w:rsidRDefault="00F90376" w:rsidP="00411FBE">
            <w:pPr>
              <w:contextualSpacing/>
              <w:rPr>
                <w:rFonts w:cs="Calibri"/>
                <w:b/>
                <w:color w:val="000000"/>
                <w:sz w:val="18"/>
              </w:rPr>
            </w:pPr>
            <w:r w:rsidRPr="000D5DBE">
              <w:rPr>
                <w:b/>
                <w:color w:val="000000"/>
                <w:sz w:val="18"/>
              </w:rPr>
              <w:t>Code</w:t>
            </w:r>
          </w:p>
        </w:tc>
        <w:tc>
          <w:tcPr>
            <w:tcW w:w="720" w:type="dxa"/>
            <w:tcBorders>
              <w:bottom w:val="single" w:sz="4" w:space="0" w:color="000000"/>
            </w:tcBorders>
            <w:shd w:val="clear" w:color="auto" w:fill="D9D9D9"/>
            <w:vAlign w:val="center"/>
          </w:tcPr>
          <w:p w:rsidR="00F90376" w:rsidRPr="000D5DBE" w:rsidRDefault="00F90376" w:rsidP="00411FBE">
            <w:pPr>
              <w:contextualSpacing/>
              <w:rPr>
                <w:rFonts w:cs="Calibri"/>
                <w:b/>
                <w:color w:val="000000"/>
                <w:sz w:val="18"/>
              </w:rPr>
            </w:pPr>
            <w:r w:rsidRPr="000D5DBE">
              <w:rPr>
                <w:b/>
                <w:color w:val="000000"/>
                <w:sz w:val="18"/>
              </w:rPr>
              <w:t>Rating</w:t>
            </w:r>
          </w:p>
        </w:tc>
        <w:tc>
          <w:tcPr>
            <w:tcW w:w="960" w:type="dxa"/>
            <w:tcBorders>
              <w:bottom w:val="single" w:sz="4" w:space="0" w:color="000000"/>
            </w:tcBorders>
            <w:shd w:val="clear" w:color="auto" w:fill="D9D9D9"/>
            <w:vAlign w:val="center"/>
          </w:tcPr>
          <w:p w:rsidR="00F90376" w:rsidRPr="000D5DBE" w:rsidRDefault="00F90376" w:rsidP="00411FBE">
            <w:pPr>
              <w:contextualSpacing/>
              <w:rPr>
                <w:rFonts w:cs="Calibri"/>
                <w:b/>
                <w:color w:val="000000"/>
                <w:sz w:val="18"/>
              </w:rPr>
            </w:pPr>
            <w:r w:rsidRPr="000D5DBE">
              <w:rPr>
                <w:b/>
                <w:color w:val="000000"/>
                <w:sz w:val="18"/>
              </w:rPr>
              <w:t>Exam</w:t>
            </w:r>
          </w:p>
        </w:tc>
      </w:tr>
      <w:tr w:rsidR="00FE0730" w:rsidRPr="00405E2D" w:rsidTr="00411FBE">
        <w:trPr>
          <w:trHeight w:val="118"/>
        </w:trPr>
        <w:tc>
          <w:tcPr>
            <w:tcW w:w="2628" w:type="dxa"/>
            <w:tcBorders>
              <w:right w:val="single" w:sz="4" w:space="0" w:color="auto"/>
            </w:tcBorders>
            <w:shd w:val="clear" w:color="auto" w:fill="FFFFFF"/>
            <w:vAlign w:val="center"/>
          </w:tcPr>
          <w:p w:rsidR="00FE0730" w:rsidRPr="00AC4DB4" w:rsidRDefault="00FE0730" w:rsidP="00411FBE">
            <w:pPr>
              <w:spacing w:line="220" w:lineRule="exact"/>
              <w:contextualSpacing/>
              <w:jc w:val="left"/>
              <w:rPr>
                <w:color w:val="auto"/>
                <w:sz w:val="18"/>
              </w:rPr>
            </w:pPr>
            <w:r w:rsidRPr="00AC4DB4">
              <w:rPr>
                <w:rFonts w:cs="Calibri"/>
                <w:color w:val="auto"/>
                <w:sz w:val="18"/>
              </w:rPr>
              <w:t>Chronic Back Pain</w:t>
            </w:r>
          </w:p>
        </w:tc>
        <w:tc>
          <w:tcPr>
            <w:tcW w:w="630" w:type="dxa"/>
            <w:tcBorders>
              <w:left w:val="single" w:sz="4" w:space="0" w:color="auto"/>
            </w:tcBorders>
            <w:shd w:val="clear" w:color="auto" w:fill="FFFFFF"/>
            <w:vAlign w:val="center"/>
          </w:tcPr>
          <w:p w:rsidR="00FE0730" w:rsidRPr="00FE0730" w:rsidRDefault="00FE0730" w:rsidP="00411FBE">
            <w:pPr>
              <w:spacing w:line="220" w:lineRule="exact"/>
              <w:contextualSpacing/>
              <w:rPr>
                <w:rFonts w:cs="Calibri"/>
                <w:color w:val="auto"/>
                <w:sz w:val="18"/>
                <w:szCs w:val="18"/>
              </w:rPr>
            </w:pPr>
            <w:r w:rsidRPr="00FE0730">
              <w:rPr>
                <w:rFonts w:cs="Calibri"/>
                <w:color w:val="auto"/>
                <w:sz w:val="18"/>
                <w:szCs w:val="18"/>
              </w:rPr>
              <w:t>5237</w:t>
            </w:r>
          </w:p>
        </w:tc>
        <w:tc>
          <w:tcPr>
            <w:tcW w:w="720" w:type="dxa"/>
            <w:tcBorders>
              <w:right w:val="thinThickThinSmallGap" w:sz="24" w:space="0" w:color="auto"/>
            </w:tcBorders>
            <w:shd w:val="clear" w:color="auto" w:fill="FFFFFF"/>
            <w:vAlign w:val="center"/>
          </w:tcPr>
          <w:p w:rsidR="00FE0730" w:rsidRPr="00FE0730" w:rsidRDefault="00FE0730" w:rsidP="00411FBE">
            <w:pPr>
              <w:spacing w:line="220" w:lineRule="exact"/>
              <w:rPr>
                <w:rFonts w:cs="Calibri"/>
                <w:color w:val="auto"/>
                <w:sz w:val="18"/>
                <w:szCs w:val="18"/>
              </w:rPr>
            </w:pPr>
            <w:r w:rsidRPr="00FE0730">
              <w:rPr>
                <w:rFonts w:cs="Calibri"/>
                <w:color w:val="auto"/>
                <w:sz w:val="18"/>
                <w:szCs w:val="18"/>
              </w:rPr>
              <w:t>10%</w:t>
            </w:r>
          </w:p>
        </w:tc>
        <w:tc>
          <w:tcPr>
            <w:tcW w:w="3060" w:type="dxa"/>
            <w:tcBorders>
              <w:left w:val="thinThickThinSmallGap" w:sz="24" w:space="0" w:color="auto"/>
            </w:tcBorders>
            <w:shd w:val="clear" w:color="auto" w:fill="FFFFFF"/>
            <w:vAlign w:val="center"/>
          </w:tcPr>
          <w:p w:rsidR="00FE0730" w:rsidRPr="00FE0730" w:rsidRDefault="00484E0F" w:rsidP="00411FBE">
            <w:pPr>
              <w:spacing w:line="220" w:lineRule="exact"/>
              <w:contextualSpacing/>
              <w:jc w:val="left"/>
              <w:rPr>
                <w:rFonts w:cs="Calibri"/>
                <w:color w:val="auto"/>
                <w:sz w:val="18"/>
                <w:szCs w:val="18"/>
              </w:rPr>
            </w:pPr>
            <w:r>
              <w:rPr>
                <w:rFonts w:cs="Calibri"/>
                <w:color w:val="auto"/>
                <w:sz w:val="18"/>
                <w:szCs w:val="18"/>
              </w:rPr>
              <w:t>Chronic Low Back Strain</w:t>
            </w:r>
          </w:p>
        </w:tc>
        <w:tc>
          <w:tcPr>
            <w:tcW w:w="630" w:type="dxa"/>
            <w:shd w:val="clear" w:color="auto" w:fill="FFFFFF"/>
            <w:vAlign w:val="center"/>
          </w:tcPr>
          <w:p w:rsidR="00FE0730" w:rsidRPr="00FE0730" w:rsidRDefault="00484E0F" w:rsidP="00411FBE">
            <w:pPr>
              <w:spacing w:line="220" w:lineRule="exact"/>
              <w:contextualSpacing/>
              <w:rPr>
                <w:rFonts w:cs="Calibri"/>
                <w:color w:val="auto"/>
                <w:sz w:val="18"/>
                <w:szCs w:val="18"/>
              </w:rPr>
            </w:pPr>
            <w:r>
              <w:rPr>
                <w:rFonts w:cs="Calibri"/>
                <w:color w:val="auto"/>
                <w:sz w:val="18"/>
                <w:szCs w:val="18"/>
              </w:rPr>
              <w:t>5237</w:t>
            </w:r>
          </w:p>
        </w:tc>
        <w:tc>
          <w:tcPr>
            <w:tcW w:w="720" w:type="dxa"/>
            <w:shd w:val="clear" w:color="auto" w:fill="FFFFFF"/>
            <w:vAlign w:val="center"/>
          </w:tcPr>
          <w:p w:rsidR="00FE0730" w:rsidRPr="00FE0730" w:rsidRDefault="00484E0F" w:rsidP="00411FBE">
            <w:pPr>
              <w:spacing w:line="220" w:lineRule="exact"/>
              <w:contextualSpacing/>
              <w:rPr>
                <w:rFonts w:cs="Calibri"/>
                <w:color w:val="auto"/>
                <w:sz w:val="18"/>
                <w:szCs w:val="18"/>
              </w:rPr>
            </w:pPr>
            <w:r>
              <w:rPr>
                <w:rFonts w:cs="Calibri"/>
                <w:color w:val="auto"/>
                <w:sz w:val="18"/>
                <w:szCs w:val="18"/>
              </w:rPr>
              <w:t>NSC</w:t>
            </w:r>
          </w:p>
        </w:tc>
        <w:tc>
          <w:tcPr>
            <w:tcW w:w="960" w:type="dxa"/>
            <w:shd w:val="clear" w:color="auto" w:fill="FFFFFF"/>
            <w:vAlign w:val="center"/>
          </w:tcPr>
          <w:p w:rsidR="00FE0730" w:rsidRPr="00853B43" w:rsidRDefault="00484E0F" w:rsidP="00411FBE">
            <w:pPr>
              <w:spacing w:line="220" w:lineRule="exact"/>
              <w:contextualSpacing/>
              <w:rPr>
                <w:color w:val="auto"/>
                <w:sz w:val="18"/>
              </w:rPr>
            </w:pPr>
            <w:r>
              <w:rPr>
                <w:rFonts w:cs="Calibri"/>
                <w:color w:val="auto"/>
                <w:sz w:val="18"/>
              </w:rPr>
              <w:t>20051031</w:t>
            </w:r>
          </w:p>
        </w:tc>
      </w:tr>
      <w:tr w:rsidR="00F90376" w:rsidRPr="00405E2D" w:rsidTr="00411FBE">
        <w:trPr>
          <w:trHeight w:val="118"/>
        </w:trPr>
        <w:tc>
          <w:tcPr>
            <w:tcW w:w="2628" w:type="dxa"/>
            <w:tcBorders>
              <w:right w:val="single" w:sz="4" w:space="0" w:color="auto"/>
            </w:tcBorders>
            <w:shd w:val="clear" w:color="auto" w:fill="FFFFFF"/>
            <w:vAlign w:val="center"/>
          </w:tcPr>
          <w:p w:rsidR="00F90376" w:rsidRPr="00853B43" w:rsidRDefault="00FE0730" w:rsidP="00484E0F">
            <w:pPr>
              <w:spacing w:line="220" w:lineRule="exact"/>
              <w:contextualSpacing/>
              <w:jc w:val="left"/>
              <w:rPr>
                <w:rFonts w:cs="Calibri"/>
                <w:color w:val="auto"/>
                <w:sz w:val="18"/>
              </w:rPr>
            </w:pPr>
            <w:r w:rsidRPr="00AC4DB4">
              <w:rPr>
                <w:rFonts w:cs="Calibri"/>
                <w:color w:val="auto"/>
                <w:sz w:val="18"/>
              </w:rPr>
              <w:t>Post</w:t>
            </w:r>
            <w:r w:rsidR="00484E0F">
              <w:rPr>
                <w:rFonts w:cs="Calibri"/>
                <w:color w:val="auto"/>
                <w:sz w:val="18"/>
              </w:rPr>
              <w:t xml:space="preserve"> T</w:t>
            </w:r>
            <w:r w:rsidRPr="00AC4DB4">
              <w:rPr>
                <w:rFonts w:cs="Calibri"/>
                <w:color w:val="auto"/>
                <w:sz w:val="18"/>
              </w:rPr>
              <w:t>raumatic Stress Disorder</w:t>
            </w:r>
          </w:p>
        </w:tc>
        <w:tc>
          <w:tcPr>
            <w:tcW w:w="630" w:type="dxa"/>
            <w:tcBorders>
              <w:left w:val="single" w:sz="4" w:space="0" w:color="auto"/>
            </w:tcBorders>
            <w:shd w:val="clear" w:color="auto" w:fill="FFFFFF"/>
            <w:vAlign w:val="center"/>
          </w:tcPr>
          <w:p w:rsidR="00F90376" w:rsidRPr="00FE0730" w:rsidRDefault="00FE0730" w:rsidP="00411FBE">
            <w:pPr>
              <w:spacing w:line="220" w:lineRule="exact"/>
              <w:contextualSpacing/>
              <w:rPr>
                <w:rFonts w:cs="Calibri"/>
                <w:color w:val="auto"/>
                <w:sz w:val="18"/>
                <w:szCs w:val="18"/>
              </w:rPr>
            </w:pPr>
            <w:r w:rsidRPr="00FE0730">
              <w:rPr>
                <w:rFonts w:cs="Calibri"/>
                <w:color w:val="auto"/>
                <w:sz w:val="18"/>
                <w:szCs w:val="18"/>
              </w:rPr>
              <w:t>9411</w:t>
            </w:r>
          </w:p>
        </w:tc>
        <w:tc>
          <w:tcPr>
            <w:tcW w:w="720" w:type="dxa"/>
            <w:tcBorders>
              <w:right w:val="thinThickThinSmallGap" w:sz="24" w:space="0" w:color="auto"/>
            </w:tcBorders>
            <w:shd w:val="clear" w:color="auto" w:fill="FFFFFF"/>
            <w:vAlign w:val="center"/>
          </w:tcPr>
          <w:p w:rsidR="00F90376" w:rsidRPr="00FE0730" w:rsidRDefault="00FE0730" w:rsidP="00411FBE">
            <w:pPr>
              <w:spacing w:line="220" w:lineRule="exact"/>
              <w:rPr>
                <w:rFonts w:cs="Calibri"/>
                <w:color w:val="auto"/>
                <w:sz w:val="18"/>
                <w:szCs w:val="18"/>
              </w:rPr>
            </w:pPr>
            <w:r w:rsidRPr="00FE0730">
              <w:rPr>
                <w:rFonts w:cs="Calibri"/>
                <w:color w:val="auto"/>
                <w:sz w:val="18"/>
                <w:szCs w:val="18"/>
              </w:rPr>
              <w:t>10%</w:t>
            </w:r>
          </w:p>
        </w:tc>
        <w:tc>
          <w:tcPr>
            <w:tcW w:w="3060" w:type="dxa"/>
            <w:tcBorders>
              <w:left w:val="thinThickThinSmallGap" w:sz="24" w:space="0" w:color="auto"/>
            </w:tcBorders>
            <w:shd w:val="clear" w:color="auto" w:fill="FFFFFF"/>
            <w:vAlign w:val="center"/>
          </w:tcPr>
          <w:p w:rsidR="00F90376" w:rsidRPr="00FE0730" w:rsidRDefault="00FE0730" w:rsidP="00411FBE">
            <w:pPr>
              <w:spacing w:line="220" w:lineRule="exact"/>
              <w:contextualSpacing/>
              <w:jc w:val="left"/>
              <w:rPr>
                <w:rFonts w:cs="Calibri"/>
                <w:color w:val="auto"/>
                <w:sz w:val="18"/>
                <w:szCs w:val="18"/>
              </w:rPr>
            </w:pPr>
            <w:r w:rsidRPr="00FE0730">
              <w:rPr>
                <w:rFonts w:cs="Calibri"/>
                <w:color w:val="auto"/>
                <w:sz w:val="18"/>
                <w:szCs w:val="18"/>
              </w:rPr>
              <w:t>Post Traumatic Stress Disorder</w:t>
            </w:r>
          </w:p>
        </w:tc>
        <w:tc>
          <w:tcPr>
            <w:tcW w:w="630" w:type="dxa"/>
            <w:shd w:val="clear" w:color="auto" w:fill="FFFFFF"/>
            <w:vAlign w:val="center"/>
          </w:tcPr>
          <w:p w:rsidR="00F90376" w:rsidRPr="00FE0730" w:rsidRDefault="00FE0730" w:rsidP="00411FBE">
            <w:pPr>
              <w:spacing w:line="220" w:lineRule="exact"/>
              <w:contextualSpacing/>
              <w:rPr>
                <w:rFonts w:cs="Calibri"/>
                <w:color w:val="auto"/>
                <w:sz w:val="18"/>
                <w:szCs w:val="18"/>
              </w:rPr>
            </w:pPr>
            <w:r w:rsidRPr="00FE0730">
              <w:rPr>
                <w:rFonts w:cs="Calibri"/>
                <w:color w:val="auto"/>
                <w:sz w:val="18"/>
                <w:szCs w:val="18"/>
              </w:rPr>
              <w:t>9411</w:t>
            </w:r>
          </w:p>
        </w:tc>
        <w:tc>
          <w:tcPr>
            <w:tcW w:w="720" w:type="dxa"/>
            <w:shd w:val="clear" w:color="auto" w:fill="FFFFFF"/>
            <w:vAlign w:val="center"/>
          </w:tcPr>
          <w:p w:rsidR="00F90376" w:rsidRPr="00FE0730" w:rsidRDefault="00FE0730" w:rsidP="00411FBE">
            <w:pPr>
              <w:spacing w:line="220" w:lineRule="exact"/>
              <w:contextualSpacing/>
              <w:rPr>
                <w:rFonts w:cs="Calibri"/>
                <w:color w:val="auto"/>
                <w:sz w:val="18"/>
                <w:szCs w:val="18"/>
              </w:rPr>
            </w:pPr>
            <w:r w:rsidRPr="00FE0730">
              <w:rPr>
                <w:rFonts w:cs="Calibri"/>
                <w:color w:val="auto"/>
                <w:sz w:val="18"/>
                <w:szCs w:val="18"/>
              </w:rPr>
              <w:t>10%</w:t>
            </w:r>
          </w:p>
        </w:tc>
        <w:tc>
          <w:tcPr>
            <w:tcW w:w="960" w:type="dxa"/>
            <w:shd w:val="clear" w:color="auto" w:fill="FFFFFF"/>
            <w:vAlign w:val="center"/>
          </w:tcPr>
          <w:p w:rsidR="00F90376" w:rsidRPr="00853B43" w:rsidRDefault="00FE0730" w:rsidP="00411FBE">
            <w:pPr>
              <w:spacing w:line="220" w:lineRule="exact"/>
              <w:contextualSpacing/>
              <w:rPr>
                <w:rFonts w:cs="Calibri"/>
                <w:color w:val="auto"/>
                <w:sz w:val="18"/>
              </w:rPr>
            </w:pPr>
            <w:r>
              <w:rPr>
                <w:rFonts w:cs="Calibri"/>
                <w:color w:val="auto"/>
                <w:sz w:val="18"/>
              </w:rPr>
              <w:t xml:space="preserve">20051121 </w:t>
            </w:r>
          </w:p>
        </w:tc>
      </w:tr>
      <w:tr w:rsidR="00484E0F" w:rsidRPr="00405E2D" w:rsidTr="004F7C57">
        <w:trPr>
          <w:trHeight w:val="118"/>
        </w:trPr>
        <w:tc>
          <w:tcPr>
            <w:tcW w:w="3978" w:type="dxa"/>
            <w:gridSpan w:val="3"/>
            <w:vMerge w:val="restart"/>
            <w:tcBorders>
              <w:right w:val="thinThickThinSmallGap" w:sz="24" w:space="0" w:color="auto"/>
            </w:tcBorders>
            <w:shd w:val="clear" w:color="auto" w:fill="FFFFFF"/>
            <w:vAlign w:val="center"/>
          </w:tcPr>
          <w:p w:rsidR="00484E0F" w:rsidRPr="00FE0730" w:rsidRDefault="00484E0F" w:rsidP="00484E0F">
            <w:pPr>
              <w:spacing w:line="220" w:lineRule="exact"/>
              <w:contextualSpacing/>
              <w:rPr>
                <w:color w:val="auto"/>
                <w:sz w:val="18"/>
                <w:szCs w:val="18"/>
              </w:rPr>
            </w:pPr>
            <w:r>
              <w:rPr>
                <w:color w:val="auto"/>
                <w:sz w:val="18"/>
              </w:rPr>
              <w:t>↓</w:t>
            </w:r>
            <w:r w:rsidRPr="00853B43">
              <w:rPr>
                <w:color w:val="auto"/>
                <w:sz w:val="18"/>
              </w:rPr>
              <w:t>No Additional MEB/PEB Entries</w:t>
            </w:r>
            <w:r>
              <w:rPr>
                <w:color w:val="auto"/>
                <w:sz w:val="18"/>
              </w:rPr>
              <w:t>↓</w:t>
            </w:r>
          </w:p>
        </w:tc>
        <w:tc>
          <w:tcPr>
            <w:tcW w:w="3060" w:type="dxa"/>
            <w:tcBorders>
              <w:left w:val="thinThickThinSmallGap" w:sz="24" w:space="0" w:color="auto"/>
            </w:tcBorders>
            <w:shd w:val="clear" w:color="auto" w:fill="FFFFFF"/>
            <w:vAlign w:val="center"/>
          </w:tcPr>
          <w:p w:rsidR="00484E0F" w:rsidRPr="00FE0730" w:rsidRDefault="00484E0F" w:rsidP="00484E0F">
            <w:pPr>
              <w:spacing w:line="220" w:lineRule="exact"/>
              <w:contextualSpacing/>
              <w:jc w:val="left"/>
              <w:rPr>
                <w:rFonts w:cs="Calibri"/>
                <w:color w:val="auto"/>
                <w:sz w:val="18"/>
                <w:szCs w:val="18"/>
              </w:rPr>
            </w:pPr>
            <w:r w:rsidRPr="00FE0730">
              <w:rPr>
                <w:rFonts w:cs="Calibri"/>
                <w:color w:val="auto"/>
                <w:sz w:val="18"/>
                <w:szCs w:val="18"/>
              </w:rPr>
              <w:t>Chronic Cervical Neck Strain</w:t>
            </w:r>
          </w:p>
        </w:tc>
        <w:tc>
          <w:tcPr>
            <w:tcW w:w="630" w:type="dxa"/>
            <w:shd w:val="clear" w:color="auto" w:fill="FFFFFF"/>
            <w:vAlign w:val="center"/>
          </w:tcPr>
          <w:p w:rsidR="00484E0F" w:rsidRPr="00FE0730" w:rsidRDefault="00484E0F" w:rsidP="00484E0F">
            <w:pPr>
              <w:spacing w:line="220" w:lineRule="exact"/>
              <w:contextualSpacing/>
              <w:rPr>
                <w:rFonts w:cs="Calibri"/>
                <w:color w:val="auto"/>
                <w:sz w:val="18"/>
                <w:szCs w:val="18"/>
              </w:rPr>
            </w:pPr>
            <w:r w:rsidRPr="00FE0730">
              <w:rPr>
                <w:rFonts w:cs="Calibri"/>
                <w:color w:val="auto"/>
                <w:sz w:val="18"/>
                <w:szCs w:val="18"/>
              </w:rPr>
              <w:t>5237</w:t>
            </w:r>
          </w:p>
        </w:tc>
        <w:tc>
          <w:tcPr>
            <w:tcW w:w="720" w:type="dxa"/>
            <w:shd w:val="clear" w:color="auto" w:fill="FFFFFF"/>
            <w:vAlign w:val="center"/>
          </w:tcPr>
          <w:p w:rsidR="00484E0F" w:rsidRPr="00FE0730" w:rsidRDefault="00484E0F" w:rsidP="00484E0F">
            <w:pPr>
              <w:spacing w:line="220" w:lineRule="exact"/>
              <w:contextualSpacing/>
              <w:rPr>
                <w:rFonts w:cs="Calibri"/>
                <w:color w:val="auto"/>
                <w:sz w:val="18"/>
                <w:szCs w:val="18"/>
              </w:rPr>
            </w:pPr>
            <w:r w:rsidRPr="00FE0730">
              <w:rPr>
                <w:rFonts w:cs="Calibri"/>
                <w:color w:val="auto"/>
                <w:sz w:val="18"/>
                <w:szCs w:val="18"/>
              </w:rPr>
              <w:t>10%</w:t>
            </w:r>
          </w:p>
        </w:tc>
        <w:tc>
          <w:tcPr>
            <w:tcW w:w="960" w:type="dxa"/>
            <w:shd w:val="clear" w:color="auto" w:fill="FFFFFF"/>
            <w:vAlign w:val="center"/>
          </w:tcPr>
          <w:p w:rsidR="00484E0F" w:rsidRPr="00853B43" w:rsidRDefault="00484E0F" w:rsidP="00484E0F">
            <w:pPr>
              <w:spacing w:line="220" w:lineRule="exact"/>
              <w:contextualSpacing/>
              <w:rPr>
                <w:color w:val="auto"/>
                <w:sz w:val="18"/>
              </w:rPr>
            </w:pPr>
            <w:r>
              <w:rPr>
                <w:rFonts w:cs="Calibri"/>
                <w:color w:val="auto"/>
                <w:sz w:val="18"/>
              </w:rPr>
              <w:t>20051031</w:t>
            </w:r>
          </w:p>
        </w:tc>
      </w:tr>
      <w:tr w:rsidR="00484E0F" w:rsidRPr="00405E2D" w:rsidTr="00411FBE">
        <w:trPr>
          <w:trHeight w:val="172"/>
        </w:trPr>
        <w:tc>
          <w:tcPr>
            <w:tcW w:w="3978" w:type="dxa"/>
            <w:gridSpan w:val="3"/>
            <w:vMerge/>
            <w:tcBorders>
              <w:right w:val="thinThickThinSmallGap" w:sz="24" w:space="0" w:color="auto"/>
            </w:tcBorders>
            <w:shd w:val="clear" w:color="auto" w:fill="FFFFFF"/>
            <w:vAlign w:val="center"/>
          </w:tcPr>
          <w:p w:rsidR="00484E0F" w:rsidRPr="00853B43" w:rsidRDefault="00484E0F" w:rsidP="00484E0F">
            <w:pPr>
              <w:spacing w:line="220" w:lineRule="exact"/>
              <w:contextualSpacing/>
              <w:rPr>
                <w:rFonts w:cs="Calibri"/>
                <w:color w:val="auto"/>
                <w:sz w:val="18"/>
              </w:rPr>
            </w:pPr>
          </w:p>
        </w:tc>
        <w:tc>
          <w:tcPr>
            <w:tcW w:w="4410" w:type="dxa"/>
            <w:gridSpan w:val="3"/>
            <w:tcBorders>
              <w:left w:val="thinThickThinSmallGap" w:sz="24" w:space="0" w:color="auto"/>
            </w:tcBorders>
            <w:shd w:val="clear" w:color="auto" w:fill="FFFFFF"/>
            <w:vAlign w:val="center"/>
          </w:tcPr>
          <w:p w:rsidR="00484E0F" w:rsidRPr="00853B43" w:rsidRDefault="00484E0F" w:rsidP="00484E0F">
            <w:pPr>
              <w:spacing w:line="220" w:lineRule="exact"/>
              <w:contextualSpacing/>
              <w:rPr>
                <w:rFonts w:cs="Calibri"/>
                <w:color w:val="auto"/>
                <w:sz w:val="18"/>
              </w:rPr>
            </w:pPr>
            <w:r w:rsidRPr="00853B43">
              <w:rPr>
                <w:color w:val="auto"/>
                <w:sz w:val="18"/>
              </w:rPr>
              <w:t xml:space="preserve">0% X </w:t>
            </w:r>
            <w:r>
              <w:rPr>
                <w:color w:val="auto"/>
                <w:sz w:val="18"/>
              </w:rPr>
              <w:t>2</w:t>
            </w:r>
            <w:r w:rsidRPr="00853B43">
              <w:rPr>
                <w:color w:val="auto"/>
                <w:sz w:val="18"/>
              </w:rPr>
              <w:t xml:space="preserve"> / Not Service Connected x </w:t>
            </w:r>
            <w:r>
              <w:rPr>
                <w:color w:val="auto"/>
                <w:sz w:val="18"/>
              </w:rPr>
              <w:t>6 others</w:t>
            </w:r>
          </w:p>
        </w:tc>
        <w:tc>
          <w:tcPr>
            <w:tcW w:w="960" w:type="dxa"/>
            <w:shd w:val="clear" w:color="auto" w:fill="FFFFFF"/>
            <w:vAlign w:val="center"/>
          </w:tcPr>
          <w:p w:rsidR="00484E0F" w:rsidRPr="00853B43" w:rsidRDefault="00484E0F" w:rsidP="00484E0F">
            <w:pPr>
              <w:spacing w:line="220" w:lineRule="exact"/>
              <w:contextualSpacing/>
              <w:rPr>
                <w:rFonts w:cs="Calibri"/>
                <w:color w:val="auto"/>
                <w:sz w:val="18"/>
              </w:rPr>
            </w:pPr>
            <w:r>
              <w:rPr>
                <w:rFonts w:cs="Calibri"/>
                <w:color w:val="auto"/>
                <w:sz w:val="18"/>
              </w:rPr>
              <w:t xml:space="preserve">20051031 </w:t>
            </w:r>
          </w:p>
        </w:tc>
      </w:tr>
      <w:tr w:rsidR="00484E0F" w:rsidRPr="00405E2D" w:rsidTr="00411FBE">
        <w:trPr>
          <w:trHeight w:val="124"/>
        </w:trPr>
        <w:tc>
          <w:tcPr>
            <w:tcW w:w="3978" w:type="dxa"/>
            <w:gridSpan w:val="3"/>
            <w:tcBorders>
              <w:right w:val="thinThickThinSmallGap" w:sz="24" w:space="0" w:color="auto"/>
            </w:tcBorders>
            <w:shd w:val="clear" w:color="auto" w:fill="D9D9D9"/>
          </w:tcPr>
          <w:p w:rsidR="00484E0F" w:rsidRPr="000D5DBE" w:rsidRDefault="00484E0F" w:rsidP="00484E0F">
            <w:pPr>
              <w:contextualSpacing/>
              <w:rPr>
                <w:rFonts w:cs="Calibri"/>
                <w:b/>
                <w:color w:val="000000"/>
                <w:sz w:val="18"/>
              </w:rPr>
            </w:pPr>
            <w:r>
              <w:rPr>
                <w:b/>
                <w:color w:val="000000"/>
                <w:sz w:val="18"/>
              </w:rPr>
              <w:t>Combined:  20</w:t>
            </w:r>
            <w:r w:rsidRPr="000D5DBE">
              <w:rPr>
                <w:b/>
                <w:color w:val="000000"/>
                <w:sz w:val="18"/>
              </w:rPr>
              <w:t>%</w:t>
            </w:r>
          </w:p>
        </w:tc>
        <w:tc>
          <w:tcPr>
            <w:tcW w:w="5370" w:type="dxa"/>
            <w:gridSpan w:val="4"/>
            <w:tcBorders>
              <w:left w:val="thinThickThinSmallGap" w:sz="24" w:space="0" w:color="auto"/>
            </w:tcBorders>
            <w:shd w:val="clear" w:color="auto" w:fill="D9D9D9"/>
          </w:tcPr>
          <w:p w:rsidR="00484E0F" w:rsidRPr="000D5DBE" w:rsidRDefault="00484E0F" w:rsidP="00484E0F">
            <w:pPr>
              <w:contextualSpacing/>
              <w:rPr>
                <w:rFonts w:cs="Calibri"/>
                <w:b/>
                <w:color w:val="000000"/>
                <w:sz w:val="18"/>
              </w:rPr>
            </w:pPr>
            <w:r>
              <w:rPr>
                <w:b/>
                <w:color w:val="000000"/>
                <w:sz w:val="18"/>
              </w:rPr>
              <w:t>Combined:  20</w:t>
            </w:r>
            <w:r w:rsidRPr="000D5DBE">
              <w:rPr>
                <w:b/>
                <w:color w:val="000000"/>
                <w:sz w:val="18"/>
              </w:rPr>
              <w:t>%</w:t>
            </w:r>
          </w:p>
        </w:tc>
      </w:tr>
    </w:tbl>
    <w:p w:rsidR="00F90376" w:rsidRDefault="00F90376" w:rsidP="00F90376">
      <w:pPr>
        <w:pBdr>
          <w:bottom w:val="single" w:sz="12" w:space="1" w:color="auto"/>
        </w:pBdr>
        <w:tabs>
          <w:tab w:val="left" w:pos="288"/>
          <w:tab w:val="left" w:pos="4752"/>
        </w:tabs>
        <w:jc w:val="both"/>
        <w:rPr>
          <w:color w:val="000000"/>
        </w:rPr>
      </w:pPr>
    </w:p>
    <w:p w:rsidR="00AD2379" w:rsidRPr="001F29F9" w:rsidRDefault="00AD2379">
      <w:pPr>
        <w:rPr>
          <w:color w:val="000000"/>
        </w:rPr>
      </w:pPr>
    </w:p>
    <w:p w:rsidR="00AD2379" w:rsidRPr="00726F84" w:rsidRDefault="00AD2379" w:rsidP="00726F84">
      <w:pPr>
        <w:jc w:val="both"/>
        <w:rPr>
          <w:color w:val="000000"/>
        </w:rPr>
      </w:pPr>
      <w:r w:rsidRPr="003D3A6E">
        <w:rPr>
          <w:color w:val="000000"/>
          <w:u w:val="single"/>
        </w:rPr>
        <w:t>ANALYSIS SUMMARY</w:t>
      </w:r>
      <w:r w:rsidRPr="003D3A6E">
        <w:rPr>
          <w:color w:val="000000"/>
        </w:rPr>
        <w:t>:</w:t>
      </w:r>
      <w:r w:rsidR="00896C01" w:rsidRPr="003D3A6E">
        <w:rPr>
          <w:color w:val="000000"/>
        </w:rPr>
        <w:t xml:space="preserve"> </w:t>
      </w:r>
      <w:r w:rsidRPr="003D3A6E">
        <w:rPr>
          <w:color w:val="000000"/>
        </w:rPr>
        <w:t xml:space="preserve"> </w:t>
      </w:r>
      <w:r w:rsidR="00484E0F" w:rsidRPr="003D3A6E">
        <w:rPr>
          <w:color w:val="auto"/>
        </w:rPr>
        <w:t>The Board acknowledges the sentiment expressed in the CI’s application, i.e., that the gravity of his condition merits consideration for a higher separation rating.  The Board wishes to clarify that it is subject to the same laws for disability entitlements as those under which the Disability Evaluation System (DES) operates.  While the DES considers all of the member's medical conditions</w:t>
      </w:r>
      <w:r w:rsidR="00484E0F" w:rsidRPr="00484E0F">
        <w:rPr>
          <w:color w:val="auto"/>
        </w:rPr>
        <w:t>, compensation can only be offered for those medical conditions that cut short a member’s career, and then only to the degree of severity present at the time of final disposition.  However the Department of Veteran Affairs (DVA), operating under a different set of laws (Title 38, United States Code), is empowered to compensate all service</w:t>
      </w:r>
      <w:r w:rsidR="00D7763E">
        <w:rPr>
          <w:color w:val="auto"/>
        </w:rPr>
        <w:t>-</w:t>
      </w:r>
      <w:r w:rsidR="00484E0F" w:rsidRPr="00484E0F">
        <w:rPr>
          <w:color w:val="auto"/>
        </w:rPr>
        <w:t>connected conditions and to periodically</w:t>
      </w:r>
      <w:r w:rsidR="00484E0F">
        <w:rPr>
          <w:color w:val="auto"/>
        </w:rPr>
        <w:t xml:space="preserve"> reevaluate said conditions for the purpose of adjusting the </w:t>
      </w:r>
      <w:r w:rsidR="00D7763E">
        <w:rPr>
          <w:color w:val="auto"/>
        </w:rPr>
        <w:t>V</w:t>
      </w:r>
      <w:r w:rsidR="00484E0F">
        <w:rPr>
          <w:color w:val="auto"/>
        </w:rPr>
        <w:t xml:space="preserve">eteran’s disability rating should his degree of impairment vary over time.  The Board utilizes </w:t>
      </w:r>
      <w:r w:rsidR="00D7763E">
        <w:rPr>
          <w:color w:val="auto"/>
        </w:rPr>
        <w:t>D</w:t>
      </w:r>
      <w:r w:rsidR="00484E0F">
        <w:rPr>
          <w:color w:val="auto"/>
        </w:rPr>
        <w:t>VA evidence proximal to separation in arriving at its recommendations; and, DoDI 6040.44 defines a 12-month interval for special consideration to post-separation evidence.  The Board’s authority as defined in DoDI 6040.44, however, resides in evaluating the fairness of DES fitness determinations and rating decisions for disability at the time of separation.  Post-separation evidence therefore is probative only to the extent that it reasonably reflects the disability and fitness implications at the time of separation.</w:t>
      </w:r>
    </w:p>
    <w:p w:rsidR="00AD2379" w:rsidRPr="001F29F9" w:rsidRDefault="00AD2379" w:rsidP="00B22D42">
      <w:pPr>
        <w:jc w:val="both"/>
        <w:rPr>
          <w:color w:val="000000"/>
          <w:highlight w:val="yellow"/>
        </w:rPr>
      </w:pPr>
    </w:p>
    <w:p w:rsidR="00B36081" w:rsidRDefault="00B36081" w:rsidP="00411FBE">
      <w:pPr>
        <w:jc w:val="both"/>
        <w:rPr>
          <w:color w:val="000000"/>
          <w:szCs w:val="24"/>
        </w:rPr>
      </w:pPr>
      <w:proofErr w:type="gramStart"/>
      <w:r w:rsidRPr="00B36081">
        <w:rPr>
          <w:color w:val="000000"/>
          <w:u w:val="single"/>
        </w:rPr>
        <w:t xml:space="preserve">Chronic </w:t>
      </w:r>
      <w:r w:rsidRPr="004F7C57">
        <w:rPr>
          <w:color w:val="000000"/>
          <w:u w:val="single"/>
        </w:rPr>
        <w:t xml:space="preserve">Back Pain </w:t>
      </w:r>
      <w:r w:rsidR="00AD2379" w:rsidRPr="004F7C57">
        <w:rPr>
          <w:color w:val="000000"/>
          <w:u w:val="single"/>
        </w:rPr>
        <w:t>Condition</w:t>
      </w:r>
      <w:r w:rsidR="00AD2379" w:rsidRPr="009A7578">
        <w:rPr>
          <w:color w:val="000000"/>
        </w:rPr>
        <w:t>.</w:t>
      </w:r>
      <w:proofErr w:type="gramEnd"/>
      <w:r w:rsidR="004F7C57">
        <w:rPr>
          <w:color w:val="000000"/>
        </w:rPr>
        <w:t xml:space="preserve">  </w:t>
      </w:r>
      <w:r w:rsidR="0069687C" w:rsidRPr="00B652C3">
        <w:rPr>
          <w:color w:val="000000"/>
          <w:szCs w:val="24"/>
        </w:rPr>
        <w:t xml:space="preserve">There were </w:t>
      </w:r>
      <w:r w:rsidR="00CA5CC9">
        <w:rPr>
          <w:color w:val="000000"/>
          <w:szCs w:val="24"/>
        </w:rPr>
        <w:t>two</w:t>
      </w:r>
      <w:r w:rsidR="0069687C" w:rsidRPr="00B652C3">
        <w:rPr>
          <w:color w:val="000000"/>
          <w:szCs w:val="24"/>
        </w:rPr>
        <w:t xml:space="preserve"> goniometric range</w:t>
      </w:r>
      <w:r w:rsidR="00D7763E">
        <w:rPr>
          <w:color w:val="000000"/>
          <w:szCs w:val="24"/>
        </w:rPr>
        <w:t>-</w:t>
      </w:r>
      <w:r w:rsidR="0069687C" w:rsidRPr="00B652C3">
        <w:rPr>
          <w:color w:val="000000"/>
          <w:szCs w:val="24"/>
        </w:rPr>
        <w:t>of</w:t>
      </w:r>
      <w:r w:rsidR="00D7763E">
        <w:rPr>
          <w:color w:val="000000"/>
          <w:szCs w:val="24"/>
        </w:rPr>
        <w:t>-</w:t>
      </w:r>
      <w:r w:rsidR="0069687C" w:rsidRPr="00B652C3">
        <w:rPr>
          <w:color w:val="000000"/>
          <w:szCs w:val="24"/>
        </w:rPr>
        <w:t>motion (ROM) evaluations in evidence, with documentation of additional ratable criteria, which the Board weighed in arriving at its rating recommendation as summarized in the chart below.</w:t>
      </w:r>
    </w:p>
    <w:p w:rsidR="0094483B" w:rsidRDefault="0094483B" w:rsidP="00411FBE">
      <w:pPr>
        <w:jc w:val="both"/>
        <w:rPr>
          <w:rFonts w:eastAsiaTheme="minorHAnsi"/>
          <w:color w:val="auto"/>
          <w:szCs w:val="24"/>
        </w:rPr>
      </w:pPr>
    </w:p>
    <w:tbl>
      <w:tblPr>
        <w:tblW w:w="0" w:type="auto"/>
        <w:jc w:val="center"/>
        <w:tblInd w:w="-2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1"/>
        <w:gridCol w:w="4140"/>
        <w:gridCol w:w="3180"/>
      </w:tblGrid>
      <w:tr w:rsidR="00CA5CC9" w:rsidRPr="00A316A4" w:rsidTr="008C7250">
        <w:trPr>
          <w:jc w:val="center"/>
        </w:trPr>
        <w:tc>
          <w:tcPr>
            <w:tcW w:w="1921"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A5CC9" w:rsidRPr="00CA5CC9" w:rsidRDefault="00CA5CC9" w:rsidP="00411FBE">
            <w:pPr>
              <w:pStyle w:val="ListParagraph"/>
              <w:spacing w:after="0" w:line="200" w:lineRule="exact"/>
              <w:ind w:left="0"/>
              <w:rPr>
                <w:rFonts w:asciiTheme="majorHAnsi" w:eastAsia="Calibri" w:hAnsiTheme="majorHAnsi" w:cstheme="minorHAnsi"/>
                <w:b/>
                <w:sz w:val="20"/>
                <w:szCs w:val="20"/>
              </w:rPr>
            </w:pPr>
            <w:r w:rsidRPr="00CA5CC9">
              <w:rPr>
                <w:rFonts w:asciiTheme="majorHAnsi" w:eastAsia="Calibri" w:hAnsiTheme="majorHAnsi" w:cstheme="minorHAnsi"/>
                <w:sz w:val="20"/>
                <w:szCs w:val="20"/>
              </w:rPr>
              <w:t>Thoracolumbar ROM</w:t>
            </w:r>
          </w:p>
        </w:tc>
        <w:tc>
          <w:tcPr>
            <w:tcW w:w="414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A5CC9" w:rsidRDefault="00CA5CC9" w:rsidP="00411FBE">
            <w:pPr>
              <w:spacing w:line="200" w:lineRule="exact"/>
              <w:contextualSpacing/>
              <w:rPr>
                <w:rFonts w:asciiTheme="majorHAnsi" w:eastAsia="Calibri" w:hAnsiTheme="majorHAnsi"/>
                <w:color w:val="auto"/>
                <w:sz w:val="20"/>
              </w:rPr>
            </w:pPr>
            <w:r w:rsidRPr="00A316A4">
              <w:rPr>
                <w:rFonts w:asciiTheme="majorHAnsi" w:eastAsia="Calibri" w:hAnsiTheme="majorHAnsi"/>
                <w:color w:val="auto"/>
                <w:sz w:val="20"/>
              </w:rPr>
              <w:t>MEB ~4 Mo</w:t>
            </w:r>
            <w:r>
              <w:rPr>
                <w:rFonts w:asciiTheme="majorHAnsi" w:eastAsia="Calibri" w:hAnsiTheme="majorHAnsi"/>
                <w:color w:val="auto"/>
                <w:sz w:val="20"/>
              </w:rPr>
              <w:t>nths</w:t>
            </w:r>
            <w:r w:rsidRPr="00A316A4">
              <w:rPr>
                <w:rFonts w:asciiTheme="majorHAnsi" w:eastAsia="Calibri" w:hAnsiTheme="majorHAnsi"/>
                <w:color w:val="auto"/>
                <w:sz w:val="20"/>
              </w:rPr>
              <w:t xml:space="preserve"> </w:t>
            </w:r>
          </w:p>
          <w:p w:rsidR="00CA5CC9" w:rsidRPr="00A316A4" w:rsidRDefault="00CA5CC9" w:rsidP="003D3A6E">
            <w:pPr>
              <w:spacing w:line="200" w:lineRule="exact"/>
              <w:contextualSpacing/>
              <w:rPr>
                <w:rFonts w:asciiTheme="majorHAnsi" w:eastAsia="Calibri" w:hAnsiTheme="majorHAnsi"/>
                <w:color w:val="auto"/>
                <w:sz w:val="20"/>
              </w:rPr>
            </w:pPr>
            <w:r w:rsidRPr="00A316A4">
              <w:rPr>
                <w:rFonts w:asciiTheme="majorHAnsi" w:eastAsia="Calibri" w:hAnsiTheme="majorHAnsi"/>
                <w:color w:val="auto"/>
                <w:sz w:val="20"/>
              </w:rPr>
              <w:t>Pre-Sep</w:t>
            </w:r>
            <w:r>
              <w:rPr>
                <w:rFonts w:asciiTheme="majorHAnsi" w:eastAsia="Calibri" w:hAnsiTheme="majorHAnsi"/>
                <w:color w:val="auto"/>
                <w:sz w:val="20"/>
              </w:rPr>
              <w:t>aration</w:t>
            </w:r>
          </w:p>
        </w:tc>
        <w:tc>
          <w:tcPr>
            <w:tcW w:w="318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CA5CC9" w:rsidRDefault="00CA5CC9" w:rsidP="00411FBE">
            <w:pPr>
              <w:spacing w:line="200" w:lineRule="exact"/>
              <w:contextualSpacing/>
              <w:rPr>
                <w:rFonts w:asciiTheme="majorHAnsi" w:eastAsia="Calibri" w:hAnsiTheme="majorHAnsi"/>
                <w:color w:val="auto"/>
                <w:sz w:val="20"/>
              </w:rPr>
            </w:pPr>
            <w:r w:rsidRPr="00A316A4">
              <w:rPr>
                <w:rFonts w:asciiTheme="majorHAnsi" w:eastAsia="Calibri" w:hAnsiTheme="majorHAnsi"/>
                <w:color w:val="auto"/>
                <w:sz w:val="20"/>
              </w:rPr>
              <w:t>VA</w:t>
            </w:r>
            <w:r w:rsidRPr="00A316A4">
              <w:rPr>
                <w:rFonts w:asciiTheme="majorHAnsi" w:eastAsiaTheme="minorHAnsi" w:hAnsiTheme="majorHAnsi"/>
                <w:color w:val="auto"/>
                <w:sz w:val="20"/>
              </w:rPr>
              <w:t xml:space="preserve"> C&amp;P </w:t>
            </w:r>
            <w:r w:rsidRPr="00A316A4">
              <w:rPr>
                <w:rFonts w:asciiTheme="majorHAnsi" w:eastAsia="Calibri" w:hAnsiTheme="majorHAnsi"/>
                <w:color w:val="auto"/>
                <w:sz w:val="20"/>
              </w:rPr>
              <w:t>~2</w:t>
            </w:r>
            <w:r>
              <w:rPr>
                <w:rFonts w:asciiTheme="majorHAnsi" w:eastAsia="Calibri" w:hAnsiTheme="majorHAnsi"/>
                <w:color w:val="auto"/>
                <w:sz w:val="20"/>
              </w:rPr>
              <w:t xml:space="preserve"> Months</w:t>
            </w:r>
            <w:r w:rsidRPr="00A316A4">
              <w:rPr>
                <w:rFonts w:asciiTheme="majorHAnsi" w:eastAsia="Calibri" w:hAnsiTheme="majorHAnsi"/>
                <w:color w:val="auto"/>
                <w:sz w:val="20"/>
              </w:rPr>
              <w:t xml:space="preserve"> </w:t>
            </w:r>
          </w:p>
          <w:p w:rsidR="00CA5CC9" w:rsidRPr="003D3A6E" w:rsidRDefault="00CA5CC9" w:rsidP="003D3A6E">
            <w:pPr>
              <w:spacing w:line="200" w:lineRule="exact"/>
              <w:contextualSpacing/>
              <w:rPr>
                <w:rFonts w:asciiTheme="majorHAnsi" w:eastAsia="Calibri" w:hAnsiTheme="majorHAnsi"/>
                <w:color w:val="auto"/>
                <w:sz w:val="20"/>
              </w:rPr>
            </w:pPr>
            <w:r w:rsidRPr="00A316A4">
              <w:rPr>
                <w:rFonts w:asciiTheme="majorHAnsi" w:eastAsia="Calibri" w:hAnsiTheme="majorHAnsi"/>
                <w:color w:val="auto"/>
                <w:sz w:val="20"/>
              </w:rPr>
              <w:t>Post-Sep</w:t>
            </w:r>
            <w:r>
              <w:rPr>
                <w:rFonts w:asciiTheme="majorHAnsi" w:eastAsia="Calibri" w:hAnsiTheme="majorHAnsi"/>
                <w:color w:val="auto"/>
                <w:sz w:val="20"/>
              </w:rPr>
              <w:t>aration</w:t>
            </w:r>
          </w:p>
        </w:tc>
      </w:tr>
      <w:tr w:rsidR="00CA5CC9" w:rsidRPr="00A316A4" w:rsidTr="008C7250">
        <w:trPr>
          <w:jc w:val="center"/>
        </w:trPr>
        <w:tc>
          <w:tcPr>
            <w:tcW w:w="1921" w:type="dxa"/>
            <w:tcBorders>
              <w:top w:val="single" w:sz="4" w:space="0" w:color="000000"/>
              <w:left w:val="single" w:sz="4" w:space="0" w:color="000000"/>
              <w:bottom w:val="single" w:sz="4" w:space="0" w:color="000000"/>
              <w:right w:val="single" w:sz="4" w:space="0" w:color="000000"/>
            </w:tcBorders>
            <w:vAlign w:val="center"/>
            <w:hideMark/>
          </w:tcPr>
          <w:p w:rsidR="00CA5CC9" w:rsidRPr="00CA5CC9" w:rsidRDefault="00CA5CC9" w:rsidP="00411FBE">
            <w:pPr>
              <w:pStyle w:val="ListParagraph"/>
              <w:spacing w:after="0" w:line="200" w:lineRule="exact"/>
              <w:ind w:left="0"/>
              <w:rPr>
                <w:rFonts w:asciiTheme="majorHAnsi" w:eastAsia="Calibri" w:hAnsiTheme="majorHAnsi" w:cstheme="minorHAnsi"/>
                <w:sz w:val="20"/>
                <w:szCs w:val="20"/>
              </w:rPr>
            </w:pPr>
            <w:r w:rsidRPr="00CA5CC9">
              <w:rPr>
                <w:rFonts w:asciiTheme="majorHAnsi" w:hAnsiTheme="majorHAnsi"/>
                <w:sz w:val="20"/>
                <w:szCs w:val="20"/>
              </w:rPr>
              <w:t>Flexion (90⁰ Normal)</w:t>
            </w:r>
          </w:p>
        </w:tc>
        <w:tc>
          <w:tcPr>
            <w:tcW w:w="4140" w:type="dxa"/>
            <w:tcBorders>
              <w:top w:val="single" w:sz="4" w:space="0" w:color="000000"/>
              <w:left w:val="single" w:sz="4" w:space="0" w:color="000000"/>
              <w:bottom w:val="single" w:sz="4" w:space="0" w:color="000000"/>
              <w:right w:val="single" w:sz="4" w:space="0" w:color="000000"/>
            </w:tcBorders>
            <w:vAlign w:val="center"/>
          </w:tcPr>
          <w:p w:rsidR="00CA5CC9" w:rsidRPr="00A316A4" w:rsidRDefault="00CA5CC9" w:rsidP="00411FBE">
            <w:pPr>
              <w:spacing w:line="200" w:lineRule="exact"/>
              <w:contextualSpacing/>
              <w:rPr>
                <w:rFonts w:asciiTheme="majorHAnsi" w:eastAsia="Calibri" w:hAnsiTheme="majorHAnsi"/>
                <w:color w:val="auto"/>
                <w:sz w:val="20"/>
              </w:rPr>
            </w:pPr>
            <w:r w:rsidRPr="00A316A4">
              <w:rPr>
                <w:rFonts w:asciiTheme="majorHAnsi" w:eastAsia="Calibri" w:hAnsiTheme="majorHAnsi"/>
                <w:color w:val="auto"/>
                <w:sz w:val="20"/>
              </w:rPr>
              <w:t>90⁰</w:t>
            </w:r>
          </w:p>
        </w:tc>
        <w:tc>
          <w:tcPr>
            <w:tcW w:w="3180" w:type="dxa"/>
            <w:tcBorders>
              <w:top w:val="single" w:sz="4" w:space="0" w:color="000000"/>
              <w:left w:val="single" w:sz="4" w:space="0" w:color="000000"/>
              <w:bottom w:val="single" w:sz="4" w:space="0" w:color="000000"/>
              <w:right w:val="single" w:sz="4" w:space="0" w:color="000000"/>
            </w:tcBorders>
            <w:vAlign w:val="center"/>
          </w:tcPr>
          <w:p w:rsidR="00CA5CC9" w:rsidRPr="00A316A4" w:rsidRDefault="00CA5CC9" w:rsidP="00411FBE">
            <w:pPr>
              <w:spacing w:line="200" w:lineRule="exact"/>
              <w:contextualSpacing/>
              <w:rPr>
                <w:rFonts w:asciiTheme="majorHAnsi" w:eastAsia="Calibri" w:hAnsiTheme="majorHAnsi"/>
                <w:color w:val="auto"/>
                <w:sz w:val="20"/>
              </w:rPr>
            </w:pPr>
            <w:r w:rsidRPr="00A316A4">
              <w:rPr>
                <w:rFonts w:asciiTheme="majorHAnsi" w:eastAsia="Calibri" w:hAnsiTheme="majorHAnsi"/>
                <w:color w:val="auto"/>
                <w:sz w:val="20"/>
              </w:rPr>
              <w:t>90⁰</w:t>
            </w:r>
          </w:p>
        </w:tc>
      </w:tr>
      <w:tr w:rsidR="00CA5CC9" w:rsidRPr="00A316A4" w:rsidTr="008C7250">
        <w:trPr>
          <w:jc w:val="center"/>
        </w:trPr>
        <w:tc>
          <w:tcPr>
            <w:tcW w:w="1921" w:type="dxa"/>
            <w:tcBorders>
              <w:top w:val="single" w:sz="4" w:space="0" w:color="000000"/>
              <w:left w:val="single" w:sz="4" w:space="0" w:color="000000"/>
              <w:bottom w:val="single" w:sz="4" w:space="0" w:color="000000"/>
              <w:right w:val="single" w:sz="4" w:space="0" w:color="000000"/>
            </w:tcBorders>
            <w:vAlign w:val="center"/>
            <w:hideMark/>
          </w:tcPr>
          <w:p w:rsidR="00CA5CC9" w:rsidRPr="00CA5CC9" w:rsidRDefault="00CA5CC9" w:rsidP="00411FBE">
            <w:pPr>
              <w:pStyle w:val="ListParagraph"/>
              <w:spacing w:after="0" w:line="200" w:lineRule="exact"/>
              <w:ind w:left="0"/>
              <w:rPr>
                <w:rFonts w:asciiTheme="majorHAnsi" w:eastAsia="Calibri" w:hAnsiTheme="majorHAnsi" w:cstheme="minorHAnsi"/>
                <w:sz w:val="20"/>
                <w:szCs w:val="20"/>
              </w:rPr>
            </w:pPr>
            <w:r w:rsidRPr="00CA5CC9">
              <w:rPr>
                <w:rFonts w:asciiTheme="majorHAnsi" w:eastAsia="Calibri" w:hAnsiTheme="majorHAnsi" w:cstheme="minorHAnsi"/>
                <w:sz w:val="20"/>
                <w:szCs w:val="20"/>
              </w:rPr>
              <w:t>Ext (0-30)</w:t>
            </w:r>
          </w:p>
        </w:tc>
        <w:tc>
          <w:tcPr>
            <w:tcW w:w="4140" w:type="dxa"/>
            <w:tcBorders>
              <w:top w:val="single" w:sz="4" w:space="0" w:color="000000"/>
              <w:left w:val="single" w:sz="4" w:space="0" w:color="000000"/>
              <w:bottom w:val="single" w:sz="4" w:space="0" w:color="000000"/>
              <w:right w:val="single" w:sz="4" w:space="0" w:color="000000"/>
            </w:tcBorders>
            <w:vAlign w:val="center"/>
          </w:tcPr>
          <w:p w:rsidR="00CA5CC9" w:rsidRPr="00A316A4" w:rsidRDefault="00CA5CC9" w:rsidP="00411FBE">
            <w:pPr>
              <w:spacing w:line="200" w:lineRule="exact"/>
              <w:contextualSpacing/>
              <w:rPr>
                <w:rFonts w:asciiTheme="majorHAnsi" w:eastAsia="Calibri" w:hAnsiTheme="majorHAnsi"/>
                <w:color w:val="auto"/>
                <w:sz w:val="20"/>
              </w:rPr>
            </w:pPr>
            <w:r>
              <w:rPr>
                <w:rFonts w:asciiTheme="majorHAnsi" w:eastAsia="Calibri" w:hAnsiTheme="majorHAnsi"/>
                <w:color w:val="auto"/>
                <w:sz w:val="20"/>
              </w:rPr>
              <w:t>Not measured</w:t>
            </w:r>
          </w:p>
        </w:tc>
        <w:tc>
          <w:tcPr>
            <w:tcW w:w="3180" w:type="dxa"/>
            <w:tcBorders>
              <w:top w:val="single" w:sz="4" w:space="0" w:color="000000"/>
              <w:left w:val="single" w:sz="4" w:space="0" w:color="000000"/>
              <w:bottom w:val="single" w:sz="4" w:space="0" w:color="000000"/>
              <w:right w:val="single" w:sz="4" w:space="0" w:color="000000"/>
            </w:tcBorders>
            <w:vAlign w:val="center"/>
          </w:tcPr>
          <w:p w:rsidR="00CA5CC9" w:rsidRPr="00A316A4" w:rsidRDefault="00CA5CC9" w:rsidP="00411FBE">
            <w:pPr>
              <w:spacing w:line="200" w:lineRule="exact"/>
              <w:contextualSpacing/>
              <w:rPr>
                <w:rFonts w:asciiTheme="majorHAnsi" w:eastAsia="Calibri" w:hAnsiTheme="majorHAnsi"/>
                <w:color w:val="auto"/>
                <w:sz w:val="20"/>
              </w:rPr>
            </w:pPr>
            <w:r w:rsidRPr="00A316A4">
              <w:rPr>
                <w:rFonts w:asciiTheme="majorHAnsi" w:eastAsia="Calibri" w:hAnsiTheme="majorHAnsi"/>
                <w:color w:val="auto"/>
                <w:sz w:val="20"/>
              </w:rPr>
              <w:t>30⁰</w:t>
            </w:r>
          </w:p>
        </w:tc>
      </w:tr>
      <w:tr w:rsidR="00CA5CC9" w:rsidRPr="00A316A4" w:rsidTr="008C7250">
        <w:trPr>
          <w:trHeight w:val="188"/>
          <w:jc w:val="center"/>
        </w:trPr>
        <w:tc>
          <w:tcPr>
            <w:tcW w:w="1921" w:type="dxa"/>
            <w:tcBorders>
              <w:top w:val="single" w:sz="4" w:space="0" w:color="000000"/>
              <w:left w:val="single" w:sz="4" w:space="0" w:color="000000"/>
              <w:bottom w:val="single" w:sz="4" w:space="0" w:color="000000"/>
              <w:right w:val="single" w:sz="4" w:space="0" w:color="000000"/>
            </w:tcBorders>
            <w:vAlign w:val="center"/>
            <w:hideMark/>
          </w:tcPr>
          <w:p w:rsidR="00CA5CC9" w:rsidRPr="00CA5CC9" w:rsidRDefault="00CA5CC9" w:rsidP="00411FBE">
            <w:pPr>
              <w:pStyle w:val="ListParagraph"/>
              <w:spacing w:after="0" w:line="200" w:lineRule="exact"/>
              <w:ind w:left="0"/>
              <w:rPr>
                <w:rFonts w:asciiTheme="majorHAnsi" w:eastAsia="Calibri" w:hAnsiTheme="majorHAnsi" w:cstheme="minorHAnsi"/>
                <w:sz w:val="20"/>
                <w:szCs w:val="20"/>
              </w:rPr>
            </w:pPr>
            <w:r w:rsidRPr="00CA5CC9">
              <w:rPr>
                <w:rFonts w:asciiTheme="majorHAnsi" w:eastAsia="Calibri" w:hAnsiTheme="majorHAnsi" w:cstheme="minorHAnsi"/>
                <w:sz w:val="20"/>
                <w:szCs w:val="20"/>
              </w:rPr>
              <w:t>R Lat Flex (0-30)</w:t>
            </w:r>
          </w:p>
        </w:tc>
        <w:tc>
          <w:tcPr>
            <w:tcW w:w="4140" w:type="dxa"/>
            <w:tcBorders>
              <w:top w:val="single" w:sz="4" w:space="0" w:color="000000"/>
              <w:left w:val="single" w:sz="4" w:space="0" w:color="000000"/>
              <w:bottom w:val="single" w:sz="4" w:space="0" w:color="000000"/>
              <w:right w:val="single" w:sz="4" w:space="0" w:color="000000"/>
            </w:tcBorders>
            <w:vAlign w:val="center"/>
          </w:tcPr>
          <w:p w:rsidR="00CA5CC9" w:rsidRPr="00A316A4" w:rsidRDefault="00CA5CC9" w:rsidP="00411FBE">
            <w:pPr>
              <w:spacing w:line="200" w:lineRule="exact"/>
              <w:contextualSpacing/>
              <w:rPr>
                <w:rFonts w:asciiTheme="majorHAnsi" w:eastAsia="Calibri" w:hAnsiTheme="majorHAnsi"/>
                <w:color w:val="auto"/>
                <w:sz w:val="20"/>
              </w:rPr>
            </w:pPr>
            <w:r w:rsidRPr="00A316A4">
              <w:rPr>
                <w:rFonts w:asciiTheme="majorHAnsi" w:eastAsia="Calibri" w:hAnsiTheme="majorHAnsi"/>
                <w:color w:val="auto"/>
                <w:sz w:val="20"/>
              </w:rPr>
              <w:t>5⁰</w:t>
            </w:r>
          </w:p>
        </w:tc>
        <w:tc>
          <w:tcPr>
            <w:tcW w:w="3180" w:type="dxa"/>
            <w:tcBorders>
              <w:top w:val="single" w:sz="4" w:space="0" w:color="000000"/>
              <w:left w:val="single" w:sz="4" w:space="0" w:color="000000"/>
              <w:bottom w:val="single" w:sz="4" w:space="0" w:color="000000"/>
              <w:right w:val="single" w:sz="4" w:space="0" w:color="000000"/>
            </w:tcBorders>
            <w:vAlign w:val="center"/>
          </w:tcPr>
          <w:p w:rsidR="00CA5CC9" w:rsidRPr="00A316A4" w:rsidRDefault="00CA5CC9" w:rsidP="00411FBE">
            <w:pPr>
              <w:spacing w:line="200" w:lineRule="exact"/>
              <w:contextualSpacing/>
              <w:rPr>
                <w:rFonts w:asciiTheme="majorHAnsi" w:eastAsia="Calibri" w:hAnsiTheme="majorHAnsi"/>
                <w:color w:val="auto"/>
                <w:sz w:val="20"/>
              </w:rPr>
            </w:pPr>
            <w:r w:rsidRPr="00A316A4">
              <w:rPr>
                <w:rFonts w:asciiTheme="majorHAnsi" w:eastAsia="Calibri" w:hAnsiTheme="majorHAnsi"/>
                <w:color w:val="auto"/>
                <w:sz w:val="20"/>
              </w:rPr>
              <w:t>30⁰</w:t>
            </w:r>
          </w:p>
        </w:tc>
      </w:tr>
      <w:tr w:rsidR="00CA5CC9" w:rsidRPr="00A316A4" w:rsidTr="008C7250">
        <w:trPr>
          <w:jc w:val="center"/>
        </w:trPr>
        <w:tc>
          <w:tcPr>
            <w:tcW w:w="1921" w:type="dxa"/>
            <w:tcBorders>
              <w:top w:val="single" w:sz="4" w:space="0" w:color="000000"/>
              <w:left w:val="single" w:sz="4" w:space="0" w:color="000000"/>
              <w:bottom w:val="single" w:sz="4" w:space="0" w:color="000000"/>
              <w:right w:val="single" w:sz="4" w:space="0" w:color="000000"/>
            </w:tcBorders>
            <w:vAlign w:val="center"/>
            <w:hideMark/>
          </w:tcPr>
          <w:p w:rsidR="00CA5CC9" w:rsidRPr="00CA5CC9" w:rsidRDefault="00CA5CC9" w:rsidP="00411FBE">
            <w:pPr>
              <w:pStyle w:val="ListParagraph"/>
              <w:spacing w:after="0" w:line="200" w:lineRule="exact"/>
              <w:ind w:left="0"/>
              <w:rPr>
                <w:rFonts w:asciiTheme="majorHAnsi" w:eastAsia="Calibri" w:hAnsiTheme="majorHAnsi" w:cstheme="minorHAnsi"/>
                <w:sz w:val="20"/>
                <w:szCs w:val="20"/>
              </w:rPr>
            </w:pPr>
            <w:r w:rsidRPr="00CA5CC9">
              <w:rPr>
                <w:rFonts w:asciiTheme="majorHAnsi" w:eastAsia="Calibri" w:hAnsiTheme="majorHAnsi" w:cstheme="minorHAnsi"/>
                <w:sz w:val="20"/>
                <w:szCs w:val="20"/>
              </w:rPr>
              <w:t>L Lat Flex 0-30)</w:t>
            </w:r>
          </w:p>
        </w:tc>
        <w:tc>
          <w:tcPr>
            <w:tcW w:w="4140" w:type="dxa"/>
            <w:tcBorders>
              <w:top w:val="single" w:sz="4" w:space="0" w:color="000000"/>
              <w:left w:val="single" w:sz="4" w:space="0" w:color="000000"/>
              <w:bottom w:val="single" w:sz="4" w:space="0" w:color="000000"/>
              <w:right w:val="single" w:sz="4" w:space="0" w:color="000000"/>
            </w:tcBorders>
            <w:vAlign w:val="center"/>
          </w:tcPr>
          <w:p w:rsidR="00CA5CC9" w:rsidRPr="00A316A4" w:rsidRDefault="00CA5CC9" w:rsidP="00411FBE">
            <w:pPr>
              <w:spacing w:line="200" w:lineRule="exact"/>
              <w:contextualSpacing/>
              <w:rPr>
                <w:rFonts w:asciiTheme="majorHAnsi" w:eastAsia="Calibri" w:hAnsiTheme="majorHAnsi"/>
                <w:color w:val="auto"/>
                <w:sz w:val="20"/>
              </w:rPr>
            </w:pPr>
            <w:r w:rsidRPr="00A316A4">
              <w:rPr>
                <w:rFonts w:asciiTheme="majorHAnsi" w:eastAsia="Calibri" w:hAnsiTheme="majorHAnsi"/>
                <w:color w:val="auto"/>
                <w:sz w:val="20"/>
              </w:rPr>
              <w:t>5⁰</w:t>
            </w:r>
          </w:p>
        </w:tc>
        <w:tc>
          <w:tcPr>
            <w:tcW w:w="3180" w:type="dxa"/>
            <w:tcBorders>
              <w:top w:val="single" w:sz="4" w:space="0" w:color="000000"/>
              <w:left w:val="single" w:sz="4" w:space="0" w:color="000000"/>
              <w:bottom w:val="single" w:sz="4" w:space="0" w:color="000000"/>
              <w:right w:val="single" w:sz="4" w:space="0" w:color="000000"/>
            </w:tcBorders>
            <w:vAlign w:val="center"/>
          </w:tcPr>
          <w:p w:rsidR="00CA5CC9" w:rsidRPr="00A316A4" w:rsidRDefault="00CA5CC9" w:rsidP="00411FBE">
            <w:pPr>
              <w:spacing w:line="200" w:lineRule="exact"/>
              <w:contextualSpacing/>
              <w:rPr>
                <w:rFonts w:asciiTheme="majorHAnsi" w:eastAsia="Calibri" w:hAnsiTheme="majorHAnsi"/>
                <w:color w:val="auto"/>
                <w:sz w:val="20"/>
              </w:rPr>
            </w:pPr>
            <w:r w:rsidRPr="00A316A4">
              <w:rPr>
                <w:rFonts w:asciiTheme="majorHAnsi" w:eastAsia="Calibri" w:hAnsiTheme="majorHAnsi"/>
                <w:color w:val="auto"/>
                <w:sz w:val="20"/>
              </w:rPr>
              <w:t>30⁰</w:t>
            </w:r>
          </w:p>
        </w:tc>
      </w:tr>
      <w:tr w:rsidR="00CA5CC9" w:rsidRPr="00A316A4" w:rsidTr="008C7250">
        <w:trPr>
          <w:jc w:val="center"/>
        </w:trPr>
        <w:tc>
          <w:tcPr>
            <w:tcW w:w="1921" w:type="dxa"/>
            <w:tcBorders>
              <w:top w:val="single" w:sz="4" w:space="0" w:color="000000"/>
              <w:left w:val="single" w:sz="4" w:space="0" w:color="000000"/>
              <w:bottom w:val="single" w:sz="4" w:space="0" w:color="000000"/>
              <w:right w:val="single" w:sz="4" w:space="0" w:color="000000"/>
            </w:tcBorders>
            <w:vAlign w:val="center"/>
            <w:hideMark/>
          </w:tcPr>
          <w:p w:rsidR="00CA5CC9" w:rsidRPr="00CA5CC9" w:rsidRDefault="00CA5CC9" w:rsidP="00411FBE">
            <w:pPr>
              <w:pStyle w:val="ListParagraph"/>
              <w:spacing w:after="0" w:line="200" w:lineRule="exact"/>
              <w:ind w:left="0"/>
              <w:rPr>
                <w:rFonts w:asciiTheme="majorHAnsi" w:eastAsia="Calibri" w:hAnsiTheme="majorHAnsi" w:cstheme="minorHAnsi"/>
                <w:sz w:val="20"/>
                <w:szCs w:val="20"/>
              </w:rPr>
            </w:pPr>
            <w:r w:rsidRPr="00CA5CC9">
              <w:rPr>
                <w:rFonts w:asciiTheme="majorHAnsi" w:eastAsia="Calibri" w:hAnsiTheme="majorHAnsi" w:cstheme="minorHAnsi"/>
                <w:sz w:val="20"/>
                <w:szCs w:val="20"/>
              </w:rPr>
              <w:t>R Rotation (0-30)</w:t>
            </w:r>
          </w:p>
        </w:tc>
        <w:tc>
          <w:tcPr>
            <w:tcW w:w="4140" w:type="dxa"/>
            <w:tcBorders>
              <w:top w:val="single" w:sz="4" w:space="0" w:color="000000"/>
              <w:left w:val="single" w:sz="4" w:space="0" w:color="000000"/>
              <w:bottom w:val="single" w:sz="4" w:space="0" w:color="000000"/>
              <w:right w:val="single" w:sz="4" w:space="0" w:color="000000"/>
            </w:tcBorders>
            <w:vAlign w:val="center"/>
          </w:tcPr>
          <w:p w:rsidR="00CA5CC9" w:rsidRPr="00A316A4" w:rsidRDefault="00CA5CC9" w:rsidP="00411FBE">
            <w:pPr>
              <w:spacing w:line="200" w:lineRule="exact"/>
              <w:contextualSpacing/>
              <w:rPr>
                <w:rFonts w:asciiTheme="majorHAnsi" w:eastAsia="Calibri" w:hAnsiTheme="majorHAnsi"/>
                <w:color w:val="auto"/>
                <w:sz w:val="20"/>
              </w:rPr>
            </w:pPr>
            <w:r w:rsidRPr="00A316A4">
              <w:rPr>
                <w:rFonts w:asciiTheme="majorHAnsi" w:eastAsia="Calibri" w:hAnsiTheme="majorHAnsi"/>
                <w:color w:val="auto"/>
                <w:sz w:val="20"/>
              </w:rPr>
              <w:t>20⁰</w:t>
            </w:r>
          </w:p>
        </w:tc>
        <w:tc>
          <w:tcPr>
            <w:tcW w:w="3180" w:type="dxa"/>
            <w:tcBorders>
              <w:top w:val="single" w:sz="4" w:space="0" w:color="000000"/>
              <w:left w:val="single" w:sz="4" w:space="0" w:color="000000"/>
              <w:bottom w:val="single" w:sz="4" w:space="0" w:color="000000"/>
              <w:right w:val="single" w:sz="4" w:space="0" w:color="000000"/>
            </w:tcBorders>
            <w:vAlign w:val="center"/>
          </w:tcPr>
          <w:p w:rsidR="00CA5CC9" w:rsidRPr="00A316A4" w:rsidRDefault="00CA5CC9" w:rsidP="00411FBE">
            <w:pPr>
              <w:spacing w:line="200" w:lineRule="exact"/>
              <w:contextualSpacing/>
              <w:rPr>
                <w:rFonts w:asciiTheme="majorHAnsi" w:eastAsia="Calibri" w:hAnsiTheme="majorHAnsi"/>
                <w:color w:val="auto"/>
                <w:sz w:val="20"/>
              </w:rPr>
            </w:pPr>
            <w:r w:rsidRPr="00A316A4">
              <w:rPr>
                <w:rFonts w:asciiTheme="majorHAnsi" w:eastAsia="Calibri" w:hAnsiTheme="majorHAnsi"/>
                <w:color w:val="auto"/>
                <w:sz w:val="20"/>
              </w:rPr>
              <w:t>30⁰</w:t>
            </w:r>
          </w:p>
        </w:tc>
      </w:tr>
      <w:tr w:rsidR="00CA5CC9" w:rsidRPr="00A316A4" w:rsidTr="008C7250">
        <w:trPr>
          <w:jc w:val="center"/>
        </w:trPr>
        <w:tc>
          <w:tcPr>
            <w:tcW w:w="1921" w:type="dxa"/>
            <w:tcBorders>
              <w:top w:val="single" w:sz="4" w:space="0" w:color="000000"/>
              <w:left w:val="single" w:sz="4" w:space="0" w:color="000000"/>
              <w:bottom w:val="single" w:sz="4" w:space="0" w:color="000000"/>
              <w:right w:val="single" w:sz="4" w:space="0" w:color="000000"/>
            </w:tcBorders>
            <w:vAlign w:val="center"/>
            <w:hideMark/>
          </w:tcPr>
          <w:p w:rsidR="00CA5CC9" w:rsidRPr="00CA5CC9" w:rsidRDefault="00CA5CC9" w:rsidP="00411FBE">
            <w:pPr>
              <w:pStyle w:val="ListParagraph"/>
              <w:spacing w:after="0" w:line="200" w:lineRule="exact"/>
              <w:ind w:left="0"/>
              <w:rPr>
                <w:rFonts w:asciiTheme="majorHAnsi" w:eastAsia="Calibri" w:hAnsiTheme="majorHAnsi" w:cstheme="minorHAnsi"/>
                <w:sz w:val="20"/>
                <w:szCs w:val="20"/>
              </w:rPr>
            </w:pPr>
            <w:r w:rsidRPr="00CA5CC9">
              <w:rPr>
                <w:rFonts w:asciiTheme="majorHAnsi" w:eastAsia="Calibri" w:hAnsiTheme="majorHAnsi" w:cstheme="minorHAnsi"/>
                <w:sz w:val="20"/>
                <w:szCs w:val="20"/>
              </w:rPr>
              <w:t>L Rotation (0-30)</w:t>
            </w:r>
          </w:p>
        </w:tc>
        <w:tc>
          <w:tcPr>
            <w:tcW w:w="4140" w:type="dxa"/>
            <w:tcBorders>
              <w:top w:val="single" w:sz="4" w:space="0" w:color="000000"/>
              <w:left w:val="single" w:sz="4" w:space="0" w:color="000000"/>
              <w:bottom w:val="single" w:sz="4" w:space="0" w:color="000000"/>
              <w:right w:val="single" w:sz="4" w:space="0" w:color="000000"/>
            </w:tcBorders>
            <w:vAlign w:val="center"/>
          </w:tcPr>
          <w:p w:rsidR="00CA5CC9" w:rsidRPr="00A316A4" w:rsidRDefault="00CA5CC9" w:rsidP="00411FBE">
            <w:pPr>
              <w:spacing w:line="200" w:lineRule="exact"/>
              <w:contextualSpacing/>
              <w:rPr>
                <w:rFonts w:asciiTheme="majorHAnsi" w:eastAsia="Calibri" w:hAnsiTheme="majorHAnsi"/>
                <w:color w:val="auto"/>
                <w:sz w:val="20"/>
              </w:rPr>
            </w:pPr>
            <w:r w:rsidRPr="00A316A4">
              <w:rPr>
                <w:rFonts w:asciiTheme="majorHAnsi" w:eastAsia="Calibri" w:hAnsiTheme="majorHAnsi"/>
                <w:color w:val="auto"/>
                <w:sz w:val="20"/>
              </w:rPr>
              <w:t>20⁰</w:t>
            </w:r>
          </w:p>
        </w:tc>
        <w:tc>
          <w:tcPr>
            <w:tcW w:w="3180" w:type="dxa"/>
            <w:tcBorders>
              <w:top w:val="single" w:sz="4" w:space="0" w:color="000000"/>
              <w:left w:val="single" w:sz="4" w:space="0" w:color="000000"/>
              <w:bottom w:val="single" w:sz="4" w:space="0" w:color="000000"/>
              <w:right w:val="single" w:sz="4" w:space="0" w:color="000000"/>
            </w:tcBorders>
            <w:vAlign w:val="center"/>
          </w:tcPr>
          <w:p w:rsidR="00CA5CC9" w:rsidRPr="00A316A4" w:rsidRDefault="00CA5CC9" w:rsidP="00411FBE">
            <w:pPr>
              <w:spacing w:line="200" w:lineRule="exact"/>
              <w:contextualSpacing/>
              <w:rPr>
                <w:rFonts w:asciiTheme="majorHAnsi" w:eastAsia="Calibri" w:hAnsiTheme="majorHAnsi"/>
                <w:color w:val="auto"/>
                <w:sz w:val="20"/>
              </w:rPr>
            </w:pPr>
            <w:r w:rsidRPr="00A316A4">
              <w:rPr>
                <w:rFonts w:asciiTheme="majorHAnsi" w:eastAsia="Calibri" w:hAnsiTheme="majorHAnsi"/>
                <w:color w:val="auto"/>
                <w:sz w:val="20"/>
              </w:rPr>
              <w:t>30⁰</w:t>
            </w:r>
          </w:p>
        </w:tc>
      </w:tr>
      <w:tr w:rsidR="00CA5CC9" w:rsidRPr="00A316A4" w:rsidTr="008C7250">
        <w:trPr>
          <w:jc w:val="center"/>
        </w:trPr>
        <w:tc>
          <w:tcPr>
            <w:tcW w:w="1921" w:type="dxa"/>
            <w:tcBorders>
              <w:top w:val="single" w:sz="4" w:space="0" w:color="000000"/>
              <w:left w:val="single" w:sz="4" w:space="0" w:color="000000"/>
              <w:bottom w:val="single" w:sz="4" w:space="0" w:color="000000"/>
              <w:right w:val="single" w:sz="4" w:space="0" w:color="000000"/>
            </w:tcBorders>
            <w:vAlign w:val="center"/>
            <w:hideMark/>
          </w:tcPr>
          <w:p w:rsidR="00CA5CC9" w:rsidRPr="00CA5CC9" w:rsidRDefault="00CA5CC9" w:rsidP="00411FBE">
            <w:pPr>
              <w:pStyle w:val="ListParagraph"/>
              <w:spacing w:after="0" w:line="200" w:lineRule="exact"/>
              <w:ind w:left="0"/>
              <w:rPr>
                <w:rFonts w:asciiTheme="majorHAnsi" w:eastAsia="Calibri" w:hAnsiTheme="majorHAnsi" w:cstheme="minorHAnsi"/>
                <w:sz w:val="20"/>
                <w:szCs w:val="20"/>
              </w:rPr>
            </w:pPr>
            <w:r w:rsidRPr="00CA5CC9">
              <w:rPr>
                <w:rFonts w:asciiTheme="majorHAnsi" w:eastAsia="Calibri" w:hAnsiTheme="majorHAnsi" w:cstheme="minorHAnsi"/>
                <w:sz w:val="20"/>
                <w:szCs w:val="20"/>
              </w:rPr>
              <w:t>Combined (240⁰)</w:t>
            </w:r>
          </w:p>
        </w:tc>
        <w:tc>
          <w:tcPr>
            <w:tcW w:w="4140" w:type="dxa"/>
            <w:tcBorders>
              <w:top w:val="single" w:sz="4" w:space="0" w:color="000000"/>
              <w:left w:val="single" w:sz="4" w:space="0" w:color="000000"/>
              <w:bottom w:val="single" w:sz="4" w:space="0" w:color="000000"/>
              <w:right w:val="single" w:sz="4" w:space="0" w:color="000000"/>
            </w:tcBorders>
            <w:vAlign w:val="center"/>
          </w:tcPr>
          <w:p w:rsidR="00CA5CC9" w:rsidRPr="00A316A4" w:rsidRDefault="008C7250" w:rsidP="00411FBE">
            <w:pPr>
              <w:spacing w:line="200" w:lineRule="exact"/>
              <w:rPr>
                <w:rFonts w:asciiTheme="majorHAnsi" w:hAnsiTheme="majorHAnsi"/>
                <w:color w:val="auto"/>
                <w:sz w:val="20"/>
              </w:rPr>
            </w:pPr>
            <w:r w:rsidRPr="008C7250">
              <w:rPr>
                <w:rFonts w:asciiTheme="majorHAnsi" w:eastAsia="Calibri" w:hAnsiTheme="majorHAnsi"/>
                <w:color w:val="auto"/>
                <w:sz w:val="20"/>
              </w:rPr>
              <w:t xml:space="preserve">≥140°, </w:t>
            </w:r>
            <w:r w:rsidR="00D846AF" w:rsidRPr="008C7250">
              <w:rPr>
                <w:rFonts w:asciiTheme="majorHAnsi" w:eastAsia="Calibri" w:hAnsiTheme="majorHAnsi"/>
                <w:color w:val="auto"/>
                <w:sz w:val="20"/>
              </w:rPr>
              <w:t>≤ 170°</w:t>
            </w:r>
          </w:p>
        </w:tc>
        <w:tc>
          <w:tcPr>
            <w:tcW w:w="3180" w:type="dxa"/>
            <w:tcBorders>
              <w:top w:val="single" w:sz="4" w:space="0" w:color="000000"/>
              <w:left w:val="single" w:sz="4" w:space="0" w:color="000000"/>
              <w:bottom w:val="single" w:sz="4" w:space="0" w:color="000000"/>
              <w:right w:val="single" w:sz="4" w:space="0" w:color="000000"/>
            </w:tcBorders>
            <w:vAlign w:val="center"/>
          </w:tcPr>
          <w:p w:rsidR="00CA5CC9" w:rsidRPr="00A316A4" w:rsidRDefault="00CA5CC9" w:rsidP="00411FBE">
            <w:pPr>
              <w:spacing w:line="200" w:lineRule="exact"/>
              <w:rPr>
                <w:rFonts w:asciiTheme="majorHAnsi" w:hAnsiTheme="majorHAnsi"/>
                <w:color w:val="auto"/>
                <w:sz w:val="20"/>
              </w:rPr>
            </w:pPr>
            <w:r>
              <w:rPr>
                <w:rFonts w:asciiTheme="majorHAnsi" w:eastAsia="Calibri" w:hAnsiTheme="majorHAnsi"/>
                <w:color w:val="auto"/>
                <w:sz w:val="20"/>
              </w:rPr>
              <w:t>240</w:t>
            </w:r>
            <w:r w:rsidRPr="00A316A4">
              <w:rPr>
                <w:rFonts w:asciiTheme="majorHAnsi" w:eastAsia="Calibri" w:hAnsiTheme="majorHAnsi"/>
                <w:color w:val="auto"/>
                <w:sz w:val="20"/>
              </w:rPr>
              <w:t>⁰</w:t>
            </w:r>
          </w:p>
        </w:tc>
      </w:tr>
      <w:tr w:rsidR="00CA5CC9" w:rsidRPr="00A316A4" w:rsidTr="008C7250">
        <w:trPr>
          <w:jc w:val="center"/>
        </w:trPr>
        <w:tc>
          <w:tcPr>
            <w:tcW w:w="1921" w:type="dxa"/>
            <w:tcBorders>
              <w:top w:val="single" w:sz="4" w:space="0" w:color="000000"/>
              <w:left w:val="single" w:sz="4" w:space="0" w:color="000000"/>
              <w:bottom w:val="single" w:sz="4" w:space="0" w:color="000000"/>
              <w:right w:val="single" w:sz="4" w:space="0" w:color="000000"/>
            </w:tcBorders>
            <w:vAlign w:val="center"/>
            <w:hideMark/>
          </w:tcPr>
          <w:p w:rsidR="00CA5CC9" w:rsidRPr="00A316A4" w:rsidRDefault="00CA5CC9" w:rsidP="00411FBE">
            <w:pPr>
              <w:pStyle w:val="ListParagraph"/>
              <w:spacing w:after="0" w:line="200" w:lineRule="exact"/>
              <w:ind w:left="0"/>
              <w:rPr>
                <w:rFonts w:asciiTheme="majorHAnsi" w:eastAsia="Calibri" w:hAnsiTheme="majorHAnsi" w:cstheme="minorHAnsi"/>
                <w:sz w:val="20"/>
                <w:szCs w:val="20"/>
              </w:rPr>
            </w:pPr>
            <w:r w:rsidRPr="00A316A4">
              <w:rPr>
                <w:rFonts w:asciiTheme="majorHAnsi" w:eastAsia="Calibri" w:hAnsiTheme="majorHAnsi" w:cstheme="minorHAnsi"/>
                <w:sz w:val="20"/>
                <w:szCs w:val="20"/>
              </w:rPr>
              <w:t>Comment</w:t>
            </w:r>
          </w:p>
        </w:tc>
        <w:tc>
          <w:tcPr>
            <w:tcW w:w="4140" w:type="dxa"/>
            <w:tcBorders>
              <w:top w:val="single" w:sz="4" w:space="0" w:color="000000"/>
              <w:left w:val="single" w:sz="4" w:space="0" w:color="000000"/>
              <w:bottom w:val="single" w:sz="4" w:space="0" w:color="000000"/>
              <w:right w:val="single" w:sz="4" w:space="0" w:color="000000"/>
            </w:tcBorders>
            <w:vAlign w:val="center"/>
          </w:tcPr>
          <w:p w:rsidR="00CA5CC9" w:rsidRPr="00A316A4" w:rsidRDefault="00D846AF" w:rsidP="00D846AF">
            <w:pPr>
              <w:pStyle w:val="ListParagraph"/>
              <w:spacing w:after="0" w:line="200" w:lineRule="exact"/>
              <w:ind w:left="0"/>
              <w:jc w:val="left"/>
              <w:rPr>
                <w:rFonts w:asciiTheme="majorHAnsi" w:eastAsia="Calibri" w:hAnsiTheme="majorHAnsi" w:cstheme="minorHAnsi"/>
                <w:sz w:val="20"/>
                <w:szCs w:val="20"/>
              </w:rPr>
            </w:pPr>
            <w:r>
              <w:rPr>
                <w:rFonts w:asciiTheme="majorHAnsi" w:eastAsia="Calibri" w:hAnsiTheme="majorHAnsi" w:cstheme="minorHAnsi"/>
                <w:sz w:val="20"/>
                <w:szCs w:val="20"/>
              </w:rPr>
              <w:t xml:space="preserve">Normal stance and gait; positive paravertebral muscle spasm, tender to palpation and worse in lumbar area; no tenderness over spinous processes.  Motor strength 5/5, reflexes 2+ and sensation intact in bilateral lower extremities. </w:t>
            </w:r>
            <w:r w:rsidR="00CA5CC9">
              <w:rPr>
                <w:rFonts w:asciiTheme="majorHAnsi" w:eastAsia="Calibri" w:hAnsiTheme="majorHAnsi" w:cstheme="minorHAnsi"/>
                <w:sz w:val="20"/>
                <w:szCs w:val="20"/>
              </w:rPr>
              <w:t>Negative Waddell’s criteria.</w:t>
            </w:r>
            <w:r w:rsidR="00CE043B">
              <w:rPr>
                <w:rFonts w:asciiTheme="majorHAnsi" w:eastAsia="Calibri" w:hAnsiTheme="majorHAnsi" w:cstheme="minorHAnsi"/>
                <w:sz w:val="20"/>
                <w:szCs w:val="20"/>
              </w:rPr>
              <w:t xml:space="preserve"> X-rays normal. MRI Feb 2005: mild annular disc bulge at L4-5 without herniation.</w:t>
            </w:r>
          </w:p>
        </w:tc>
        <w:tc>
          <w:tcPr>
            <w:tcW w:w="3180" w:type="dxa"/>
            <w:tcBorders>
              <w:top w:val="single" w:sz="4" w:space="0" w:color="000000"/>
              <w:left w:val="single" w:sz="4" w:space="0" w:color="000000"/>
              <w:bottom w:val="single" w:sz="4" w:space="0" w:color="000000"/>
              <w:right w:val="single" w:sz="4" w:space="0" w:color="000000"/>
            </w:tcBorders>
            <w:vAlign w:val="center"/>
          </w:tcPr>
          <w:p w:rsidR="00CA5CC9" w:rsidRPr="00A316A4" w:rsidRDefault="008C7250" w:rsidP="00D846AF">
            <w:pPr>
              <w:pStyle w:val="ListParagraph"/>
              <w:spacing w:after="0" w:line="200" w:lineRule="exact"/>
              <w:ind w:left="0"/>
              <w:jc w:val="left"/>
              <w:rPr>
                <w:rFonts w:asciiTheme="majorHAnsi" w:eastAsia="Calibri" w:hAnsiTheme="majorHAnsi" w:cstheme="minorHAnsi"/>
                <w:sz w:val="20"/>
                <w:szCs w:val="20"/>
              </w:rPr>
            </w:pPr>
            <w:r>
              <w:rPr>
                <w:rFonts w:asciiTheme="majorHAnsi" w:eastAsia="Calibri" w:hAnsiTheme="majorHAnsi" w:cstheme="minorHAnsi"/>
                <w:sz w:val="20"/>
                <w:szCs w:val="20"/>
              </w:rPr>
              <w:t>Pain at end of all movements. Normal gait and posture and no use of assistive device to ambulate. Normal spinal curvature and no muscle spasm or point tenderness. No further loss of motion with repetitive use. X-rays normal.</w:t>
            </w:r>
          </w:p>
        </w:tc>
      </w:tr>
      <w:tr w:rsidR="00CA5CC9" w:rsidRPr="00A316A4" w:rsidTr="008C7250">
        <w:trPr>
          <w:jc w:val="center"/>
        </w:trPr>
        <w:tc>
          <w:tcPr>
            <w:tcW w:w="1921" w:type="dxa"/>
            <w:tcBorders>
              <w:top w:val="single" w:sz="4" w:space="0" w:color="000000"/>
              <w:left w:val="single" w:sz="4" w:space="0" w:color="000000"/>
              <w:bottom w:val="single" w:sz="4" w:space="0" w:color="000000"/>
              <w:right w:val="single" w:sz="4" w:space="0" w:color="000000"/>
            </w:tcBorders>
            <w:vAlign w:val="center"/>
            <w:hideMark/>
          </w:tcPr>
          <w:p w:rsidR="00CA5CC9" w:rsidRPr="00A316A4" w:rsidRDefault="00CA5CC9" w:rsidP="00411FBE">
            <w:pPr>
              <w:pStyle w:val="ListParagraph"/>
              <w:spacing w:after="0" w:line="200" w:lineRule="exact"/>
              <w:ind w:left="0"/>
              <w:rPr>
                <w:rFonts w:asciiTheme="majorHAnsi" w:eastAsia="Calibri" w:hAnsiTheme="majorHAnsi" w:cstheme="minorHAnsi"/>
                <w:sz w:val="20"/>
                <w:szCs w:val="20"/>
              </w:rPr>
            </w:pPr>
            <w:r w:rsidRPr="00A316A4">
              <w:rPr>
                <w:rFonts w:asciiTheme="majorHAnsi" w:eastAsia="Calibri" w:hAnsiTheme="majorHAnsi" w:cstheme="minorHAnsi"/>
                <w:sz w:val="20"/>
                <w:szCs w:val="20"/>
              </w:rPr>
              <w:t>§4.71a Rating</w:t>
            </w:r>
          </w:p>
        </w:tc>
        <w:tc>
          <w:tcPr>
            <w:tcW w:w="4140" w:type="dxa"/>
            <w:tcBorders>
              <w:top w:val="single" w:sz="4" w:space="0" w:color="000000"/>
              <w:left w:val="single" w:sz="4" w:space="0" w:color="000000"/>
              <w:bottom w:val="single" w:sz="4" w:space="0" w:color="000000"/>
              <w:right w:val="single" w:sz="4" w:space="0" w:color="000000"/>
            </w:tcBorders>
            <w:vAlign w:val="center"/>
          </w:tcPr>
          <w:p w:rsidR="00CA5CC9" w:rsidRPr="00A316A4" w:rsidRDefault="00D846AF" w:rsidP="00411FBE">
            <w:pPr>
              <w:pStyle w:val="ListParagraph"/>
              <w:spacing w:after="0" w:line="200" w:lineRule="exact"/>
              <w:ind w:left="0"/>
              <w:rPr>
                <w:rFonts w:asciiTheme="majorHAnsi" w:eastAsia="Calibri" w:hAnsiTheme="majorHAnsi" w:cstheme="minorHAnsi"/>
                <w:sz w:val="20"/>
                <w:szCs w:val="20"/>
              </w:rPr>
            </w:pPr>
            <w:r>
              <w:rPr>
                <w:rFonts w:asciiTheme="majorHAnsi" w:eastAsia="Calibri" w:hAnsiTheme="majorHAnsi" w:cstheme="minorHAnsi"/>
                <w:sz w:val="20"/>
                <w:szCs w:val="20"/>
              </w:rPr>
              <w:t>10</w:t>
            </w:r>
            <w:r w:rsidR="00CA5CC9" w:rsidRPr="00A316A4">
              <w:rPr>
                <w:rFonts w:asciiTheme="majorHAnsi" w:eastAsia="Calibri" w:hAnsiTheme="majorHAnsi" w:cstheme="minorHAnsi"/>
                <w:sz w:val="20"/>
                <w:szCs w:val="20"/>
              </w:rPr>
              <w:t>%</w:t>
            </w:r>
          </w:p>
        </w:tc>
        <w:tc>
          <w:tcPr>
            <w:tcW w:w="3180" w:type="dxa"/>
            <w:tcBorders>
              <w:top w:val="single" w:sz="4" w:space="0" w:color="000000"/>
              <w:left w:val="single" w:sz="4" w:space="0" w:color="000000"/>
              <w:bottom w:val="single" w:sz="4" w:space="0" w:color="000000"/>
              <w:right w:val="single" w:sz="4" w:space="0" w:color="000000"/>
            </w:tcBorders>
            <w:vAlign w:val="center"/>
          </w:tcPr>
          <w:p w:rsidR="00CA5CC9" w:rsidRPr="00A316A4" w:rsidRDefault="008C7250" w:rsidP="00411FBE">
            <w:pPr>
              <w:pStyle w:val="ListParagraph"/>
              <w:spacing w:after="0" w:line="200" w:lineRule="exact"/>
              <w:ind w:left="0"/>
              <w:rPr>
                <w:rFonts w:asciiTheme="majorHAnsi" w:eastAsia="Calibri" w:hAnsiTheme="majorHAnsi" w:cstheme="minorHAnsi"/>
                <w:sz w:val="20"/>
                <w:szCs w:val="20"/>
              </w:rPr>
            </w:pPr>
            <w:r>
              <w:rPr>
                <w:rFonts w:asciiTheme="majorHAnsi" w:eastAsia="Calibri" w:hAnsiTheme="majorHAnsi" w:cstheme="minorHAnsi"/>
                <w:sz w:val="20"/>
                <w:szCs w:val="20"/>
              </w:rPr>
              <w:t>1</w:t>
            </w:r>
            <w:r w:rsidR="00CA5CC9" w:rsidRPr="00A316A4">
              <w:rPr>
                <w:rFonts w:asciiTheme="majorHAnsi" w:eastAsia="Calibri" w:hAnsiTheme="majorHAnsi" w:cstheme="minorHAnsi"/>
                <w:sz w:val="20"/>
                <w:szCs w:val="20"/>
              </w:rPr>
              <w:t>0%</w:t>
            </w:r>
          </w:p>
        </w:tc>
      </w:tr>
    </w:tbl>
    <w:p w:rsidR="00CF0280" w:rsidRDefault="00CF0280" w:rsidP="0069687C">
      <w:pPr>
        <w:jc w:val="both"/>
        <w:rPr>
          <w:color w:val="000000"/>
          <w:szCs w:val="24"/>
        </w:rPr>
      </w:pPr>
    </w:p>
    <w:p w:rsidR="00626902" w:rsidRPr="00051A70" w:rsidRDefault="001725E0" w:rsidP="00051A70">
      <w:pPr>
        <w:tabs>
          <w:tab w:val="left" w:pos="288"/>
          <w:tab w:val="left" w:pos="4752"/>
        </w:tabs>
        <w:jc w:val="both"/>
        <w:rPr>
          <w:rFonts w:eastAsia="Calibri" w:cs="Times New Roman"/>
          <w:color w:val="auto"/>
          <w:szCs w:val="24"/>
        </w:rPr>
      </w:pPr>
      <w:r w:rsidRPr="00051A70">
        <w:rPr>
          <w:rFonts w:cs="Times New Roman"/>
          <w:color w:val="auto"/>
          <w:szCs w:val="24"/>
        </w:rPr>
        <w:t xml:space="preserve">The Board directs attention to its rating recommendation based on the above evidence.  </w:t>
      </w:r>
      <w:r w:rsidR="00D7763E">
        <w:rPr>
          <w:rFonts w:cs="Times New Roman"/>
          <w:color w:val="auto"/>
          <w:szCs w:val="24"/>
        </w:rPr>
        <w:t>Both t</w:t>
      </w:r>
      <w:r w:rsidR="005F013C" w:rsidRPr="00051A70">
        <w:rPr>
          <w:rFonts w:cs="Times New Roman"/>
          <w:color w:val="auto"/>
          <w:szCs w:val="24"/>
        </w:rPr>
        <w:t xml:space="preserve">he MEB </w:t>
      </w:r>
      <w:r w:rsidR="00D7763E">
        <w:rPr>
          <w:rFonts w:cs="Times New Roman"/>
          <w:color w:val="auto"/>
          <w:szCs w:val="24"/>
        </w:rPr>
        <w:t>n</w:t>
      </w:r>
      <w:r w:rsidR="005F013C" w:rsidRPr="00051A70">
        <w:rPr>
          <w:rFonts w:cs="Times New Roman"/>
          <w:color w:val="auto"/>
          <w:szCs w:val="24"/>
        </w:rPr>
        <w:t xml:space="preserve">arrative </w:t>
      </w:r>
      <w:r w:rsidR="00D7763E">
        <w:rPr>
          <w:rFonts w:cs="Times New Roman"/>
          <w:color w:val="auto"/>
          <w:szCs w:val="24"/>
        </w:rPr>
        <w:t>s</w:t>
      </w:r>
      <w:r w:rsidR="005F013C" w:rsidRPr="00051A70">
        <w:rPr>
          <w:rFonts w:cs="Times New Roman"/>
          <w:color w:val="auto"/>
          <w:szCs w:val="24"/>
        </w:rPr>
        <w:t xml:space="preserve">ummary (NARSUM) and VA </w:t>
      </w:r>
      <w:r w:rsidR="00D7763E">
        <w:rPr>
          <w:rFonts w:cs="Times New Roman"/>
          <w:color w:val="auto"/>
          <w:szCs w:val="24"/>
        </w:rPr>
        <w:t>C</w:t>
      </w:r>
      <w:r w:rsidR="005F013C" w:rsidRPr="00051A70">
        <w:rPr>
          <w:rFonts w:cs="Times New Roman"/>
          <w:color w:val="auto"/>
          <w:szCs w:val="24"/>
        </w:rPr>
        <w:t xml:space="preserve">ompensation and </w:t>
      </w:r>
      <w:r w:rsidR="00D7763E">
        <w:rPr>
          <w:rFonts w:cs="Times New Roman"/>
          <w:color w:val="auto"/>
          <w:szCs w:val="24"/>
        </w:rPr>
        <w:t>P</w:t>
      </w:r>
      <w:r w:rsidR="005F013C" w:rsidRPr="00051A70">
        <w:rPr>
          <w:rFonts w:cs="Times New Roman"/>
          <w:color w:val="auto"/>
          <w:szCs w:val="24"/>
        </w:rPr>
        <w:t>ension</w:t>
      </w:r>
      <w:r w:rsidR="00D7763E">
        <w:rPr>
          <w:rFonts w:cs="Times New Roman"/>
          <w:color w:val="auto"/>
          <w:szCs w:val="24"/>
        </w:rPr>
        <w:t xml:space="preserve"> (C&amp;P)</w:t>
      </w:r>
      <w:r w:rsidR="005F013C" w:rsidRPr="00051A70">
        <w:rPr>
          <w:rFonts w:cs="Times New Roman"/>
          <w:color w:val="auto"/>
          <w:szCs w:val="24"/>
        </w:rPr>
        <w:t xml:space="preserve"> exam</w:t>
      </w:r>
      <w:r w:rsidR="00D7763E">
        <w:rPr>
          <w:rFonts w:cs="Times New Roman"/>
          <w:color w:val="auto"/>
          <w:szCs w:val="24"/>
        </w:rPr>
        <w:t>s</w:t>
      </w:r>
      <w:r w:rsidR="005F013C" w:rsidRPr="00051A70">
        <w:rPr>
          <w:rFonts w:cs="Times New Roman"/>
          <w:color w:val="auto"/>
          <w:szCs w:val="24"/>
        </w:rPr>
        <w:t xml:space="preserve"> report the same clinical history. </w:t>
      </w:r>
      <w:r w:rsidR="00C337D0">
        <w:rPr>
          <w:rFonts w:cs="Times New Roman"/>
          <w:color w:val="auto"/>
          <w:szCs w:val="24"/>
        </w:rPr>
        <w:t xml:space="preserve"> </w:t>
      </w:r>
      <w:r w:rsidR="005F013C" w:rsidRPr="00051A70">
        <w:rPr>
          <w:rFonts w:cs="Times New Roman"/>
          <w:color w:val="auto"/>
          <w:szCs w:val="24"/>
        </w:rPr>
        <w:t xml:space="preserve">The objective findings are similar but not exactly the same. </w:t>
      </w:r>
      <w:r w:rsidR="00C337D0">
        <w:rPr>
          <w:rFonts w:cs="Times New Roman"/>
          <w:color w:val="auto"/>
          <w:szCs w:val="24"/>
        </w:rPr>
        <w:t xml:space="preserve"> </w:t>
      </w:r>
      <w:r w:rsidR="005F013C" w:rsidRPr="00051A70">
        <w:rPr>
          <w:rFonts w:cs="Times New Roman"/>
          <w:color w:val="auto"/>
          <w:szCs w:val="24"/>
        </w:rPr>
        <w:t>The MEB exam clearly supports the finding of painful motion</w:t>
      </w:r>
      <w:r w:rsidRPr="00051A70">
        <w:rPr>
          <w:rFonts w:cs="Times New Roman"/>
          <w:color w:val="auto"/>
          <w:szCs w:val="24"/>
        </w:rPr>
        <w:t xml:space="preserve"> and as this exam was completed prior to separation, the Board places greater probative value on this examination.  The C&amp;P exam supports a finding of painful motion but the evidence is not as strong as the MEB exam. </w:t>
      </w:r>
      <w:r w:rsidR="00D7763E">
        <w:rPr>
          <w:rFonts w:cs="Times New Roman"/>
          <w:color w:val="auto"/>
          <w:szCs w:val="24"/>
        </w:rPr>
        <w:t xml:space="preserve"> </w:t>
      </w:r>
      <w:r w:rsidRPr="00051A70">
        <w:rPr>
          <w:rFonts w:cs="Times New Roman"/>
          <w:color w:val="auto"/>
          <w:szCs w:val="24"/>
        </w:rPr>
        <w:t>Neither exam supports a rating greater than 10%.  The PEB appropriately applied a 10% disability rating. The VA determined the back pain condition was not service</w:t>
      </w:r>
      <w:r w:rsidR="00D7763E">
        <w:rPr>
          <w:rFonts w:cs="Times New Roman"/>
          <w:color w:val="auto"/>
          <w:szCs w:val="24"/>
        </w:rPr>
        <w:t>-</w:t>
      </w:r>
      <w:r w:rsidRPr="00051A70">
        <w:rPr>
          <w:rFonts w:cs="Times New Roman"/>
          <w:color w:val="auto"/>
          <w:szCs w:val="24"/>
        </w:rPr>
        <w:t xml:space="preserve">connected and therefore did not determine a disability rating.  </w:t>
      </w:r>
      <w:r w:rsidR="00626902" w:rsidRPr="00051A70">
        <w:rPr>
          <w:rFonts w:eastAsia="Calibri" w:cs="Times New Roman"/>
          <w:color w:val="auto"/>
          <w:szCs w:val="24"/>
        </w:rPr>
        <w:t xml:space="preserve">After due deliberation, considering all of </w:t>
      </w:r>
      <w:r w:rsidR="00626902" w:rsidRPr="003D3A6E">
        <w:rPr>
          <w:rFonts w:eastAsia="Calibri" w:cs="Times New Roman"/>
          <w:color w:val="auto"/>
          <w:szCs w:val="24"/>
        </w:rPr>
        <w:t xml:space="preserve">the evidence and mindful of VASRD §4.3 (reasonable doubt), the Board concluded that there was insufficient cause to recommend a change in the PEB adjudication for the </w:t>
      </w:r>
      <w:r w:rsidRPr="003D3A6E">
        <w:rPr>
          <w:rFonts w:eastAsia="Calibri" w:cs="Times New Roman"/>
          <w:color w:val="auto"/>
          <w:szCs w:val="24"/>
        </w:rPr>
        <w:t>chronic back pain</w:t>
      </w:r>
      <w:r w:rsidR="00626902" w:rsidRPr="003D3A6E">
        <w:rPr>
          <w:rFonts w:eastAsia="Calibri" w:cs="Times New Roman"/>
          <w:color w:val="auto"/>
          <w:szCs w:val="24"/>
        </w:rPr>
        <w:t xml:space="preserve"> condition.</w:t>
      </w:r>
    </w:p>
    <w:p w:rsidR="00411FBE" w:rsidRPr="00051A70" w:rsidRDefault="00411FBE" w:rsidP="00051A70">
      <w:pPr>
        <w:jc w:val="both"/>
        <w:rPr>
          <w:rFonts w:eastAsia="Calibri" w:cs="Times New Roman"/>
          <w:color w:val="auto"/>
          <w:szCs w:val="24"/>
        </w:rPr>
      </w:pPr>
    </w:p>
    <w:p w:rsidR="00852D2D" w:rsidRDefault="00411FBE" w:rsidP="001829AC">
      <w:pPr>
        <w:pStyle w:val="Default"/>
        <w:spacing w:line="240" w:lineRule="exact"/>
        <w:jc w:val="both"/>
        <w:rPr>
          <w:iCs/>
          <w:color w:val="auto"/>
        </w:rPr>
      </w:pPr>
      <w:r w:rsidRPr="00051A70">
        <w:rPr>
          <w:u w:val="single"/>
        </w:rPr>
        <w:t>Post</w:t>
      </w:r>
      <w:r w:rsidR="00224C9D">
        <w:rPr>
          <w:u w:val="single"/>
        </w:rPr>
        <w:t>t</w:t>
      </w:r>
      <w:bookmarkStart w:id="0" w:name="_GoBack"/>
      <w:bookmarkEnd w:id="0"/>
      <w:r w:rsidRPr="00051A70">
        <w:rPr>
          <w:u w:val="single"/>
        </w:rPr>
        <w:t xml:space="preserve">raumatic Stress Disorder </w:t>
      </w:r>
      <w:r w:rsidR="00370ED5">
        <w:rPr>
          <w:u w:val="single"/>
        </w:rPr>
        <w:t xml:space="preserve">(PTSD) </w:t>
      </w:r>
      <w:r w:rsidRPr="003D3A6E">
        <w:rPr>
          <w:u w:val="single"/>
        </w:rPr>
        <w:t>Condition</w:t>
      </w:r>
      <w:r w:rsidR="001829AC" w:rsidRPr="003D3A6E">
        <w:t xml:space="preserve">.  </w:t>
      </w:r>
      <w:r w:rsidR="001829AC" w:rsidRPr="003D3A6E">
        <w:rPr>
          <w:iCs/>
          <w:color w:val="auto"/>
        </w:rPr>
        <w:t xml:space="preserve">The severity of the CI’s PTSD condition as evidenced by the MEB evaluation </w:t>
      </w:r>
      <w:r w:rsidR="00370ED5" w:rsidRPr="003D3A6E">
        <w:rPr>
          <w:iCs/>
          <w:color w:val="auto"/>
        </w:rPr>
        <w:t>can</w:t>
      </w:r>
      <w:r w:rsidR="001829AC" w:rsidRPr="003D3A6E">
        <w:rPr>
          <w:iCs/>
          <w:color w:val="auto"/>
        </w:rPr>
        <w:t xml:space="preserve"> best be described as serious.</w:t>
      </w:r>
      <w:r w:rsidR="00852D2D" w:rsidRPr="003D3A6E">
        <w:rPr>
          <w:iCs/>
          <w:color w:val="auto"/>
        </w:rPr>
        <w:t xml:space="preserve">  At the time of Psychiatric </w:t>
      </w:r>
      <w:r w:rsidR="00852D2D" w:rsidRPr="003D3A6E">
        <w:rPr>
          <w:iCs/>
          <w:color w:val="auto"/>
        </w:rPr>
        <w:lastRenderedPageBreak/>
        <w:t xml:space="preserve">MEB </w:t>
      </w:r>
      <w:r w:rsidR="00D7763E">
        <w:rPr>
          <w:iCs/>
          <w:color w:val="auto"/>
        </w:rPr>
        <w:t>a</w:t>
      </w:r>
      <w:r w:rsidR="00852D2D" w:rsidRPr="003D3A6E">
        <w:rPr>
          <w:iCs/>
          <w:color w:val="auto"/>
        </w:rPr>
        <w:t xml:space="preserve">ddendum approximately </w:t>
      </w:r>
      <w:r w:rsidR="008E5254">
        <w:rPr>
          <w:iCs/>
          <w:color w:val="auto"/>
        </w:rPr>
        <w:t>4</w:t>
      </w:r>
      <w:r w:rsidR="00852D2D" w:rsidRPr="003D3A6E">
        <w:rPr>
          <w:iCs/>
          <w:color w:val="auto"/>
        </w:rPr>
        <w:t xml:space="preserve"> month</w:t>
      </w:r>
      <w:r w:rsidR="0094483B">
        <w:rPr>
          <w:iCs/>
          <w:color w:val="auto"/>
        </w:rPr>
        <w:t>s</w:t>
      </w:r>
      <w:r w:rsidR="00852D2D" w:rsidRPr="003D3A6E">
        <w:rPr>
          <w:iCs/>
          <w:color w:val="auto"/>
        </w:rPr>
        <w:t xml:space="preserve"> </w:t>
      </w:r>
      <w:r w:rsidR="00D7763E">
        <w:rPr>
          <w:iCs/>
          <w:color w:val="auto"/>
        </w:rPr>
        <w:t>prior to</w:t>
      </w:r>
      <w:r w:rsidR="00852D2D" w:rsidRPr="003D3A6E">
        <w:rPr>
          <w:iCs/>
          <w:color w:val="auto"/>
        </w:rPr>
        <w:t xml:space="preserve"> separation, t</w:t>
      </w:r>
      <w:r w:rsidR="001829AC" w:rsidRPr="003D3A6E">
        <w:rPr>
          <w:iCs/>
          <w:color w:val="auto"/>
        </w:rPr>
        <w:t>he CI had been in treatment with medication</w:t>
      </w:r>
      <w:r w:rsidR="00B6423C">
        <w:rPr>
          <w:iCs/>
          <w:color w:val="auto"/>
        </w:rPr>
        <w:t xml:space="preserve"> and</w:t>
      </w:r>
      <w:r w:rsidR="001829AC" w:rsidRPr="003D3A6E">
        <w:rPr>
          <w:iCs/>
          <w:color w:val="auto"/>
        </w:rPr>
        <w:t xml:space="preserve"> individual and group therapy for a year but continued to have significant symptoms and only mild improvement.  Despite weekly counseling, the CI also appeared as a walk-in on several occasions because of continued symptoms</w:t>
      </w:r>
      <w:r w:rsidR="00B6423C">
        <w:rPr>
          <w:iCs/>
          <w:color w:val="auto"/>
        </w:rPr>
        <w:t>,</w:t>
      </w:r>
      <w:r w:rsidR="001829AC" w:rsidRPr="003D3A6E">
        <w:rPr>
          <w:iCs/>
          <w:color w:val="auto"/>
        </w:rPr>
        <w:t xml:space="preserve"> </w:t>
      </w:r>
      <w:r w:rsidR="00B6423C">
        <w:rPr>
          <w:iCs/>
          <w:color w:val="auto"/>
        </w:rPr>
        <w:t xml:space="preserve">and </w:t>
      </w:r>
      <w:r w:rsidR="001829AC" w:rsidRPr="003D3A6E">
        <w:rPr>
          <w:iCs/>
          <w:color w:val="auto"/>
        </w:rPr>
        <w:t xml:space="preserve">was referred once </w:t>
      </w:r>
      <w:r w:rsidR="00370ED5" w:rsidRPr="003D3A6E">
        <w:rPr>
          <w:iCs/>
          <w:color w:val="auto"/>
        </w:rPr>
        <w:t xml:space="preserve">for immediate evaluation </w:t>
      </w:r>
      <w:r w:rsidR="001829AC" w:rsidRPr="003D3A6E">
        <w:rPr>
          <w:iCs/>
          <w:color w:val="auto"/>
        </w:rPr>
        <w:t xml:space="preserve">by his commander who was concerned because of </w:t>
      </w:r>
      <w:r w:rsidR="00B6423C">
        <w:rPr>
          <w:iCs/>
          <w:color w:val="auto"/>
        </w:rPr>
        <w:t xml:space="preserve">the CI’s </w:t>
      </w:r>
      <w:r w:rsidR="001829AC" w:rsidRPr="003D3A6E">
        <w:rPr>
          <w:iCs/>
          <w:color w:val="auto"/>
        </w:rPr>
        <w:t xml:space="preserve">complaints of nightmares and homicidal ideas. </w:t>
      </w:r>
      <w:r w:rsidR="00C337D0">
        <w:rPr>
          <w:iCs/>
          <w:color w:val="auto"/>
        </w:rPr>
        <w:t xml:space="preserve"> </w:t>
      </w:r>
      <w:r w:rsidR="001829AC" w:rsidRPr="003D3A6E">
        <w:rPr>
          <w:iCs/>
          <w:color w:val="auto"/>
        </w:rPr>
        <w:t xml:space="preserve">The CI was also actively involved in marriage </w:t>
      </w:r>
      <w:r w:rsidR="00106370">
        <w:rPr>
          <w:iCs/>
          <w:color w:val="auto"/>
        </w:rPr>
        <w:t>counseling</w:t>
      </w:r>
      <w:r w:rsidR="00852D2D" w:rsidRPr="003D3A6E">
        <w:rPr>
          <w:iCs/>
          <w:color w:val="auto"/>
        </w:rPr>
        <w:t xml:space="preserve"> for </w:t>
      </w:r>
      <w:r w:rsidR="00106370">
        <w:rPr>
          <w:iCs/>
          <w:color w:val="auto"/>
        </w:rPr>
        <w:t>marital</w:t>
      </w:r>
      <w:r w:rsidR="00852D2D" w:rsidRPr="003D3A6E">
        <w:rPr>
          <w:iCs/>
          <w:color w:val="auto"/>
        </w:rPr>
        <w:t xml:space="preserve"> problems</w:t>
      </w:r>
      <w:r w:rsidR="00106370">
        <w:rPr>
          <w:iCs/>
          <w:color w:val="auto"/>
        </w:rPr>
        <w:t>,</w:t>
      </w:r>
      <w:r w:rsidR="00852D2D" w:rsidRPr="003D3A6E">
        <w:rPr>
          <w:iCs/>
          <w:color w:val="auto"/>
        </w:rPr>
        <w:t xml:space="preserve"> his wife was supportive</w:t>
      </w:r>
      <w:r w:rsidR="001829AC" w:rsidRPr="003D3A6E">
        <w:rPr>
          <w:iCs/>
          <w:color w:val="auto"/>
        </w:rPr>
        <w:t xml:space="preserve">. </w:t>
      </w:r>
      <w:r w:rsidR="00C337D0">
        <w:rPr>
          <w:iCs/>
          <w:color w:val="auto"/>
        </w:rPr>
        <w:t xml:space="preserve"> </w:t>
      </w:r>
      <w:r w:rsidR="001829AC" w:rsidRPr="003D3A6E">
        <w:rPr>
          <w:iCs/>
          <w:color w:val="auto"/>
        </w:rPr>
        <w:t>He continued to have flashbacks and nightmares, avoidance symptoms and difficulty engaging in ordinary marital interactions with his spouse</w:t>
      </w:r>
      <w:r w:rsidR="00852D2D" w:rsidRPr="003D3A6E">
        <w:rPr>
          <w:iCs/>
          <w:color w:val="auto"/>
        </w:rPr>
        <w:t xml:space="preserve">, and persistent symptoms of increased arousal, difficulty falling sleep, hypervigilance, and outbursts of anger.  </w:t>
      </w:r>
      <w:r w:rsidR="00CD0B83" w:rsidRPr="003D3A6E">
        <w:rPr>
          <w:iCs/>
          <w:color w:val="auto"/>
        </w:rPr>
        <w:t xml:space="preserve">The exam did not address the CI’s ability to interact with anyone other than his wife or engage in hobbies. </w:t>
      </w:r>
      <w:r w:rsidR="00C337D0">
        <w:rPr>
          <w:iCs/>
          <w:color w:val="auto"/>
        </w:rPr>
        <w:t xml:space="preserve"> </w:t>
      </w:r>
      <w:r w:rsidR="00852D2D" w:rsidRPr="003D3A6E">
        <w:rPr>
          <w:iCs/>
          <w:color w:val="auto"/>
        </w:rPr>
        <w:t xml:space="preserve">The military psychiatrist assessed a Global Assessment of Functioning (GAF) of 50 for serious symptoms with definitive impairment in social and occupational functioning. </w:t>
      </w:r>
      <w:r w:rsidR="00C337D0">
        <w:rPr>
          <w:iCs/>
          <w:color w:val="auto"/>
        </w:rPr>
        <w:t xml:space="preserve"> </w:t>
      </w:r>
      <w:r w:rsidR="00852D2D" w:rsidRPr="003D3A6E">
        <w:rPr>
          <w:iCs/>
          <w:color w:val="auto"/>
        </w:rPr>
        <w:t>He stated the CI was “no longer capable of reliable duty</w:t>
      </w:r>
      <w:r w:rsidR="00370ED5" w:rsidRPr="003D3A6E">
        <w:rPr>
          <w:iCs/>
          <w:color w:val="auto"/>
        </w:rPr>
        <w:t>” and had</w:t>
      </w:r>
      <w:r w:rsidR="00852D2D" w:rsidRPr="003D3A6E">
        <w:rPr>
          <w:iCs/>
          <w:color w:val="auto"/>
        </w:rPr>
        <w:t xml:space="preserve"> </w:t>
      </w:r>
      <w:r w:rsidR="00370ED5" w:rsidRPr="003D3A6E">
        <w:rPr>
          <w:iCs/>
          <w:color w:val="auto"/>
        </w:rPr>
        <w:t>“</w:t>
      </w:r>
      <w:r w:rsidR="00852D2D" w:rsidRPr="003D3A6E">
        <w:rPr>
          <w:iCs/>
          <w:color w:val="auto"/>
        </w:rPr>
        <w:t xml:space="preserve">marked impairment for military duty.” </w:t>
      </w:r>
      <w:r w:rsidR="00C337D0">
        <w:rPr>
          <w:iCs/>
          <w:color w:val="auto"/>
        </w:rPr>
        <w:t xml:space="preserve"> </w:t>
      </w:r>
      <w:r w:rsidR="0002564A" w:rsidRPr="003D3A6E">
        <w:rPr>
          <w:iCs/>
          <w:color w:val="auto"/>
        </w:rPr>
        <w:t xml:space="preserve">The VA Mental Health C&amp;P exam was completed approximately </w:t>
      </w:r>
      <w:r w:rsidR="008E5254">
        <w:rPr>
          <w:iCs/>
          <w:color w:val="auto"/>
        </w:rPr>
        <w:t>7</w:t>
      </w:r>
      <w:r w:rsidR="0002564A" w:rsidRPr="003D3A6E">
        <w:rPr>
          <w:iCs/>
          <w:color w:val="auto"/>
        </w:rPr>
        <w:t xml:space="preserve"> months after the service exam and approximately </w:t>
      </w:r>
      <w:r w:rsidR="008E5254">
        <w:rPr>
          <w:iCs/>
          <w:color w:val="auto"/>
        </w:rPr>
        <w:t>3</w:t>
      </w:r>
      <w:r w:rsidR="0002564A" w:rsidRPr="003D3A6E">
        <w:rPr>
          <w:iCs/>
          <w:color w:val="auto"/>
        </w:rPr>
        <w:t xml:space="preserve"> months after separation from </w:t>
      </w:r>
      <w:r w:rsidR="003C655F">
        <w:rPr>
          <w:iCs/>
          <w:color w:val="auto"/>
        </w:rPr>
        <w:t>the Army</w:t>
      </w:r>
      <w:r w:rsidR="0002564A" w:rsidRPr="003D3A6E">
        <w:rPr>
          <w:iCs/>
          <w:color w:val="auto"/>
        </w:rPr>
        <w:t xml:space="preserve">. </w:t>
      </w:r>
      <w:r w:rsidR="00C337D0">
        <w:rPr>
          <w:iCs/>
          <w:color w:val="auto"/>
        </w:rPr>
        <w:t xml:space="preserve"> </w:t>
      </w:r>
      <w:r w:rsidR="00106370">
        <w:rPr>
          <w:iCs/>
          <w:color w:val="auto"/>
        </w:rPr>
        <w:t>The CI</w:t>
      </w:r>
      <w:r w:rsidR="0002564A" w:rsidRPr="003D3A6E">
        <w:rPr>
          <w:iCs/>
          <w:color w:val="auto"/>
        </w:rPr>
        <w:t xml:space="preserve"> reported continued symptoms of nightmares at </w:t>
      </w:r>
      <w:r w:rsidR="0002564A" w:rsidRPr="00665502">
        <w:rPr>
          <w:iCs/>
          <w:color w:val="auto"/>
        </w:rPr>
        <w:t>least</w:t>
      </w:r>
      <w:r w:rsidR="0002564A" w:rsidRPr="003D3A6E">
        <w:rPr>
          <w:iCs/>
          <w:color w:val="auto"/>
        </w:rPr>
        <w:t xml:space="preserve"> twice a month, flashbacks once a week, difficulty being in large crowds, </w:t>
      </w:r>
      <w:r w:rsidR="00106370">
        <w:rPr>
          <w:iCs/>
          <w:color w:val="auto"/>
        </w:rPr>
        <w:t xml:space="preserve">and </w:t>
      </w:r>
      <w:r w:rsidR="0002564A" w:rsidRPr="003D3A6E">
        <w:rPr>
          <w:iCs/>
          <w:color w:val="auto"/>
        </w:rPr>
        <w:t xml:space="preserve">feeling detached </w:t>
      </w:r>
      <w:r w:rsidR="00D60236" w:rsidRPr="003D3A6E">
        <w:rPr>
          <w:iCs/>
          <w:color w:val="auto"/>
        </w:rPr>
        <w:t>from</w:t>
      </w:r>
      <w:r w:rsidR="0002564A" w:rsidRPr="003D3A6E">
        <w:rPr>
          <w:iCs/>
          <w:color w:val="auto"/>
        </w:rPr>
        <w:t xml:space="preserve"> and having a hard time relating to others. </w:t>
      </w:r>
      <w:r w:rsidR="00C337D0">
        <w:rPr>
          <w:iCs/>
          <w:color w:val="auto"/>
        </w:rPr>
        <w:t xml:space="preserve"> </w:t>
      </w:r>
      <w:r w:rsidR="0002564A" w:rsidRPr="003D3A6E">
        <w:rPr>
          <w:iCs/>
          <w:color w:val="auto"/>
        </w:rPr>
        <w:t xml:space="preserve">He continued to have an exaggerated startle response and frequent agitation. </w:t>
      </w:r>
      <w:r w:rsidR="00C337D0">
        <w:rPr>
          <w:iCs/>
          <w:color w:val="auto"/>
        </w:rPr>
        <w:t xml:space="preserve"> </w:t>
      </w:r>
      <w:r w:rsidR="0002564A" w:rsidRPr="003D3A6E">
        <w:rPr>
          <w:iCs/>
          <w:color w:val="auto"/>
        </w:rPr>
        <w:t>He continued to attempt to avoid</w:t>
      </w:r>
      <w:r w:rsidR="00D60236" w:rsidRPr="003D3A6E">
        <w:rPr>
          <w:iCs/>
          <w:color w:val="auto"/>
        </w:rPr>
        <w:t xml:space="preserve"> things that remind</w:t>
      </w:r>
      <w:r w:rsidR="0094483B">
        <w:rPr>
          <w:iCs/>
          <w:color w:val="auto"/>
        </w:rPr>
        <w:t>ed</w:t>
      </w:r>
      <w:r w:rsidR="00D60236" w:rsidRPr="003D3A6E">
        <w:rPr>
          <w:iCs/>
          <w:color w:val="auto"/>
        </w:rPr>
        <w:t xml:space="preserve"> him of </w:t>
      </w:r>
      <w:r w:rsidR="00106370">
        <w:rPr>
          <w:iCs/>
          <w:color w:val="auto"/>
        </w:rPr>
        <w:t>traumatic</w:t>
      </w:r>
      <w:r w:rsidR="00D60236" w:rsidRPr="003D3A6E">
        <w:rPr>
          <w:iCs/>
          <w:color w:val="auto"/>
        </w:rPr>
        <w:t xml:space="preserve"> events, fe</w:t>
      </w:r>
      <w:r w:rsidR="00CD0B83" w:rsidRPr="003D3A6E">
        <w:rPr>
          <w:iCs/>
          <w:color w:val="auto"/>
        </w:rPr>
        <w:t xml:space="preserve">lt </w:t>
      </w:r>
      <w:r w:rsidR="00D60236" w:rsidRPr="003D3A6E">
        <w:rPr>
          <w:iCs/>
          <w:color w:val="auto"/>
        </w:rPr>
        <w:t>depresse</w:t>
      </w:r>
      <w:r w:rsidR="00CD0B83" w:rsidRPr="003D3A6E">
        <w:rPr>
          <w:iCs/>
          <w:color w:val="auto"/>
        </w:rPr>
        <w:t>d</w:t>
      </w:r>
      <w:r w:rsidR="00D60236" w:rsidRPr="003D3A6E">
        <w:rPr>
          <w:iCs/>
          <w:color w:val="auto"/>
        </w:rPr>
        <w:t xml:space="preserve">, irritable, and moody as well as having difficulty concentrating and sleeping.  </w:t>
      </w:r>
      <w:r w:rsidR="00106370">
        <w:rPr>
          <w:iCs/>
          <w:color w:val="auto"/>
        </w:rPr>
        <w:t>Th</w:t>
      </w:r>
      <w:r w:rsidR="00D60236" w:rsidRPr="003D3A6E">
        <w:rPr>
          <w:iCs/>
          <w:color w:val="auto"/>
        </w:rPr>
        <w:t xml:space="preserve">e </w:t>
      </w:r>
      <w:r w:rsidR="00106370">
        <w:rPr>
          <w:iCs/>
          <w:color w:val="auto"/>
        </w:rPr>
        <w:t xml:space="preserve">CI </w:t>
      </w:r>
      <w:r w:rsidR="00D60236" w:rsidRPr="003D3A6E">
        <w:rPr>
          <w:iCs/>
          <w:color w:val="auto"/>
        </w:rPr>
        <w:t xml:space="preserve">also reported </w:t>
      </w:r>
      <w:r w:rsidR="0094483B">
        <w:rPr>
          <w:iCs/>
          <w:color w:val="auto"/>
        </w:rPr>
        <w:t>being “haunted” by</w:t>
      </w:r>
      <w:r w:rsidR="00D60236" w:rsidRPr="003D3A6E">
        <w:rPr>
          <w:iCs/>
          <w:color w:val="auto"/>
        </w:rPr>
        <w:t xml:space="preserve"> images of dead bodies, </w:t>
      </w:r>
      <w:r w:rsidR="00CD0B83" w:rsidRPr="003D3A6E">
        <w:rPr>
          <w:iCs/>
          <w:color w:val="auto"/>
        </w:rPr>
        <w:t xml:space="preserve">both </w:t>
      </w:r>
      <w:r w:rsidR="003C655F">
        <w:rPr>
          <w:iCs/>
          <w:color w:val="auto"/>
        </w:rPr>
        <w:t>s</w:t>
      </w:r>
      <w:r w:rsidR="00D60236" w:rsidRPr="003D3A6E">
        <w:rPr>
          <w:iCs/>
          <w:color w:val="auto"/>
        </w:rPr>
        <w:t xml:space="preserve">oldiers and civilians. </w:t>
      </w:r>
      <w:r w:rsidR="00C337D0">
        <w:rPr>
          <w:iCs/>
          <w:color w:val="auto"/>
        </w:rPr>
        <w:t xml:space="preserve"> </w:t>
      </w:r>
      <w:r w:rsidR="00D60236" w:rsidRPr="003D3A6E">
        <w:rPr>
          <w:iCs/>
          <w:color w:val="auto"/>
        </w:rPr>
        <w:t xml:space="preserve">The CI </w:t>
      </w:r>
      <w:r w:rsidR="0094483B">
        <w:rPr>
          <w:iCs/>
          <w:color w:val="auto"/>
        </w:rPr>
        <w:t>sai</w:t>
      </w:r>
      <w:r w:rsidR="00D60236" w:rsidRPr="003D3A6E">
        <w:rPr>
          <w:iCs/>
          <w:color w:val="auto"/>
        </w:rPr>
        <w:t>d his treatment while in the military was not helpful</w:t>
      </w:r>
      <w:r w:rsidR="00106370">
        <w:rPr>
          <w:iCs/>
          <w:color w:val="auto"/>
        </w:rPr>
        <w:t>;</w:t>
      </w:r>
      <w:r w:rsidR="00D60236" w:rsidRPr="003D3A6E">
        <w:rPr>
          <w:iCs/>
          <w:color w:val="auto"/>
        </w:rPr>
        <w:t xml:space="preserve"> </w:t>
      </w:r>
      <w:r w:rsidR="00106370">
        <w:rPr>
          <w:iCs/>
          <w:color w:val="auto"/>
        </w:rPr>
        <w:t>h</w:t>
      </w:r>
      <w:r w:rsidR="00D60236" w:rsidRPr="003D3A6E">
        <w:rPr>
          <w:iCs/>
          <w:color w:val="auto"/>
        </w:rPr>
        <w:t xml:space="preserve">e felt the doctor was just trying to “drug him up” and </w:t>
      </w:r>
      <w:r w:rsidR="00370ED5" w:rsidRPr="003D3A6E">
        <w:rPr>
          <w:iCs/>
          <w:color w:val="auto"/>
        </w:rPr>
        <w:t xml:space="preserve">he </w:t>
      </w:r>
      <w:r w:rsidR="00D60236" w:rsidRPr="003D3A6E">
        <w:rPr>
          <w:iCs/>
          <w:color w:val="auto"/>
        </w:rPr>
        <w:t>was therefore reluctant to see another psychiatrist.  No post-military stressor</w:t>
      </w:r>
      <w:r w:rsidR="00106370">
        <w:rPr>
          <w:iCs/>
          <w:color w:val="auto"/>
        </w:rPr>
        <w:t>s</w:t>
      </w:r>
      <w:r w:rsidR="00D60236" w:rsidRPr="003D3A6E">
        <w:rPr>
          <w:iCs/>
          <w:color w:val="auto"/>
        </w:rPr>
        <w:t xml:space="preserve"> w</w:t>
      </w:r>
      <w:r w:rsidR="00106370">
        <w:rPr>
          <w:iCs/>
          <w:color w:val="auto"/>
        </w:rPr>
        <w:t>ere</w:t>
      </w:r>
      <w:r w:rsidR="00D60236" w:rsidRPr="003D3A6E">
        <w:rPr>
          <w:iCs/>
          <w:color w:val="auto"/>
        </w:rPr>
        <w:t xml:space="preserve"> identified. </w:t>
      </w:r>
      <w:r w:rsidR="00C337D0">
        <w:rPr>
          <w:iCs/>
          <w:color w:val="auto"/>
        </w:rPr>
        <w:t xml:space="preserve"> </w:t>
      </w:r>
      <w:r w:rsidR="00106370">
        <w:rPr>
          <w:iCs/>
          <w:color w:val="auto"/>
        </w:rPr>
        <w:t>There is n</w:t>
      </w:r>
      <w:r w:rsidR="00D60236" w:rsidRPr="003D3A6E">
        <w:rPr>
          <w:iCs/>
          <w:color w:val="auto"/>
        </w:rPr>
        <w:t>o mention of friends or hobbies</w:t>
      </w:r>
      <w:r w:rsidR="00106370">
        <w:rPr>
          <w:iCs/>
          <w:color w:val="auto"/>
        </w:rPr>
        <w:t>,</w:t>
      </w:r>
      <w:r w:rsidR="00D60236" w:rsidRPr="003D3A6E">
        <w:rPr>
          <w:iCs/>
          <w:color w:val="auto"/>
        </w:rPr>
        <w:t xml:space="preserve"> </w:t>
      </w:r>
      <w:r w:rsidR="00543BFC" w:rsidRPr="003D3A6E">
        <w:rPr>
          <w:iCs/>
          <w:color w:val="auto"/>
        </w:rPr>
        <w:t>and his relationship with his wife, boss or coworkers is not addressed</w:t>
      </w:r>
      <w:r w:rsidR="00D60236" w:rsidRPr="003D3A6E">
        <w:rPr>
          <w:iCs/>
          <w:color w:val="auto"/>
        </w:rPr>
        <w:t>.  Mental status exam</w:t>
      </w:r>
      <w:r w:rsidR="003C655F">
        <w:rPr>
          <w:iCs/>
          <w:color w:val="auto"/>
        </w:rPr>
        <w:t xml:space="preserve"> </w:t>
      </w:r>
      <w:r w:rsidR="00D60236" w:rsidRPr="003D3A6E">
        <w:rPr>
          <w:iCs/>
          <w:color w:val="auto"/>
        </w:rPr>
        <w:t xml:space="preserve">noted some agitation when talking about the </w:t>
      </w:r>
      <w:r w:rsidR="00106370">
        <w:rPr>
          <w:iCs/>
          <w:color w:val="auto"/>
        </w:rPr>
        <w:t>death</w:t>
      </w:r>
      <w:r w:rsidR="00D60236" w:rsidRPr="003D3A6E">
        <w:rPr>
          <w:iCs/>
          <w:color w:val="auto"/>
        </w:rPr>
        <w:t xml:space="preserve"> of his fr</w:t>
      </w:r>
      <w:r w:rsidR="00543BFC" w:rsidRPr="003D3A6E">
        <w:rPr>
          <w:iCs/>
          <w:color w:val="auto"/>
        </w:rPr>
        <w:t>iends</w:t>
      </w:r>
      <w:r w:rsidR="00106370">
        <w:rPr>
          <w:iCs/>
          <w:color w:val="auto"/>
        </w:rPr>
        <w:t xml:space="preserve"> in combat</w:t>
      </w:r>
      <w:r w:rsidR="00DC4523">
        <w:rPr>
          <w:iCs/>
          <w:color w:val="auto"/>
        </w:rPr>
        <w:t>, but he was otherwise calm and euthymic</w:t>
      </w:r>
      <w:r w:rsidR="00543BFC" w:rsidRPr="003D3A6E">
        <w:rPr>
          <w:iCs/>
          <w:color w:val="auto"/>
        </w:rPr>
        <w:t xml:space="preserve">. </w:t>
      </w:r>
      <w:r w:rsidR="00C337D0">
        <w:rPr>
          <w:iCs/>
          <w:color w:val="auto"/>
        </w:rPr>
        <w:t xml:space="preserve"> </w:t>
      </w:r>
      <w:r w:rsidR="00543BFC" w:rsidRPr="003D3A6E">
        <w:rPr>
          <w:iCs/>
          <w:color w:val="auto"/>
        </w:rPr>
        <w:t xml:space="preserve">A GAF of 60 was assessed </w:t>
      </w:r>
      <w:r w:rsidR="0094483B">
        <w:rPr>
          <w:iCs/>
          <w:color w:val="auto"/>
        </w:rPr>
        <w:t>which</w:t>
      </w:r>
      <w:r w:rsidR="00543BFC" w:rsidRPr="003D3A6E">
        <w:rPr>
          <w:iCs/>
          <w:color w:val="auto"/>
        </w:rPr>
        <w:t xml:space="preserve"> </w:t>
      </w:r>
      <w:r w:rsidR="00106370">
        <w:rPr>
          <w:iCs/>
          <w:color w:val="auto"/>
        </w:rPr>
        <w:t>wa</w:t>
      </w:r>
      <w:r w:rsidR="00543BFC" w:rsidRPr="003D3A6E">
        <w:rPr>
          <w:iCs/>
          <w:color w:val="auto"/>
        </w:rPr>
        <w:t xml:space="preserve">s improved over the 50 </w:t>
      </w:r>
      <w:r w:rsidR="0094483B" w:rsidRPr="003D3A6E">
        <w:rPr>
          <w:iCs/>
          <w:color w:val="auto"/>
        </w:rPr>
        <w:t xml:space="preserve">previously </w:t>
      </w:r>
      <w:r w:rsidR="00543BFC" w:rsidRPr="003D3A6E">
        <w:rPr>
          <w:iCs/>
          <w:color w:val="auto"/>
        </w:rPr>
        <w:t xml:space="preserve">assessed, </w:t>
      </w:r>
      <w:r w:rsidR="00DC4523">
        <w:rPr>
          <w:iCs/>
          <w:color w:val="auto"/>
        </w:rPr>
        <w:t>and</w:t>
      </w:r>
      <w:r w:rsidR="00CD0B83" w:rsidRPr="003D3A6E">
        <w:rPr>
          <w:iCs/>
          <w:color w:val="auto"/>
        </w:rPr>
        <w:t xml:space="preserve"> </w:t>
      </w:r>
      <w:r w:rsidR="00106370">
        <w:rPr>
          <w:iCs/>
          <w:color w:val="auto"/>
        </w:rPr>
        <w:t xml:space="preserve">it </w:t>
      </w:r>
      <w:r w:rsidR="00543BFC" w:rsidRPr="003D3A6E">
        <w:rPr>
          <w:iCs/>
          <w:color w:val="auto"/>
        </w:rPr>
        <w:t>signifie</w:t>
      </w:r>
      <w:r w:rsidR="00106370">
        <w:rPr>
          <w:iCs/>
          <w:color w:val="auto"/>
        </w:rPr>
        <w:t>d</w:t>
      </w:r>
      <w:r w:rsidR="00D60236" w:rsidRPr="003D3A6E">
        <w:rPr>
          <w:iCs/>
          <w:color w:val="auto"/>
        </w:rPr>
        <w:t xml:space="preserve"> </w:t>
      </w:r>
      <w:r w:rsidR="00543BFC" w:rsidRPr="003D3A6E">
        <w:rPr>
          <w:iCs/>
          <w:color w:val="auto"/>
        </w:rPr>
        <w:t xml:space="preserve">continued </w:t>
      </w:r>
      <w:r w:rsidR="00D60236" w:rsidRPr="003D3A6E">
        <w:rPr>
          <w:iCs/>
          <w:color w:val="auto"/>
        </w:rPr>
        <w:t>moderate symptoms.</w:t>
      </w:r>
      <w:r w:rsidR="00543BFC" w:rsidRPr="003D3A6E">
        <w:rPr>
          <w:iCs/>
          <w:color w:val="auto"/>
        </w:rPr>
        <w:t xml:space="preserve"> </w:t>
      </w:r>
      <w:r w:rsidR="00C337D0">
        <w:rPr>
          <w:iCs/>
          <w:color w:val="auto"/>
        </w:rPr>
        <w:t xml:space="preserve"> </w:t>
      </w:r>
      <w:r w:rsidR="00543BFC" w:rsidRPr="003D3A6E">
        <w:rPr>
          <w:iCs/>
          <w:color w:val="auto"/>
        </w:rPr>
        <w:t xml:space="preserve">Neither examination noted any difficulties with activities of daily living </w:t>
      </w:r>
      <w:r w:rsidR="00CD0B83" w:rsidRPr="003D3A6E">
        <w:rPr>
          <w:iCs/>
          <w:color w:val="auto"/>
        </w:rPr>
        <w:t>or</w:t>
      </w:r>
      <w:r w:rsidR="00543BFC" w:rsidRPr="003D3A6E">
        <w:rPr>
          <w:iCs/>
          <w:color w:val="auto"/>
        </w:rPr>
        <w:t xml:space="preserve"> routine behaviors.</w:t>
      </w:r>
    </w:p>
    <w:p w:rsidR="004F7C57" w:rsidRPr="00051A70" w:rsidRDefault="004F7C57" w:rsidP="00051A70">
      <w:pPr>
        <w:jc w:val="both"/>
        <w:rPr>
          <w:color w:val="000000"/>
          <w:szCs w:val="24"/>
        </w:rPr>
      </w:pPr>
    </w:p>
    <w:p w:rsidR="002C3030" w:rsidRDefault="001725E0" w:rsidP="00051A70">
      <w:pPr>
        <w:tabs>
          <w:tab w:val="left" w:pos="288"/>
          <w:tab w:val="left" w:pos="4752"/>
        </w:tabs>
        <w:jc w:val="both"/>
        <w:rPr>
          <w:color w:val="auto"/>
          <w:szCs w:val="24"/>
        </w:rPr>
      </w:pPr>
      <w:r w:rsidRPr="00051A70">
        <w:rPr>
          <w:rFonts w:cs="Times New Roman"/>
          <w:color w:val="auto"/>
          <w:szCs w:val="24"/>
        </w:rPr>
        <w:t xml:space="preserve">The PEB rating, as described above, was </w:t>
      </w:r>
      <w:r w:rsidR="00DC4523">
        <w:rPr>
          <w:rFonts w:cs="Times New Roman"/>
          <w:color w:val="auto"/>
          <w:szCs w:val="24"/>
        </w:rPr>
        <w:t xml:space="preserve">likely </w:t>
      </w:r>
      <w:r w:rsidRPr="00051A70">
        <w:rPr>
          <w:rFonts w:cs="Times New Roman"/>
          <w:color w:val="auto"/>
          <w:szCs w:val="24"/>
        </w:rPr>
        <w:t xml:space="preserve">derived from DoDI 1332.39 and preceded the promulgation of the National Defense Authorization Act (NDAA) 2008 mandate for </w:t>
      </w:r>
      <w:r w:rsidR="00DC4523">
        <w:rPr>
          <w:rFonts w:cs="Times New Roman"/>
          <w:color w:val="auto"/>
          <w:szCs w:val="24"/>
        </w:rPr>
        <w:t xml:space="preserve">strict </w:t>
      </w:r>
      <w:r w:rsidRPr="00051A70">
        <w:rPr>
          <w:rFonts w:cs="Times New Roman"/>
          <w:color w:val="auto"/>
          <w:szCs w:val="24"/>
        </w:rPr>
        <w:t>DoD adherence to VASRD §4.129</w:t>
      </w:r>
      <w:r w:rsidRPr="00912004">
        <w:rPr>
          <w:rFonts w:cs="Times New Roman"/>
          <w:color w:val="auto"/>
          <w:szCs w:val="24"/>
        </w:rPr>
        <w:t>.</w:t>
      </w:r>
      <w:r w:rsidR="00E97C77" w:rsidRPr="00912004">
        <w:rPr>
          <w:rFonts w:cs="Times New Roman"/>
          <w:color w:val="auto"/>
          <w:szCs w:val="24"/>
        </w:rPr>
        <w:t xml:space="preserve">  </w:t>
      </w:r>
      <w:r w:rsidR="00E97C77" w:rsidRPr="00912004">
        <w:rPr>
          <w:color w:val="auto"/>
          <w:szCs w:val="24"/>
        </w:rPr>
        <w:t xml:space="preserve">IAW DoDI 6040.44 and DoD guidance (which applies </w:t>
      </w:r>
      <w:r w:rsidR="00DC4523">
        <w:rPr>
          <w:color w:val="auto"/>
          <w:szCs w:val="24"/>
        </w:rPr>
        <w:t xml:space="preserve">the </w:t>
      </w:r>
      <w:r w:rsidR="00E97C77" w:rsidRPr="00912004">
        <w:rPr>
          <w:color w:val="auto"/>
          <w:szCs w:val="24"/>
        </w:rPr>
        <w:t xml:space="preserve">current VASRD </w:t>
      </w:r>
      <w:r w:rsidR="00DC4523" w:rsidRPr="00051A70">
        <w:rPr>
          <w:rFonts w:cs="Times New Roman"/>
          <w:color w:val="auto"/>
          <w:szCs w:val="24"/>
        </w:rPr>
        <w:t>§</w:t>
      </w:r>
      <w:r w:rsidR="00E97C77" w:rsidRPr="00912004">
        <w:rPr>
          <w:color w:val="auto"/>
          <w:szCs w:val="24"/>
        </w:rPr>
        <w:t>4.129 to all Board cases</w:t>
      </w:r>
      <w:r w:rsidR="00106370">
        <w:rPr>
          <w:color w:val="auto"/>
          <w:szCs w:val="24"/>
        </w:rPr>
        <w:t xml:space="preserve"> with a diagnosis of PTSD coded 9411</w:t>
      </w:r>
      <w:r w:rsidR="00E97C77" w:rsidRPr="00912004">
        <w:rPr>
          <w:color w:val="auto"/>
          <w:szCs w:val="24"/>
        </w:rPr>
        <w:t xml:space="preserve">), the Board is obligated to recommend a minimum 50% PTSD rating for a retroactive six-month period on the Temporary Disability Retired List (TDRL). </w:t>
      </w:r>
      <w:r w:rsidR="00665502">
        <w:rPr>
          <w:color w:val="auto"/>
          <w:szCs w:val="24"/>
        </w:rPr>
        <w:t xml:space="preserve"> </w:t>
      </w:r>
      <w:r w:rsidR="00E97C77" w:rsidRPr="00912004">
        <w:rPr>
          <w:color w:val="auto"/>
          <w:szCs w:val="24"/>
        </w:rPr>
        <w:t xml:space="preserve">The Board must then determine the most appropriate fit with VASRD </w:t>
      </w:r>
      <w:r w:rsidR="00DC4523" w:rsidRPr="00051A70">
        <w:rPr>
          <w:rFonts w:cs="Times New Roman"/>
          <w:color w:val="auto"/>
          <w:szCs w:val="24"/>
        </w:rPr>
        <w:t>§</w:t>
      </w:r>
      <w:r w:rsidR="00E97C77" w:rsidRPr="00912004">
        <w:rPr>
          <w:color w:val="auto"/>
          <w:szCs w:val="24"/>
        </w:rPr>
        <w:t xml:space="preserve">4.130 criteria at six months </w:t>
      </w:r>
      <w:r w:rsidR="00DC4523">
        <w:rPr>
          <w:color w:val="auto"/>
          <w:szCs w:val="24"/>
        </w:rPr>
        <w:t xml:space="preserve">post-separation </w:t>
      </w:r>
      <w:r w:rsidR="00E97C77" w:rsidRPr="00912004">
        <w:rPr>
          <w:color w:val="auto"/>
          <w:szCs w:val="24"/>
        </w:rPr>
        <w:t xml:space="preserve">for its permanent rating recommendation. </w:t>
      </w:r>
      <w:r w:rsidR="00C337D0">
        <w:rPr>
          <w:color w:val="auto"/>
          <w:szCs w:val="24"/>
        </w:rPr>
        <w:t xml:space="preserve"> </w:t>
      </w:r>
    </w:p>
    <w:p w:rsidR="002C3030" w:rsidRDefault="002C3030" w:rsidP="00051A70">
      <w:pPr>
        <w:tabs>
          <w:tab w:val="left" w:pos="288"/>
          <w:tab w:val="left" w:pos="4752"/>
        </w:tabs>
        <w:jc w:val="both"/>
        <w:rPr>
          <w:color w:val="auto"/>
          <w:szCs w:val="24"/>
        </w:rPr>
      </w:pPr>
    </w:p>
    <w:p w:rsidR="002C3030" w:rsidRDefault="002C3030" w:rsidP="00051A70">
      <w:pPr>
        <w:tabs>
          <w:tab w:val="left" w:pos="288"/>
          <w:tab w:val="left" w:pos="4752"/>
        </w:tabs>
        <w:jc w:val="both"/>
        <w:rPr>
          <w:color w:val="auto"/>
          <w:szCs w:val="24"/>
        </w:rPr>
      </w:pPr>
      <w:r w:rsidRPr="00B6423C">
        <w:rPr>
          <w:color w:val="auto"/>
          <w:szCs w:val="24"/>
        </w:rPr>
        <w:t xml:space="preserve">The </w:t>
      </w:r>
      <w:r>
        <w:rPr>
          <w:color w:val="auto"/>
          <w:szCs w:val="24"/>
        </w:rPr>
        <w:t xml:space="preserve">MEB </w:t>
      </w:r>
      <w:r w:rsidRPr="00B6423C">
        <w:rPr>
          <w:color w:val="auto"/>
          <w:szCs w:val="24"/>
        </w:rPr>
        <w:t xml:space="preserve">Psychiatric Addendum exam clearly supports a 30% rating on its own merit and some elements support a 50% rating such as reduced reliability and productivity.  Although the CI appears to have improved by the time of the VA exam, his condition appeared to have continued to surpass the 10% rating criteria.  The evidence </w:t>
      </w:r>
      <w:r>
        <w:rPr>
          <w:color w:val="auto"/>
          <w:szCs w:val="24"/>
        </w:rPr>
        <w:t xml:space="preserve">however </w:t>
      </w:r>
      <w:r w:rsidRPr="00B6423C">
        <w:rPr>
          <w:color w:val="auto"/>
          <w:szCs w:val="24"/>
        </w:rPr>
        <w:t>does not provide a correlation of acuity with degree of stress.</w:t>
      </w:r>
      <w:r>
        <w:rPr>
          <w:color w:val="auto"/>
          <w:szCs w:val="24"/>
        </w:rPr>
        <w:t xml:space="preserve">  </w:t>
      </w:r>
      <w:r w:rsidRPr="000F002B">
        <w:rPr>
          <w:color w:val="auto"/>
          <w:szCs w:val="24"/>
        </w:rPr>
        <w:t xml:space="preserve">The VA assigned a 10% rating for the PTSD condition based on §4.130 criteria without </w:t>
      </w:r>
      <w:r>
        <w:rPr>
          <w:color w:val="auto"/>
          <w:szCs w:val="24"/>
        </w:rPr>
        <w:t>application of</w:t>
      </w:r>
      <w:r w:rsidRPr="000F002B">
        <w:rPr>
          <w:color w:val="auto"/>
          <w:szCs w:val="24"/>
        </w:rPr>
        <w:t xml:space="preserve"> </w:t>
      </w:r>
      <w:r w:rsidRPr="003D3A6E">
        <w:rPr>
          <w:color w:val="auto"/>
          <w:szCs w:val="24"/>
        </w:rPr>
        <w:t>the provisions of §4.129</w:t>
      </w:r>
      <w:r>
        <w:rPr>
          <w:color w:val="auto"/>
          <w:szCs w:val="24"/>
        </w:rPr>
        <w:t xml:space="preserve">.  </w:t>
      </w:r>
      <w:r w:rsidRPr="000F002B">
        <w:rPr>
          <w:color w:val="auto"/>
          <w:szCs w:val="24"/>
        </w:rPr>
        <w:t xml:space="preserve">All </w:t>
      </w:r>
      <w:r>
        <w:rPr>
          <w:color w:val="auto"/>
          <w:szCs w:val="24"/>
        </w:rPr>
        <w:t xml:space="preserve">Board </w:t>
      </w:r>
      <w:r w:rsidRPr="000F002B">
        <w:rPr>
          <w:color w:val="auto"/>
          <w:szCs w:val="24"/>
        </w:rPr>
        <w:t xml:space="preserve">members agreed that the §4.130 criteria for a rating higher than 50% were not met at the time of separation, and therefore the minimum 50% TDRL rating is applicable. </w:t>
      </w:r>
      <w:r>
        <w:rPr>
          <w:color w:val="auto"/>
          <w:szCs w:val="24"/>
        </w:rPr>
        <w:t xml:space="preserve"> </w:t>
      </w:r>
    </w:p>
    <w:p w:rsidR="002C3030" w:rsidRDefault="002C3030" w:rsidP="00051A70">
      <w:pPr>
        <w:tabs>
          <w:tab w:val="left" w:pos="288"/>
          <w:tab w:val="left" w:pos="4752"/>
        </w:tabs>
        <w:jc w:val="both"/>
        <w:rPr>
          <w:color w:val="auto"/>
          <w:szCs w:val="24"/>
        </w:rPr>
      </w:pPr>
    </w:p>
    <w:p w:rsidR="00912004" w:rsidRDefault="00E97C77" w:rsidP="00051A70">
      <w:pPr>
        <w:tabs>
          <w:tab w:val="left" w:pos="288"/>
          <w:tab w:val="left" w:pos="4752"/>
        </w:tabs>
        <w:jc w:val="both"/>
        <w:rPr>
          <w:color w:val="auto"/>
          <w:szCs w:val="24"/>
        </w:rPr>
      </w:pPr>
      <w:r w:rsidRPr="00912004">
        <w:rPr>
          <w:color w:val="auto"/>
          <w:szCs w:val="24"/>
        </w:rPr>
        <w:t xml:space="preserve">The most proximate source of comprehensive evidence on which to base the permanent rating </w:t>
      </w:r>
      <w:r w:rsidRPr="003D3A6E">
        <w:rPr>
          <w:color w:val="auto"/>
          <w:szCs w:val="24"/>
        </w:rPr>
        <w:t>recommendation in this case is the C&amp;P exam</w:t>
      </w:r>
      <w:r w:rsidR="00665502">
        <w:rPr>
          <w:color w:val="auto"/>
          <w:szCs w:val="24"/>
        </w:rPr>
        <w:t xml:space="preserve"> </w:t>
      </w:r>
      <w:r w:rsidRPr="003D3A6E">
        <w:rPr>
          <w:color w:val="auto"/>
          <w:szCs w:val="24"/>
        </w:rPr>
        <w:t xml:space="preserve">performed </w:t>
      </w:r>
      <w:r w:rsidR="008E5254">
        <w:rPr>
          <w:color w:val="auto"/>
          <w:szCs w:val="24"/>
        </w:rPr>
        <w:t>3</w:t>
      </w:r>
      <w:r w:rsidRPr="003D3A6E">
        <w:rPr>
          <w:color w:val="auto"/>
          <w:szCs w:val="24"/>
        </w:rPr>
        <w:t xml:space="preserve"> months after separation. </w:t>
      </w:r>
      <w:r w:rsidR="00C337D0">
        <w:rPr>
          <w:color w:val="auto"/>
          <w:szCs w:val="24"/>
        </w:rPr>
        <w:t xml:space="preserve"> </w:t>
      </w:r>
      <w:r w:rsidR="00912004" w:rsidRPr="003D3A6E">
        <w:rPr>
          <w:color w:val="auto"/>
          <w:szCs w:val="24"/>
        </w:rPr>
        <w:t>While</w:t>
      </w:r>
      <w:r w:rsidRPr="003D3A6E">
        <w:rPr>
          <w:color w:val="auto"/>
          <w:szCs w:val="24"/>
        </w:rPr>
        <w:t xml:space="preserve"> the psychiatric C&amp;P examination was proximate to separation and premature for the </w:t>
      </w:r>
      <w:r w:rsidR="008E5254">
        <w:rPr>
          <w:color w:val="auto"/>
          <w:szCs w:val="24"/>
        </w:rPr>
        <w:t>6</w:t>
      </w:r>
      <w:r w:rsidRPr="003D3A6E">
        <w:rPr>
          <w:color w:val="auto"/>
          <w:szCs w:val="24"/>
        </w:rPr>
        <w:t>-month rating benchmark,</w:t>
      </w:r>
      <w:r w:rsidR="00912004" w:rsidRPr="003D3A6E">
        <w:rPr>
          <w:color w:val="auto"/>
          <w:szCs w:val="24"/>
        </w:rPr>
        <w:t xml:space="preserve"> it reflects </w:t>
      </w:r>
      <w:r w:rsidR="00671F6F" w:rsidRPr="003D3A6E">
        <w:rPr>
          <w:color w:val="auto"/>
          <w:szCs w:val="24"/>
        </w:rPr>
        <w:t xml:space="preserve">some of the </w:t>
      </w:r>
      <w:r w:rsidR="00912004" w:rsidRPr="003D3A6E">
        <w:rPr>
          <w:color w:val="auto"/>
          <w:szCs w:val="24"/>
        </w:rPr>
        <w:t>stress of transition to civilian life which is intrinsic to the Board’s permanent rating recommendation.</w:t>
      </w:r>
      <w:r w:rsidR="00912004" w:rsidRPr="003D3A6E">
        <w:rPr>
          <w:i/>
          <w:color w:val="auto"/>
          <w:szCs w:val="24"/>
        </w:rPr>
        <w:t xml:space="preserve"> </w:t>
      </w:r>
      <w:r w:rsidRPr="003D3A6E">
        <w:rPr>
          <w:color w:val="auto"/>
          <w:szCs w:val="24"/>
        </w:rPr>
        <w:t xml:space="preserve"> </w:t>
      </w:r>
      <w:r w:rsidR="00E02FBE" w:rsidRPr="003D3A6E">
        <w:rPr>
          <w:color w:val="auto"/>
          <w:szCs w:val="24"/>
        </w:rPr>
        <w:t>The Board therefore considered both the service and VA examinations in reaching its final rating recommendation.</w:t>
      </w:r>
    </w:p>
    <w:p w:rsidR="00912004" w:rsidRDefault="00912004" w:rsidP="00051A70">
      <w:pPr>
        <w:tabs>
          <w:tab w:val="left" w:pos="288"/>
          <w:tab w:val="left" w:pos="4752"/>
        </w:tabs>
        <w:jc w:val="both"/>
        <w:rPr>
          <w:color w:val="auto"/>
          <w:szCs w:val="24"/>
        </w:rPr>
      </w:pPr>
    </w:p>
    <w:p w:rsidR="005E5E51" w:rsidRPr="00910E36" w:rsidRDefault="002C3030" w:rsidP="00051A70">
      <w:pPr>
        <w:tabs>
          <w:tab w:val="left" w:pos="288"/>
          <w:tab w:val="left" w:pos="4752"/>
        </w:tabs>
        <w:jc w:val="both"/>
        <w:rPr>
          <w:szCs w:val="24"/>
        </w:rPr>
      </w:pPr>
      <w:r>
        <w:rPr>
          <w:color w:val="auto"/>
          <w:szCs w:val="24"/>
        </w:rPr>
        <w:lastRenderedPageBreak/>
        <w:t>A</w:t>
      </w:r>
      <w:r w:rsidR="005E5E51" w:rsidRPr="003D3A6E">
        <w:rPr>
          <w:color w:val="auto"/>
          <w:szCs w:val="24"/>
        </w:rPr>
        <w:t xml:space="preserve">ll members agreed that the §4.130 threshold for a </w:t>
      </w:r>
      <w:r w:rsidR="000F002B" w:rsidRPr="003D3A6E">
        <w:rPr>
          <w:color w:val="auto"/>
          <w:szCs w:val="24"/>
        </w:rPr>
        <w:t>5</w:t>
      </w:r>
      <w:r w:rsidR="005E5E51" w:rsidRPr="003D3A6E">
        <w:rPr>
          <w:color w:val="auto"/>
          <w:szCs w:val="24"/>
        </w:rPr>
        <w:t>0% rating was not approached.</w:t>
      </w:r>
      <w:r w:rsidR="000F002B" w:rsidRPr="003D3A6E">
        <w:rPr>
          <w:szCs w:val="24"/>
        </w:rPr>
        <w:t xml:space="preserve">  </w:t>
      </w:r>
      <w:r w:rsidR="005E5E51" w:rsidRPr="003D3A6E">
        <w:rPr>
          <w:color w:val="auto"/>
          <w:szCs w:val="24"/>
        </w:rPr>
        <w:t xml:space="preserve">The deliberation settled on </w:t>
      </w:r>
      <w:r w:rsidR="00356A84">
        <w:rPr>
          <w:color w:val="auto"/>
          <w:szCs w:val="24"/>
        </w:rPr>
        <w:t>evidence supporting</w:t>
      </w:r>
      <w:r w:rsidR="005E5E51" w:rsidRPr="003D3A6E">
        <w:rPr>
          <w:color w:val="auto"/>
          <w:szCs w:val="24"/>
        </w:rPr>
        <w:t xml:space="preserve"> a </w:t>
      </w:r>
      <w:r w:rsidR="000F002B" w:rsidRPr="003D3A6E">
        <w:rPr>
          <w:color w:val="auto"/>
          <w:szCs w:val="24"/>
        </w:rPr>
        <w:t>3</w:t>
      </w:r>
      <w:r w:rsidR="005E5E51" w:rsidRPr="003D3A6E">
        <w:rPr>
          <w:color w:val="auto"/>
          <w:szCs w:val="24"/>
        </w:rPr>
        <w:t xml:space="preserve">0% versus a </w:t>
      </w:r>
      <w:r w:rsidR="000F002B" w:rsidRPr="003D3A6E">
        <w:rPr>
          <w:color w:val="auto"/>
          <w:szCs w:val="24"/>
        </w:rPr>
        <w:t>1</w:t>
      </w:r>
      <w:r w:rsidR="005E5E51" w:rsidRPr="003D3A6E">
        <w:rPr>
          <w:color w:val="auto"/>
          <w:szCs w:val="24"/>
        </w:rPr>
        <w:t>0% permanent rating recommendation.</w:t>
      </w:r>
      <w:r w:rsidR="000F002B" w:rsidRPr="003D3A6E">
        <w:rPr>
          <w:szCs w:val="24"/>
        </w:rPr>
        <w:t xml:space="preserve">  </w:t>
      </w:r>
      <w:r w:rsidR="005E5E51" w:rsidRPr="003D3A6E">
        <w:rPr>
          <w:color w:val="auto"/>
          <w:szCs w:val="24"/>
        </w:rPr>
        <w:t xml:space="preserve">The VA rater’s rationale for a </w:t>
      </w:r>
      <w:r w:rsidR="00F8205A" w:rsidRPr="003D3A6E">
        <w:rPr>
          <w:color w:val="auto"/>
          <w:szCs w:val="24"/>
        </w:rPr>
        <w:t>1</w:t>
      </w:r>
      <w:r w:rsidR="005E5E51" w:rsidRPr="003D3A6E">
        <w:rPr>
          <w:color w:val="auto"/>
          <w:szCs w:val="24"/>
        </w:rPr>
        <w:t xml:space="preserve">0% rating </w:t>
      </w:r>
      <w:r w:rsidR="00F8205A" w:rsidRPr="003D3A6E">
        <w:rPr>
          <w:color w:val="auto"/>
          <w:szCs w:val="24"/>
        </w:rPr>
        <w:t xml:space="preserve">stated the CI was “functioning well enough that you have not have not had to seek any further treatment.” </w:t>
      </w:r>
      <w:r w:rsidR="00C337D0">
        <w:rPr>
          <w:color w:val="auto"/>
          <w:szCs w:val="24"/>
        </w:rPr>
        <w:t xml:space="preserve"> </w:t>
      </w:r>
      <w:r w:rsidR="00356A84">
        <w:rPr>
          <w:color w:val="auto"/>
          <w:szCs w:val="24"/>
        </w:rPr>
        <w:t>As previously noted, t</w:t>
      </w:r>
      <w:r w:rsidR="00F8205A" w:rsidRPr="003D3A6E">
        <w:rPr>
          <w:color w:val="auto"/>
          <w:szCs w:val="24"/>
        </w:rPr>
        <w:t>he CI was in active treatment with medi</w:t>
      </w:r>
      <w:r w:rsidR="00DC4523">
        <w:rPr>
          <w:color w:val="auto"/>
          <w:szCs w:val="24"/>
        </w:rPr>
        <w:t>c</w:t>
      </w:r>
      <w:r w:rsidR="00F8205A" w:rsidRPr="003D3A6E">
        <w:rPr>
          <w:color w:val="auto"/>
          <w:szCs w:val="24"/>
        </w:rPr>
        <w:t>ation and individual and group therapy during his time on active duty</w:t>
      </w:r>
      <w:r w:rsidR="00905E60" w:rsidRPr="003D3A6E">
        <w:rPr>
          <w:color w:val="auto"/>
          <w:szCs w:val="24"/>
        </w:rPr>
        <w:t>.  Despite this</w:t>
      </w:r>
      <w:r w:rsidR="00356A84">
        <w:rPr>
          <w:color w:val="auto"/>
          <w:szCs w:val="24"/>
        </w:rPr>
        <w:t>,</w:t>
      </w:r>
      <w:r w:rsidR="00905E60" w:rsidRPr="003D3A6E">
        <w:rPr>
          <w:color w:val="auto"/>
          <w:szCs w:val="24"/>
        </w:rPr>
        <w:t xml:space="preserve"> </w:t>
      </w:r>
      <w:r w:rsidR="00370ED5" w:rsidRPr="003D3A6E">
        <w:rPr>
          <w:color w:val="auto"/>
          <w:szCs w:val="24"/>
        </w:rPr>
        <w:t xml:space="preserve">his GAF was 50 </w:t>
      </w:r>
      <w:r w:rsidR="00905E60" w:rsidRPr="003D3A6E">
        <w:rPr>
          <w:color w:val="auto"/>
          <w:szCs w:val="24"/>
        </w:rPr>
        <w:t xml:space="preserve">at the time of the </w:t>
      </w:r>
      <w:r w:rsidR="00356A84">
        <w:rPr>
          <w:color w:val="auto"/>
          <w:szCs w:val="24"/>
        </w:rPr>
        <w:t>P</w:t>
      </w:r>
      <w:r w:rsidR="00905E60" w:rsidRPr="003D3A6E">
        <w:rPr>
          <w:color w:val="auto"/>
          <w:szCs w:val="24"/>
        </w:rPr>
        <w:t>sychiatric</w:t>
      </w:r>
      <w:r w:rsidR="00370ED5" w:rsidRPr="003D3A6E">
        <w:rPr>
          <w:color w:val="auto"/>
          <w:szCs w:val="24"/>
        </w:rPr>
        <w:t xml:space="preserve"> NARSUM Addendum</w:t>
      </w:r>
      <w:r w:rsidR="00905E60" w:rsidRPr="003D3A6E">
        <w:rPr>
          <w:color w:val="auto"/>
          <w:szCs w:val="24"/>
        </w:rPr>
        <w:t xml:space="preserve">. </w:t>
      </w:r>
      <w:r w:rsidR="00356A84">
        <w:rPr>
          <w:color w:val="auto"/>
          <w:szCs w:val="24"/>
        </w:rPr>
        <w:t>The CI</w:t>
      </w:r>
      <w:r w:rsidR="00905E60" w:rsidRPr="003D3A6E">
        <w:rPr>
          <w:color w:val="auto"/>
          <w:szCs w:val="24"/>
        </w:rPr>
        <w:t xml:space="preserve"> sought to enroll in the VA mental health clinic in February 2005 but was not </w:t>
      </w:r>
      <w:r w:rsidR="00356A84">
        <w:rPr>
          <w:color w:val="auto"/>
          <w:szCs w:val="24"/>
        </w:rPr>
        <w:t xml:space="preserve">yet </w:t>
      </w:r>
      <w:r w:rsidR="00905E60" w:rsidRPr="003D3A6E">
        <w:rPr>
          <w:color w:val="auto"/>
          <w:szCs w:val="24"/>
        </w:rPr>
        <w:t xml:space="preserve">eligible. </w:t>
      </w:r>
      <w:r w:rsidR="00C337D0">
        <w:rPr>
          <w:color w:val="auto"/>
          <w:szCs w:val="24"/>
        </w:rPr>
        <w:t xml:space="preserve"> </w:t>
      </w:r>
      <w:r w:rsidR="00905E60" w:rsidRPr="003D3A6E">
        <w:rPr>
          <w:color w:val="auto"/>
          <w:szCs w:val="24"/>
        </w:rPr>
        <w:t>He</w:t>
      </w:r>
      <w:r w:rsidR="00370ED5" w:rsidRPr="003D3A6E">
        <w:rPr>
          <w:color w:val="auto"/>
          <w:szCs w:val="24"/>
        </w:rPr>
        <w:t xml:space="preserve"> filed his claim for </w:t>
      </w:r>
      <w:r w:rsidR="00883A2C">
        <w:rPr>
          <w:color w:val="auto"/>
          <w:szCs w:val="24"/>
        </w:rPr>
        <w:t>C&amp;P</w:t>
      </w:r>
      <w:r w:rsidR="00905E60" w:rsidRPr="003D3A6E">
        <w:rPr>
          <w:color w:val="auto"/>
          <w:szCs w:val="24"/>
        </w:rPr>
        <w:t xml:space="preserve"> for PTSD in August 2005, a few days before he actually separated</w:t>
      </w:r>
      <w:r w:rsidR="00356A84">
        <w:rPr>
          <w:color w:val="auto"/>
          <w:szCs w:val="24"/>
        </w:rPr>
        <w:t xml:space="preserve"> from active duty</w:t>
      </w:r>
      <w:r w:rsidR="00905E60" w:rsidRPr="003D3A6E">
        <w:rPr>
          <w:color w:val="auto"/>
          <w:szCs w:val="24"/>
        </w:rPr>
        <w:t xml:space="preserve">. </w:t>
      </w:r>
      <w:r w:rsidR="00C337D0">
        <w:rPr>
          <w:color w:val="auto"/>
          <w:szCs w:val="24"/>
        </w:rPr>
        <w:t xml:space="preserve"> </w:t>
      </w:r>
      <w:r w:rsidR="00905E60" w:rsidRPr="003D3A6E">
        <w:rPr>
          <w:color w:val="auto"/>
          <w:szCs w:val="24"/>
        </w:rPr>
        <w:t xml:space="preserve">His VA C&amp;P exam was </w:t>
      </w:r>
      <w:r w:rsidR="00883A2C">
        <w:rPr>
          <w:color w:val="auto"/>
          <w:szCs w:val="24"/>
        </w:rPr>
        <w:t>performed</w:t>
      </w:r>
      <w:r w:rsidR="00905E60" w:rsidRPr="003D3A6E">
        <w:rPr>
          <w:color w:val="auto"/>
          <w:szCs w:val="24"/>
        </w:rPr>
        <w:t xml:space="preserve"> </w:t>
      </w:r>
      <w:r w:rsidR="00DC4523">
        <w:rPr>
          <w:color w:val="auto"/>
          <w:szCs w:val="24"/>
        </w:rPr>
        <w:t xml:space="preserve">in </w:t>
      </w:r>
      <w:r w:rsidR="00905E60" w:rsidRPr="003D3A6E">
        <w:rPr>
          <w:color w:val="auto"/>
          <w:szCs w:val="24"/>
        </w:rPr>
        <w:t xml:space="preserve">November 2005. </w:t>
      </w:r>
      <w:r w:rsidR="00883A2C">
        <w:rPr>
          <w:color w:val="auto"/>
          <w:szCs w:val="24"/>
        </w:rPr>
        <w:t xml:space="preserve"> </w:t>
      </w:r>
      <w:r w:rsidR="00905E60" w:rsidRPr="003D3A6E">
        <w:rPr>
          <w:color w:val="auto"/>
          <w:szCs w:val="24"/>
        </w:rPr>
        <w:t xml:space="preserve">The CI had moved from Alaska to Alabama during the intervening months. </w:t>
      </w:r>
      <w:r w:rsidR="00C337D0">
        <w:rPr>
          <w:color w:val="auto"/>
          <w:szCs w:val="24"/>
        </w:rPr>
        <w:t xml:space="preserve"> </w:t>
      </w:r>
      <w:r w:rsidR="00905E60" w:rsidRPr="003D3A6E">
        <w:rPr>
          <w:color w:val="auto"/>
          <w:szCs w:val="24"/>
        </w:rPr>
        <w:t>At the time of the C&amp;P exam he continued to rep</w:t>
      </w:r>
      <w:r w:rsidR="00671F6F" w:rsidRPr="003D3A6E">
        <w:rPr>
          <w:color w:val="auto"/>
          <w:szCs w:val="24"/>
        </w:rPr>
        <w:t>or</w:t>
      </w:r>
      <w:r w:rsidR="00905E60" w:rsidRPr="003D3A6E">
        <w:rPr>
          <w:color w:val="auto"/>
          <w:szCs w:val="24"/>
        </w:rPr>
        <w:t xml:space="preserve">t symptoms </w:t>
      </w:r>
      <w:r w:rsidR="00370ED5" w:rsidRPr="003D3A6E">
        <w:rPr>
          <w:color w:val="auto"/>
          <w:szCs w:val="24"/>
        </w:rPr>
        <w:t xml:space="preserve">that were </w:t>
      </w:r>
      <w:r w:rsidR="00905E60" w:rsidRPr="003D3A6E">
        <w:rPr>
          <w:color w:val="auto"/>
          <w:szCs w:val="24"/>
        </w:rPr>
        <w:t xml:space="preserve">greater than what could be considered mild or transient. </w:t>
      </w:r>
      <w:r w:rsidR="00C337D0">
        <w:rPr>
          <w:color w:val="auto"/>
          <w:szCs w:val="24"/>
        </w:rPr>
        <w:t xml:space="preserve"> </w:t>
      </w:r>
      <w:r w:rsidR="00905E60" w:rsidRPr="003D3A6E">
        <w:rPr>
          <w:color w:val="auto"/>
          <w:szCs w:val="24"/>
        </w:rPr>
        <w:t xml:space="preserve">The examiner noted </w:t>
      </w:r>
      <w:r w:rsidR="00356A84">
        <w:rPr>
          <w:color w:val="auto"/>
          <w:szCs w:val="24"/>
        </w:rPr>
        <w:t>“</w:t>
      </w:r>
      <w:r w:rsidR="00905E60" w:rsidRPr="003D3A6E">
        <w:rPr>
          <w:color w:val="auto"/>
          <w:szCs w:val="24"/>
        </w:rPr>
        <w:t xml:space="preserve">noncompliance with follow-up treatment due to distrust of the medical establishment which has likely contributed to some of his symptoms of pain and migraines as well as his symptoms of posttraumatic stress disorder.” </w:t>
      </w:r>
      <w:r w:rsidR="00C337D0">
        <w:rPr>
          <w:color w:val="auto"/>
          <w:szCs w:val="24"/>
        </w:rPr>
        <w:t xml:space="preserve"> </w:t>
      </w:r>
      <w:r w:rsidR="000039F9" w:rsidRPr="003D3A6E">
        <w:rPr>
          <w:color w:val="auto"/>
          <w:szCs w:val="24"/>
        </w:rPr>
        <w:t xml:space="preserve">This implies that the </w:t>
      </w:r>
      <w:r w:rsidR="00671F6F" w:rsidRPr="003D3A6E">
        <w:rPr>
          <w:color w:val="auto"/>
          <w:szCs w:val="24"/>
        </w:rPr>
        <w:t xml:space="preserve">lack of </w:t>
      </w:r>
      <w:r w:rsidR="000039F9" w:rsidRPr="003D3A6E">
        <w:rPr>
          <w:color w:val="auto"/>
          <w:szCs w:val="24"/>
        </w:rPr>
        <w:t xml:space="preserve">seeking care may have been part of the CI’s mental illness </w:t>
      </w:r>
      <w:r w:rsidR="00370ED5" w:rsidRPr="003D3A6E">
        <w:rPr>
          <w:color w:val="auto"/>
          <w:szCs w:val="24"/>
        </w:rPr>
        <w:t xml:space="preserve">and/or lack of faith that treatment would help but this is </w:t>
      </w:r>
      <w:r w:rsidR="000039F9" w:rsidRPr="003D3A6E">
        <w:rPr>
          <w:color w:val="auto"/>
          <w:szCs w:val="24"/>
        </w:rPr>
        <w:t xml:space="preserve">not a sign that he did not need </w:t>
      </w:r>
      <w:r w:rsidR="00671F6F" w:rsidRPr="003D3A6E">
        <w:rPr>
          <w:color w:val="auto"/>
          <w:szCs w:val="24"/>
        </w:rPr>
        <w:t>treatment</w:t>
      </w:r>
      <w:r w:rsidR="000039F9" w:rsidRPr="003D3A6E">
        <w:rPr>
          <w:color w:val="auto"/>
          <w:szCs w:val="24"/>
        </w:rPr>
        <w:t xml:space="preserve">. </w:t>
      </w:r>
      <w:r w:rsidR="00C337D0">
        <w:rPr>
          <w:color w:val="auto"/>
          <w:szCs w:val="24"/>
        </w:rPr>
        <w:t xml:space="preserve"> </w:t>
      </w:r>
      <w:r w:rsidR="00356A84">
        <w:rPr>
          <w:color w:val="auto"/>
          <w:szCs w:val="24"/>
        </w:rPr>
        <w:t>T</w:t>
      </w:r>
      <w:r w:rsidR="00883A2C">
        <w:rPr>
          <w:color w:val="auto"/>
          <w:szCs w:val="24"/>
        </w:rPr>
        <w:t>he general C&amp;P exam</w:t>
      </w:r>
      <w:r w:rsidR="00356A84" w:rsidRPr="003D3A6E">
        <w:rPr>
          <w:color w:val="auto"/>
          <w:szCs w:val="24"/>
        </w:rPr>
        <w:t xml:space="preserve"> </w:t>
      </w:r>
      <w:r w:rsidR="00356A84">
        <w:rPr>
          <w:color w:val="auto"/>
          <w:szCs w:val="24"/>
        </w:rPr>
        <w:t xml:space="preserve">also </w:t>
      </w:r>
      <w:r w:rsidR="00356A84" w:rsidRPr="003D3A6E">
        <w:rPr>
          <w:color w:val="auto"/>
          <w:szCs w:val="24"/>
        </w:rPr>
        <w:t>reported the CI was not taking prescription medication for any of his service</w:t>
      </w:r>
      <w:r w:rsidR="00883A2C">
        <w:rPr>
          <w:color w:val="auto"/>
          <w:szCs w:val="24"/>
        </w:rPr>
        <w:t>-</w:t>
      </w:r>
      <w:r w:rsidR="00356A84" w:rsidRPr="003D3A6E">
        <w:rPr>
          <w:color w:val="auto"/>
          <w:szCs w:val="24"/>
        </w:rPr>
        <w:t xml:space="preserve">connected physical conditions </w:t>
      </w:r>
      <w:r w:rsidR="00356A84">
        <w:rPr>
          <w:color w:val="auto"/>
          <w:szCs w:val="24"/>
        </w:rPr>
        <w:t>and i</w:t>
      </w:r>
      <w:r w:rsidR="00356A84" w:rsidRPr="003D3A6E">
        <w:rPr>
          <w:color w:val="auto"/>
          <w:szCs w:val="24"/>
        </w:rPr>
        <w:t>t appear</w:t>
      </w:r>
      <w:r w:rsidR="00356A84">
        <w:rPr>
          <w:color w:val="auto"/>
          <w:szCs w:val="24"/>
        </w:rPr>
        <w:t>s</w:t>
      </w:r>
      <w:r w:rsidR="00356A84" w:rsidRPr="003D3A6E">
        <w:rPr>
          <w:color w:val="auto"/>
          <w:szCs w:val="24"/>
        </w:rPr>
        <w:t xml:space="preserve"> that the CI was not </w:t>
      </w:r>
      <w:r w:rsidR="00356A84">
        <w:rPr>
          <w:color w:val="auto"/>
          <w:szCs w:val="24"/>
        </w:rPr>
        <w:t>receiving</w:t>
      </w:r>
      <w:r w:rsidR="00356A84" w:rsidRPr="003D3A6E">
        <w:rPr>
          <w:color w:val="auto"/>
          <w:szCs w:val="24"/>
        </w:rPr>
        <w:t xml:space="preserve"> care anywhere</w:t>
      </w:r>
      <w:r w:rsidR="00356A84">
        <w:rPr>
          <w:color w:val="auto"/>
          <w:szCs w:val="24"/>
        </w:rPr>
        <w:t xml:space="preserve"> for any condition.  </w:t>
      </w:r>
      <w:r w:rsidR="000039F9" w:rsidRPr="003D3A6E">
        <w:rPr>
          <w:color w:val="auto"/>
          <w:szCs w:val="24"/>
        </w:rPr>
        <w:t>This</w:t>
      </w:r>
      <w:r w:rsidR="00912004" w:rsidRPr="003D3A6E">
        <w:rPr>
          <w:color w:val="auto"/>
          <w:szCs w:val="24"/>
        </w:rPr>
        <w:t xml:space="preserve"> is </w:t>
      </w:r>
      <w:r w:rsidR="000039F9" w:rsidRPr="003D3A6E">
        <w:rPr>
          <w:color w:val="auto"/>
          <w:szCs w:val="24"/>
        </w:rPr>
        <w:t xml:space="preserve">consistent with the rest of the </w:t>
      </w:r>
      <w:r w:rsidR="00356A84">
        <w:rPr>
          <w:color w:val="auto"/>
          <w:szCs w:val="24"/>
        </w:rPr>
        <w:t xml:space="preserve">mental health </w:t>
      </w:r>
      <w:r w:rsidR="000039F9" w:rsidRPr="003D3A6E">
        <w:rPr>
          <w:color w:val="auto"/>
          <w:szCs w:val="24"/>
        </w:rPr>
        <w:t xml:space="preserve">examination and the assignment of a GAF of 60. </w:t>
      </w:r>
      <w:r w:rsidR="00C337D0">
        <w:rPr>
          <w:color w:val="auto"/>
          <w:szCs w:val="24"/>
        </w:rPr>
        <w:t xml:space="preserve"> </w:t>
      </w:r>
      <w:r w:rsidR="00B6423C">
        <w:rPr>
          <w:color w:val="auto"/>
          <w:szCs w:val="24"/>
        </w:rPr>
        <w:t>Although</w:t>
      </w:r>
      <w:r w:rsidR="000039F9" w:rsidRPr="003D3A6E">
        <w:rPr>
          <w:color w:val="auto"/>
          <w:szCs w:val="24"/>
        </w:rPr>
        <w:t xml:space="preserve"> the CI did not seek treatment </w:t>
      </w:r>
      <w:r w:rsidR="00356A84">
        <w:rPr>
          <w:color w:val="auto"/>
          <w:szCs w:val="24"/>
        </w:rPr>
        <w:t>before</w:t>
      </w:r>
      <w:r w:rsidR="000039F9" w:rsidRPr="003D3A6E">
        <w:rPr>
          <w:color w:val="auto"/>
          <w:szCs w:val="24"/>
        </w:rPr>
        <w:t xml:space="preserve"> the C&amp;P examination, there is no evidence that </w:t>
      </w:r>
      <w:r w:rsidR="00370ED5" w:rsidRPr="003D3A6E">
        <w:rPr>
          <w:color w:val="auto"/>
          <w:szCs w:val="24"/>
        </w:rPr>
        <w:t>t</w:t>
      </w:r>
      <w:r w:rsidR="000039F9" w:rsidRPr="003D3A6E">
        <w:rPr>
          <w:color w:val="auto"/>
          <w:szCs w:val="24"/>
        </w:rPr>
        <w:t xml:space="preserve">he </w:t>
      </w:r>
      <w:r w:rsidR="00370ED5" w:rsidRPr="003D3A6E">
        <w:rPr>
          <w:color w:val="auto"/>
          <w:szCs w:val="24"/>
        </w:rPr>
        <w:t xml:space="preserve">CI </w:t>
      </w:r>
      <w:r w:rsidR="000039F9" w:rsidRPr="003D3A6E">
        <w:rPr>
          <w:color w:val="auto"/>
          <w:szCs w:val="24"/>
        </w:rPr>
        <w:t xml:space="preserve">either thought he didn’t need treatment or that he actually did not need treatment. </w:t>
      </w:r>
      <w:r w:rsidR="00C337D0">
        <w:rPr>
          <w:color w:val="auto"/>
          <w:szCs w:val="24"/>
        </w:rPr>
        <w:t xml:space="preserve"> </w:t>
      </w:r>
      <w:r w:rsidR="00912004" w:rsidRPr="003D3A6E">
        <w:rPr>
          <w:color w:val="auto"/>
          <w:szCs w:val="24"/>
        </w:rPr>
        <w:t xml:space="preserve">He continued to </w:t>
      </w:r>
      <w:r w:rsidR="00356A84">
        <w:rPr>
          <w:color w:val="auto"/>
          <w:szCs w:val="24"/>
        </w:rPr>
        <w:t>report</w:t>
      </w:r>
      <w:r w:rsidR="00912004" w:rsidRPr="003D3A6E">
        <w:rPr>
          <w:color w:val="auto"/>
          <w:szCs w:val="24"/>
        </w:rPr>
        <w:t xml:space="preserve"> symptoms that he </w:t>
      </w:r>
      <w:r w:rsidR="009E0115">
        <w:rPr>
          <w:color w:val="auto"/>
          <w:szCs w:val="24"/>
        </w:rPr>
        <w:t>relieved</w:t>
      </w:r>
      <w:r w:rsidR="00912004" w:rsidRPr="003D3A6E">
        <w:rPr>
          <w:color w:val="auto"/>
          <w:szCs w:val="24"/>
        </w:rPr>
        <w:t xml:space="preserve"> by isolating him</w:t>
      </w:r>
      <w:r w:rsidR="009E0115">
        <w:rPr>
          <w:color w:val="auto"/>
          <w:szCs w:val="24"/>
        </w:rPr>
        <w:t xml:space="preserve">self until his symptoms abated.  </w:t>
      </w:r>
      <w:r w:rsidR="000039F9" w:rsidRPr="003D3A6E">
        <w:rPr>
          <w:color w:val="auto"/>
          <w:szCs w:val="24"/>
        </w:rPr>
        <w:t xml:space="preserve">The symptoms described and GAF of 60 support a rating greater than 10%. </w:t>
      </w:r>
      <w:r w:rsidR="00C337D0">
        <w:rPr>
          <w:color w:val="auto"/>
          <w:szCs w:val="24"/>
        </w:rPr>
        <w:t xml:space="preserve"> </w:t>
      </w:r>
      <w:r w:rsidR="009E0115">
        <w:rPr>
          <w:color w:val="auto"/>
          <w:szCs w:val="24"/>
        </w:rPr>
        <w:t>On the other hand, t</w:t>
      </w:r>
      <w:r w:rsidR="000039F9" w:rsidRPr="003D3A6E">
        <w:rPr>
          <w:color w:val="auto"/>
          <w:szCs w:val="24"/>
        </w:rPr>
        <w:t xml:space="preserve">he CI </w:t>
      </w:r>
      <w:r w:rsidR="009E0115">
        <w:rPr>
          <w:color w:val="auto"/>
          <w:szCs w:val="24"/>
        </w:rPr>
        <w:t>had been</w:t>
      </w:r>
      <w:r w:rsidR="000039F9" w:rsidRPr="003D3A6E">
        <w:rPr>
          <w:color w:val="auto"/>
          <w:szCs w:val="24"/>
        </w:rPr>
        <w:t xml:space="preserve"> working </w:t>
      </w:r>
      <w:r w:rsidR="009E0115">
        <w:rPr>
          <w:color w:val="auto"/>
          <w:szCs w:val="24"/>
        </w:rPr>
        <w:t xml:space="preserve">successfully </w:t>
      </w:r>
      <w:r w:rsidR="000039F9" w:rsidRPr="003D3A6E">
        <w:rPr>
          <w:color w:val="auto"/>
          <w:szCs w:val="24"/>
        </w:rPr>
        <w:t xml:space="preserve">as a truck driver </w:t>
      </w:r>
      <w:r w:rsidR="009E0115">
        <w:rPr>
          <w:color w:val="auto"/>
          <w:szCs w:val="24"/>
        </w:rPr>
        <w:t>for two months; t</w:t>
      </w:r>
      <w:r w:rsidR="00910E36" w:rsidRPr="003D3A6E">
        <w:rPr>
          <w:color w:val="auto"/>
          <w:szCs w:val="24"/>
        </w:rPr>
        <w:t xml:space="preserve">he </w:t>
      </w:r>
      <w:r w:rsidR="009E0115" w:rsidRPr="003D3A6E">
        <w:rPr>
          <w:color w:val="auto"/>
          <w:szCs w:val="24"/>
        </w:rPr>
        <w:t xml:space="preserve">available </w:t>
      </w:r>
      <w:r w:rsidR="00910E36" w:rsidRPr="003D3A6E">
        <w:rPr>
          <w:color w:val="auto"/>
          <w:szCs w:val="24"/>
        </w:rPr>
        <w:t xml:space="preserve">evidence does not demonstrate any significant occupational impairment and it </w:t>
      </w:r>
      <w:r w:rsidR="009E0115">
        <w:rPr>
          <w:color w:val="auto"/>
          <w:szCs w:val="24"/>
        </w:rPr>
        <w:t xml:space="preserve">is </w:t>
      </w:r>
      <w:r w:rsidR="00910E36" w:rsidRPr="003D3A6E">
        <w:rPr>
          <w:color w:val="auto"/>
          <w:szCs w:val="24"/>
        </w:rPr>
        <w:t xml:space="preserve">silent regarding social impairment. </w:t>
      </w:r>
      <w:r w:rsidR="00C337D0">
        <w:rPr>
          <w:color w:val="auto"/>
          <w:szCs w:val="24"/>
        </w:rPr>
        <w:t xml:space="preserve"> </w:t>
      </w:r>
      <w:r w:rsidR="00910E36" w:rsidRPr="003D3A6E">
        <w:rPr>
          <w:color w:val="auto"/>
          <w:szCs w:val="24"/>
        </w:rPr>
        <w:t xml:space="preserve">Therefore, it is not clear that a 30% rating is warranted. </w:t>
      </w:r>
      <w:r w:rsidR="00C337D0">
        <w:rPr>
          <w:color w:val="auto"/>
          <w:szCs w:val="24"/>
        </w:rPr>
        <w:t xml:space="preserve"> </w:t>
      </w:r>
      <w:r w:rsidR="00910E36" w:rsidRPr="003D3A6E">
        <w:rPr>
          <w:color w:val="auto"/>
          <w:szCs w:val="24"/>
        </w:rPr>
        <w:t xml:space="preserve">The VASRD §4.7 </w:t>
      </w:r>
      <w:r w:rsidR="00883A2C">
        <w:rPr>
          <w:color w:val="auto"/>
          <w:szCs w:val="24"/>
        </w:rPr>
        <w:t>h</w:t>
      </w:r>
      <w:r w:rsidR="00910E36" w:rsidRPr="003D3A6E">
        <w:rPr>
          <w:color w:val="auto"/>
          <w:szCs w:val="24"/>
        </w:rPr>
        <w:t xml:space="preserve">igher of </w:t>
      </w:r>
      <w:r w:rsidR="00883A2C">
        <w:rPr>
          <w:color w:val="auto"/>
          <w:szCs w:val="24"/>
        </w:rPr>
        <w:t xml:space="preserve">the </w:t>
      </w:r>
      <w:r w:rsidR="00910E36" w:rsidRPr="003D3A6E">
        <w:rPr>
          <w:color w:val="auto"/>
          <w:szCs w:val="24"/>
        </w:rPr>
        <w:t>two evaluations states that where there is a question as to which of two evaluations shall be applied, the higher evaluation will be assigned if the disability picture more nearly approximates the cri</w:t>
      </w:r>
      <w:r w:rsidR="009E0115">
        <w:rPr>
          <w:color w:val="auto"/>
          <w:szCs w:val="24"/>
        </w:rPr>
        <w:t xml:space="preserve">teria required for that rating.  </w:t>
      </w:r>
      <w:r w:rsidR="00910E36" w:rsidRPr="003D3A6E">
        <w:rPr>
          <w:color w:val="auto"/>
          <w:szCs w:val="24"/>
        </w:rPr>
        <w:t xml:space="preserve">Otherwise, the lower rating will be assigned.  In this case there simply is not enough evidence without resorting to speculation to support the 30% rating.  Although the CI’s condition </w:t>
      </w:r>
      <w:r w:rsidR="009E0115">
        <w:rPr>
          <w:color w:val="auto"/>
          <w:szCs w:val="24"/>
        </w:rPr>
        <w:t xml:space="preserve">may have </w:t>
      </w:r>
      <w:r w:rsidR="00910E36" w:rsidRPr="003D3A6E">
        <w:rPr>
          <w:color w:val="auto"/>
          <w:szCs w:val="24"/>
        </w:rPr>
        <w:t xml:space="preserve">exceeded the 10% rating criteria, </w:t>
      </w:r>
      <w:r w:rsidR="009E0115">
        <w:rPr>
          <w:color w:val="auto"/>
          <w:szCs w:val="24"/>
        </w:rPr>
        <w:t xml:space="preserve">based on the totality of the available evidence, </w:t>
      </w:r>
      <w:r w:rsidR="00910E36" w:rsidRPr="003D3A6E">
        <w:rPr>
          <w:color w:val="auto"/>
          <w:szCs w:val="24"/>
        </w:rPr>
        <w:t xml:space="preserve">his disability picture did not more nearly approximate the 30% rating criteria. </w:t>
      </w:r>
      <w:r w:rsidR="00C337D0">
        <w:rPr>
          <w:color w:val="auto"/>
          <w:szCs w:val="24"/>
        </w:rPr>
        <w:t xml:space="preserve"> </w:t>
      </w:r>
      <w:r w:rsidR="005E5E51" w:rsidRPr="003D3A6E">
        <w:rPr>
          <w:color w:val="auto"/>
          <w:szCs w:val="24"/>
        </w:rPr>
        <w:t xml:space="preserve">After </w:t>
      </w:r>
      <w:r w:rsidR="000F002B" w:rsidRPr="003D3A6E">
        <w:rPr>
          <w:color w:val="auto"/>
          <w:szCs w:val="24"/>
        </w:rPr>
        <w:t>extensive</w:t>
      </w:r>
      <w:r w:rsidR="005E5E51" w:rsidRPr="003D3A6E">
        <w:rPr>
          <w:color w:val="auto"/>
          <w:szCs w:val="24"/>
        </w:rPr>
        <w:t xml:space="preserve"> deliberation, the Board recommends </w:t>
      </w:r>
      <w:r w:rsidR="00910E36" w:rsidRPr="003D3A6E">
        <w:rPr>
          <w:color w:val="auto"/>
          <w:szCs w:val="24"/>
        </w:rPr>
        <w:t>1</w:t>
      </w:r>
      <w:r w:rsidR="005E5E51" w:rsidRPr="003D3A6E">
        <w:rPr>
          <w:color w:val="auto"/>
          <w:szCs w:val="24"/>
        </w:rPr>
        <w:t>0% as the fair and equitable permanent rating for PTSD in this case.</w:t>
      </w:r>
    </w:p>
    <w:p w:rsidR="00AD2379" w:rsidRPr="00910E36" w:rsidRDefault="00AD2379" w:rsidP="00BF0E94">
      <w:pPr>
        <w:pBdr>
          <w:bottom w:val="single" w:sz="12" w:space="1" w:color="auto"/>
        </w:pBdr>
        <w:tabs>
          <w:tab w:val="left" w:pos="288"/>
          <w:tab w:val="left" w:pos="4752"/>
        </w:tabs>
        <w:jc w:val="both"/>
        <w:rPr>
          <w:color w:val="000000"/>
        </w:rPr>
      </w:pPr>
    </w:p>
    <w:p w:rsidR="00AD2379" w:rsidRPr="00910E36" w:rsidRDefault="00AD2379" w:rsidP="006364ED">
      <w:pPr>
        <w:jc w:val="left"/>
        <w:rPr>
          <w:color w:val="000000"/>
        </w:rPr>
      </w:pPr>
    </w:p>
    <w:p w:rsidR="00560F12" w:rsidRDefault="00AD2379" w:rsidP="009A7578">
      <w:pPr>
        <w:jc w:val="both"/>
        <w:rPr>
          <w:rFonts w:eastAsia="Calibri" w:cs="Times New Roman"/>
          <w:color w:val="auto"/>
          <w:szCs w:val="24"/>
        </w:rPr>
      </w:pPr>
      <w:r w:rsidRPr="00910E36">
        <w:rPr>
          <w:color w:val="000000"/>
          <w:u w:val="single"/>
        </w:rPr>
        <w:t>BOARD FINDINGS</w:t>
      </w:r>
      <w:r w:rsidRPr="00910E36">
        <w:rPr>
          <w:color w:val="000000"/>
        </w:rPr>
        <w:t>:  IAW DoDI 6040.44, provisions of DoD or Military Department regulations or guidelines relied upon by the PEB will not be considered by the Board to the extent they were inconsistent with the VASRD in effect at the time of the adjudication</w:t>
      </w:r>
      <w:r w:rsidRPr="00910E36">
        <w:rPr>
          <w:rFonts w:cs="Times New Roman"/>
          <w:color w:val="auto"/>
        </w:rPr>
        <w:t>.</w:t>
      </w:r>
      <w:r w:rsidR="00910E36" w:rsidRPr="00910E36">
        <w:rPr>
          <w:rFonts w:cs="Times New Roman"/>
          <w:color w:val="auto"/>
        </w:rPr>
        <w:t xml:space="preserve">  </w:t>
      </w:r>
      <w:r w:rsidR="00560F12" w:rsidRPr="00910E36">
        <w:rPr>
          <w:rFonts w:eastAsia="Calibri" w:cs="Times New Roman"/>
          <w:color w:val="auto"/>
          <w:szCs w:val="24"/>
        </w:rPr>
        <w:t xml:space="preserve">In the matter of the </w:t>
      </w:r>
      <w:r w:rsidR="004F7C57" w:rsidRPr="00910E36">
        <w:rPr>
          <w:rFonts w:eastAsia="Calibri" w:cs="Times New Roman"/>
          <w:color w:val="auto"/>
          <w:szCs w:val="24"/>
        </w:rPr>
        <w:t xml:space="preserve">chronic back pain </w:t>
      </w:r>
      <w:r w:rsidR="00560F12" w:rsidRPr="00910E36">
        <w:rPr>
          <w:rFonts w:eastAsia="Calibri" w:cs="Times New Roman"/>
          <w:color w:val="auto"/>
          <w:szCs w:val="24"/>
        </w:rPr>
        <w:t>condition and IAW VASRD §4.71a, the Board unanimously recommends no change in the PEB adjudication.</w:t>
      </w:r>
      <w:r w:rsidR="00910E36" w:rsidRPr="00910E36">
        <w:rPr>
          <w:rFonts w:eastAsia="Calibri" w:cs="Times New Roman"/>
          <w:color w:val="auto"/>
          <w:szCs w:val="24"/>
        </w:rPr>
        <w:t xml:space="preserve">  </w:t>
      </w:r>
      <w:r w:rsidR="000F002B" w:rsidRPr="00910E36">
        <w:rPr>
          <w:color w:val="auto"/>
        </w:rPr>
        <w:t xml:space="preserve">In the matter of the </w:t>
      </w:r>
      <w:r w:rsidR="008E5254">
        <w:rPr>
          <w:color w:val="auto"/>
        </w:rPr>
        <w:t>PTSD</w:t>
      </w:r>
      <w:r w:rsidR="000F002B" w:rsidRPr="00910E36">
        <w:rPr>
          <w:color w:val="auto"/>
        </w:rPr>
        <w:t xml:space="preserve"> condition, the Board unanimously recommends an initial TDRL rating of 50% in retroactive compliance with VASRD §4.129 as DOD directed and a </w:t>
      </w:r>
      <w:r w:rsidR="00311612" w:rsidRPr="00910E36">
        <w:rPr>
          <w:color w:val="auto"/>
        </w:rPr>
        <w:t>1</w:t>
      </w:r>
      <w:r w:rsidR="000F002B" w:rsidRPr="00910E36">
        <w:rPr>
          <w:color w:val="auto"/>
        </w:rPr>
        <w:t>0% permanent rating at six months IAW VASRD §4.130.</w:t>
      </w:r>
      <w:r w:rsidR="00910E36" w:rsidRPr="00910E36">
        <w:rPr>
          <w:color w:val="auto"/>
        </w:rPr>
        <w:t xml:space="preserve">  </w:t>
      </w:r>
      <w:r w:rsidR="00560F12" w:rsidRPr="00910E36">
        <w:rPr>
          <w:rFonts w:eastAsia="Calibri" w:cs="Times New Roman"/>
          <w:color w:val="auto"/>
          <w:szCs w:val="24"/>
        </w:rPr>
        <w:t>The Board unanimously agrees</w:t>
      </w:r>
      <w:r w:rsidR="00560F12" w:rsidRPr="00560F12">
        <w:rPr>
          <w:rFonts w:eastAsia="Calibri" w:cs="Times New Roman"/>
          <w:color w:val="auto"/>
          <w:szCs w:val="24"/>
        </w:rPr>
        <w:t xml:space="preserve"> that there were no other conditions eligible for Board consideration which could be recommended as unfitting for additional Service disability rating.</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EC3283" w:rsidRDefault="00AD2379" w:rsidP="00EC3283">
      <w:pPr>
        <w:jc w:val="both"/>
        <w:rPr>
          <w:color w:val="auto"/>
          <w:szCs w:val="24"/>
        </w:rPr>
      </w:pPr>
      <w:r w:rsidRPr="00EC3283">
        <w:rPr>
          <w:color w:val="auto"/>
          <w:u w:val="single"/>
        </w:rPr>
        <w:t>RECOMMENDATION</w:t>
      </w:r>
      <w:r w:rsidR="00E97C77" w:rsidRPr="00EC3283">
        <w:rPr>
          <w:color w:val="auto"/>
        </w:rPr>
        <w:t>:</w:t>
      </w:r>
      <w:r w:rsidR="00E97C77" w:rsidRPr="00051A70">
        <w:t xml:space="preserve">  </w:t>
      </w:r>
      <w:r w:rsidR="00EC3283" w:rsidRPr="000F002B">
        <w:rPr>
          <w:color w:val="auto"/>
          <w:szCs w:val="24"/>
        </w:rPr>
        <w:t xml:space="preserve">The Board recommends that the CI’s prior separation be modified to reflect that the CI was placed on the TDRL at 60% for a period of </w:t>
      </w:r>
      <w:r w:rsidR="008E5254">
        <w:rPr>
          <w:color w:val="auto"/>
          <w:szCs w:val="24"/>
        </w:rPr>
        <w:t>6</w:t>
      </w:r>
      <w:r w:rsidR="00EC3283" w:rsidRPr="000F002B">
        <w:rPr>
          <w:color w:val="auto"/>
          <w:szCs w:val="24"/>
        </w:rPr>
        <w:t xml:space="preserve"> months (PTSD at 50% IAW §4.129 and DoD direction) and then permanently separated with severance pay by reason of physical disability with a final </w:t>
      </w:r>
      <w:r w:rsidR="00EC3283">
        <w:rPr>
          <w:color w:val="auto"/>
          <w:szCs w:val="24"/>
        </w:rPr>
        <w:t>2</w:t>
      </w:r>
      <w:r w:rsidR="00EC3283" w:rsidRPr="000F002B">
        <w:rPr>
          <w:color w:val="auto"/>
          <w:szCs w:val="24"/>
        </w:rPr>
        <w:t>0% rating as indicated below.</w:t>
      </w:r>
    </w:p>
    <w:p w:rsidR="00051A70" w:rsidRDefault="00051A70" w:rsidP="005E5E51">
      <w:pPr>
        <w:jc w:val="both"/>
        <w:rPr>
          <w:rFonts w:eastAsia="Calibri" w:cs="Times New Roman"/>
          <w:color w:val="auto"/>
          <w:szCs w:val="24"/>
        </w:rPr>
      </w:pPr>
    </w:p>
    <w:p w:rsidR="00883A2C" w:rsidRDefault="00883A2C" w:rsidP="005E5E51">
      <w:pPr>
        <w:jc w:val="both"/>
        <w:rPr>
          <w:rFonts w:eastAsia="Calibri" w:cs="Times New Roman"/>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10"/>
        <w:gridCol w:w="1530"/>
        <w:gridCol w:w="990"/>
        <w:gridCol w:w="1530"/>
      </w:tblGrid>
      <w:tr w:rsidR="00E97C77" w:rsidRPr="00F64312" w:rsidTr="009E0115">
        <w:trPr>
          <w:trHeight w:val="206"/>
          <w:jc w:val="center"/>
        </w:trPr>
        <w:tc>
          <w:tcPr>
            <w:tcW w:w="5310" w:type="dxa"/>
            <w:vMerge w:val="restart"/>
            <w:shd w:val="clear" w:color="auto" w:fill="D9D9D9"/>
            <w:vAlign w:val="center"/>
          </w:tcPr>
          <w:p w:rsidR="00E97C77" w:rsidRPr="00F64312" w:rsidRDefault="00E97C77" w:rsidP="00422EF3">
            <w:pPr>
              <w:tabs>
                <w:tab w:val="left" w:pos="288"/>
                <w:tab w:val="left" w:pos="4752"/>
              </w:tabs>
              <w:rPr>
                <w:rFonts w:eastAsia="Calibri" w:cs="Times New Roman"/>
                <w:b/>
                <w:color w:val="auto"/>
                <w:szCs w:val="24"/>
              </w:rPr>
            </w:pPr>
            <w:r w:rsidRPr="00F64312">
              <w:rPr>
                <w:rFonts w:eastAsia="Calibri" w:cs="Times New Roman"/>
                <w:b/>
                <w:color w:val="auto"/>
                <w:szCs w:val="24"/>
              </w:rPr>
              <w:lastRenderedPageBreak/>
              <w:t>UNFITTING CONDITION</w:t>
            </w:r>
          </w:p>
        </w:tc>
        <w:tc>
          <w:tcPr>
            <w:tcW w:w="1530" w:type="dxa"/>
            <w:vMerge w:val="restart"/>
            <w:shd w:val="clear" w:color="auto" w:fill="D9D9D9"/>
            <w:vAlign w:val="center"/>
          </w:tcPr>
          <w:p w:rsidR="00E97C77" w:rsidRPr="00F64312" w:rsidRDefault="00E97C77" w:rsidP="00422EF3">
            <w:pPr>
              <w:tabs>
                <w:tab w:val="left" w:pos="288"/>
                <w:tab w:val="left" w:pos="4752"/>
              </w:tabs>
              <w:rPr>
                <w:rFonts w:eastAsia="Calibri" w:cs="Times New Roman"/>
                <w:b/>
                <w:color w:val="auto"/>
                <w:szCs w:val="24"/>
              </w:rPr>
            </w:pPr>
            <w:r w:rsidRPr="00F64312">
              <w:rPr>
                <w:rFonts w:eastAsia="Calibri" w:cs="Times New Roman"/>
                <w:b/>
                <w:color w:val="auto"/>
                <w:szCs w:val="24"/>
              </w:rPr>
              <w:t>VASRD CODE</w:t>
            </w:r>
          </w:p>
        </w:tc>
        <w:tc>
          <w:tcPr>
            <w:tcW w:w="2520" w:type="dxa"/>
            <w:gridSpan w:val="2"/>
            <w:tcBorders>
              <w:bottom w:val="single" w:sz="4" w:space="0" w:color="auto"/>
            </w:tcBorders>
            <w:shd w:val="clear" w:color="auto" w:fill="D9D9D9"/>
            <w:vAlign w:val="center"/>
          </w:tcPr>
          <w:p w:rsidR="00E97C77" w:rsidRPr="00F64312" w:rsidRDefault="00E97C77" w:rsidP="00422EF3">
            <w:pPr>
              <w:rPr>
                <w:color w:val="auto"/>
              </w:rPr>
            </w:pPr>
            <w:r w:rsidRPr="00F64312">
              <w:rPr>
                <w:rFonts w:eastAsia="Calibri" w:cs="Times New Roman"/>
                <w:b/>
                <w:color w:val="auto"/>
                <w:szCs w:val="24"/>
              </w:rPr>
              <w:t>RATING</w:t>
            </w:r>
          </w:p>
        </w:tc>
      </w:tr>
      <w:tr w:rsidR="00E97C77" w:rsidRPr="00F64312" w:rsidTr="009E0115">
        <w:trPr>
          <w:trHeight w:val="194"/>
          <w:jc w:val="center"/>
        </w:trPr>
        <w:tc>
          <w:tcPr>
            <w:tcW w:w="5310" w:type="dxa"/>
            <w:vMerge/>
            <w:shd w:val="clear" w:color="auto" w:fill="D9D9D9"/>
            <w:vAlign w:val="center"/>
          </w:tcPr>
          <w:p w:rsidR="00E97C77" w:rsidRPr="00F64312" w:rsidRDefault="00E97C77" w:rsidP="00422EF3">
            <w:pPr>
              <w:tabs>
                <w:tab w:val="left" w:pos="288"/>
                <w:tab w:val="left" w:pos="4752"/>
              </w:tabs>
              <w:rPr>
                <w:rFonts w:eastAsia="Calibri" w:cs="Times New Roman"/>
                <w:b/>
                <w:color w:val="auto"/>
                <w:szCs w:val="24"/>
              </w:rPr>
            </w:pPr>
          </w:p>
        </w:tc>
        <w:tc>
          <w:tcPr>
            <w:tcW w:w="1530" w:type="dxa"/>
            <w:vMerge/>
            <w:shd w:val="clear" w:color="auto" w:fill="D9D9D9"/>
            <w:vAlign w:val="center"/>
          </w:tcPr>
          <w:p w:rsidR="00E97C77" w:rsidRPr="00F64312" w:rsidRDefault="00E97C77" w:rsidP="00422EF3">
            <w:pPr>
              <w:tabs>
                <w:tab w:val="left" w:pos="288"/>
                <w:tab w:val="left" w:pos="4752"/>
              </w:tabs>
              <w:rPr>
                <w:rFonts w:eastAsia="Calibri" w:cs="Times New Roman"/>
                <w:b/>
                <w:color w:val="auto"/>
                <w:szCs w:val="24"/>
              </w:rPr>
            </w:pPr>
          </w:p>
        </w:tc>
        <w:tc>
          <w:tcPr>
            <w:tcW w:w="990" w:type="dxa"/>
            <w:tcBorders>
              <w:top w:val="single" w:sz="4" w:space="0" w:color="auto"/>
            </w:tcBorders>
            <w:shd w:val="clear" w:color="auto" w:fill="D9D9D9"/>
            <w:vAlign w:val="center"/>
          </w:tcPr>
          <w:p w:rsidR="00E97C77" w:rsidRPr="00F64312" w:rsidRDefault="00E97C77" w:rsidP="00422EF3">
            <w:pPr>
              <w:rPr>
                <w:color w:val="auto"/>
              </w:rPr>
            </w:pPr>
            <w:r w:rsidRPr="00F64312">
              <w:rPr>
                <w:rFonts w:eastAsia="Calibri" w:cs="Times New Roman"/>
                <w:b/>
                <w:color w:val="auto"/>
                <w:szCs w:val="24"/>
              </w:rPr>
              <w:t>TDRL</w:t>
            </w:r>
          </w:p>
        </w:tc>
        <w:tc>
          <w:tcPr>
            <w:tcW w:w="1530" w:type="dxa"/>
            <w:tcBorders>
              <w:top w:val="single" w:sz="4" w:space="0" w:color="auto"/>
            </w:tcBorders>
            <w:shd w:val="pct15" w:color="auto" w:fill="auto"/>
            <w:vAlign w:val="center"/>
          </w:tcPr>
          <w:p w:rsidR="00E97C77" w:rsidRPr="00F64312" w:rsidRDefault="00E97C77" w:rsidP="00422EF3">
            <w:pPr>
              <w:tabs>
                <w:tab w:val="left" w:pos="288"/>
                <w:tab w:val="left" w:pos="4752"/>
              </w:tabs>
              <w:rPr>
                <w:rFonts w:eastAsia="Calibri" w:cs="Times New Roman"/>
                <w:b/>
                <w:color w:val="auto"/>
                <w:szCs w:val="24"/>
              </w:rPr>
            </w:pPr>
            <w:r w:rsidRPr="00F64312">
              <w:rPr>
                <w:rFonts w:eastAsia="Calibri" w:cs="Times New Roman"/>
                <w:b/>
                <w:color w:val="auto"/>
                <w:szCs w:val="24"/>
              </w:rPr>
              <w:t>PERMANENT</w:t>
            </w:r>
          </w:p>
        </w:tc>
      </w:tr>
      <w:tr w:rsidR="00E97C77" w:rsidRPr="00F64312" w:rsidTr="009E0115">
        <w:trPr>
          <w:trHeight w:val="197"/>
          <w:jc w:val="center"/>
        </w:trPr>
        <w:tc>
          <w:tcPr>
            <w:tcW w:w="5310" w:type="dxa"/>
          </w:tcPr>
          <w:p w:rsidR="00E97C77" w:rsidRPr="00E97C77" w:rsidRDefault="00E97C77" w:rsidP="00422EF3">
            <w:pPr>
              <w:jc w:val="left"/>
              <w:rPr>
                <w:color w:val="auto"/>
              </w:rPr>
            </w:pPr>
            <w:r w:rsidRPr="00E97C77">
              <w:rPr>
                <w:color w:val="auto"/>
              </w:rPr>
              <w:t>Chronic Back Pain</w:t>
            </w:r>
          </w:p>
        </w:tc>
        <w:tc>
          <w:tcPr>
            <w:tcW w:w="1530" w:type="dxa"/>
            <w:tcBorders>
              <w:bottom w:val="single" w:sz="4" w:space="0" w:color="000000"/>
            </w:tcBorders>
          </w:tcPr>
          <w:p w:rsidR="00E97C77" w:rsidRPr="00E97C77" w:rsidRDefault="00E97C77" w:rsidP="00422EF3">
            <w:pPr>
              <w:rPr>
                <w:color w:val="auto"/>
              </w:rPr>
            </w:pPr>
            <w:r w:rsidRPr="00E97C77">
              <w:rPr>
                <w:color w:val="auto"/>
              </w:rPr>
              <w:t>5237</w:t>
            </w:r>
          </w:p>
        </w:tc>
        <w:tc>
          <w:tcPr>
            <w:tcW w:w="990" w:type="dxa"/>
            <w:tcBorders>
              <w:bottom w:val="single" w:sz="4" w:space="0" w:color="000000"/>
            </w:tcBorders>
          </w:tcPr>
          <w:p w:rsidR="00E97C77" w:rsidRPr="00E97C77" w:rsidRDefault="00E97C77" w:rsidP="00422EF3">
            <w:pPr>
              <w:rPr>
                <w:color w:val="auto"/>
              </w:rPr>
            </w:pPr>
            <w:r w:rsidRPr="00E97C77">
              <w:rPr>
                <w:color w:val="auto"/>
              </w:rPr>
              <w:t>10%</w:t>
            </w:r>
          </w:p>
        </w:tc>
        <w:tc>
          <w:tcPr>
            <w:tcW w:w="1530" w:type="dxa"/>
            <w:tcBorders>
              <w:bottom w:val="single" w:sz="4" w:space="0" w:color="000000"/>
            </w:tcBorders>
            <w:vAlign w:val="center"/>
          </w:tcPr>
          <w:p w:rsidR="00E97C77" w:rsidRPr="00E97C77" w:rsidRDefault="00E97C77" w:rsidP="00422EF3">
            <w:pPr>
              <w:tabs>
                <w:tab w:val="left" w:pos="288"/>
                <w:tab w:val="left" w:pos="4752"/>
              </w:tabs>
              <w:rPr>
                <w:rFonts w:eastAsia="Calibri" w:cs="Times New Roman"/>
                <w:color w:val="auto"/>
                <w:szCs w:val="24"/>
              </w:rPr>
            </w:pPr>
            <w:r>
              <w:rPr>
                <w:rFonts w:eastAsia="Calibri" w:cs="Times New Roman"/>
                <w:color w:val="auto"/>
                <w:szCs w:val="24"/>
              </w:rPr>
              <w:t>1</w:t>
            </w:r>
            <w:r w:rsidRPr="00E97C77">
              <w:rPr>
                <w:rFonts w:eastAsia="Calibri" w:cs="Times New Roman"/>
                <w:color w:val="auto"/>
                <w:szCs w:val="24"/>
              </w:rPr>
              <w:t>0%</w:t>
            </w:r>
          </w:p>
        </w:tc>
      </w:tr>
      <w:tr w:rsidR="00E97C77" w:rsidRPr="00F64312" w:rsidTr="009E0115">
        <w:trPr>
          <w:trHeight w:val="197"/>
          <w:jc w:val="center"/>
        </w:trPr>
        <w:tc>
          <w:tcPr>
            <w:tcW w:w="5310" w:type="dxa"/>
          </w:tcPr>
          <w:p w:rsidR="00E97C77" w:rsidRPr="004F7C57" w:rsidRDefault="00E97C77" w:rsidP="00422EF3">
            <w:pPr>
              <w:jc w:val="left"/>
              <w:rPr>
                <w:color w:val="auto"/>
              </w:rPr>
            </w:pPr>
            <w:r w:rsidRPr="004F7C57">
              <w:rPr>
                <w:color w:val="auto"/>
              </w:rPr>
              <w:t>Post Traumatic Stress Disorder</w:t>
            </w:r>
          </w:p>
        </w:tc>
        <w:tc>
          <w:tcPr>
            <w:tcW w:w="1530" w:type="dxa"/>
            <w:tcBorders>
              <w:bottom w:val="single" w:sz="4" w:space="0" w:color="000000"/>
            </w:tcBorders>
          </w:tcPr>
          <w:p w:rsidR="00E97C77" w:rsidRPr="004F7C57" w:rsidRDefault="00E97C77" w:rsidP="00422EF3">
            <w:pPr>
              <w:rPr>
                <w:color w:val="auto"/>
              </w:rPr>
            </w:pPr>
            <w:r w:rsidRPr="004F7C57">
              <w:rPr>
                <w:color w:val="auto"/>
              </w:rPr>
              <w:t>9411</w:t>
            </w:r>
          </w:p>
        </w:tc>
        <w:tc>
          <w:tcPr>
            <w:tcW w:w="990" w:type="dxa"/>
            <w:tcBorders>
              <w:bottom w:val="single" w:sz="4" w:space="0" w:color="000000"/>
            </w:tcBorders>
            <w:vAlign w:val="center"/>
          </w:tcPr>
          <w:p w:rsidR="00E97C77" w:rsidRPr="00E97C77" w:rsidRDefault="00E97C77" w:rsidP="00422EF3">
            <w:pPr>
              <w:tabs>
                <w:tab w:val="left" w:pos="288"/>
                <w:tab w:val="left" w:pos="4752"/>
              </w:tabs>
              <w:rPr>
                <w:color w:val="auto"/>
              </w:rPr>
            </w:pPr>
            <w:r>
              <w:rPr>
                <w:color w:val="auto"/>
              </w:rPr>
              <w:t>50%</w:t>
            </w:r>
          </w:p>
        </w:tc>
        <w:tc>
          <w:tcPr>
            <w:tcW w:w="1530" w:type="dxa"/>
            <w:tcBorders>
              <w:bottom w:val="single" w:sz="4" w:space="0" w:color="000000"/>
            </w:tcBorders>
            <w:vAlign w:val="center"/>
          </w:tcPr>
          <w:p w:rsidR="00E97C77" w:rsidRPr="00E97C77" w:rsidRDefault="00311612" w:rsidP="00032FFD">
            <w:pPr>
              <w:tabs>
                <w:tab w:val="left" w:pos="288"/>
                <w:tab w:val="left" w:pos="4752"/>
              </w:tabs>
              <w:rPr>
                <w:rFonts w:eastAsia="Calibri" w:cs="Times New Roman"/>
                <w:color w:val="auto"/>
                <w:szCs w:val="24"/>
              </w:rPr>
            </w:pPr>
            <w:r>
              <w:rPr>
                <w:rFonts w:eastAsia="Calibri" w:cs="Times New Roman"/>
                <w:color w:val="auto"/>
                <w:szCs w:val="24"/>
              </w:rPr>
              <w:t>1</w:t>
            </w:r>
            <w:r w:rsidR="00A33760">
              <w:rPr>
                <w:rFonts w:eastAsia="Calibri" w:cs="Times New Roman"/>
                <w:color w:val="auto"/>
                <w:szCs w:val="24"/>
              </w:rPr>
              <w:t>0%</w:t>
            </w:r>
          </w:p>
        </w:tc>
      </w:tr>
      <w:tr w:rsidR="00E97C77" w:rsidRPr="00F64312" w:rsidTr="009E0115">
        <w:tblPrEx>
          <w:tblLook w:val="0000"/>
        </w:tblPrEx>
        <w:trPr>
          <w:gridBefore w:val="1"/>
          <w:wBefore w:w="5310" w:type="dxa"/>
          <w:trHeight w:val="161"/>
          <w:jc w:val="center"/>
        </w:trPr>
        <w:tc>
          <w:tcPr>
            <w:tcW w:w="1530" w:type="dxa"/>
            <w:tcBorders>
              <w:left w:val="single" w:sz="4" w:space="0" w:color="auto"/>
            </w:tcBorders>
            <w:shd w:val="pct15" w:color="auto" w:fill="auto"/>
            <w:vAlign w:val="center"/>
          </w:tcPr>
          <w:p w:rsidR="00E97C77" w:rsidRPr="00F64312" w:rsidRDefault="00E97C77" w:rsidP="00422EF3">
            <w:pPr>
              <w:tabs>
                <w:tab w:val="left" w:pos="288"/>
                <w:tab w:val="left" w:pos="4752"/>
              </w:tabs>
              <w:rPr>
                <w:rFonts w:eastAsia="Calibri" w:cs="Times New Roman"/>
                <w:b/>
                <w:color w:val="auto"/>
                <w:szCs w:val="24"/>
              </w:rPr>
            </w:pPr>
            <w:r w:rsidRPr="00F64312">
              <w:rPr>
                <w:rFonts w:eastAsia="Calibri" w:cs="Times New Roman"/>
                <w:b/>
                <w:color w:val="auto"/>
                <w:szCs w:val="24"/>
              </w:rPr>
              <w:t>COMBINED</w:t>
            </w:r>
          </w:p>
        </w:tc>
        <w:tc>
          <w:tcPr>
            <w:tcW w:w="990" w:type="dxa"/>
            <w:tcBorders>
              <w:left w:val="single" w:sz="4" w:space="0" w:color="auto"/>
            </w:tcBorders>
            <w:shd w:val="pct15" w:color="auto" w:fill="auto"/>
            <w:vAlign w:val="center"/>
          </w:tcPr>
          <w:p w:rsidR="00E97C77" w:rsidRPr="00E97C77" w:rsidRDefault="00E97C77" w:rsidP="00422EF3">
            <w:pPr>
              <w:tabs>
                <w:tab w:val="left" w:pos="288"/>
                <w:tab w:val="left" w:pos="4752"/>
              </w:tabs>
              <w:rPr>
                <w:rFonts w:eastAsia="Calibri" w:cs="Times New Roman"/>
                <w:b/>
                <w:color w:val="auto"/>
                <w:szCs w:val="24"/>
              </w:rPr>
            </w:pPr>
            <w:r>
              <w:rPr>
                <w:rFonts w:eastAsia="Calibri" w:cs="Times New Roman"/>
                <w:b/>
                <w:color w:val="auto"/>
                <w:szCs w:val="24"/>
              </w:rPr>
              <w:t>6</w:t>
            </w:r>
            <w:r w:rsidRPr="00E97C77">
              <w:rPr>
                <w:rFonts w:eastAsia="Calibri" w:cs="Times New Roman"/>
                <w:b/>
                <w:color w:val="auto"/>
                <w:szCs w:val="24"/>
              </w:rPr>
              <w:t>0%</w:t>
            </w:r>
          </w:p>
        </w:tc>
        <w:tc>
          <w:tcPr>
            <w:tcW w:w="1530" w:type="dxa"/>
            <w:shd w:val="pct15" w:color="auto" w:fill="auto"/>
            <w:vAlign w:val="center"/>
          </w:tcPr>
          <w:p w:rsidR="00E97C77" w:rsidRPr="00E97C77" w:rsidRDefault="00311612" w:rsidP="00032FFD">
            <w:pPr>
              <w:tabs>
                <w:tab w:val="left" w:pos="288"/>
                <w:tab w:val="left" w:pos="4752"/>
              </w:tabs>
              <w:rPr>
                <w:rFonts w:eastAsia="Calibri" w:cs="Times New Roman"/>
                <w:b/>
                <w:color w:val="auto"/>
                <w:szCs w:val="24"/>
              </w:rPr>
            </w:pPr>
            <w:r>
              <w:rPr>
                <w:rFonts w:eastAsia="Calibri" w:cs="Times New Roman"/>
                <w:b/>
                <w:color w:val="auto"/>
                <w:szCs w:val="24"/>
              </w:rPr>
              <w:t>2</w:t>
            </w:r>
            <w:r w:rsidR="00E97C77" w:rsidRPr="00E97C77">
              <w:rPr>
                <w:rFonts w:eastAsia="Calibri" w:cs="Times New Roman"/>
                <w:b/>
                <w:color w:val="auto"/>
                <w:szCs w:val="24"/>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BF0E94">
      <w:pPr>
        <w:tabs>
          <w:tab w:val="left" w:pos="288"/>
          <w:tab w:val="left" w:pos="4752"/>
        </w:tabs>
        <w:jc w:val="both"/>
        <w:rPr>
          <w:color w:val="000000"/>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w:t>
      </w:r>
      <w:proofErr w:type="gramStart"/>
      <w:r w:rsidRPr="001F29F9">
        <w:rPr>
          <w:color w:val="000000"/>
        </w:rPr>
        <w:t>294,</w:t>
      </w:r>
      <w:proofErr w:type="gramEnd"/>
      <w:r w:rsidRPr="001F29F9">
        <w:rPr>
          <w:color w:val="000000"/>
        </w:rPr>
        <w:t xml:space="preserve"> </w:t>
      </w:r>
      <w:r w:rsidRPr="00D96691">
        <w:rPr>
          <w:color w:val="000000"/>
        </w:rPr>
        <w:t>dated 20</w:t>
      </w:r>
      <w:r w:rsidR="00D96691" w:rsidRPr="00D96691">
        <w:rPr>
          <w:color w:val="000000"/>
        </w:rPr>
        <w:t>120121</w:t>
      </w:r>
      <w:r w:rsidRPr="00D96691">
        <w:rPr>
          <w:color w:val="000000"/>
        </w:rPr>
        <w:t>,</w:t>
      </w:r>
      <w:r w:rsidRPr="001F29F9">
        <w:rPr>
          <w:color w:val="000000"/>
        </w:rPr>
        <w:t xml:space="preserve"> w/atchs.</w:t>
      </w:r>
    </w:p>
    <w:p w:rsidR="00AD2379" w:rsidRPr="001F29F9" w:rsidRDefault="00AD2379" w:rsidP="005144A7">
      <w:pPr>
        <w:tabs>
          <w:tab w:val="left" w:pos="288"/>
          <w:tab w:val="left" w:pos="4752"/>
        </w:tabs>
        <w:jc w:val="both"/>
        <w:rPr>
          <w:color w:val="000000"/>
        </w:rPr>
      </w:pPr>
      <w:r w:rsidRPr="001F29F9">
        <w:rPr>
          <w:color w:val="000000"/>
        </w:rPr>
        <w:t xml:space="preserve">Exhibit B.  </w:t>
      </w:r>
      <w:proofErr w:type="gramStart"/>
      <w:r w:rsidRPr="001F29F9">
        <w:rPr>
          <w:color w:val="000000"/>
        </w:rPr>
        <w:t>Service Treatment Record.</w:t>
      </w:r>
      <w:proofErr w:type="gramEnd"/>
    </w:p>
    <w:p w:rsidR="00AD2379" w:rsidRPr="001F29F9" w:rsidRDefault="00AD2379" w:rsidP="005144A7">
      <w:pPr>
        <w:tabs>
          <w:tab w:val="left" w:pos="288"/>
          <w:tab w:val="left" w:pos="4752"/>
        </w:tabs>
        <w:jc w:val="both"/>
        <w:rPr>
          <w:color w:val="000000"/>
        </w:rPr>
      </w:pPr>
      <w:r w:rsidRPr="001F29F9">
        <w:rPr>
          <w:color w:val="000000"/>
        </w:rPr>
        <w:t xml:space="preserve">Exhibit C.  </w:t>
      </w:r>
      <w:proofErr w:type="gramStart"/>
      <w:r w:rsidRPr="001F29F9">
        <w:rPr>
          <w:color w:val="000000"/>
        </w:rPr>
        <w:t>Department of Veterans</w:t>
      </w:r>
      <w:r w:rsidR="008E5254">
        <w:rPr>
          <w:color w:val="000000"/>
        </w:rPr>
        <w:t>’</w:t>
      </w:r>
      <w:r w:rsidRPr="001F29F9">
        <w:rPr>
          <w:color w:val="000000"/>
        </w:rPr>
        <w:t xml:space="preserve"> Affairs Treatment Record.</w:t>
      </w:r>
      <w:proofErr w:type="gramEnd"/>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8A401D">
        <w:rPr>
          <w:color w:val="000000"/>
        </w:rPr>
        <w:t>XXXXXXXXXXXXXXXXX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AD2379" w:rsidRPr="00D846AF" w:rsidRDefault="00AD2379" w:rsidP="00D846AF">
      <w:pPr>
        <w:tabs>
          <w:tab w:val="left" w:pos="0"/>
          <w:tab w:val="left" w:pos="4320"/>
        </w:tabs>
        <w:jc w:val="both"/>
        <w:rPr>
          <w:rFonts w:asciiTheme="majorHAnsi" w:hAnsiTheme="majorHAnsi"/>
          <w:color w:val="000000"/>
          <w:szCs w:val="24"/>
        </w:rPr>
      </w:pPr>
      <w:r w:rsidRPr="00D846AF">
        <w:rPr>
          <w:rFonts w:asciiTheme="majorHAnsi" w:hAnsiTheme="majorHAnsi"/>
          <w:color w:val="000000"/>
          <w:szCs w:val="24"/>
        </w:rPr>
        <w:tab/>
        <w:t xml:space="preserve">           Physical Disability Board of Review</w:t>
      </w:r>
    </w:p>
    <w:p w:rsidR="008A401D" w:rsidRDefault="008A401D">
      <w:pPr>
        <w:spacing w:line="240" w:lineRule="auto"/>
        <w:jc w:val="left"/>
        <w:rPr>
          <w:rFonts w:asciiTheme="majorHAnsi" w:hAnsiTheme="majorHAnsi" w:cs="Times New Roman"/>
          <w:b/>
          <w:bCs/>
          <w:color w:val="auto"/>
          <w:szCs w:val="24"/>
        </w:rPr>
      </w:pPr>
    </w:p>
    <w:p w:rsidR="008A401D" w:rsidRDefault="008A401D">
      <w:pPr>
        <w:spacing w:line="240" w:lineRule="auto"/>
        <w:jc w:val="left"/>
        <w:rPr>
          <w:rFonts w:asciiTheme="majorHAnsi" w:hAnsiTheme="majorHAnsi" w:cs="Times New Roman"/>
          <w:b/>
          <w:bCs/>
          <w:color w:val="auto"/>
          <w:szCs w:val="24"/>
        </w:rPr>
      </w:pPr>
      <w:r>
        <w:rPr>
          <w:rFonts w:asciiTheme="majorHAnsi" w:hAnsiTheme="majorHAnsi" w:cs="Times New Roman"/>
          <w:b/>
          <w:bCs/>
          <w:color w:val="auto"/>
          <w:szCs w:val="24"/>
        </w:rPr>
        <w:br w:type="page"/>
      </w:r>
    </w:p>
    <w:p w:rsidR="008A401D" w:rsidRDefault="008A401D" w:rsidP="008A401D">
      <w:pPr>
        <w:pStyle w:val="Header"/>
        <w:tabs>
          <w:tab w:val="left" w:pos="720"/>
        </w:tabs>
      </w:pPr>
    </w:p>
    <w:p w:rsidR="008A401D" w:rsidRDefault="008A401D" w:rsidP="008A401D">
      <w:pPr>
        <w:pStyle w:val="Header"/>
        <w:tabs>
          <w:tab w:val="left" w:pos="720"/>
        </w:tabs>
        <w:jc w:val="left"/>
      </w:pPr>
      <w:r>
        <w:t>SFMR-RB</w:t>
      </w:r>
      <w:r>
        <w:tab/>
      </w:r>
      <w:r>
        <w:tab/>
      </w:r>
      <w:r>
        <w:tab/>
      </w:r>
      <w:r>
        <w:tab/>
      </w:r>
      <w:r>
        <w:tab/>
      </w:r>
      <w:r>
        <w:tab/>
      </w:r>
      <w:r>
        <w:tab/>
      </w:r>
      <w:r>
        <w:tab/>
      </w:r>
      <w:r>
        <w:tab/>
      </w:r>
    </w:p>
    <w:p w:rsidR="008A401D" w:rsidRDefault="008A401D" w:rsidP="008A401D">
      <w:pPr>
        <w:pStyle w:val="Header"/>
        <w:tabs>
          <w:tab w:val="left" w:pos="720"/>
        </w:tabs>
        <w:jc w:val="left"/>
      </w:pPr>
    </w:p>
    <w:p w:rsidR="008A401D" w:rsidRDefault="008A401D" w:rsidP="008A401D">
      <w:pPr>
        <w:jc w:val="left"/>
      </w:pPr>
    </w:p>
    <w:p w:rsidR="008A401D" w:rsidRDefault="008A401D" w:rsidP="008A401D">
      <w:pPr>
        <w:jc w:val="left"/>
      </w:pPr>
      <w:r>
        <w:t xml:space="preserve">MEMORANDUM FOR Commander, US Army Physical Disability Agency </w:t>
      </w:r>
    </w:p>
    <w:p w:rsidR="008A401D" w:rsidRDefault="008A401D" w:rsidP="008A401D">
      <w:pPr>
        <w:jc w:val="left"/>
      </w:pPr>
      <w:r>
        <w:t xml:space="preserve">(TAPD-ZB </w:t>
      </w:r>
      <w:proofErr w:type="gramStart"/>
      <w:r>
        <w:t>/  )</w:t>
      </w:r>
      <w:proofErr w:type="gramEnd"/>
      <w:r>
        <w:t>, 2900 Crystal Drive, Suite 300, Arlington, VA  22202-3557</w:t>
      </w:r>
    </w:p>
    <w:p w:rsidR="008A401D" w:rsidRDefault="008A401D" w:rsidP="008A401D">
      <w:pPr>
        <w:jc w:val="left"/>
      </w:pPr>
    </w:p>
    <w:p w:rsidR="008A401D" w:rsidRDefault="008A401D" w:rsidP="008A401D">
      <w:pPr>
        <w:jc w:val="left"/>
      </w:pPr>
    </w:p>
    <w:p w:rsidR="008A401D" w:rsidRDefault="008A401D" w:rsidP="008A401D">
      <w:pPr>
        <w:ind w:right="-180"/>
        <w:jc w:val="left"/>
      </w:pPr>
      <w:r>
        <w:t xml:space="preserve">SUBJECT:  Department of Defense Physical Disability Board of Review Recommendation </w:t>
      </w:r>
    </w:p>
    <w:p w:rsidR="008A401D" w:rsidRDefault="008A401D" w:rsidP="008A401D">
      <w:pPr>
        <w:pStyle w:val="Header"/>
        <w:tabs>
          <w:tab w:val="left" w:pos="720"/>
        </w:tabs>
        <w:jc w:val="left"/>
      </w:pPr>
      <w:proofErr w:type="gramStart"/>
      <w:r>
        <w:t>for</w:t>
      </w:r>
      <w:proofErr w:type="gramEnd"/>
      <w:r>
        <w:t xml:space="preserve"> XXXXXXXXXXXXXXXXXXXX, AR20120019097 (PD201200117)</w:t>
      </w:r>
    </w:p>
    <w:p w:rsidR="008A401D" w:rsidRDefault="008A401D" w:rsidP="008A401D">
      <w:pPr>
        <w:pStyle w:val="Header"/>
        <w:tabs>
          <w:tab w:val="left" w:pos="720"/>
        </w:tabs>
        <w:jc w:val="left"/>
      </w:pPr>
    </w:p>
    <w:p w:rsidR="008A401D" w:rsidRDefault="008A401D" w:rsidP="008A401D">
      <w:pPr>
        <w:jc w:val="left"/>
      </w:pPr>
    </w:p>
    <w:p w:rsidR="008A401D" w:rsidRDefault="008A401D" w:rsidP="008A401D">
      <w:pPr>
        <w:jc w:val="left"/>
      </w:pPr>
      <w:r>
        <w:t>1.  Under the authority of Title 10, United States Code, section 1554(a), I approve the enclosed recommendation of the Department of Defense Physical Disability Board of Review (</w:t>
      </w:r>
      <w:proofErr w:type="spellStart"/>
      <w:r>
        <w:t>DoD</w:t>
      </w:r>
      <w:proofErr w:type="spellEnd"/>
      <w:r>
        <w:t xml:space="preserve"> PDBR) pertaining to the individual named in the subject line above to  constructively place the individual on the Temporary Disability Retired List (TDRL) at </w:t>
      </w:r>
    </w:p>
    <w:p w:rsidR="008A401D" w:rsidRDefault="008A401D" w:rsidP="008A401D">
      <w:pPr>
        <w:jc w:val="left"/>
      </w:pPr>
      <w:r>
        <w:t xml:space="preserve">60% disability for six months effective the date of the individual’s original medical separation for disability with severance pay and then following this six month period no </w:t>
      </w:r>
      <w:proofErr w:type="spellStart"/>
      <w:r>
        <w:t>recharacterization</w:t>
      </w:r>
      <w:proofErr w:type="spellEnd"/>
      <w:r>
        <w:t xml:space="preserve"> of the individual’s separation or modification of the permanent disability rating of 20%.</w:t>
      </w:r>
    </w:p>
    <w:p w:rsidR="008A401D" w:rsidRDefault="008A401D" w:rsidP="008A401D">
      <w:pPr>
        <w:jc w:val="left"/>
      </w:pPr>
    </w:p>
    <w:p w:rsidR="008A401D" w:rsidRDefault="008A401D" w:rsidP="008A401D">
      <w:pPr>
        <w:jc w:val="left"/>
      </w:pPr>
      <w:r>
        <w:t xml:space="preserve">2.  I direct that all the Department of the Army records of the individual concerned be corrected accordingly no later than </w:t>
      </w:r>
      <w:bookmarkStart w:id="1" w:name="OLE_LINK10"/>
      <w:bookmarkStart w:id="2" w:name="OLE_LINK9"/>
      <w:r>
        <w:t>120 days from the date of this memorandum as follows:</w:t>
      </w:r>
      <w:bookmarkEnd w:id="1"/>
      <w:bookmarkEnd w:id="2"/>
    </w:p>
    <w:p w:rsidR="008A401D" w:rsidRDefault="008A401D" w:rsidP="008A401D">
      <w:pPr>
        <w:jc w:val="left"/>
      </w:pPr>
    </w:p>
    <w:p w:rsidR="008A401D" w:rsidRDefault="008A401D" w:rsidP="008A401D">
      <w:pPr>
        <w:jc w:val="left"/>
      </w:pPr>
      <w:r>
        <w:tab/>
      </w:r>
      <w:proofErr w:type="gramStart"/>
      <w:r>
        <w:t>a.  Providing</w:t>
      </w:r>
      <w:proofErr w:type="gramEnd"/>
      <w:r>
        <w:t xml:space="preserve"> a correction to the individual’s separation document showing that the individual was separated by reason of temporary disability effective the date of the original medical separation for disability with severance pay.</w:t>
      </w:r>
    </w:p>
    <w:p w:rsidR="008A401D" w:rsidRDefault="008A401D" w:rsidP="008A401D">
      <w:pPr>
        <w:jc w:val="left"/>
      </w:pPr>
    </w:p>
    <w:p w:rsidR="008A401D" w:rsidRDefault="008A401D" w:rsidP="008A401D">
      <w:pPr>
        <w:jc w:val="left"/>
      </w:pPr>
      <w:r>
        <w:tab/>
      </w:r>
      <w:proofErr w:type="gramStart"/>
      <w:r>
        <w:t>b.  Providing</w:t>
      </w:r>
      <w:proofErr w:type="gramEnd"/>
      <w:r>
        <w:t xml:space="preserve"> orders showing that the individual was separated with a permanent combined rating of 20% effective the day following the six month TDRL period with no </w:t>
      </w:r>
      <w:proofErr w:type="spellStart"/>
      <w:r>
        <w:t>recharacterization</w:t>
      </w:r>
      <w:proofErr w:type="spellEnd"/>
      <w:r>
        <w:t xml:space="preserve"> of the individual’s separation.</w:t>
      </w:r>
    </w:p>
    <w:p w:rsidR="008A401D" w:rsidRDefault="008A401D" w:rsidP="008A401D">
      <w:pPr>
        <w:jc w:val="left"/>
      </w:pPr>
    </w:p>
    <w:p w:rsidR="008A401D" w:rsidRDefault="008A401D" w:rsidP="008A401D">
      <w:pPr>
        <w:jc w:val="left"/>
      </w:pPr>
      <w:r>
        <w:tab/>
      </w:r>
      <w:proofErr w:type="gramStart"/>
      <w:r>
        <w:t>c.  Adjusting</w:t>
      </w:r>
      <w:proofErr w:type="gramEnd"/>
      <w:r>
        <w:t xml:space="preserve"> pay and allowances accordingly.  Pay and allowance adjustment will provide 60% retired pay for the constructive temporary disability retired six month period effective the date of the individual’s original medical separation and adjusting severance pay as necessary to account for the additional TDRL time in service.</w:t>
      </w:r>
    </w:p>
    <w:p w:rsidR="008A401D" w:rsidRDefault="008A401D" w:rsidP="008A401D">
      <w:pPr>
        <w:jc w:val="left"/>
      </w:pPr>
    </w:p>
    <w:p w:rsidR="008A401D" w:rsidRDefault="008A401D" w:rsidP="008A401D">
      <w:pPr>
        <w:jc w:val="left"/>
      </w:pPr>
    </w:p>
    <w:p w:rsidR="008A401D" w:rsidRDefault="008A401D" w:rsidP="008A401D">
      <w:pPr>
        <w:jc w:val="left"/>
      </w:pPr>
    </w:p>
    <w:p w:rsidR="008A401D" w:rsidRDefault="008A401D" w:rsidP="008A401D">
      <w:pPr>
        <w:jc w:val="left"/>
      </w:pPr>
    </w:p>
    <w:p w:rsidR="008A401D" w:rsidRDefault="008A401D" w:rsidP="008A401D">
      <w:pPr>
        <w:jc w:val="left"/>
      </w:pPr>
      <w:bookmarkStart w:id="3" w:name="OLE_LINK2"/>
      <w:bookmarkStart w:id="4" w:name="OLE_LINK1"/>
    </w:p>
    <w:p w:rsidR="008A401D" w:rsidRDefault="008A401D" w:rsidP="008A401D">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bookmarkEnd w:id="3"/>
    <w:bookmarkEnd w:id="4"/>
    <w:p w:rsidR="008A401D" w:rsidRDefault="008A401D" w:rsidP="008A401D">
      <w:pPr>
        <w:jc w:val="left"/>
      </w:pPr>
    </w:p>
    <w:p w:rsidR="008A401D" w:rsidRDefault="008A401D" w:rsidP="008A401D">
      <w:pPr>
        <w:jc w:val="left"/>
      </w:pPr>
      <w:r>
        <w:t>BY ORDER OF THE SECRETARY OF THE ARMY:</w:t>
      </w:r>
    </w:p>
    <w:p w:rsidR="008A401D" w:rsidRDefault="008A401D" w:rsidP="008A401D">
      <w:pPr>
        <w:tabs>
          <w:tab w:val="left" w:pos="5850"/>
        </w:tabs>
        <w:jc w:val="left"/>
      </w:pPr>
      <w:r>
        <w:tab/>
      </w:r>
    </w:p>
    <w:p w:rsidR="008A401D" w:rsidRDefault="008A401D" w:rsidP="008A401D">
      <w:pPr>
        <w:jc w:val="left"/>
      </w:pPr>
    </w:p>
    <w:p w:rsidR="008A401D" w:rsidRDefault="008A401D" w:rsidP="008A401D">
      <w:pPr>
        <w:pStyle w:val="Header"/>
        <w:tabs>
          <w:tab w:val="left" w:pos="720"/>
        </w:tabs>
        <w:jc w:val="left"/>
      </w:pPr>
    </w:p>
    <w:p w:rsidR="008A401D" w:rsidRDefault="008A401D" w:rsidP="008A401D">
      <w:pPr>
        <w:jc w:val="left"/>
      </w:pPr>
      <w:bookmarkStart w:id="5" w:name="OLE_LINK4"/>
      <w:bookmarkStart w:id="6" w:name="OLE_LINK3"/>
    </w:p>
    <w:p w:rsidR="008A401D" w:rsidRDefault="008A401D" w:rsidP="008A401D">
      <w:pPr>
        <w:jc w:val="left"/>
      </w:pPr>
      <w:r>
        <w:t>Encl</w:t>
      </w:r>
      <w:r>
        <w:tab/>
      </w:r>
      <w:r>
        <w:tab/>
      </w:r>
      <w:r>
        <w:tab/>
      </w:r>
      <w:r>
        <w:tab/>
      </w:r>
      <w:r>
        <w:tab/>
      </w:r>
      <w:r>
        <w:tab/>
        <w:t xml:space="preserve">     XXXXXXXXXXXXXXXXXXX</w:t>
      </w:r>
    </w:p>
    <w:p w:rsidR="008A401D" w:rsidRDefault="008A401D" w:rsidP="008A401D">
      <w:pPr>
        <w:jc w:val="left"/>
      </w:pPr>
      <w:r>
        <w:tab/>
      </w:r>
      <w:r>
        <w:tab/>
      </w:r>
      <w:r>
        <w:tab/>
      </w:r>
      <w:r>
        <w:tab/>
      </w:r>
      <w:r>
        <w:tab/>
      </w:r>
      <w:r>
        <w:tab/>
        <w:t xml:space="preserve">     Deputy Assistant Secretary</w:t>
      </w:r>
    </w:p>
    <w:p w:rsidR="008A401D" w:rsidRDefault="008A401D" w:rsidP="008A401D">
      <w:pPr>
        <w:jc w:val="left"/>
      </w:pPr>
      <w:r>
        <w:tab/>
      </w:r>
      <w:r>
        <w:tab/>
      </w:r>
      <w:r>
        <w:tab/>
      </w:r>
      <w:r>
        <w:tab/>
      </w:r>
      <w:r>
        <w:tab/>
      </w:r>
      <w:r>
        <w:tab/>
        <w:t xml:space="preserve">         (Army Review Boards)</w:t>
      </w:r>
      <w:bookmarkEnd w:id="5"/>
      <w:bookmarkEnd w:id="6"/>
    </w:p>
    <w:p w:rsidR="008A401D" w:rsidRDefault="008A401D" w:rsidP="008A401D">
      <w:pPr>
        <w:jc w:val="left"/>
      </w:pPr>
    </w:p>
    <w:p w:rsidR="008A401D" w:rsidRDefault="008A401D" w:rsidP="008A401D">
      <w:pPr>
        <w:jc w:val="left"/>
      </w:pPr>
      <w:r>
        <w:t xml:space="preserve">CF: </w:t>
      </w:r>
    </w:p>
    <w:p w:rsidR="008A401D" w:rsidRDefault="008A401D" w:rsidP="008A401D">
      <w:pPr>
        <w:jc w:val="left"/>
      </w:pPr>
      <w:r>
        <w:t xml:space="preserve">(  ) </w:t>
      </w:r>
      <w:proofErr w:type="spellStart"/>
      <w:proofErr w:type="gramStart"/>
      <w:r>
        <w:t>DoD</w:t>
      </w:r>
      <w:proofErr w:type="spellEnd"/>
      <w:proofErr w:type="gramEnd"/>
      <w:r>
        <w:t xml:space="preserve"> PDBR</w:t>
      </w:r>
    </w:p>
    <w:p w:rsidR="008A401D" w:rsidRDefault="008A401D" w:rsidP="008A401D">
      <w:pPr>
        <w:jc w:val="left"/>
      </w:pPr>
      <w:r>
        <w:t>(  ) DVA</w:t>
      </w:r>
    </w:p>
    <w:p w:rsidR="008A401D" w:rsidRDefault="008A401D" w:rsidP="008A401D">
      <w:pPr>
        <w:jc w:val="left"/>
      </w:pPr>
    </w:p>
    <w:p w:rsidR="008A401D" w:rsidRDefault="008A401D" w:rsidP="008A401D">
      <w:pPr>
        <w:jc w:val="left"/>
      </w:pPr>
    </w:p>
    <w:p w:rsidR="008A401D" w:rsidRDefault="008A401D" w:rsidP="008A401D">
      <w:pPr>
        <w:jc w:val="left"/>
      </w:pPr>
    </w:p>
    <w:p w:rsidR="008A401D" w:rsidRDefault="008A401D" w:rsidP="008A401D">
      <w:pPr>
        <w:jc w:val="left"/>
      </w:pPr>
    </w:p>
    <w:p w:rsidR="008A401D" w:rsidRDefault="008A401D" w:rsidP="008A401D">
      <w:pPr>
        <w:jc w:val="left"/>
      </w:pPr>
    </w:p>
    <w:p w:rsidR="008A401D" w:rsidRDefault="008A401D" w:rsidP="008A401D">
      <w:pPr>
        <w:jc w:val="left"/>
      </w:pPr>
    </w:p>
    <w:p w:rsidR="008A401D" w:rsidRDefault="008A401D" w:rsidP="008A401D">
      <w:pPr>
        <w:jc w:val="left"/>
      </w:pPr>
    </w:p>
    <w:p w:rsidR="008A401D" w:rsidRDefault="008A401D" w:rsidP="008A401D">
      <w:pPr>
        <w:jc w:val="left"/>
      </w:pPr>
    </w:p>
    <w:p w:rsidR="008A401D" w:rsidRDefault="008A401D" w:rsidP="008A401D">
      <w:pPr>
        <w:jc w:val="left"/>
      </w:pPr>
    </w:p>
    <w:p w:rsidR="008A401D" w:rsidRDefault="008A401D" w:rsidP="008A401D">
      <w:pPr>
        <w:jc w:val="left"/>
      </w:pPr>
    </w:p>
    <w:p w:rsidR="008A401D" w:rsidRDefault="008A401D" w:rsidP="008A401D">
      <w:pPr>
        <w:jc w:val="left"/>
      </w:pPr>
    </w:p>
    <w:p w:rsidR="008A401D" w:rsidRDefault="008A401D" w:rsidP="008A401D">
      <w:pPr>
        <w:jc w:val="left"/>
      </w:pPr>
    </w:p>
    <w:p w:rsidR="008A401D" w:rsidRDefault="008A401D" w:rsidP="008A401D">
      <w:pPr>
        <w:jc w:val="left"/>
      </w:pPr>
    </w:p>
    <w:p w:rsidR="008A401D" w:rsidRDefault="008A401D" w:rsidP="008A401D">
      <w:pPr>
        <w:jc w:val="left"/>
      </w:pPr>
    </w:p>
    <w:p w:rsidR="008A401D" w:rsidRDefault="008A401D" w:rsidP="008A401D">
      <w:pPr>
        <w:jc w:val="left"/>
      </w:pPr>
    </w:p>
    <w:p w:rsidR="008A401D" w:rsidRDefault="008A401D" w:rsidP="008A401D">
      <w:pPr>
        <w:jc w:val="left"/>
      </w:pPr>
    </w:p>
    <w:p w:rsidR="008A401D" w:rsidRDefault="008A401D" w:rsidP="008A401D">
      <w:pPr>
        <w:jc w:val="left"/>
      </w:pPr>
    </w:p>
    <w:p w:rsidR="008A401D" w:rsidRDefault="008A401D" w:rsidP="008A401D">
      <w:pPr>
        <w:jc w:val="left"/>
      </w:pPr>
    </w:p>
    <w:p w:rsidR="008A401D" w:rsidRDefault="008A401D" w:rsidP="008A401D">
      <w:pPr>
        <w:jc w:val="left"/>
      </w:pPr>
    </w:p>
    <w:p w:rsidR="008A401D" w:rsidRDefault="008A401D" w:rsidP="008A401D">
      <w:pPr>
        <w:jc w:val="left"/>
      </w:pPr>
    </w:p>
    <w:p w:rsidR="008A401D" w:rsidRDefault="008A401D" w:rsidP="008A401D">
      <w:pPr>
        <w:jc w:val="left"/>
      </w:pPr>
    </w:p>
    <w:p w:rsidR="008A401D" w:rsidRDefault="008A401D" w:rsidP="008A401D">
      <w:pPr>
        <w:jc w:val="left"/>
      </w:pPr>
    </w:p>
    <w:p w:rsidR="008A401D" w:rsidRDefault="008A401D" w:rsidP="008A401D">
      <w:pPr>
        <w:jc w:val="left"/>
      </w:pPr>
    </w:p>
    <w:p w:rsidR="008A401D" w:rsidRDefault="008A401D" w:rsidP="008A401D">
      <w:pPr>
        <w:jc w:val="left"/>
      </w:pPr>
    </w:p>
    <w:p w:rsidR="008A401D" w:rsidRDefault="008A401D" w:rsidP="008A401D">
      <w:pPr>
        <w:jc w:val="left"/>
      </w:pPr>
    </w:p>
    <w:p w:rsidR="008A401D" w:rsidRDefault="008A401D" w:rsidP="008A401D">
      <w:pPr>
        <w:jc w:val="left"/>
      </w:pPr>
      <w:r>
        <w:t>2</w:t>
      </w:r>
    </w:p>
    <w:p w:rsidR="009348AD" w:rsidRDefault="009348AD" w:rsidP="008A401D">
      <w:pPr>
        <w:spacing w:line="240" w:lineRule="auto"/>
        <w:jc w:val="left"/>
        <w:rPr>
          <w:rFonts w:asciiTheme="majorHAnsi" w:hAnsiTheme="majorHAnsi" w:cs="Times New Roman"/>
          <w:b/>
          <w:bCs/>
          <w:color w:val="auto"/>
          <w:szCs w:val="24"/>
        </w:rPr>
      </w:pPr>
    </w:p>
    <w:sectPr w:rsidR="009348AD"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2B1" w:rsidRDefault="00B422B1">
      <w:r>
        <w:separator/>
      </w:r>
    </w:p>
  </w:endnote>
  <w:endnote w:type="continuationSeparator" w:id="0">
    <w:p w:rsidR="00B422B1" w:rsidRDefault="00B422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E36" w:rsidRPr="00374247" w:rsidRDefault="00910E36" w:rsidP="00726F84">
    <w:pPr>
      <w:pStyle w:val="Footer"/>
      <w:ind w:firstLine="4320"/>
      <w:rPr>
        <w:color w:val="auto"/>
      </w:rPr>
    </w:pPr>
    <w:r w:rsidRPr="00374247">
      <w:rPr>
        <w:color w:val="auto"/>
      </w:rPr>
      <w:t xml:space="preserve">   </w:t>
    </w:r>
    <w:r w:rsidR="007C162F" w:rsidRPr="007C162F">
      <w:fldChar w:fldCharType="begin"/>
    </w:r>
    <w:r w:rsidR="00B422B1">
      <w:instrText xml:space="preserve"> PAGE   \* MERGEFORMAT </w:instrText>
    </w:r>
    <w:r w:rsidR="007C162F" w:rsidRPr="007C162F">
      <w:fldChar w:fldCharType="separate"/>
    </w:r>
    <w:r w:rsidR="008A401D" w:rsidRPr="008A401D">
      <w:rPr>
        <w:noProof/>
        <w:color w:val="auto"/>
      </w:rPr>
      <w:t>5</w:t>
    </w:r>
    <w:r w:rsidR="007C162F">
      <w:rPr>
        <w:noProof/>
        <w:color w:val="auto"/>
      </w:rPr>
      <w:fldChar w:fldCharType="end"/>
    </w:r>
    <w:r w:rsidRPr="00374247">
      <w:rPr>
        <w:color w:val="auto"/>
      </w:rPr>
      <w:t xml:space="preserve">                                                           </w:t>
    </w:r>
    <w:r w:rsidRPr="00AC4DB4">
      <w:rPr>
        <w:caps/>
        <w:color w:val="000000" w:themeColor="text1"/>
      </w:rPr>
      <w:t>PD1200117</w:t>
    </w:r>
  </w:p>
  <w:p w:rsidR="00910E36" w:rsidRPr="00684CE6" w:rsidRDefault="00910E36">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2B1" w:rsidRDefault="00B422B1">
      <w:r>
        <w:separator/>
      </w:r>
    </w:p>
  </w:footnote>
  <w:footnote w:type="continuationSeparator" w:id="0">
    <w:p w:rsidR="00B422B1" w:rsidRDefault="00B422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numRestart w:val="eachSect"/>
    <w:footnote w:id="-1"/>
    <w:footnote w:id="0"/>
  </w:footnotePr>
  <w:endnotePr>
    <w:endnote w:id="-1"/>
    <w:endnote w:id="0"/>
  </w:endnotePr>
  <w:compat/>
  <w:rsids>
    <w:rsidRoot w:val="001C28D1"/>
    <w:rsid w:val="000024F5"/>
    <w:rsid w:val="000039F9"/>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913"/>
    <w:rsid w:val="00023D43"/>
    <w:rsid w:val="00024002"/>
    <w:rsid w:val="00024DE7"/>
    <w:rsid w:val="0002564A"/>
    <w:rsid w:val="00026092"/>
    <w:rsid w:val="00030678"/>
    <w:rsid w:val="00030776"/>
    <w:rsid w:val="00031F4D"/>
    <w:rsid w:val="00032DCE"/>
    <w:rsid w:val="00032E07"/>
    <w:rsid w:val="00032FFD"/>
    <w:rsid w:val="00033287"/>
    <w:rsid w:val="000332CA"/>
    <w:rsid w:val="0003374E"/>
    <w:rsid w:val="000344D8"/>
    <w:rsid w:val="000344E6"/>
    <w:rsid w:val="00034F3B"/>
    <w:rsid w:val="00035C3A"/>
    <w:rsid w:val="00036E4B"/>
    <w:rsid w:val="00037929"/>
    <w:rsid w:val="000379D0"/>
    <w:rsid w:val="00040FC4"/>
    <w:rsid w:val="000416F8"/>
    <w:rsid w:val="00042C26"/>
    <w:rsid w:val="00043382"/>
    <w:rsid w:val="00044623"/>
    <w:rsid w:val="000452D7"/>
    <w:rsid w:val="00051622"/>
    <w:rsid w:val="00051A11"/>
    <w:rsid w:val="00051A70"/>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5D7B"/>
    <w:rsid w:val="0008708B"/>
    <w:rsid w:val="00092619"/>
    <w:rsid w:val="00092C66"/>
    <w:rsid w:val="00092CC9"/>
    <w:rsid w:val="000949DD"/>
    <w:rsid w:val="00094E4F"/>
    <w:rsid w:val="000A2BCE"/>
    <w:rsid w:val="000A31E2"/>
    <w:rsid w:val="000A33C8"/>
    <w:rsid w:val="000A41E3"/>
    <w:rsid w:val="000A4BBA"/>
    <w:rsid w:val="000A5071"/>
    <w:rsid w:val="000B0AD2"/>
    <w:rsid w:val="000B1022"/>
    <w:rsid w:val="000B1C9E"/>
    <w:rsid w:val="000B2FB8"/>
    <w:rsid w:val="000B3927"/>
    <w:rsid w:val="000B471C"/>
    <w:rsid w:val="000B4C99"/>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577"/>
    <w:rsid w:val="000E7034"/>
    <w:rsid w:val="000F002B"/>
    <w:rsid w:val="000F02BE"/>
    <w:rsid w:val="000F0928"/>
    <w:rsid w:val="000F0B3D"/>
    <w:rsid w:val="000F1E65"/>
    <w:rsid w:val="000F2F2B"/>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8BF"/>
    <w:rsid w:val="00105C07"/>
    <w:rsid w:val="00106370"/>
    <w:rsid w:val="00106920"/>
    <w:rsid w:val="00106AD8"/>
    <w:rsid w:val="001078DB"/>
    <w:rsid w:val="001079FA"/>
    <w:rsid w:val="00107B3B"/>
    <w:rsid w:val="00107EC5"/>
    <w:rsid w:val="001103CD"/>
    <w:rsid w:val="00111D3F"/>
    <w:rsid w:val="00112F44"/>
    <w:rsid w:val="00113D2A"/>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12"/>
    <w:rsid w:val="00153740"/>
    <w:rsid w:val="001537D8"/>
    <w:rsid w:val="00153D88"/>
    <w:rsid w:val="001541C5"/>
    <w:rsid w:val="001554E4"/>
    <w:rsid w:val="0015623F"/>
    <w:rsid w:val="00156585"/>
    <w:rsid w:val="00156BA9"/>
    <w:rsid w:val="001578AC"/>
    <w:rsid w:val="00161642"/>
    <w:rsid w:val="00161761"/>
    <w:rsid w:val="00164413"/>
    <w:rsid w:val="001657BE"/>
    <w:rsid w:val="00166182"/>
    <w:rsid w:val="0017038B"/>
    <w:rsid w:val="00170C94"/>
    <w:rsid w:val="0017139A"/>
    <w:rsid w:val="001724C8"/>
    <w:rsid w:val="001725E0"/>
    <w:rsid w:val="001732C4"/>
    <w:rsid w:val="001745DD"/>
    <w:rsid w:val="00174FDE"/>
    <w:rsid w:val="00174FE3"/>
    <w:rsid w:val="00176D63"/>
    <w:rsid w:val="00177659"/>
    <w:rsid w:val="001779E5"/>
    <w:rsid w:val="00180826"/>
    <w:rsid w:val="00181240"/>
    <w:rsid w:val="001829AC"/>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E7784"/>
    <w:rsid w:val="001F0297"/>
    <w:rsid w:val="001F29F9"/>
    <w:rsid w:val="001F6E0B"/>
    <w:rsid w:val="00200AA0"/>
    <w:rsid w:val="00202325"/>
    <w:rsid w:val="00202736"/>
    <w:rsid w:val="00203229"/>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7606"/>
    <w:rsid w:val="00217C09"/>
    <w:rsid w:val="00220F5C"/>
    <w:rsid w:val="00220FA9"/>
    <w:rsid w:val="002216BF"/>
    <w:rsid w:val="00221B9B"/>
    <w:rsid w:val="00222268"/>
    <w:rsid w:val="00224C9D"/>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030"/>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1612"/>
    <w:rsid w:val="00313C3A"/>
    <w:rsid w:val="00313D7A"/>
    <w:rsid w:val="00314517"/>
    <w:rsid w:val="003155FB"/>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4547"/>
    <w:rsid w:val="003549F5"/>
    <w:rsid w:val="00355ACB"/>
    <w:rsid w:val="003567DE"/>
    <w:rsid w:val="00356A84"/>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D5"/>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1F7"/>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655F"/>
    <w:rsid w:val="003C7AEC"/>
    <w:rsid w:val="003D2BA3"/>
    <w:rsid w:val="003D316B"/>
    <w:rsid w:val="003D3A6E"/>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E6A6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1FBE"/>
    <w:rsid w:val="004123D7"/>
    <w:rsid w:val="00412658"/>
    <w:rsid w:val="004129DA"/>
    <w:rsid w:val="00415EA4"/>
    <w:rsid w:val="0041604B"/>
    <w:rsid w:val="004172DB"/>
    <w:rsid w:val="004174F0"/>
    <w:rsid w:val="00417999"/>
    <w:rsid w:val="00420A1D"/>
    <w:rsid w:val="00420B1E"/>
    <w:rsid w:val="004211FD"/>
    <w:rsid w:val="00421485"/>
    <w:rsid w:val="004216DA"/>
    <w:rsid w:val="00421DEA"/>
    <w:rsid w:val="00422B75"/>
    <w:rsid w:val="00422EF3"/>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40E9"/>
    <w:rsid w:val="00464744"/>
    <w:rsid w:val="004647EB"/>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DA1"/>
    <w:rsid w:val="00483A2B"/>
    <w:rsid w:val="00484212"/>
    <w:rsid w:val="004848C3"/>
    <w:rsid w:val="00484BA9"/>
    <w:rsid w:val="00484E0F"/>
    <w:rsid w:val="0048599A"/>
    <w:rsid w:val="00486818"/>
    <w:rsid w:val="0049255F"/>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4F7C57"/>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3BFC"/>
    <w:rsid w:val="005442D4"/>
    <w:rsid w:val="0054586A"/>
    <w:rsid w:val="0054631F"/>
    <w:rsid w:val="00546C24"/>
    <w:rsid w:val="005471BA"/>
    <w:rsid w:val="00547BDA"/>
    <w:rsid w:val="00547BE6"/>
    <w:rsid w:val="0055034F"/>
    <w:rsid w:val="00550476"/>
    <w:rsid w:val="0055288D"/>
    <w:rsid w:val="005533DE"/>
    <w:rsid w:val="00555259"/>
    <w:rsid w:val="00555C66"/>
    <w:rsid w:val="005569EF"/>
    <w:rsid w:val="00556BDE"/>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45F7"/>
    <w:rsid w:val="005B5B3D"/>
    <w:rsid w:val="005B5E8F"/>
    <w:rsid w:val="005B64CF"/>
    <w:rsid w:val="005B72DA"/>
    <w:rsid w:val="005B78D3"/>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5E51"/>
    <w:rsid w:val="005E65DC"/>
    <w:rsid w:val="005E6AEE"/>
    <w:rsid w:val="005E72B2"/>
    <w:rsid w:val="005E79A0"/>
    <w:rsid w:val="005F013C"/>
    <w:rsid w:val="005F097E"/>
    <w:rsid w:val="005F1115"/>
    <w:rsid w:val="005F1AB6"/>
    <w:rsid w:val="005F27F2"/>
    <w:rsid w:val="005F2B27"/>
    <w:rsid w:val="005F3567"/>
    <w:rsid w:val="005F3AFE"/>
    <w:rsid w:val="005F424D"/>
    <w:rsid w:val="005F5342"/>
    <w:rsid w:val="005F55F5"/>
    <w:rsid w:val="005F5EC1"/>
    <w:rsid w:val="005F67A9"/>
    <w:rsid w:val="005F6B6D"/>
    <w:rsid w:val="005F73CA"/>
    <w:rsid w:val="005F74C0"/>
    <w:rsid w:val="006002FE"/>
    <w:rsid w:val="006008F8"/>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502"/>
    <w:rsid w:val="00665D75"/>
    <w:rsid w:val="0066684A"/>
    <w:rsid w:val="006708E3"/>
    <w:rsid w:val="00670DDC"/>
    <w:rsid w:val="00671389"/>
    <w:rsid w:val="00671EB4"/>
    <w:rsid w:val="00671F6F"/>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3FFA"/>
    <w:rsid w:val="006C6AB1"/>
    <w:rsid w:val="006C6E6B"/>
    <w:rsid w:val="006C714C"/>
    <w:rsid w:val="006C73D4"/>
    <w:rsid w:val="006D145F"/>
    <w:rsid w:val="006D2000"/>
    <w:rsid w:val="006D2D39"/>
    <w:rsid w:val="006D2F2F"/>
    <w:rsid w:val="006D2F31"/>
    <w:rsid w:val="006D4250"/>
    <w:rsid w:val="006D4E0E"/>
    <w:rsid w:val="006D5861"/>
    <w:rsid w:val="006D5CE2"/>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1CC"/>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CAE"/>
    <w:rsid w:val="00763F95"/>
    <w:rsid w:val="007651ED"/>
    <w:rsid w:val="00765CA4"/>
    <w:rsid w:val="00766C87"/>
    <w:rsid w:val="00771043"/>
    <w:rsid w:val="0077272B"/>
    <w:rsid w:val="00773AF7"/>
    <w:rsid w:val="00773C45"/>
    <w:rsid w:val="00774FFD"/>
    <w:rsid w:val="00776EB9"/>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162F"/>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4E8D"/>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2D2D"/>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02D9"/>
    <w:rsid w:val="00871262"/>
    <w:rsid w:val="0087170E"/>
    <w:rsid w:val="00871D4E"/>
    <w:rsid w:val="00871E7B"/>
    <w:rsid w:val="008721BB"/>
    <w:rsid w:val="008734E7"/>
    <w:rsid w:val="0087566D"/>
    <w:rsid w:val="00875B50"/>
    <w:rsid w:val="00875B51"/>
    <w:rsid w:val="00875F2D"/>
    <w:rsid w:val="008762E7"/>
    <w:rsid w:val="008764DC"/>
    <w:rsid w:val="00881C17"/>
    <w:rsid w:val="00882CC2"/>
    <w:rsid w:val="00883103"/>
    <w:rsid w:val="0088325A"/>
    <w:rsid w:val="00883930"/>
    <w:rsid w:val="00883A2C"/>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401D"/>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C7250"/>
    <w:rsid w:val="008D1484"/>
    <w:rsid w:val="008D29E7"/>
    <w:rsid w:val="008D4997"/>
    <w:rsid w:val="008D5104"/>
    <w:rsid w:val="008D75F4"/>
    <w:rsid w:val="008D795D"/>
    <w:rsid w:val="008D7B07"/>
    <w:rsid w:val="008E0D8F"/>
    <w:rsid w:val="008E0F4E"/>
    <w:rsid w:val="008E1E94"/>
    <w:rsid w:val="008E2D99"/>
    <w:rsid w:val="008E30D4"/>
    <w:rsid w:val="008E38B0"/>
    <w:rsid w:val="008E3C90"/>
    <w:rsid w:val="008E4A60"/>
    <w:rsid w:val="008E5254"/>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60"/>
    <w:rsid w:val="00905EEF"/>
    <w:rsid w:val="00906EB7"/>
    <w:rsid w:val="00907FE6"/>
    <w:rsid w:val="009102BF"/>
    <w:rsid w:val="00910E36"/>
    <w:rsid w:val="00911490"/>
    <w:rsid w:val="009115F2"/>
    <w:rsid w:val="00911B11"/>
    <w:rsid w:val="00912004"/>
    <w:rsid w:val="00914ADB"/>
    <w:rsid w:val="00915196"/>
    <w:rsid w:val="00915A11"/>
    <w:rsid w:val="00917182"/>
    <w:rsid w:val="00920251"/>
    <w:rsid w:val="00920259"/>
    <w:rsid w:val="00921CFD"/>
    <w:rsid w:val="00923B25"/>
    <w:rsid w:val="0092402E"/>
    <w:rsid w:val="009259BA"/>
    <w:rsid w:val="00926C0A"/>
    <w:rsid w:val="00926FCB"/>
    <w:rsid w:val="009303BB"/>
    <w:rsid w:val="0093108A"/>
    <w:rsid w:val="009319EF"/>
    <w:rsid w:val="00931B6D"/>
    <w:rsid w:val="0093311A"/>
    <w:rsid w:val="009346D0"/>
    <w:rsid w:val="009348AD"/>
    <w:rsid w:val="009369A6"/>
    <w:rsid w:val="00936E38"/>
    <w:rsid w:val="00937433"/>
    <w:rsid w:val="00937F57"/>
    <w:rsid w:val="0094031E"/>
    <w:rsid w:val="009419B4"/>
    <w:rsid w:val="00941A4C"/>
    <w:rsid w:val="00942645"/>
    <w:rsid w:val="0094483B"/>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4A8"/>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6023"/>
    <w:rsid w:val="009B69D3"/>
    <w:rsid w:val="009B721E"/>
    <w:rsid w:val="009B7BA7"/>
    <w:rsid w:val="009B7C01"/>
    <w:rsid w:val="009C0938"/>
    <w:rsid w:val="009C0C22"/>
    <w:rsid w:val="009C12A1"/>
    <w:rsid w:val="009C15D9"/>
    <w:rsid w:val="009C1A1D"/>
    <w:rsid w:val="009C22C8"/>
    <w:rsid w:val="009C327C"/>
    <w:rsid w:val="009C3F82"/>
    <w:rsid w:val="009C582A"/>
    <w:rsid w:val="009C5C56"/>
    <w:rsid w:val="009C635A"/>
    <w:rsid w:val="009C72DD"/>
    <w:rsid w:val="009C78FD"/>
    <w:rsid w:val="009C7DF5"/>
    <w:rsid w:val="009D056C"/>
    <w:rsid w:val="009D060F"/>
    <w:rsid w:val="009D0A91"/>
    <w:rsid w:val="009D1ADE"/>
    <w:rsid w:val="009D297C"/>
    <w:rsid w:val="009D3652"/>
    <w:rsid w:val="009D37CA"/>
    <w:rsid w:val="009D4229"/>
    <w:rsid w:val="009D4268"/>
    <w:rsid w:val="009D5DE9"/>
    <w:rsid w:val="009E0115"/>
    <w:rsid w:val="009E09D0"/>
    <w:rsid w:val="009E1181"/>
    <w:rsid w:val="009E1283"/>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6A4"/>
    <w:rsid w:val="00A31FE2"/>
    <w:rsid w:val="00A32743"/>
    <w:rsid w:val="00A33760"/>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44D8"/>
    <w:rsid w:val="00A959E7"/>
    <w:rsid w:val="00A95BBA"/>
    <w:rsid w:val="00A95DF0"/>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4BA4"/>
    <w:rsid w:val="00AB592E"/>
    <w:rsid w:val="00AC0C1C"/>
    <w:rsid w:val="00AC1305"/>
    <w:rsid w:val="00AC37BE"/>
    <w:rsid w:val="00AC439D"/>
    <w:rsid w:val="00AC4BA1"/>
    <w:rsid w:val="00AC4DB4"/>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081"/>
    <w:rsid w:val="00B36569"/>
    <w:rsid w:val="00B37345"/>
    <w:rsid w:val="00B37F53"/>
    <w:rsid w:val="00B40A05"/>
    <w:rsid w:val="00B40A3E"/>
    <w:rsid w:val="00B422B1"/>
    <w:rsid w:val="00B427BB"/>
    <w:rsid w:val="00B43BA2"/>
    <w:rsid w:val="00B449EE"/>
    <w:rsid w:val="00B454AE"/>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23C"/>
    <w:rsid w:val="00B643A6"/>
    <w:rsid w:val="00B64DD6"/>
    <w:rsid w:val="00B66505"/>
    <w:rsid w:val="00B66A01"/>
    <w:rsid w:val="00B6710C"/>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21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1AE"/>
    <w:rsid w:val="00C3223A"/>
    <w:rsid w:val="00C337D0"/>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CC9"/>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0B83"/>
    <w:rsid w:val="00CD15BE"/>
    <w:rsid w:val="00CD1EF2"/>
    <w:rsid w:val="00CD32BD"/>
    <w:rsid w:val="00CD34C7"/>
    <w:rsid w:val="00CD5653"/>
    <w:rsid w:val="00CD5E6D"/>
    <w:rsid w:val="00CD63C8"/>
    <w:rsid w:val="00CD76F8"/>
    <w:rsid w:val="00CD78A5"/>
    <w:rsid w:val="00CE02E8"/>
    <w:rsid w:val="00CE043B"/>
    <w:rsid w:val="00CE069E"/>
    <w:rsid w:val="00CE0DE0"/>
    <w:rsid w:val="00CE2B1F"/>
    <w:rsid w:val="00CE2CC2"/>
    <w:rsid w:val="00CE3722"/>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236"/>
    <w:rsid w:val="00D60483"/>
    <w:rsid w:val="00D61ABB"/>
    <w:rsid w:val="00D62D5C"/>
    <w:rsid w:val="00D63577"/>
    <w:rsid w:val="00D67647"/>
    <w:rsid w:val="00D67FD7"/>
    <w:rsid w:val="00D704E4"/>
    <w:rsid w:val="00D71A04"/>
    <w:rsid w:val="00D72410"/>
    <w:rsid w:val="00D73D53"/>
    <w:rsid w:val="00D7402C"/>
    <w:rsid w:val="00D7408A"/>
    <w:rsid w:val="00D74261"/>
    <w:rsid w:val="00D7441B"/>
    <w:rsid w:val="00D74D38"/>
    <w:rsid w:val="00D75589"/>
    <w:rsid w:val="00D76AB2"/>
    <w:rsid w:val="00D7763E"/>
    <w:rsid w:val="00D80490"/>
    <w:rsid w:val="00D828F9"/>
    <w:rsid w:val="00D829AD"/>
    <w:rsid w:val="00D82EE2"/>
    <w:rsid w:val="00D8352E"/>
    <w:rsid w:val="00D83746"/>
    <w:rsid w:val="00D83D1B"/>
    <w:rsid w:val="00D84133"/>
    <w:rsid w:val="00D846AF"/>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6691"/>
    <w:rsid w:val="00D9706F"/>
    <w:rsid w:val="00D972D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523"/>
    <w:rsid w:val="00DC4A3C"/>
    <w:rsid w:val="00DC4FA4"/>
    <w:rsid w:val="00DC5028"/>
    <w:rsid w:val="00DC5B37"/>
    <w:rsid w:val="00DD286D"/>
    <w:rsid w:val="00DD2CAF"/>
    <w:rsid w:val="00DD3593"/>
    <w:rsid w:val="00DD462A"/>
    <w:rsid w:val="00DD64E0"/>
    <w:rsid w:val="00DD775C"/>
    <w:rsid w:val="00DD7BE0"/>
    <w:rsid w:val="00DE0C67"/>
    <w:rsid w:val="00DE3555"/>
    <w:rsid w:val="00DE3AAD"/>
    <w:rsid w:val="00DE598A"/>
    <w:rsid w:val="00DE5A80"/>
    <w:rsid w:val="00DE6952"/>
    <w:rsid w:val="00DE6FBE"/>
    <w:rsid w:val="00DE7A7D"/>
    <w:rsid w:val="00DE7E74"/>
    <w:rsid w:val="00DF071B"/>
    <w:rsid w:val="00DF5C84"/>
    <w:rsid w:val="00DF5D3A"/>
    <w:rsid w:val="00DF5EC0"/>
    <w:rsid w:val="00DF6EF8"/>
    <w:rsid w:val="00DF6EFE"/>
    <w:rsid w:val="00E00A69"/>
    <w:rsid w:val="00E017BC"/>
    <w:rsid w:val="00E017F0"/>
    <w:rsid w:val="00E01A0E"/>
    <w:rsid w:val="00E025FE"/>
    <w:rsid w:val="00E02FB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12DF"/>
    <w:rsid w:val="00E21386"/>
    <w:rsid w:val="00E235F0"/>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16FA"/>
    <w:rsid w:val="00E42789"/>
    <w:rsid w:val="00E438A4"/>
    <w:rsid w:val="00E43F59"/>
    <w:rsid w:val="00E4430B"/>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97C77"/>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283"/>
    <w:rsid w:val="00EC337D"/>
    <w:rsid w:val="00EC38EF"/>
    <w:rsid w:val="00EC4849"/>
    <w:rsid w:val="00EC50C9"/>
    <w:rsid w:val="00EC58B4"/>
    <w:rsid w:val="00EC5BB2"/>
    <w:rsid w:val="00EC75AF"/>
    <w:rsid w:val="00ED05B1"/>
    <w:rsid w:val="00ED12F0"/>
    <w:rsid w:val="00ED2874"/>
    <w:rsid w:val="00ED290C"/>
    <w:rsid w:val="00ED2A6C"/>
    <w:rsid w:val="00ED4773"/>
    <w:rsid w:val="00ED5284"/>
    <w:rsid w:val="00ED54A8"/>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2A26"/>
    <w:rsid w:val="00F2361E"/>
    <w:rsid w:val="00F24072"/>
    <w:rsid w:val="00F26432"/>
    <w:rsid w:val="00F3197A"/>
    <w:rsid w:val="00F32139"/>
    <w:rsid w:val="00F33CF0"/>
    <w:rsid w:val="00F33D56"/>
    <w:rsid w:val="00F33FA7"/>
    <w:rsid w:val="00F34E08"/>
    <w:rsid w:val="00F41D6D"/>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05A"/>
    <w:rsid w:val="00F82981"/>
    <w:rsid w:val="00F8311F"/>
    <w:rsid w:val="00F83248"/>
    <w:rsid w:val="00F83376"/>
    <w:rsid w:val="00F853AE"/>
    <w:rsid w:val="00F90376"/>
    <w:rsid w:val="00F908D5"/>
    <w:rsid w:val="00F912A0"/>
    <w:rsid w:val="00F913B9"/>
    <w:rsid w:val="00F91B14"/>
    <w:rsid w:val="00F93C74"/>
    <w:rsid w:val="00F93DCC"/>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8"/>
    <w:rsid w:val="00FD6C2D"/>
    <w:rsid w:val="00FD7B23"/>
    <w:rsid w:val="00FE0730"/>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4378182">
      <w:bodyDiv w:val="1"/>
      <w:marLeft w:val="0"/>
      <w:marRight w:val="0"/>
      <w:marTop w:val="0"/>
      <w:marBottom w:val="0"/>
      <w:divBdr>
        <w:top w:val="none" w:sz="0" w:space="0" w:color="auto"/>
        <w:left w:val="none" w:sz="0" w:space="0" w:color="auto"/>
        <w:bottom w:val="none" w:sz="0" w:space="0" w:color="auto"/>
        <w:right w:val="none" w:sz="0" w:space="0" w:color="auto"/>
      </w:divBdr>
    </w:div>
    <w:div w:id="1077946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2782</Words>
  <Characters>15863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2012-10-16T13:08:00Z</cp:lastPrinted>
  <dcterms:created xsi:type="dcterms:W3CDTF">2012-11-07T21:27:00Z</dcterms:created>
  <dcterms:modified xsi:type="dcterms:W3CDTF">2012-11-07T21:27:00Z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