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D67963">
        <w:rPr>
          <w:caps/>
          <w:color w:val="000000" w:themeColor="text1"/>
        </w:rPr>
        <w:t xml:space="preserve"> </w:t>
      </w:r>
      <w:r w:rsidR="00651BB5">
        <w:rPr>
          <w:caps/>
          <w:color w:val="000000" w:themeColor="text1"/>
        </w:rPr>
        <w:tab/>
      </w:r>
      <w:r w:rsidR="00651BB5">
        <w:rPr>
          <w:caps/>
          <w:color w:val="000000" w:themeColor="text1"/>
        </w:rPr>
        <w:tab/>
      </w:r>
      <w:r w:rsidRPr="001F29F9">
        <w:rPr>
          <w:caps/>
          <w:color w:val="000000" w:themeColor="text1"/>
        </w:rPr>
        <w:t>BRANCH OF SERVICE</w:t>
      </w:r>
      <w:r w:rsidRPr="00086D02">
        <w:rPr>
          <w:caps/>
          <w:color w:val="000000" w:themeColor="text1"/>
        </w:rPr>
        <w:t>:</w:t>
      </w:r>
      <w:r w:rsidR="004C24C5" w:rsidRPr="00086D02">
        <w:rPr>
          <w:caps/>
          <w:color w:val="000000" w:themeColor="text1"/>
        </w:rPr>
        <w:t xml:space="preserve"> </w:t>
      </w:r>
      <w:r w:rsidR="00FA4A26">
        <w:rPr>
          <w:caps/>
          <w:color w:val="000000" w:themeColor="text1"/>
        </w:rPr>
        <w:t xml:space="preserve"> </w:t>
      </w:r>
      <w:r w:rsidR="004216DA" w:rsidRPr="00086D02">
        <w:rPr>
          <w:caps/>
          <w:color w:val="000000" w:themeColor="text1"/>
        </w:rPr>
        <w:t>navy</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w:t>
      </w:r>
      <w:r w:rsidR="00086D02">
        <w:rPr>
          <w:caps/>
          <w:color w:val="000000" w:themeColor="text1"/>
        </w:rPr>
        <w:t>2</w:t>
      </w:r>
      <w:r w:rsidR="00DE3AAD" w:rsidRPr="00086D02">
        <w:rPr>
          <w:caps/>
          <w:color w:val="000000" w:themeColor="text1"/>
        </w:rPr>
        <w:t>00</w:t>
      </w:r>
      <w:r w:rsidR="00086D02" w:rsidRPr="00086D02">
        <w:rPr>
          <w:caps/>
          <w:color w:val="000000" w:themeColor="text1"/>
        </w:rPr>
        <w:t>109</w:t>
      </w:r>
      <w:r w:rsidR="00DE3AAD" w:rsidRPr="001F29F9">
        <w:rPr>
          <w:color w:val="000000" w:themeColor="text1"/>
        </w:rPr>
        <w:t xml:space="preserve"> </w:t>
      </w:r>
      <w:r w:rsidR="00651BB5">
        <w:rPr>
          <w:color w:val="000000" w:themeColor="text1"/>
        </w:rPr>
        <w:tab/>
      </w:r>
      <w:r w:rsidR="00651BB5">
        <w:rPr>
          <w:color w:val="000000" w:themeColor="text1"/>
        </w:rPr>
        <w:tab/>
      </w:r>
      <w:r w:rsidR="00651BB5">
        <w:rPr>
          <w:color w:val="000000" w:themeColor="text1"/>
        </w:rPr>
        <w:tab/>
      </w:r>
      <w:r w:rsidR="00DE3AAD" w:rsidRPr="001F29F9">
        <w:rPr>
          <w:color w:val="000000" w:themeColor="text1"/>
        </w:rPr>
        <w:t>SEPARATION DATE:  200</w:t>
      </w:r>
      <w:r w:rsidR="00086D02">
        <w:rPr>
          <w:color w:val="000000" w:themeColor="text1"/>
        </w:rPr>
        <w:t>50228</w:t>
      </w:r>
    </w:p>
    <w:p w:rsidR="003B2143" w:rsidRPr="001F29F9" w:rsidRDefault="00FA4A26" w:rsidP="00BF0E94">
      <w:pPr>
        <w:tabs>
          <w:tab w:val="left" w:pos="288"/>
          <w:tab w:val="left" w:pos="5130"/>
        </w:tabs>
        <w:jc w:val="both"/>
        <w:rPr>
          <w:color w:val="000000" w:themeColor="text1"/>
        </w:rPr>
      </w:pPr>
      <w:r>
        <w:rPr>
          <w:caps/>
          <w:color w:val="000000" w:themeColor="text1"/>
        </w:rPr>
        <w:t>BOARD DATE:  2012</w:t>
      </w:r>
      <w:r w:rsidR="00D50979">
        <w:rPr>
          <w:caps/>
          <w:color w:val="000000" w:themeColor="text1"/>
        </w:rPr>
        <w:t>0517</w:t>
      </w:r>
      <w:r w:rsidR="003B2143" w:rsidRPr="001F29F9">
        <w:rPr>
          <w:caps/>
          <w:color w:val="000000" w:themeColor="text1"/>
        </w:rPr>
        <w:tab/>
      </w:r>
    </w:p>
    <w:p w:rsidR="00D50979" w:rsidRPr="001F29F9" w:rsidRDefault="00D50979" w:rsidP="00D50979">
      <w:pPr>
        <w:pBdr>
          <w:bottom w:val="single" w:sz="12" w:space="1" w:color="auto"/>
        </w:pBdr>
        <w:tabs>
          <w:tab w:val="left" w:pos="288"/>
          <w:tab w:val="left" w:pos="4752"/>
        </w:tabs>
        <w:jc w:val="both"/>
        <w:rPr>
          <w:color w:val="000000" w:themeColor="text1"/>
        </w:rPr>
      </w:pPr>
    </w:p>
    <w:p w:rsidR="00D50979" w:rsidRPr="001F29F9" w:rsidRDefault="00D50979" w:rsidP="00D50979">
      <w:pPr>
        <w:tabs>
          <w:tab w:val="left" w:pos="288"/>
          <w:tab w:val="left" w:pos="4752"/>
        </w:tabs>
        <w:jc w:val="both"/>
        <w:rPr>
          <w:color w:val="000000" w:themeColor="text1"/>
        </w:rPr>
      </w:pPr>
    </w:p>
    <w:p w:rsidR="00F63FC7" w:rsidRPr="001F29F9" w:rsidRDefault="00FB0E80" w:rsidP="005B08C1">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6D4E0E" w:rsidRPr="001F29F9">
        <w:rPr>
          <w:color w:val="000000" w:themeColor="text1"/>
          <w:szCs w:val="24"/>
        </w:rPr>
        <w:t xml:space="preserve"> </w:t>
      </w:r>
      <w:r w:rsidR="001E774D">
        <w:rPr>
          <w:color w:val="000000" w:themeColor="text1"/>
          <w:szCs w:val="24"/>
        </w:rPr>
        <w:t>Sailor,</w:t>
      </w:r>
      <w:r w:rsidR="002E65E6" w:rsidRPr="001F29F9">
        <w:rPr>
          <w:color w:val="000000" w:themeColor="text1"/>
          <w:szCs w:val="24"/>
        </w:rPr>
        <w:t xml:space="preserve"> </w:t>
      </w:r>
      <w:r w:rsidR="001E774D">
        <w:rPr>
          <w:color w:val="000000" w:themeColor="text1"/>
          <w:szCs w:val="24"/>
        </w:rPr>
        <w:t>IS2</w:t>
      </w:r>
      <w:r w:rsidR="00661BA2" w:rsidRPr="001F29F9">
        <w:rPr>
          <w:color w:val="000000" w:themeColor="text1"/>
          <w:szCs w:val="24"/>
        </w:rPr>
        <w:t>/E-5</w:t>
      </w:r>
      <w:r w:rsidR="00705C40" w:rsidRPr="001F29F9">
        <w:rPr>
          <w:color w:val="000000" w:themeColor="text1"/>
          <w:szCs w:val="24"/>
        </w:rPr>
        <w:t>(</w:t>
      </w:r>
      <w:r w:rsidR="006C3F6B">
        <w:rPr>
          <w:color w:val="000000" w:themeColor="text1"/>
          <w:szCs w:val="24"/>
        </w:rPr>
        <w:t>3910</w:t>
      </w:r>
      <w:r w:rsidR="00C75F3D" w:rsidRPr="001F29F9">
        <w:rPr>
          <w:color w:val="000000" w:themeColor="text1"/>
          <w:szCs w:val="24"/>
        </w:rPr>
        <w:t xml:space="preserve">, </w:t>
      </w:r>
      <w:r w:rsidR="006C3F6B">
        <w:rPr>
          <w:color w:val="000000" w:themeColor="text1"/>
          <w:szCs w:val="24"/>
        </w:rPr>
        <w:t xml:space="preserve">Intelligence </w:t>
      </w:r>
      <w:r w:rsidR="00527543">
        <w:rPr>
          <w:color w:val="000000" w:themeColor="text1"/>
          <w:szCs w:val="24"/>
        </w:rPr>
        <w:t>Specialist</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 xml:space="preserve">medically separated for </w:t>
      </w:r>
      <w:r w:rsidR="00FA4A26">
        <w:rPr>
          <w:color w:val="000000" w:themeColor="text1"/>
          <w:szCs w:val="24"/>
        </w:rPr>
        <w:t xml:space="preserve">a </w:t>
      </w:r>
      <w:r w:rsidR="001E774D">
        <w:rPr>
          <w:color w:val="000000" w:themeColor="text1"/>
          <w:szCs w:val="24"/>
        </w:rPr>
        <w:t xml:space="preserve">bilateral hip </w:t>
      </w:r>
      <w:r w:rsidR="00FA4A26">
        <w:rPr>
          <w:color w:val="000000" w:themeColor="text1"/>
          <w:szCs w:val="24"/>
        </w:rPr>
        <w:t>condition</w:t>
      </w:r>
      <w:r w:rsidR="00C75F3D" w:rsidRPr="001F29F9">
        <w:rPr>
          <w:i/>
          <w:color w:val="000000" w:themeColor="text1"/>
          <w:szCs w:val="24"/>
        </w:rPr>
        <w:t>.</w:t>
      </w:r>
      <w:r w:rsidR="00F91F53">
        <w:rPr>
          <w:color w:val="000000" w:themeColor="text1"/>
          <w:szCs w:val="24"/>
        </w:rPr>
        <w:t xml:space="preserve"> </w:t>
      </w:r>
      <w:r w:rsidR="005B08C1">
        <w:rPr>
          <w:color w:val="000000" w:themeColor="text1"/>
          <w:szCs w:val="24"/>
        </w:rPr>
        <w:t xml:space="preserve"> </w:t>
      </w:r>
      <w:r w:rsidR="00430387">
        <w:rPr>
          <w:color w:val="000000" w:themeColor="text1"/>
          <w:szCs w:val="24"/>
        </w:rPr>
        <w:t>She</w:t>
      </w:r>
      <w:r w:rsidR="00643C8F" w:rsidRPr="001F29F9">
        <w:rPr>
          <w:color w:val="000000" w:themeColor="text1"/>
          <w:szCs w:val="24"/>
        </w:rPr>
        <w:t xml:space="preserve"> did not respond adequately to </w:t>
      </w:r>
      <w:r w:rsidR="00FA4A26">
        <w:rPr>
          <w:color w:val="000000" w:themeColor="text1"/>
          <w:szCs w:val="24"/>
        </w:rPr>
        <w:t>conservative, non</w:t>
      </w:r>
      <w:r w:rsidR="007D444A">
        <w:rPr>
          <w:color w:val="000000" w:themeColor="text1"/>
          <w:szCs w:val="24"/>
        </w:rPr>
        <w:t>-</w:t>
      </w:r>
      <w:r w:rsidR="00FA4A26">
        <w:rPr>
          <w:color w:val="000000" w:themeColor="text1"/>
          <w:szCs w:val="24"/>
        </w:rPr>
        <w:t xml:space="preserve">operative </w:t>
      </w:r>
      <w:r w:rsidR="00643C8F" w:rsidRPr="001F29F9">
        <w:rPr>
          <w:color w:val="000000" w:themeColor="text1"/>
          <w:szCs w:val="24"/>
        </w:rPr>
        <w:t>treatment or meet physical fitness standards and underwent a Medical Evaluation Board (MEB).</w:t>
      </w:r>
      <w:r w:rsidR="00430387">
        <w:rPr>
          <w:color w:val="000000" w:themeColor="text1"/>
          <w:szCs w:val="24"/>
        </w:rPr>
        <w:t xml:space="preserve"> </w:t>
      </w:r>
      <w:r w:rsidR="005B08C1">
        <w:rPr>
          <w:color w:val="000000" w:themeColor="text1"/>
          <w:szCs w:val="24"/>
        </w:rPr>
        <w:t xml:space="preserve"> </w:t>
      </w:r>
      <w:r w:rsidR="00430387">
        <w:rPr>
          <w:color w:val="000000" w:themeColor="text1"/>
          <w:szCs w:val="24"/>
        </w:rPr>
        <w:t>Bilateral hip pain, etiology unclear</w:t>
      </w:r>
      <w:r w:rsidR="00317697">
        <w:rPr>
          <w:color w:val="000000" w:themeColor="text1"/>
          <w:szCs w:val="24"/>
        </w:rPr>
        <w:t>,</w:t>
      </w:r>
      <w:r w:rsidR="00430387">
        <w:rPr>
          <w:color w:val="000000" w:themeColor="text1"/>
          <w:szCs w:val="24"/>
        </w:rPr>
        <w:t xml:space="preserve"> was</w:t>
      </w:r>
      <w:r w:rsidR="000A33C8" w:rsidRPr="001F29F9">
        <w:rPr>
          <w:color w:val="000000" w:themeColor="text1"/>
          <w:szCs w:val="24"/>
        </w:rPr>
        <w:t xml:space="preserve"> forwarded to the Physical Evaluation Board (PEB) as medically unacceptable IAW </w:t>
      </w:r>
      <w:r w:rsidR="00AB1F8D" w:rsidRPr="00430387">
        <w:rPr>
          <w:color w:val="000000" w:themeColor="text1"/>
          <w:szCs w:val="24"/>
        </w:rPr>
        <w:t>SECNAVINST 1850.4E</w:t>
      </w:r>
      <w:r w:rsidR="00376E08" w:rsidRPr="001F29F9">
        <w:rPr>
          <w:color w:val="000000" w:themeColor="text1"/>
          <w:szCs w:val="24"/>
        </w:rPr>
        <w:t>.</w:t>
      </w:r>
      <w:r w:rsidR="00430387">
        <w:rPr>
          <w:color w:val="000000" w:themeColor="text1"/>
          <w:szCs w:val="24"/>
        </w:rPr>
        <w:t xml:space="preserve"> </w:t>
      </w:r>
      <w:r w:rsidR="005B08C1">
        <w:rPr>
          <w:color w:val="000000" w:themeColor="text1"/>
          <w:szCs w:val="24"/>
        </w:rPr>
        <w:t xml:space="preserve"> </w:t>
      </w:r>
      <w:r w:rsidR="001A5E62" w:rsidRPr="001F29F9">
        <w:rPr>
          <w:color w:val="000000" w:themeColor="text1"/>
          <w:szCs w:val="24"/>
        </w:rPr>
        <w:t xml:space="preserve">No other conditions appeared on the MEB’s submission.  </w:t>
      </w:r>
      <w:r w:rsidR="00842BAA" w:rsidRPr="001F29F9">
        <w:rPr>
          <w:color w:val="000000" w:themeColor="text1"/>
          <w:szCs w:val="24"/>
        </w:rPr>
        <w:t>The PEB</w:t>
      </w:r>
      <w:r w:rsidR="008E62F2">
        <w:rPr>
          <w:color w:val="000000" w:themeColor="text1"/>
          <w:szCs w:val="24"/>
        </w:rPr>
        <w:t xml:space="preserve"> </w:t>
      </w:r>
      <w:r w:rsidR="00842BAA" w:rsidRPr="001F29F9">
        <w:rPr>
          <w:color w:val="000000" w:themeColor="text1"/>
          <w:szCs w:val="24"/>
        </w:rPr>
        <w:t xml:space="preserve">adjudicated </w:t>
      </w:r>
      <w:r w:rsidR="00430387">
        <w:rPr>
          <w:color w:val="000000" w:themeColor="text1"/>
          <w:szCs w:val="24"/>
        </w:rPr>
        <w:t>bilateral hip pain as</w:t>
      </w:r>
      <w:r w:rsidR="00842BAA" w:rsidRPr="001F29F9">
        <w:rPr>
          <w:color w:val="000000" w:themeColor="text1"/>
          <w:szCs w:val="24"/>
        </w:rPr>
        <w:t xml:space="preserve"> unfitting, rat</w:t>
      </w:r>
      <w:r w:rsidR="00317697">
        <w:rPr>
          <w:color w:val="000000" w:themeColor="text1"/>
          <w:szCs w:val="24"/>
        </w:rPr>
        <w:t>ed</w:t>
      </w:r>
      <w:r w:rsidR="00430387">
        <w:rPr>
          <w:color w:val="000000" w:themeColor="text1"/>
          <w:szCs w:val="24"/>
        </w:rPr>
        <w:t xml:space="preserve"> 20%</w:t>
      </w:r>
      <w:r w:rsidR="00317697">
        <w:rPr>
          <w:color w:val="000000" w:themeColor="text1"/>
          <w:szCs w:val="24"/>
        </w:rPr>
        <w:t>,</w:t>
      </w:r>
      <w:r w:rsidR="00842BAA" w:rsidRPr="001F29F9">
        <w:rPr>
          <w:color w:val="000000" w:themeColor="text1"/>
          <w:szCs w:val="24"/>
        </w:rPr>
        <w:t xml:space="preserve"> with application of </w:t>
      </w:r>
      <w:r w:rsidR="00430387">
        <w:rPr>
          <w:color w:val="000000" w:themeColor="text1"/>
          <w:szCs w:val="24"/>
        </w:rPr>
        <w:t>the</w:t>
      </w:r>
      <w:r w:rsidR="00842BAA" w:rsidRPr="00430387">
        <w:rPr>
          <w:color w:val="000000" w:themeColor="text1"/>
          <w:szCs w:val="24"/>
        </w:rPr>
        <w:t xml:space="preserve"> Veterans Administration Schedule for Rating Disabilities (VASRD)</w:t>
      </w:r>
      <w:r w:rsidR="00842BAA" w:rsidRPr="001F29F9">
        <w:rPr>
          <w:color w:val="000000" w:themeColor="text1"/>
          <w:szCs w:val="24"/>
        </w:rPr>
        <w:t>.</w:t>
      </w:r>
      <w:r w:rsidR="00E715C1">
        <w:rPr>
          <w:color w:val="000000" w:themeColor="text1"/>
          <w:szCs w:val="24"/>
        </w:rPr>
        <w:t xml:space="preserve"> </w:t>
      </w:r>
      <w:r w:rsidR="00FA4A26">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 xml:space="preserve">and was medically separated with a </w:t>
      </w:r>
      <w:r w:rsidR="00EA538D">
        <w:rPr>
          <w:color w:val="000000" w:themeColor="text1"/>
        </w:rPr>
        <w:t>20</w:t>
      </w:r>
      <w:r w:rsidR="00B20624" w:rsidRPr="001F29F9">
        <w:rPr>
          <w:color w:val="000000" w:themeColor="text1"/>
        </w:rPr>
        <w:t>% combined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0E26E0">
        <w:rPr>
          <w:color w:val="000000" w:themeColor="text1"/>
        </w:rPr>
        <w:t xml:space="preserve"> The CI states: “I do not feel that I was given the sufficient rating that my disability from my hips have ca</w:t>
      </w:r>
      <w:r w:rsidR="00317697">
        <w:rPr>
          <w:color w:val="000000" w:themeColor="text1"/>
        </w:rPr>
        <w:t>used</w:t>
      </w:r>
      <w:r w:rsidR="000E26E0">
        <w:rPr>
          <w:color w:val="000000" w:themeColor="text1"/>
        </w:rPr>
        <w:t xml:space="preserve"> including back problems, knee problems and also continuous migraines that I was given a 0% disability.” [sic] She </w:t>
      </w:r>
      <w:r w:rsidR="00ED5284" w:rsidRPr="001F29F9">
        <w:rPr>
          <w:rFonts w:eastAsiaTheme="minorHAnsi"/>
          <w:color w:val="000000" w:themeColor="text1"/>
          <w:szCs w:val="24"/>
        </w:rPr>
        <w:t>mentions no additionally contended conditions.</w:t>
      </w:r>
    </w:p>
    <w:p w:rsidR="004174F0" w:rsidRPr="001F29F9" w:rsidRDefault="004174F0" w:rsidP="00BF0E94">
      <w:pPr>
        <w:pBdr>
          <w:bottom w:val="single" w:sz="12" w:space="1" w:color="auto"/>
        </w:pBdr>
        <w:tabs>
          <w:tab w:val="left" w:pos="288"/>
          <w:tab w:val="left" w:pos="4752"/>
        </w:tabs>
        <w:jc w:val="both"/>
        <w:rPr>
          <w:color w:val="000000" w:themeColor="text1"/>
        </w:rPr>
      </w:pPr>
    </w:p>
    <w:p w:rsidR="00FA4A26" w:rsidRDefault="00FA4A26" w:rsidP="00FA4A26">
      <w:pPr>
        <w:jc w:val="both"/>
        <w:rPr>
          <w:color w:val="auto"/>
          <w:u w:val="single"/>
        </w:rPr>
      </w:pPr>
    </w:p>
    <w:p w:rsidR="00FA4A26" w:rsidRPr="00C566C9" w:rsidRDefault="00FA4A26" w:rsidP="00FA4A26">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527543">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w:t>
      </w:r>
      <w:r w:rsidRPr="00FA4A26">
        <w:rPr>
          <w:color w:val="auto"/>
        </w:rPr>
        <w:t xml:space="preserve">those condition(s) “identified but not determined to </w:t>
      </w:r>
      <w:r w:rsidR="008E62F2">
        <w:rPr>
          <w:color w:val="auto"/>
        </w:rPr>
        <w:t>be unfitting by the PEB.”  The s</w:t>
      </w:r>
      <w:r w:rsidRPr="00FA4A26">
        <w:rPr>
          <w:color w:val="auto"/>
        </w:rPr>
        <w:t>ervice ratings for unfitting conditions will be reviewed in all cases.  The other requested conditions are not within the Board’s purview.  Any conditions or contention not requested in this application, or otherwise outside the Board’s defined scope of review, remain eligible for future consideration by the Board for Correction of Naval Records (BCNR).</w:t>
      </w:r>
      <w:r>
        <w:rPr>
          <w:color w:val="auto"/>
        </w:rPr>
        <w:t xml:space="preserve">  </w:t>
      </w:r>
    </w:p>
    <w:p w:rsidR="00FA4A26" w:rsidRPr="001F29F9" w:rsidRDefault="00FA4A26" w:rsidP="00FA4A26">
      <w:pPr>
        <w:pBdr>
          <w:bottom w:val="single" w:sz="12" w:space="1" w:color="auto"/>
        </w:pBdr>
        <w:tabs>
          <w:tab w:val="left" w:pos="288"/>
          <w:tab w:val="left" w:pos="4752"/>
        </w:tabs>
        <w:jc w:val="both"/>
        <w:rPr>
          <w:color w:val="000000" w:themeColor="text1"/>
        </w:rPr>
      </w:pPr>
    </w:p>
    <w:p w:rsidR="00FA4A26" w:rsidRDefault="00FA4A26" w:rsidP="00FA4A26">
      <w:pPr>
        <w:jc w:val="both"/>
        <w:rPr>
          <w:color w:val="auto"/>
          <w:u w:val="single"/>
        </w:rPr>
      </w:pPr>
    </w:p>
    <w:p w:rsidR="00C8590C" w:rsidRPr="001F29F9" w:rsidRDefault="007F0AB7" w:rsidP="00BF0E94">
      <w:pPr>
        <w:jc w:val="left"/>
        <w:rPr>
          <w:color w:val="000000" w:themeColor="text1"/>
          <w:szCs w:val="28"/>
          <w:highlight w:val="magenta"/>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FA4A26">
      <w:pPr>
        <w:jc w:val="both"/>
        <w:rPr>
          <w:color w:val="000000" w:themeColor="text1"/>
        </w:rPr>
      </w:pPr>
    </w:p>
    <w:tbl>
      <w:tblPr>
        <w:tblStyle w:val="TableGrid"/>
        <w:tblpPr w:leftFromText="187" w:rightFromText="187" w:vertAnchor="text" w:tblpXSpec="center" w:tblpY="1"/>
        <w:tblOverlap w:val="never"/>
        <w:tblW w:w="9378" w:type="dxa"/>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335B3F">
        <w:trPr>
          <w:trHeight w:val="233"/>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0660A1">
              <w:rPr>
                <w:rFonts w:ascii="Calibri" w:hAnsi="Calibri" w:cs="Calibri"/>
                <w:b/>
                <w:color w:val="000000" w:themeColor="text1"/>
                <w:sz w:val="18"/>
                <w:szCs w:val="18"/>
              </w:rPr>
              <w:t>41102</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7C3FDB">
              <w:rPr>
                <w:rFonts w:ascii="Calibri" w:hAnsi="Calibri" w:cs="Calibri"/>
                <w:b/>
                <w:color w:val="000000" w:themeColor="text1"/>
                <w:sz w:val="18"/>
                <w:szCs w:val="18"/>
              </w:rPr>
              <w:t>8</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 xml:space="preserve">Mo. </w:t>
            </w:r>
            <w:r w:rsidRPr="007C3FDB">
              <w:rPr>
                <w:rFonts w:ascii="Calibri" w:hAnsi="Calibri" w:cs="Calibri"/>
                <w:b/>
                <w:color w:val="000000" w:themeColor="text1"/>
                <w:sz w:val="18"/>
                <w:szCs w:val="18"/>
              </w:rPr>
              <w:t>After</w:t>
            </w:r>
            <w:r w:rsidRPr="001F29F9">
              <w:rPr>
                <w:rFonts w:ascii="Calibri" w:hAnsi="Calibri" w:cs="Calibri"/>
                <w:b/>
                <w:color w:val="000000" w:themeColor="text1"/>
                <w:sz w:val="18"/>
                <w:szCs w:val="18"/>
              </w:rPr>
              <w:t xml:space="preserve"> Separation) – All Effective Date </w:t>
            </w:r>
            <w:r w:rsidR="002D08F3" w:rsidRPr="001F29F9">
              <w:rPr>
                <w:rFonts w:ascii="Calibri" w:hAnsi="Calibri" w:cs="Calibri"/>
                <w:b/>
                <w:color w:val="000000" w:themeColor="text1"/>
                <w:sz w:val="18"/>
                <w:szCs w:val="18"/>
              </w:rPr>
              <w:t>200</w:t>
            </w:r>
            <w:r w:rsidR="007C3FDB">
              <w:rPr>
                <w:rFonts w:ascii="Calibri" w:hAnsi="Calibri" w:cs="Calibri"/>
                <w:b/>
                <w:color w:val="000000" w:themeColor="text1"/>
                <w:sz w:val="18"/>
                <w:szCs w:val="18"/>
              </w:rPr>
              <w:t>50301</w:t>
            </w:r>
          </w:p>
        </w:tc>
      </w:tr>
      <w:tr w:rsidR="002B4E22" w:rsidRPr="001F29F9" w:rsidTr="00335B3F">
        <w:trPr>
          <w:trHeight w:val="278"/>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auto"/>
            </w:tcBorders>
            <w:shd w:val="clear" w:color="auto" w:fill="D9D9D9" w:themeFill="background1" w:themeFillShade="D9"/>
            <w:vAlign w:val="center"/>
          </w:tcPr>
          <w:p w:rsidR="002B4E22" w:rsidRPr="001F29F9" w:rsidRDefault="002B4E22"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335B3F" w:rsidRPr="001F29F9" w:rsidTr="00335B3F">
        <w:trPr>
          <w:trHeight w:val="238"/>
        </w:trPr>
        <w:tc>
          <w:tcPr>
            <w:tcW w:w="2178" w:type="dxa"/>
            <w:vMerge w:val="restart"/>
            <w:tcBorders>
              <w:right w:val="single" w:sz="4" w:space="0" w:color="auto"/>
            </w:tcBorders>
            <w:shd w:val="clear" w:color="auto" w:fill="FFFFFF" w:themeFill="background1"/>
            <w:vAlign w:val="center"/>
          </w:tcPr>
          <w:p w:rsidR="00335B3F" w:rsidRDefault="00335B3F" w:rsidP="00335B3F">
            <w:pPr>
              <w:spacing w:line="180" w:lineRule="exact"/>
              <w:contextualSpacing/>
              <w:jc w:val="left"/>
              <w:rPr>
                <w:rFonts w:ascii="Calibri" w:eastAsia="Times New Roman" w:hAnsi="Calibri" w:cs="Calibri"/>
                <w:color w:val="000000" w:themeColor="text1"/>
                <w:sz w:val="18"/>
                <w:szCs w:val="18"/>
              </w:rPr>
            </w:pPr>
          </w:p>
          <w:p w:rsidR="00335B3F" w:rsidRDefault="00335B3F" w:rsidP="00335B3F">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Bilateral Hip Pain</w:t>
            </w:r>
          </w:p>
          <w:p w:rsidR="00335B3F" w:rsidRPr="001F29F9" w:rsidRDefault="00335B3F" w:rsidP="00335B3F">
            <w:pPr>
              <w:spacing w:line="180" w:lineRule="exact"/>
              <w:contextualSpacing/>
              <w:jc w:val="left"/>
              <w:rPr>
                <w:rFonts w:ascii="Calibri" w:eastAsia="Times New Roman" w:hAnsi="Calibri" w:cs="Calibri"/>
                <w:color w:val="000000" w:themeColor="text1"/>
                <w:sz w:val="18"/>
                <w:szCs w:val="18"/>
              </w:rPr>
            </w:pPr>
          </w:p>
        </w:tc>
        <w:tc>
          <w:tcPr>
            <w:tcW w:w="1080" w:type="dxa"/>
            <w:vMerge w:val="restart"/>
            <w:tcBorders>
              <w:left w:val="single" w:sz="4" w:space="0" w:color="auto"/>
            </w:tcBorders>
            <w:shd w:val="clear" w:color="auto" w:fill="FFFFFF" w:themeFill="background1"/>
            <w:vAlign w:val="center"/>
          </w:tcPr>
          <w:p w:rsidR="00335B3F" w:rsidRPr="001F29F9" w:rsidRDefault="00335B3F" w:rsidP="00335B3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5099-5003</w:t>
            </w:r>
          </w:p>
        </w:tc>
        <w:tc>
          <w:tcPr>
            <w:tcW w:w="900" w:type="dxa"/>
            <w:vMerge w:val="restart"/>
            <w:tcBorders>
              <w:right w:val="thinThickThinSmallGap" w:sz="24" w:space="0" w:color="auto"/>
            </w:tcBorders>
            <w:shd w:val="clear" w:color="auto" w:fill="FFFFFF" w:themeFill="background1"/>
            <w:vAlign w:val="center"/>
          </w:tcPr>
          <w:p w:rsidR="00335B3F" w:rsidRPr="001F29F9" w:rsidRDefault="00335B3F" w:rsidP="00335B3F">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20</w:t>
            </w:r>
            <w:r w:rsidRPr="001F29F9">
              <w:rPr>
                <w:rFonts w:ascii="Calibri" w:hAnsi="Calibri" w:cs="Calibri"/>
                <w:color w:val="000000" w:themeColor="text1"/>
                <w:sz w:val="18"/>
                <w:szCs w:val="18"/>
              </w:rPr>
              <w:t>%</w:t>
            </w:r>
          </w:p>
        </w:tc>
        <w:tc>
          <w:tcPr>
            <w:tcW w:w="2322" w:type="dxa"/>
            <w:tcBorders>
              <w:left w:val="thinThickThinSmallGap" w:sz="24" w:space="0" w:color="auto"/>
              <w:bottom w:val="single" w:sz="4" w:space="0" w:color="auto"/>
            </w:tcBorders>
            <w:shd w:val="clear" w:color="auto" w:fill="FFFFFF" w:themeFill="background1"/>
            <w:vAlign w:val="center"/>
          </w:tcPr>
          <w:p w:rsidR="00335B3F" w:rsidRPr="001F29F9" w:rsidRDefault="00335B3F" w:rsidP="00335B3F">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Bursitis, R Hip</w:t>
            </w:r>
          </w:p>
        </w:tc>
        <w:tc>
          <w:tcPr>
            <w:tcW w:w="1080" w:type="dxa"/>
            <w:tcBorders>
              <w:bottom w:val="single" w:sz="4" w:space="0" w:color="auto"/>
            </w:tcBorders>
            <w:shd w:val="clear" w:color="auto" w:fill="FFFFFF" w:themeFill="background1"/>
            <w:vAlign w:val="center"/>
          </w:tcPr>
          <w:p w:rsidR="00335B3F" w:rsidRPr="001F29F9" w:rsidRDefault="00335B3F" w:rsidP="00335B3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5019-5003</w:t>
            </w:r>
          </w:p>
        </w:tc>
        <w:tc>
          <w:tcPr>
            <w:tcW w:w="828" w:type="dxa"/>
            <w:tcBorders>
              <w:bottom w:val="single" w:sz="4" w:space="0" w:color="auto"/>
            </w:tcBorders>
            <w:shd w:val="clear" w:color="auto" w:fill="FFFFFF" w:themeFill="background1"/>
            <w:vAlign w:val="center"/>
          </w:tcPr>
          <w:p w:rsidR="00335B3F" w:rsidRPr="001F29F9" w:rsidRDefault="00335B3F" w:rsidP="00335B3F">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tcBorders>
              <w:bottom w:val="single" w:sz="4" w:space="0" w:color="auto"/>
            </w:tcBorders>
            <w:shd w:val="clear" w:color="auto" w:fill="FFFFFF" w:themeFill="background1"/>
            <w:vAlign w:val="center"/>
          </w:tcPr>
          <w:p w:rsidR="00335B3F" w:rsidRPr="001F29F9" w:rsidRDefault="00335B3F" w:rsidP="00335B3F">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51007</w:t>
            </w:r>
          </w:p>
        </w:tc>
      </w:tr>
      <w:tr w:rsidR="00335B3F" w:rsidRPr="001F29F9" w:rsidTr="00335B3F">
        <w:trPr>
          <w:trHeight w:val="296"/>
        </w:trPr>
        <w:tc>
          <w:tcPr>
            <w:tcW w:w="2178" w:type="dxa"/>
            <w:vMerge/>
            <w:tcBorders>
              <w:right w:val="single" w:sz="4" w:space="0" w:color="auto"/>
            </w:tcBorders>
            <w:shd w:val="clear" w:color="auto" w:fill="FFFFFF" w:themeFill="background1"/>
            <w:vAlign w:val="center"/>
          </w:tcPr>
          <w:p w:rsidR="00335B3F" w:rsidRDefault="00335B3F" w:rsidP="00335B3F">
            <w:pPr>
              <w:spacing w:line="180" w:lineRule="exact"/>
              <w:contextualSpacing/>
              <w:jc w:val="left"/>
              <w:rPr>
                <w:rFonts w:cs="Calibri"/>
                <w:color w:val="000000" w:themeColor="text1"/>
                <w:sz w:val="18"/>
                <w:szCs w:val="18"/>
              </w:rPr>
            </w:pPr>
          </w:p>
        </w:tc>
        <w:tc>
          <w:tcPr>
            <w:tcW w:w="1080" w:type="dxa"/>
            <w:vMerge/>
            <w:tcBorders>
              <w:left w:val="single" w:sz="4" w:space="0" w:color="auto"/>
            </w:tcBorders>
            <w:shd w:val="clear" w:color="auto" w:fill="FFFFFF" w:themeFill="background1"/>
            <w:vAlign w:val="center"/>
          </w:tcPr>
          <w:p w:rsidR="00335B3F" w:rsidRDefault="00335B3F" w:rsidP="00335B3F">
            <w:pPr>
              <w:spacing w:line="180" w:lineRule="exact"/>
              <w:contextualSpacing/>
              <w:rPr>
                <w:rFonts w:cs="Calibri"/>
                <w:color w:val="000000" w:themeColor="text1"/>
                <w:sz w:val="18"/>
                <w:szCs w:val="18"/>
              </w:rPr>
            </w:pPr>
          </w:p>
        </w:tc>
        <w:tc>
          <w:tcPr>
            <w:tcW w:w="900" w:type="dxa"/>
            <w:vMerge/>
            <w:tcBorders>
              <w:right w:val="thinThickThinSmallGap" w:sz="24" w:space="0" w:color="auto"/>
            </w:tcBorders>
            <w:shd w:val="clear" w:color="auto" w:fill="FFFFFF" w:themeFill="background1"/>
            <w:vAlign w:val="center"/>
          </w:tcPr>
          <w:p w:rsidR="00335B3F" w:rsidRDefault="00335B3F" w:rsidP="00335B3F">
            <w:pPr>
              <w:spacing w:line="180" w:lineRule="exact"/>
              <w:rPr>
                <w:rFonts w:cs="Calibri"/>
                <w:color w:val="000000" w:themeColor="text1"/>
                <w:sz w:val="18"/>
                <w:szCs w:val="18"/>
              </w:rPr>
            </w:pPr>
          </w:p>
        </w:tc>
        <w:tc>
          <w:tcPr>
            <w:tcW w:w="2322" w:type="dxa"/>
            <w:tcBorders>
              <w:top w:val="single" w:sz="4" w:space="0" w:color="auto"/>
              <w:left w:val="thinThickThinSmallGap" w:sz="24" w:space="0" w:color="auto"/>
            </w:tcBorders>
            <w:shd w:val="clear" w:color="auto" w:fill="FFFFFF" w:themeFill="background1"/>
            <w:vAlign w:val="center"/>
          </w:tcPr>
          <w:p w:rsidR="00335B3F" w:rsidRPr="001F29F9" w:rsidRDefault="00335B3F" w:rsidP="00335B3F">
            <w:pPr>
              <w:spacing w:line="180" w:lineRule="exact"/>
              <w:contextualSpacing/>
              <w:jc w:val="left"/>
              <w:rPr>
                <w:rFonts w:cs="Calibri"/>
                <w:color w:val="000000" w:themeColor="text1"/>
                <w:sz w:val="18"/>
                <w:szCs w:val="18"/>
              </w:rPr>
            </w:pPr>
            <w:r>
              <w:rPr>
                <w:rFonts w:cs="Calibri"/>
                <w:color w:val="000000" w:themeColor="text1"/>
                <w:sz w:val="18"/>
                <w:szCs w:val="18"/>
              </w:rPr>
              <w:t>Bursitis, L Hip</w:t>
            </w:r>
          </w:p>
        </w:tc>
        <w:tc>
          <w:tcPr>
            <w:tcW w:w="1080" w:type="dxa"/>
            <w:tcBorders>
              <w:top w:val="single" w:sz="4" w:space="0" w:color="auto"/>
            </w:tcBorders>
            <w:shd w:val="clear" w:color="auto" w:fill="FFFFFF" w:themeFill="background1"/>
            <w:vAlign w:val="center"/>
          </w:tcPr>
          <w:p w:rsidR="00335B3F" w:rsidRPr="001F29F9" w:rsidRDefault="00335B3F" w:rsidP="00335B3F">
            <w:pPr>
              <w:spacing w:line="180" w:lineRule="exact"/>
              <w:contextualSpacing/>
              <w:rPr>
                <w:rFonts w:cs="Calibri"/>
                <w:color w:val="000000" w:themeColor="text1"/>
                <w:sz w:val="18"/>
                <w:szCs w:val="18"/>
              </w:rPr>
            </w:pPr>
            <w:r>
              <w:rPr>
                <w:rFonts w:cs="Calibri"/>
                <w:color w:val="000000" w:themeColor="text1"/>
                <w:sz w:val="18"/>
                <w:szCs w:val="18"/>
              </w:rPr>
              <w:t>5019-50</w:t>
            </w:r>
            <w:r w:rsidR="00F96C7A">
              <w:rPr>
                <w:rFonts w:cs="Calibri"/>
                <w:color w:val="000000" w:themeColor="text1"/>
                <w:sz w:val="18"/>
                <w:szCs w:val="18"/>
              </w:rPr>
              <w:t>0</w:t>
            </w:r>
            <w:r>
              <w:rPr>
                <w:rFonts w:cs="Calibri"/>
                <w:color w:val="000000" w:themeColor="text1"/>
                <w:sz w:val="18"/>
                <w:szCs w:val="18"/>
              </w:rPr>
              <w:t>3</w:t>
            </w:r>
          </w:p>
        </w:tc>
        <w:tc>
          <w:tcPr>
            <w:tcW w:w="828" w:type="dxa"/>
            <w:tcBorders>
              <w:top w:val="single" w:sz="4" w:space="0" w:color="auto"/>
            </w:tcBorders>
            <w:shd w:val="clear" w:color="auto" w:fill="FFFFFF" w:themeFill="background1"/>
            <w:vAlign w:val="center"/>
          </w:tcPr>
          <w:p w:rsidR="00335B3F" w:rsidRPr="001F29F9" w:rsidRDefault="00335B3F" w:rsidP="00335B3F">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tcBorders>
              <w:top w:val="single" w:sz="4" w:space="0" w:color="auto"/>
            </w:tcBorders>
            <w:shd w:val="clear" w:color="auto" w:fill="FFFFFF" w:themeFill="background1"/>
            <w:vAlign w:val="center"/>
          </w:tcPr>
          <w:p w:rsidR="00335B3F" w:rsidRPr="001F29F9" w:rsidRDefault="00335B3F" w:rsidP="00335B3F">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51007</w:t>
            </w:r>
          </w:p>
        </w:tc>
      </w:tr>
      <w:tr w:rsidR="00C0200C" w:rsidRPr="001F29F9" w:rsidTr="00335B3F">
        <w:trPr>
          <w:trHeight w:val="260"/>
        </w:trPr>
        <w:tc>
          <w:tcPr>
            <w:tcW w:w="4158" w:type="dxa"/>
            <w:gridSpan w:val="3"/>
            <w:tcBorders>
              <w:right w:val="thinThickThinSmallGap" w:sz="24" w:space="0" w:color="auto"/>
            </w:tcBorders>
            <w:shd w:val="clear" w:color="auto" w:fill="FFFFFF" w:themeFill="background1"/>
          </w:tcPr>
          <w:p w:rsidR="00C0200C" w:rsidRDefault="00C0200C" w:rsidP="00335B3F">
            <w:pPr>
              <w:spacing w:line="180" w:lineRule="exact"/>
              <w:contextualSpacing/>
              <w:rPr>
                <w:rFonts w:ascii="Calibri" w:eastAsia="Times New Roman" w:hAnsi="Calibri" w:cs="Calibri"/>
                <w:color w:val="000000" w:themeColor="text1"/>
                <w:sz w:val="18"/>
                <w:szCs w:val="18"/>
              </w:rPr>
            </w:pPr>
          </w:p>
          <w:p w:rsidR="00C0200C" w:rsidRDefault="00C0200C" w:rsidP="00335B3F">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p w:rsidR="00C0200C" w:rsidRPr="001F29F9" w:rsidRDefault="00C0200C" w:rsidP="00335B3F">
            <w:pPr>
              <w:spacing w:line="180" w:lineRule="exac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C0200C" w:rsidRPr="001F29F9" w:rsidRDefault="00C0200C" w:rsidP="00335B3F">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1</w:t>
            </w:r>
            <w:r w:rsidR="008E62F2">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6</w:t>
            </w:r>
          </w:p>
        </w:tc>
        <w:tc>
          <w:tcPr>
            <w:tcW w:w="990" w:type="dxa"/>
            <w:shd w:val="clear" w:color="auto" w:fill="FFFFFF" w:themeFill="background1"/>
            <w:vAlign w:val="center"/>
          </w:tcPr>
          <w:p w:rsidR="00C0200C" w:rsidRPr="001F29F9" w:rsidRDefault="00C0200C" w:rsidP="00335B3F">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51007</w:t>
            </w:r>
          </w:p>
        </w:tc>
      </w:tr>
      <w:tr w:rsidR="007A65A9" w:rsidRPr="001F29F9" w:rsidTr="00335B3F">
        <w:trPr>
          <w:trHeight w:val="242"/>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0660A1">
              <w:rPr>
                <w:rFonts w:ascii="Calibri" w:hAnsi="Calibri" w:cs="Calibri"/>
                <w:b/>
                <w:color w:val="000000" w:themeColor="text1"/>
                <w:sz w:val="18"/>
                <w:szCs w:val="18"/>
              </w:rPr>
              <w:t>20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335B3F">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335B3F">
              <w:rPr>
                <w:rFonts w:ascii="Calibri" w:hAnsi="Calibri" w:cs="Calibri"/>
                <w:b/>
                <w:color w:val="000000" w:themeColor="text1"/>
                <w:sz w:val="18"/>
                <w:szCs w:val="18"/>
              </w:rPr>
              <w:t>2</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r w:rsidR="00335B3F">
              <w:rPr>
                <w:rFonts w:ascii="Calibri" w:hAnsi="Calibri" w:cs="Calibri"/>
                <w:b/>
                <w:color w:val="000000" w:themeColor="text1"/>
                <w:sz w:val="18"/>
                <w:szCs w:val="18"/>
              </w:rPr>
              <w:t>*</w:t>
            </w:r>
          </w:p>
        </w:tc>
      </w:tr>
    </w:tbl>
    <w:p w:rsidR="004174F0" w:rsidRPr="00AD48C8" w:rsidRDefault="00A57C35" w:rsidP="00BF0E94">
      <w:pPr>
        <w:pBdr>
          <w:bottom w:val="single" w:sz="12" w:space="1" w:color="auto"/>
        </w:pBdr>
        <w:tabs>
          <w:tab w:val="left" w:pos="288"/>
          <w:tab w:val="left" w:pos="4752"/>
        </w:tabs>
        <w:jc w:val="both"/>
        <w:rPr>
          <w:color w:val="000000" w:themeColor="text1"/>
          <w:sz w:val="18"/>
          <w:szCs w:val="18"/>
        </w:rPr>
      </w:pPr>
      <w:r w:rsidRPr="00AD48C8">
        <w:rPr>
          <w:color w:val="000000" w:themeColor="text1"/>
          <w:sz w:val="18"/>
          <w:szCs w:val="18"/>
        </w:rPr>
        <w:t>*</w:t>
      </w:r>
      <w:r w:rsidR="00AD48C8" w:rsidRPr="00AD48C8">
        <w:rPr>
          <w:color w:val="000000" w:themeColor="text1"/>
          <w:sz w:val="18"/>
          <w:szCs w:val="18"/>
        </w:rPr>
        <w:t>Includes 1.9% bilateral factor</w:t>
      </w:r>
      <w:r w:rsidRPr="00AD48C8">
        <w:rPr>
          <w:color w:val="000000" w:themeColor="text1"/>
          <w:sz w:val="18"/>
          <w:szCs w:val="18"/>
        </w:rPr>
        <w:t>.</w:t>
      </w:r>
    </w:p>
    <w:p w:rsidR="009369A6" w:rsidRPr="001F29F9" w:rsidRDefault="009369A6" w:rsidP="00FA4A26">
      <w:pPr>
        <w:jc w:val="both"/>
        <w:rPr>
          <w:color w:val="000000" w:themeColor="text1"/>
          <w:szCs w:val="24"/>
          <w:u w:val="single"/>
        </w:rPr>
      </w:pPr>
    </w:p>
    <w:p w:rsidR="002C6E5B" w:rsidRPr="001F29F9" w:rsidRDefault="002C6E5B" w:rsidP="00FA4A26">
      <w:pPr>
        <w:jc w:val="both"/>
        <w:rPr>
          <w:color w:val="000000" w:themeColor="text1"/>
          <w:szCs w:val="24"/>
          <w:u w:val="single"/>
        </w:rPr>
      </w:pPr>
      <w:r w:rsidRPr="001F29F9">
        <w:rPr>
          <w:color w:val="000000" w:themeColor="text1"/>
          <w:szCs w:val="24"/>
          <w:u w:val="single"/>
        </w:rPr>
        <w:t>ANALYSIS SUMMARY</w:t>
      </w:r>
      <w:r w:rsidRPr="001F29F9">
        <w:rPr>
          <w:color w:val="000000" w:themeColor="text1"/>
          <w:szCs w:val="24"/>
        </w:rPr>
        <w:t>:</w:t>
      </w:r>
      <w:r w:rsidR="00FA4A26" w:rsidRPr="00FA4A26">
        <w:rPr>
          <w:rFonts w:eastAsiaTheme="minorHAnsi" w:cstheme="minorBidi"/>
          <w:color w:val="auto"/>
          <w:szCs w:val="24"/>
        </w:rPr>
        <w:t xml:space="preserve"> </w:t>
      </w:r>
      <w:r w:rsidR="00FA4A26">
        <w:rPr>
          <w:rFonts w:eastAsiaTheme="minorHAnsi" w:cstheme="minorBidi"/>
          <w:color w:val="auto"/>
          <w:szCs w:val="24"/>
        </w:rPr>
        <w:t xml:space="preserve"> </w:t>
      </w:r>
      <w:r w:rsidR="00FA4A26" w:rsidRPr="00F82D68">
        <w:rPr>
          <w:rFonts w:eastAsiaTheme="minorHAnsi" w:cstheme="minorBidi"/>
          <w:color w:val="auto"/>
          <w:szCs w:val="24"/>
        </w:rPr>
        <w:t xml:space="preserve">The Board acknowledges the CI’s </w:t>
      </w:r>
      <w:r w:rsidR="00FA4A26">
        <w:rPr>
          <w:rFonts w:eastAsiaTheme="minorHAnsi" w:cstheme="minorBidi"/>
          <w:color w:val="auto"/>
          <w:szCs w:val="24"/>
        </w:rPr>
        <w:t xml:space="preserve">assertion that she was not given a sufficient rating for her disability from her hips which have led to back, knee and migraine headache problems and that migraine headaches have subsequently been diagnosed and currently </w:t>
      </w:r>
      <w:r w:rsidR="00FA4A26" w:rsidRPr="00F82D68">
        <w:rPr>
          <w:rFonts w:eastAsiaTheme="minorHAnsi" w:cstheme="minorBidi"/>
          <w:color w:val="auto"/>
          <w:szCs w:val="24"/>
        </w:rPr>
        <w:t xml:space="preserve">rated by the </w:t>
      </w:r>
      <w:r w:rsidR="008E62F2">
        <w:rPr>
          <w:rFonts w:eastAsiaTheme="minorHAnsi" w:cstheme="minorBidi"/>
          <w:color w:val="auto"/>
          <w:szCs w:val="24"/>
        </w:rPr>
        <w:t>Department of Veterans’ Affairs (D</w:t>
      </w:r>
      <w:r w:rsidR="00FA4A26" w:rsidRPr="00F82D68">
        <w:rPr>
          <w:rFonts w:eastAsiaTheme="minorHAnsi" w:cstheme="minorBidi"/>
          <w:color w:val="auto"/>
          <w:szCs w:val="24"/>
        </w:rPr>
        <w:t>VA</w:t>
      </w:r>
      <w:r w:rsidR="008E62F2">
        <w:rPr>
          <w:rFonts w:eastAsiaTheme="minorHAnsi" w:cstheme="minorBidi"/>
          <w:color w:val="auto"/>
          <w:szCs w:val="24"/>
        </w:rPr>
        <w:t>)</w:t>
      </w:r>
      <w:r w:rsidR="00FA4A26">
        <w:rPr>
          <w:rFonts w:eastAsiaTheme="minorHAnsi" w:cstheme="minorBidi"/>
          <w:color w:val="auto"/>
          <w:szCs w:val="24"/>
        </w:rPr>
        <w:t xml:space="preserve">; but, </w:t>
      </w:r>
      <w:r w:rsidR="00FA4A26" w:rsidRPr="00F82D68">
        <w:rPr>
          <w:rFonts w:eastAsiaTheme="minorHAnsi" w:cstheme="minorBidi"/>
          <w:color w:val="auto"/>
          <w:szCs w:val="24"/>
        </w:rPr>
        <w:t xml:space="preserve">notes that the scope of its recommendations does not extend to conditions which were not diagnosed at the time of medical separation. </w:t>
      </w:r>
      <w:r w:rsidR="00FA4A26">
        <w:rPr>
          <w:rFonts w:eastAsiaTheme="minorHAnsi" w:cstheme="minorBidi"/>
          <w:color w:val="auto"/>
          <w:szCs w:val="24"/>
        </w:rPr>
        <w:t xml:space="preserve"> </w:t>
      </w:r>
      <w:r w:rsidR="00FA4A26" w:rsidRPr="00F82D68">
        <w:rPr>
          <w:rFonts w:eastAsiaTheme="minorHAnsi" w:cstheme="minorBidi"/>
          <w:color w:val="auto"/>
          <w:szCs w:val="24"/>
        </w:rPr>
        <w:t xml:space="preserve">The Board’s role is confined to the review of medical records and all </w:t>
      </w:r>
      <w:r w:rsidR="00FA4A26" w:rsidRPr="00F82D68">
        <w:rPr>
          <w:rFonts w:eastAsiaTheme="minorHAnsi" w:cstheme="minorBidi"/>
          <w:color w:val="auto"/>
          <w:szCs w:val="24"/>
        </w:rPr>
        <w:lastRenderedPageBreak/>
        <w:t xml:space="preserve">evidence at hand to assess the fairness of PEB rating determinations, compared to VASRD standards, based on severity at the time of separation.  </w:t>
      </w:r>
      <w:r w:rsidR="00FA4A26">
        <w:rPr>
          <w:color w:val="000000" w:themeColor="text1"/>
          <w:szCs w:val="24"/>
        </w:rPr>
        <w:t>In this endeavor t</w:t>
      </w:r>
      <w:r w:rsidR="00FA4A26" w:rsidRPr="00330D69">
        <w:rPr>
          <w:color w:val="000000" w:themeColor="text1"/>
          <w:szCs w:val="24"/>
        </w:rPr>
        <w:t>he Board i</w:t>
      </w:r>
      <w:r w:rsidR="008E62F2">
        <w:rPr>
          <w:color w:val="000000" w:themeColor="text1"/>
          <w:szCs w:val="24"/>
        </w:rPr>
        <w:t>s subject to the same laws for s</w:t>
      </w:r>
      <w:r w:rsidR="00FA4A26" w:rsidRPr="00330D69">
        <w:rPr>
          <w:color w:val="000000" w:themeColor="text1"/>
          <w:szCs w:val="24"/>
        </w:rPr>
        <w:t xml:space="preserve">ervice disability entitlements as those under which the </w:t>
      </w:r>
      <w:r w:rsidR="008E62F2">
        <w:rPr>
          <w:color w:val="000000" w:themeColor="text1"/>
          <w:szCs w:val="24"/>
        </w:rPr>
        <w:t>Disability Evaluation System (</w:t>
      </w:r>
      <w:r w:rsidR="00FA4A26" w:rsidRPr="00330D69">
        <w:rPr>
          <w:color w:val="000000" w:themeColor="text1"/>
          <w:szCs w:val="24"/>
        </w:rPr>
        <w:t>DES) operates.</w:t>
      </w:r>
      <w:r w:rsidR="00FA4A26">
        <w:rPr>
          <w:color w:val="000000" w:themeColor="text1"/>
          <w:szCs w:val="24"/>
        </w:rPr>
        <w:t xml:space="preserve"> </w:t>
      </w:r>
      <w:r w:rsidR="00FA4A26" w:rsidRPr="00330D69">
        <w:rPr>
          <w:color w:val="000000" w:themeColor="text1"/>
          <w:szCs w:val="24"/>
        </w:rPr>
        <w:t xml:space="preserve"> The</w:t>
      </w:r>
      <w:r w:rsidR="008E62F2">
        <w:rPr>
          <w:color w:val="000000" w:themeColor="text1"/>
          <w:szCs w:val="24"/>
        </w:rPr>
        <w:t xml:space="preserve"> </w:t>
      </w:r>
      <w:r w:rsidR="00FA4A26" w:rsidRPr="00330D69">
        <w:rPr>
          <w:color w:val="000000" w:themeColor="text1"/>
          <w:szCs w:val="24"/>
        </w:rPr>
        <w:t>DES has neither the role nor the authority to compensate service members for anticipated future severity or potential complications of conditions resulting in medical separation.</w:t>
      </w:r>
      <w:r w:rsidR="00FA4A26">
        <w:rPr>
          <w:color w:val="000000" w:themeColor="text1"/>
          <w:szCs w:val="24"/>
        </w:rPr>
        <w:t xml:space="preserve"> </w:t>
      </w:r>
      <w:r w:rsidR="00FA4A26" w:rsidRPr="00330D69">
        <w:rPr>
          <w:color w:val="000000" w:themeColor="text1"/>
          <w:szCs w:val="24"/>
        </w:rPr>
        <w:t xml:space="preserve"> That role and authority is granted by Congress to the </w:t>
      </w:r>
      <w:r w:rsidR="008E62F2">
        <w:rPr>
          <w:color w:val="000000" w:themeColor="text1"/>
          <w:szCs w:val="24"/>
        </w:rPr>
        <w:t>DVA</w:t>
      </w:r>
      <w:r w:rsidR="00FA4A26" w:rsidRPr="00330D69">
        <w:rPr>
          <w:color w:val="000000" w:themeColor="text1"/>
          <w:szCs w:val="24"/>
        </w:rPr>
        <w:t xml:space="preserve">, operating under a different set of laws (Title 38, United States Code). </w:t>
      </w:r>
      <w:r w:rsidR="00FA4A26">
        <w:rPr>
          <w:color w:val="000000" w:themeColor="text1"/>
          <w:szCs w:val="24"/>
        </w:rPr>
        <w:t xml:space="preserve"> </w:t>
      </w:r>
      <w:r w:rsidR="00FA4A26" w:rsidRPr="00E10608">
        <w:rPr>
          <w:color w:val="000000" w:themeColor="text1"/>
          <w:szCs w:val="24"/>
        </w:rPr>
        <w:t>The Board’s operative instructio</w:t>
      </w:r>
      <w:r w:rsidR="008E62F2">
        <w:rPr>
          <w:color w:val="000000" w:themeColor="text1"/>
          <w:szCs w:val="24"/>
        </w:rPr>
        <w:t>n, DoDI 6040.44, specifies a 12-</w:t>
      </w:r>
      <w:r w:rsidR="00FA4A26" w:rsidRPr="00E10608">
        <w:rPr>
          <w:color w:val="000000" w:themeColor="text1"/>
          <w:szCs w:val="24"/>
        </w:rPr>
        <w:t xml:space="preserve">month interval for special consideration to </w:t>
      </w:r>
      <w:r w:rsidR="008E62F2">
        <w:rPr>
          <w:color w:val="000000" w:themeColor="text1"/>
          <w:szCs w:val="24"/>
        </w:rPr>
        <w:t>D</w:t>
      </w:r>
      <w:r w:rsidR="00FA4A26" w:rsidRPr="00E10608">
        <w:rPr>
          <w:color w:val="000000" w:themeColor="text1"/>
          <w:szCs w:val="24"/>
        </w:rPr>
        <w:t xml:space="preserve">VA findings.  This does not mean that later </w:t>
      </w:r>
      <w:r w:rsidR="008E62F2">
        <w:rPr>
          <w:color w:val="000000" w:themeColor="text1"/>
          <w:szCs w:val="24"/>
        </w:rPr>
        <w:t>D</w:t>
      </w:r>
      <w:r w:rsidR="00FA4A26" w:rsidRPr="00E10608">
        <w:rPr>
          <w:color w:val="000000" w:themeColor="text1"/>
          <w:szCs w:val="24"/>
        </w:rPr>
        <w:t xml:space="preserve">VA evidence </w:t>
      </w:r>
      <w:r w:rsidR="00FA4A26">
        <w:rPr>
          <w:color w:val="000000" w:themeColor="text1"/>
          <w:szCs w:val="24"/>
        </w:rPr>
        <w:t>is</w:t>
      </w:r>
      <w:r w:rsidR="00FA4A26" w:rsidRPr="00E10608">
        <w:rPr>
          <w:color w:val="000000" w:themeColor="text1"/>
          <w:szCs w:val="24"/>
        </w:rPr>
        <w:t xml:space="preserve"> disregarded, but the Board’s recommendations are directed to </w:t>
      </w:r>
      <w:r w:rsidR="00FA4A26">
        <w:rPr>
          <w:color w:val="000000" w:themeColor="text1"/>
          <w:szCs w:val="24"/>
        </w:rPr>
        <w:t>the</w:t>
      </w:r>
      <w:r w:rsidR="00FA4A26" w:rsidRPr="00E10608">
        <w:rPr>
          <w:color w:val="000000" w:themeColor="text1"/>
          <w:szCs w:val="24"/>
        </w:rPr>
        <w:t xml:space="preserve"> implications of </w:t>
      </w:r>
      <w:r w:rsidR="00FA4A26">
        <w:rPr>
          <w:color w:val="000000" w:themeColor="text1"/>
          <w:szCs w:val="24"/>
        </w:rPr>
        <w:t>the evidence which are referable to</w:t>
      </w:r>
      <w:r w:rsidR="00FA4A26" w:rsidRPr="00E10608">
        <w:rPr>
          <w:color w:val="000000" w:themeColor="text1"/>
          <w:szCs w:val="24"/>
        </w:rPr>
        <w:t xml:space="preserve"> the </w:t>
      </w:r>
      <w:r w:rsidR="00FA4A26" w:rsidRPr="002D3BAD">
        <w:rPr>
          <w:color w:val="000000" w:themeColor="text1"/>
          <w:szCs w:val="24"/>
        </w:rPr>
        <w:t xml:space="preserve">clinical circumstances </w:t>
      </w:r>
      <w:r w:rsidR="00FA4A26">
        <w:rPr>
          <w:color w:val="000000" w:themeColor="text1"/>
          <w:szCs w:val="24"/>
        </w:rPr>
        <w:t>at</w:t>
      </w:r>
      <w:r w:rsidR="00FA4A26" w:rsidRPr="00E10608">
        <w:rPr>
          <w:color w:val="000000" w:themeColor="text1"/>
          <w:szCs w:val="24"/>
        </w:rPr>
        <w:t xml:space="preserve"> separation</w:t>
      </w:r>
      <w:r w:rsidR="00FA4A26">
        <w:rPr>
          <w:color w:val="000000" w:themeColor="text1"/>
          <w:szCs w:val="24"/>
        </w:rPr>
        <w:t>.</w:t>
      </w:r>
    </w:p>
    <w:p w:rsidR="004C60A3" w:rsidRPr="001F29F9" w:rsidRDefault="004C60A3" w:rsidP="00BF0E94">
      <w:pPr>
        <w:jc w:val="left"/>
        <w:rPr>
          <w:color w:val="000000" w:themeColor="text1"/>
          <w:szCs w:val="24"/>
        </w:rPr>
      </w:pPr>
    </w:p>
    <w:p w:rsidR="00FA4A26" w:rsidRPr="00D50979" w:rsidRDefault="00FA4A26" w:rsidP="00B876C7">
      <w:pPr>
        <w:jc w:val="both"/>
        <w:rPr>
          <w:rFonts w:asciiTheme="minorHAnsi" w:hAnsiTheme="minorHAnsi"/>
          <w:color w:val="000000" w:themeColor="text1"/>
          <w:szCs w:val="24"/>
        </w:rPr>
      </w:pPr>
      <w:r w:rsidRPr="00D50979">
        <w:rPr>
          <w:rFonts w:asciiTheme="minorHAnsi" w:hAnsiTheme="minorHAnsi"/>
          <w:color w:val="000000" w:themeColor="text1"/>
          <w:szCs w:val="24"/>
          <w:u w:val="single"/>
        </w:rPr>
        <w:t>Bilateral Hip Condition</w:t>
      </w:r>
      <w:r w:rsidRPr="00D50979">
        <w:rPr>
          <w:rFonts w:asciiTheme="minorHAnsi" w:hAnsiTheme="minorHAnsi"/>
          <w:color w:val="000000" w:themeColor="text1"/>
          <w:szCs w:val="24"/>
        </w:rPr>
        <w:t xml:space="preserve">.  Over the </w:t>
      </w:r>
      <w:r w:rsidR="008E62F2">
        <w:rPr>
          <w:rFonts w:asciiTheme="minorHAnsi" w:hAnsiTheme="minorHAnsi"/>
          <w:color w:val="000000" w:themeColor="text1"/>
          <w:szCs w:val="24"/>
        </w:rPr>
        <w:t>6</w:t>
      </w:r>
      <w:r w:rsidRPr="00D50979">
        <w:rPr>
          <w:rFonts w:asciiTheme="minorHAnsi" w:hAnsiTheme="minorHAnsi"/>
          <w:color w:val="000000" w:themeColor="text1"/>
          <w:szCs w:val="24"/>
        </w:rPr>
        <w:t xml:space="preserve"> years of her military service the CI underwent extensive evaluation and aggressive outpatient treatment to include steroid injections of her persistent bilateral hip pain.  She had profiles and </w:t>
      </w:r>
      <w:r w:rsidR="008E62F2">
        <w:rPr>
          <w:rFonts w:asciiTheme="minorHAnsi" w:hAnsiTheme="minorHAnsi"/>
          <w:color w:val="000000" w:themeColor="text1"/>
          <w:szCs w:val="24"/>
        </w:rPr>
        <w:t>limited duty (</w:t>
      </w:r>
      <w:r w:rsidRPr="00D50979">
        <w:rPr>
          <w:rFonts w:asciiTheme="minorHAnsi" w:hAnsiTheme="minorHAnsi"/>
          <w:color w:val="000000" w:themeColor="text1"/>
          <w:szCs w:val="24"/>
        </w:rPr>
        <w:t>LIMDU</w:t>
      </w:r>
      <w:r w:rsidR="008E62F2">
        <w:rPr>
          <w:rFonts w:asciiTheme="minorHAnsi" w:hAnsiTheme="minorHAnsi"/>
          <w:color w:val="000000" w:themeColor="text1"/>
          <w:szCs w:val="24"/>
        </w:rPr>
        <w:t>)</w:t>
      </w:r>
      <w:r w:rsidRPr="00D50979">
        <w:rPr>
          <w:rFonts w:asciiTheme="minorHAnsi" w:hAnsiTheme="minorHAnsi"/>
          <w:color w:val="000000" w:themeColor="text1"/>
          <w:szCs w:val="24"/>
        </w:rPr>
        <w:t xml:space="preserve"> limiting aggravating activities for most of this period, principally due to pregnancies and other health issues.</w:t>
      </w:r>
      <w:r w:rsidR="00B876C7" w:rsidRPr="00D50979">
        <w:rPr>
          <w:rFonts w:asciiTheme="minorHAnsi" w:hAnsiTheme="minorHAnsi"/>
          <w:color w:val="000000" w:themeColor="text1"/>
          <w:szCs w:val="24"/>
        </w:rPr>
        <w:t xml:space="preserve"> </w:t>
      </w:r>
      <w:r w:rsidR="00D50979">
        <w:rPr>
          <w:rFonts w:asciiTheme="minorHAnsi" w:hAnsiTheme="minorHAnsi"/>
          <w:color w:val="000000" w:themeColor="text1"/>
          <w:szCs w:val="24"/>
        </w:rPr>
        <w:t xml:space="preserve"> </w:t>
      </w:r>
      <w:r w:rsidR="00B876C7" w:rsidRPr="00D50979">
        <w:rPr>
          <w:rFonts w:asciiTheme="minorHAnsi" w:hAnsiTheme="minorHAnsi"/>
          <w:color w:val="000000" w:themeColor="text1"/>
          <w:szCs w:val="24"/>
        </w:rPr>
        <w:t>Her limitations included; unable to run, stand greater than 20 minutes, sit without discomfort longer than a few hours, and was</w:t>
      </w:r>
      <w:r w:rsidR="008E62F2">
        <w:rPr>
          <w:rFonts w:asciiTheme="minorHAnsi" w:hAnsiTheme="minorHAnsi"/>
          <w:color w:val="000000" w:themeColor="text1"/>
          <w:szCs w:val="24"/>
        </w:rPr>
        <w:t xml:space="preserve"> </w:t>
      </w:r>
      <w:r w:rsidR="00B876C7" w:rsidRPr="00D50979">
        <w:rPr>
          <w:rFonts w:asciiTheme="minorHAnsi" w:hAnsiTheme="minorHAnsi"/>
          <w:color w:val="000000" w:themeColor="text1"/>
          <w:szCs w:val="24"/>
        </w:rPr>
        <w:t>greatly limited in her cutting ability or ability to turn and make sharp movements.</w:t>
      </w:r>
      <w:r w:rsidRPr="00D50979">
        <w:rPr>
          <w:rFonts w:asciiTheme="minorHAnsi" w:hAnsiTheme="minorHAnsi"/>
          <w:color w:val="000000" w:themeColor="text1"/>
          <w:szCs w:val="24"/>
        </w:rPr>
        <w:t xml:space="preserve">  Serial imaging and </w:t>
      </w:r>
      <w:r w:rsidR="008E62F2">
        <w:rPr>
          <w:rFonts w:asciiTheme="minorHAnsi" w:hAnsiTheme="minorHAnsi"/>
          <w:color w:val="000000" w:themeColor="text1"/>
          <w:szCs w:val="24"/>
        </w:rPr>
        <w:t>m</w:t>
      </w:r>
      <w:r w:rsidRPr="00D50979">
        <w:rPr>
          <w:rFonts w:asciiTheme="minorHAnsi" w:hAnsiTheme="minorHAnsi"/>
          <w:color w:val="000000" w:themeColor="text1"/>
          <w:szCs w:val="24"/>
        </w:rPr>
        <w:t xml:space="preserve">agnetic </w:t>
      </w:r>
      <w:r w:rsidR="008E62F2">
        <w:rPr>
          <w:rFonts w:asciiTheme="minorHAnsi" w:hAnsiTheme="minorHAnsi"/>
          <w:color w:val="000000" w:themeColor="text1"/>
          <w:szCs w:val="24"/>
        </w:rPr>
        <w:t>r</w:t>
      </w:r>
      <w:r w:rsidRPr="00D50979">
        <w:rPr>
          <w:rFonts w:asciiTheme="minorHAnsi" w:hAnsiTheme="minorHAnsi"/>
          <w:color w:val="000000" w:themeColor="text1"/>
          <w:szCs w:val="24"/>
        </w:rPr>
        <w:t xml:space="preserve">esonance </w:t>
      </w:r>
      <w:r w:rsidR="008E62F2">
        <w:rPr>
          <w:rFonts w:asciiTheme="minorHAnsi" w:hAnsiTheme="minorHAnsi"/>
          <w:color w:val="000000" w:themeColor="text1"/>
          <w:szCs w:val="24"/>
        </w:rPr>
        <w:t xml:space="preserve">imaging </w:t>
      </w:r>
      <w:r w:rsidRPr="00D50979">
        <w:rPr>
          <w:rFonts w:asciiTheme="minorHAnsi" w:hAnsiTheme="minorHAnsi"/>
          <w:color w:val="000000" w:themeColor="text1"/>
          <w:szCs w:val="24"/>
        </w:rPr>
        <w:t xml:space="preserve">(MRI), and specialty consultations, ruled out stress fracture or other pathology of the hips and the ultimate diagnosis was bilateral trochanteric bursitis and tight iliotibial bands.  </w:t>
      </w:r>
      <w:r w:rsidRPr="00D50979">
        <w:rPr>
          <w:rFonts w:asciiTheme="minorHAnsi" w:hAnsiTheme="minorHAnsi"/>
          <w:color w:val="auto"/>
          <w:szCs w:val="24"/>
        </w:rPr>
        <w:t xml:space="preserve">There were two </w:t>
      </w:r>
      <w:r w:rsidR="008E62F2">
        <w:rPr>
          <w:rFonts w:asciiTheme="minorHAnsi" w:hAnsiTheme="minorHAnsi"/>
          <w:color w:val="auto"/>
          <w:szCs w:val="24"/>
        </w:rPr>
        <w:t>goniometric range-of-</w:t>
      </w:r>
      <w:r w:rsidRPr="00D50979">
        <w:rPr>
          <w:rFonts w:asciiTheme="minorHAnsi" w:hAnsiTheme="minorHAnsi"/>
          <w:color w:val="auto"/>
          <w:szCs w:val="24"/>
        </w:rPr>
        <w:t xml:space="preserve">motion (ROM) evaluations in evidence, with documentation of additional ratable criteria, which the Board weighed in arriving at its rating recommendation; as summarized in the chart below.  </w:t>
      </w:r>
    </w:p>
    <w:p w:rsidR="00FA4A26" w:rsidRDefault="00FA4A26" w:rsidP="00FA4A26">
      <w:pPr>
        <w:jc w:val="left"/>
        <w:rPr>
          <w:color w:val="000000" w:themeColor="text1"/>
          <w:szCs w:val="24"/>
        </w:rPr>
      </w:pPr>
    </w:p>
    <w:tbl>
      <w:tblPr>
        <w:tblpPr w:leftFromText="180" w:rightFromText="180" w:vertAnchor="text" w:tblpXSpec="center" w:tblpY="1"/>
        <w:tblOverlap w:val="never"/>
        <w:tblW w:w="7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360"/>
        <w:gridCol w:w="1340"/>
        <w:gridCol w:w="915"/>
        <w:gridCol w:w="1245"/>
      </w:tblGrid>
      <w:tr w:rsidR="00FA4A26" w:rsidRPr="001F29F9" w:rsidTr="00B876C7">
        <w:trPr>
          <w:trHeight w:val="109"/>
        </w:trPr>
        <w:tc>
          <w:tcPr>
            <w:tcW w:w="2268" w:type="dxa"/>
            <w:shd w:val="clear" w:color="auto" w:fill="D9D9D9" w:themeFill="background1" w:themeFillShade="D9"/>
            <w:vAlign w:val="center"/>
          </w:tcPr>
          <w:p w:rsidR="00FA4A26" w:rsidRPr="001F29F9" w:rsidRDefault="00FA4A26" w:rsidP="00FA4A26">
            <w:pPr>
              <w:contextualSpacing/>
              <w:jc w:val="left"/>
              <w:rPr>
                <w:rFonts w:eastAsia="Calibri"/>
                <w:color w:val="000000" w:themeColor="text1"/>
                <w:sz w:val="18"/>
                <w:szCs w:val="18"/>
              </w:rPr>
            </w:pPr>
            <w:r w:rsidRPr="001F29F9">
              <w:rPr>
                <w:rFonts w:eastAsia="Calibri"/>
                <w:color w:val="000000" w:themeColor="text1"/>
                <w:sz w:val="18"/>
                <w:szCs w:val="18"/>
              </w:rPr>
              <w:t>Goniometric ROM –</w:t>
            </w:r>
          </w:p>
        </w:tc>
        <w:tc>
          <w:tcPr>
            <w:tcW w:w="2700" w:type="dxa"/>
            <w:gridSpan w:val="2"/>
            <w:shd w:val="clear" w:color="auto" w:fill="D9D9D9" w:themeFill="background1" w:themeFillShade="D9"/>
            <w:vAlign w:val="center"/>
          </w:tcPr>
          <w:p w:rsidR="00FA4A26" w:rsidRPr="001F29F9" w:rsidRDefault="00FA4A26" w:rsidP="002B1D02">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 xml:space="preserve">MEB ~ </w:t>
            </w:r>
            <w:r>
              <w:rPr>
                <w:rFonts w:asciiTheme="minorHAnsi" w:eastAsia="Calibri" w:hAnsiTheme="minorHAnsi"/>
                <w:color w:val="000000" w:themeColor="text1"/>
                <w:sz w:val="18"/>
                <w:szCs w:val="18"/>
              </w:rPr>
              <w:t>6</w:t>
            </w:r>
            <w:r w:rsidRPr="001F29F9">
              <w:rPr>
                <w:rFonts w:asciiTheme="minorHAnsi" w:eastAsia="Calibri" w:hAnsiTheme="minorHAnsi"/>
                <w:color w:val="000000" w:themeColor="text1"/>
                <w:sz w:val="18"/>
                <w:szCs w:val="18"/>
              </w:rPr>
              <w:t xml:space="preserve"> Mo. Pre-Sep</w:t>
            </w:r>
          </w:p>
          <w:p w:rsidR="00FA4A26" w:rsidRPr="001F29F9" w:rsidRDefault="00FA4A26" w:rsidP="002B1D02">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40830</w:t>
            </w:r>
            <w:r w:rsidRPr="001F29F9">
              <w:rPr>
                <w:rFonts w:asciiTheme="minorHAnsi" w:eastAsia="Calibri" w:hAnsiTheme="minorHAnsi"/>
                <w:color w:val="000000" w:themeColor="text1"/>
                <w:sz w:val="18"/>
                <w:szCs w:val="18"/>
              </w:rPr>
              <w:t>)</w:t>
            </w:r>
          </w:p>
        </w:tc>
        <w:tc>
          <w:tcPr>
            <w:tcW w:w="2160" w:type="dxa"/>
            <w:gridSpan w:val="2"/>
            <w:shd w:val="clear" w:color="auto" w:fill="D9D9D9" w:themeFill="background1" w:themeFillShade="D9"/>
            <w:vAlign w:val="center"/>
          </w:tcPr>
          <w:p w:rsidR="00FA4A26" w:rsidRPr="001F29F9" w:rsidRDefault="00FA4A26" w:rsidP="002B1D02">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VA</w:t>
            </w:r>
            <w:r w:rsidRPr="001F29F9">
              <w:rPr>
                <w:rFonts w:asciiTheme="minorHAnsi" w:eastAsiaTheme="minorHAnsi" w:hAnsiTheme="minorHAnsi"/>
                <w:color w:val="000000" w:themeColor="text1"/>
                <w:sz w:val="18"/>
                <w:szCs w:val="18"/>
              </w:rPr>
              <w:t xml:space="preserve"> C&amp;P </w:t>
            </w:r>
            <w:r w:rsidRPr="001F29F9">
              <w:rPr>
                <w:rFonts w:asciiTheme="minorHAnsi" w:eastAsia="Calibri" w:hAnsiTheme="minorHAnsi"/>
                <w:color w:val="000000" w:themeColor="text1"/>
                <w:sz w:val="18"/>
                <w:szCs w:val="18"/>
              </w:rPr>
              <w:t xml:space="preserve">~ </w:t>
            </w:r>
            <w:r>
              <w:rPr>
                <w:rFonts w:asciiTheme="minorHAnsi" w:eastAsia="Calibri" w:hAnsiTheme="minorHAnsi"/>
                <w:color w:val="000000" w:themeColor="text1"/>
                <w:sz w:val="18"/>
                <w:szCs w:val="18"/>
              </w:rPr>
              <w:t>8</w:t>
            </w:r>
            <w:r w:rsidRPr="001F29F9">
              <w:rPr>
                <w:rFonts w:asciiTheme="minorHAnsi" w:eastAsia="Calibri" w:hAnsiTheme="minorHAnsi"/>
                <w:color w:val="000000" w:themeColor="text1"/>
                <w:sz w:val="18"/>
                <w:szCs w:val="18"/>
              </w:rPr>
              <w:t xml:space="preserve"> Mo. After-Sep</w:t>
            </w:r>
          </w:p>
          <w:p w:rsidR="00FA4A26" w:rsidRPr="001F29F9" w:rsidRDefault="00FA4A26" w:rsidP="002B1D02">
            <w:pPr>
              <w:contextualSpacing/>
              <w:rPr>
                <w:rFonts w:asciiTheme="minorHAnsi" w:eastAsiaTheme="minorHAnsi" w:hAnsiTheme="minorHAnsi"/>
                <w:color w:val="000000" w:themeColor="text1"/>
                <w:sz w:val="18"/>
                <w:szCs w:val="18"/>
              </w:rPr>
            </w:pPr>
            <w:r w:rsidRPr="001F29F9">
              <w:rPr>
                <w:rFonts w:asciiTheme="minorHAnsi" w:eastAsia="Calibri" w:hAnsiTheme="minorHAnsi"/>
                <w:color w:val="000000" w:themeColor="text1"/>
                <w:sz w:val="18"/>
                <w:szCs w:val="18"/>
              </w:rPr>
              <w:t>(200</w:t>
            </w:r>
            <w:r>
              <w:rPr>
                <w:rFonts w:asciiTheme="minorHAnsi" w:eastAsia="Calibri" w:hAnsiTheme="minorHAnsi"/>
                <w:color w:val="000000" w:themeColor="text1"/>
                <w:sz w:val="18"/>
                <w:szCs w:val="18"/>
              </w:rPr>
              <w:t>51007</w:t>
            </w:r>
            <w:r w:rsidRPr="001F29F9">
              <w:rPr>
                <w:rFonts w:asciiTheme="minorHAnsi" w:eastAsia="Calibri" w:hAnsiTheme="minorHAnsi"/>
                <w:color w:val="000000" w:themeColor="text1"/>
                <w:sz w:val="18"/>
                <w:szCs w:val="18"/>
              </w:rPr>
              <w:t>)</w:t>
            </w:r>
          </w:p>
        </w:tc>
      </w:tr>
      <w:tr w:rsidR="00FA4A26" w:rsidRPr="001F29F9" w:rsidTr="00B876C7">
        <w:trPr>
          <w:trHeight w:val="108"/>
        </w:trPr>
        <w:tc>
          <w:tcPr>
            <w:tcW w:w="2268" w:type="dxa"/>
            <w:shd w:val="clear" w:color="auto" w:fill="D9D9D9" w:themeFill="background1" w:themeFillShade="D9"/>
            <w:vAlign w:val="center"/>
          </w:tcPr>
          <w:p w:rsidR="00FA4A26" w:rsidRPr="001F29F9" w:rsidRDefault="00FA4A26" w:rsidP="00FA4A26">
            <w:pPr>
              <w:contextualSpacing/>
              <w:jc w:val="left"/>
              <w:rPr>
                <w:rFonts w:eastAsia="Calibri"/>
                <w:color w:val="000000" w:themeColor="text1"/>
                <w:sz w:val="18"/>
                <w:szCs w:val="18"/>
              </w:rPr>
            </w:pPr>
            <w:r w:rsidRPr="001F29F9">
              <w:rPr>
                <w:rFonts w:eastAsia="Calibri"/>
                <w:color w:val="000000" w:themeColor="text1"/>
                <w:sz w:val="18"/>
                <w:szCs w:val="18"/>
              </w:rPr>
              <w:t>L/R Hip (Thigh)</w:t>
            </w:r>
          </w:p>
        </w:tc>
        <w:tc>
          <w:tcPr>
            <w:tcW w:w="1360" w:type="dxa"/>
            <w:shd w:val="clear" w:color="auto" w:fill="D9D9D9" w:themeFill="background1" w:themeFillShade="D9"/>
            <w:vAlign w:val="center"/>
          </w:tcPr>
          <w:p w:rsidR="00FA4A26" w:rsidRPr="001F29F9" w:rsidRDefault="00FA4A26" w:rsidP="00FA4A26">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L Hip</w:t>
            </w:r>
          </w:p>
        </w:tc>
        <w:tc>
          <w:tcPr>
            <w:tcW w:w="1340" w:type="dxa"/>
            <w:shd w:val="clear" w:color="auto" w:fill="D9D9D9" w:themeFill="background1" w:themeFillShade="D9"/>
            <w:vAlign w:val="center"/>
          </w:tcPr>
          <w:p w:rsidR="00FA4A26" w:rsidRPr="001F29F9" w:rsidRDefault="00FA4A26" w:rsidP="002B1D02">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R Hip</w:t>
            </w:r>
          </w:p>
        </w:tc>
        <w:tc>
          <w:tcPr>
            <w:tcW w:w="915" w:type="dxa"/>
            <w:shd w:val="clear" w:color="auto" w:fill="D9D9D9" w:themeFill="background1" w:themeFillShade="D9"/>
            <w:vAlign w:val="center"/>
          </w:tcPr>
          <w:p w:rsidR="00FA4A26" w:rsidRPr="001F29F9" w:rsidRDefault="00FA4A26" w:rsidP="00FA4A26">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L</w:t>
            </w:r>
            <w:r>
              <w:rPr>
                <w:rFonts w:eastAsia="Calibri"/>
                <w:color w:val="000000" w:themeColor="text1"/>
                <w:sz w:val="18"/>
                <w:szCs w:val="18"/>
              </w:rPr>
              <w:t xml:space="preserve"> Hip</w:t>
            </w:r>
          </w:p>
        </w:tc>
        <w:tc>
          <w:tcPr>
            <w:tcW w:w="1245" w:type="dxa"/>
            <w:shd w:val="clear" w:color="auto" w:fill="D9D9D9" w:themeFill="background1" w:themeFillShade="D9"/>
            <w:vAlign w:val="center"/>
          </w:tcPr>
          <w:p w:rsidR="00FA4A26" w:rsidRPr="001F29F9" w:rsidRDefault="00FA4A26" w:rsidP="00FA4A26">
            <w:pPr>
              <w:contextualSpacing/>
              <w:rPr>
                <w:rFonts w:asciiTheme="minorHAnsi" w:eastAsia="Calibri" w:hAnsiTheme="minorHAnsi"/>
                <w:color w:val="000000" w:themeColor="text1"/>
                <w:sz w:val="18"/>
                <w:szCs w:val="18"/>
              </w:rPr>
            </w:pPr>
            <w:r w:rsidRPr="001F29F9">
              <w:rPr>
                <w:rFonts w:eastAsia="Calibri"/>
                <w:color w:val="000000" w:themeColor="text1"/>
                <w:sz w:val="18"/>
                <w:szCs w:val="18"/>
              </w:rPr>
              <w:t>R Hip</w:t>
            </w:r>
          </w:p>
        </w:tc>
      </w:tr>
      <w:tr w:rsidR="00FA4A26" w:rsidRPr="001F29F9" w:rsidTr="00B876C7">
        <w:tc>
          <w:tcPr>
            <w:tcW w:w="2268" w:type="dxa"/>
            <w:vAlign w:val="center"/>
          </w:tcPr>
          <w:p w:rsidR="00FA4A26" w:rsidRPr="001F29F9" w:rsidRDefault="00FA4A26" w:rsidP="00FA4A26">
            <w:pPr>
              <w:contextualSpacing/>
              <w:jc w:val="left"/>
              <w:rPr>
                <w:rFonts w:eastAsia="Calibri"/>
                <w:color w:val="000000" w:themeColor="text1"/>
                <w:sz w:val="18"/>
                <w:szCs w:val="18"/>
              </w:rPr>
            </w:pPr>
            <w:r w:rsidRPr="001F29F9">
              <w:rPr>
                <w:rFonts w:eastAsia="Calibri"/>
                <w:color w:val="000000" w:themeColor="text1"/>
                <w:sz w:val="18"/>
                <w:szCs w:val="18"/>
              </w:rPr>
              <w:t>Flexion (0-125)</w:t>
            </w:r>
          </w:p>
        </w:tc>
        <w:tc>
          <w:tcPr>
            <w:tcW w:w="1360"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60</w:t>
            </w:r>
            <w:r w:rsidRPr="001F29F9">
              <w:rPr>
                <w:rFonts w:eastAsia="Calibri"/>
                <w:color w:val="000000" w:themeColor="text1"/>
                <w:sz w:val="18"/>
                <w:szCs w:val="18"/>
              </w:rPr>
              <w:t>⁰</w:t>
            </w:r>
          </w:p>
        </w:tc>
        <w:tc>
          <w:tcPr>
            <w:tcW w:w="1340"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60</w:t>
            </w:r>
            <w:r w:rsidRPr="001F29F9">
              <w:rPr>
                <w:rFonts w:eastAsia="Calibri"/>
                <w:color w:val="000000" w:themeColor="text1"/>
                <w:sz w:val="18"/>
                <w:szCs w:val="18"/>
              </w:rPr>
              <w:t>⁰</w:t>
            </w:r>
          </w:p>
        </w:tc>
        <w:tc>
          <w:tcPr>
            <w:tcW w:w="91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120</w:t>
            </w:r>
            <w:r w:rsidRPr="001F29F9">
              <w:rPr>
                <w:rFonts w:eastAsia="Calibri"/>
                <w:color w:val="000000" w:themeColor="text1"/>
                <w:sz w:val="18"/>
                <w:szCs w:val="18"/>
              </w:rPr>
              <w:t>⁰</w:t>
            </w:r>
          </w:p>
        </w:tc>
        <w:tc>
          <w:tcPr>
            <w:tcW w:w="124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120</w:t>
            </w:r>
            <w:r w:rsidRPr="001F29F9">
              <w:rPr>
                <w:rFonts w:eastAsia="Calibri"/>
                <w:color w:val="000000" w:themeColor="text1"/>
                <w:sz w:val="18"/>
                <w:szCs w:val="18"/>
              </w:rPr>
              <w:t>⁰</w:t>
            </w:r>
          </w:p>
        </w:tc>
      </w:tr>
      <w:tr w:rsidR="00FA4A26" w:rsidRPr="001F29F9" w:rsidTr="00B876C7">
        <w:tc>
          <w:tcPr>
            <w:tcW w:w="2268" w:type="dxa"/>
            <w:vAlign w:val="center"/>
          </w:tcPr>
          <w:p w:rsidR="00FA4A26" w:rsidRPr="001F29F9" w:rsidRDefault="00FA4A26" w:rsidP="00FA4A26">
            <w:pPr>
              <w:contextualSpacing/>
              <w:jc w:val="left"/>
              <w:rPr>
                <w:rFonts w:eastAsia="Calibri"/>
                <w:color w:val="000000" w:themeColor="text1"/>
                <w:sz w:val="18"/>
                <w:szCs w:val="18"/>
              </w:rPr>
            </w:pPr>
            <w:r w:rsidRPr="001F29F9">
              <w:rPr>
                <w:rFonts w:eastAsia="Calibri"/>
                <w:color w:val="000000" w:themeColor="text1"/>
                <w:sz w:val="18"/>
                <w:szCs w:val="18"/>
              </w:rPr>
              <w:t>Extension (10-20)</w:t>
            </w:r>
          </w:p>
        </w:tc>
        <w:tc>
          <w:tcPr>
            <w:tcW w:w="1360" w:type="dxa"/>
            <w:vAlign w:val="center"/>
          </w:tcPr>
          <w:p w:rsidR="00FA4A26" w:rsidRPr="001F29F9" w:rsidRDefault="00B876C7" w:rsidP="002B1D02">
            <w:pPr>
              <w:contextualSpacing/>
              <w:rPr>
                <w:rFonts w:eastAsia="Calibri"/>
                <w:color w:val="000000" w:themeColor="text1"/>
                <w:sz w:val="18"/>
                <w:szCs w:val="18"/>
              </w:rPr>
            </w:pPr>
            <w:r>
              <w:rPr>
                <w:rFonts w:eastAsia="Calibri"/>
                <w:color w:val="000000" w:themeColor="text1"/>
                <w:sz w:val="18"/>
                <w:szCs w:val="18"/>
              </w:rPr>
              <w:t>Not measured</w:t>
            </w:r>
            <w:r w:rsidR="00FA4A26" w:rsidRPr="001F29F9">
              <w:rPr>
                <w:rFonts w:eastAsia="Calibri"/>
                <w:color w:val="000000" w:themeColor="text1"/>
                <w:sz w:val="18"/>
                <w:szCs w:val="18"/>
              </w:rPr>
              <w:t>⁰</w:t>
            </w:r>
          </w:p>
        </w:tc>
        <w:tc>
          <w:tcPr>
            <w:tcW w:w="1340" w:type="dxa"/>
            <w:vAlign w:val="center"/>
          </w:tcPr>
          <w:p w:rsidR="00FA4A26" w:rsidRPr="001F29F9" w:rsidRDefault="00B876C7" w:rsidP="002B1D02">
            <w:pPr>
              <w:contextualSpacing/>
              <w:rPr>
                <w:rFonts w:eastAsia="Calibri"/>
                <w:color w:val="000000" w:themeColor="text1"/>
                <w:sz w:val="18"/>
                <w:szCs w:val="18"/>
              </w:rPr>
            </w:pPr>
            <w:r>
              <w:rPr>
                <w:rFonts w:eastAsia="Calibri"/>
                <w:color w:val="000000" w:themeColor="text1"/>
                <w:sz w:val="18"/>
                <w:szCs w:val="18"/>
              </w:rPr>
              <w:t>Not measured</w:t>
            </w:r>
            <w:r w:rsidR="00FA4A26" w:rsidRPr="001F29F9">
              <w:rPr>
                <w:rFonts w:eastAsia="Calibri"/>
                <w:color w:val="000000" w:themeColor="text1"/>
                <w:sz w:val="18"/>
                <w:szCs w:val="18"/>
              </w:rPr>
              <w:t>⁰</w:t>
            </w:r>
          </w:p>
        </w:tc>
        <w:tc>
          <w:tcPr>
            <w:tcW w:w="91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c>
          <w:tcPr>
            <w:tcW w:w="124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r>
      <w:tr w:rsidR="00FA4A26" w:rsidRPr="001F29F9" w:rsidTr="00B876C7">
        <w:tc>
          <w:tcPr>
            <w:tcW w:w="2268" w:type="dxa"/>
            <w:vAlign w:val="center"/>
          </w:tcPr>
          <w:p w:rsidR="00FA4A26" w:rsidRPr="001F29F9" w:rsidRDefault="00FA4A26" w:rsidP="00FA4A26">
            <w:pPr>
              <w:contextualSpacing/>
              <w:jc w:val="left"/>
              <w:rPr>
                <w:rFonts w:eastAsia="Calibri"/>
                <w:color w:val="000000" w:themeColor="text1"/>
                <w:sz w:val="18"/>
                <w:szCs w:val="18"/>
              </w:rPr>
            </w:pPr>
            <w:r w:rsidRPr="001F29F9">
              <w:rPr>
                <w:rFonts w:eastAsia="Calibri"/>
                <w:color w:val="000000" w:themeColor="text1"/>
                <w:sz w:val="18"/>
                <w:szCs w:val="18"/>
              </w:rPr>
              <w:t>Abduction (0-45)</w:t>
            </w:r>
          </w:p>
        </w:tc>
        <w:tc>
          <w:tcPr>
            <w:tcW w:w="1360" w:type="dxa"/>
            <w:vAlign w:val="center"/>
          </w:tcPr>
          <w:p w:rsidR="00FA4A26" w:rsidRPr="001F29F9" w:rsidRDefault="00B876C7" w:rsidP="002B1D02">
            <w:pPr>
              <w:contextualSpacing/>
              <w:rPr>
                <w:rFonts w:eastAsia="Calibri"/>
                <w:color w:val="000000" w:themeColor="text1"/>
                <w:sz w:val="18"/>
                <w:szCs w:val="18"/>
              </w:rPr>
            </w:pPr>
            <w:r>
              <w:rPr>
                <w:rFonts w:eastAsia="Calibri"/>
                <w:color w:val="000000" w:themeColor="text1"/>
                <w:sz w:val="18"/>
                <w:szCs w:val="18"/>
              </w:rPr>
              <w:t>Not measured</w:t>
            </w:r>
            <w:r w:rsidR="00FA4A26" w:rsidRPr="001F29F9">
              <w:rPr>
                <w:rFonts w:eastAsia="Calibri"/>
                <w:color w:val="000000" w:themeColor="text1"/>
                <w:sz w:val="18"/>
                <w:szCs w:val="18"/>
              </w:rPr>
              <w:t>⁰</w:t>
            </w:r>
          </w:p>
        </w:tc>
        <w:tc>
          <w:tcPr>
            <w:tcW w:w="1340" w:type="dxa"/>
            <w:vAlign w:val="center"/>
          </w:tcPr>
          <w:p w:rsidR="00FA4A26" w:rsidRPr="001F29F9" w:rsidRDefault="00B876C7" w:rsidP="002B1D02">
            <w:pPr>
              <w:contextualSpacing/>
              <w:rPr>
                <w:rFonts w:eastAsia="Calibri"/>
                <w:color w:val="000000" w:themeColor="text1"/>
                <w:sz w:val="18"/>
                <w:szCs w:val="18"/>
              </w:rPr>
            </w:pPr>
            <w:r>
              <w:rPr>
                <w:rFonts w:eastAsia="Calibri"/>
                <w:color w:val="000000" w:themeColor="text1"/>
                <w:sz w:val="18"/>
                <w:szCs w:val="18"/>
              </w:rPr>
              <w:t>Not measured</w:t>
            </w:r>
            <w:r w:rsidR="00FA4A26" w:rsidRPr="001F29F9">
              <w:rPr>
                <w:rFonts w:eastAsia="Calibri"/>
                <w:color w:val="000000" w:themeColor="text1"/>
                <w:sz w:val="18"/>
                <w:szCs w:val="18"/>
              </w:rPr>
              <w:t>⁰</w:t>
            </w:r>
          </w:p>
        </w:tc>
        <w:tc>
          <w:tcPr>
            <w:tcW w:w="91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c>
          <w:tcPr>
            <w:tcW w:w="124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r>
      <w:tr w:rsidR="00FA4A26" w:rsidRPr="001F29F9" w:rsidTr="00B876C7">
        <w:tc>
          <w:tcPr>
            <w:tcW w:w="2268" w:type="dxa"/>
            <w:vAlign w:val="center"/>
          </w:tcPr>
          <w:p w:rsidR="00FA4A26" w:rsidRPr="001F29F9" w:rsidRDefault="00FA4A26" w:rsidP="00FA4A26">
            <w:pPr>
              <w:contextualSpacing/>
              <w:jc w:val="left"/>
              <w:rPr>
                <w:rFonts w:eastAsia="Calibri"/>
                <w:color w:val="000000" w:themeColor="text1"/>
                <w:sz w:val="18"/>
                <w:szCs w:val="18"/>
              </w:rPr>
            </w:pPr>
            <w:r w:rsidRPr="001F29F9">
              <w:rPr>
                <w:rFonts w:eastAsia="Calibri"/>
                <w:color w:val="000000" w:themeColor="text1"/>
                <w:sz w:val="18"/>
                <w:szCs w:val="18"/>
              </w:rPr>
              <w:t>Adduction (0-45)</w:t>
            </w:r>
          </w:p>
        </w:tc>
        <w:tc>
          <w:tcPr>
            <w:tcW w:w="1360" w:type="dxa"/>
            <w:vAlign w:val="center"/>
          </w:tcPr>
          <w:p w:rsidR="00FA4A26" w:rsidRPr="001F29F9" w:rsidRDefault="00B876C7" w:rsidP="002B1D02">
            <w:pPr>
              <w:contextualSpacing/>
              <w:rPr>
                <w:rFonts w:eastAsia="Calibri"/>
                <w:color w:val="000000" w:themeColor="text1"/>
                <w:sz w:val="18"/>
                <w:szCs w:val="18"/>
              </w:rPr>
            </w:pPr>
            <w:r>
              <w:rPr>
                <w:rFonts w:eastAsia="Calibri"/>
                <w:color w:val="000000" w:themeColor="text1"/>
                <w:sz w:val="18"/>
                <w:szCs w:val="18"/>
              </w:rPr>
              <w:t>Not measured</w:t>
            </w:r>
            <w:r w:rsidRPr="001F29F9">
              <w:rPr>
                <w:rFonts w:eastAsia="Calibri"/>
                <w:color w:val="000000" w:themeColor="text1"/>
                <w:sz w:val="18"/>
                <w:szCs w:val="18"/>
              </w:rPr>
              <w:t>⁰</w:t>
            </w:r>
          </w:p>
        </w:tc>
        <w:tc>
          <w:tcPr>
            <w:tcW w:w="1340" w:type="dxa"/>
            <w:vAlign w:val="center"/>
          </w:tcPr>
          <w:p w:rsidR="00FA4A26" w:rsidRPr="001F29F9" w:rsidRDefault="00B876C7" w:rsidP="002B1D02">
            <w:pPr>
              <w:contextualSpacing/>
              <w:rPr>
                <w:rFonts w:eastAsia="Calibri"/>
                <w:color w:val="000000" w:themeColor="text1"/>
                <w:sz w:val="18"/>
                <w:szCs w:val="18"/>
              </w:rPr>
            </w:pPr>
            <w:r>
              <w:rPr>
                <w:rFonts w:eastAsia="Calibri"/>
                <w:color w:val="000000" w:themeColor="text1"/>
                <w:sz w:val="18"/>
                <w:szCs w:val="18"/>
              </w:rPr>
              <w:t>Not measured</w:t>
            </w:r>
            <w:r w:rsidR="00FA4A26" w:rsidRPr="001F29F9">
              <w:rPr>
                <w:rFonts w:eastAsia="Calibri"/>
                <w:color w:val="000000" w:themeColor="text1"/>
                <w:sz w:val="18"/>
                <w:szCs w:val="18"/>
              </w:rPr>
              <w:t>⁰</w:t>
            </w:r>
          </w:p>
        </w:tc>
        <w:tc>
          <w:tcPr>
            <w:tcW w:w="91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20</w:t>
            </w:r>
            <w:r w:rsidRPr="001F29F9">
              <w:rPr>
                <w:rFonts w:eastAsia="Calibri"/>
                <w:color w:val="000000" w:themeColor="text1"/>
                <w:sz w:val="18"/>
                <w:szCs w:val="18"/>
              </w:rPr>
              <w:t>⁰</w:t>
            </w:r>
          </w:p>
        </w:tc>
        <w:tc>
          <w:tcPr>
            <w:tcW w:w="1245" w:type="dxa"/>
            <w:vAlign w:val="center"/>
          </w:tcPr>
          <w:p w:rsidR="00FA4A26" w:rsidRPr="001F29F9" w:rsidRDefault="00FA4A26" w:rsidP="002B1D02">
            <w:pPr>
              <w:contextualSpacing/>
              <w:rPr>
                <w:rFonts w:eastAsia="Calibri"/>
                <w:color w:val="000000" w:themeColor="text1"/>
                <w:sz w:val="18"/>
                <w:szCs w:val="18"/>
              </w:rPr>
            </w:pPr>
            <w:r>
              <w:rPr>
                <w:rFonts w:eastAsia="Calibri"/>
                <w:color w:val="000000" w:themeColor="text1"/>
                <w:sz w:val="18"/>
                <w:szCs w:val="18"/>
              </w:rPr>
              <w:t>20</w:t>
            </w:r>
            <w:r w:rsidRPr="001F29F9">
              <w:rPr>
                <w:rFonts w:eastAsia="Calibri"/>
                <w:color w:val="000000" w:themeColor="text1"/>
                <w:sz w:val="18"/>
                <w:szCs w:val="18"/>
              </w:rPr>
              <w:t>⁰</w:t>
            </w:r>
          </w:p>
        </w:tc>
      </w:tr>
      <w:tr w:rsidR="00B876C7" w:rsidRPr="001F29F9" w:rsidTr="00B876C7">
        <w:tc>
          <w:tcPr>
            <w:tcW w:w="2268" w:type="dxa"/>
            <w:vAlign w:val="center"/>
          </w:tcPr>
          <w:p w:rsidR="00B876C7" w:rsidRPr="00B876C7" w:rsidRDefault="00B876C7" w:rsidP="00FA4A26">
            <w:pPr>
              <w:contextualSpacing/>
              <w:jc w:val="left"/>
              <w:rPr>
                <w:rFonts w:asciiTheme="minorHAnsi" w:eastAsia="Calibri" w:hAnsiTheme="minorHAnsi"/>
                <w:color w:val="000000" w:themeColor="text1"/>
                <w:sz w:val="18"/>
                <w:szCs w:val="18"/>
              </w:rPr>
            </w:pPr>
            <w:r w:rsidRPr="00B876C7">
              <w:rPr>
                <w:rFonts w:asciiTheme="minorHAnsi" w:eastAsia="Calibri" w:hAnsiTheme="minorHAnsi"/>
                <w:color w:val="auto"/>
                <w:sz w:val="18"/>
                <w:szCs w:val="18"/>
              </w:rPr>
              <w:t>External Rotation (0-45⁰)</w:t>
            </w:r>
          </w:p>
        </w:tc>
        <w:tc>
          <w:tcPr>
            <w:tcW w:w="1360" w:type="dxa"/>
            <w:vAlign w:val="center"/>
          </w:tcPr>
          <w:p w:rsidR="00B876C7" w:rsidRDefault="00B876C7"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c>
          <w:tcPr>
            <w:tcW w:w="1340" w:type="dxa"/>
            <w:vAlign w:val="center"/>
          </w:tcPr>
          <w:p w:rsidR="00B876C7" w:rsidRDefault="00B876C7"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c>
          <w:tcPr>
            <w:tcW w:w="915" w:type="dxa"/>
            <w:vAlign w:val="center"/>
          </w:tcPr>
          <w:p w:rsidR="00B876C7" w:rsidRDefault="00B876C7"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c>
          <w:tcPr>
            <w:tcW w:w="1245" w:type="dxa"/>
            <w:vAlign w:val="center"/>
          </w:tcPr>
          <w:p w:rsidR="00B876C7" w:rsidRDefault="00B876C7" w:rsidP="002B1D02">
            <w:pPr>
              <w:contextualSpacing/>
              <w:rPr>
                <w:rFonts w:eastAsia="Calibri"/>
                <w:color w:val="000000" w:themeColor="text1"/>
                <w:sz w:val="18"/>
                <w:szCs w:val="18"/>
              </w:rPr>
            </w:pPr>
            <w:r>
              <w:rPr>
                <w:rFonts w:eastAsia="Calibri"/>
                <w:color w:val="000000" w:themeColor="text1"/>
                <w:sz w:val="18"/>
                <w:szCs w:val="18"/>
              </w:rPr>
              <w:t>30</w:t>
            </w:r>
            <w:r w:rsidRPr="001F29F9">
              <w:rPr>
                <w:rFonts w:eastAsia="Calibri"/>
                <w:color w:val="000000" w:themeColor="text1"/>
                <w:sz w:val="18"/>
                <w:szCs w:val="18"/>
              </w:rPr>
              <w:t>⁰</w:t>
            </w:r>
          </w:p>
        </w:tc>
      </w:tr>
      <w:tr w:rsidR="00B876C7" w:rsidRPr="001F29F9" w:rsidTr="00B876C7">
        <w:tc>
          <w:tcPr>
            <w:tcW w:w="2268" w:type="dxa"/>
            <w:vAlign w:val="center"/>
          </w:tcPr>
          <w:p w:rsidR="00B876C7" w:rsidRPr="00B876C7" w:rsidRDefault="00B876C7" w:rsidP="00FA4A26">
            <w:pPr>
              <w:contextualSpacing/>
              <w:jc w:val="left"/>
              <w:rPr>
                <w:rFonts w:asciiTheme="minorHAnsi" w:eastAsia="Calibri" w:hAnsiTheme="minorHAnsi"/>
                <w:color w:val="auto"/>
                <w:sz w:val="18"/>
                <w:szCs w:val="18"/>
              </w:rPr>
            </w:pPr>
            <w:r w:rsidRPr="00B876C7">
              <w:rPr>
                <w:rFonts w:eastAsia="Calibri"/>
                <w:color w:val="auto"/>
                <w:sz w:val="18"/>
                <w:szCs w:val="18"/>
              </w:rPr>
              <w:t>Internal Rotation (0-35⁰)</w:t>
            </w:r>
          </w:p>
        </w:tc>
        <w:tc>
          <w:tcPr>
            <w:tcW w:w="1360" w:type="dxa"/>
            <w:vAlign w:val="center"/>
          </w:tcPr>
          <w:p w:rsidR="00B876C7" w:rsidRPr="00A623AF" w:rsidRDefault="00B876C7" w:rsidP="002B1D02">
            <w:pPr>
              <w:contextualSpacing/>
              <w:rPr>
                <w:rFonts w:eastAsia="Calibri"/>
                <w:color w:val="000000" w:themeColor="text1"/>
                <w:sz w:val="18"/>
                <w:szCs w:val="18"/>
              </w:rPr>
            </w:pPr>
            <w:r w:rsidRPr="00A623AF">
              <w:rPr>
                <w:rFonts w:eastAsia="Calibri"/>
                <w:color w:val="000000" w:themeColor="text1"/>
                <w:sz w:val="18"/>
                <w:szCs w:val="18"/>
              </w:rPr>
              <w:t>10⁰</w:t>
            </w:r>
          </w:p>
        </w:tc>
        <w:tc>
          <w:tcPr>
            <w:tcW w:w="1340" w:type="dxa"/>
            <w:vAlign w:val="center"/>
          </w:tcPr>
          <w:p w:rsidR="00B876C7" w:rsidRPr="00A623AF" w:rsidRDefault="00B876C7" w:rsidP="002B1D02">
            <w:pPr>
              <w:contextualSpacing/>
              <w:rPr>
                <w:rFonts w:eastAsia="Calibri"/>
                <w:color w:val="000000" w:themeColor="text1"/>
                <w:sz w:val="18"/>
                <w:szCs w:val="18"/>
              </w:rPr>
            </w:pPr>
            <w:r w:rsidRPr="00A623AF">
              <w:rPr>
                <w:rFonts w:eastAsia="Calibri"/>
                <w:color w:val="000000" w:themeColor="text1"/>
                <w:sz w:val="18"/>
                <w:szCs w:val="18"/>
              </w:rPr>
              <w:t>10⁰</w:t>
            </w:r>
          </w:p>
        </w:tc>
        <w:tc>
          <w:tcPr>
            <w:tcW w:w="915" w:type="dxa"/>
            <w:vAlign w:val="center"/>
          </w:tcPr>
          <w:p w:rsidR="00B876C7" w:rsidRDefault="00B876C7" w:rsidP="002B1D02">
            <w:pPr>
              <w:contextualSpacing/>
              <w:rPr>
                <w:rFonts w:eastAsia="Calibri"/>
                <w:color w:val="000000" w:themeColor="text1"/>
                <w:sz w:val="18"/>
                <w:szCs w:val="18"/>
              </w:rPr>
            </w:pPr>
            <w:r>
              <w:rPr>
                <w:rFonts w:eastAsia="Calibri"/>
                <w:color w:val="000000" w:themeColor="text1"/>
                <w:sz w:val="18"/>
                <w:szCs w:val="18"/>
              </w:rPr>
              <w:t>20</w:t>
            </w:r>
            <w:r w:rsidRPr="001F29F9">
              <w:rPr>
                <w:rFonts w:eastAsia="Calibri"/>
                <w:color w:val="000000" w:themeColor="text1"/>
                <w:sz w:val="18"/>
                <w:szCs w:val="18"/>
              </w:rPr>
              <w:t>⁰</w:t>
            </w:r>
          </w:p>
        </w:tc>
        <w:tc>
          <w:tcPr>
            <w:tcW w:w="1245" w:type="dxa"/>
            <w:vAlign w:val="center"/>
          </w:tcPr>
          <w:p w:rsidR="00B876C7" w:rsidRDefault="00B876C7" w:rsidP="002B1D02">
            <w:pPr>
              <w:contextualSpacing/>
              <w:rPr>
                <w:rFonts w:eastAsia="Calibri"/>
                <w:color w:val="000000" w:themeColor="text1"/>
                <w:sz w:val="18"/>
                <w:szCs w:val="18"/>
              </w:rPr>
            </w:pPr>
            <w:r>
              <w:rPr>
                <w:rFonts w:eastAsia="Calibri"/>
                <w:color w:val="000000" w:themeColor="text1"/>
                <w:sz w:val="18"/>
                <w:szCs w:val="18"/>
              </w:rPr>
              <w:t>20</w:t>
            </w:r>
            <w:r w:rsidRPr="001F29F9">
              <w:rPr>
                <w:rFonts w:eastAsia="Calibri"/>
                <w:color w:val="000000" w:themeColor="text1"/>
                <w:sz w:val="18"/>
                <w:szCs w:val="18"/>
              </w:rPr>
              <w:t>⁰</w:t>
            </w:r>
          </w:p>
        </w:tc>
      </w:tr>
      <w:tr w:rsidR="00FA4A26" w:rsidRPr="001F29F9" w:rsidTr="00B876C7">
        <w:trPr>
          <w:trHeight w:val="864"/>
        </w:trPr>
        <w:tc>
          <w:tcPr>
            <w:tcW w:w="2268" w:type="dxa"/>
            <w:vAlign w:val="center"/>
          </w:tcPr>
          <w:p w:rsidR="00FA4A26" w:rsidRPr="001F29F9" w:rsidRDefault="00FA4A26" w:rsidP="00FA4A26">
            <w:pPr>
              <w:tabs>
                <w:tab w:val="left" w:pos="288"/>
                <w:tab w:val="left" w:pos="4752"/>
              </w:tabs>
              <w:jc w:val="left"/>
              <w:rPr>
                <w:rFonts w:eastAsiaTheme="minorHAnsi"/>
                <w:color w:val="000000" w:themeColor="text1"/>
                <w:sz w:val="18"/>
                <w:szCs w:val="18"/>
              </w:rPr>
            </w:pPr>
            <w:r w:rsidRPr="001F29F9">
              <w:rPr>
                <w:rFonts w:eastAsiaTheme="minorHAnsi"/>
                <w:color w:val="000000" w:themeColor="text1"/>
                <w:sz w:val="18"/>
                <w:szCs w:val="18"/>
              </w:rPr>
              <w:t>Comment</w:t>
            </w:r>
          </w:p>
        </w:tc>
        <w:tc>
          <w:tcPr>
            <w:tcW w:w="2700" w:type="dxa"/>
            <w:gridSpan w:val="2"/>
            <w:vAlign w:val="center"/>
          </w:tcPr>
          <w:p w:rsidR="00FA4A26" w:rsidRPr="00A623AF" w:rsidRDefault="00B876C7" w:rsidP="00B876C7">
            <w:pPr>
              <w:pStyle w:val="ListParagraph"/>
              <w:spacing w:after="0" w:line="240" w:lineRule="exact"/>
              <w:ind w:left="0"/>
              <w:rPr>
                <w:rFonts w:ascii="Calibri" w:eastAsia="Calibri" w:hAnsi="Calibri" w:cstheme="minorHAnsi"/>
                <w:color w:val="000000" w:themeColor="text1"/>
                <w:sz w:val="18"/>
                <w:szCs w:val="18"/>
              </w:rPr>
            </w:pPr>
            <w:r w:rsidRPr="00A623AF">
              <w:rPr>
                <w:rFonts w:ascii="Calibri" w:eastAsia="Calibri" w:hAnsi="Calibri" w:cstheme="minorHAnsi"/>
                <w:color w:val="000000" w:themeColor="text1"/>
                <w:sz w:val="18"/>
                <w:szCs w:val="18"/>
              </w:rPr>
              <w:t>N</w:t>
            </w:r>
            <w:r w:rsidR="00FA4A26" w:rsidRPr="00A623AF">
              <w:rPr>
                <w:rFonts w:ascii="Calibri" w:eastAsia="Calibri" w:hAnsi="Calibri" w:cstheme="minorHAnsi"/>
                <w:color w:val="000000" w:themeColor="text1"/>
                <w:sz w:val="18"/>
                <w:szCs w:val="18"/>
              </w:rPr>
              <w:t>o painful ROM</w:t>
            </w:r>
          </w:p>
        </w:tc>
        <w:tc>
          <w:tcPr>
            <w:tcW w:w="2160" w:type="dxa"/>
            <w:gridSpan w:val="2"/>
            <w:vAlign w:val="center"/>
          </w:tcPr>
          <w:p w:rsidR="00FA4A26" w:rsidRPr="001F29F9" w:rsidRDefault="00FA4A26" w:rsidP="00B876C7">
            <w:pPr>
              <w:pStyle w:val="ListParagraph"/>
              <w:spacing w:after="0" w:line="240" w:lineRule="exact"/>
              <w:ind w:left="0"/>
              <w:jc w:val="left"/>
              <w:rPr>
                <w:rFonts w:ascii="Calibri" w:eastAsia="Calibri" w:hAnsi="Calibri" w:cstheme="minorHAnsi"/>
                <w:color w:val="000000" w:themeColor="text1"/>
                <w:sz w:val="18"/>
                <w:szCs w:val="18"/>
              </w:rPr>
            </w:pPr>
            <w:r w:rsidRPr="007D444A">
              <w:rPr>
                <w:rFonts w:ascii="Calibri" w:eastAsia="Calibri" w:hAnsi="Calibri" w:cstheme="minorHAnsi"/>
                <w:color w:val="000000" w:themeColor="text1"/>
                <w:sz w:val="18"/>
                <w:szCs w:val="18"/>
              </w:rPr>
              <w:t>No antalgic gait, all ROMs painful,</w:t>
            </w:r>
            <w:r>
              <w:rPr>
                <w:rFonts w:ascii="Calibri" w:eastAsia="Calibri" w:hAnsi="Calibri" w:cstheme="minorHAnsi"/>
                <w:color w:val="000000" w:themeColor="text1"/>
                <w:sz w:val="18"/>
                <w:szCs w:val="18"/>
              </w:rPr>
              <w:t xml:space="preserve"> </w:t>
            </w:r>
          </w:p>
        </w:tc>
      </w:tr>
      <w:tr w:rsidR="00FA4A26" w:rsidRPr="001F29F9" w:rsidTr="00B876C7">
        <w:trPr>
          <w:trHeight w:val="442"/>
        </w:trPr>
        <w:tc>
          <w:tcPr>
            <w:tcW w:w="2268" w:type="dxa"/>
            <w:vAlign w:val="center"/>
          </w:tcPr>
          <w:p w:rsidR="00FA4A26" w:rsidRPr="001F29F9" w:rsidRDefault="00FA4A26" w:rsidP="00FA4A26">
            <w:pPr>
              <w:tabs>
                <w:tab w:val="left" w:pos="288"/>
                <w:tab w:val="left" w:pos="4752"/>
              </w:tabs>
              <w:jc w:val="left"/>
              <w:rPr>
                <w:rFonts w:eastAsiaTheme="minorHAnsi"/>
                <w:color w:val="000000" w:themeColor="text1"/>
                <w:sz w:val="18"/>
                <w:szCs w:val="18"/>
              </w:rPr>
            </w:pPr>
            <w:r w:rsidRPr="001F29F9">
              <w:rPr>
                <w:rFonts w:eastAsiaTheme="minorHAnsi"/>
                <w:color w:val="000000" w:themeColor="text1"/>
                <w:sz w:val="18"/>
                <w:szCs w:val="18"/>
              </w:rPr>
              <w:t>§4.71a Rating</w:t>
            </w:r>
          </w:p>
        </w:tc>
        <w:tc>
          <w:tcPr>
            <w:tcW w:w="1360" w:type="dxa"/>
            <w:vAlign w:val="center"/>
          </w:tcPr>
          <w:p w:rsidR="00FA4A26" w:rsidRPr="00A623AF" w:rsidRDefault="00FA4A26" w:rsidP="002B1D02">
            <w:pPr>
              <w:pStyle w:val="ListParagraph"/>
              <w:spacing w:after="0" w:line="240" w:lineRule="exact"/>
              <w:ind w:left="0"/>
              <w:rPr>
                <w:rFonts w:ascii="Calibri" w:eastAsia="Calibri" w:hAnsi="Calibri" w:cstheme="minorHAnsi"/>
                <w:color w:val="000000" w:themeColor="text1"/>
                <w:sz w:val="18"/>
                <w:szCs w:val="18"/>
              </w:rPr>
            </w:pPr>
            <w:r w:rsidRPr="00A623AF">
              <w:rPr>
                <w:rFonts w:ascii="Calibri" w:eastAsia="Calibri" w:hAnsi="Calibri" w:cstheme="minorHAnsi"/>
                <w:color w:val="000000" w:themeColor="text1"/>
                <w:sz w:val="18"/>
                <w:szCs w:val="18"/>
              </w:rPr>
              <w:t>0%</w:t>
            </w:r>
          </w:p>
        </w:tc>
        <w:tc>
          <w:tcPr>
            <w:tcW w:w="1340" w:type="dxa"/>
            <w:vAlign w:val="center"/>
          </w:tcPr>
          <w:p w:rsidR="00FA4A26" w:rsidRPr="00A623AF" w:rsidRDefault="00FA4A26" w:rsidP="002B1D02">
            <w:pPr>
              <w:pStyle w:val="ListParagraph"/>
              <w:spacing w:after="0" w:line="240" w:lineRule="exact"/>
              <w:ind w:left="0"/>
              <w:rPr>
                <w:rFonts w:ascii="Calibri" w:eastAsia="Calibri" w:hAnsi="Calibri" w:cstheme="minorHAnsi"/>
                <w:color w:val="000000" w:themeColor="text1"/>
                <w:sz w:val="18"/>
                <w:szCs w:val="18"/>
              </w:rPr>
            </w:pPr>
            <w:r w:rsidRPr="00A623AF">
              <w:rPr>
                <w:rFonts w:ascii="Calibri" w:eastAsia="Calibri" w:hAnsi="Calibri" w:cstheme="minorHAnsi"/>
                <w:color w:val="000000" w:themeColor="text1"/>
                <w:sz w:val="18"/>
                <w:szCs w:val="18"/>
              </w:rPr>
              <w:t>0%</w:t>
            </w:r>
          </w:p>
        </w:tc>
        <w:tc>
          <w:tcPr>
            <w:tcW w:w="915" w:type="dxa"/>
            <w:vAlign w:val="center"/>
          </w:tcPr>
          <w:p w:rsidR="00FA4A26" w:rsidRPr="001F29F9" w:rsidRDefault="00FA4A26" w:rsidP="002B1D02">
            <w:pPr>
              <w:pStyle w:val="ListParagraph"/>
              <w:spacing w:after="0" w:line="240" w:lineRule="exact"/>
              <w:ind w:left="0"/>
              <w:rPr>
                <w:rFonts w:ascii="Calibri" w:eastAsia="Calibri" w:hAnsi="Calibri" w:cstheme="minorHAnsi"/>
                <w:color w:val="000000" w:themeColor="text1"/>
                <w:sz w:val="18"/>
                <w:szCs w:val="18"/>
              </w:rPr>
            </w:pPr>
            <w:r>
              <w:rPr>
                <w:rFonts w:ascii="Calibri" w:eastAsia="Calibri" w:hAnsi="Calibri" w:cstheme="minorHAnsi"/>
                <w:color w:val="000000" w:themeColor="text1"/>
                <w:sz w:val="18"/>
                <w:szCs w:val="18"/>
              </w:rPr>
              <w:t>10</w:t>
            </w:r>
            <w:r w:rsidRPr="001F29F9">
              <w:rPr>
                <w:rFonts w:ascii="Calibri" w:eastAsia="Calibri" w:hAnsi="Calibri" w:cstheme="minorHAnsi"/>
                <w:color w:val="000000" w:themeColor="text1"/>
                <w:sz w:val="18"/>
                <w:szCs w:val="18"/>
              </w:rPr>
              <w:t>%</w:t>
            </w:r>
            <w:r>
              <w:rPr>
                <w:rFonts w:ascii="Calibri" w:eastAsia="Calibri" w:hAnsi="Calibri" w:cstheme="minorHAnsi"/>
                <w:color w:val="000000" w:themeColor="text1"/>
                <w:sz w:val="18"/>
                <w:szCs w:val="18"/>
              </w:rPr>
              <w:t>*</w:t>
            </w:r>
          </w:p>
        </w:tc>
        <w:tc>
          <w:tcPr>
            <w:tcW w:w="1245" w:type="dxa"/>
            <w:vAlign w:val="center"/>
          </w:tcPr>
          <w:p w:rsidR="00FA4A26" w:rsidRPr="001F29F9" w:rsidRDefault="00FA4A26" w:rsidP="002B1D02">
            <w:pPr>
              <w:pStyle w:val="ListParagraph"/>
              <w:spacing w:after="0" w:line="240" w:lineRule="exact"/>
              <w:ind w:left="0"/>
              <w:rPr>
                <w:rFonts w:ascii="Calibri" w:eastAsia="Calibri" w:hAnsi="Calibri" w:cstheme="minorHAnsi"/>
                <w:color w:val="000000" w:themeColor="text1"/>
                <w:sz w:val="18"/>
                <w:szCs w:val="18"/>
              </w:rPr>
            </w:pPr>
            <w:r>
              <w:rPr>
                <w:rFonts w:ascii="Calibri" w:eastAsia="Calibri" w:hAnsi="Calibri" w:cstheme="minorHAnsi"/>
                <w:color w:val="000000" w:themeColor="text1"/>
                <w:sz w:val="18"/>
                <w:szCs w:val="18"/>
              </w:rPr>
              <w:t>10</w:t>
            </w:r>
            <w:r w:rsidRPr="001F29F9">
              <w:rPr>
                <w:rFonts w:ascii="Calibri" w:eastAsia="Calibri" w:hAnsi="Calibri" w:cstheme="minorHAnsi"/>
                <w:color w:val="000000" w:themeColor="text1"/>
                <w:sz w:val="18"/>
                <w:szCs w:val="18"/>
              </w:rPr>
              <w:t>%</w:t>
            </w:r>
            <w:r>
              <w:rPr>
                <w:rFonts w:ascii="Calibri" w:eastAsia="Calibri" w:hAnsi="Calibri" w:cstheme="minorHAnsi"/>
                <w:color w:val="000000" w:themeColor="text1"/>
                <w:sz w:val="18"/>
                <w:szCs w:val="18"/>
              </w:rPr>
              <w:t>*</w:t>
            </w:r>
          </w:p>
        </w:tc>
      </w:tr>
    </w:tbl>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FA4A26" w:rsidRDefault="00FA4A26" w:rsidP="00FA4A26">
      <w:pPr>
        <w:rPr>
          <w:rFonts w:cs="Times New Roman"/>
          <w:color w:val="auto"/>
          <w:sz w:val="20"/>
        </w:rPr>
      </w:pPr>
    </w:p>
    <w:p w:rsidR="00B876C7" w:rsidRDefault="00B876C7" w:rsidP="00FA4A26">
      <w:pPr>
        <w:rPr>
          <w:rFonts w:cs="Times New Roman"/>
          <w:color w:val="auto"/>
          <w:sz w:val="20"/>
        </w:rPr>
      </w:pPr>
    </w:p>
    <w:p w:rsidR="00B876C7" w:rsidRDefault="00B876C7" w:rsidP="00FA4A26">
      <w:pPr>
        <w:rPr>
          <w:rFonts w:cs="Times New Roman"/>
          <w:color w:val="auto"/>
          <w:sz w:val="20"/>
        </w:rPr>
      </w:pPr>
    </w:p>
    <w:p w:rsidR="00FA4A26" w:rsidRDefault="00FA4A26" w:rsidP="00FA4A26">
      <w:pPr>
        <w:rPr>
          <w:color w:val="000000" w:themeColor="text1"/>
          <w:szCs w:val="24"/>
        </w:rPr>
      </w:pPr>
      <w:r w:rsidRPr="00FA4064">
        <w:rPr>
          <w:rFonts w:cs="Times New Roman"/>
          <w:color w:val="auto"/>
          <w:sz w:val="20"/>
        </w:rPr>
        <w:t xml:space="preserve">* Conceding </w:t>
      </w:r>
      <w:r w:rsidRPr="00FA4064">
        <w:rPr>
          <w:rFonts w:asciiTheme="minorHAnsi" w:hAnsiTheme="minorHAnsi" w:cs="Times New Roman"/>
          <w:color w:val="auto"/>
          <w:sz w:val="20"/>
        </w:rPr>
        <w:t>§4.59 (painful motion) as below.</w:t>
      </w:r>
    </w:p>
    <w:p w:rsidR="00B876C7" w:rsidRDefault="00B876C7" w:rsidP="00FA4A26">
      <w:pPr>
        <w:jc w:val="left"/>
        <w:rPr>
          <w:color w:val="000000" w:themeColor="text1"/>
          <w:szCs w:val="24"/>
        </w:rPr>
      </w:pPr>
    </w:p>
    <w:p w:rsidR="00B876C7" w:rsidRPr="00F64312" w:rsidRDefault="00B876C7" w:rsidP="00527543">
      <w:pPr>
        <w:jc w:val="both"/>
        <w:rPr>
          <w:color w:val="auto"/>
          <w:szCs w:val="24"/>
        </w:rPr>
      </w:pPr>
      <w:r w:rsidRPr="00F64312">
        <w:rPr>
          <w:color w:val="auto"/>
          <w:szCs w:val="24"/>
        </w:rPr>
        <w:t>At the MEB exam</w:t>
      </w:r>
      <w:r>
        <w:rPr>
          <w:color w:val="auto"/>
          <w:szCs w:val="24"/>
        </w:rPr>
        <w:t xml:space="preserve">, </w:t>
      </w:r>
      <w:r w:rsidR="007D444A">
        <w:rPr>
          <w:color w:val="auto"/>
          <w:szCs w:val="24"/>
        </w:rPr>
        <w:t xml:space="preserve">performed </w:t>
      </w:r>
      <w:r>
        <w:rPr>
          <w:color w:val="auto"/>
          <w:szCs w:val="24"/>
        </w:rPr>
        <w:t>7 months prior to separation</w:t>
      </w:r>
      <w:r w:rsidRPr="00F64312">
        <w:rPr>
          <w:color w:val="auto"/>
          <w:szCs w:val="24"/>
        </w:rPr>
        <w:t>, the CI reported</w:t>
      </w:r>
      <w:r>
        <w:rPr>
          <w:color w:val="auto"/>
          <w:szCs w:val="24"/>
        </w:rPr>
        <w:t xml:space="preserve"> </w:t>
      </w:r>
      <w:r w:rsidRPr="00B876C7">
        <w:rPr>
          <w:color w:val="auto"/>
          <w:szCs w:val="24"/>
        </w:rPr>
        <w:t xml:space="preserve">bilateral hip pain </w:t>
      </w:r>
      <w:r>
        <w:rPr>
          <w:color w:val="auto"/>
          <w:szCs w:val="24"/>
        </w:rPr>
        <w:t>7</w:t>
      </w:r>
      <w:r w:rsidR="008E62F2">
        <w:rPr>
          <w:color w:val="auto"/>
          <w:szCs w:val="24"/>
        </w:rPr>
        <w:t>/</w:t>
      </w:r>
      <w:r>
        <w:rPr>
          <w:color w:val="auto"/>
          <w:szCs w:val="24"/>
        </w:rPr>
        <w:t>10 with 10 being the wors</w:t>
      </w:r>
      <w:r w:rsidR="00D50979">
        <w:rPr>
          <w:color w:val="auto"/>
          <w:szCs w:val="24"/>
        </w:rPr>
        <w:t xml:space="preserve">e </w:t>
      </w:r>
      <w:r>
        <w:rPr>
          <w:color w:val="auto"/>
          <w:szCs w:val="24"/>
        </w:rPr>
        <w:t>and Motrin use</w:t>
      </w:r>
      <w:r w:rsidRPr="00B876C7">
        <w:rPr>
          <w:color w:val="auto"/>
          <w:szCs w:val="24"/>
        </w:rPr>
        <w:t>.</w:t>
      </w:r>
      <w:r>
        <w:rPr>
          <w:color w:val="auto"/>
          <w:szCs w:val="24"/>
        </w:rPr>
        <w:t xml:space="preserve">  </w:t>
      </w:r>
      <w:r w:rsidR="003717E7" w:rsidRPr="00F64312">
        <w:rPr>
          <w:color w:val="auto"/>
          <w:szCs w:val="24"/>
        </w:rPr>
        <w:t xml:space="preserve">At the </w:t>
      </w:r>
      <w:r w:rsidR="008E62F2">
        <w:rPr>
          <w:color w:val="auto"/>
          <w:szCs w:val="24"/>
        </w:rPr>
        <w:t>VA</w:t>
      </w:r>
      <w:r w:rsidR="003717E7" w:rsidRPr="00F64312">
        <w:rPr>
          <w:color w:val="auto"/>
          <w:szCs w:val="24"/>
        </w:rPr>
        <w:t xml:space="preserve"> Compensation and Pension (C&amp;P) </w:t>
      </w:r>
      <w:r w:rsidR="003717E7" w:rsidRPr="00B876C7">
        <w:rPr>
          <w:color w:val="auto"/>
          <w:szCs w:val="24"/>
        </w:rPr>
        <w:t>exam</w:t>
      </w:r>
      <w:r w:rsidR="003717E7">
        <w:rPr>
          <w:color w:val="auto"/>
          <w:szCs w:val="24"/>
        </w:rPr>
        <w:t>,</w:t>
      </w:r>
      <w:r w:rsidR="003717E7" w:rsidRPr="00B876C7">
        <w:rPr>
          <w:color w:val="auto"/>
          <w:szCs w:val="24"/>
        </w:rPr>
        <w:t xml:space="preserve"> </w:t>
      </w:r>
      <w:r w:rsidR="007D444A">
        <w:rPr>
          <w:color w:val="auto"/>
          <w:szCs w:val="24"/>
        </w:rPr>
        <w:t xml:space="preserve">performed </w:t>
      </w:r>
      <w:r w:rsidR="003717E7" w:rsidRPr="00B876C7">
        <w:rPr>
          <w:color w:val="auto"/>
          <w:szCs w:val="24"/>
        </w:rPr>
        <w:t>8 months after separation, the CI reported Naprosyn use twice a</w:t>
      </w:r>
      <w:r w:rsidR="003717E7">
        <w:rPr>
          <w:color w:val="auto"/>
          <w:szCs w:val="24"/>
        </w:rPr>
        <w:t xml:space="preserve"> day two to three times a week, </w:t>
      </w:r>
      <w:r w:rsidR="003717E7" w:rsidRPr="00B876C7">
        <w:rPr>
          <w:color w:val="auto"/>
          <w:szCs w:val="24"/>
        </w:rPr>
        <w:t xml:space="preserve">walking and being on her feet a lot would produce a flare-up which would limit her ambulation and disrupt her sleep. </w:t>
      </w:r>
      <w:r w:rsidR="003717E7">
        <w:rPr>
          <w:color w:val="auto"/>
          <w:szCs w:val="24"/>
        </w:rPr>
        <w:t xml:space="preserve"> </w:t>
      </w:r>
      <w:r w:rsidRPr="00B876C7">
        <w:rPr>
          <w:color w:val="auto"/>
          <w:szCs w:val="24"/>
        </w:rPr>
        <w:t>The MEB and VA physical exam demonstrated tenderness over the greater trochanter of the left and right hip, normal gait, and normal motor and neurologic exam of the lower extremities.  The C&amp;P physical exam also demonstrated</w:t>
      </w:r>
      <w:r w:rsidRPr="00B876C7">
        <w:rPr>
          <w:color w:val="000000" w:themeColor="text1"/>
          <w:szCs w:val="24"/>
        </w:rPr>
        <w:t xml:space="preserve"> no additional loss of motion with repetitions and additional imaging revealed no abnormalities of the bones or joint.</w:t>
      </w:r>
      <w:r w:rsidR="00617AF3">
        <w:rPr>
          <w:color w:val="000000" w:themeColor="text1"/>
          <w:szCs w:val="24"/>
        </w:rPr>
        <w:t xml:space="preserve">  Evidence in the </w:t>
      </w:r>
      <w:r w:rsidR="008E62F2">
        <w:rPr>
          <w:color w:val="000000" w:themeColor="text1"/>
          <w:szCs w:val="24"/>
        </w:rPr>
        <w:t>s</w:t>
      </w:r>
      <w:r w:rsidR="00617AF3">
        <w:rPr>
          <w:color w:val="000000" w:themeColor="text1"/>
          <w:szCs w:val="24"/>
        </w:rPr>
        <w:t xml:space="preserve">ervice </w:t>
      </w:r>
      <w:r w:rsidR="008E62F2">
        <w:rPr>
          <w:color w:val="000000" w:themeColor="text1"/>
          <w:szCs w:val="24"/>
        </w:rPr>
        <w:t>t</w:t>
      </w:r>
      <w:r w:rsidR="00617AF3">
        <w:rPr>
          <w:color w:val="000000" w:themeColor="text1"/>
          <w:szCs w:val="24"/>
        </w:rPr>
        <w:t xml:space="preserve">reatment </w:t>
      </w:r>
      <w:r w:rsidR="008E62F2">
        <w:rPr>
          <w:color w:val="000000" w:themeColor="text1"/>
          <w:szCs w:val="24"/>
        </w:rPr>
        <w:t>r</w:t>
      </w:r>
      <w:r w:rsidR="00617AF3">
        <w:rPr>
          <w:color w:val="000000" w:themeColor="text1"/>
          <w:szCs w:val="24"/>
        </w:rPr>
        <w:t xml:space="preserve">ecord (STR) reflected </w:t>
      </w:r>
      <w:r w:rsidR="003717E7">
        <w:rPr>
          <w:color w:val="000000" w:themeColor="text1"/>
          <w:szCs w:val="24"/>
        </w:rPr>
        <w:t xml:space="preserve">an overall </w:t>
      </w:r>
      <w:r w:rsidR="00617AF3">
        <w:rPr>
          <w:color w:val="000000" w:themeColor="text1"/>
          <w:szCs w:val="24"/>
        </w:rPr>
        <w:t>full ROM of both hips.</w:t>
      </w:r>
    </w:p>
    <w:p w:rsidR="00FA4A26" w:rsidRDefault="00FA4A26" w:rsidP="00FA4A26">
      <w:pPr>
        <w:jc w:val="left"/>
        <w:rPr>
          <w:color w:val="000000" w:themeColor="text1"/>
          <w:szCs w:val="24"/>
        </w:rPr>
      </w:pPr>
    </w:p>
    <w:p w:rsidR="00B876C7" w:rsidRPr="00F64312" w:rsidRDefault="00B876C7" w:rsidP="00B876C7">
      <w:pPr>
        <w:jc w:val="both"/>
        <w:rPr>
          <w:rFonts w:eastAsia="Calibri" w:cs="Times New Roman"/>
          <w:color w:val="auto"/>
          <w:szCs w:val="24"/>
        </w:rPr>
      </w:pPr>
      <w:r w:rsidRPr="00B876C7">
        <w:rPr>
          <w:color w:val="000000" w:themeColor="text1"/>
          <w:szCs w:val="24"/>
        </w:rPr>
        <w:t xml:space="preserve">The Board first considered the probative value of the data presented above.  While the MEB exam data was the clear outlier for flexion, this did not have a bearing on the rating.  The VA </w:t>
      </w:r>
      <w:r w:rsidRPr="00B876C7">
        <w:rPr>
          <w:color w:val="000000" w:themeColor="text1"/>
          <w:szCs w:val="24"/>
        </w:rPr>
        <w:lastRenderedPageBreak/>
        <w:t>C&amp;P exam was the only</w:t>
      </w:r>
      <w:r w:rsidR="00D50979">
        <w:rPr>
          <w:color w:val="000000" w:themeColor="text1"/>
          <w:szCs w:val="24"/>
        </w:rPr>
        <w:t xml:space="preserve"> complete </w:t>
      </w:r>
      <w:r w:rsidR="003717E7">
        <w:rPr>
          <w:color w:val="000000" w:themeColor="text1"/>
          <w:szCs w:val="24"/>
        </w:rPr>
        <w:t xml:space="preserve">VASRD compliant </w:t>
      </w:r>
      <w:r w:rsidRPr="00B876C7">
        <w:rPr>
          <w:color w:val="000000" w:themeColor="text1"/>
          <w:szCs w:val="24"/>
        </w:rPr>
        <w:t>exam in evidence</w:t>
      </w:r>
      <w:r w:rsidR="003717E7">
        <w:rPr>
          <w:color w:val="000000" w:themeColor="text1"/>
          <w:szCs w:val="24"/>
        </w:rPr>
        <w:t xml:space="preserve"> within 12 months </w:t>
      </w:r>
      <w:r w:rsidR="007D444A">
        <w:rPr>
          <w:color w:val="000000" w:themeColor="text1"/>
          <w:szCs w:val="24"/>
        </w:rPr>
        <w:t xml:space="preserve">of </w:t>
      </w:r>
      <w:r w:rsidR="003717E7">
        <w:rPr>
          <w:color w:val="000000" w:themeColor="text1"/>
          <w:szCs w:val="24"/>
        </w:rPr>
        <w:t>separation</w:t>
      </w:r>
      <w:r w:rsidRPr="00B876C7">
        <w:rPr>
          <w:color w:val="000000" w:themeColor="text1"/>
          <w:szCs w:val="24"/>
        </w:rPr>
        <w:t>.  This exam reflected findings consistent with the totality of evidence</w:t>
      </w:r>
      <w:r w:rsidR="00B12B7D">
        <w:rPr>
          <w:color w:val="000000" w:themeColor="text1"/>
          <w:szCs w:val="24"/>
        </w:rPr>
        <w:t xml:space="preserve"> except for painful ROMs</w:t>
      </w:r>
      <w:r w:rsidR="002B6E9B">
        <w:rPr>
          <w:color w:val="000000" w:themeColor="text1"/>
          <w:szCs w:val="24"/>
        </w:rPr>
        <w:t xml:space="preserve"> in all directions which is not consistent with the </w:t>
      </w:r>
      <w:r w:rsidR="00D50979">
        <w:rPr>
          <w:color w:val="000000" w:themeColor="text1"/>
          <w:szCs w:val="24"/>
        </w:rPr>
        <w:t xml:space="preserve">clinical </w:t>
      </w:r>
      <w:r w:rsidR="002B6E9B">
        <w:rPr>
          <w:color w:val="000000" w:themeColor="text1"/>
          <w:szCs w:val="24"/>
        </w:rPr>
        <w:t xml:space="preserve">pathology.  </w:t>
      </w:r>
      <w:r w:rsidRPr="00B876C7">
        <w:rPr>
          <w:color w:val="000000" w:themeColor="text1"/>
          <w:szCs w:val="24"/>
        </w:rPr>
        <w:t xml:space="preserve">This exam, </w:t>
      </w:r>
      <w:r w:rsidR="003717E7">
        <w:rPr>
          <w:color w:val="000000" w:themeColor="text1"/>
          <w:szCs w:val="24"/>
        </w:rPr>
        <w:t>still</w:t>
      </w:r>
      <w:r w:rsidR="00D50979">
        <w:rPr>
          <w:color w:val="000000" w:themeColor="text1"/>
          <w:szCs w:val="24"/>
        </w:rPr>
        <w:t>,</w:t>
      </w:r>
      <w:r w:rsidRPr="00B876C7">
        <w:rPr>
          <w:color w:val="000000" w:themeColor="text1"/>
          <w:szCs w:val="24"/>
        </w:rPr>
        <w:t xml:space="preserve"> weighed heavily in the Board’s rating recommendation.  </w:t>
      </w:r>
      <w:r w:rsidRPr="00B876C7">
        <w:rPr>
          <w:rFonts w:asciiTheme="minorHAnsi" w:hAnsiTheme="minorHAnsi" w:cs="Times New Roman"/>
          <w:color w:val="auto"/>
          <w:szCs w:val="24"/>
        </w:rPr>
        <w:t xml:space="preserve">The PEB and VA chose different coding options for the condition, but this did not bear on rating.  </w:t>
      </w:r>
      <w:r w:rsidRPr="00B876C7">
        <w:rPr>
          <w:rFonts w:asciiTheme="minorHAnsi" w:hAnsiTheme="minorHAnsi"/>
          <w:color w:val="auto"/>
          <w:szCs w:val="24"/>
        </w:rPr>
        <w:t>The PEB chose to rate both hips together analogous to the 5003 code (</w:t>
      </w:r>
      <w:r w:rsidR="008E62F2">
        <w:rPr>
          <w:rFonts w:asciiTheme="minorHAnsi" w:hAnsiTheme="minorHAnsi"/>
          <w:color w:val="auto"/>
          <w:szCs w:val="24"/>
        </w:rPr>
        <w:t>a</w:t>
      </w:r>
      <w:r w:rsidRPr="00B876C7">
        <w:rPr>
          <w:rFonts w:asciiTheme="minorHAnsi" w:hAnsiTheme="minorHAnsi"/>
          <w:color w:val="auto"/>
          <w:szCs w:val="24"/>
        </w:rPr>
        <w:t xml:space="preserve">rthritis, </w:t>
      </w:r>
      <w:r w:rsidR="008E62F2">
        <w:rPr>
          <w:rFonts w:asciiTheme="minorHAnsi" w:hAnsiTheme="minorHAnsi"/>
          <w:color w:val="auto"/>
          <w:szCs w:val="24"/>
        </w:rPr>
        <w:t>d</w:t>
      </w:r>
      <w:r w:rsidRPr="00B876C7">
        <w:rPr>
          <w:rFonts w:asciiTheme="minorHAnsi" w:hAnsiTheme="minorHAnsi"/>
          <w:color w:val="auto"/>
          <w:szCs w:val="24"/>
        </w:rPr>
        <w:t>egenerative) a</w:t>
      </w:r>
      <w:r w:rsidRPr="00B876C7">
        <w:rPr>
          <w:rFonts w:asciiTheme="minorHAnsi" w:hAnsiTheme="minorHAnsi" w:cs="Times New Roman"/>
          <w:color w:val="auto"/>
          <w:szCs w:val="24"/>
        </w:rPr>
        <w:t>nd its 20% determination was consistent with §4.71a standards</w:t>
      </w:r>
      <w:r w:rsidR="00B12B7D">
        <w:rPr>
          <w:rFonts w:asciiTheme="minorHAnsi" w:hAnsiTheme="minorHAnsi" w:cs="Times New Roman"/>
          <w:color w:val="auto"/>
          <w:szCs w:val="24"/>
        </w:rPr>
        <w:t>.</w:t>
      </w:r>
      <w:r>
        <w:rPr>
          <w:rFonts w:asciiTheme="minorHAnsi" w:hAnsiTheme="minorHAnsi" w:cs="Times New Roman"/>
          <w:color w:val="auto"/>
          <w:szCs w:val="24"/>
        </w:rPr>
        <w:t xml:space="preserve">  </w:t>
      </w:r>
      <w:r>
        <w:rPr>
          <w:rFonts w:asciiTheme="minorHAnsi" w:hAnsiTheme="minorHAnsi"/>
          <w:color w:val="auto"/>
          <w:szCs w:val="24"/>
        </w:rPr>
        <w:t xml:space="preserve">The VA chose to rate each hip </w:t>
      </w:r>
      <w:r w:rsidR="00C238E8">
        <w:rPr>
          <w:rFonts w:asciiTheme="minorHAnsi" w:hAnsiTheme="minorHAnsi"/>
          <w:color w:val="auto"/>
          <w:szCs w:val="24"/>
        </w:rPr>
        <w:t xml:space="preserve">separately at 10% </w:t>
      </w:r>
      <w:r>
        <w:rPr>
          <w:rFonts w:asciiTheme="minorHAnsi" w:hAnsiTheme="minorHAnsi"/>
          <w:color w:val="auto"/>
          <w:szCs w:val="24"/>
        </w:rPr>
        <w:t>using the 5019</w:t>
      </w:r>
      <w:r w:rsidRPr="00B876C7">
        <w:rPr>
          <w:sz w:val="23"/>
          <w:szCs w:val="23"/>
        </w:rPr>
        <w:t xml:space="preserve"> </w:t>
      </w:r>
      <w:r w:rsidRPr="00B876C7">
        <w:rPr>
          <w:color w:val="auto"/>
          <w:sz w:val="23"/>
          <w:szCs w:val="23"/>
        </w:rPr>
        <w:t>(Bursitis)</w:t>
      </w:r>
      <w:r>
        <w:rPr>
          <w:rFonts w:asciiTheme="minorHAnsi" w:hAnsiTheme="minorHAnsi"/>
          <w:color w:val="auto"/>
          <w:szCs w:val="24"/>
        </w:rPr>
        <w:t xml:space="preserve"> code analogous to 5003 code which</w:t>
      </w:r>
      <w:r w:rsidRPr="00B876C7">
        <w:rPr>
          <w:rFonts w:asciiTheme="minorHAnsi" w:hAnsiTheme="minorHAnsi" w:cs="Times New Roman"/>
          <w:color w:val="auto"/>
          <w:szCs w:val="24"/>
        </w:rPr>
        <w:t xml:space="preserve"> was </w:t>
      </w:r>
      <w:r w:rsidR="00C238E8">
        <w:rPr>
          <w:rFonts w:asciiTheme="minorHAnsi" w:hAnsiTheme="minorHAnsi" w:cs="Times New Roman"/>
          <w:color w:val="auto"/>
          <w:szCs w:val="24"/>
        </w:rPr>
        <w:t xml:space="preserve">more specific to the clinical pathology and also </w:t>
      </w:r>
      <w:r w:rsidRPr="00B876C7">
        <w:rPr>
          <w:rFonts w:asciiTheme="minorHAnsi" w:hAnsiTheme="minorHAnsi" w:cs="Times New Roman"/>
          <w:color w:val="auto"/>
          <w:szCs w:val="24"/>
        </w:rPr>
        <w:t>consistent with §4.71a standards</w:t>
      </w:r>
      <w:r>
        <w:rPr>
          <w:rFonts w:asciiTheme="minorHAnsi" w:hAnsiTheme="minorHAnsi" w:cs="Times New Roman"/>
          <w:color w:val="auto"/>
          <w:szCs w:val="24"/>
        </w:rPr>
        <w:t>.</w:t>
      </w:r>
      <w:r w:rsidRPr="00B876C7">
        <w:rPr>
          <w:rFonts w:asciiTheme="minorHAnsi" w:hAnsiTheme="minorHAnsi"/>
          <w:color w:val="auto"/>
          <w:szCs w:val="24"/>
        </w:rPr>
        <w:t xml:space="preserve"> </w:t>
      </w:r>
      <w:r>
        <w:rPr>
          <w:rFonts w:asciiTheme="minorHAnsi" w:hAnsiTheme="minorHAnsi"/>
          <w:color w:val="auto"/>
          <w:szCs w:val="24"/>
        </w:rPr>
        <w:t xml:space="preserve"> The VA ROMs did not warrant a minimal compe</w:t>
      </w:r>
      <w:r w:rsidRPr="00B876C7">
        <w:rPr>
          <w:rFonts w:asciiTheme="minorHAnsi" w:hAnsiTheme="minorHAnsi"/>
          <w:color w:val="auto"/>
          <w:szCs w:val="24"/>
        </w:rPr>
        <w:t xml:space="preserve">nsable rating for either hip, but §4.59 was correctly applied to achieve the minimal compensable rating.  </w:t>
      </w:r>
      <w:r w:rsidRPr="00B876C7">
        <w:rPr>
          <w:color w:val="auto"/>
        </w:rPr>
        <w:t xml:space="preserve">The Board looked </w:t>
      </w:r>
      <w:r w:rsidR="00C238E8">
        <w:rPr>
          <w:color w:val="auto"/>
        </w:rPr>
        <w:t>in the evidence for an avenue to a higher rating under</w:t>
      </w:r>
      <w:r w:rsidRPr="00B876C7">
        <w:rPr>
          <w:color w:val="auto"/>
        </w:rPr>
        <w:t xml:space="preserve"> other hip and thigh codes countenance by the VASRD</w:t>
      </w:r>
      <w:r w:rsidR="00C238E8">
        <w:rPr>
          <w:color w:val="auto"/>
        </w:rPr>
        <w:t xml:space="preserve"> and did not find any</w:t>
      </w:r>
      <w:r w:rsidRPr="00B876C7">
        <w:rPr>
          <w:color w:val="auto"/>
        </w:rPr>
        <w:t>.</w:t>
      </w:r>
      <w:r w:rsidRPr="00B876C7">
        <w:rPr>
          <w:rFonts w:asciiTheme="minorHAnsi" w:hAnsiTheme="minorHAnsi"/>
          <w:color w:val="auto"/>
          <w:szCs w:val="24"/>
        </w:rPr>
        <w:t xml:space="preserve">  </w:t>
      </w:r>
      <w:r w:rsidRPr="00B876C7">
        <w:rPr>
          <w:rFonts w:asciiTheme="minorHAnsi" w:hAnsiTheme="minorHAnsi"/>
          <w:color w:val="auto"/>
        </w:rPr>
        <w:t xml:space="preserve">After due deliberation in consideration of the totality of the evidence, the Board concluded that there is no VASRD basis for recommending a higher rating than the 20% conferred by the PEB in this case. </w:t>
      </w:r>
      <w:r w:rsidR="00D50979">
        <w:rPr>
          <w:rFonts w:asciiTheme="minorHAnsi" w:hAnsiTheme="minorHAnsi"/>
          <w:color w:val="auto"/>
        </w:rPr>
        <w:t xml:space="preserve">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A160FA" w:rsidRPr="00F64312" w:rsidRDefault="00C56FC8" w:rsidP="00A160FA">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w:t>
      </w:r>
      <w:r w:rsidRPr="00D50979">
        <w:rPr>
          <w:rFonts w:eastAsiaTheme="minorHAnsi"/>
          <w:color w:val="000000" w:themeColor="text1"/>
          <w:szCs w:val="24"/>
        </w:rPr>
        <w:t>guidelines relied upon by the PEB will not be considered by the Board to the extent they were inconsistent with the VASRD in effect at the time of the adjudication.</w:t>
      </w:r>
      <w:r w:rsidR="00FA4A26" w:rsidRPr="00D50979">
        <w:rPr>
          <w:rFonts w:cs="Times New Roman"/>
          <w:color w:val="auto"/>
        </w:rPr>
        <w:t xml:space="preserve">  The Board did not surmise from the record or PEB ruling in this case that any prerogatives outside the VASRD were exercised.  </w:t>
      </w:r>
      <w:r w:rsidR="00A160FA" w:rsidRPr="00D50979">
        <w:rPr>
          <w:rFonts w:eastAsia="Calibri" w:cs="Times New Roman"/>
          <w:color w:val="auto"/>
          <w:szCs w:val="24"/>
        </w:rPr>
        <w:t>In the matter of the bilateral hip condition and IAW VASRD §4.71a, the Board unanimously recommends no change in the PEB adjudication.  There were no other conditions within the Board’s scope of review for consideration.</w:t>
      </w:r>
      <w:r w:rsidR="00A160FA"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FA4A26" w:rsidRDefault="00C56FC8" w:rsidP="00527543">
      <w:pPr>
        <w:jc w:val="both"/>
        <w:rPr>
          <w:color w:val="000000" w:themeColor="text1"/>
        </w:rPr>
      </w:pPr>
      <w:r w:rsidRPr="001F29F9">
        <w:rPr>
          <w:color w:val="000000" w:themeColor="text1"/>
          <w:szCs w:val="24"/>
          <w:u w:val="single"/>
        </w:rPr>
        <w:t>RECOMMENDATION</w:t>
      </w:r>
      <w:r w:rsidRPr="001F29F9">
        <w:rPr>
          <w:color w:val="000000" w:themeColor="text1"/>
          <w:szCs w:val="24"/>
        </w:rPr>
        <w:t>:</w:t>
      </w:r>
      <w:r w:rsidR="00FA4A26">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1E3FE1" w:rsidRPr="001F29F9" w:rsidRDefault="001E3FE1" w:rsidP="00BF0E94">
      <w:pPr>
        <w:jc w:val="both"/>
        <w:rPr>
          <w:color w:val="000000" w:themeColor="text1"/>
          <w:szCs w:val="24"/>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6"/>
        <w:gridCol w:w="1656"/>
        <w:gridCol w:w="1724"/>
        <w:gridCol w:w="1084"/>
      </w:tblGrid>
      <w:tr w:rsidR="004101B2" w:rsidRPr="001F29F9" w:rsidTr="0080588E">
        <w:trPr>
          <w:trHeight w:val="206"/>
          <w:jc w:val="center"/>
        </w:trPr>
        <w:tc>
          <w:tcPr>
            <w:tcW w:w="6462" w:type="dxa"/>
            <w:gridSpan w:val="2"/>
            <w:tcBorders>
              <w:right w:val="single" w:sz="4" w:space="0" w:color="auto"/>
            </w:tcBorders>
            <w:shd w:val="clear" w:color="auto" w:fill="D9D9D9"/>
            <w:vAlign w:val="center"/>
          </w:tcPr>
          <w:p w:rsidR="004101B2" w:rsidRPr="001F29F9" w:rsidRDefault="004101B2" w:rsidP="00BF0E94">
            <w:pPr>
              <w:tabs>
                <w:tab w:val="left" w:pos="288"/>
                <w:tab w:val="left" w:pos="4752"/>
              </w:tabs>
              <w:rPr>
                <w:b/>
                <w:color w:val="000000" w:themeColor="text1"/>
                <w:szCs w:val="24"/>
              </w:rPr>
            </w:pPr>
            <w:r w:rsidRPr="001F29F9">
              <w:rPr>
                <w:b/>
                <w:color w:val="000000" w:themeColor="text1"/>
                <w:szCs w:val="24"/>
              </w:rPr>
              <w:t>UNFITTING CONDITION</w:t>
            </w:r>
          </w:p>
        </w:tc>
        <w:tc>
          <w:tcPr>
            <w:tcW w:w="1724" w:type="dxa"/>
            <w:tcBorders>
              <w:left w:val="single" w:sz="4" w:space="0" w:color="auto"/>
            </w:tcBorders>
            <w:shd w:val="clear" w:color="auto" w:fill="D9D9D9"/>
            <w:vAlign w:val="center"/>
          </w:tcPr>
          <w:p w:rsidR="004101B2" w:rsidRPr="001F29F9" w:rsidRDefault="004101B2" w:rsidP="00BF0E94">
            <w:pPr>
              <w:tabs>
                <w:tab w:val="left" w:pos="288"/>
                <w:tab w:val="left" w:pos="4752"/>
              </w:tabs>
              <w:rPr>
                <w:b/>
                <w:color w:val="000000" w:themeColor="text1"/>
                <w:szCs w:val="24"/>
              </w:rPr>
            </w:pPr>
            <w:r w:rsidRPr="001F29F9">
              <w:rPr>
                <w:b/>
                <w:color w:val="000000" w:themeColor="text1"/>
                <w:szCs w:val="24"/>
              </w:rPr>
              <w:t>VASRD CODE</w:t>
            </w:r>
          </w:p>
        </w:tc>
        <w:tc>
          <w:tcPr>
            <w:tcW w:w="1084" w:type="dxa"/>
            <w:shd w:val="clear" w:color="auto" w:fill="D9D9D9"/>
            <w:vAlign w:val="center"/>
          </w:tcPr>
          <w:p w:rsidR="004101B2" w:rsidRPr="00C238E8" w:rsidRDefault="004101B2" w:rsidP="00BF0E94">
            <w:pPr>
              <w:tabs>
                <w:tab w:val="left" w:pos="288"/>
                <w:tab w:val="left" w:pos="4752"/>
              </w:tabs>
              <w:rPr>
                <w:b/>
                <w:color w:val="000000" w:themeColor="text1"/>
                <w:szCs w:val="24"/>
              </w:rPr>
            </w:pPr>
            <w:r w:rsidRPr="00C238E8">
              <w:rPr>
                <w:b/>
                <w:color w:val="000000" w:themeColor="text1"/>
                <w:szCs w:val="24"/>
              </w:rPr>
              <w:t>RATING</w:t>
            </w:r>
          </w:p>
        </w:tc>
      </w:tr>
      <w:tr w:rsidR="004101B2" w:rsidRPr="001F29F9" w:rsidTr="0080588E">
        <w:trPr>
          <w:jc w:val="center"/>
        </w:trPr>
        <w:tc>
          <w:tcPr>
            <w:tcW w:w="6462" w:type="dxa"/>
            <w:gridSpan w:val="2"/>
            <w:tcBorders>
              <w:right w:val="single" w:sz="4" w:space="0" w:color="auto"/>
            </w:tcBorders>
            <w:vAlign w:val="center"/>
          </w:tcPr>
          <w:p w:rsidR="004101B2" w:rsidRPr="001F29F9" w:rsidRDefault="00FA4A26" w:rsidP="00BF0E94">
            <w:pPr>
              <w:tabs>
                <w:tab w:val="left" w:pos="288"/>
                <w:tab w:val="left" w:pos="4752"/>
              </w:tabs>
              <w:jc w:val="left"/>
              <w:rPr>
                <w:color w:val="000000" w:themeColor="text1"/>
                <w:szCs w:val="24"/>
              </w:rPr>
            </w:pPr>
            <w:r w:rsidRPr="00FA4A26">
              <w:rPr>
                <w:color w:val="000000" w:themeColor="text1"/>
                <w:szCs w:val="24"/>
              </w:rPr>
              <w:t>Bilateral Hip Pain</w:t>
            </w:r>
          </w:p>
        </w:tc>
        <w:tc>
          <w:tcPr>
            <w:tcW w:w="1724" w:type="dxa"/>
            <w:tcBorders>
              <w:left w:val="single" w:sz="4" w:space="0" w:color="auto"/>
            </w:tcBorders>
            <w:vAlign w:val="center"/>
          </w:tcPr>
          <w:p w:rsidR="004101B2" w:rsidRPr="001F29F9" w:rsidRDefault="00FA4A26" w:rsidP="00B12B7D">
            <w:pPr>
              <w:tabs>
                <w:tab w:val="left" w:pos="288"/>
                <w:tab w:val="left" w:pos="4752"/>
              </w:tabs>
              <w:rPr>
                <w:color w:val="000000" w:themeColor="text1"/>
                <w:szCs w:val="24"/>
              </w:rPr>
            </w:pPr>
            <w:r w:rsidRPr="00B12B7D">
              <w:rPr>
                <w:color w:val="000000" w:themeColor="text1"/>
                <w:szCs w:val="24"/>
              </w:rPr>
              <w:t>50</w:t>
            </w:r>
            <w:r w:rsidR="00B12B7D" w:rsidRPr="00B12B7D">
              <w:rPr>
                <w:color w:val="000000" w:themeColor="text1"/>
                <w:szCs w:val="24"/>
              </w:rPr>
              <w:t>99</w:t>
            </w:r>
            <w:r w:rsidRPr="00FA4A26">
              <w:rPr>
                <w:color w:val="000000" w:themeColor="text1"/>
                <w:szCs w:val="24"/>
              </w:rPr>
              <w:t>-5003</w:t>
            </w:r>
          </w:p>
        </w:tc>
        <w:tc>
          <w:tcPr>
            <w:tcW w:w="1084" w:type="dxa"/>
            <w:vAlign w:val="center"/>
          </w:tcPr>
          <w:p w:rsidR="004101B2" w:rsidRPr="00C238E8" w:rsidRDefault="00FA4A26" w:rsidP="00BF0E94">
            <w:pPr>
              <w:tabs>
                <w:tab w:val="left" w:pos="288"/>
                <w:tab w:val="left" w:pos="4752"/>
              </w:tabs>
              <w:rPr>
                <w:color w:val="000000" w:themeColor="text1"/>
                <w:szCs w:val="24"/>
              </w:rPr>
            </w:pPr>
            <w:r w:rsidRPr="00C238E8">
              <w:rPr>
                <w:color w:val="000000" w:themeColor="text1"/>
                <w:szCs w:val="24"/>
              </w:rPr>
              <w:t>20</w:t>
            </w:r>
            <w:r w:rsidR="00182A4C" w:rsidRPr="00C238E8">
              <w:rPr>
                <w:color w:val="000000" w:themeColor="text1"/>
                <w:szCs w:val="24"/>
              </w:rPr>
              <w:t>%</w:t>
            </w:r>
          </w:p>
        </w:tc>
      </w:tr>
      <w:tr w:rsidR="004101B2" w:rsidRPr="001F29F9" w:rsidTr="0080588E">
        <w:tblPrEx>
          <w:tblLook w:val="0000" w:firstRow="0" w:lastRow="0" w:firstColumn="0" w:lastColumn="0" w:noHBand="0" w:noVBand="0"/>
        </w:tblPrEx>
        <w:trPr>
          <w:gridBefore w:val="1"/>
          <w:wBefore w:w="4806" w:type="dxa"/>
          <w:trHeight w:val="143"/>
          <w:jc w:val="center"/>
        </w:trPr>
        <w:tc>
          <w:tcPr>
            <w:tcW w:w="3380" w:type="dxa"/>
            <w:gridSpan w:val="2"/>
            <w:tcBorders>
              <w:left w:val="single" w:sz="4" w:space="0" w:color="auto"/>
              <w:bottom w:val="single" w:sz="4" w:space="0" w:color="auto"/>
            </w:tcBorders>
            <w:shd w:val="clear" w:color="auto" w:fill="D9D9D9" w:themeFill="background1" w:themeFillShade="D9"/>
            <w:vAlign w:val="center"/>
          </w:tcPr>
          <w:p w:rsidR="004101B2" w:rsidRPr="001F29F9" w:rsidRDefault="004101B2" w:rsidP="00BF0E94">
            <w:pPr>
              <w:tabs>
                <w:tab w:val="left" w:pos="288"/>
                <w:tab w:val="left" w:pos="4752"/>
              </w:tabs>
              <w:rPr>
                <w:b/>
                <w:color w:val="000000" w:themeColor="text1"/>
                <w:szCs w:val="24"/>
              </w:rPr>
            </w:pPr>
            <w:r w:rsidRPr="001F29F9">
              <w:rPr>
                <w:b/>
                <w:color w:val="000000" w:themeColor="text1"/>
                <w:szCs w:val="24"/>
              </w:rPr>
              <w:t>COMBINED (Incorporating BLF)</w:t>
            </w:r>
          </w:p>
        </w:tc>
        <w:tc>
          <w:tcPr>
            <w:tcW w:w="1084" w:type="dxa"/>
            <w:tcBorders>
              <w:bottom w:val="single" w:sz="4" w:space="0" w:color="000000"/>
            </w:tcBorders>
            <w:shd w:val="clear" w:color="auto" w:fill="D9D9D9" w:themeFill="background1" w:themeFillShade="D9"/>
            <w:vAlign w:val="center"/>
          </w:tcPr>
          <w:p w:rsidR="004101B2" w:rsidRPr="00C238E8" w:rsidRDefault="00FA4A26" w:rsidP="00BF0E94">
            <w:pPr>
              <w:tabs>
                <w:tab w:val="left" w:pos="288"/>
                <w:tab w:val="left" w:pos="4752"/>
              </w:tabs>
              <w:rPr>
                <w:b/>
                <w:color w:val="000000" w:themeColor="text1"/>
                <w:szCs w:val="24"/>
              </w:rPr>
            </w:pPr>
            <w:r w:rsidRPr="00C238E8">
              <w:rPr>
                <w:color w:val="000000" w:themeColor="text1"/>
                <w:szCs w:val="24"/>
              </w:rPr>
              <w:t>20</w:t>
            </w:r>
            <w:r w:rsidR="004101B2" w:rsidRPr="00C238E8">
              <w:rPr>
                <w:b/>
                <w:color w:val="000000" w:themeColor="text1"/>
                <w:szCs w:val="24"/>
              </w:rPr>
              <w:t>%</w:t>
            </w:r>
          </w:p>
        </w:tc>
      </w:tr>
    </w:tbl>
    <w:p w:rsidR="00C238E8" w:rsidRPr="001F29F9" w:rsidRDefault="00C238E8" w:rsidP="00C238E8">
      <w:pPr>
        <w:pBdr>
          <w:bottom w:val="single" w:sz="12" w:space="1" w:color="auto"/>
        </w:pBdr>
        <w:tabs>
          <w:tab w:val="left" w:pos="288"/>
          <w:tab w:val="left" w:pos="4752"/>
        </w:tabs>
        <w:jc w:val="both"/>
        <w:rPr>
          <w:color w:val="000000" w:themeColor="text1"/>
        </w:rPr>
      </w:pPr>
    </w:p>
    <w:p w:rsidR="00C238E8" w:rsidRPr="001F29F9" w:rsidRDefault="00C238E8" w:rsidP="00C238E8">
      <w:pPr>
        <w:jc w:val="left"/>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BF0E94">
      <w:pPr>
        <w:tabs>
          <w:tab w:val="left" w:pos="288"/>
          <w:tab w:val="left" w:pos="4752"/>
        </w:tabs>
        <w:jc w:val="both"/>
        <w:rPr>
          <w:color w:val="000000" w:themeColor="text1"/>
        </w:rPr>
      </w:pP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B876C7">
        <w:rPr>
          <w:color w:val="000000" w:themeColor="text1"/>
          <w:szCs w:val="24"/>
        </w:rPr>
        <w:t>10825</w:t>
      </w:r>
      <w:r w:rsidR="008E62F2">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w:t>
      </w:r>
      <w:r w:rsidR="008E62F2">
        <w:rPr>
          <w:color w:val="000000" w:themeColor="text1"/>
        </w:rPr>
        <w:t>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w:t>
      </w:r>
      <w:r w:rsidR="008E62F2">
        <w:rPr>
          <w:color w:val="000000" w:themeColor="text1"/>
        </w:rPr>
        <w:t>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D67963">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D67963"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D67963" w:rsidRDefault="00D67963">
      <w:pPr>
        <w:rPr>
          <w:color w:val="000000" w:themeColor="text1"/>
          <w:szCs w:val="24"/>
        </w:rPr>
      </w:pPr>
      <w:r>
        <w:rPr>
          <w:color w:val="000000" w:themeColor="text1"/>
          <w:szCs w:val="24"/>
        </w:rPr>
        <w:br w:type="page"/>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lastRenderedPageBreak/>
        <w:t xml:space="preserve">MEMORANDUM FOR DIRECTOR, SECRETARY OF THE NAVY COUNCIL OF REVIEW   </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w:t>
      </w:r>
      <w:r w:rsidRPr="00D67963">
        <w:rPr>
          <w:color w:val="000000" w:themeColor="text1"/>
          <w:szCs w:val="24"/>
        </w:rPr>
        <w:tab/>
        <w:t xml:space="preserve">BOARDS </w:t>
      </w: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proofErr w:type="spellStart"/>
      <w:r w:rsidRPr="00D67963">
        <w:rPr>
          <w:color w:val="000000" w:themeColor="text1"/>
          <w:szCs w:val="24"/>
        </w:rPr>
        <w:t>Subj</w:t>
      </w:r>
      <w:proofErr w:type="spellEnd"/>
      <w:r w:rsidRPr="00D67963">
        <w:rPr>
          <w:color w:val="000000" w:themeColor="text1"/>
          <w:szCs w:val="24"/>
        </w:rPr>
        <w:t>:  PHYSICAL DISABILITY BOARD OF REVIEW (PDBR)</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RECOMMENDATIONS</w:t>
      </w: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Ref:   (a) DoDI 6040.44</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(b) CORB </w:t>
      </w:r>
      <w:proofErr w:type="spellStart"/>
      <w:r w:rsidRPr="00D67963">
        <w:rPr>
          <w:color w:val="000000" w:themeColor="text1"/>
          <w:szCs w:val="24"/>
        </w:rPr>
        <w:t>ltr</w:t>
      </w:r>
      <w:proofErr w:type="spellEnd"/>
      <w:r w:rsidRPr="00D67963">
        <w:rPr>
          <w:color w:val="000000" w:themeColor="text1"/>
          <w:szCs w:val="24"/>
        </w:rPr>
        <w:t xml:space="preserve"> </w:t>
      </w:r>
      <w:proofErr w:type="spellStart"/>
      <w:r w:rsidRPr="00D67963">
        <w:rPr>
          <w:color w:val="000000" w:themeColor="text1"/>
          <w:szCs w:val="24"/>
        </w:rPr>
        <w:t>dtd</w:t>
      </w:r>
      <w:proofErr w:type="spellEnd"/>
      <w:r w:rsidRPr="00D67963">
        <w:rPr>
          <w:color w:val="000000" w:themeColor="text1"/>
          <w:szCs w:val="24"/>
        </w:rPr>
        <w:t xml:space="preserve"> 29 May 12</w:t>
      </w: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In accordance with reference (a), I have reviewed the cases forwarded by reference (b), and, for the reasons provided in their forwarding memorandum, approve the recommendations of the PDBR the following individuals’ records not be corrected to reflect a change in either characterization of separation or in the disability rating previously assigned by the Department of the Navy’s Physical Evaluation Board:</w:t>
      </w: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 XXX XX former USMC</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 XXX XX former USMC  </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 </w:t>
      </w:r>
      <w:proofErr w:type="gramStart"/>
      <w:r w:rsidRPr="00D67963">
        <w:rPr>
          <w:color w:val="000000" w:themeColor="text1"/>
          <w:szCs w:val="24"/>
        </w:rPr>
        <w:t>former</w:t>
      </w:r>
      <w:proofErr w:type="gramEnd"/>
      <w:r w:rsidRPr="00D67963">
        <w:rPr>
          <w:color w:val="000000" w:themeColor="text1"/>
          <w:szCs w:val="24"/>
        </w:rPr>
        <w:t xml:space="preserve"> USN, XXX-XX-</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 XXX </w:t>
      </w:r>
      <w:proofErr w:type="gramStart"/>
      <w:r w:rsidRPr="00D67963">
        <w:rPr>
          <w:color w:val="000000" w:themeColor="text1"/>
          <w:szCs w:val="24"/>
        </w:rPr>
        <w:t>XX  former</w:t>
      </w:r>
      <w:proofErr w:type="gramEnd"/>
      <w:r w:rsidRPr="00D67963">
        <w:rPr>
          <w:color w:val="000000" w:themeColor="text1"/>
          <w:szCs w:val="24"/>
        </w:rPr>
        <w:t xml:space="preserve"> USMC  </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 xml:space="preserve">    - </w:t>
      </w:r>
      <w:proofErr w:type="gramStart"/>
      <w:r w:rsidRPr="00D67963">
        <w:rPr>
          <w:color w:val="000000" w:themeColor="text1"/>
          <w:szCs w:val="24"/>
        </w:rPr>
        <w:t>former</w:t>
      </w:r>
      <w:proofErr w:type="gramEnd"/>
      <w:r w:rsidRPr="00D67963">
        <w:rPr>
          <w:color w:val="000000" w:themeColor="text1"/>
          <w:szCs w:val="24"/>
        </w:rPr>
        <w:t xml:space="preserve"> USN, XXX-XX-</w:t>
      </w:r>
      <w:bookmarkStart w:id="0" w:name="_GoBack"/>
      <w:bookmarkEnd w:id="0"/>
      <w:r w:rsidRPr="00D67963">
        <w:rPr>
          <w:color w:val="000000" w:themeColor="text1"/>
          <w:szCs w:val="24"/>
        </w:rPr>
        <w:t xml:space="preserve">  </w:t>
      </w: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ab/>
        <w:t xml:space="preserve"> </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ab/>
        <w:t>Assistant General Counsel</w:t>
      </w:r>
    </w:p>
    <w:p w:rsidR="00D67963" w:rsidRPr="00D67963" w:rsidRDefault="00D67963" w:rsidP="00D67963">
      <w:pPr>
        <w:tabs>
          <w:tab w:val="left" w:pos="0"/>
          <w:tab w:val="left" w:pos="4320"/>
        </w:tabs>
        <w:jc w:val="both"/>
        <w:rPr>
          <w:color w:val="000000" w:themeColor="text1"/>
          <w:szCs w:val="24"/>
        </w:rPr>
      </w:pPr>
      <w:r w:rsidRPr="00D67963">
        <w:rPr>
          <w:color w:val="000000" w:themeColor="text1"/>
          <w:szCs w:val="24"/>
        </w:rPr>
        <w:tab/>
        <w:t xml:space="preserve">  (Manpower &amp; Reserve Affairs)</w:t>
      </w:r>
    </w:p>
    <w:p w:rsidR="00E3077F" w:rsidRPr="001F29F9" w:rsidRDefault="00E3077F" w:rsidP="00BF0E94">
      <w:pPr>
        <w:tabs>
          <w:tab w:val="left" w:pos="0"/>
          <w:tab w:val="left" w:pos="4320"/>
        </w:tabs>
        <w:jc w:val="both"/>
        <w:rPr>
          <w:color w:val="000000" w:themeColor="text1"/>
          <w:szCs w:val="24"/>
        </w:rPr>
      </w:pPr>
    </w:p>
    <w:sectPr w:rsidR="00E3077F" w:rsidRPr="001F29F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8D3" w:rsidRDefault="007E78D3">
      <w:r>
        <w:separator/>
      </w:r>
    </w:p>
  </w:endnote>
  <w:endnote w:type="continuationSeparator" w:id="0">
    <w:p w:rsidR="007E78D3" w:rsidRDefault="007E7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79BF0A6-863A-43E5-A971-C7BB08140F69}"/>
    <w:embedBold r:id="rId2" w:fontKey="{E89AAE2D-4587-4EA0-B3EB-ABBFAFE33D5D}"/>
    <w:embedItalic r:id="rId3" w:fontKey="{66D488D3-F94E-4BEE-876F-CAC8F614C2A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651BB5" w:rsidRPr="00374247" w:rsidRDefault="00651BB5" w:rsidP="00374247">
        <w:pPr>
          <w:pStyle w:val="Footer"/>
          <w:ind w:firstLine="4320"/>
          <w:rPr>
            <w:color w:val="auto"/>
            <w:szCs w:val="24"/>
          </w:rPr>
        </w:pPr>
        <w:r w:rsidRPr="00374247">
          <w:rPr>
            <w:color w:val="auto"/>
            <w:szCs w:val="24"/>
          </w:rPr>
          <w:t xml:space="preserve">   </w:t>
        </w:r>
        <w:r w:rsidR="007F22FB" w:rsidRPr="00374247">
          <w:rPr>
            <w:color w:val="auto"/>
            <w:szCs w:val="24"/>
          </w:rPr>
          <w:fldChar w:fldCharType="begin"/>
        </w:r>
        <w:r w:rsidRPr="00374247">
          <w:rPr>
            <w:color w:val="auto"/>
            <w:szCs w:val="24"/>
          </w:rPr>
          <w:instrText xml:space="preserve"> PAGE   \* MERGEFORMAT </w:instrText>
        </w:r>
        <w:r w:rsidR="007F22FB" w:rsidRPr="00374247">
          <w:rPr>
            <w:color w:val="auto"/>
            <w:szCs w:val="24"/>
          </w:rPr>
          <w:fldChar w:fldCharType="separate"/>
        </w:r>
        <w:r w:rsidR="00E13C73" w:rsidRPr="00E13C73">
          <w:rPr>
            <w:noProof/>
            <w:color w:val="auto"/>
          </w:rPr>
          <w:t>4</w:t>
        </w:r>
        <w:r w:rsidR="007F22FB"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2</w:t>
        </w:r>
        <w:r w:rsidRPr="001D64F3">
          <w:rPr>
            <w:color w:val="auto"/>
            <w:szCs w:val="24"/>
          </w:rPr>
          <w:t>00</w:t>
        </w:r>
        <w:r>
          <w:rPr>
            <w:color w:val="auto"/>
            <w:szCs w:val="24"/>
          </w:rPr>
          <w:t>109</w:t>
        </w:r>
      </w:p>
    </w:sdtContent>
  </w:sdt>
  <w:p w:rsidR="00651BB5" w:rsidRPr="00684CE6" w:rsidRDefault="00651BB5">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8D3" w:rsidRDefault="007E78D3">
      <w:r>
        <w:separator/>
      </w:r>
    </w:p>
  </w:footnote>
  <w:footnote w:type="continuationSeparator" w:id="0">
    <w:p w:rsidR="007E78D3" w:rsidRDefault="007E7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392D15"/>
    <w:multiLevelType w:val="multilevel"/>
    <w:tmpl w:val="768E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1"/>
  </w:num>
  <w:num w:numId="4">
    <w:abstractNumId w:val="7"/>
  </w:num>
  <w:num w:numId="5">
    <w:abstractNumId w:val="4"/>
  </w:num>
  <w:num w:numId="6">
    <w:abstractNumId w:val="9"/>
  </w:num>
  <w:num w:numId="7">
    <w:abstractNumId w:val="0"/>
  </w:num>
  <w:num w:numId="8">
    <w:abstractNumId w:val="6"/>
  </w:num>
  <w:num w:numId="9">
    <w:abstractNumId w:val="18"/>
  </w:num>
  <w:num w:numId="10">
    <w:abstractNumId w:val="11"/>
  </w:num>
  <w:num w:numId="11">
    <w:abstractNumId w:val="5"/>
  </w:num>
  <w:num w:numId="12">
    <w:abstractNumId w:val="15"/>
  </w:num>
  <w:num w:numId="13">
    <w:abstractNumId w:val="8"/>
  </w:num>
  <w:num w:numId="14">
    <w:abstractNumId w:val="17"/>
  </w:num>
  <w:num w:numId="15">
    <w:abstractNumId w:val="22"/>
  </w:num>
  <w:num w:numId="16">
    <w:abstractNumId w:val="1"/>
  </w:num>
  <w:num w:numId="17">
    <w:abstractNumId w:val="20"/>
  </w:num>
  <w:num w:numId="18">
    <w:abstractNumId w:val="10"/>
  </w:num>
  <w:num w:numId="19">
    <w:abstractNumId w:val="14"/>
  </w:num>
  <w:num w:numId="20">
    <w:abstractNumId w:val="19"/>
  </w:num>
  <w:num w:numId="21">
    <w:abstractNumId w:val="16"/>
  </w:num>
  <w:num w:numId="22">
    <w:abstractNumId w:val="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64513"/>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453C4"/>
    <w:rsid w:val="00051622"/>
    <w:rsid w:val="00051A11"/>
    <w:rsid w:val="00052234"/>
    <w:rsid w:val="0005270D"/>
    <w:rsid w:val="00053D7C"/>
    <w:rsid w:val="000575C5"/>
    <w:rsid w:val="000577C9"/>
    <w:rsid w:val="00060FFD"/>
    <w:rsid w:val="00061D69"/>
    <w:rsid w:val="0006431E"/>
    <w:rsid w:val="000652EA"/>
    <w:rsid w:val="00065E21"/>
    <w:rsid w:val="000660A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6D02"/>
    <w:rsid w:val="0008708B"/>
    <w:rsid w:val="00092619"/>
    <w:rsid w:val="00092C66"/>
    <w:rsid w:val="00094749"/>
    <w:rsid w:val="000949DD"/>
    <w:rsid w:val="00094E4F"/>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6E0"/>
    <w:rsid w:val="000E2E50"/>
    <w:rsid w:val="000E37E0"/>
    <w:rsid w:val="000E3F20"/>
    <w:rsid w:val="000E4C25"/>
    <w:rsid w:val="000E4CBF"/>
    <w:rsid w:val="000E5577"/>
    <w:rsid w:val="000E7034"/>
    <w:rsid w:val="000F02BE"/>
    <w:rsid w:val="000F0928"/>
    <w:rsid w:val="000F0B3D"/>
    <w:rsid w:val="000F1E65"/>
    <w:rsid w:val="000F427B"/>
    <w:rsid w:val="000F43D0"/>
    <w:rsid w:val="000F4DAC"/>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6B0"/>
    <w:rsid w:val="001D68CF"/>
    <w:rsid w:val="001D6A8C"/>
    <w:rsid w:val="001D7A56"/>
    <w:rsid w:val="001E15C0"/>
    <w:rsid w:val="001E18E0"/>
    <w:rsid w:val="001E18E2"/>
    <w:rsid w:val="001E19D0"/>
    <w:rsid w:val="001E2A30"/>
    <w:rsid w:val="001E2FF1"/>
    <w:rsid w:val="001E3FE1"/>
    <w:rsid w:val="001E41FE"/>
    <w:rsid w:val="001E635C"/>
    <w:rsid w:val="001E70D3"/>
    <w:rsid w:val="001E774D"/>
    <w:rsid w:val="001F0297"/>
    <w:rsid w:val="001F29F9"/>
    <w:rsid w:val="001F6C13"/>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4ADF"/>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E9B"/>
    <w:rsid w:val="002B6FA0"/>
    <w:rsid w:val="002B7710"/>
    <w:rsid w:val="002C0DEA"/>
    <w:rsid w:val="002C34F6"/>
    <w:rsid w:val="002C379B"/>
    <w:rsid w:val="002C3B6D"/>
    <w:rsid w:val="002C3F59"/>
    <w:rsid w:val="002C5D9D"/>
    <w:rsid w:val="002C5F10"/>
    <w:rsid w:val="002C6E5B"/>
    <w:rsid w:val="002D086D"/>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17697"/>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5B3F"/>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341"/>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7E7"/>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0625"/>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6C6C"/>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0387"/>
    <w:rsid w:val="004316FD"/>
    <w:rsid w:val="00433F36"/>
    <w:rsid w:val="00434860"/>
    <w:rsid w:val="00434BBD"/>
    <w:rsid w:val="0043503A"/>
    <w:rsid w:val="00437B8A"/>
    <w:rsid w:val="00437D18"/>
    <w:rsid w:val="00437D77"/>
    <w:rsid w:val="00437F15"/>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52E3"/>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6A3"/>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543"/>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10A"/>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08C1"/>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D22"/>
    <w:rsid w:val="00612FB0"/>
    <w:rsid w:val="0061356D"/>
    <w:rsid w:val="00613E26"/>
    <w:rsid w:val="00615641"/>
    <w:rsid w:val="00615A66"/>
    <w:rsid w:val="00616959"/>
    <w:rsid w:val="00617AF3"/>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BB5"/>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319"/>
    <w:rsid w:val="006B67D9"/>
    <w:rsid w:val="006B6C14"/>
    <w:rsid w:val="006B7159"/>
    <w:rsid w:val="006B715E"/>
    <w:rsid w:val="006C1D6E"/>
    <w:rsid w:val="006C2EF6"/>
    <w:rsid w:val="006C3A68"/>
    <w:rsid w:val="006C3B08"/>
    <w:rsid w:val="006C3F6B"/>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5311D"/>
    <w:rsid w:val="0076100C"/>
    <w:rsid w:val="007612A5"/>
    <w:rsid w:val="00763CAE"/>
    <w:rsid w:val="00763F95"/>
    <w:rsid w:val="007651ED"/>
    <w:rsid w:val="00766C87"/>
    <w:rsid w:val="00771043"/>
    <w:rsid w:val="007713F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3FDB"/>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44A"/>
    <w:rsid w:val="007D4CFC"/>
    <w:rsid w:val="007D568A"/>
    <w:rsid w:val="007D574E"/>
    <w:rsid w:val="007D57C0"/>
    <w:rsid w:val="007D67CB"/>
    <w:rsid w:val="007D6BFE"/>
    <w:rsid w:val="007E0862"/>
    <w:rsid w:val="007E176C"/>
    <w:rsid w:val="007E2046"/>
    <w:rsid w:val="007E3883"/>
    <w:rsid w:val="007E4876"/>
    <w:rsid w:val="007E48CD"/>
    <w:rsid w:val="007E4ACB"/>
    <w:rsid w:val="007E4FBB"/>
    <w:rsid w:val="007E55BF"/>
    <w:rsid w:val="007E59E3"/>
    <w:rsid w:val="007E5E39"/>
    <w:rsid w:val="007E71B1"/>
    <w:rsid w:val="007E78D3"/>
    <w:rsid w:val="007E7B4E"/>
    <w:rsid w:val="007E7F02"/>
    <w:rsid w:val="007F0292"/>
    <w:rsid w:val="007F0722"/>
    <w:rsid w:val="007F0AB7"/>
    <w:rsid w:val="007F0CE2"/>
    <w:rsid w:val="007F0EFF"/>
    <w:rsid w:val="007F1375"/>
    <w:rsid w:val="007F1AFD"/>
    <w:rsid w:val="007F22FB"/>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2A6A"/>
    <w:rsid w:val="0082340B"/>
    <w:rsid w:val="00823D6A"/>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1ACE"/>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4562"/>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6653"/>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117"/>
    <w:rsid w:val="008E4A60"/>
    <w:rsid w:val="008E62F2"/>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5EA6"/>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4FBE"/>
    <w:rsid w:val="00A15B6B"/>
    <w:rsid w:val="00A15EB4"/>
    <w:rsid w:val="00A160FA"/>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33"/>
    <w:rsid w:val="00A57BA8"/>
    <w:rsid w:val="00A57C35"/>
    <w:rsid w:val="00A608FB"/>
    <w:rsid w:val="00A60D83"/>
    <w:rsid w:val="00A60F68"/>
    <w:rsid w:val="00A623AF"/>
    <w:rsid w:val="00A63DF3"/>
    <w:rsid w:val="00A65C78"/>
    <w:rsid w:val="00A65F67"/>
    <w:rsid w:val="00A660A8"/>
    <w:rsid w:val="00A66A45"/>
    <w:rsid w:val="00A67591"/>
    <w:rsid w:val="00A67911"/>
    <w:rsid w:val="00A67CA6"/>
    <w:rsid w:val="00A70E7B"/>
    <w:rsid w:val="00A717EA"/>
    <w:rsid w:val="00A72BA3"/>
    <w:rsid w:val="00A730B0"/>
    <w:rsid w:val="00A73B84"/>
    <w:rsid w:val="00A7411D"/>
    <w:rsid w:val="00A756C4"/>
    <w:rsid w:val="00A7592B"/>
    <w:rsid w:val="00A75ED7"/>
    <w:rsid w:val="00A76094"/>
    <w:rsid w:val="00A768E2"/>
    <w:rsid w:val="00A8034E"/>
    <w:rsid w:val="00A82C52"/>
    <w:rsid w:val="00A838E8"/>
    <w:rsid w:val="00A83C15"/>
    <w:rsid w:val="00A84EC4"/>
    <w:rsid w:val="00A869D6"/>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010"/>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8C8"/>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1CEB"/>
    <w:rsid w:val="00B12B7D"/>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1D7B"/>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2F3B"/>
    <w:rsid w:val="00B83F87"/>
    <w:rsid w:val="00B8478F"/>
    <w:rsid w:val="00B84F93"/>
    <w:rsid w:val="00B876C7"/>
    <w:rsid w:val="00B90A29"/>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200C"/>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38E8"/>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265C"/>
    <w:rsid w:val="00C72C1A"/>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979"/>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963"/>
    <w:rsid w:val="00D67FD7"/>
    <w:rsid w:val="00D704E4"/>
    <w:rsid w:val="00D72410"/>
    <w:rsid w:val="00D73C9E"/>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3"/>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3C73"/>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15C1"/>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538D"/>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2CA9"/>
    <w:rsid w:val="00EE48BB"/>
    <w:rsid w:val="00EE6FE0"/>
    <w:rsid w:val="00EE704A"/>
    <w:rsid w:val="00EE7840"/>
    <w:rsid w:val="00EF0511"/>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1F53"/>
    <w:rsid w:val="00F93C74"/>
    <w:rsid w:val="00F93DCC"/>
    <w:rsid w:val="00F9435D"/>
    <w:rsid w:val="00F966F9"/>
    <w:rsid w:val="00F96C7A"/>
    <w:rsid w:val="00F96F61"/>
    <w:rsid w:val="00F97740"/>
    <w:rsid w:val="00FA0C8F"/>
    <w:rsid w:val="00FA2DEF"/>
    <w:rsid w:val="00FA2F7B"/>
    <w:rsid w:val="00FA3C90"/>
    <w:rsid w:val="00FA3C97"/>
    <w:rsid w:val="00FA3D30"/>
    <w:rsid w:val="00FA4729"/>
    <w:rsid w:val="00FA4A26"/>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9742734">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079251555">
      <w:bodyDiv w:val="1"/>
      <w:marLeft w:val="0"/>
      <w:marRight w:val="0"/>
      <w:marTop w:val="0"/>
      <w:marBottom w:val="0"/>
      <w:divBdr>
        <w:top w:val="none" w:sz="0" w:space="0" w:color="auto"/>
        <w:left w:val="none" w:sz="0" w:space="0" w:color="auto"/>
        <w:bottom w:val="none" w:sz="0" w:space="0" w:color="auto"/>
        <w:right w:val="none" w:sz="0" w:space="0" w:color="auto"/>
      </w:divBdr>
      <w:divsChild>
        <w:div w:id="1975326750">
          <w:marLeft w:val="0"/>
          <w:marRight w:val="0"/>
          <w:marTop w:val="0"/>
          <w:marBottom w:val="0"/>
          <w:divBdr>
            <w:top w:val="none" w:sz="0" w:space="0" w:color="auto"/>
            <w:left w:val="none" w:sz="0" w:space="0" w:color="auto"/>
            <w:bottom w:val="none" w:sz="0" w:space="0" w:color="auto"/>
            <w:right w:val="none" w:sz="0" w:space="0" w:color="auto"/>
          </w:divBdr>
          <w:divsChild>
            <w:div w:id="767388739">
              <w:marLeft w:val="0"/>
              <w:marRight w:val="0"/>
              <w:marTop w:val="0"/>
              <w:marBottom w:val="0"/>
              <w:divBdr>
                <w:top w:val="none" w:sz="0" w:space="0" w:color="auto"/>
                <w:left w:val="none" w:sz="0" w:space="0" w:color="auto"/>
                <w:bottom w:val="none" w:sz="0" w:space="0" w:color="auto"/>
                <w:right w:val="none" w:sz="0" w:space="0" w:color="auto"/>
              </w:divBdr>
              <w:divsChild>
                <w:div w:id="18789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195666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AC56D-C7C4-47B3-90AA-D1546005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1508</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GREGORY.JOHNSON1</cp:lastModifiedBy>
  <cp:revision>10</cp:revision>
  <cp:lastPrinted>2011-04-08T11:41:00Z</cp:lastPrinted>
  <dcterms:created xsi:type="dcterms:W3CDTF">2012-05-17T14:53:00Z</dcterms:created>
  <dcterms:modified xsi:type="dcterms:W3CDTF">2012-07-02T17:48:00Z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