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DD5558">
      <w:pPr>
        <w:tabs>
          <w:tab w:val="right" w:pos="9360"/>
        </w:tabs>
        <w:jc w:val="both"/>
        <w:rPr>
          <w:caps/>
          <w:color w:val="auto"/>
        </w:rPr>
      </w:pPr>
      <w:r w:rsidRPr="00F64312">
        <w:rPr>
          <w:caps/>
          <w:color w:val="auto"/>
        </w:rPr>
        <w:t xml:space="preserve">NAME:  </w:t>
      </w:r>
      <w:r w:rsidR="00F75907">
        <w:rPr>
          <w:caps/>
          <w:color w:val="000000"/>
        </w:rPr>
        <w:t>XXXXXXXXXXXX</w:t>
      </w:r>
      <w:r w:rsidR="00BD0653">
        <w:rPr>
          <w:caps/>
          <w:color w:val="auto"/>
        </w:rPr>
        <w:t xml:space="preserve">                                                                          </w:t>
      </w:r>
      <w:r w:rsidRPr="00F64312">
        <w:rPr>
          <w:caps/>
          <w:color w:val="auto"/>
        </w:rPr>
        <w:t xml:space="preserve">BRANCH OF </w:t>
      </w:r>
      <w:r w:rsidRPr="006073A3">
        <w:rPr>
          <w:caps/>
          <w:color w:val="auto"/>
        </w:rPr>
        <w:t xml:space="preserve">SERVICE:  </w:t>
      </w:r>
      <w:r w:rsidR="00C91FA7">
        <w:rPr>
          <w:caps/>
          <w:color w:val="auto"/>
        </w:rPr>
        <w:t>Army</w:t>
      </w:r>
    </w:p>
    <w:p w:rsidR="0095270D" w:rsidRPr="00F64312" w:rsidRDefault="0095270D" w:rsidP="00DD5558">
      <w:pPr>
        <w:tabs>
          <w:tab w:val="right" w:pos="9360"/>
        </w:tabs>
        <w:jc w:val="both"/>
        <w:rPr>
          <w:color w:val="auto"/>
        </w:rPr>
      </w:pPr>
      <w:r w:rsidRPr="00F64312">
        <w:rPr>
          <w:caps/>
          <w:color w:val="auto"/>
        </w:rPr>
        <w:t xml:space="preserve">CASE NUMBER:  </w:t>
      </w:r>
      <w:r w:rsidRPr="006073A3">
        <w:rPr>
          <w:caps/>
          <w:color w:val="auto"/>
        </w:rPr>
        <w:t>PD</w:t>
      </w:r>
      <w:r w:rsidR="001657BE" w:rsidRPr="006073A3">
        <w:rPr>
          <w:caps/>
          <w:color w:val="auto"/>
        </w:rPr>
        <w:t>12</w:t>
      </w:r>
      <w:r w:rsidRPr="006073A3">
        <w:rPr>
          <w:caps/>
          <w:color w:val="auto"/>
        </w:rPr>
        <w:t>00</w:t>
      </w:r>
      <w:r w:rsidR="00544CB9" w:rsidRPr="006073A3">
        <w:rPr>
          <w:caps/>
          <w:color w:val="auto"/>
        </w:rPr>
        <w:t>101</w:t>
      </w:r>
      <w:r w:rsidR="00DD5558">
        <w:rPr>
          <w:color w:val="auto"/>
        </w:rPr>
        <w:tab/>
      </w:r>
      <w:r w:rsidR="0018208F" w:rsidRPr="00F64312">
        <w:rPr>
          <w:color w:val="auto"/>
        </w:rPr>
        <w:t>SE</w:t>
      </w:r>
      <w:r w:rsidRPr="00F64312">
        <w:rPr>
          <w:color w:val="auto"/>
        </w:rPr>
        <w:t>PARATION DATE:  200</w:t>
      </w:r>
      <w:r w:rsidR="006073A3">
        <w:rPr>
          <w:color w:val="auto"/>
        </w:rPr>
        <w:t>81202</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C91FA7">
        <w:rPr>
          <w:caps/>
          <w:color w:val="auto"/>
        </w:rPr>
        <w:t>1002</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64312">
        <w:rPr>
          <w:color w:val="auto"/>
        </w:rPr>
        <w:t xml:space="preserve">an </w:t>
      </w:r>
      <w:r w:rsidR="006073A3" w:rsidRPr="001F29F9">
        <w:rPr>
          <w:color w:val="000000"/>
          <w:szCs w:val="24"/>
        </w:rPr>
        <w:t>active duty S</w:t>
      </w:r>
      <w:r w:rsidR="006073A3">
        <w:rPr>
          <w:color w:val="000000"/>
          <w:szCs w:val="24"/>
        </w:rPr>
        <w:t>PC</w:t>
      </w:r>
      <w:r w:rsidR="006073A3" w:rsidRPr="001F29F9">
        <w:rPr>
          <w:color w:val="000000"/>
          <w:szCs w:val="24"/>
        </w:rPr>
        <w:t>/E-</w:t>
      </w:r>
      <w:r w:rsidR="006073A3">
        <w:rPr>
          <w:color w:val="000000"/>
          <w:szCs w:val="24"/>
        </w:rPr>
        <w:t>4</w:t>
      </w:r>
      <w:r w:rsidR="006073A3" w:rsidRPr="001F29F9">
        <w:rPr>
          <w:color w:val="000000"/>
          <w:szCs w:val="24"/>
        </w:rPr>
        <w:t xml:space="preserve"> (</w:t>
      </w:r>
      <w:r w:rsidR="006073A3">
        <w:rPr>
          <w:color w:val="000000"/>
          <w:szCs w:val="24"/>
        </w:rPr>
        <w:t>19K10</w:t>
      </w:r>
      <w:r w:rsidR="006073A3" w:rsidRPr="001F29F9">
        <w:rPr>
          <w:color w:val="000000"/>
          <w:szCs w:val="24"/>
        </w:rPr>
        <w:t>/</w:t>
      </w:r>
      <w:r w:rsidR="0032473D" w:rsidRPr="001B35AE">
        <w:rPr>
          <w:color w:val="000000"/>
          <w:szCs w:val="24"/>
        </w:rPr>
        <w:t>Armor Crewman</w:t>
      </w:r>
      <w:r w:rsidR="006073A3" w:rsidRPr="001F29F9">
        <w:rPr>
          <w:color w:val="000000"/>
          <w:szCs w:val="24"/>
        </w:rPr>
        <w:t>)</w:t>
      </w:r>
      <w:r w:rsidR="00565636" w:rsidRPr="00F64312">
        <w:rPr>
          <w:color w:val="auto"/>
        </w:rPr>
        <w:t>,</w:t>
      </w:r>
      <w:r w:rsidR="00A70270" w:rsidRPr="00F64312">
        <w:rPr>
          <w:color w:val="auto"/>
        </w:rPr>
        <w:t xml:space="preserve"> </w:t>
      </w:r>
      <w:r w:rsidRPr="00F64312">
        <w:rPr>
          <w:color w:val="auto"/>
        </w:rPr>
        <w:t xml:space="preserve">medically separated for </w:t>
      </w:r>
      <w:r w:rsidR="006073A3" w:rsidRPr="006073A3">
        <w:rPr>
          <w:color w:val="auto"/>
          <w:szCs w:val="24"/>
        </w:rPr>
        <w:t>contact dermatitis to rubber due to a skin sensitivity to carba</w:t>
      </w:r>
      <w:r w:rsidR="006E5B54">
        <w:rPr>
          <w:color w:val="auto"/>
          <w:szCs w:val="24"/>
        </w:rPr>
        <w:t xml:space="preserve"> </w:t>
      </w:r>
      <w:r w:rsidR="006073A3" w:rsidRPr="006073A3">
        <w:rPr>
          <w:color w:val="auto"/>
          <w:szCs w:val="24"/>
        </w:rPr>
        <w:t xml:space="preserve">mix and thiuram contained in rubber gloves and chemical </w:t>
      </w:r>
      <w:r w:rsidR="002B05A5">
        <w:rPr>
          <w:color w:val="auto"/>
          <w:szCs w:val="24"/>
        </w:rPr>
        <w:t xml:space="preserve">and biological </w:t>
      </w:r>
      <w:r w:rsidR="006073A3" w:rsidRPr="006073A3">
        <w:rPr>
          <w:color w:val="auto"/>
          <w:szCs w:val="24"/>
        </w:rPr>
        <w:t>protective gear including the chemical protective mask.</w:t>
      </w:r>
      <w:r w:rsidR="002B05A5">
        <w:rPr>
          <w:color w:val="auto"/>
          <w:szCs w:val="24"/>
        </w:rPr>
        <w:t xml:space="preserve">  The CI developed contact dermatitis due to exposure to rubber and the condition culminated in an anaphylactic reaction in 2007. </w:t>
      </w:r>
      <w:r w:rsidR="00555477">
        <w:rPr>
          <w:color w:val="auto"/>
          <w:szCs w:val="24"/>
        </w:rPr>
        <w:t xml:space="preserve"> </w:t>
      </w:r>
      <w:r w:rsidR="002B05A5">
        <w:rPr>
          <w:color w:val="auto"/>
          <w:szCs w:val="24"/>
        </w:rPr>
        <w:t xml:space="preserve">The condition precluded the wear of required chemical and biological protective gear and the CI was unable to </w:t>
      </w:r>
      <w:r w:rsidR="00F566B7" w:rsidRPr="00F64312">
        <w:rPr>
          <w:color w:val="auto"/>
        </w:rPr>
        <w:t xml:space="preserve">meet the physical </w:t>
      </w:r>
      <w:r w:rsidR="00F566B7" w:rsidRPr="008326EA">
        <w:rPr>
          <w:color w:val="auto"/>
        </w:rPr>
        <w:t>requirements of his Military Occupational Specialty (MOS)</w:t>
      </w:r>
      <w:r w:rsidR="009C12A1" w:rsidRPr="008326EA">
        <w:rPr>
          <w:color w:val="auto"/>
        </w:rPr>
        <w:t>.</w:t>
      </w:r>
      <w:r w:rsidR="00F566B7" w:rsidRPr="008326EA">
        <w:rPr>
          <w:color w:val="auto"/>
        </w:rPr>
        <w:t xml:space="preserve"> </w:t>
      </w:r>
      <w:r w:rsidR="009C12A1" w:rsidRPr="008326EA">
        <w:rPr>
          <w:color w:val="auto"/>
        </w:rPr>
        <w:t xml:space="preserve"> He </w:t>
      </w:r>
      <w:r w:rsidR="00F566B7" w:rsidRPr="008326EA">
        <w:rPr>
          <w:color w:val="auto"/>
        </w:rPr>
        <w:t xml:space="preserve">was issued a </w:t>
      </w:r>
      <w:r w:rsidR="006073A3" w:rsidRPr="008326EA">
        <w:rPr>
          <w:color w:val="auto"/>
        </w:rPr>
        <w:t>permanent P</w:t>
      </w:r>
      <w:r w:rsidR="00F566B7" w:rsidRPr="008326EA">
        <w:rPr>
          <w:color w:val="auto"/>
        </w:rPr>
        <w:t>3 profile and</w:t>
      </w:r>
      <w:r w:rsidR="009C12A1" w:rsidRPr="008326EA">
        <w:rPr>
          <w:color w:val="auto"/>
        </w:rPr>
        <w:t xml:space="preserve"> </w:t>
      </w:r>
      <w:r w:rsidR="00F566B7" w:rsidRPr="008326EA">
        <w:rPr>
          <w:color w:val="auto"/>
        </w:rPr>
        <w:t>referred for a Medical Evaluation Board (MEB).</w:t>
      </w:r>
      <w:r w:rsidR="002B05A5">
        <w:rPr>
          <w:color w:val="auto"/>
        </w:rPr>
        <w:t xml:space="preserve">  </w:t>
      </w:r>
      <w:r w:rsidR="006073A3" w:rsidRPr="008326EA">
        <w:rPr>
          <w:color w:val="auto"/>
        </w:rPr>
        <w:t xml:space="preserve">Anxiety disorder, </w:t>
      </w:r>
      <w:r w:rsidR="007019F2">
        <w:rPr>
          <w:color w:val="auto"/>
        </w:rPr>
        <w:t>not otherwise specified (</w:t>
      </w:r>
      <w:r w:rsidR="006073A3" w:rsidRPr="008326EA">
        <w:rPr>
          <w:color w:val="auto"/>
        </w:rPr>
        <w:t>NOS</w:t>
      </w:r>
      <w:r w:rsidR="007019F2">
        <w:rPr>
          <w:color w:val="auto"/>
        </w:rPr>
        <w:t>)</w:t>
      </w:r>
      <w:r w:rsidR="00396FF2">
        <w:rPr>
          <w:color w:val="auto"/>
        </w:rPr>
        <w:t>;</w:t>
      </w:r>
      <w:r w:rsidR="006073A3" w:rsidRPr="008326EA">
        <w:rPr>
          <w:color w:val="auto"/>
        </w:rPr>
        <w:t xml:space="preserve"> </w:t>
      </w:r>
      <w:r w:rsidR="00396FF2">
        <w:rPr>
          <w:color w:val="auto"/>
        </w:rPr>
        <w:t>b</w:t>
      </w:r>
      <w:r w:rsidR="006073A3" w:rsidRPr="008326EA">
        <w:rPr>
          <w:color w:val="auto"/>
        </w:rPr>
        <w:t>ilateral knee pain and ankle pain</w:t>
      </w:r>
      <w:r w:rsidR="00396FF2">
        <w:rPr>
          <w:color w:val="auto"/>
        </w:rPr>
        <w:t>;</w:t>
      </w:r>
      <w:r w:rsidR="006073A3" w:rsidRPr="008326EA">
        <w:rPr>
          <w:color w:val="auto"/>
        </w:rPr>
        <w:t xml:space="preserve"> </w:t>
      </w:r>
      <w:r w:rsidR="00F566B7" w:rsidRPr="008326EA">
        <w:rPr>
          <w:color w:val="auto"/>
        </w:rPr>
        <w:t xml:space="preserve">and </w:t>
      </w:r>
      <w:r w:rsidR="007019F2">
        <w:rPr>
          <w:color w:val="auto"/>
        </w:rPr>
        <w:t>gastroesophageal reflux disease (</w:t>
      </w:r>
      <w:r w:rsidR="006073A3" w:rsidRPr="008326EA">
        <w:rPr>
          <w:color w:val="auto"/>
        </w:rPr>
        <w:t>GERD</w:t>
      </w:r>
      <w:r w:rsidR="007019F2">
        <w:rPr>
          <w:color w:val="auto"/>
        </w:rPr>
        <w:t>)</w:t>
      </w:r>
      <w:r w:rsidR="00F566B7" w:rsidRPr="008326EA">
        <w:rPr>
          <w:color w:val="auto"/>
        </w:rPr>
        <w:t xml:space="preserve"> </w:t>
      </w:r>
      <w:r w:rsidR="006073A3" w:rsidRPr="008326EA">
        <w:rPr>
          <w:color w:val="auto"/>
        </w:rPr>
        <w:t>condition</w:t>
      </w:r>
      <w:r w:rsidR="00071F0D" w:rsidRPr="008326EA">
        <w:rPr>
          <w:color w:val="auto"/>
        </w:rPr>
        <w:t xml:space="preserve">s, identified in the rating chart below, were identified </w:t>
      </w:r>
      <w:r w:rsidR="00396FF2">
        <w:rPr>
          <w:color w:val="auto"/>
        </w:rPr>
        <w:t xml:space="preserve">as meeting retention standards </w:t>
      </w:r>
      <w:r w:rsidR="00071F0D" w:rsidRPr="008326EA">
        <w:rPr>
          <w:color w:val="auto"/>
        </w:rPr>
        <w:t>and forwarded by the MEB</w:t>
      </w:r>
      <w:r w:rsidR="00396FF2">
        <w:rPr>
          <w:color w:val="auto"/>
        </w:rPr>
        <w:t xml:space="preserve">.  </w:t>
      </w:r>
      <w:r w:rsidRPr="008326EA">
        <w:rPr>
          <w:color w:val="auto"/>
        </w:rPr>
        <w:t xml:space="preserve">The </w:t>
      </w:r>
      <w:r w:rsidR="007019F2">
        <w:rPr>
          <w:color w:val="auto"/>
        </w:rPr>
        <w:t>Physical Evaluation Board (</w:t>
      </w:r>
      <w:r w:rsidRPr="008326EA">
        <w:rPr>
          <w:color w:val="auto"/>
        </w:rPr>
        <w:t>PEB</w:t>
      </w:r>
      <w:r w:rsidR="007019F2">
        <w:rPr>
          <w:color w:val="auto"/>
        </w:rPr>
        <w:t>)</w:t>
      </w:r>
      <w:r w:rsidRPr="008326EA">
        <w:rPr>
          <w:color w:val="auto"/>
        </w:rPr>
        <w:t xml:space="preserve"> adjudicated the </w:t>
      </w:r>
      <w:r w:rsidR="0032473D">
        <w:rPr>
          <w:color w:val="auto"/>
          <w:szCs w:val="24"/>
        </w:rPr>
        <w:t>c</w:t>
      </w:r>
      <w:r w:rsidR="006073A3" w:rsidRPr="008326EA">
        <w:rPr>
          <w:color w:val="auto"/>
          <w:szCs w:val="24"/>
        </w:rPr>
        <w:t>ontact dermatitis</w:t>
      </w:r>
      <w:r w:rsidR="006073A3" w:rsidRPr="008326EA">
        <w:rPr>
          <w:color w:val="auto"/>
        </w:rPr>
        <w:t xml:space="preserve"> </w:t>
      </w:r>
      <w:r w:rsidR="008530E3" w:rsidRPr="008326EA">
        <w:rPr>
          <w:color w:val="auto"/>
        </w:rPr>
        <w:t xml:space="preserve">condition as unfitting, rated </w:t>
      </w:r>
      <w:r w:rsidR="006134B7" w:rsidRPr="008326EA">
        <w:rPr>
          <w:color w:val="auto"/>
        </w:rPr>
        <w:t>10</w:t>
      </w:r>
      <w:r w:rsidRPr="008326EA">
        <w:rPr>
          <w:color w:val="auto"/>
        </w:rPr>
        <w:t xml:space="preserve">%, </w:t>
      </w:r>
      <w:r w:rsidR="00E46D90" w:rsidRPr="008326EA">
        <w:rPr>
          <w:color w:val="auto"/>
        </w:rPr>
        <w:t xml:space="preserve">with application of the </w:t>
      </w:r>
      <w:r w:rsidRPr="008326EA">
        <w:rPr>
          <w:color w:val="auto"/>
        </w:rPr>
        <w:t>Veteran</w:t>
      </w:r>
      <w:r w:rsidR="00BF72CA" w:rsidRPr="008326EA">
        <w:rPr>
          <w:color w:val="auto"/>
        </w:rPr>
        <w:t>’</w:t>
      </w:r>
      <w:r w:rsidRPr="008326EA">
        <w:rPr>
          <w:color w:val="auto"/>
        </w:rPr>
        <w:t>s A</w:t>
      </w:r>
      <w:r w:rsidR="00BF72CA" w:rsidRPr="008326EA">
        <w:rPr>
          <w:color w:val="auto"/>
        </w:rPr>
        <w:t>ffairs</w:t>
      </w:r>
      <w:r w:rsidRPr="008326EA">
        <w:rPr>
          <w:color w:val="auto"/>
        </w:rPr>
        <w:t xml:space="preserve"> Schedule for Rating Disabilities (VASRD</w:t>
      </w:r>
      <w:r w:rsidR="00396FF2">
        <w:rPr>
          <w:color w:val="auto"/>
        </w:rPr>
        <w:t>).  The other conditions were adjudicated as not unfitting.  The CI made no appeals</w:t>
      </w:r>
      <w:r w:rsidRPr="008326EA">
        <w:rPr>
          <w:color w:val="auto"/>
        </w:rPr>
        <w:t xml:space="preserve"> and was medically separated with </w:t>
      </w:r>
      <w:r w:rsidR="006134B7" w:rsidRPr="008326EA">
        <w:rPr>
          <w:color w:val="auto"/>
        </w:rPr>
        <w:t>a 10</w:t>
      </w:r>
      <w:r w:rsidR="0066684A" w:rsidRPr="008326EA">
        <w:rPr>
          <w:color w:val="auto"/>
        </w:rPr>
        <w:t xml:space="preserve">% </w:t>
      </w:r>
      <w:r w:rsidRPr="008326EA">
        <w:rPr>
          <w:color w:val="auto"/>
        </w:rPr>
        <w:t>disability rating.</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6134B7" w:rsidRPr="001F29F9" w:rsidRDefault="00AD2379" w:rsidP="006134B7">
      <w:pPr>
        <w:tabs>
          <w:tab w:val="left" w:pos="288"/>
          <w:tab w:val="left" w:pos="4752"/>
        </w:tabs>
        <w:jc w:val="both"/>
        <w:rPr>
          <w:color w:val="000000"/>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6134B7">
        <w:rPr>
          <w:color w:val="000000"/>
        </w:rPr>
        <w:t>“Knee pain, sleep apnea, PTSD, Anxiety all of which were present at time of separation and was causing issues in my performance”</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 xml:space="preserve">view as defined in </w:t>
      </w:r>
      <w:r w:rsidR="007019F2">
        <w:rPr>
          <w:color w:val="auto"/>
        </w:rPr>
        <w:t>the Department of Defense Instruction (</w:t>
      </w:r>
      <w:r w:rsidR="00AE2B85">
        <w:rPr>
          <w:color w:val="auto"/>
        </w:rPr>
        <w:t>DoDI</w:t>
      </w:r>
      <w:r w:rsidR="007019F2">
        <w:rPr>
          <w:color w:val="auto"/>
        </w:rPr>
        <w:t>)</w:t>
      </w:r>
      <w:r w:rsidR="00AE2B85">
        <w:rPr>
          <w:color w:val="auto"/>
        </w:rPr>
        <w:t xml:space="preserve"> 6040.44, Enclosure 3, paragraph 5.e.(2)</w:t>
      </w:r>
      <w:r w:rsidRPr="00C566C9">
        <w:rPr>
          <w:color w:val="auto"/>
        </w:rPr>
        <w:t xml:space="preserve"> is limited to those conditions which were determined by the PEB to be specifically unfitting for continued </w:t>
      </w:r>
      <w:r w:rsidRPr="00C91FA7">
        <w:rPr>
          <w:color w:val="auto"/>
        </w:rPr>
        <w:t>military service; or, when requested by the CI, those condition(s) “identified but not determined to be unfitting by the PEB</w:t>
      </w:r>
      <w:r w:rsidR="00774F43" w:rsidRPr="00C91FA7">
        <w:rPr>
          <w:color w:val="auto"/>
        </w:rPr>
        <w:t>.</w:t>
      </w:r>
      <w:r w:rsidRPr="00C91FA7">
        <w:rPr>
          <w:color w:val="auto"/>
        </w:rPr>
        <w:t xml:space="preserve">”  The ratings for unfitting conditions will be reviewed in all cases.  The </w:t>
      </w:r>
      <w:r w:rsidR="00C9023F" w:rsidRPr="00C91FA7">
        <w:rPr>
          <w:color w:val="000000"/>
        </w:rPr>
        <w:t xml:space="preserve">knee pain and anxiety </w:t>
      </w:r>
      <w:r w:rsidRPr="00C91FA7">
        <w:rPr>
          <w:color w:val="auto"/>
        </w:rPr>
        <w:t>condition</w:t>
      </w:r>
      <w:r w:rsidR="00C9023F" w:rsidRPr="00C91FA7">
        <w:rPr>
          <w:color w:val="auto"/>
        </w:rPr>
        <w:t>s</w:t>
      </w:r>
      <w:r w:rsidRPr="00C91FA7">
        <w:rPr>
          <w:color w:val="auto"/>
        </w:rPr>
        <w:t xml:space="preserve"> as requested for consideration meet the criteria prescribed in DoDI 604</w:t>
      </w:r>
      <w:r w:rsidR="00774F43" w:rsidRPr="00C91FA7">
        <w:rPr>
          <w:color w:val="auto"/>
        </w:rPr>
        <w:t>0.44 for Board purview</w:t>
      </w:r>
      <w:r w:rsidR="005F2576" w:rsidRPr="00C91FA7">
        <w:rPr>
          <w:color w:val="auto"/>
        </w:rPr>
        <w:t xml:space="preserve"> and</w:t>
      </w:r>
      <w:r w:rsidR="00774F43" w:rsidRPr="00C91FA7">
        <w:rPr>
          <w:color w:val="auto"/>
        </w:rPr>
        <w:t xml:space="preserve"> are</w:t>
      </w:r>
      <w:r w:rsidRPr="00C91FA7">
        <w:rPr>
          <w:color w:val="auto"/>
        </w:rPr>
        <w:t xml:space="preserve"> addressed below, in addition to a review </w:t>
      </w:r>
      <w:r w:rsidR="00C9023F" w:rsidRPr="00C91FA7">
        <w:rPr>
          <w:color w:val="auto"/>
        </w:rPr>
        <w:t xml:space="preserve">of the ratings for the </w:t>
      </w:r>
      <w:r w:rsidRPr="00C91FA7">
        <w:rPr>
          <w:color w:val="auto"/>
        </w:rPr>
        <w:t xml:space="preserve">unfitting </w:t>
      </w:r>
      <w:r w:rsidR="00774F43" w:rsidRPr="00C91FA7">
        <w:rPr>
          <w:color w:val="auto"/>
        </w:rPr>
        <w:t xml:space="preserve">condition of </w:t>
      </w:r>
      <w:r w:rsidR="00774F43" w:rsidRPr="00C91FA7">
        <w:rPr>
          <w:color w:val="auto"/>
          <w:szCs w:val="24"/>
        </w:rPr>
        <w:t>contact dermatitis</w:t>
      </w:r>
      <w:r w:rsidRPr="00C91FA7">
        <w:rPr>
          <w:color w:val="auto"/>
        </w:rPr>
        <w:t xml:space="preserve">.  The other </w:t>
      </w:r>
      <w:r w:rsidR="00774F43" w:rsidRPr="00C91FA7">
        <w:rPr>
          <w:color w:val="auto"/>
        </w:rPr>
        <w:t>contend</w:t>
      </w:r>
      <w:r w:rsidRPr="00C91FA7">
        <w:rPr>
          <w:color w:val="auto"/>
        </w:rPr>
        <w:t>ed conditions</w:t>
      </w:r>
      <w:r w:rsidR="00774F43" w:rsidRPr="00C91FA7">
        <w:rPr>
          <w:color w:val="auto"/>
        </w:rPr>
        <w:t xml:space="preserve">, </w:t>
      </w:r>
      <w:r w:rsidR="00774F43" w:rsidRPr="00C91FA7">
        <w:rPr>
          <w:color w:val="000000"/>
        </w:rPr>
        <w:t>sleep apnea</w:t>
      </w:r>
      <w:r w:rsidR="00C9023F" w:rsidRPr="00C91FA7">
        <w:rPr>
          <w:color w:val="000000"/>
        </w:rPr>
        <w:t xml:space="preserve"> and </w:t>
      </w:r>
      <w:r w:rsidR="007019F2">
        <w:rPr>
          <w:color w:val="000000"/>
        </w:rPr>
        <w:t>posttraumatic stress disorder (</w:t>
      </w:r>
      <w:r w:rsidR="00C9023F" w:rsidRPr="00C91FA7">
        <w:rPr>
          <w:color w:val="000000"/>
        </w:rPr>
        <w:t>PTSD</w:t>
      </w:r>
      <w:r w:rsidR="007019F2">
        <w:rPr>
          <w:color w:val="000000"/>
        </w:rPr>
        <w:t>)</w:t>
      </w:r>
      <w:r w:rsidR="00774F43" w:rsidRPr="00C91FA7">
        <w:rPr>
          <w:color w:val="auto"/>
        </w:rPr>
        <w:t>,</w:t>
      </w:r>
      <w:r w:rsidRPr="00C91FA7">
        <w:rPr>
          <w:color w:val="auto"/>
        </w:rPr>
        <w:t xml:space="preserve"> are not within the Board’s purview. </w:t>
      </w:r>
      <w:r w:rsidR="0032473D" w:rsidRPr="00C91FA7">
        <w:rPr>
          <w:color w:val="auto"/>
        </w:rPr>
        <w:t xml:space="preserve"> </w:t>
      </w:r>
      <w:r w:rsidRPr="00C91FA7">
        <w:rPr>
          <w:color w:val="auto"/>
        </w:rPr>
        <w:t>Any conditions or contention</w:t>
      </w:r>
      <w:r w:rsidRPr="008326EA">
        <w:rPr>
          <w:color w:val="auto"/>
        </w:rPr>
        <w:t xml:space="preserve"> not requested in this application, or otherwise outside the Board’s defined scope of review, remain eligible for future consideration by the Army Board for Correction of Military Records.</w:t>
      </w:r>
      <w:r>
        <w:rPr>
          <w:color w:val="auto"/>
        </w:rPr>
        <w:t xml:space="preserve">  </w:t>
      </w:r>
    </w:p>
    <w:p w:rsidR="007019F2" w:rsidRDefault="007019F2" w:rsidP="00BF0E94">
      <w:pPr>
        <w:jc w:val="left"/>
        <w:rPr>
          <w:color w:val="auto"/>
          <w:u w:val="single"/>
        </w:rPr>
      </w:pPr>
    </w:p>
    <w:p w:rsidR="007019F2" w:rsidRDefault="007019F2" w:rsidP="00BF0E94">
      <w:pPr>
        <w:jc w:val="left"/>
        <w:rPr>
          <w:color w:val="auto"/>
          <w:u w:val="single"/>
        </w:rPr>
      </w:pPr>
    </w:p>
    <w:p w:rsidR="007019F2" w:rsidRDefault="007019F2" w:rsidP="00BF0E94">
      <w:pPr>
        <w:jc w:val="left"/>
        <w:rPr>
          <w:color w:val="auto"/>
          <w:u w:val="single"/>
        </w:rPr>
      </w:pPr>
    </w:p>
    <w:p w:rsidR="007019F2" w:rsidRDefault="007019F2" w:rsidP="00BF0E94">
      <w:pPr>
        <w:jc w:val="left"/>
        <w:rPr>
          <w:color w:val="auto"/>
          <w:u w:val="single"/>
        </w:rPr>
      </w:pPr>
    </w:p>
    <w:p w:rsidR="007019F2" w:rsidRDefault="007019F2" w:rsidP="00BF0E94">
      <w:pPr>
        <w:jc w:val="left"/>
        <w:rPr>
          <w:color w:val="auto"/>
          <w:u w:val="single"/>
        </w:rPr>
      </w:pPr>
    </w:p>
    <w:p w:rsidR="007019F2" w:rsidRDefault="007019F2" w:rsidP="00BF0E94">
      <w:pPr>
        <w:jc w:val="left"/>
        <w:rPr>
          <w:color w:val="auto"/>
          <w:u w:val="single"/>
        </w:rPr>
      </w:pPr>
    </w:p>
    <w:p w:rsidR="007019F2" w:rsidRDefault="007019F2" w:rsidP="00BF0E94">
      <w:pPr>
        <w:jc w:val="left"/>
        <w:rPr>
          <w:color w:val="auto"/>
          <w:u w:val="single"/>
        </w:rPr>
      </w:pPr>
    </w:p>
    <w:p w:rsidR="007019F2" w:rsidRDefault="007019F2" w:rsidP="00BF0E94">
      <w:pPr>
        <w:jc w:val="left"/>
        <w:rPr>
          <w:color w:val="auto"/>
          <w:u w:val="single"/>
        </w:rPr>
      </w:pPr>
    </w:p>
    <w:p w:rsidR="007019F2" w:rsidRDefault="007019F2" w:rsidP="00BF0E94">
      <w:pPr>
        <w:jc w:val="left"/>
        <w:rPr>
          <w:color w:val="auto"/>
          <w:u w:val="single"/>
        </w:rPr>
      </w:pPr>
    </w:p>
    <w:p w:rsidR="007019F2" w:rsidRDefault="007019F2" w:rsidP="00BF0E94">
      <w:pPr>
        <w:jc w:val="left"/>
        <w:rPr>
          <w:color w:val="auto"/>
          <w:u w:val="single"/>
        </w:rPr>
      </w:pPr>
    </w:p>
    <w:p w:rsidR="007019F2" w:rsidRDefault="007019F2" w:rsidP="00BF0E94">
      <w:pPr>
        <w:jc w:val="left"/>
        <w:rPr>
          <w:color w:val="auto"/>
          <w:u w:val="single"/>
        </w:rPr>
      </w:pPr>
    </w:p>
    <w:p w:rsidR="007019F2" w:rsidRDefault="007019F2" w:rsidP="00BF0E94">
      <w:pPr>
        <w:jc w:val="left"/>
        <w:rPr>
          <w:color w:val="auto"/>
          <w:u w:val="single"/>
        </w:rPr>
      </w:pPr>
    </w:p>
    <w:p w:rsidR="00AD2379" w:rsidRPr="00F64312" w:rsidRDefault="00AD2379" w:rsidP="00BF0E94">
      <w:pPr>
        <w:jc w:val="left"/>
        <w:rPr>
          <w:color w:val="auto"/>
        </w:rPr>
      </w:pPr>
      <w:r w:rsidRPr="00F64312">
        <w:rPr>
          <w:color w:val="auto"/>
          <w:u w:val="single"/>
        </w:rPr>
        <w:lastRenderedPageBreak/>
        <w:t>RATING COMPARISON</w:t>
      </w:r>
      <w:r w:rsidRPr="00F64312">
        <w:rPr>
          <w:color w:val="auto"/>
        </w:rPr>
        <w:t xml:space="preserve">: </w:t>
      </w:r>
      <w:r w:rsidR="00855E73" w:rsidRPr="00F64312">
        <w:rPr>
          <w:color w:val="auto"/>
        </w:rPr>
        <w:t xml:space="preserve"> </w:t>
      </w:r>
    </w:p>
    <w:p w:rsidR="00985F0F" w:rsidRPr="001F29F9" w:rsidRDefault="00985F0F" w:rsidP="00985F0F">
      <w:pPr>
        <w:jc w:val="both"/>
        <w:rPr>
          <w:color w:val="000000"/>
        </w:rPr>
      </w:pPr>
    </w:p>
    <w:tbl>
      <w:tblPr>
        <w:tblpPr w:leftFromText="187" w:rightFromText="187" w:vertAnchor="text" w:tblpXSpec="center" w:tblpY="1"/>
        <w:tblOverlap w:val="never"/>
        <w:tblW w:w="9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18"/>
        <w:gridCol w:w="630"/>
        <w:gridCol w:w="720"/>
        <w:gridCol w:w="2610"/>
        <w:gridCol w:w="1080"/>
        <w:gridCol w:w="720"/>
        <w:gridCol w:w="972"/>
      </w:tblGrid>
      <w:tr w:rsidR="00985F0F" w:rsidRPr="00C66E28" w:rsidTr="00CE67B9">
        <w:trPr>
          <w:trHeight w:val="233"/>
          <w:jc w:val="center"/>
        </w:trPr>
        <w:tc>
          <w:tcPr>
            <w:tcW w:w="4068" w:type="dxa"/>
            <w:gridSpan w:val="3"/>
            <w:tcBorders>
              <w:right w:val="thinThickThinSmallGap" w:sz="24" w:space="0" w:color="auto"/>
            </w:tcBorders>
            <w:shd w:val="clear" w:color="auto" w:fill="D9D9D9"/>
            <w:vAlign w:val="center"/>
          </w:tcPr>
          <w:p w:rsidR="00985F0F" w:rsidRPr="00C66E28" w:rsidRDefault="00985F0F" w:rsidP="003403AC">
            <w:pPr>
              <w:contextualSpacing/>
              <w:rPr>
                <w:rFonts w:eastAsia="Calibri"/>
                <w:b/>
                <w:color w:val="000000"/>
                <w:sz w:val="18"/>
                <w:szCs w:val="18"/>
              </w:rPr>
            </w:pPr>
            <w:r w:rsidRPr="00C66E28">
              <w:rPr>
                <w:rFonts w:eastAsia="Calibri"/>
                <w:b/>
                <w:color w:val="000000"/>
                <w:sz w:val="18"/>
                <w:szCs w:val="18"/>
              </w:rPr>
              <w:t xml:space="preserve">Service </w:t>
            </w:r>
            <w:r>
              <w:rPr>
                <w:rFonts w:eastAsia="Calibri"/>
                <w:b/>
                <w:color w:val="000000"/>
                <w:sz w:val="18"/>
                <w:szCs w:val="18"/>
              </w:rPr>
              <w:t>I</w:t>
            </w:r>
            <w:r w:rsidRPr="00C66E28">
              <w:rPr>
                <w:rFonts w:eastAsia="Calibri"/>
                <w:b/>
                <w:color w:val="000000"/>
                <w:sz w:val="18"/>
                <w:szCs w:val="18"/>
              </w:rPr>
              <w:t>PEB – Dated 200</w:t>
            </w:r>
            <w:r>
              <w:rPr>
                <w:rFonts w:eastAsia="Calibri"/>
                <w:b/>
                <w:color w:val="000000"/>
                <w:sz w:val="18"/>
                <w:szCs w:val="18"/>
              </w:rPr>
              <w:t>80821</w:t>
            </w:r>
          </w:p>
        </w:tc>
        <w:tc>
          <w:tcPr>
            <w:tcW w:w="5382" w:type="dxa"/>
            <w:gridSpan w:val="4"/>
            <w:tcBorders>
              <w:left w:val="thinThickThinSmallGap" w:sz="24" w:space="0" w:color="auto"/>
            </w:tcBorders>
            <w:shd w:val="clear" w:color="auto" w:fill="D9D9D9"/>
            <w:vAlign w:val="center"/>
          </w:tcPr>
          <w:p w:rsidR="00985F0F" w:rsidRPr="00C66E28" w:rsidRDefault="00985F0F" w:rsidP="003403AC">
            <w:pPr>
              <w:contextualSpacing/>
              <w:rPr>
                <w:rFonts w:eastAsia="Calibri"/>
                <w:b/>
                <w:color w:val="000000"/>
                <w:sz w:val="18"/>
                <w:szCs w:val="18"/>
              </w:rPr>
            </w:pPr>
            <w:r w:rsidRPr="00C66E28">
              <w:rPr>
                <w:rFonts w:eastAsia="Calibri"/>
                <w:b/>
                <w:color w:val="000000"/>
                <w:sz w:val="18"/>
                <w:szCs w:val="18"/>
              </w:rPr>
              <w:t>VA (</w:t>
            </w:r>
            <w:r>
              <w:rPr>
                <w:rFonts w:eastAsia="Calibri"/>
                <w:b/>
                <w:color w:val="000000"/>
                <w:sz w:val="18"/>
                <w:szCs w:val="18"/>
              </w:rPr>
              <w:t>~1</w:t>
            </w:r>
            <w:r w:rsidR="00CE67B9">
              <w:rPr>
                <w:rFonts w:eastAsia="Calibri"/>
                <w:b/>
                <w:color w:val="000000"/>
                <w:sz w:val="18"/>
                <w:szCs w:val="18"/>
              </w:rPr>
              <w:t>-4 Months</w:t>
            </w:r>
            <w:r w:rsidRPr="00C66E28">
              <w:rPr>
                <w:rFonts w:eastAsia="Calibri"/>
                <w:b/>
                <w:color w:val="000000"/>
                <w:sz w:val="18"/>
                <w:szCs w:val="18"/>
              </w:rPr>
              <w:t xml:space="preserve"> </w:t>
            </w:r>
            <w:r w:rsidRPr="009707C4">
              <w:rPr>
                <w:rFonts w:eastAsia="Calibri"/>
                <w:b/>
                <w:color w:val="000000"/>
                <w:sz w:val="18"/>
                <w:szCs w:val="18"/>
              </w:rPr>
              <w:t>After</w:t>
            </w:r>
            <w:r w:rsidRPr="00C66E28">
              <w:rPr>
                <w:rFonts w:eastAsia="Calibri"/>
                <w:b/>
                <w:color w:val="000000"/>
                <w:sz w:val="18"/>
                <w:szCs w:val="18"/>
              </w:rPr>
              <w:t xml:space="preserve"> Separation) – All Effective Date 200</w:t>
            </w:r>
            <w:r>
              <w:rPr>
                <w:rFonts w:eastAsia="Calibri"/>
                <w:b/>
                <w:color w:val="000000"/>
                <w:sz w:val="18"/>
                <w:szCs w:val="18"/>
              </w:rPr>
              <w:t>81203</w:t>
            </w:r>
          </w:p>
        </w:tc>
      </w:tr>
      <w:tr w:rsidR="00985F0F" w:rsidRPr="00C66E28" w:rsidTr="00CE67B9">
        <w:trPr>
          <w:trHeight w:val="278"/>
          <w:jc w:val="center"/>
        </w:trPr>
        <w:tc>
          <w:tcPr>
            <w:tcW w:w="2718" w:type="dxa"/>
            <w:tcBorders>
              <w:bottom w:val="single" w:sz="4" w:space="0" w:color="000000"/>
              <w:right w:val="single" w:sz="4" w:space="0" w:color="auto"/>
            </w:tcBorders>
            <w:shd w:val="clear" w:color="auto" w:fill="D9D9D9"/>
            <w:vAlign w:val="center"/>
          </w:tcPr>
          <w:p w:rsidR="00985F0F" w:rsidRPr="00C66E28" w:rsidRDefault="00985F0F" w:rsidP="003403AC">
            <w:pPr>
              <w:contextualSpacing/>
              <w:rPr>
                <w:rFonts w:eastAsia="Calibri"/>
                <w:b/>
                <w:color w:val="000000"/>
                <w:sz w:val="18"/>
                <w:szCs w:val="18"/>
              </w:rPr>
            </w:pPr>
            <w:r w:rsidRPr="00C66E28">
              <w:rPr>
                <w:rFonts w:eastAsia="Calibri"/>
                <w:b/>
                <w:color w:val="000000"/>
                <w:sz w:val="18"/>
                <w:szCs w:val="18"/>
              </w:rPr>
              <w:t>Condition</w:t>
            </w:r>
          </w:p>
        </w:tc>
        <w:tc>
          <w:tcPr>
            <w:tcW w:w="630" w:type="dxa"/>
            <w:tcBorders>
              <w:left w:val="single" w:sz="4" w:space="0" w:color="auto"/>
              <w:bottom w:val="single" w:sz="4" w:space="0" w:color="000000"/>
            </w:tcBorders>
            <w:shd w:val="clear" w:color="auto" w:fill="D9D9D9"/>
            <w:vAlign w:val="center"/>
          </w:tcPr>
          <w:p w:rsidR="00985F0F" w:rsidRPr="00C66E28" w:rsidRDefault="00985F0F" w:rsidP="003403AC">
            <w:pPr>
              <w:contextualSpacing/>
              <w:rPr>
                <w:rFonts w:eastAsia="Calibri"/>
                <w:b/>
                <w:color w:val="000000"/>
                <w:sz w:val="18"/>
                <w:szCs w:val="18"/>
              </w:rPr>
            </w:pPr>
            <w:r w:rsidRPr="00C66E28">
              <w:rPr>
                <w:rFonts w:eastAsia="Calibri"/>
                <w:b/>
                <w:color w:val="000000"/>
                <w:sz w:val="18"/>
                <w:szCs w:val="18"/>
              </w:rPr>
              <w:t>Code</w:t>
            </w:r>
          </w:p>
        </w:tc>
        <w:tc>
          <w:tcPr>
            <w:tcW w:w="720" w:type="dxa"/>
            <w:tcBorders>
              <w:bottom w:val="single" w:sz="4" w:space="0" w:color="000000"/>
              <w:right w:val="thinThickThinSmallGap" w:sz="24" w:space="0" w:color="auto"/>
            </w:tcBorders>
            <w:shd w:val="clear" w:color="auto" w:fill="D9D9D9"/>
            <w:vAlign w:val="center"/>
          </w:tcPr>
          <w:p w:rsidR="00985F0F" w:rsidRPr="00C66E28" w:rsidRDefault="00985F0F" w:rsidP="003403AC">
            <w:pPr>
              <w:contextualSpacing/>
              <w:rPr>
                <w:rFonts w:eastAsia="Calibri"/>
                <w:b/>
                <w:color w:val="000000"/>
                <w:sz w:val="18"/>
                <w:szCs w:val="18"/>
              </w:rPr>
            </w:pPr>
            <w:r w:rsidRPr="00C66E28">
              <w:rPr>
                <w:rFonts w:eastAsia="Calibri"/>
                <w:b/>
                <w:color w:val="000000"/>
                <w:sz w:val="18"/>
                <w:szCs w:val="18"/>
              </w:rPr>
              <w:t>Rating</w:t>
            </w:r>
          </w:p>
        </w:tc>
        <w:tc>
          <w:tcPr>
            <w:tcW w:w="2610" w:type="dxa"/>
            <w:tcBorders>
              <w:left w:val="thinThickThinSmallGap" w:sz="24" w:space="0" w:color="auto"/>
              <w:bottom w:val="single" w:sz="4" w:space="0" w:color="000000"/>
            </w:tcBorders>
            <w:shd w:val="clear" w:color="auto" w:fill="D9D9D9"/>
            <w:vAlign w:val="center"/>
          </w:tcPr>
          <w:p w:rsidR="00985F0F" w:rsidRPr="00C66E28" w:rsidRDefault="00985F0F" w:rsidP="003403AC">
            <w:pPr>
              <w:contextualSpacing/>
              <w:rPr>
                <w:rFonts w:eastAsia="Calibri"/>
                <w:b/>
                <w:color w:val="000000"/>
                <w:sz w:val="18"/>
                <w:szCs w:val="18"/>
              </w:rPr>
            </w:pPr>
            <w:r w:rsidRPr="00C66E28">
              <w:rPr>
                <w:rFonts w:eastAsia="Calibri"/>
                <w:b/>
                <w:color w:val="000000"/>
                <w:sz w:val="18"/>
                <w:szCs w:val="18"/>
              </w:rPr>
              <w:t>Condition</w:t>
            </w:r>
          </w:p>
        </w:tc>
        <w:tc>
          <w:tcPr>
            <w:tcW w:w="1080" w:type="dxa"/>
            <w:tcBorders>
              <w:bottom w:val="single" w:sz="4" w:space="0" w:color="000000"/>
            </w:tcBorders>
            <w:shd w:val="clear" w:color="auto" w:fill="D9D9D9"/>
            <w:vAlign w:val="center"/>
          </w:tcPr>
          <w:p w:rsidR="00985F0F" w:rsidRPr="00C66E28" w:rsidRDefault="00985F0F" w:rsidP="003403AC">
            <w:pPr>
              <w:contextualSpacing/>
              <w:rPr>
                <w:rFonts w:eastAsia="Calibri"/>
                <w:b/>
                <w:color w:val="000000"/>
                <w:sz w:val="18"/>
                <w:szCs w:val="18"/>
              </w:rPr>
            </w:pPr>
            <w:r w:rsidRPr="00C66E28">
              <w:rPr>
                <w:rFonts w:eastAsia="Calibri"/>
                <w:b/>
                <w:color w:val="000000"/>
                <w:sz w:val="18"/>
                <w:szCs w:val="18"/>
              </w:rPr>
              <w:t>Code</w:t>
            </w:r>
          </w:p>
        </w:tc>
        <w:tc>
          <w:tcPr>
            <w:tcW w:w="720" w:type="dxa"/>
            <w:tcBorders>
              <w:bottom w:val="single" w:sz="4" w:space="0" w:color="000000"/>
            </w:tcBorders>
            <w:shd w:val="clear" w:color="auto" w:fill="D9D9D9"/>
            <w:vAlign w:val="center"/>
          </w:tcPr>
          <w:p w:rsidR="00985F0F" w:rsidRPr="00C66E28" w:rsidRDefault="00985F0F" w:rsidP="003403AC">
            <w:pPr>
              <w:contextualSpacing/>
              <w:rPr>
                <w:rFonts w:eastAsia="Calibri"/>
                <w:b/>
                <w:color w:val="000000"/>
                <w:sz w:val="18"/>
                <w:szCs w:val="18"/>
              </w:rPr>
            </w:pPr>
            <w:r w:rsidRPr="00C66E28">
              <w:rPr>
                <w:rFonts w:eastAsia="Calibri"/>
                <w:b/>
                <w:color w:val="000000"/>
                <w:sz w:val="18"/>
                <w:szCs w:val="18"/>
              </w:rPr>
              <w:t>Rating</w:t>
            </w:r>
          </w:p>
        </w:tc>
        <w:tc>
          <w:tcPr>
            <w:tcW w:w="972" w:type="dxa"/>
            <w:tcBorders>
              <w:bottom w:val="single" w:sz="4" w:space="0" w:color="000000"/>
            </w:tcBorders>
            <w:shd w:val="clear" w:color="auto" w:fill="D9D9D9"/>
            <w:vAlign w:val="center"/>
          </w:tcPr>
          <w:p w:rsidR="00985F0F" w:rsidRPr="00C66E28" w:rsidRDefault="00985F0F" w:rsidP="003403AC">
            <w:pPr>
              <w:contextualSpacing/>
              <w:rPr>
                <w:rFonts w:eastAsia="Calibri"/>
                <w:b/>
                <w:color w:val="000000"/>
                <w:sz w:val="18"/>
                <w:szCs w:val="18"/>
              </w:rPr>
            </w:pPr>
            <w:r w:rsidRPr="00C66E28">
              <w:rPr>
                <w:rFonts w:eastAsia="Calibri"/>
                <w:b/>
                <w:color w:val="000000"/>
                <w:sz w:val="18"/>
                <w:szCs w:val="18"/>
              </w:rPr>
              <w:t>Exam</w:t>
            </w:r>
          </w:p>
        </w:tc>
      </w:tr>
      <w:tr w:rsidR="00985F0F" w:rsidRPr="00C66E28" w:rsidTr="00CE67B9">
        <w:trPr>
          <w:trHeight w:val="287"/>
          <w:jc w:val="center"/>
        </w:trPr>
        <w:tc>
          <w:tcPr>
            <w:tcW w:w="2718" w:type="dxa"/>
            <w:tcBorders>
              <w:right w:val="single" w:sz="4" w:space="0" w:color="auto"/>
            </w:tcBorders>
            <w:shd w:val="clear" w:color="auto" w:fill="FFFFFF"/>
            <w:vAlign w:val="center"/>
          </w:tcPr>
          <w:p w:rsidR="00985F0F" w:rsidRPr="00C66E28" w:rsidRDefault="00985F0F" w:rsidP="003403AC">
            <w:pPr>
              <w:spacing w:line="180" w:lineRule="exact"/>
              <w:contextualSpacing/>
              <w:jc w:val="left"/>
              <w:rPr>
                <w:color w:val="000000"/>
                <w:sz w:val="18"/>
                <w:szCs w:val="18"/>
              </w:rPr>
            </w:pPr>
            <w:r w:rsidRPr="00A60E8D">
              <w:rPr>
                <w:rFonts w:eastAsia="Calibri"/>
                <w:color w:val="000000"/>
                <w:sz w:val="18"/>
                <w:szCs w:val="18"/>
              </w:rPr>
              <w:t xml:space="preserve">Contact Dermatitis </w:t>
            </w:r>
            <w:r>
              <w:rPr>
                <w:rFonts w:eastAsia="Calibri"/>
                <w:color w:val="000000"/>
                <w:sz w:val="18"/>
                <w:szCs w:val="18"/>
              </w:rPr>
              <w:t>t</w:t>
            </w:r>
            <w:r w:rsidRPr="00A60E8D">
              <w:rPr>
                <w:rFonts w:eastAsia="Calibri"/>
                <w:color w:val="000000"/>
                <w:sz w:val="18"/>
                <w:szCs w:val="18"/>
              </w:rPr>
              <w:t>o Rubber</w:t>
            </w:r>
          </w:p>
        </w:tc>
        <w:tc>
          <w:tcPr>
            <w:tcW w:w="630" w:type="dxa"/>
            <w:tcBorders>
              <w:left w:val="single" w:sz="4" w:space="0" w:color="auto"/>
            </w:tcBorders>
            <w:shd w:val="clear" w:color="auto" w:fill="FFFFFF"/>
            <w:vAlign w:val="center"/>
          </w:tcPr>
          <w:p w:rsidR="00985F0F" w:rsidRPr="00C66E28" w:rsidRDefault="00985F0F" w:rsidP="003403AC">
            <w:pPr>
              <w:spacing w:line="180" w:lineRule="exact"/>
              <w:contextualSpacing/>
              <w:rPr>
                <w:color w:val="000000"/>
                <w:sz w:val="18"/>
                <w:szCs w:val="18"/>
              </w:rPr>
            </w:pPr>
            <w:r w:rsidRPr="00A60E8D">
              <w:rPr>
                <w:rFonts w:eastAsia="Calibri"/>
                <w:color w:val="000000"/>
                <w:sz w:val="18"/>
                <w:szCs w:val="18"/>
              </w:rPr>
              <w:t>7806</w:t>
            </w:r>
          </w:p>
        </w:tc>
        <w:tc>
          <w:tcPr>
            <w:tcW w:w="720" w:type="dxa"/>
            <w:tcBorders>
              <w:right w:val="thinThickThinSmallGap" w:sz="24" w:space="0" w:color="auto"/>
            </w:tcBorders>
            <w:shd w:val="clear" w:color="auto" w:fill="FFFFFF"/>
            <w:vAlign w:val="center"/>
          </w:tcPr>
          <w:p w:rsidR="00985F0F" w:rsidRPr="00C66E28" w:rsidRDefault="00985F0F" w:rsidP="003403AC">
            <w:pPr>
              <w:spacing w:line="180" w:lineRule="exact"/>
              <w:rPr>
                <w:color w:val="000000"/>
                <w:sz w:val="18"/>
                <w:szCs w:val="18"/>
              </w:rPr>
            </w:pPr>
            <w:r>
              <w:rPr>
                <w:rFonts w:eastAsia="Calibri"/>
                <w:color w:val="000000"/>
                <w:sz w:val="18"/>
                <w:szCs w:val="18"/>
              </w:rPr>
              <w:t>10</w:t>
            </w:r>
            <w:r w:rsidRPr="00C66E28">
              <w:rPr>
                <w:rFonts w:eastAsia="Calibri"/>
                <w:color w:val="000000"/>
                <w:sz w:val="18"/>
                <w:szCs w:val="18"/>
              </w:rPr>
              <w:t>%</w:t>
            </w:r>
          </w:p>
        </w:tc>
        <w:tc>
          <w:tcPr>
            <w:tcW w:w="2610" w:type="dxa"/>
            <w:tcBorders>
              <w:left w:val="thinThickThinSmallGap" w:sz="24" w:space="0" w:color="auto"/>
            </w:tcBorders>
            <w:shd w:val="clear" w:color="auto" w:fill="FFFFFF"/>
            <w:vAlign w:val="center"/>
          </w:tcPr>
          <w:p w:rsidR="00985F0F" w:rsidRPr="00C66E28" w:rsidRDefault="00985F0F" w:rsidP="003403AC">
            <w:pPr>
              <w:spacing w:line="180" w:lineRule="exact"/>
              <w:contextualSpacing/>
              <w:jc w:val="left"/>
              <w:rPr>
                <w:color w:val="000000"/>
                <w:sz w:val="18"/>
                <w:szCs w:val="18"/>
              </w:rPr>
            </w:pPr>
            <w:r>
              <w:rPr>
                <w:rFonts w:eastAsia="Calibri"/>
                <w:color w:val="000000"/>
                <w:sz w:val="18"/>
                <w:szCs w:val="18"/>
              </w:rPr>
              <w:t>Rubber Allergy w</w:t>
            </w:r>
            <w:r w:rsidRPr="00A60E8D">
              <w:rPr>
                <w:rFonts w:eastAsia="Calibri"/>
                <w:color w:val="000000"/>
                <w:sz w:val="18"/>
                <w:szCs w:val="18"/>
              </w:rPr>
              <w:t>ith Contact Dermatitis</w:t>
            </w:r>
          </w:p>
        </w:tc>
        <w:tc>
          <w:tcPr>
            <w:tcW w:w="1080" w:type="dxa"/>
            <w:shd w:val="clear" w:color="auto" w:fill="FFFFFF"/>
            <w:vAlign w:val="center"/>
          </w:tcPr>
          <w:p w:rsidR="00985F0F" w:rsidRPr="00C66E28" w:rsidRDefault="00985F0F" w:rsidP="003403AC">
            <w:pPr>
              <w:spacing w:line="180" w:lineRule="exact"/>
              <w:contextualSpacing/>
              <w:rPr>
                <w:color w:val="000000"/>
                <w:sz w:val="18"/>
                <w:szCs w:val="18"/>
              </w:rPr>
            </w:pPr>
            <w:r w:rsidRPr="00A60E8D">
              <w:rPr>
                <w:rFonts w:eastAsia="Calibri"/>
                <w:color w:val="000000"/>
                <w:sz w:val="18"/>
                <w:szCs w:val="18"/>
              </w:rPr>
              <w:t>7806</w:t>
            </w:r>
          </w:p>
        </w:tc>
        <w:tc>
          <w:tcPr>
            <w:tcW w:w="720" w:type="dxa"/>
            <w:shd w:val="clear" w:color="auto" w:fill="FFFFFF"/>
            <w:vAlign w:val="center"/>
          </w:tcPr>
          <w:p w:rsidR="00985F0F" w:rsidRPr="00C66E28" w:rsidRDefault="00985F0F" w:rsidP="00622FDC">
            <w:pPr>
              <w:spacing w:line="180" w:lineRule="exact"/>
              <w:contextualSpacing/>
              <w:rPr>
                <w:color w:val="000000"/>
                <w:sz w:val="18"/>
                <w:szCs w:val="18"/>
              </w:rPr>
            </w:pPr>
            <w:r>
              <w:rPr>
                <w:rFonts w:eastAsia="Calibri"/>
                <w:color w:val="000000"/>
                <w:sz w:val="18"/>
                <w:szCs w:val="18"/>
              </w:rPr>
              <w:t>0</w:t>
            </w:r>
            <w:r w:rsidRPr="00C66E28">
              <w:rPr>
                <w:rFonts w:eastAsia="Calibri"/>
                <w:color w:val="000000"/>
                <w:sz w:val="18"/>
                <w:szCs w:val="18"/>
              </w:rPr>
              <w:t>%</w:t>
            </w:r>
          </w:p>
        </w:tc>
        <w:tc>
          <w:tcPr>
            <w:tcW w:w="972" w:type="dxa"/>
            <w:shd w:val="clear" w:color="auto" w:fill="FFFFFF"/>
            <w:vAlign w:val="center"/>
          </w:tcPr>
          <w:p w:rsidR="00985F0F" w:rsidRPr="000B29DD" w:rsidRDefault="000B29DD" w:rsidP="003403AC">
            <w:pPr>
              <w:spacing w:line="180" w:lineRule="exact"/>
              <w:contextualSpacing/>
              <w:rPr>
                <w:color w:val="000000"/>
                <w:sz w:val="18"/>
                <w:szCs w:val="18"/>
              </w:rPr>
            </w:pPr>
            <w:r w:rsidRPr="000B29DD">
              <w:rPr>
                <w:rFonts w:eastAsia="Calibri"/>
                <w:color w:val="000000"/>
                <w:sz w:val="18"/>
                <w:szCs w:val="18"/>
              </w:rPr>
              <w:t>20090121</w:t>
            </w:r>
          </w:p>
        </w:tc>
      </w:tr>
      <w:tr w:rsidR="00985F0F" w:rsidRPr="00C66E28" w:rsidTr="00CE67B9">
        <w:trPr>
          <w:trHeight w:val="287"/>
          <w:jc w:val="center"/>
        </w:trPr>
        <w:tc>
          <w:tcPr>
            <w:tcW w:w="2718" w:type="dxa"/>
            <w:tcBorders>
              <w:right w:val="single" w:sz="4" w:space="0" w:color="auto"/>
            </w:tcBorders>
            <w:shd w:val="clear" w:color="auto" w:fill="FFFFFF"/>
            <w:vAlign w:val="center"/>
          </w:tcPr>
          <w:p w:rsidR="00985F0F" w:rsidRPr="00A60E8D" w:rsidRDefault="00985F0F" w:rsidP="00985F0F">
            <w:pPr>
              <w:spacing w:line="180" w:lineRule="exact"/>
              <w:contextualSpacing/>
              <w:jc w:val="left"/>
              <w:rPr>
                <w:rFonts w:eastAsia="Calibri"/>
                <w:color w:val="000000"/>
                <w:sz w:val="18"/>
                <w:szCs w:val="18"/>
              </w:rPr>
            </w:pPr>
            <w:r w:rsidRPr="00985F0F">
              <w:rPr>
                <w:rFonts w:eastAsia="Calibri"/>
                <w:color w:val="000000"/>
                <w:sz w:val="18"/>
                <w:szCs w:val="18"/>
              </w:rPr>
              <w:t>Anxiety</w:t>
            </w:r>
            <w:r>
              <w:rPr>
                <w:rFonts w:eastAsia="Calibri"/>
                <w:color w:val="000000"/>
                <w:sz w:val="18"/>
                <w:szCs w:val="18"/>
              </w:rPr>
              <w:t xml:space="preserve"> Disorder, NOS</w:t>
            </w:r>
          </w:p>
        </w:tc>
        <w:tc>
          <w:tcPr>
            <w:tcW w:w="1350" w:type="dxa"/>
            <w:gridSpan w:val="2"/>
            <w:tcBorders>
              <w:left w:val="single" w:sz="4" w:space="0" w:color="auto"/>
              <w:right w:val="thinThickThinSmallGap" w:sz="24" w:space="0" w:color="auto"/>
            </w:tcBorders>
            <w:shd w:val="clear" w:color="auto" w:fill="FFFFFF"/>
            <w:vAlign w:val="center"/>
          </w:tcPr>
          <w:p w:rsidR="00985F0F" w:rsidRDefault="00985F0F" w:rsidP="00985F0F">
            <w:pPr>
              <w:spacing w:line="180" w:lineRule="exact"/>
              <w:rPr>
                <w:rFonts w:eastAsia="Calibri"/>
                <w:color w:val="000000"/>
                <w:sz w:val="18"/>
                <w:szCs w:val="18"/>
              </w:rPr>
            </w:pPr>
            <w:r>
              <w:rPr>
                <w:rFonts w:eastAsia="Calibri"/>
                <w:color w:val="000000"/>
                <w:sz w:val="18"/>
                <w:szCs w:val="18"/>
              </w:rPr>
              <w:t>Not Unfitting</w:t>
            </w:r>
          </w:p>
        </w:tc>
        <w:tc>
          <w:tcPr>
            <w:tcW w:w="2610" w:type="dxa"/>
            <w:tcBorders>
              <w:left w:val="thinThickThinSmallGap" w:sz="24" w:space="0" w:color="auto"/>
            </w:tcBorders>
            <w:shd w:val="clear" w:color="auto" w:fill="FFFFFF"/>
            <w:vAlign w:val="center"/>
          </w:tcPr>
          <w:p w:rsidR="00985F0F" w:rsidRDefault="00985F0F" w:rsidP="00985F0F">
            <w:pPr>
              <w:spacing w:line="180" w:lineRule="exact"/>
              <w:contextualSpacing/>
              <w:jc w:val="left"/>
              <w:rPr>
                <w:rFonts w:eastAsia="Calibri"/>
                <w:color w:val="000000"/>
                <w:sz w:val="18"/>
                <w:szCs w:val="18"/>
              </w:rPr>
            </w:pPr>
            <w:r w:rsidRPr="00A60E8D">
              <w:rPr>
                <w:rFonts w:eastAsia="Calibri"/>
                <w:color w:val="000000"/>
                <w:sz w:val="18"/>
                <w:szCs w:val="18"/>
              </w:rPr>
              <w:t>Anxiety Disorder Not Otherwise Specified</w:t>
            </w:r>
          </w:p>
        </w:tc>
        <w:tc>
          <w:tcPr>
            <w:tcW w:w="1080" w:type="dxa"/>
            <w:shd w:val="clear" w:color="auto" w:fill="FFFFFF"/>
            <w:vAlign w:val="center"/>
          </w:tcPr>
          <w:p w:rsidR="00985F0F" w:rsidRPr="00C66E28" w:rsidRDefault="00985F0F" w:rsidP="00985F0F">
            <w:pPr>
              <w:spacing w:line="180" w:lineRule="exact"/>
              <w:contextualSpacing/>
              <w:rPr>
                <w:color w:val="000000"/>
                <w:sz w:val="18"/>
                <w:szCs w:val="18"/>
              </w:rPr>
            </w:pPr>
            <w:r w:rsidRPr="00A60E8D">
              <w:rPr>
                <w:rFonts w:eastAsia="Calibri"/>
                <w:color w:val="000000"/>
                <w:sz w:val="18"/>
                <w:szCs w:val="18"/>
              </w:rPr>
              <w:t>9413</w:t>
            </w:r>
          </w:p>
        </w:tc>
        <w:tc>
          <w:tcPr>
            <w:tcW w:w="720" w:type="dxa"/>
            <w:shd w:val="clear" w:color="auto" w:fill="FFFFFF"/>
            <w:vAlign w:val="center"/>
          </w:tcPr>
          <w:p w:rsidR="00985F0F" w:rsidRPr="00C66E28" w:rsidRDefault="00985F0F" w:rsidP="00985F0F">
            <w:pPr>
              <w:spacing w:line="180" w:lineRule="exact"/>
              <w:contextualSpacing/>
              <w:rPr>
                <w:color w:val="000000"/>
                <w:sz w:val="18"/>
                <w:szCs w:val="18"/>
              </w:rPr>
            </w:pPr>
            <w:r>
              <w:rPr>
                <w:rFonts w:eastAsia="Calibri"/>
                <w:color w:val="000000"/>
                <w:sz w:val="18"/>
                <w:szCs w:val="18"/>
              </w:rPr>
              <w:t>70</w:t>
            </w:r>
            <w:r w:rsidRPr="00C66E28">
              <w:rPr>
                <w:rFonts w:eastAsia="Calibri"/>
                <w:color w:val="000000"/>
                <w:sz w:val="18"/>
                <w:szCs w:val="18"/>
              </w:rPr>
              <w:t>%</w:t>
            </w:r>
            <w:r w:rsidR="00CE67B9">
              <w:rPr>
                <w:rFonts w:eastAsia="Calibri"/>
                <w:color w:val="000000"/>
                <w:sz w:val="18"/>
                <w:szCs w:val="18"/>
              </w:rPr>
              <w:t>*</w:t>
            </w:r>
          </w:p>
        </w:tc>
        <w:tc>
          <w:tcPr>
            <w:tcW w:w="972" w:type="dxa"/>
            <w:shd w:val="clear" w:color="auto" w:fill="FFFFFF"/>
            <w:vAlign w:val="center"/>
          </w:tcPr>
          <w:p w:rsidR="00985F0F" w:rsidRPr="000B29DD" w:rsidRDefault="00985F0F" w:rsidP="0063069C">
            <w:pPr>
              <w:spacing w:line="180" w:lineRule="exact"/>
              <w:contextualSpacing/>
              <w:rPr>
                <w:color w:val="000000"/>
                <w:sz w:val="18"/>
                <w:szCs w:val="18"/>
              </w:rPr>
            </w:pPr>
            <w:r w:rsidRPr="000B29DD">
              <w:rPr>
                <w:rFonts w:eastAsia="Calibri"/>
                <w:color w:val="000000"/>
                <w:sz w:val="18"/>
                <w:szCs w:val="18"/>
              </w:rPr>
              <w:t>200</w:t>
            </w:r>
            <w:r w:rsidR="0063069C" w:rsidRPr="000B29DD">
              <w:rPr>
                <w:rFonts w:eastAsia="Calibri"/>
                <w:color w:val="000000"/>
                <w:sz w:val="18"/>
                <w:szCs w:val="18"/>
              </w:rPr>
              <w:t>90326</w:t>
            </w:r>
          </w:p>
        </w:tc>
      </w:tr>
      <w:tr w:rsidR="0063069C" w:rsidRPr="00C66E28" w:rsidTr="00CE67B9">
        <w:trPr>
          <w:trHeight w:val="287"/>
          <w:jc w:val="center"/>
        </w:trPr>
        <w:tc>
          <w:tcPr>
            <w:tcW w:w="2718" w:type="dxa"/>
            <w:vMerge w:val="restart"/>
            <w:tcBorders>
              <w:right w:val="single" w:sz="4" w:space="0" w:color="auto"/>
            </w:tcBorders>
            <w:shd w:val="clear" w:color="auto" w:fill="FFFFFF"/>
            <w:vAlign w:val="center"/>
          </w:tcPr>
          <w:p w:rsidR="0063069C" w:rsidRDefault="0063069C" w:rsidP="00985F0F">
            <w:pPr>
              <w:spacing w:line="180" w:lineRule="exact"/>
              <w:contextualSpacing/>
              <w:jc w:val="left"/>
              <w:rPr>
                <w:rFonts w:eastAsia="Calibri"/>
                <w:color w:val="000000"/>
                <w:sz w:val="18"/>
                <w:szCs w:val="18"/>
              </w:rPr>
            </w:pPr>
            <w:r>
              <w:rPr>
                <w:rFonts w:eastAsia="Calibri"/>
                <w:color w:val="000000"/>
                <w:sz w:val="18"/>
                <w:szCs w:val="18"/>
              </w:rPr>
              <w:t xml:space="preserve">Bilateral </w:t>
            </w:r>
            <w:r w:rsidRPr="00985F0F">
              <w:rPr>
                <w:rFonts w:eastAsia="Calibri"/>
                <w:color w:val="000000"/>
                <w:sz w:val="18"/>
                <w:szCs w:val="18"/>
              </w:rPr>
              <w:t>Knee Pain</w:t>
            </w:r>
            <w:r>
              <w:rPr>
                <w:rFonts w:eastAsia="Calibri"/>
                <w:color w:val="000000"/>
                <w:sz w:val="18"/>
                <w:szCs w:val="18"/>
              </w:rPr>
              <w:t xml:space="preserve"> and Ankle Pain</w:t>
            </w:r>
          </w:p>
        </w:tc>
        <w:tc>
          <w:tcPr>
            <w:tcW w:w="1350" w:type="dxa"/>
            <w:gridSpan w:val="2"/>
            <w:vMerge w:val="restart"/>
            <w:tcBorders>
              <w:left w:val="single" w:sz="4" w:space="0" w:color="auto"/>
              <w:right w:val="thinThickThinSmallGap" w:sz="24" w:space="0" w:color="auto"/>
            </w:tcBorders>
            <w:shd w:val="clear" w:color="auto" w:fill="FFFFFF"/>
            <w:vAlign w:val="center"/>
          </w:tcPr>
          <w:p w:rsidR="0063069C" w:rsidRDefault="0063069C" w:rsidP="00985F0F">
            <w:pPr>
              <w:spacing w:line="180" w:lineRule="exact"/>
              <w:rPr>
                <w:rFonts w:eastAsia="Calibri"/>
                <w:color w:val="000000"/>
                <w:sz w:val="18"/>
                <w:szCs w:val="18"/>
              </w:rPr>
            </w:pPr>
            <w:r>
              <w:rPr>
                <w:rFonts w:eastAsia="Calibri"/>
                <w:color w:val="000000"/>
                <w:sz w:val="18"/>
                <w:szCs w:val="18"/>
              </w:rPr>
              <w:t>Not Unfitting</w:t>
            </w:r>
          </w:p>
        </w:tc>
        <w:tc>
          <w:tcPr>
            <w:tcW w:w="2610" w:type="dxa"/>
            <w:tcBorders>
              <w:left w:val="thinThickThinSmallGap" w:sz="24" w:space="0" w:color="auto"/>
            </w:tcBorders>
            <w:shd w:val="clear" w:color="auto" w:fill="FFFFFF"/>
            <w:vAlign w:val="center"/>
          </w:tcPr>
          <w:p w:rsidR="0063069C" w:rsidRDefault="0063069C" w:rsidP="009577C4">
            <w:pPr>
              <w:spacing w:line="180" w:lineRule="exact"/>
              <w:contextualSpacing/>
              <w:jc w:val="left"/>
              <w:rPr>
                <w:rFonts w:eastAsia="Calibri"/>
                <w:color w:val="000000"/>
                <w:sz w:val="18"/>
                <w:szCs w:val="18"/>
              </w:rPr>
            </w:pPr>
            <w:r w:rsidRPr="002D586B">
              <w:rPr>
                <w:rFonts w:eastAsia="Calibri"/>
                <w:color w:val="000000"/>
                <w:sz w:val="18"/>
                <w:szCs w:val="18"/>
              </w:rPr>
              <w:t xml:space="preserve">Left Knee </w:t>
            </w:r>
            <w:r w:rsidRPr="009577C4">
              <w:rPr>
                <w:rFonts w:eastAsia="Calibri"/>
                <w:color w:val="000000"/>
                <w:sz w:val="18"/>
                <w:szCs w:val="18"/>
              </w:rPr>
              <w:t xml:space="preserve"> Strain</w:t>
            </w:r>
            <w:r w:rsidRPr="002D586B">
              <w:rPr>
                <w:rFonts w:eastAsia="Calibri"/>
                <w:color w:val="000000"/>
                <w:sz w:val="18"/>
                <w:szCs w:val="18"/>
              </w:rPr>
              <w:t xml:space="preserve"> </w:t>
            </w:r>
          </w:p>
        </w:tc>
        <w:tc>
          <w:tcPr>
            <w:tcW w:w="1080" w:type="dxa"/>
            <w:shd w:val="clear" w:color="auto" w:fill="FFFFFF"/>
            <w:vAlign w:val="center"/>
          </w:tcPr>
          <w:p w:rsidR="0063069C" w:rsidRPr="00A60E8D" w:rsidRDefault="0063069C" w:rsidP="00985F0F">
            <w:pPr>
              <w:spacing w:line="180" w:lineRule="exact"/>
              <w:contextualSpacing/>
              <w:rPr>
                <w:rFonts w:eastAsia="Calibri"/>
                <w:color w:val="000000"/>
                <w:sz w:val="18"/>
                <w:szCs w:val="18"/>
              </w:rPr>
            </w:pPr>
            <w:r w:rsidRPr="009577C4">
              <w:rPr>
                <w:rFonts w:eastAsia="Calibri"/>
                <w:color w:val="000000"/>
                <w:sz w:val="18"/>
                <w:szCs w:val="18"/>
              </w:rPr>
              <w:t>5260</w:t>
            </w:r>
          </w:p>
        </w:tc>
        <w:tc>
          <w:tcPr>
            <w:tcW w:w="720" w:type="dxa"/>
            <w:shd w:val="clear" w:color="auto" w:fill="FFFFFF"/>
            <w:vAlign w:val="center"/>
          </w:tcPr>
          <w:p w:rsidR="0063069C" w:rsidRDefault="0063069C" w:rsidP="00622FDC">
            <w:pPr>
              <w:spacing w:line="180" w:lineRule="exact"/>
              <w:contextualSpacing/>
              <w:rPr>
                <w:rFonts w:eastAsia="Calibri"/>
                <w:color w:val="000000"/>
                <w:sz w:val="18"/>
                <w:szCs w:val="18"/>
              </w:rPr>
            </w:pPr>
            <w:r w:rsidRPr="009707C4">
              <w:rPr>
                <w:color w:val="000000"/>
                <w:sz w:val="18"/>
                <w:szCs w:val="18"/>
              </w:rPr>
              <w:t>10%</w:t>
            </w:r>
            <w:r>
              <w:rPr>
                <w:rFonts w:eastAsia="Calibri"/>
                <w:color w:val="000000"/>
                <w:sz w:val="18"/>
                <w:szCs w:val="18"/>
              </w:rPr>
              <w:t xml:space="preserve"> </w:t>
            </w:r>
          </w:p>
        </w:tc>
        <w:tc>
          <w:tcPr>
            <w:tcW w:w="972" w:type="dxa"/>
            <w:shd w:val="clear" w:color="auto" w:fill="FFFFFF"/>
            <w:vAlign w:val="center"/>
          </w:tcPr>
          <w:p w:rsidR="0063069C" w:rsidRPr="000B29DD" w:rsidRDefault="0063069C" w:rsidP="00985F0F">
            <w:pPr>
              <w:spacing w:line="180" w:lineRule="exact"/>
              <w:contextualSpacing/>
              <w:rPr>
                <w:rFonts w:eastAsia="Calibri"/>
                <w:color w:val="000000"/>
                <w:sz w:val="18"/>
                <w:szCs w:val="18"/>
              </w:rPr>
            </w:pPr>
            <w:r w:rsidRPr="000B29DD">
              <w:rPr>
                <w:rFonts w:eastAsia="Calibri"/>
                <w:color w:val="000000"/>
                <w:sz w:val="18"/>
                <w:szCs w:val="18"/>
              </w:rPr>
              <w:t>20090406</w:t>
            </w:r>
          </w:p>
        </w:tc>
      </w:tr>
      <w:tr w:rsidR="00CE67B9" w:rsidRPr="00C66E28" w:rsidTr="00CE67B9">
        <w:trPr>
          <w:trHeight w:val="287"/>
          <w:jc w:val="center"/>
        </w:trPr>
        <w:tc>
          <w:tcPr>
            <w:tcW w:w="2718" w:type="dxa"/>
            <w:vMerge/>
            <w:tcBorders>
              <w:right w:val="single" w:sz="4" w:space="0" w:color="auto"/>
            </w:tcBorders>
            <w:shd w:val="clear" w:color="auto" w:fill="FFFFFF"/>
            <w:vAlign w:val="center"/>
          </w:tcPr>
          <w:p w:rsidR="00CE67B9" w:rsidRPr="00A60E8D" w:rsidRDefault="00CE67B9" w:rsidP="00CE67B9">
            <w:pPr>
              <w:spacing w:line="180" w:lineRule="exact"/>
              <w:contextualSpacing/>
              <w:jc w:val="left"/>
              <w:rPr>
                <w:rFonts w:eastAsia="Calibri"/>
                <w:color w:val="000000"/>
                <w:sz w:val="18"/>
                <w:szCs w:val="18"/>
              </w:rPr>
            </w:pPr>
          </w:p>
        </w:tc>
        <w:tc>
          <w:tcPr>
            <w:tcW w:w="1350" w:type="dxa"/>
            <w:gridSpan w:val="2"/>
            <w:vMerge/>
            <w:tcBorders>
              <w:left w:val="single" w:sz="4" w:space="0" w:color="auto"/>
              <w:right w:val="thinThickThinSmallGap" w:sz="24" w:space="0" w:color="auto"/>
            </w:tcBorders>
            <w:shd w:val="clear" w:color="auto" w:fill="FFFFFF"/>
            <w:vAlign w:val="center"/>
          </w:tcPr>
          <w:p w:rsidR="00CE67B9" w:rsidRDefault="00CE67B9" w:rsidP="00CE67B9">
            <w:pPr>
              <w:spacing w:line="180" w:lineRule="exact"/>
              <w:rPr>
                <w:rFonts w:eastAsia="Calibri"/>
                <w:color w:val="000000"/>
                <w:sz w:val="18"/>
                <w:szCs w:val="18"/>
              </w:rPr>
            </w:pPr>
          </w:p>
        </w:tc>
        <w:tc>
          <w:tcPr>
            <w:tcW w:w="2610" w:type="dxa"/>
            <w:tcBorders>
              <w:left w:val="thinThickThinSmallGap" w:sz="24" w:space="0" w:color="auto"/>
            </w:tcBorders>
            <w:shd w:val="clear" w:color="auto" w:fill="FFFFFF"/>
            <w:vAlign w:val="center"/>
          </w:tcPr>
          <w:p w:rsidR="00CE67B9" w:rsidRDefault="00CE67B9" w:rsidP="00CE67B9">
            <w:pPr>
              <w:spacing w:line="180" w:lineRule="exact"/>
              <w:contextualSpacing/>
              <w:jc w:val="left"/>
              <w:rPr>
                <w:rFonts w:eastAsia="Calibri"/>
                <w:color w:val="000000"/>
                <w:sz w:val="18"/>
                <w:szCs w:val="18"/>
              </w:rPr>
            </w:pPr>
            <w:r>
              <w:rPr>
                <w:rFonts w:eastAsia="Calibri"/>
                <w:color w:val="000000"/>
                <w:sz w:val="18"/>
                <w:szCs w:val="18"/>
              </w:rPr>
              <w:t>Righ</w:t>
            </w:r>
            <w:r w:rsidRPr="002D586B">
              <w:rPr>
                <w:rFonts w:eastAsia="Calibri"/>
                <w:color w:val="000000"/>
                <w:sz w:val="18"/>
                <w:szCs w:val="18"/>
              </w:rPr>
              <w:t xml:space="preserve">t Knee </w:t>
            </w:r>
            <w:r w:rsidRPr="009577C4">
              <w:rPr>
                <w:rFonts w:eastAsia="Calibri"/>
                <w:color w:val="000000"/>
                <w:sz w:val="18"/>
                <w:szCs w:val="18"/>
              </w:rPr>
              <w:t xml:space="preserve"> Strain</w:t>
            </w:r>
            <w:r w:rsidRPr="002D586B">
              <w:rPr>
                <w:rFonts w:eastAsia="Calibri"/>
                <w:color w:val="000000"/>
                <w:sz w:val="18"/>
                <w:szCs w:val="18"/>
              </w:rPr>
              <w:t xml:space="preserve"> </w:t>
            </w:r>
          </w:p>
        </w:tc>
        <w:tc>
          <w:tcPr>
            <w:tcW w:w="1080" w:type="dxa"/>
            <w:shd w:val="clear" w:color="auto" w:fill="FFFFFF"/>
            <w:vAlign w:val="center"/>
          </w:tcPr>
          <w:p w:rsidR="00CE67B9" w:rsidRPr="00A60E8D" w:rsidRDefault="00CE67B9" w:rsidP="00CE67B9">
            <w:pPr>
              <w:spacing w:line="180" w:lineRule="exact"/>
              <w:contextualSpacing/>
              <w:rPr>
                <w:rFonts w:eastAsia="Calibri"/>
                <w:color w:val="000000"/>
                <w:sz w:val="18"/>
                <w:szCs w:val="18"/>
              </w:rPr>
            </w:pPr>
            <w:r w:rsidRPr="009577C4">
              <w:rPr>
                <w:rFonts w:eastAsia="Calibri"/>
                <w:color w:val="000000"/>
                <w:sz w:val="18"/>
                <w:szCs w:val="18"/>
              </w:rPr>
              <w:t>5260</w:t>
            </w:r>
          </w:p>
        </w:tc>
        <w:tc>
          <w:tcPr>
            <w:tcW w:w="720" w:type="dxa"/>
            <w:shd w:val="clear" w:color="auto" w:fill="FFFFFF"/>
            <w:vAlign w:val="center"/>
          </w:tcPr>
          <w:p w:rsidR="00CE67B9" w:rsidRDefault="00CE67B9" w:rsidP="00CE67B9">
            <w:pPr>
              <w:spacing w:line="180" w:lineRule="exact"/>
              <w:contextualSpacing/>
              <w:rPr>
                <w:rFonts w:eastAsia="Calibri"/>
                <w:color w:val="000000"/>
                <w:sz w:val="18"/>
                <w:szCs w:val="18"/>
              </w:rPr>
            </w:pPr>
            <w:r w:rsidRPr="009707C4">
              <w:rPr>
                <w:color w:val="000000"/>
                <w:sz w:val="18"/>
                <w:szCs w:val="18"/>
              </w:rPr>
              <w:t>10%</w:t>
            </w:r>
          </w:p>
        </w:tc>
        <w:tc>
          <w:tcPr>
            <w:tcW w:w="972" w:type="dxa"/>
            <w:shd w:val="clear" w:color="auto" w:fill="FFFFFF"/>
            <w:vAlign w:val="center"/>
          </w:tcPr>
          <w:p w:rsidR="00CE67B9" w:rsidRPr="000B29DD" w:rsidRDefault="00CE67B9" w:rsidP="00CE67B9">
            <w:pPr>
              <w:spacing w:line="180" w:lineRule="exact"/>
              <w:contextualSpacing/>
              <w:rPr>
                <w:rFonts w:eastAsia="Calibri"/>
                <w:color w:val="000000"/>
                <w:sz w:val="18"/>
                <w:szCs w:val="18"/>
              </w:rPr>
            </w:pPr>
            <w:r w:rsidRPr="000B29DD">
              <w:rPr>
                <w:rFonts w:eastAsia="Calibri"/>
                <w:color w:val="000000"/>
                <w:sz w:val="18"/>
                <w:szCs w:val="18"/>
              </w:rPr>
              <w:t>20090406</w:t>
            </w:r>
          </w:p>
        </w:tc>
      </w:tr>
      <w:tr w:rsidR="00CE67B9" w:rsidRPr="00C66E28" w:rsidTr="00CE67B9">
        <w:trPr>
          <w:trHeight w:val="287"/>
          <w:jc w:val="center"/>
        </w:trPr>
        <w:tc>
          <w:tcPr>
            <w:tcW w:w="2718" w:type="dxa"/>
            <w:vMerge/>
            <w:tcBorders>
              <w:right w:val="single" w:sz="4" w:space="0" w:color="auto"/>
            </w:tcBorders>
            <w:shd w:val="clear" w:color="auto" w:fill="FFFFFF"/>
            <w:vAlign w:val="center"/>
          </w:tcPr>
          <w:p w:rsidR="00CE67B9" w:rsidRPr="00A60E8D" w:rsidRDefault="00CE67B9" w:rsidP="00CE67B9">
            <w:pPr>
              <w:spacing w:line="180" w:lineRule="exact"/>
              <w:contextualSpacing/>
              <w:jc w:val="left"/>
              <w:rPr>
                <w:rFonts w:eastAsia="Calibri"/>
                <w:color w:val="000000"/>
                <w:sz w:val="18"/>
                <w:szCs w:val="18"/>
              </w:rPr>
            </w:pPr>
          </w:p>
        </w:tc>
        <w:tc>
          <w:tcPr>
            <w:tcW w:w="1350" w:type="dxa"/>
            <w:gridSpan w:val="2"/>
            <w:vMerge/>
            <w:tcBorders>
              <w:left w:val="single" w:sz="4" w:space="0" w:color="auto"/>
              <w:right w:val="thinThickThinSmallGap" w:sz="24" w:space="0" w:color="auto"/>
            </w:tcBorders>
            <w:shd w:val="clear" w:color="auto" w:fill="FFFFFF"/>
            <w:vAlign w:val="center"/>
          </w:tcPr>
          <w:p w:rsidR="00CE67B9" w:rsidRDefault="00CE67B9" w:rsidP="00CE67B9">
            <w:pPr>
              <w:spacing w:line="180" w:lineRule="exact"/>
              <w:rPr>
                <w:rFonts w:eastAsia="Calibri"/>
                <w:color w:val="000000"/>
                <w:sz w:val="18"/>
                <w:szCs w:val="18"/>
              </w:rPr>
            </w:pPr>
          </w:p>
        </w:tc>
        <w:tc>
          <w:tcPr>
            <w:tcW w:w="2610" w:type="dxa"/>
            <w:tcBorders>
              <w:left w:val="thinThickThinSmallGap" w:sz="24" w:space="0" w:color="auto"/>
            </w:tcBorders>
            <w:shd w:val="clear" w:color="auto" w:fill="FFFFFF"/>
            <w:vAlign w:val="center"/>
          </w:tcPr>
          <w:p w:rsidR="00CE67B9" w:rsidRDefault="00CE67B9" w:rsidP="00CE67B9">
            <w:pPr>
              <w:spacing w:line="180" w:lineRule="exact"/>
              <w:contextualSpacing/>
              <w:jc w:val="left"/>
              <w:rPr>
                <w:rFonts w:eastAsia="Calibri"/>
                <w:color w:val="000000"/>
                <w:sz w:val="18"/>
                <w:szCs w:val="18"/>
              </w:rPr>
            </w:pPr>
            <w:r>
              <w:rPr>
                <w:rFonts w:eastAsia="Calibri"/>
                <w:color w:val="000000"/>
                <w:sz w:val="18"/>
                <w:szCs w:val="18"/>
              </w:rPr>
              <w:t>left</w:t>
            </w:r>
            <w:r w:rsidRPr="009577C4">
              <w:rPr>
                <w:rFonts w:eastAsia="Calibri"/>
                <w:color w:val="000000"/>
                <w:sz w:val="18"/>
                <w:szCs w:val="18"/>
              </w:rPr>
              <w:t xml:space="preserve"> Knee Strain </w:t>
            </w:r>
            <w:r>
              <w:rPr>
                <w:rFonts w:eastAsia="Calibri"/>
                <w:color w:val="000000"/>
                <w:sz w:val="18"/>
                <w:szCs w:val="18"/>
              </w:rPr>
              <w:t>w</w:t>
            </w:r>
            <w:r w:rsidRPr="009577C4">
              <w:rPr>
                <w:rFonts w:eastAsia="Calibri"/>
                <w:color w:val="000000"/>
                <w:sz w:val="18"/>
                <w:szCs w:val="18"/>
              </w:rPr>
              <w:t>ith Ligament Laxity</w:t>
            </w:r>
          </w:p>
        </w:tc>
        <w:tc>
          <w:tcPr>
            <w:tcW w:w="1080" w:type="dxa"/>
            <w:shd w:val="clear" w:color="auto" w:fill="FFFFFF"/>
            <w:vAlign w:val="center"/>
          </w:tcPr>
          <w:p w:rsidR="00CE67B9" w:rsidRPr="004E3282" w:rsidRDefault="00CE67B9" w:rsidP="00CE67B9">
            <w:pPr>
              <w:spacing w:line="180" w:lineRule="exact"/>
              <w:contextualSpacing/>
              <w:rPr>
                <w:rFonts w:eastAsia="Calibri"/>
                <w:color w:val="000000"/>
                <w:sz w:val="18"/>
                <w:szCs w:val="18"/>
              </w:rPr>
            </w:pPr>
            <w:r w:rsidRPr="00213561">
              <w:rPr>
                <w:rFonts w:eastAsia="Calibri"/>
                <w:color w:val="000000"/>
                <w:sz w:val="18"/>
                <w:szCs w:val="18"/>
              </w:rPr>
              <w:t>5257</w:t>
            </w:r>
          </w:p>
        </w:tc>
        <w:tc>
          <w:tcPr>
            <w:tcW w:w="720" w:type="dxa"/>
            <w:shd w:val="clear" w:color="auto" w:fill="FFFFFF"/>
            <w:vAlign w:val="center"/>
          </w:tcPr>
          <w:p w:rsidR="00CE67B9" w:rsidRDefault="00CE67B9" w:rsidP="00CE67B9">
            <w:pPr>
              <w:spacing w:line="180" w:lineRule="exact"/>
              <w:contextualSpacing/>
              <w:rPr>
                <w:rFonts w:eastAsia="Calibri"/>
                <w:color w:val="000000"/>
                <w:sz w:val="18"/>
                <w:szCs w:val="18"/>
              </w:rPr>
            </w:pPr>
            <w:r w:rsidRPr="00213561">
              <w:rPr>
                <w:rFonts w:eastAsia="Calibri"/>
                <w:color w:val="000000"/>
                <w:sz w:val="18"/>
                <w:szCs w:val="18"/>
              </w:rPr>
              <w:t>20%</w:t>
            </w:r>
          </w:p>
        </w:tc>
        <w:tc>
          <w:tcPr>
            <w:tcW w:w="972" w:type="dxa"/>
            <w:shd w:val="clear" w:color="auto" w:fill="FFFFFF"/>
            <w:vAlign w:val="center"/>
          </w:tcPr>
          <w:p w:rsidR="00CE67B9" w:rsidRPr="000B29DD" w:rsidRDefault="00CE67B9" w:rsidP="00CE67B9">
            <w:pPr>
              <w:spacing w:line="180" w:lineRule="exact"/>
              <w:contextualSpacing/>
              <w:rPr>
                <w:rFonts w:eastAsia="Calibri"/>
                <w:color w:val="000000"/>
                <w:sz w:val="18"/>
                <w:szCs w:val="18"/>
              </w:rPr>
            </w:pPr>
            <w:r w:rsidRPr="000B29DD">
              <w:rPr>
                <w:rFonts w:eastAsia="Calibri"/>
                <w:color w:val="000000"/>
                <w:sz w:val="18"/>
                <w:szCs w:val="18"/>
              </w:rPr>
              <w:t>20090406</w:t>
            </w:r>
          </w:p>
        </w:tc>
      </w:tr>
      <w:tr w:rsidR="00CE67B9" w:rsidRPr="00C66E28" w:rsidTr="00CE67B9">
        <w:trPr>
          <w:trHeight w:val="287"/>
          <w:jc w:val="center"/>
        </w:trPr>
        <w:tc>
          <w:tcPr>
            <w:tcW w:w="2718" w:type="dxa"/>
            <w:vMerge/>
            <w:tcBorders>
              <w:right w:val="single" w:sz="4" w:space="0" w:color="auto"/>
            </w:tcBorders>
            <w:shd w:val="clear" w:color="auto" w:fill="FFFFFF"/>
            <w:vAlign w:val="center"/>
          </w:tcPr>
          <w:p w:rsidR="00CE67B9" w:rsidRPr="00A60E8D" w:rsidRDefault="00CE67B9" w:rsidP="00CE67B9">
            <w:pPr>
              <w:spacing w:line="180" w:lineRule="exact"/>
              <w:contextualSpacing/>
              <w:jc w:val="left"/>
              <w:rPr>
                <w:rFonts w:eastAsia="Calibri"/>
                <w:color w:val="000000"/>
                <w:sz w:val="18"/>
                <w:szCs w:val="18"/>
              </w:rPr>
            </w:pPr>
          </w:p>
        </w:tc>
        <w:tc>
          <w:tcPr>
            <w:tcW w:w="1350" w:type="dxa"/>
            <w:gridSpan w:val="2"/>
            <w:vMerge/>
            <w:tcBorders>
              <w:left w:val="single" w:sz="4" w:space="0" w:color="auto"/>
              <w:right w:val="thinThickThinSmallGap" w:sz="24" w:space="0" w:color="auto"/>
            </w:tcBorders>
            <w:shd w:val="clear" w:color="auto" w:fill="FFFFFF"/>
            <w:vAlign w:val="center"/>
          </w:tcPr>
          <w:p w:rsidR="00CE67B9" w:rsidRDefault="00CE67B9" w:rsidP="00CE67B9">
            <w:pPr>
              <w:spacing w:line="180" w:lineRule="exact"/>
              <w:rPr>
                <w:rFonts w:eastAsia="Calibri"/>
                <w:color w:val="000000"/>
                <w:sz w:val="18"/>
                <w:szCs w:val="18"/>
              </w:rPr>
            </w:pPr>
          </w:p>
        </w:tc>
        <w:tc>
          <w:tcPr>
            <w:tcW w:w="2610" w:type="dxa"/>
            <w:tcBorders>
              <w:left w:val="thinThickThinSmallGap" w:sz="24" w:space="0" w:color="auto"/>
            </w:tcBorders>
            <w:shd w:val="clear" w:color="auto" w:fill="FFFFFF"/>
            <w:vAlign w:val="center"/>
          </w:tcPr>
          <w:p w:rsidR="00CE67B9" w:rsidRDefault="00CE67B9" w:rsidP="00CE67B9">
            <w:pPr>
              <w:spacing w:line="180" w:lineRule="exact"/>
              <w:contextualSpacing/>
              <w:jc w:val="left"/>
              <w:rPr>
                <w:rFonts w:eastAsia="Calibri"/>
                <w:color w:val="000000"/>
                <w:sz w:val="18"/>
                <w:szCs w:val="18"/>
              </w:rPr>
            </w:pPr>
            <w:r>
              <w:rPr>
                <w:rFonts w:eastAsia="Calibri"/>
                <w:color w:val="000000"/>
                <w:sz w:val="18"/>
                <w:szCs w:val="18"/>
              </w:rPr>
              <w:t>Righ</w:t>
            </w:r>
            <w:r w:rsidRPr="009577C4">
              <w:rPr>
                <w:rFonts w:eastAsia="Calibri"/>
                <w:color w:val="000000"/>
                <w:sz w:val="18"/>
                <w:szCs w:val="18"/>
              </w:rPr>
              <w:t xml:space="preserve">t Knee Strain </w:t>
            </w:r>
            <w:r>
              <w:rPr>
                <w:rFonts w:eastAsia="Calibri"/>
                <w:color w:val="000000"/>
                <w:sz w:val="18"/>
                <w:szCs w:val="18"/>
              </w:rPr>
              <w:t>w</w:t>
            </w:r>
            <w:r w:rsidRPr="009577C4">
              <w:rPr>
                <w:rFonts w:eastAsia="Calibri"/>
                <w:color w:val="000000"/>
                <w:sz w:val="18"/>
                <w:szCs w:val="18"/>
              </w:rPr>
              <w:t>ith Ligament Laxity</w:t>
            </w:r>
          </w:p>
        </w:tc>
        <w:tc>
          <w:tcPr>
            <w:tcW w:w="1080" w:type="dxa"/>
            <w:shd w:val="clear" w:color="auto" w:fill="FFFFFF"/>
            <w:vAlign w:val="center"/>
          </w:tcPr>
          <w:p w:rsidR="00CE67B9" w:rsidRPr="004E3282" w:rsidRDefault="00CE67B9" w:rsidP="00CE67B9">
            <w:pPr>
              <w:spacing w:line="180" w:lineRule="exact"/>
              <w:contextualSpacing/>
              <w:rPr>
                <w:rFonts w:eastAsia="Calibri"/>
                <w:color w:val="000000"/>
                <w:sz w:val="18"/>
                <w:szCs w:val="18"/>
              </w:rPr>
            </w:pPr>
            <w:r w:rsidRPr="00213561">
              <w:rPr>
                <w:rFonts w:eastAsia="Calibri"/>
                <w:color w:val="000000"/>
                <w:sz w:val="18"/>
                <w:szCs w:val="18"/>
              </w:rPr>
              <w:t>5257</w:t>
            </w:r>
          </w:p>
        </w:tc>
        <w:tc>
          <w:tcPr>
            <w:tcW w:w="720" w:type="dxa"/>
            <w:shd w:val="clear" w:color="auto" w:fill="FFFFFF"/>
            <w:vAlign w:val="center"/>
          </w:tcPr>
          <w:p w:rsidR="00CE67B9" w:rsidRDefault="00CE67B9" w:rsidP="00CE67B9">
            <w:pPr>
              <w:spacing w:line="180" w:lineRule="exact"/>
              <w:contextualSpacing/>
              <w:rPr>
                <w:rFonts w:eastAsia="Calibri"/>
                <w:color w:val="000000"/>
                <w:sz w:val="18"/>
                <w:szCs w:val="18"/>
              </w:rPr>
            </w:pPr>
            <w:r w:rsidRPr="00213561">
              <w:rPr>
                <w:rFonts w:eastAsia="Calibri"/>
                <w:color w:val="000000"/>
                <w:sz w:val="18"/>
                <w:szCs w:val="18"/>
              </w:rPr>
              <w:t>20%</w:t>
            </w:r>
          </w:p>
        </w:tc>
        <w:tc>
          <w:tcPr>
            <w:tcW w:w="972" w:type="dxa"/>
            <w:shd w:val="clear" w:color="auto" w:fill="FFFFFF"/>
            <w:vAlign w:val="center"/>
          </w:tcPr>
          <w:p w:rsidR="00CE67B9" w:rsidRPr="000B29DD" w:rsidRDefault="00CE67B9" w:rsidP="00CE67B9">
            <w:pPr>
              <w:spacing w:line="180" w:lineRule="exact"/>
              <w:contextualSpacing/>
              <w:rPr>
                <w:rFonts w:eastAsia="Calibri"/>
                <w:color w:val="000000"/>
                <w:sz w:val="18"/>
                <w:szCs w:val="18"/>
              </w:rPr>
            </w:pPr>
            <w:r w:rsidRPr="000B29DD">
              <w:rPr>
                <w:rFonts w:eastAsia="Calibri"/>
                <w:color w:val="000000"/>
                <w:sz w:val="18"/>
                <w:szCs w:val="18"/>
              </w:rPr>
              <w:t>20090406</w:t>
            </w:r>
          </w:p>
        </w:tc>
      </w:tr>
      <w:tr w:rsidR="00CE67B9" w:rsidRPr="00C66E28" w:rsidTr="00CE67B9">
        <w:trPr>
          <w:trHeight w:val="287"/>
          <w:jc w:val="center"/>
        </w:trPr>
        <w:tc>
          <w:tcPr>
            <w:tcW w:w="2718" w:type="dxa"/>
            <w:vMerge/>
            <w:tcBorders>
              <w:right w:val="single" w:sz="4" w:space="0" w:color="auto"/>
            </w:tcBorders>
            <w:shd w:val="clear" w:color="auto" w:fill="FFFFFF"/>
            <w:vAlign w:val="center"/>
          </w:tcPr>
          <w:p w:rsidR="00CE67B9" w:rsidRPr="00A60E8D" w:rsidRDefault="00CE67B9" w:rsidP="00CE67B9">
            <w:pPr>
              <w:spacing w:line="180" w:lineRule="exact"/>
              <w:contextualSpacing/>
              <w:jc w:val="left"/>
              <w:rPr>
                <w:rFonts w:eastAsia="Calibri"/>
                <w:color w:val="000000"/>
                <w:sz w:val="18"/>
                <w:szCs w:val="18"/>
              </w:rPr>
            </w:pPr>
          </w:p>
        </w:tc>
        <w:tc>
          <w:tcPr>
            <w:tcW w:w="1350" w:type="dxa"/>
            <w:gridSpan w:val="2"/>
            <w:vMerge/>
            <w:tcBorders>
              <w:left w:val="single" w:sz="4" w:space="0" w:color="auto"/>
              <w:right w:val="thinThickThinSmallGap" w:sz="24" w:space="0" w:color="auto"/>
            </w:tcBorders>
            <w:shd w:val="clear" w:color="auto" w:fill="FFFFFF"/>
            <w:vAlign w:val="center"/>
          </w:tcPr>
          <w:p w:rsidR="00CE67B9" w:rsidRDefault="00CE67B9" w:rsidP="00CE67B9">
            <w:pPr>
              <w:spacing w:line="180" w:lineRule="exact"/>
              <w:rPr>
                <w:rFonts w:eastAsia="Calibri"/>
                <w:color w:val="000000"/>
                <w:sz w:val="18"/>
                <w:szCs w:val="18"/>
              </w:rPr>
            </w:pPr>
          </w:p>
        </w:tc>
        <w:tc>
          <w:tcPr>
            <w:tcW w:w="2610" w:type="dxa"/>
            <w:tcBorders>
              <w:left w:val="thinThickThinSmallGap" w:sz="24" w:space="0" w:color="auto"/>
            </w:tcBorders>
            <w:shd w:val="clear" w:color="auto" w:fill="FFFFFF"/>
            <w:vAlign w:val="center"/>
          </w:tcPr>
          <w:p w:rsidR="00CE67B9" w:rsidRDefault="00CE67B9" w:rsidP="00CE67B9">
            <w:pPr>
              <w:spacing w:line="180" w:lineRule="exact"/>
              <w:contextualSpacing/>
              <w:jc w:val="left"/>
              <w:rPr>
                <w:rFonts w:eastAsia="Calibri"/>
                <w:color w:val="000000"/>
                <w:sz w:val="18"/>
                <w:szCs w:val="18"/>
              </w:rPr>
            </w:pPr>
            <w:r>
              <w:rPr>
                <w:rFonts w:eastAsia="Calibri"/>
                <w:color w:val="000000"/>
                <w:sz w:val="18"/>
                <w:szCs w:val="18"/>
              </w:rPr>
              <w:t>Left Ankle Condition</w:t>
            </w:r>
          </w:p>
        </w:tc>
        <w:tc>
          <w:tcPr>
            <w:tcW w:w="1080" w:type="dxa"/>
            <w:shd w:val="clear" w:color="auto" w:fill="FFFFFF"/>
            <w:vAlign w:val="center"/>
          </w:tcPr>
          <w:p w:rsidR="00CE67B9" w:rsidRPr="004E3282" w:rsidRDefault="00CE67B9" w:rsidP="00CE67B9">
            <w:pPr>
              <w:spacing w:line="180" w:lineRule="exact"/>
              <w:contextualSpacing/>
              <w:rPr>
                <w:rFonts w:eastAsia="Calibri"/>
                <w:color w:val="000000"/>
                <w:sz w:val="18"/>
                <w:szCs w:val="18"/>
              </w:rPr>
            </w:pPr>
            <w:r>
              <w:rPr>
                <w:rFonts w:eastAsia="Calibri"/>
                <w:color w:val="000000"/>
                <w:sz w:val="18"/>
                <w:szCs w:val="18"/>
              </w:rPr>
              <w:t>5271</w:t>
            </w:r>
          </w:p>
        </w:tc>
        <w:tc>
          <w:tcPr>
            <w:tcW w:w="720" w:type="dxa"/>
            <w:shd w:val="clear" w:color="auto" w:fill="FFFFFF"/>
            <w:vAlign w:val="center"/>
          </w:tcPr>
          <w:p w:rsidR="00CE67B9" w:rsidRDefault="00CE67B9" w:rsidP="00CE67B9">
            <w:pPr>
              <w:spacing w:line="180" w:lineRule="exact"/>
              <w:contextualSpacing/>
              <w:rPr>
                <w:rFonts w:eastAsia="Calibri"/>
                <w:color w:val="000000"/>
                <w:sz w:val="18"/>
                <w:szCs w:val="18"/>
              </w:rPr>
            </w:pPr>
            <w:r>
              <w:rPr>
                <w:rFonts w:eastAsia="Calibri"/>
                <w:color w:val="000000"/>
                <w:sz w:val="18"/>
                <w:szCs w:val="18"/>
              </w:rPr>
              <w:t>NSC</w:t>
            </w:r>
          </w:p>
        </w:tc>
        <w:tc>
          <w:tcPr>
            <w:tcW w:w="972" w:type="dxa"/>
            <w:shd w:val="clear" w:color="auto" w:fill="FFFFFF"/>
            <w:vAlign w:val="center"/>
          </w:tcPr>
          <w:p w:rsidR="00CE67B9" w:rsidRPr="000B29DD" w:rsidRDefault="00CE67B9" w:rsidP="00CE67B9">
            <w:pPr>
              <w:spacing w:line="180" w:lineRule="exact"/>
              <w:contextualSpacing/>
              <w:rPr>
                <w:rFonts w:eastAsia="Calibri"/>
                <w:color w:val="000000"/>
                <w:sz w:val="18"/>
                <w:szCs w:val="18"/>
              </w:rPr>
            </w:pPr>
            <w:r w:rsidRPr="000B29DD">
              <w:rPr>
                <w:rFonts w:eastAsia="Calibri"/>
                <w:color w:val="000000"/>
                <w:sz w:val="18"/>
                <w:szCs w:val="18"/>
              </w:rPr>
              <w:t>20090121</w:t>
            </w:r>
          </w:p>
        </w:tc>
      </w:tr>
      <w:tr w:rsidR="00CE67B9" w:rsidRPr="00C66E28" w:rsidTr="00CE67B9">
        <w:trPr>
          <w:trHeight w:val="287"/>
          <w:jc w:val="center"/>
        </w:trPr>
        <w:tc>
          <w:tcPr>
            <w:tcW w:w="2718" w:type="dxa"/>
            <w:vMerge/>
            <w:tcBorders>
              <w:bottom w:val="single" w:sz="4" w:space="0" w:color="000000"/>
              <w:right w:val="single" w:sz="4" w:space="0" w:color="auto"/>
            </w:tcBorders>
            <w:shd w:val="clear" w:color="auto" w:fill="FFFFFF"/>
            <w:vAlign w:val="center"/>
          </w:tcPr>
          <w:p w:rsidR="00CE67B9" w:rsidRPr="00A60E8D" w:rsidRDefault="00CE67B9" w:rsidP="00CE67B9">
            <w:pPr>
              <w:spacing w:line="180" w:lineRule="exact"/>
              <w:contextualSpacing/>
              <w:jc w:val="left"/>
              <w:rPr>
                <w:rFonts w:eastAsia="Calibri"/>
                <w:color w:val="000000"/>
                <w:sz w:val="18"/>
                <w:szCs w:val="18"/>
              </w:rPr>
            </w:pPr>
          </w:p>
        </w:tc>
        <w:tc>
          <w:tcPr>
            <w:tcW w:w="1350" w:type="dxa"/>
            <w:gridSpan w:val="2"/>
            <w:vMerge/>
            <w:tcBorders>
              <w:left w:val="single" w:sz="4" w:space="0" w:color="auto"/>
              <w:bottom w:val="single" w:sz="4" w:space="0" w:color="000000"/>
              <w:right w:val="thinThickThinSmallGap" w:sz="24" w:space="0" w:color="auto"/>
            </w:tcBorders>
            <w:shd w:val="clear" w:color="auto" w:fill="FFFFFF"/>
            <w:vAlign w:val="center"/>
          </w:tcPr>
          <w:p w:rsidR="00CE67B9" w:rsidRDefault="00CE67B9" w:rsidP="00CE67B9">
            <w:pPr>
              <w:spacing w:line="180" w:lineRule="exact"/>
              <w:rPr>
                <w:rFonts w:eastAsia="Calibri"/>
                <w:color w:val="000000"/>
                <w:sz w:val="18"/>
                <w:szCs w:val="18"/>
              </w:rPr>
            </w:pPr>
          </w:p>
        </w:tc>
        <w:tc>
          <w:tcPr>
            <w:tcW w:w="2610" w:type="dxa"/>
            <w:tcBorders>
              <w:left w:val="thinThickThinSmallGap" w:sz="24" w:space="0" w:color="auto"/>
            </w:tcBorders>
            <w:shd w:val="clear" w:color="auto" w:fill="FFFFFF"/>
            <w:vAlign w:val="center"/>
          </w:tcPr>
          <w:p w:rsidR="00CE67B9" w:rsidRDefault="00CE67B9" w:rsidP="00CE67B9">
            <w:pPr>
              <w:spacing w:line="180" w:lineRule="exact"/>
              <w:contextualSpacing/>
              <w:jc w:val="left"/>
              <w:rPr>
                <w:rFonts w:eastAsia="Calibri"/>
                <w:color w:val="000000"/>
                <w:sz w:val="18"/>
                <w:szCs w:val="18"/>
              </w:rPr>
            </w:pPr>
            <w:r>
              <w:rPr>
                <w:rFonts w:eastAsia="Calibri"/>
                <w:color w:val="000000"/>
                <w:sz w:val="18"/>
                <w:szCs w:val="18"/>
              </w:rPr>
              <w:t>Right Ankle Condition</w:t>
            </w:r>
          </w:p>
        </w:tc>
        <w:tc>
          <w:tcPr>
            <w:tcW w:w="1080" w:type="dxa"/>
            <w:shd w:val="clear" w:color="auto" w:fill="FFFFFF"/>
            <w:vAlign w:val="center"/>
          </w:tcPr>
          <w:p w:rsidR="00CE67B9" w:rsidRPr="004E3282" w:rsidRDefault="00CE67B9" w:rsidP="00CE67B9">
            <w:pPr>
              <w:spacing w:line="180" w:lineRule="exact"/>
              <w:contextualSpacing/>
              <w:rPr>
                <w:rFonts w:eastAsia="Calibri"/>
                <w:color w:val="000000"/>
                <w:sz w:val="18"/>
                <w:szCs w:val="18"/>
              </w:rPr>
            </w:pPr>
            <w:r>
              <w:rPr>
                <w:rFonts w:eastAsia="Calibri"/>
                <w:color w:val="000000"/>
                <w:sz w:val="18"/>
                <w:szCs w:val="18"/>
              </w:rPr>
              <w:t>5271</w:t>
            </w:r>
          </w:p>
        </w:tc>
        <w:tc>
          <w:tcPr>
            <w:tcW w:w="720" w:type="dxa"/>
            <w:shd w:val="clear" w:color="auto" w:fill="FFFFFF"/>
            <w:vAlign w:val="center"/>
          </w:tcPr>
          <w:p w:rsidR="00CE67B9" w:rsidRDefault="00CE67B9" w:rsidP="00CE67B9">
            <w:pPr>
              <w:spacing w:line="180" w:lineRule="exact"/>
              <w:contextualSpacing/>
              <w:rPr>
                <w:rFonts w:eastAsia="Calibri"/>
                <w:color w:val="000000"/>
                <w:sz w:val="18"/>
                <w:szCs w:val="18"/>
              </w:rPr>
            </w:pPr>
            <w:r>
              <w:rPr>
                <w:rFonts w:eastAsia="Calibri"/>
                <w:color w:val="000000"/>
                <w:sz w:val="18"/>
                <w:szCs w:val="18"/>
              </w:rPr>
              <w:t>NSC</w:t>
            </w:r>
          </w:p>
        </w:tc>
        <w:tc>
          <w:tcPr>
            <w:tcW w:w="972" w:type="dxa"/>
            <w:shd w:val="clear" w:color="auto" w:fill="FFFFFF"/>
            <w:vAlign w:val="center"/>
          </w:tcPr>
          <w:p w:rsidR="00CE67B9" w:rsidRPr="000B29DD" w:rsidRDefault="00CE67B9" w:rsidP="00CE67B9">
            <w:pPr>
              <w:spacing w:line="180" w:lineRule="exact"/>
              <w:contextualSpacing/>
              <w:rPr>
                <w:rFonts w:eastAsia="Calibri"/>
                <w:color w:val="000000"/>
                <w:sz w:val="18"/>
                <w:szCs w:val="18"/>
              </w:rPr>
            </w:pPr>
            <w:r w:rsidRPr="000B29DD">
              <w:rPr>
                <w:rFonts w:eastAsia="Calibri"/>
                <w:color w:val="000000"/>
                <w:sz w:val="18"/>
                <w:szCs w:val="18"/>
              </w:rPr>
              <w:t>20090121</w:t>
            </w:r>
          </w:p>
        </w:tc>
      </w:tr>
      <w:tr w:rsidR="00CE67B9" w:rsidRPr="00C66E28" w:rsidTr="00CE67B9">
        <w:trPr>
          <w:trHeight w:val="287"/>
          <w:jc w:val="center"/>
        </w:trPr>
        <w:tc>
          <w:tcPr>
            <w:tcW w:w="2718" w:type="dxa"/>
            <w:tcBorders>
              <w:right w:val="single" w:sz="4" w:space="0" w:color="000000"/>
            </w:tcBorders>
            <w:shd w:val="clear" w:color="auto" w:fill="FFFFFF"/>
            <w:vAlign w:val="center"/>
          </w:tcPr>
          <w:p w:rsidR="00CE67B9" w:rsidRPr="00C66E28" w:rsidRDefault="00CE67B9" w:rsidP="00CE67B9">
            <w:pPr>
              <w:spacing w:line="180" w:lineRule="exact"/>
              <w:contextualSpacing/>
              <w:rPr>
                <w:rFonts w:eastAsia="Calibri"/>
                <w:color w:val="000000"/>
                <w:sz w:val="18"/>
                <w:szCs w:val="18"/>
              </w:rPr>
            </w:pPr>
            <w:r>
              <w:rPr>
                <w:rFonts w:eastAsia="Calibri"/>
                <w:color w:val="000000"/>
                <w:sz w:val="18"/>
                <w:szCs w:val="18"/>
              </w:rPr>
              <w:t>Gastroesophageal Reflux Disease</w:t>
            </w:r>
          </w:p>
        </w:tc>
        <w:tc>
          <w:tcPr>
            <w:tcW w:w="1350" w:type="dxa"/>
            <w:gridSpan w:val="2"/>
            <w:tcBorders>
              <w:left w:val="single" w:sz="4" w:space="0" w:color="000000"/>
              <w:right w:val="thinThickThinSmallGap" w:sz="24" w:space="0" w:color="auto"/>
            </w:tcBorders>
            <w:shd w:val="clear" w:color="auto" w:fill="FFFFFF"/>
            <w:vAlign w:val="center"/>
          </w:tcPr>
          <w:p w:rsidR="00CE67B9" w:rsidRPr="00C66E28" w:rsidRDefault="00CE67B9" w:rsidP="00CE67B9">
            <w:pPr>
              <w:spacing w:line="180" w:lineRule="exact"/>
              <w:contextualSpacing/>
              <w:rPr>
                <w:rFonts w:eastAsia="Calibri"/>
                <w:color w:val="000000"/>
                <w:sz w:val="18"/>
                <w:szCs w:val="18"/>
              </w:rPr>
            </w:pPr>
            <w:r>
              <w:rPr>
                <w:rFonts w:eastAsia="Calibri"/>
                <w:color w:val="000000"/>
                <w:sz w:val="18"/>
                <w:szCs w:val="18"/>
              </w:rPr>
              <w:t>Not Unfitting</w:t>
            </w:r>
          </w:p>
        </w:tc>
        <w:tc>
          <w:tcPr>
            <w:tcW w:w="2610" w:type="dxa"/>
            <w:tcBorders>
              <w:left w:val="thinThickThinSmallGap" w:sz="24" w:space="0" w:color="auto"/>
              <w:right w:val="single" w:sz="4" w:space="0" w:color="auto"/>
            </w:tcBorders>
            <w:shd w:val="clear" w:color="auto" w:fill="FFFFFF"/>
            <w:vAlign w:val="center"/>
          </w:tcPr>
          <w:p w:rsidR="00CE67B9" w:rsidRPr="00A60E8D" w:rsidRDefault="00CE67B9" w:rsidP="00CE67B9">
            <w:pPr>
              <w:spacing w:line="180" w:lineRule="exact"/>
              <w:contextualSpacing/>
              <w:jc w:val="left"/>
              <w:rPr>
                <w:color w:val="000000"/>
                <w:sz w:val="18"/>
                <w:szCs w:val="18"/>
              </w:rPr>
            </w:pPr>
            <w:r>
              <w:rPr>
                <w:rFonts w:eastAsia="Calibri"/>
                <w:color w:val="000000"/>
                <w:sz w:val="18"/>
                <w:szCs w:val="18"/>
              </w:rPr>
              <w:t>Gastroesophageal Reflux Disease (GERD)</w:t>
            </w:r>
          </w:p>
        </w:tc>
        <w:tc>
          <w:tcPr>
            <w:tcW w:w="1080" w:type="dxa"/>
            <w:tcBorders>
              <w:left w:val="single" w:sz="4" w:space="0" w:color="auto"/>
            </w:tcBorders>
            <w:shd w:val="clear" w:color="auto" w:fill="FFFFFF"/>
            <w:vAlign w:val="center"/>
          </w:tcPr>
          <w:p w:rsidR="00CE67B9" w:rsidRPr="00A60E8D" w:rsidRDefault="00CE67B9" w:rsidP="00CE67B9">
            <w:pPr>
              <w:spacing w:line="180" w:lineRule="exact"/>
              <w:contextualSpacing/>
              <w:rPr>
                <w:color w:val="000000"/>
                <w:sz w:val="18"/>
                <w:szCs w:val="18"/>
              </w:rPr>
            </w:pPr>
            <w:r>
              <w:rPr>
                <w:color w:val="000000"/>
                <w:sz w:val="18"/>
                <w:szCs w:val="18"/>
              </w:rPr>
              <w:t>7399-7346</w:t>
            </w:r>
          </w:p>
        </w:tc>
        <w:tc>
          <w:tcPr>
            <w:tcW w:w="720" w:type="dxa"/>
            <w:shd w:val="clear" w:color="auto" w:fill="FFFFFF"/>
            <w:vAlign w:val="center"/>
          </w:tcPr>
          <w:p w:rsidR="00CE67B9" w:rsidRPr="00A60E8D" w:rsidRDefault="00CE67B9" w:rsidP="00CE67B9">
            <w:pPr>
              <w:spacing w:line="180" w:lineRule="exact"/>
              <w:contextualSpacing/>
              <w:rPr>
                <w:color w:val="000000"/>
                <w:sz w:val="18"/>
                <w:szCs w:val="18"/>
              </w:rPr>
            </w:pPr>
            <w:r>
              <w:rPr>
                <w:color w:val="000000"/>
                <w:sz w:val="18"/>
                <w:szCs w:val="18"/>
              </w:rPr>
              <w:t>0%</w:t>
            </w:r>
          </w:p>
        </w:tc>
        <w:tc>
          <w:tcPr>
            <w:tcW w:w="972" w:type="dxa"/>
            <w:shd w:val="clear" w:color="auto" w:fill="FFFFFF"/>
            <w:vAlign w:val="center"/>
          </w:tcPr>
          <w:p w:rsidR="00CE67B9" w:rsidRPr="000B29DD" w:rsidRDefault="00CE67B9" w:rsidP="00CE67B9">
            <w:pPr>
              <w:spacing w:line="180" w:lineRule="exact"/>
              <w:contextualSpacing/>
              <w:rPr>
                <w:rFonts w:eastAsia="Calibri"/>
                <w:color w:val="000000"/>
                <w:sz w:val="18"/>
                <w:szCs w:val="18"/>
              </w:rPr>
            </w:pPr>
            <w:r w:rsidRPr="000B29DD">
              <w:rPr>
                <w:rFonts w:eastAsia="Calibri"/>
                <w:color w:val="000000"/>
                <w:sz w:val="18"/>
                <w:szCs w:val="18"/>
              </w:rPr>
              <w:t>20090121</w:t>
            </w:r>
          </w:p>
        </w:tc>
      </w:tr>
      <w:tr w:rsidR="00CE67B9" w:rsidRPr="00C66E28" w:rsidTr="00CE67B9">
        <w:trPr>
          <w:trHeight w:val="287"/>
          <w:jc w:val="center"/>
        </w:trPr>
        <w:tc>
          <w:tcPr>
            <w:tcW w:w="4068" w:type="dxa"/>
            <w:gridSpan w:val="3"/>
            <w:vMerge w:val="restart"/>
            <w:tcBorders>
              <w:right w:val="thinThickThinSmallGap" w:sz="24" w:space="0" w:color="auto"/>
            </w:tcBorders>
            <w:shd w:val="clear" w:color="auto" w:fill="FFFFFF"/>
            <w:vAlign w:val="center"/>
          </w:tcPr>
          <w:p w:rsidR="00CE67B9" w:rsidRPr="00C66E28" w:rsidRDefault="00CE67B9" w:rsidP="00CE67B9">
            <w:pPr>
              <w:spacing w:line="180" w:lineRule="exact"/>
              <w:contextualSpacing/>
              <w:rPr>
                <w:color w:val="000000"/>
                <w:sz w:val="18"/>
                <w:szCs w:val="18"/>
              </w:rPr>
            </w:pPr>
            <w:r w:rsidRPr="00C66E28">
              <w:rPr>
                <w:rFonts w:eastAsia="Calibri"/>
                <w:color w:val="000000"/>
                <w:sz w:val="18"/>
                <w:szCs w:val="18"/>
              </w:rPr>
              <w:t>↓No Additional MEB/PEB Entries↓</w:t>
            </w:r>
          </w:p>
        </w:tc>
        <w:tc>
          <w:tcPr>
            <w:tcW w:w="2610" w:type="dxa"/>
            <w:tcBorders>
              <w:left w:val="thinThickThinSmallGap" w:sz="24" w:space="0" w:color="auto"/>
              <w:right w:val="single" w:sz="4" w:space="0" w:color="auto"/>
            </w:tcBorders>
            <w:shd w:val="clear" w:color="auto" w:fill="FFFFFF"/>
            <w:vAlign w:val="center"/>
          </w:tcPr>
          <w:p w:rsidR="00CE67B9" w:rsidRPr="00C66E28" w:rsidRDefault="00CE67B9" w:rsidP="00CE67B9">
            <w:pPr>
              <w:spacing w:line="180" w:lineRule="exact"/>
              <w:contextualSpacing/>
              <w:jc w:val="left"/>
              <w:rPr>
                <w:color w:val="000000"/>
                <w:sz w:val="18"/>
                <w:szCs w:val="18"/>
              </w:rPr>
            </w:pPr>
            <w:r w:rsidRPr="00A60E8D">
              <w:rPr>
                <w:color w:val="000000"/>
                <w:sz w:val="18"/>
                <w:szCs w:val="18"/>
              </w:rPr>
              <w:t>Obstructive Sleep Apnea</w:t>
            </w:r>
          </w:p>
        </w:tc>
        <w:tc>
          <w:tcPr>
            <w:tcW w:w="1080" w:type="dxa"/>
            <w:tcBorders>
              <w:left w:val="single" w:sz="4" w:space="0" w:color="auto"/>
            </w:tcBorders>
            <w:shd w:val="clear" w:color="auto" w:fill="FFFFFF"/>
            <w:vAlign w:val="center"/>
          </w:tcPr>
          <w:p w:rsidR="00CE67B9" w:rsidRPr="00C66E28" w:rsidRDefault="00CE67B9" w:rsidP="00CE67B9">
            <w:pPr>
              <w:spacing w:line="180" w:lineRule="exact"/>
              <w:contextualSpacing/>
              <w:rPr>
                <w:color w:val="000000"/>
                <w:sz w:val="18"/>
                <w:szCs w:val="18"/>
              </w:rPr>
            </w:pPr>
            <w:r w:rsidRPr="00A60E8D">
              <w:rPr>
                <w:color w:val="000000"/>
                <w:sz w:val="18"/>
                <w:szCs w:val="18"/>
              </w:rPr>
              <w:t>6847</w:t>
            </w:r>
          </w:p>
        </w:tc>
        <w:tc>
          <w:tcPr>
            <w:tcW w:w="720" w:type="dxa"/>
            <w:shd w:val="clear" w:color="auto" w:fill="FFFFFF"/>
            <w:vAlign w:val="center"/>
          </w:tcPr>
          <w:p w:rsidR="00CE67B9" w:rsidRPr="00C66E28" w:rsidRDefault="00CE67B9" w:rsidP="00CE67B9">
            <w:pPr>
              <w:spacing w:line="180" w:lineRule="exact"/>
              <w:contextualSpacing/>
              <w:rPr>
                <w:color w:val="000000"/>
                <w:sz w:val="18"/>
                <w:szCs w:val="18"/>
              </w:rPr>
            </w:pPr>
            <w:r w:rsidRPr="00A60E8D">
              <w:rPr>
                <w:color w:val="000000"/>
                <w:sz w:val="18"/>
                <w:szCs w:val="18"/>
              </w:rPr>
              <w:t>50%</w:t>
            </w:r>
          </w:p>
        </w:tc>
        <w:tc>
          <w:tcPr>
            <w:tcW w:w="972" w:type="dxa"/>
            <w:shd w:val="clear" w:color="auto" w:fill="FFFFFF"/>
            <w:vAlign w:val="center"/>
          </w:tcPr>
          <w:p w:rsidR="00CE67B9" w:rsidRPr="000B29DD" w:rsidRDefault="00CE67B9" w:rsidP="00CE67B9">
            <w:pPr>
              <w:spacing w:line="180" w:lineRule="exact"/>
              <w:contextualSpacing/>
              <w:rPr>
                <w:color w:val="000000"/>
                <w:sz w:val="18"/>
                <w:szCs w:val="18"/>
              </w:rPr>
            </w:pPr>
            <w:r w:rsidRPr="000B29DD">
              <w:rPr>
                <w:rFonts w:eastAsia="Calibri"/>
                <w:color w:val="000000"/>
                <w:sz w:val="18"/>
                <w:szCs w:val="18"/>
              </w:rPr>
              <w:t>20090121</w:t>
            </w:r>
          </w:p>
        </w:tc>
      </w:tr>
      <w:tr w:rsidR="00CE67B9" w:rsidRPr="00C66E28" w:rsidTr="00CE67B9">
        <w:trPr>
          <w:trHeight w:val="287"/>
          <w:jc w:val="center"/>
        </w:trPr>
        <w:tc>
          <w:tcPr>
            <w:tcW w:w="4068" w:type="dxa"/>
            <w:gridSpan w:val="3"/>
            <w:vMerge/>
            <w:tcBorders>
              <w:right w:val="thinThickThinSmallGap" w:sz="24" w:space="0" w:color="auto"/>
            </w:tcBorders>
            <w:shd w:val="clear" w:color="auto" w:fill="FFFFFF"/>
            <w:vAlign w:val="center"/>
          </w:tcPr>
          <w:p w:rsidR="00CE67B9" w:rsidRPr="00C66E28" w:rsidRDefault="00CE67B9" w:rsidP="00CE67B9">
            <w:pPr>
              <w:spacing w:line="180" w:lineRule="exact"/>
              <w:contextualSpacing/>
              <w:rPr>
                <w:color w:val="000000"/>
                <w:sz w:val="18"/>
                <w:szCs w:val="18"/>
                <w:highlight w:val="yellow"/>
              </w:rPr>
            </w:pPr>
          </w:p>
        </w:tc>
        <w:tc>
          <w:tcPr>
            <w:tcW w:w="2610" w:type="dxa"/>
            <w:tcBorders>
              <w:left w:val="thinThickThinSmallGap" w:sz="24" w:space="0" w:color="auto"/>
              <w:right w:val="single" w:sz="4" w:space="0" w:color="auto"/>
            </w:tcBorders>
            <w:shd w:val="clear" w:color="auto" w:fill="FFFFFF"/>
            <w:vAlign w:val="center"/>
          </w:tcPr>
          <w:p w:rsidR="00CE67B9" w:rsidRPr="00C66E28" w:rsidRDefault="00CE67B9" w:rsidP="00CE67B9">
            <w:pPr>
              <w:spacing w:line="180" w:lineRule="exact"/>
              <w:contextualSpacing/>
              <w:jc w:val="left"/>
              <w:rPr>
                <w:color w:val="000000"/>
                <w:sz w:val="18"/>
                <w:szCs w:val="18"/>
              </w:rPr>
            </w:pPr>
            <w:r w:rsidRPr="009707C4">
              <w:rPr>
                <w:color w:val="000000"/>
                <w:sz w:val="18"/>
                <w:szCs w:val="18"/>
              </w:rPr>
              <w:t>Stress Headaches</w:t>
            </w:r>
          </w:p>
        </w:tc>
        <w:tc>
          <w:tcPr>
            <w:tcW w:w="1080" w:type="dxa"/>
            <w:tcBorders>
              <w:left w:val="single" w:sz="4" w:space="0" w:color="auto"/>
            </w:tcBorders>
            <w:shd w:val="clear" w:color="auto" w:fill="FFFFFF"/>
            <w:vAlign w:val="center"/>
          </w:tcPr>
          <w:p w:rsidR="00CE67B9" w:rsidRPr="00C66E28" w:rsidRDefault="00CE67B9" w:rsidP="00CE67B9">
            <w:pPr>
              <w:spacing w:line="180" w:lineRule="exact"/>
              <w:contextualSpacing/>
              <w:rPr>
                <w:color w:val="000000"/>
                <w:sz w:val="18"/>
                <w:szCs w:val="18"/>
              </w:rPr>
            </w:pPr>
            <w:r w:rsidRPr="009707C4">
              <w:rPr>
                <w:color w:val="000000"/>
                <w:sz w:val="18"/>
                <w:szCs w:val="18"/>
              </w:rPr>
              <w:t>8199-8100</w:t>
            </w:r>
          </w:p>
        </w:tc>
        <w:tc>
          <w:tcPr>
            <w:tcW w:w="720" w:type="dxa"/>
            <w:shd w:val="clear" w:color="auto" w:fill="FFFFFF"/>
            <w:vAlign w:val="center"/>
          </w:tcPr>
          <w:p w:rsidR="00CE67B9" w:rsidRPr="00C66E28" w:rsidRDefault="00CE67B9" w:rsidP="00CE67B9">
            <w:pPr>
              <w:spacing w:line="180" w:lineRule="exact"/>
              <w:contextualSpacing/>
              <w:rPr>
                <w:color w:val="000000"/>
                <w:sz w:val="18"/>
                <w:szCs w:val="18"/>
              </w:rPr>
            </w:pPr>
            <w:r w:rsidRPr="009707C4">
              <w:rPr>
                <w:color w:val="000000"/>
                <w:sz w:val="18"/>
                <w:szCs w:val="18"/>
              </w:rPr>
              <w:t>10%</w:t>
            </w:r>
          </w:p>
        </w:tc>
        <w:tc>
          <w:tcPr>
            <w:tcW w:w="972" w:type="dxa"/>
            <w:shd w:val="clear" w:color="auto" w:fill="FFFFFF"/>
            <w:vAlign w:val="center"/>
          </w:tcPr>
          <w:p w:rsidR="00CE67B9" w:rsidRPr="000B29DD" w:rsidRDefault="00CE67B9" w:rsidP="00CE67B9">
            <w:pPr>
              <w:spacing w:line="180" w:lineRule="exact"/>
              <w:contextualSpacing/>
              <w:rPr>
                <w:color w:val="000000"/>
                <w:sz w:val="18"/>
                <w:szCs w:val="18"/>
              </w:rPr>
            </w:pPr>
            <w:r w:rsidRPr="000B29DD">
              <w:rPr>
                <w:rFonts w:eastAsia="Calibri"/>
                <w:color w:val="000000"/>
                <w:sz w:val="18"/>
                <w:szCs w:val="18"/>
              </w:rPr>
              <w:t>20090121</w:t>
            </w:r>
          </w:p>
        </w:tc>
      </w:tr>
      <w:tr w:rsidR="00CE67B9" w:rsidRPr="00C66E28" w:rsidTr="00CE67B9">
        <w:trPr>
          <w:trHeight w:val="287"/>
          <w:jc w:val="center"/>
        </w:trPr>
        <w:tc>
          <w:tcPr>
            <w:tcW w:w="4068" w:type="dxa"/>
            <w:gridSpan w:val="3"/>
            <w:vMerge/>
            <w:tcBorders>
              <w:right w:val="thinThickThinSmallGap" w:sz="24" w:space="0" w:color="auto"/>
            </w:tcBorders>
            <w:shd w:val="clear" w:color="auto" w:fill="FFFFFF"/>
            <w:vAlign w:val="center"/>
          </w:tcPr>
          <w:p w:rsidR="00CE67B9" w:rsidRPr="00C66E28" w:rsidRDefault="00CE67B9" w:rsidP="00CE67B9">
            <w:pPr>
              <w:spacing w:line="180" w:lineRule="exact"/>
              <w:contextualSpacing/>
              <w:rPr>
                <w:color w:val="000000"/>
                <w:sz w:val="18"/>
                <w:szCs w:val="18"/>
                <w:highlight w:val="yellow"/>
              </w:rPr>
            </w:pPr>
          </w:p>
        </w:tc>
        <w:tc>
          <w:tcPr>
            <w:tcW w:w="2610" w:type="dxa"/>
            <w:tcBorders>
              <w:left w:val="thinThickThinSmallGap" w:sz="24" w:space="0" w:color="auto"/>
              <w:right w:val="single" w:sz="4" w:space="0" w:color="auto"/>
            </w:tcBorders>
            <w:shd w:val="clear" w:color="auto" w:fill="FFFFFF"/>
            <w:vAlign w:val="center"/>
          </w:tcPr>
          <w:p w:rsidR="00CE67B9" w:rsidRPr="009707C4" w:rsidRDefault="00CE67B9" w:rsidP="00CE67B9">
            <w:pPr>
              <w:spacing w:line="180" w:lineRule="exact"/>
              <w:contextualSpacing/>
              <w:jc w:val="left"/>
              <w:rPr>
                <w:color w:val="000000"/>
                <w:sz w:val="18"/>
                <w:szCs w:val="18"/>
              </w:rPr>
            </w:pPr>
            <w:r>
              <w:rPr>
                <w:color w:val="000000"/>
                <w:sz w:val="18"/>
                <w:szCs w:val="18"/>
              </w:rPr>
              <w:t>Ti</w:t>
            </w:r>
            <w:r w:rsidRPr="000A26E7">
              <w:rPr>
                <w:color w:val="000000"/>
                <w:sz w:val="18"/>
                <w:szCs w:val="18"/>
              </w:rPr>
              <w:t>nnitus</w:t>
            </w:r>
          </w:p>
        </w:tc>
        <w:tc>
          <w:tcPr>
            <w:tcW w:w="1080" w:type="dxa"/>
            <w:tcBorders>
              <w:left w:val="single" w:sz="4" w:space="0" w:color="auto"/>
            </w:tcBorders>
            <w:shd w:val="clear" w:color="auto" w:fill="FFFFFF"/>
            <w:vAlign w:val="center"/>
          </w:tcPr>
          <w:p w:rsidR="00CE67B9" w:rsidRPr="009707C4" w:rsidRDefault="00CE67B9" w:rsidP="00CE67B9">
            <w:pPr>
              <w:spacing w:line="180" w:lineRule="exact"/>
              <w:contextualSpacing/>
              <w:rPr>
                <w:color w:val="000000"/>
                <w:sz w:val="18"/>
                <w:szCs w:val="18"/>
              </w:rPr>
            </w:pPr>
            <w:r w:rsidRPr="000A26E7">
              <w:rPr>
                <w:color w:val="000000"/>
                <w:sz w:val="18"/>
                <w:szCs w:val="18"/>
              </w:rPr>
              <w:t>6260</w:t>
            </w:r>
          </w:p>
        </w:tc>
        <w:tc>
          <w:tcPr>
            <w:tcW w:w="720" w:type="dxa"/>
            <w:shd w:val="clear" w:color="auto" w:fill="FFFFFF"/>
            <w:vAlign w:val="center"/>
          </w:tcPr>
          <w:p w:rsidR="00CE67B9" w:rsidRPr="009707C4" w:rsidRDefault="00CE67B9" w:rsidP="00CE67B9">
            <w:pPr>
              <w:spacing w:line="180" w:lineRule="exact"/>
              <w:contextualSpacing/>
              <w:rPr>
                <w:color w:val="000000"/>
                <w:sz w:val="18"/>
                <w:szCs w:val="18"/>
              </w:rPr>
            </w:pPr>
            <w:r w:rsidRPr="000A26E7">
              <w:rPr>
                <w:color w:val="000000"/>
                <w:sz w:val="18"/>
                <w:szCs w:val="18"/>
              </w:rPr>
              <w:t>10%</w:t>
            </w:r>
          </w:p>
        </w:tc>
        <w:tc>
          <w:tcPr>
            <w:tcW w:w="972" w:type="dxa"/>
            <w:shd w:val="clear" w:color="auto" w:fill="FFFFFF"/>
            <w:vAlign w:val="center"/>
          </w:tcPr>
          <w:p w:rsidR="00CE67B9" w:rsidRPr="000B29DD" w:rsidRDefault="00CE67B9" w:rsidP="00CE67B9">
            <w:pPr>
              <w:spacing w:line="180" w:lineRule="exact"/>
              <w:contextualSpacing/>
              <w:rPr>
                <w:rFonts w:eastAsia="Calibri"/>
                <w:color w:val="000000"/>
                <w:sz w:val="18"/>
                <w:szCs w:val="18"/>
              </w:rPr>
            </w:pPr>
            <w:r w:rsidRPr="000B29DD">
              <w:rPr>
                <w:rFonts w:eastAsia="Calibri"/>
                <w:color w:val="000000"/>
                <w:sz w:val="18"/>
                <w:szCs w:val="18"/>
              </w:rPr>
              <w:t>20090121</w:t>
            </w:r>
          </w:p>
        </w:tc>
      </w:tr>
      <w:tr w:rsidR="00CE67B9" w:rsidRPr="00C66E28" w:rsidTr="00CE67B9">
        <w:trPr>
          <w:trHeight w:val="260"/>
          <w:jc w:val="center"/>
        </w:trPr>
        <w:tc>
          <w:tcPr>
            <w:tcW w:w="4068" w:type="dxa"/>
            <w:gridSpan w:val="3"/>
            <w:vMerge/>
            <w:tcBorders>
              <w:right w:val="thinThickThinSmallGap" w:sz="24" w:space="0" w:color="auto"/>
            </w:tcBorders>
            <w:shd w:val="clear" w:color="auto" w:fill="FFFFFF"/>
          </w:tcPr>
          <w:p w:rsidR="00CE67B9" w:rsidRPr="00C66E28" w:rsidRDefault="00CE67B9" w:rsidP="00CE67B9">
            <w:pPr>
              <w:spacing w:line="180" w:lineRule="exact"/>
              <w:contextualSpacing/>
              <w:rPr>
                <w:color w:val="000000"/>
                <w:sz w:val="18"/>
                <w:szCs w:val="18"/>
              </w:rPr>
            </w:pPr>
          </w:p>
        </w:tc>
        <w:tc>
          <w:tcPr>
            <w:tcW w:w="4410" w:type="dxa"/>
            <w:gridSpan w:val="3"/>
            <w:tcBorders>
              <w:left w:val="thinThickThinSmallGap" w:sz="24" w:space="0" w:color="auto"/>
            </w:tcBorders>
            <w:shd w:val="clear" w:color="auto" w:fill="FFFFFF"/>
            <w:vAlign w:val="center"/>
          </w:tcPr>
          <w:p w:rsidR="00CE67B9" w:rsidRPr="00C66E28" w:rsidRDefault="00CE67B9" w:rsidP="00CE67B9">
            <w:pPr>
              <w:spacing w:line="180" w:lineRule="exact"/>
              <w:contextualSpacing/>
              <w:rPr>
                <w:color w:val="000000"/>
                <w:sz w:val="18"/>
                <w:szCs w:val="18"/>
              </w:rPr>
            </w:pPr>
            <w:r w:rsidRPr="00C66E28">
              <w:rPr>
                <w:rFonts w:eastAsia="Calibri"/>
                <w:color w:val="000000"/>
                <w:sz w:val="18"/>
                <w:szCs w:val="18"/>
              </w:rPr>
              <w:t xml:space="preserve">Not Service Connected x </w:t>
            </w:r>
            <w:r>
              <w:rPr>
                <w:rFonts w:eastAsia="Calibri"/>
                <w:color w:val="000000"/>
                <w:sz w:val="18"/>
                <w:szCs w:val="18"/>
              </w:rPr>
              <w:t>2 others</w:t>
            </w:r>
          </w:p>
        </w:tc>
        <w:tc>
          <w:tcPr>
            <w:tcW w:w="972" w:type="dxa"/>
            <w:shd w:val="clear" w:color="auto" w:fill="FFFFFF"/>
            <w:vAlign w:val="center"/>
          </w:tcPr>
          <w:p w:rsidR="00CE67B9" w:rsidRPr="000B29DD" w:rsidRDefault="00CE67B9" w:rsidP="00CE67B9">
            <w:pPr>
              <w:spacing w:line="180" w:lineRule="exact"/>
              <w:contextualSpacing/>
              <w:rPr>
                <w:color w:val="000000"/>
                <w:sz w:val="18"/>
                <w:szCs w:val="18"/>
              </w:rPr>
            </w:pPr>
            <w:r w:rsidRPr="000B29DD">
              <w:rPr>
                <w:rFonts w:eastAsia="Calibri"/>
                <w:color w:val="000000"/>
                <w:sz w:val="18"/>
                <w:szCs w:val="18"/>
              </w:rPr>
              <w:t>20090121</w:t>
            </w:r>
          </w:p>
        </w:tc>
      </w:tr>
      <w:tr w:rsidR="00CE67B9" w:rsidRPr="00C66E28" w:rsidTr="00CE67B9">
        <w:trPr>
          <w:trHeight w:val="242"/>
          <w:jc w:val="center"/>
        </w:trPr>
        <w:tc>
          <w:tcPr>
            <w:tcW w:w="4068" w:type="dxa"/>
            <w:gridSpan w:val="3"/>
            <w:tcBorders>
              <w:right w:val="thinThickThinSmallGap" w:sz="24" w:space="0" w:color="auto"/>
            </w:tcBorders>
            <w:shd w:val="clear" w:color="auto" w:fill="D9D9D9"/>
            <w:vAlign w:val="center"/>
          </w:tcPr>
          <w:p w:rsidR="00CE67B9" w:rsidRPr="00C66E28" w:rsidRDefault="00CE67B9" w:rsidP="00CE67B9">
            <w:pPr>
              <w:contextualSpacing/>
              <w:rPr>
                <w:rFonts w:eastAsia="Calibri"/>
                <w:b/>
                <w:color w:val="000000"/>
                <w:sz w:val="18"/>
                <w:szCs w:val="18"/>
              </w:rPr>
            </w:pPr>
            <w:r w:rsidRPr="00C66E28">
              <w:rPr>
                <w:rFonts w:eastAsia="Calibri"/>
                <w:b/>
                <w:color w:val="000000"/>
                <w:sz w:val="18"/>
                <w:szCs w:val="18"/>
              </w:rPr>
              <w:t xml:space="preserve">Combined:  </w:t>
            </w:r>
            <w:r>
              <w:rPr>
                <w:rFonts w:eastAsia="Calibri"/>
                <w:b/>
                <w:color w:val="000000"/>
                <w:sz w:val="18"/>
                <w:szCs w:val="18"/>
              </w:rPr>
              <w:t>10</w:t>
            </w:r>
            <w:r w:rsidRPr="00C66E28">
              <w:rPr>
                <w:rFonts w:eastAsia="Calibri"/>
                <w:b/>
                <w:color w:val="000000"/>
                <w:sz w:val="18"/>
                <w:szCs w:val="18"/>
              </w:rPr>
              <w:t>%</w:t>
            </w:r>
          </w:p>
        </w:tc>
        <w:tc>
          <w:tcPr>
            <w:tcW w:w="5382" w:type="dxa"/>
            <w:gridSpan w:val="4"/>
            <w:tcBorders>
              <w:left w:val="thinThickThinSmallGap" w:sz="24" w:space="0" w:color="auto"/>
            </w:tcBorders>
            <w:shd w:val="clear" w:color="auto" w:fill="D9D9D9"/>
            <w:vAlign w:val="center"/>
          </w:tcPr>
          <w:p w:rsidR="00CE67B9" w:rsidRDefault="00CE67B9" w:rsidP="00CE67B9">
            <w:pPr>
              <w:contextualSpacing/>
              <w:rPr>
                <w:rFonts w:eastAsia="Calibri"/>
                <w:b/>
                <w:color w:val="000000"/>
                <w:sz w:val="18"/>
                <w:szCs w:val="18"/>
              </w:rPr>
            </w:pPr>
            <w:r w:rsidRPr="000B29DD">
              <w:rPr>
                <w:rFonts w:eastAsia="Calibri"/>
                <w:b/>
                <w:color w:val="000000"/>
                <w:sz w:val="18"/>
                <w:szCs w:val="18"/>
              </w:rPr>
              <w:t>Combined:  100%</w:t>
            </w:r>
          </w:p>
          <w:p w:rsidR="00CE67B9" w:rsidRPr="000B29DD" w:rsidRDefault="00CE67B9" w:rsidP="00CE67B9">
            <w:pPr>
              <w:contextualSpacing/>
              <w:rPr>
                <w:rFonts w:eastAsia="Calibri"/>
                <w:b/>
                <w:color w:val="000000"/>
                <w:sz w:val="18"/>
                <w:szCs w:val="18"/>
              </w:rPr>
            </w:pPr>
            <w:r>
              <w:rPr>
                <w:rFonts w:eastAsia="Calibri"/>
                <w:b/>
                <w:color w:val="000000"/>
                <w:sz w:val="18"/>
                <w:szCs w:val="18"/>
              </w:rPr>
              <w:t>Bilateral factor of 4.8% for 5260, 5260, 5257, 5257</w:t>
            </w:r>
          </w:p>
        </w:tc>
      </w:tr>
    </w:tbl>
    <w:p w:rsidR="00F90376" w:rsidRPr="00CE67B9" w:rsidRDefault="00CE67B9" w:rsidP="00F90376">
      <w:pPr>
        <w:pBdr>
          <w:bottom w:val="single" w:sz="12" w:space="1" w:color="auto"/>
        </w:pBdr>
        <w:tabs>
          <w:tab w:val="left" w:pos="288"/>
          <w:tab w:val="left" w:pos="4752"/>
        </w:tabs>
        <w:jc w:val="both"/>
        <w:rPr>
          <w:color w:val="auto"/>
          <w:sz w:val="18"/>
          <w:szCs w:val="18"/>
        </w:rPr>
      </w:pPr>
      <w:r w:rsidRPr="00CE67B9">
        <w:rPr>
          <w:color w:val="auto"/>
          <w:sz w:val="18"/>
          <w:szCs w:val="18"/>
        </w:rPr>
        <w:t>*</w:t>
      </w:r>
      <w:r>
        <w:rPr>
          <w:color w:val="auto"/>
          <w:sz w:val="18"/>
          <w:szCs w:val="18"/>
        </w:rPr>
        <w:t xml:space="preserve">Anxiety disorder 9413 </w:t>
      </w:r>
      <w:r w:rsidRPr="00CE67B9">
        <w:rPr>
          <w:color w:val="auto"/>
          <w:sz w:val="18"/>
          <w:szCs w:val="18"/>
        </w:rPr>
        <w:t>increased to 100% effective 20110601 and decreased to 70% effective 20110901.</w:t>
      </w:r>
    </w:p>
    <w:p w:rsidR="00CE67B9" w:rsidRPr="00F64312" w:rsidRDefault="00CE67B9" w:rsidP="00F90376">
      <w:pPr>
        <w:pBdr>
          <w:bottom w:val="single" w:sz="12" w:space="1" w:color="auto"/>
        </w:pBdr>
        <w:tabs>
          <w:tab w:val="left" w:pos="288"/>
          <w:tab w:val="left" w:pos="4752"/>
        </w:tabs>
        <w:jc w:val="both"/>
        <w:rPr>
          <w:color w:val="auto"/>
        </w:rPr>
      </w:pPr>
    </w:p>
    <w:p w:rsidR="00AD2379" w:rsidRPr="00F64312" w:rsidRDefault="00AD2379" w:rsidP="00165C7B">
      <w:pPr>
        <w:jc w:val="both"/>
        <w:rPr>
          <w:color w:val="auto"/>
        </w:rPr>
      </w:pPr>
    </w:p>
    <w:p w:rsidR="00396FF2" w:rsidRPr="00F64312" w:rsidRDefault="00AD2379" w:rsidP="00396FF2">
      <w:pPr>
        <w:jc w:val="both"/>
        <w:rPr>
          <w:color w:val="auto"/>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r w:rsidR="00396FF2" w:rsidRPr="00444205">
        <w:rPr>
          <w:color w:val="auto"/>
          <w:szCs w:val="24"/>
        </w:rPr>
        <w:t>The Board acknowledges the sentiment expressed in the CI’s application regarding the significant impairment with which his condition</w:t>
      </w:r>
      <w:r w:rsidR="007019F2">
        <w:rPr>
          <w:color w:val="auto"/>
          <w:szCs w:val="24"/>
        </w:rPr>
        <w:t>s</w:t>
      </w:r>
      <w:r w:rsidR="00396FF2" w:rsidRPr="00444205">
        <w:rPr>
          <w:color w:val="auto"/>
          <w:szCs w:val="24"/>
        </w:rPr>
        <w:t xml:space="preserve"> continues to burden him. </w:t>
      </w:r>
      <w:r w:rsidR="00396FF2">
        <w:rPr>
          <w:color w:val="auto"/>
          <w:szCs w:val="24"/>
        </w:rPr>
        <w:t xml:space="preserve"> </w:t>
      </w:r>
      <w:r w:rsidR="00396FF2" w:rsidRPr="00F15CF9">
        <w:rPr>
          <w:color w:val="auto"/>
        </w:rPr>
        <w:t xml:space="preserve">The Board acknowledges the CI’s contention that suggests ratings should have been conferred </w:t>
      </w:r>
      <w:r w:rsidR="00396FF2" w:rsidRPr="00C91FA7">
        <w:rPr>
          <w:color w:val="auto"/>
        </w:rPr>
        <w:t>for other conditions documented at the time of separation.  The Board wishes to clarify that it is subject to the same laws for service disability entitlements as those under which the Disability Evaluation System (DES) operates.  While the DES considers all of the member's medical conditions, compensation can only be offered for those medical conditions that cut short a member’s career, and then only to the degree of severity present at the time of final disposition.  However the Department of Veteran</w:t>
      </w:r>
      <w:r w:rsidR="007019F2">
        <w:rPr>
          <w:color w:val="auto"/>
        </w:rPr>
        <w:t>s’</w:t>
      </w:r>
      <w:r w:rsidR="00396FF2" w:rsidRPr="00C91FA7">
        <w:rPr>
          <w:color w:val="auto"/>
        </w:rPr>
        <w:t xml:space="preserve"> Affairs (DVA), operating under a different set of laws (Title 38, United States Code), is empowered to compensate all service</w:t>
      </w:r>
      <w:r w:rsidR="007019F2">
        <w:rPr>
          <w:color w:val="auto"/>
        </w:rPr>
        <w:t>-</w:t>
      </w:r>
      <w:r w:rsidR="00396FF2" w:rsidRPr="00C91FA7">
        <w:rPr>
          <w:color w:val="auto"/>
        </w:rPr>
        <w:t xml:space="preserve">connected conditions and to periodically reevaluate said conditions for the purpose of adjusting the </w:t>
      </w:r>
      <w:r w:rsidR="007019F2">
        <w:rPr>
          <w:color w:val="auto"/>
        </w:rPr>
        <w:t>V</w:t>
      </w:r>
      <w:r w:rsidR="00396FF2" w:rsidRPr="00C91FA7">
        <w:rPr>
          <w:color w:val="auto"/>
        </w:rPr>
        <w:t xml:space="preserve">eteran’s disability rating should </w:t>
      </w:r>
      <w:r w:rsidR="000467A3">
        <w:rPr>
          <w:color w:val="auto"/>
        </w:rPr>
        <w:t>the</w:t>
      </w:r>
      <w:r w:rsidR="00396FF2" w:rsidRPr="00C91FA7">
        <w:rPr>
          <w:color w:val="auto"/>
        </w:rPr>
        <w:t xml:space="preserve"> degree of impairment vary over time.  The Board utilizes </w:t>
      </w:r>
      <w:r w:rsidR="007019F2">
        <w:rPr>
          <w:color w:val="auto"/>
        </w:rPr>
        <w:t>D</w:t>
      </w:r>
      <w:r w:rsidR="00396FF2" w:rsidRPr="00C91FA7">
        <w:rPr>
          <w:color w:val="auto"/>
        </w:rPr>
        <w:t>VA evidence proximal to separation in arriving at its recommendations; and, DoDI 6040.44 defines a 12-month interval for special consideration to post-separation evidence. The Board’s authority as defined in DoDI 6040.44, however, resides in evaluating the fairness of DES fitness determinations and rating decisions for disability at the time of separation and is limited to conditions adjudicated by the PEB as either unfitting or not unfitting.  Post-separation evidence therefore is probative</w:t>
      </w:r>
      <w:r w:rsidR="00396FF2" w:rsidRPr="00F15CF9">
        <w:rPr>
          <w:color w:val="auto"/>
        </w:rPr>
        <w:t xml:space="preserve"> only to the extent that it reasonably reflects the disability and fitness implications at the time of separation.</w:t>
      </w:r>
    </w:p>
    <w:p w:rsidR="00AD2379" w:rsidRPr="00F64312" w:rsidRDefault="00AD2379" w:rsidP="00B22D42">
      <w:pPr>
        <w:jc w:val="both"/>
        <w:rPr>
          <w:color w:val="auto"/>
          <w:highlight w:val="yellow"/>
        </w:rPr>
      </w:pPr>
    </w:p>
    <w:p w:rsidR="00396FF2" w:rsidRDefault="00985F0F" w:rsidP="00B22D42">
      <w:pPr>
        <w:jc w:val="both"/>
        <w:rPr>
          <w:color w:val="auto"/>
        </w:rPr>
      </w:pPr>
      <w:r w:rsidRPr="00396FF2">
        <w:rPr>
          <w:color w:val="auto"/>
          <w:szCs w:val="24"/>
          <w:u w:val="single"/>
        </w:rPr>
        <w:t>C</w:t>
      </w:r>
      <w:r w:rsidR="00396FF2">
        <w:rPr>
          <w:color w:val="auto"/>
          <w:szCs w:val="24"/>
          <w:u w:val="single"/>
        </w:rPr>
        <w:t>ontact D</w:t>
      </w:r>
      <w:r w:rsidRPr="00396FF2">
        <w:rPr>
          <w:color w:val="auto"/>
          <w:szCs w:val="24"/>
          <w:u w:val="single"/>
        </w:rPr>
        <w:t>ermatitis</w:t>
      </w:r>
      <w:r w:rsidR="00AD2379" w:rsidRPr="00396FF2">
        <w:rPr>
          <w:color w:val="auto"/>
          <w:u w:val="single"/>
        </w:rPr>
        <w:t xml:space="preserve"> Condition</w:t>
      </w:r>
      <w:r w:rsidR="00AD2379" w:rsidRPr="00396FF2">
        <w:rPr>
          <w:color w:val="auto"/>
        </w:rPr>
        <w:t xml:space="preserve">. </w:t>
      </w:r>
      <w:r w:rsidR="00385708" w:rsidRPr="00396FF2">
        <w:rPr>
          <w:color w:val="auto"/>
        </w:rPr>
        <w:t xml:space="preserve"> </w:t>
      </w:r>
      <w:r w:rsidR="006E5B54">
        <w:rPr>
          <w:color w:val="auto"/>
        </w:rPr>
        <w:t>The first report of an allergic reaction to rubber was in 2002</w:t>
      </w:r>
      <w:r w:rsidR="00DF57DB">
        <w:rPr>
          <w:color w:val="auto"/>
        </w:rPr>
        <w:t xml:space="preserve"> when the CI noticed swelling of his hands and face after cleaning vehicles at the wash rack using rubber gloves. </w:t>
      </w:r>
      <w:r w:rsidR="00555477">
        <w:rPr>
          <w:color w:val="auto"/>
        </w:rPr>
        <w:t xml:space="preserve"> </w:t>
      </w:r>
      <w:r w:rsidR="00DF57DB">
        <w:rPr>
          <w:color w:val="auto"/>
        </w:rPr>
        <w:t>The condition continued and worsened over time with an episode of</w:t>
      </w:r>
      <w:r w:rsidR="00236245">
        <w:rPr>
          <w:color w:val="auto"/>
        </w:rPr>
        <w:t xml:space="preserve"> anaphylaxis in November 2007. </w:t>
      </w:r>
      <w:r w:rsidR="00555477">
        <w:rPr>
          <w:color w:val="auto"/>
        </w:rPr>
        <w:t xml:space="preserve"> </w:t>
      </w:r>
      <w:r w:rsidR="00236245">
        <w:rPr>
          <w:color w:val="auto"/>
        </w:rPr>
        <w:t>Subsequent t</w:t>
      </w:r>
      <w:r w:rsidR="00DF57DB">
        <w:rPr>
          <w:color w:val="auto"/>
        </w:rPr>
        <w:t xml:space="preserve">esting revealed </w:t>
      </w:r>
      <w:r w:rsidR="00236245">
        <w:rPr>
          <w:color w:val="auto"/>
        </w:rPr>
        <w:t xml:space="preserve">positive reactions to carba mix and thiuram mix which are found in </w:t>
      </w:r>
      <w:r w:rsidR="00236245" w:rsidRPr="00236245">
        <w:rPr>
          <w:color w:val="auto"/>
        </w:rPr>
        <w:t>mission opera</w:t>
      </w:r>
      <w:r w:rsidR="00236245">
        <w:rPr>
          <w:color w:val="auto"/>
        </w:rPr>
        <w:t xml:space="preserve">tions protective posture (MOPP) gear and nitrile and rubber gloves. </w:t>
      </w:r>
      <w:r w:rsidR="00555477">
        <w:rPr>
          <w:color w:val="auto"/>
        </w:rPr>
        <w:t xml:space="preserve"> </w:t>
      </w:r>
      <w:r w:rsidR="00236245">
        <w:rPr>
          <w:color w:val="auto"/>
        </w:rPr>
        <w:t xml:space="preserve">He was not allergic to latex. </w:t>
      </w:r>
      <w:r w:rsidR="00555477">
        <w:rPr>
          <w:color w:val="auto"/>
        </w:rPr>
        <w:t xml:space="preserve"> </w:t>
      </w:r>
      <w:r w:rsidR="00236245">
        <w:rPr>
          <w:color w:val="auto"/>
        </w:rPr>
        <w:t xml:space="preserve">On multiple occasions, the CI had </w:t>
      </w:r>
      <w:r w:rsidR="00236245">
        <w:rPr>
          <w:color w:val="auto"/>
        </w:rPr>
        <w:lastRenderedPageBreak/>
        <w:t xml:space="preserve">erythema and swelling beyond the area that had been in contact with the rubber </w:t>
      </w:r>
      <w:r w:rsidR="004444E9">
        <w:rPr>
          <w:color w:val="auto"/>
        </w:rPr>
        <w:t xml:space="preserve">(upper arms and face) </w:t>
      </w:r>
      <w:r w:rsidR="00236245">
        <w:rPr>
          <w:color w:val="auto"/>
        </w:rPr>
        <w:t>as well as systemic symptoms.</w:t>
      </w:r>
      <w:r w:rsidR="004444E9">
        <w:rPr>
          <w:color w:val="auto"/>
        </w:rPr>
        <w:t xml:space="preserve"> </w:t>
      </w:r>
      <w:r w:rsidR="00555477">
        <w:rPr>
          <w:color w:val="auto"/>
        </w:rPr>
        <w:t xml:space="preserve"> </w:t>
      </w:r>
      <w:r w:rsidR="004444E9">
        <w:rPr>
          <w:color w:val="auto"/>
        </w:rPr>
        <w:t xml:space="preserve">At the time of the MEB </w:t>
      </w:r>
      <w:r w:rsidR="002804FE">
        <w:rPr>
          <w:color w:val="auto"/>
        </w:rPr>
        <w:t>n</w:t>
      </w:r>
      <w:r w:rsidR="004444E9">
        <w:rPr>
          <w:color w:val="auto"/>
        </w:rPr>
        <w:t xml:space="preserve">arrative </w:t>
      </w:r>
      <w:r w:rsidR="002804FE">
        <w:rPr>
          <w:color w:val="auto"/>
        </w:rPr>
        <w:t>s</w:t>
      </w:r>
      <w:r w:rsidR="004444E9">
        <w:rPr>
          <w:color w:val="auto"/>
        </w:rPr>
        <w:t xml:space="preserve">ummary (NARSUM) </w:t>
      </w:r>
      <w:r w:rsidR="002804FE">
        <w:rPr>
          <w:color w:val="auto"/>
        </w:rPr>
        <w:t xml:space="preserve">performed </w:t>
      </w:r>
      <w:r w:rsidR="004444E9">
        <w:rPr>
          <w:color w:val="auto"/>
        </w:rPr>
        <w:t xml:space="preserve">in July 2008 and the </w:t>
      </w:r>
      <w:r w:rsidR="002804FE">
        <w:rPr>
          <w:color w:val="auto"/>
        </w:rPr>
        <w:t>a</w:t>
      </w:r>
      <w:r w:rsidR="004444E9">
        <w:rPr>
          <w:color w:val="auto"/>
        </w:rPr>
        <w:t xml:space="preserve">llergy consultation </w:t>
      </w:r>
      <w:r w:rsidR="002804FE">
        <w:rPr>
          <w:color w:val="auto"/>
        </w:rPr>
        <w:t xml:space="preserve">performed </w:t>
      </w:r>
      <w:r w:rsidR="004444E9">
        <w:rPr>
          <w:color w:val="auto"/>
        </w:rPr>
        <w:t xml:space="preserve">in May 2008, the skin was normal and without rash. </w:t>
      </w:r>
      <w:r w:rsidR="00555477">
        <w:rPr>
          <w:color w:val="auto"/>
        </w:rPr>
        <w:t xml:space="preserve"> </w:t>
      </w:r>
      <w:r w:rsidR="004444E9">
        <w:rPr>
          <w:color w:val="auto"/>
        </w:rPr>
        <w:t>The C&amp;P skin exam</w:t>
      </w:r>
      <w:r w:rsidR="002804FE">
        <w:rPr>
          <w:color w:val="auto"/>
        </w:rPr>
        <w:t xml:space="preserve"> performed</w:t>
      </w:r>
      <w:r w:rsidR="004444E9">
        <w:rPr>
          <w:color w:val="auto"/>
        </w:rPr>
        <w:t xml:space="preserve"> in January 2009 documented telangiectasias and scattered lentigines on the back.</w:t>
      </w:r>
    </w:p>
    <w:p w:rsidR="00FF3F25" w:rsidRPr="00F64312" w:rsidRDefault="00FF3F25" w:rsidP="00FF3F25">
      <w:pPr>
        <w:jc w:val="both"/>
        <w:rPr>
          <w:color w:val="auto"/>
          <w:szCs w:val="24"/>
        </w:rPr>
      </w:pPr>
    </w:p>
    <w:p w:rsidR="00FF3F25" w:rsidRPr="00C91FA7" w:rsidRDefault="00FF3F25" w:rsidP="004444E9">
      <w:pPr>
        <w:tabs>
          <w:tab w:val="left" w:pos="288"/>
          <w:tab w:val="left" w:pos="4752"/>
        </w:tabs>
        <w:jc w:val="both"/>
        <w:rPr>
          <w:rFonts w:eastAsia="Calibri" w:cs="Times New Roman"/>
          <w:color w:val="auto"/>
          <w:szCs w:val="24"/>
        </w:rPr>
      </w:pPr>
      <w:r w:rsidRPr="00F64312">
        <w:rPr>
          <w:rFonts w:cs="Times New Roman"/>
          <w:color w:val="auto"/>
        </w:rPr>
        <w:t xml:space="preserve">The Board directs attention to its rating recommendation based on the above evidence.  </w:t>
      </w:r>
      <w:r w:rsidR="004444E9">
        <w:rPr>
          <w:rFonts w:cs="Times New Roman"/>
          <w:color w:val="auto"/>
        </w:rPr>
        <w:t>Both the PEB and the VA rated this condition using VASRD code 7806</w:t>
      </w:r>
      <w:r w:rsidR="00E67E87">
        <w:rPr>
          <w:rFonts w:cs="Times New Roman"/>
          <w:color w:val="auto"/>
        </w:rPr>
        <w:t>,</w:t>
      </w:r>
      <w:r w:rsidR="004444E9">
        <w:rPr>
          <w:rFonts w:cs="Times New Roman"/>
          <w:color w:val="auto"/>
        </w:rPr>
        <w:t xml:space="preserve"> Dermatitis. </w:t>
      </w:r>
      <w:r w:rsidR="00555477">
        <w:rPr>
          <w:rFonts w:cs="Times New Roman"/>
          <w:color w:val="auto"/>
        </w:rPr>
        <w:t xml:space="preserve"> </w:t>
      </w:r>
      <w:r w:rsidR="004444E9">
        <w:rPr>
          <w:rFonts w:cs="Times New Roman"/>
          <w:color w:val="auto"/>
        </w:rPr>
        <w:t xml:space="preserve">The PEB applied a 10% disability rating based on lesions that, when present, covered more than 5% but less than 20% of the body and required intermittent systemic therapy with corticosteroids. </w:t>
      </w:r>
      <w:r w:rsidR="00555477">
        <w:rPr>
          <w:rFonts w:cs="Times New Roman"/>
          <w:color w:val="auto"/>
        </w:rPr>
        <w:t xml:space="preserve"> </w:t>
      </w:r>
      <w:r w:rsidR="002B05A5">
        <w:rPr>
          <w:rFonts w:cs="Times New Roman"/>
          <w:color w:val="auto"/>
        </w:rPr>
        <w:t xml:space="preserve">The condition of contact dermatitis is manifested by a rash only when the skin has been in contact with the offending substance. </w:t>
      </w:r>
      <w:r w:rsidR="00555477">
        <w:rPr>
          <w:rFonts w:cs="Times New Roman"/>
          <w:color w:val="auto"/>
        </w:rPr>
        <w:t xml:space="preserve"> </w:t>
      </w:r>
      <w:r w:rsidR="004444E9">
        <w:rPr>
          <w:rFonts w:cs="Times New Roman"/>
          <w:color w:val="auto"/>
        </w:rPr>
        <w:t xml:space="preserve">The VA applied a 0% rating because no rash was present at the time of the C&amp;P exam.  </w:t>
      </w:r>
      <w:r w:rsidRPr="00F64312">
        <w:rPr>
          <w:rFonts w:eastAsia="Calibri" w:cs="Times New Roman"/>
          <w:color w:val="auto"/>
          <w:szCs w:val="24"/>
        </w:rPr>
        <w:t xml:space="preserve">After </w:t>
      </w:r>
      <w:r w:rsidRPr="00C91FA7">
        <w:rPr>
          <w:rFonts w:eastAsia="Calibri" w:cs="Times New Roman"/>
          <w:color w:val="auto"/>
          <w:szCs w:val="24"/>
        </w:rPr>
        <w:t xml:space="preserve">due deliberation, considering all of the evidence and mindful of VASRD §4.3 (reasonable doubt), the Board concluded that there was insufficient cause to recommend a change in the PEB adjudication for the </w:t>
      </w:r>
      <w:r w:rsidR="004444E9" w:rsidRPr="00C91FA7">
        <w:rPr>
          <w:rFonts w:eastAsia="Calibri" w:cs="Times New Roman"/>
          <w:color w:val="auto"/>
          <w:szCs w:val="24"/>
        </w:rPr>
        <w:t xml:space="preserve">contact </w:t>
      </w:r>
      <w:r w:rsidR="002B05A5" w:rsidRPr="00C91FA7">
        <w:rPr>
          <w:rFonts w:eastAsia="Calibri" w:cs="Times New Roman"/>
          <w:color w:val="auto"/>
          <w:szCs w:val="24"/>
        </w:rPr>
        <w:t>dermatitis</w:t>
      </w:r>
      <w:r w:rsidRPr="00C91FA7">
        <w:rPr>
          <w:rFonts w:eastAsia="Calibri" w:cs="Times New Roman"/>
          <w:color w:val="auto"/>
          <w:szCs w:val="24"/>
        </w:rPr>
        <w:t xml:space="preserve"> condition.  </w:t>
      </w:r>
    </w:p>
    <w:p w:rsidR="00542022" w:rsidRPr="00C91FA7" w:rsidRDefault="00542022" w:rsidP="00B22D42">
      <w:pPr>
        <w:jc w:val="both"/>
        <w:rPr>
          <w:color w:val="auto"/>
        </w:rPr>
      </w:pPr>
    </w:p>
    <w:p w:rsidR="00FF3F25" w:rsidRPr="00792790" w:rsidRDefault="00FF3F25" w:rsidP="00FF3F25">
      <w:pPr>
        <w:jc w:val="both"/>
        <w:rPr>
          <w:rFonts w:eastAsia="Calibri" w:cs="Times New Roman"/>
          <w:color w:val="auto"/>
          <w:szCs w:val="24"/>
        </w:rPr>
      </w:pPr>
      <w:r w:rsidRPr="00C91FA7">
        <w:rPr>
          <w:rFonts w:eastAsia="HiddenHorzOCR"/>
          <w:color w:val="auto"/>
          <w:u w:val="single"/>
        </w:rPr>
        <w:t>Contended PEB Conditions</w:t>
      </w:r>
      <w:r w:rsidRPr="00C91FA7">
        <w:rPr>
          <w:rFonts w:eastAsia="HiddenHorzOCR"/>
          <w:color w:val="auto"/>
        </w:rPr>
        <w:t xml:space="preserve">.  </w:t>
      </w:r>
      <w:r w:rsidRPr="00C91FA7">
        <w:rPr>
          <w:rFonts w:eastAsia="Calibri" w:cs="Times New Roman"/>
          <w:color w:val="auto"/>
          <w:szCs w:val="24"/>
        </w:rPr>
        <w:t>The contended conditions adjudicated as not unfitting by the PEB were bilateral knee pain and anxiety</w:t>
      </w:r>
      <w:r w:rsidR="006E293F" w:rsidRPr="00C91FA7">
        <w:rPr>
          <w:rFonts w:eastAsia="Calibri" w:cs="Times New Roman"/>
          <w:color w:val="auto"/>
          <w:szCs w:val="24"/>
        </w:rPr>
        <w:t xml:space="preserve"> disorder, NOS</w:t>
      </w:r>
      <w:r w:rsidR="00555477" w:rsidRPr="00C91FA7">
        <w:rPr>
          <w:rFonts w:eastAsia="Calibri" w:cs="Times New Roman"/>
          <w:color w:val="auto"/>
          <w:szCs w:val="24"/>
        </w:rPr>
        <w:t xml:space="preserve">.  </w:t>
      </w:r>
      <w:r w:rsidRPr="00C91FA7">
        <w:rPr>
          <w:rFonts w:eastAsia="Calibri" w:cs="Times New Roman"/>
          <w:color w:val="auto"/>
          <w:szCs w:val="24"/>
        </w:rPr>
        <w:t>The Board’s first charge with respect to these conditions is an assessment of the appropriateness of the PEB’s fitness adjudications.  The Board’s threshold for countering fitness determinations is higher than the VASRD §4.3 (reasonable doubt) standard used for its rating recommendations, but remains adherent to the DoDI 6040.44 “fair and equita</w:t>
      </w:r>
      <w:r w:rsidR="006E293F" w:rsidRPr="00C91FA7">
        <w:rPr>
          <w:rFonts w:eastAsia="Calibri" w:cs="Times New Roman"/>
          <w:color w:val="auto"/>
          <w:szCs w:val="24"/>
        </w:rPr>
        <w:t xml:space="preserve">ble” standard.  </w:t>
      </w:r>
      <w:r w:rsidRPr="00C91FA7">
        <w:rPr>
          <w:color w:val="000000"/>
        </w:rPr>
        <w:t>N</w:t>
      </w:r>
      <w:r w:rsidR="006E293F" w:rsidRPr="00C91FA7">
        <w:rPr>
          <w:color w:val="000000"/>
        </w:rPr>
        <w:t>either</w:t>
      </w:r>
      <w:r w:rsidRPr="00C91FA7">
        <w:rPr>
          <w:color w:val="000000"/>
        </w:rPr>
        <w:t xml:space="preserve"> of these conditions w</w:t>
      </w:r>
      <w:r w:rsidR="006E293F" w:rsidRPr="00C91FA7">
        <w:rPr>
          <w:color w:val="000000"/>
        </w:rPr>
        <w:t>as</w:t>
      </w:r>
      <w:r w:rsidRPr="00C91FA7">
        <w:rPr>
          <w:color w:val="000000"/>
        </w:rPr>
        <w:t xml:space="preserve"> profiled; </w:t>
      </w:r>
      <w:r w:rsidR="006E293F" w:rsidRPr="00C91FA7">
        <w:rPr>
          <w:color w:val="000000"/>
        </w:rPr>
        <w:t>neither</w:t>
      </w:r>
      <w:r w:rsidRPr="00C91FA7">
        <w:rPr>
          <w:color w:val="000000"/>
        </w:rPr>
        <w:t xml:space="preserve"> w</w:t>
      </w:r>
      <w:r w:rsidR="006E293F" w:rsidRPr="00C91FA7">
        <w:rPr>
          <w:color w:val="000000"/>
        </w:rPr>
        <w:t>as</w:t>
      </w:r>
      <w:r w:rsidRPr="00C91FA7">
        <w:rPr>
          <w:color w:val="000000"/>
        </w:rPr>
        <w:t xml:space="preserve"> implicated in the commander’s statement</w:t>
      </w:r>
      <w:r w:rsidR="006E293F" w:rsidRPr="00C91FA7">
        <w:rPr>
          <w:color w:val="000000"/>
        </w:rPr>
        <w:t>; and</w:t>
      </w:r>
      <w:r w:rsidRPr="00C91FA7">
        <w:rPr>
          <w:color w:val="000000"/>
        </w:rPr>
        <w:t xml:space="preserve"> </w:t>
      </w:r>
      <w:r w:rsidR="006E293F" w:rsidRPr="00C91FA7">
        <w:rPr>
          <w:color w:val="000000"/>
        </w:rPr>
        <w:t>neither was</w:t>
      </w:r>
      <w:r w:rsidRPr="00C91FA7">
        <w:rPr>
          <w:color w:val="000000"/>
        </w:rPr>
        <w:t xml:space="preserve"> judged to fail retention standards.  </w:t>
      </w:r>
      <w:r w:rsidR="006E293F" w:rsidRPr="00C91FA7">
        <w:rPr>
          <w:color w:val="000000"/>
        </w:rPr>
        <w:t>Both</w:t>
      </w:r>
      <w:r w:rsidRPr="00C91FA7">
        <w:rPr>
          <w:color w:val="000000"/>
        </w:rPr>
        <w:t xml:space="preserve"> were reviewed by the action officer and considered by the Board.  There was no indication from the record that </w:t>
      </w:r>
      <w:r w:rsidR="006E293F" w:rsidRPr="00C91FA7">
        <w:rPr>
          <w:color w:val="000000"/>
        </w:rPr>
        <w:t>either</w:t>
      </w:r>
      <w:r w:rsidRPr="00C91FA7">
        <w:rPr>
          <w:color w:val="000000"/>
        </w:rPr>
        <w:t xml:space="preserve"> of these conditions significantly interfered with satisfactory duty performance.</w:t>
      </w:r>
      <w:r w:rsidR="006E293F" w:rsidRPr="00C91FA7">
        <w:rPr>
          <w:color w:val="000000"/>
        </w:rPr>
        <w:t xml:space="preserve">  </w:t>
      </w:r>
      <w:r w:rsidRPr="00C91FA7">
        <w:rPr>
          <w:rFonts w:eastAsia="Calibri" w:cs="Times New Roman"/>
          <w:color w:val="auto"/>
          <w:szCs w:val="24"/>
        </w:rPr>
        <w:t xml:space="preserve">After due deliberation in consideration of the preponderance of the evidence, the Board concluded that there was insufficient cause to recommend a change in the PEB fitness determination for </w:t>
      </w:r>
      <w:r w:rsidR="006E293F" w:rsidRPr="00C91FA7">
        <w:rPr>
          <w:rFonts w:eastAsia="Calibri" w:cs="Times New Roman"/>
          <w:color w:val="auto"/>
          <w:szCs w:val="24"/>
        </w:rPr>
        <w:t>either</w:t>
      </w:r>
      <w:r w:rsidRPr="00C91FA7">
        <w:rPr>
          <w:rFonts w:eastAsia="Calibri" w:cs="Times New Roman"/>
          <w:color w:val="auto"/>
          <w:szCs w:val="24"/>
        </w:rPr>
        <w:t xml:space="preserve"> of the contended conditions</w:t>
      </w:r>
      <w:r w:rsidR="006E293F" w:rsidRPr="00C91FA7">
        <w:rPr>
          <w:rFonts w:eastAsia="Calibri" w:cs="Times New Roman"/>
          <w:color w:val="auto"/>
          <w:szCs w:val="24"/>
        </w:rPr>
        <w:t xml:space="preserve"> </w:t>
      </w:r>
      <w:r w:rsidRPr="00C91FA7">
        <w:rPr>
          <w:rFonts w:eastAsia="Calibri" w:cs="Times New Roman"/>
          <w:color w:val="auto"/>
          <w:szCs w:val="24"/>
        </w:rPr>
        <w:t>and, therefore, no additional disability ratings can be recommended.</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xml:space="preserve">:  IAW DoDI 6040.44, provisions of DoD or Military Department regulations or guidelines relied upon by the PEB </w:t>
      </w:r>
      <w:r w:rsidRPr="00C91FA7">
        <w:rPr>
          <w:color w:val="auto"/>
        </w:rPr>
        <w:t>will not be considered by the Board to the extent they were inconsistent with the VASRD in effect at the time of the adjudication</w:t>
      </w:r>
      <w:r w:rsidRPr="00C91FA7">
        <w:rPr>
          <w:rFonts w:cs="Times New Roman"/>
          <w:color w:val="auto"/>
        </w:rPr>
        <w:t>.</w:t>
      </w:r>
      <w:r w:rsidR="006E293F" w:rsidRPr="00C91FA7">
        <w:rPr>
          <w:rFonts w:cs="Times New Roman"/>
          <w:color w:val="auto"/>
        </w:rPr>
        <w:t xml:space="preserve">  </w:t>
      </w:r>
      <w:r w:rsidRPr="00C91FA7">
        <w:rPr>
          <w:rFonts w:cs="Times New Roman"/>
          <w:color w:val="auto"/>
        </w:rPr>
        <w:t>The Board did not surmise from the record or PEB ruling in this case that any prerogatives outside the VASRD were exercised.</w:t>
      </w:r>
      <w:r w:rsidR="002B05A5" w:rsidRPr="00C91FA7">
        <w:rPr>
          <w:rFonts w:cs="Times New Roman"/>
          <w:color w:val="auto"/>
        </w:rPr>
        <w:t xml:space="preserve">  </w:t>
      </w:r>
      <w:r w:rsidR="00560F12" w:rsidRPr="00C91FA7">
        <w:rPr>
          <w:rFonts w:eastAsia="Calibri" w:cs="Times New Roman"/>
          <w:color w:val="auto"/>
          <w:szCs w:val="24"/>
        </w:rPr>
        <w:t xml:space="preserve">In the matter of the </w:t>
      </w:r>
      <w:r w:rsidR="002B05A5" w:rsidRPr="00C91FA7">
        <w:rPr>
          <w:rFonts w:eastAsia="Calibri" w:cs="Times New Roman"/>
          <w:color w:val="auto"/>
          <w:szCs w:val="24"/>
        </w:rPr>
        <w:t>c</w:t>
      </w:r>
      <w:r w:rsidR="00901078" w:rsidRPr="00C91FA7">
        <w:rPr>
          <w:rFonts w:eastAsia="Calibri" w:cs="Times New Roman"/>
          <w:color w:val="auto"/>
          <w:szCs w:val="24"/>
        </w:rPr>
        <w:t>ontact dermatitis</w:t>
      </w:r>
      <w:r w:rsidR="00560F12" w:rsidRPr="00C91FA7">
        <w:rPr>
          <w:rFonts w:eastAsia="Calibri" w:cs="Times New Roman"/>
          <w:color w:val="auto"/>
          <w:szCs w:val="24"/>
        </w:rPr>
        <w:t xml:space="preserve"> condition and IAW VASRD </w:t>
      </w:r>
      <w:r w:rsidR="00901078" w:rsidRPr="00C91FA7">
        <w:rPr>
          <w:rFonts w:eastAsia="Calibri" w:cs="Times New Roman"/>
          <w:color w:val="auto"/>
          <w:szCs w:val="24"/>
        </w:rPr>
        <w:t>§4.118</w:t>
      </w:r>
      <w:r w:rsidR="00560F12" w:rsidRPr="00C91FA7">
        <w:rPr>
          <w:rFonts w:eastAsia="Calibri" w:cs="Times New Roman"/>
          <w:color w:val="auto"/>
          <w:szCs w:val="24"/>
        </w:rPr>
        <w:t>, the Board unanimously recommends no change in the PEB adjudication.</w:t>
      </w:r>
      <w:r w:rsidR="002B05A5" w:rsidRPr="00C91FA7">
        <w:rPr>
          <w:rFonts w:eastAsia="Calibri" w:cs="Times New Roman"/>
          <w:color w:val="auto"/>
          <w:szCs w:val="24"/>
        </w:rPr>
        <w:t xml:space="preserve">  </w:t>
      </w:r>
      <w:r w:rsidR="00560F12" w:rsidRPr="00C91FA7">
        <w:rPr>
          <w:rFonts w:eastAsia="Calibri" w:cs="Times New Roman"/>
          <w:color w:val="auto"/>
          <w:szCs w:val="24"/>
        </w:rPr>
        <w:t xml:space="preserve">In the matter of the contended </w:t>
      </w:r>
      <w:r w:rsidR="006E293F" w:rsidRPr="00C91FA7">
        <w:rPr>
          <w:rFonts w:eastAsia="Calibri" w:cs="Times New Roman"/>
          <w:color w:val="auto"/>
          <w:szCs w:val="24"/>
        </w:rPr>
        <w:t xml:space="preserve">bilateral knee pain </w:t>
      </w:r>
      <w:r w:rsidR="00560F12" w:rsidRPr="00C91FA7">
        <w:rPr>
          <w:rFonts w:eastAsia="Calibri" w:cs="Times New Roman"/>
          <w:color w:val="auto"/>
          <w:szCs w:val="24"/>
        </w:rPr>
        <w:t xml:space="preserve">and </w:t>
      </w:r>
      <w:r w:rsidR="006E293F" w:rsidRPr="00C91FA7">
        <w:rPr>
          <w:rFonts w:eastAsia="Calibri" w:cs="Times New Roman"/>
          <w:color w:val="auto"/>
          <w:szCs w:val="24"/>
        </w:rPr>
        <w:t>anxiety</w:t>
      </w:r>
      <w:r w:rsidR="00560F12" w:rsidRPr="00C91FA7">
        <w:rPr>
          <w:rFonts w:eastAsia="Calibri" w:cs="Times New Roman"/>
          <w:color w:val="auto"/>
          <w:szCs w:val="24"/>
        </w:rPr>
        <w:t xml:space="preserve"> </w:t>
      </w:r>
      <w:r w:rsidR="006E293F" w:rsidRPr="00C91FA7">
        <w:rPr>
          <w:rFonts w:eastAsia="Calibri" w:cs="Times New Roman"/>
          <w:color w:val="auto"/>
          <w:szCs w:val="24"/>
        </w:rPr>
        <w:t xml:space="preserve">disorder NOS </w:t>
      </w:r>
      <w:r w:rsidR="00560F12" w:rsidRPr="00C91FA7">
        <w:rPr>
          <w:rFonts w:eastAsia="Calibri" w:cs="Times New Roman"/>
          <w:color w:val="auto"/>
          <w:szCs w:val="24"/>
        </w:rPr>
        <w:t xml:space="preserve">conditions, the Board unanimously </w:t>
      </w:r>
      <w:r w:rsidR="00417BED" w:rsidRPr="00C91FA7">
        <w:rPr>
          <w:rFonts w:eastAsia="Calibri" w:cs="Times New Roman"/>
          <w:color w:val="auto"/>
          <w:szCs w:val="24"/>
        </w:rPr>
        <w:t>recommends no change from the PEB determinations as not unfitting.</w:t>
      </w:r>
      <w:r w:rsidR="006E293F" w:rsidRPr="00C91FA7">
        <w:rPr>
          <w:rFonts w:eastAsia="Calibri" w:cs="Times New Roman"/>
          <w:color w:val="auto"/>
          <w:szCs w:val="24"/>
        </w:rPr>
        <w:t xml:space="preserve">  </w:t>
      </w:r>
      <w:r w:rsidR="00417BED" w:rsidRPr="00C91FA7">
        <w:rPr>
          <w:rFonts w:eastAsia="Calibri" w:cs="Times New Roman"/>
          <w:color w:val="auto"/>
          <w:szCs w:val="24"/>
        </w:rPr>
        <w:t>There were no other conditions within the Board’s scope of review for consideration</w:t>
      </w:r>
      <w:r w:rsidR="00417BED" w:rsidRPr="00F64312">
        <w:rPr>
          <w:rFonts w:eastAsia="Calibri" w:cs="Times New Roman"/>
          <w:color w:val="auto"/>
          <w:szCs w:val="24"/>
        </w:rPr>
        <w:t>.</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F64312" w:rsidRDefault="00AD2379" w:rsidP="002B05A5">
      <w:pPr>
        <w:jc w:val="left"/>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r w:rsidR="006B690F" w:rsidRPr="00F64312">
        <w:rPr>
          <w:color w:val="auto"/>
        </w:rPr>
        <w:t xml:space="preserve">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6E293F" w:rsidRPr="00F64312" w:rsidTr="006E293F">
        <w:trPr>
          <w:jc w:val="center"/>
        </w:trPr>
        <w:tc>
          <w:tcPr>
            <w:tcW w:w="6768" w:type="dxa"/>
          </w:tcPr>
          <w:p w:rsidR="006E293F" w:rsidRPr="006E293F" w:rsidRDefault="006E293F" w:rsidP="006E293F">
            <w:pPr>
              <w:jc w:val="left"/>
              <w:rPr>
                <w:color w:val="auto"/>
              </w:rPr>
            </w:pPr>
            <w:r w:rsidRPr="006E293F">
              <w:rPr>
                <w:color w:val="auto"/>
              </w:rPr>
              <w:t>Contact Dermatitis to Rubber</w:t>
            </w:r>
          </w:p>
        </w:tc>
        <w:tc>
          <w:tcPr>
            <w:tcW w:w="1530" w:type="dxa"/>
          </w:tcPr>
          <w:p w:rsidR="006E293F" w:rsidRPr="006E293F" w:rsidRDefault="006E293F" w:rsidP="006E293F">
            <w:pPr>
              <w:rPr>
                <w:color w:val="auto"/>
              </w:rPr>
            </w:pPr>
            <w:r w:rsidRPr="006E293F">
              <w:rPr>
                <w:color w:val="auto"/>
              </w:rPr>
              <w:t>7806</w:t>
            </w:r>
          </w:p>
        </w:tc>
        <w:tc>
          <w:tcPr>
            <w:tcW w:w="1026" w:type="dxa"/>
          </w:tcPr>
          <w:p w:rsidR="006E293F" w:rsidRPr="006E293F" w:rsidRDefault="006E293F" w:rsidP="006E293F">
            <w:pPr>
              <w:rPr>
                <w:color w:val="auto"/>
              </w:rPr>
            </w:pPr>
            <w:r w:rsidRPr="006E293F">
              <w:rPr>
                <w:color w:val="auto"/>
              </w:rPr>
              <w:t>10%</w:t>
            </w:r>
          </w:p>
        </w:tc>
      </w:tr>
      <w:tr w:rsidR="00AD2379" w:rsidRPr="006E293F"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6E293F" w:rsidRDefault="00AD2379" w:rsidP="006B690F">
            <w:pPr>
              <w:tabs>
                <w:tab w:val="left" w:pos="288"/>
                <w:tab w:val="left" w:pos="4752"/>
              </w:tabs>
              <w:rPr>
                <w:b/>
                <w:color w:val="auto"/>
              </w:rPr>
            </w:pPr>
            <w:r w:rsidRPr="006E293F">
              <w:rPr>
                <w:b/>
                <w:color w:val="auto"/>
              </w:rPr>
              <w:t>COMBINED</w:t>
            </w:r>
          </w:p>
        </w:tc>
        <w:tc>
          <w:tcPr>
            <w:tcW w:w="1026" w:type="dxa"/>
            <w:shd w:val="clear" w:color="auto" w:fill="D9D9D9"/>
            <w:vAlign w:val="center"/>
          </w:tcPr>
          <w:p w:rsidR="00AD2379" w:rsidRPr="006E293F" w:rsidRDefault="006E293F" w:rsidP="006B690F">
            <w:pPr>
              <w:tabs>
                <w:tab w:val="left" w:pos="288"/>
                <w:tab w:val="left" w:pos="4752"/>
              </w:tabs>
              <w:rPr>
                <w:b/>
                <w:color w:val="auto"/>
              </w:rPr>
            </w:pPr>
            <w:r>
              <w:rPr>
                <w:b/>
                <w:color w:val="auto"/>
              </w:rPr>
              <w:t>1</w:t>
            </w:r>
            <w:r w:rsidR="00AD2379" w:rsidRPr="006E293F">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2804FE" w:rsidRDefault="002804FE" w:rsidP="006B690F">
      <w:pPr>
        <w:tabs>
          <w:tab w:val="left" w:pos="288"/>
          <w:tab w:val="left" w:pos="4752"/>
        </w:tabs>
        <w:jc w:val="both"/>
        <w:rPr>
          <w:color w:val="auto"/>
        </w:rPr>
      </w:pPr>
    </w:p>
    <w:p w:rsidR="002804FE" w:rsidRDefault="002804FE" w:rsidP="006B690F">
      <w:pPr>
        <w:tabs>
          <w:tab w:val="left" w:pos="288"/>
          <w:tab w:val="left" w:pos="4752"/>
        </w:tabs>
        <w:jc w:val="both"/>
        <w:rPr>
          <w:color w:val="auto"/>
        </w:rPr>
      </w:pPr>
    </w:p>
    <w:p w:rsidR="002804FE" w:rsidRDefault="002804FE" w:rsidP="006B690F">
      <w:pPr>
        <w:tabs>
          <w:tab w:val="left" w:pos="288"/>
          <w:tab w:val="left" w:pos="4752"/>
        </w:tabs>
        <w:jc w:val="both"/>
        <w:rPr>
          <w:color w:val="auto"/>
        </w:rPr>
      </w:pPr>
    </w:p>
    <w:p w:rsidR="002804FE" w:rsidRDefault="002804FE"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lastRenderedPageBreak/>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w:t>
      </w:r>
      <w:r w:rsidRPr="00600827">
        <w:rPr>
          <w:color w:val="auto"/>
        </w:rPr>
        <w:t>dated 20</w:t>
      </w:r>
      <w:r w:rsidR="00600827" w:rsidRPr="00600827">
        <w:rPr>
          <w:color w:val="auto"/>
        </w:rPr>
        <w:t>110703</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F75907">
        <w:rPr>
          <w:color w:val="auto"/>
        </w:rPr>
        <w:t>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F75907" w:rsidRDefault="00F75907" w:rsidP="00BF0E94">
      <w:pPr>
        <w:tabs>
          <w:tab w:val="left" w:pos="0"/>
          <w:tab w:val="left" w:pos="4320"/>
        </w:tabs>
        <w:jc w:val="both"/>
        <w:rPr>
          <w:color w:val="auto"/>
        </w:rPr>
      </w:pPr>
    </w:p>
    <w:p w:rsidR="00F75907" w:rsidRDefault="00F75907" w:rsidP="00F75907">
      <w:pPr>
        <w:jc w:val="left"/>
      </w:pPr>
      <w:r>
        <w:rPr>
          <w:color w:val="auto"/>
        </w:rPr>
        <w:br w:type="page"/>
      </w:r>
      <w:r>
        <w:lastRenderedPageBreak/>
        <w:t>SFMR-RB</w:t>
      </w:r>
      <w:r>
        <w:tab/>
      </w:r>
      <w:r>
        <w:tab/>
      </w:r>
      <w:r>
        <w:tab/>
      </w:r>
      <w:r>
        <w:tab/>
      </w:r>
      <w:r>
        <w:tab/>
      </w:r>
      <w:r>
        <w:tab/>
      </w:r>
      <w:r>
        <w:tab/>
      </w:r>
      <w:r>
        <w:tab/>
      </w:r>
      <w:r>
        <w:tab/>
      </w:r>
    </w:p>
    <w:p w:rsidR="00F75907" w:rsidRDefault="00F75907" w:rsidP="00F75907">
      <w:pPr>
        <w:pStyle w:val="Header"/>
        <w:tabs>
          <w:tab w:val="left" w:pos="720"/>
        </w:tabs>
        <w:jc w:val="left"/>
      </w:pPr>
    </w:p>
    <w:p w:rsidR="00F75907" w:rsidRDefault="00F75907" w:rsidP="00F75907">
      <w:pPr>
        <w:jc w:val="left"/>
      </w:pPr>
    </w:p>
    <w:p w:rsidR="00F75907" w:rsidRDefault="00F75907" w:rsidP="00F75907">
      <w:pPr>
        <w:jc w:val="left"/>
      </w:pPr>
      <w:r>
        <w:t xml:space="preserve">MEMORANDUM FOR Commander, US Army Physical Disability Agency </w:t>
      </w:r>
    </w:p>
    <w:p w:rsidR="00F75907" w:rsidRDefault="00F75907" w:rsidP="00F75907">
      <w:pPr>
        <w:jc w:val="left"/>
      </w:pPr>
      <w:r>
        <w:t>(TAPD-ZB / XXXXXXXXXXXXXXXX), 2900 Crystal Drive, Suite 300, Arlington, VA  22202-3557</w:t>
      </w:r>
    </w:p>
    <w:p w:rsidR="00F75907" w:rsidRDefault="00F75907" w:rsidP="00F75907">
      <w:pPr>
        <w:jc w:val="left"/>
      </w:pPr>
    </w:p>
    <w:p w:rsidR="00F75907" w:rsidRDefault="00F75907" w:rsidP="00F75907">
      <w:pPr>
        <w:ind w:right="-180"/>
        <w:jc w:val="left"/>
      </w:pPr>
      <w:r>
        <w:t>SUBJECT:  Department of Defense Physical Disability Board of Review Recommendation for XXXXXXXXXXXXXXXXXXXX, AR20120019257 (PD201200101)</w:t>
      </w:r>
    </w:p>
    <w:p w:rsidR="00F75907" w:rsidRDefault="00F75907" w:rsidP="00F75907">
      <w:pPr>
        <w:pStyle w:val="Header"/>
        <w:tabs>
          <w:tab w:val="left" w:pos="720"/>
        </w:tabs>
        <w:jc w:val="left"/>
      </w:pPr>
    </w:p>
    <w:p w:rsidR="00F75907" w:rsidRDefault="00F75907" w:rsidP="00F75907">
      <w:pPr>
        <w:jc w:val="left"/>
      </w:pPr>
    </w:p>
    <w:p w:rsidR="00F75907" w:rsidRDefault="00F75907" w:rsidP="00F75907">
      <w:pPr>
        <w:jc w:val="left"/>
      </w:pPr>
      <w:r>
        <w:t xml:space="preserve">I have reviewed the enclosed Department of Defense Physical Disability Board of Review (DoD PDBR) recommendation and record of proceedings pertaining to the subject individual.  Under the authority of Title 10, United States Code, section 1554a,   I accept the Board’s recommendation and hereby deny the individual’s application.  </w:t>
      </w:r>
    </w:p>
    <w:p w:rsidR="00F75907" w:rsidRDefault="00F75907" w:rsidP="00F75907">
      <w:pPr>
        <w:jc w:val="left"/>
      </w:pPr>
      <w:r>
        <w:t>This decision is final.  The individual concerned, counsel (if any), and any Members of Congress who have shown interest in this application have been notified of this decision by mail.</w:t>
      </w:r>
    </w:p>
    <w:p w:rsidR="00F75907" w:rsidRDefault="00F75907" w:rsidP="00F75907">
      <w:pPr>
        <w:jc w:val="left"/>
      </w:pPr>
    </w:p>
    <w:p w:rsidR="00F75907" w:rsidRDefault="00F75907" w:rsidP="00F75907">
      <w:pPr>
        <w:jc w:val="left"/>
      </w:pPr>
      <w:r>
        <w:t xml:space="preserve"> BY ORDER OF THE SECRETARY OF THE ARMY:</w:t>
      </w:r>
    </w:p>
    <w:p w:rsidR="00F75907" w:rsidRDefault="00F75907" w:rsidP="00F75907">
      <w:pPr>
        <w:jc w:val="left"/>
      </w:pPr>
    </w:p>
    <w:p w:rsidR="00F75907" w:rsidRDefault="00F75907" w:rsidP="00F75907">
      <w:pPr>
        <w:jc w:val="left"/>
      </w:pPr>
    </w:p>
    <w:p w:rsidR="00F75907" w:rsidRDefault="00F75907" w:rsidP="00F75907">
      <w:pPr>
        <w:pStyle w:val="Header"/>
        <w:tabs>
          <w:tab w:val="left" w:pos="720"/>
        </w:tabs>
        <w:jc w:val="left"/>
      </w:pPr>
    </w:p>
    <w:p w:rsidR="00F75907" w:rsidRDefault="00F75907" w:rsidP="00F75907">
      <w:pPr>
        <w:jc w:val="left"/>
      </w:pPr>
    </w:p>
    <w:p w:rsidR="00F75907" w:rsidRDefault="00F75907" w:rsidP="00F75907">
      <w:pPr>
        <w:jc w:val="left"/>
      </w:pPr>
      <w:bookmarkStart w:id="0" w:name="OLE_LINK4"/>
      <w:bookmarkStart w:id="1" w:name="OLE_LINK3"/>
      <w:r>
        <w:t>Encl</w:t>
      </w:r>
      <w:r>
        <w:tab/>
      </w:r>
      <w:r>
        <w:tab/>
      </w:r>
      <w:r>
        <w:tab/>
      </w:r>
      <w:r>
        <w:tab/>
      </w:r>
      <w:r>
        <w:tab/>
      </w:r>
      <w:r>
        <w:tab/>
        <w:t xml:space="preserve">     XXXXXXXXXXXXXXXXXX</w:t>
      </w:r>
    </w:p>
    <w:p w:rsidR="00F75907" w:rsidRDefault="00F75907" w:rsidP="00F75907">
      <w:pPr>
        <w:jc w:val="left"/>
      </w:pPr>
      <w:r>
        <w:tab/>
      </w:r>
      <w:r>
        <w:tab/>
      </w:r>
      <w:r>
        <w:tab/>
      </w:r>
      <w:r>
        <w:tab/>
      </w:r>
      <w:r>
        <w:tab/>
      </w:r>
      <w:r>
        <w:tab/>
        <w:t xml:space="preserve">     Deputy Assistant Secretary</w:t>
      </w:r>
    </w:p>
    <w:p w:rsidR="00F75907" w:rsidRDefault="00F75907" w:rsidP="00F75907">
      <w:pPr>
        <w:jc w:val="left"/>
      </w:pPr>
      <w:r>
        <w:tab/>
      </w:r>
      <w:r>
        <w:tab/>
      </w:r>
      <w:r>
        <w:tab/>
      </w:r>
      <w:r>
        <w:tab/>
      </w:r>
      <w:r>
        <w:tab/>
      </w:r>
      <w:r>
        <w:tab/>
        <w:t xml:space="preserve">         (Army Review Boards)</w:t>
      </w:r>
      <w:bookmarkEnd w:id="0"/>
      <w:bookmarkEnd w:id="1"/>
    </w:p>
    <w:p w:rsidR="00F75907" w:rsidRDefault="00F75907" w:rsidP="00F75907">
      <w:pPr>
        <w:jc w:val="left"/>
      </w:pPr>
    </w:p>
    <w:p w:rsidR="00F75907" w:rsidRDefault="00F75907" w:rsidP="00F75907">
      <w:pPr>
        <w:jc w:val="left"/>
      </w:pPr>
      <w:r>
        <w:t xml:space="preserve">CF: </w:t>
      </w:r>
    </w:p>
    <w:p w:rsidR="00F75907" w:rsidRDefault="00F75907" w:rsidP="00F75907">
      <w:pPr>
        <w:jc w:val="left"/>
      </w:pPr>
      <w:r>
        <w:t>(  ) DoD PDBR</w:t>
      </w:r>
    </w:p>
    <w:p w:rsidR="00F75907" w:rsidRDefault="00F75907" w:rsidP="00F75907">
      <w:pPr>
        <w:jc w:val="left"/>
      </w:pPr>
      <w:r>
        <w:t>(  ) DVA</w:t>
      </w:r>
    </w:p>
    <w:p w:rsidR="00F75907" w:rsidRDefault="00F75907" w:rsidP="00F75907">
      <w:pPr>
        <w:jc w:val="left"/>
      </w:pPr>
    </w:p>
    <w:p w:rsidR="00DF3B06" w:rsidRDefault="00DF3B06" w:rsidP="00F75907">
      <w:pPr>
        <w:tabs>
          <w:tab w:val="left" w:pos="0"/>
          <w:tab w:val="left" w:pos="4320"/>
        </w:tabs>
        <w:jc w:val="left"/>
        <w:rPr>
          <w:color w:val="auto"/>
        </w:rPr>
      </w:pPr>
    </w:p>
    <w:sectPr w:rsidR="00DF3B06"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4DA" w:rsidRDefault="007974DA">
      <w:r>
        <w:separator/>
      </w:r>
    </w:p>
  </w:endnote>
  <w:endnote w:type="continuationSeparator" w:id="0">
    <w:p w:rsidR="007974DA" w:rsidRDefault="007974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4A5" w:rsidRPr="00374247" w:rsidRDefault="006604A5" w:rsidP="00726F84">
    <w:pPr>
      <w:pStyle w:val="Footer"/>
      <w:ind w:firstLine="4320"/>
      <w:rPr>
        <w:color w:val="auto"/>
      </w:rPr>
    </w:pPr>
    <w:r w:rsidRPr="00374247">
      <w:rPr>
        <w:color w:val="auto"/>
      </w:rPr>
      <w:t xml:space="preserve">   </w:t>
    </w:r>
    <w:fldSimple w:instr=" PAGE   \* MERGEFORMAT ">
      <w:r w:rsidR="00F75907" w:rsidRPr="00F75907">
        <w:rPr>
          <w:noProof/>
          <w:color w:val="auto"/>
        </w:rPr>
        <w:t>3</w:t>
      </w:r>
    </w:fldSimple>
    <w:r w:rsidRPr="00374247">
      <w:rPr>
        <w:color w:val="auto"/>
      </w:rPr>
      <w:t xml:space="preserve">                                                           </w:t>
    </w:r>
    <w:r>
      <w:rPr>
        <w:color w:val="auto"/>
      </w:rPr>
      <w:t>PD12</w:t>
    </w:r>
    <w:r w:rsidRPr="000B32A1">
      <w:rPr>
        <w:color w:val="auto"/>
      </w:rPr>
      <w:t>00101</w:t>
    </w:r>
  </w:p>
  <w:p w:rsidR="006604A5" w:rsidRPr="00684CE6" w:rsidRDefault="006604A5">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4DA" w:rsidRDefault="007974DA">
      <w:r>
        <w:separator/>
      </w:r>
    </w:p>
  </w:footnote>
  <w:footnote w:type="continuationSeparator" w:id="0">
    <w:p w:rsidR="007974DA" w:rsidRDefault="007974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intFractionalCharacterWidth/>
  <w:embedSystemFonts/>
  <w:stylePaneFormatFilter w:val="3701"/>
  <w:doNotTrackMoves/>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467A3"/>
    <w:rsid w:val="00051622"/>
    <w:rsid w:val="00051A11"/>
    <w:rsid w:val="00051F89"/>
    <w:rsid w:val="00052234"/>
    <w:rsid w:val="00053D7C"/>
    <w:rsid w:val="000547DF"/>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5D2"/>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6E7"/>
    <w:rsid w:val="000A2BCE"/>
    <w:rsid w:val="000A31E2"/>
    <w:rsid w:val="000A33C8"/>
    <w:rsid w:val="000A41E3"/>
    <w:rsid w:val="000A4AB4"/>
    <w:rsid w:val="000A4BBA"/>
    <w:rsid w:val="000A5071"/>
    <w:rsid w:val="000B0AD2"/>
    <w:rsid w:val="000B1022"/>
    <w:rsid w:val="000B1C9E"/>
    <w:rsid w:val="000B1DD1"/>
    <w:rsid w:val="000B29DD"/>
    <w:rsid w:val="000B2FB8"/>
    <w:rsid w:val="000B32A1"/>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770"/>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561"/>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2CB6"/>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6245"/>
    <w:rsid w:val="002374C9"/>
    <w:rsid w:val="0024148E"/>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04FE"/>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5A5"/>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86B"/>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5FF1"/>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473D"/>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0B7"/>
    <w:rsid w:val="0033555E"/>
    <w:rsid w:val="0033577D"/>
    <w:rsid w:val="0033601F"/>
    <w:rsid w:val="00336805"/>
    <w:rsid w:val="00337351"/>
    <w:rsid w:val="003403AC"/>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6FF2"/>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5CA8"/>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4E9"/>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1748"/>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2D4A"/>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1E81"/>
    <w:rsid w:val="004E21A3"/>
    <w:rsid w:val="004E3282"/>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4CB9"/>
    <w:rsid w:val="0054586A"/>
    <w:rsid w:val="0054631F"/>
    <w:rsid w:val="00546C24"/>
    <w:rsid w:val="005471BA"/>
    <w:rsid w:val="00547BDA"/>
    <w:rsid w:val="00547BE6"/>
    <w:rsid w:val="0055034F"/>
    <w:rsid w:val="00550476"/>
    <w:rsid w:val="0055288D"/>
    <w:rsid w:val="005533DE"/>
    <w:rsid w:val="00555259"/>
    <w:rsid w:val="00555477"/>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40"/>
    <w:rsid w:val="005E72B2"/>
    <w:rsid w:val="005E79A0"/>
    <w:rsid w:val="005F097E"/>
    <w:rsid w:val="005F1115"/>
    <w:rsid w:val="005F1AB6"/>
    <w:rsid w:val="005F2576"/>
    <w:rsid w:val="005F27F2"/>
    <w:rsid w:val="005F2B27"/>
    <w:rsid w:val="005F3567"/>
    <w:rsid w:val="005F3AFE"/>
    <w:rsid w:val="005F424D"/>
    <w:rsid w:val="005F5342"/>
    <w:rsid w:val="005F55F5"/>
    <w:rsid w:val="005F5B74"/>
    <w:rsid w:val="005F5EC1"/>
    <w:rsid w:val="005F67A9"/>
    <w:rsid w:val="005F6B6D"/>
    <w:rsid w:val="005F73CA"/>
    <w:rsid w:val="006002FE"/>
    <w:rsid w:val="00600827"/>
    <w:rsid w:val="006008F8"/>
    <w:rsid w:val="006036C2"/>
    <w:rsid w:val="00605AAB"/>
    <w:rsid w:val="00606BEB"/>
    <w:rsid w:val="006073A3"/>
    <w:rsid w:val="00607AC8"/>
    <w:rsid w:val="0061010C"/>
    <w:rsid w:val="0061014A"/>
    <w:rsid w:val="0061054B"/>
    <w:rsid w:val="006110FB"/>
    <w:rsid w:val="006114BB"/>
    <w:rsid w:val="00612625"/>
    <w:rsid w:val="00612FB0"/>
    <w:rsid w:val="006134B7"/>
    <w:rsid w:val="0061356D"/>
    <w:rsid w:val="00613E26"/>
    <w:rsid w:val="00615641"/>
    <w:rsid w:val="00615A66"/>
    <w:rsid w:val="006164A8"/>
    <w:rsid w:val="00616959"/>
    <w:rsid w:val="0062036E"/>
    <w:rsid w:val="006211D0"/>
    <w:rsid w:val="00621595"/>
    <w:rsid w:val="00622FDC"/>
    <w:rsid w:val="0062359D"/>
    <w:rsid w:val="006235F5"/>
    <w:rsid w:val="00623634"/>
    <w:rsid w:val="00624D0C"/>
    <w:rsid w:val="00626902"/>
    <w:rsid w:val="00626A0F"/>
    <w:rsid w:val="006274B4"/>
    <w:rsid w:val="0063069C"/>
    <w:rsid w:val="006307BA"/>
    <w:rsid w:val="0063097D"/>
    <w:rsid w:val="006315BA"/>
    <w:rsid w:val="006315CB"/>
    <w:rsid w:val="00634C4A"/>
    <w:rsid w:val="0063532E"/>
    <w:rsid w:val="0063579F"/>
    <w:rsid w:val="00635EA5"/>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04A5"/>
    <w:rsid w:val="00661211"/>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966"/>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93F"/>
    <w:rsid w:val="006E2DC8"/>
    <w:rsid w:val="006E58CB"/>
    <w:rsid w:val="006E5B54"/>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0729"/>
    <w:rsid w:val="007019F2"/>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3E87"/>
    <w:rsid w:val="0076100C"/>
    <w:rsid w:val="00761127"/>
    <w:rsid w:val="007612A5"/>
    <w:rsid w:val="007635A8"/>
    <w:rsid w:val="00763CAE"/>
    <w:rsid w:val="00763F95"/>
    <w:rsid w:val="007651ED"/>
    <w:rsid w:val="00766C87"/>
    <w:rsid w:val="00771043"/>
    <w:rsid w:val="0077272B"/>
    <w:rsid w:val="00773AF7"/>
    <w:rsid w:val="00773C45"/>
    <w:rsid w:val="00774F43"/>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4DA"/>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26EA"/>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C5E"/>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C73E8"/>
    <w:rsid w:val="008D1484"/>
    <w:rsid w:val="008D1AFE"/>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078"/>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7C4"/>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5F0F"/>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2D5C"/>
    <w:rsid w:val="009D3652"/>
    <w:rsid w:val="009D37CA"/>
    <w:rsid w:val="009D4229"/>
    <w:rsid w:val="009D4268"/>
    <w:rsid w:val="009D5DE9"/>
    <w:rsid w:val="009E09D0"/>
    <w:rsid w:val="009E0C9F"/>
    <w:rsid w:val="009E1181"/>
    <w:rsid w:val="009E1283"/>
    <w:rsid w:val="009E3A7F"/>
    <w:rsid w:val="009E4087"/>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0653"/>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AE5"/>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6E2"/>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023F"/>
    <w:rsid w:val="00C910DE"/>
    <w:rsid w:val="00C919D7"/>
    <w:rsid w:val="00C91FA7"/>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088A"/>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E67B9"/>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276"/>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7DB"/>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E87"/>
    <w:rsid w:val="00E67FAC"/>
    <w:rsid w:val="00E70164"/>
    <w:rsid w:val="00E71485"/>
    <w:rsid w:val="00E7169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572FD"/>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907"/>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6AF"/>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4E6A"/>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3F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47641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7DEE6-010F-4D05-B432-9D74FA51B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2012-10-16T18:06:00Z</cp:lastPrinted>
  <dcterms:created xsi:type="dcterms:W3CDTF">2012-11-05T19:32:00Z</dcterms:created>
  <dcterms:modified xsi:type="dcterms:W3CDTF">2012-11-05T19:32:00Z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