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EE3F2F" w:rsidRDefault="0095270D" w:rsidP="00DD5558">
      <w:pPr>
        <w:tabs>
          <w:tab w:val="right" w:pos="9360"/>
        </w:tabs>
        <w:jc w:val="both"/>
        <w:rPr>
          <w:caps/>
          <w:color w:val="auto"/>
        </w:rPr>
      </w:pPr>
      <w:r w:rsidRPr="00F64312">
        <w:rPr>
          <w:caps/>
          <w:color w:val="auto"/>
        </w:rPr>
        <w:t xml:space="preserve">NAME: </w:t>
      </w:r>
      <w:r w:rsidR="00BA0EDD">
        <w:rPr>
          <w:caps/>
          <w:color w:val="auto"/>
        </w:rPr>
        <w:t>xxxxxxxxxxxxxx</w:t>
      </w:r>
      <w:r w:rsidR="00D91B08">
        <w:rPr>
          <w:caps/>
          <w:color w:val="auto"/>
        </w:rPr>
        <w:t xml:space="preserve">                                                                   </w:t>
      </w:r>
      <w:r w:rsidRPr="00EE3F2F">
        <w:rPr>
          <w:caps/>
          <w:color w:val="auto"/>
        </w:rPr>
        <w:t xml:space="preserve">BRANCH OF SERVICE: </w:t>
      </w:r>
      <w:r w:rsidR="00DF70F4" w:rsidRPr="00EE3F2F">
        <w:rPr>
          <w:caps/>
          <w:color w:val="auto"/>
        </w:rPr>
        <w:t>Army</w:t>
      </w:r>
    </w:p>
    <w:p w:rsidR="0095270D" w:rsidRPr="00F64312" w:rsidRDefault="0095270D" w:rsidP="00DD5558">
      <w:pPr>
        <w:tabs>
          <w:tab w:val="right" w:pos="9360"/>
        </w:tabs>
        <w:jc w:val="both"/>
        <w:rPr>
          <w:color w:val="auto"/>
        </w:rPr>
      </w:pPr>
      <w:r w:rsidRPr="00EE3F2F">
        <w:rPr>
          <w:caps/>
          <w:color w:val="auto"/>
        </w:rPr>
        <w:t>CASE NUMBER:  PD</w:t>
      </w:r>
      <w:r w:rsidR="001657BE" w:rsidRPr="00EE3F2F">
        <w:rPr>
          <w:caps/>
          <w:color w:val="auto"/>
        </w:rPr>
        <w:t>12</w:t>
      </w:r>
      <w:r w:rsidRPr="00EE3F2F">
        <w:rPr>
          <w:caps/>
          <w:color w:val="auto"/>
        </w:rPr>
        <w:t>00</w:t>
      </w:r>
      <w:r w:rsidR="004846AC" w:rsidRPr="00EE3F2F">
        <w:rPr>
          <w:caps/>
          <w:color w:val="auto"/>
        </w:rPr>
        <w:t>100</w:t>
      </w:r>
      <w:r w:rsidR="00DD5558" w:rsidRPr="00EE3F2F">
        <w:rPr>
          <w:color w:val="auto"/>
        </w:rPr>
        <w:tab/>
      </w:r>
      <w:r w:rsidR="0018208F" w:rsidRPr="00EE3F2F">
        <w:rPr>
          <w:color w:val="auto"/>
        </w:rPr>
        <w:t>SE</w:t>
      </w:r>
      <w:r w:rsidRPr="00EE3F2F">
        <w:rPr>
          <w:color w:val="auto"/>
        </w:rPr>
        <w:t>PARATION DATE:  200</w:t>
      </w:r>
      <w:r w:rsidR="004846AC" w:rsidRPr="00EE3F2F">
        <w:rPr>
          <w:color w:val="auto"/>
        </w:rPr>
        <w:t>70817</w:t>
      </w:r>
    </w:p>
    <w:p w:rsidR="009D50C4"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EE3F2F">
        <w:rPr>
          <w:caps/>
          <w:color w:val="auto"/>
        </w:rPr>
        <w:t>0809</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9D50C4"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F85F77">
        <w:rPr>
          <w:color w:val="auto"/>
        </w:rPr>
        <w:t>active duty</w:t>
      </w:r>
      <w:r w:rsidR="00F85F77" w:rsidRPr="00F85F77">
        <w:rPr>
          <w:color w:val="auto"/>
        </w:rPr>
        <w:t xml:space="preserve"> Soldier, </w:t>
      </w:r>
      <w:r w:rsidR="0017172C" w:rsidRPr="00F85F77">
        <w:rPr>
          <w:color w:val="auto"/>
        </w:rPr>
        <w:t>S</w:t>
      </w:r>
      <w:r w:rsidR="00F85F77" w:rsidRPr="00F85F77">
        <w:rPr>
          <w:color w:val="auto"/>
        </w:rPr>
        <w:t>S</w:t>
      </w:r>
      <w:r w:rsidR="0017172C" w:rsidRPr="00F85F77">
        <w:rPr>
          <w:color w:val="auto"/>
        </w:rPr>
        <w:t>G/E-</w:t>
      </w:r>
      <w:r w:rsidR="00F85F77" w:rsidRPr="00F85F77">
        <w:rPr>
          <w:color w:val="auto"/>
        </w:rPr>
        <w:t>6</w:t>
      </w:r>
      <w:r w:rsidRPr="00F85F77">
        <w:rPr>
          <w:color w:val="auto"/>
        </w:rPr>
        <w:t>(</w:t>
      </w:r>
      <w:r w:rsidR="00F85F77" w:rsidRPr="00F85F77">
        <w:rPr>
          <w:color w:val="auto"/>
        </w:rPr>
        <w:t xml:space="preserve">19K, </w:t>
      </w:r>
      <w:r w:rsidR="00F85F77" w:rsidRPr="009D50C4">
        <w:rPr>
          <w:color w:val="auto"/>
        </w:rPr>
        <w:t xml:space="preserve">Tank </w:t>
      </w:r>
      <w:r w:rsidR="00085FC1">
        <w:rPr>
          <w:color w:val="auto"/>
        </w:rPr>
        <w:t>Crewman</w:t>
      </w:r>
      <w:r w:rsidR="00A70270" w:rsidRPr="009D50C4">
        <w:rPr>
          <w:color w:val="auto"/>
        </w:rPr>
        <w:t>)</w:t>
      </w:r>
      <w:r w:rsidR="00565636" w:rsidRPr="009D50C4">
        <w:rPr>
          <w:color w:val="auto"/>
        </w:rPr>
        <w:t>,</w:t>
      </w:r>
      <w:r w:rsidR="00A70270" w:rsidRPr="009D50C4">
        <w:rPr>
          <w:color w:val="auto"/>
        </w:rPr>
        <w:t xml:space="preserve"> </w:t>
      </w:r>
      <w:r w:rsidRPr="009D50C4">
        <w:rPr>
          <w:color w:val="auto"/>
        </w:rPr>
        <w:t>medically separated for</w:t>
      </w:r>
      <w:r w:rsidR="00341895" w:rsidRPr="009D50C4">
        <w:rPr>
          <w:color w:val="auto"/>
        </w:rPr>
        <w:t xml:space="preserve"> chronic cough </w:t>
      </w:r>
      <w:r w:rsidR="009D50C4">
        <w:rPr>
          <w:color w:val="auto"/>
        </w:rPr>
        <w:t>condition</w:t>
      </w:r>
      <w:r w:rsidR="0021565F" w:rsidRPr="009D50C4">
        <w:rPr>
          <w:color w:val="auto"/>
          <w:szCs w:val="24"/>
        </w:rPr>
        <w:t>.</w:t>
      </w:r>
      <w:r w:rsidR="006D5E1E" w:rsidRPr="009D50C4">
        <w:rPr>
          <w:color w:val="auto"/>
          <w:szCs w:val="24"/>
        </w:rPr>
        <w:t xml:space="preserve">  </w:t>
      </w:r>
      <w:r w:rsidR="00F15483" w:rsidRPr="009D50C4">
        <w:rPr>
          <w:color w:val="auto"/>
        </w:rPr>
        <w:t>The CI did not im</w:t>
      </w:r>
      <w:r w:rsidR="009D50C4" w:rsidRPr="009D50C4">
        <w:rPr>
          <w:color w:val="auto"/>
        </w:rPr>
        <w:t xml:space="preserve">prove adequately with treatment </w:t>
      </w:r>
      <w:r w:rsidR="00F566B7" w:rsidRPr="009D50C4">
        <w:rPr>
          <w:color w:val="auto"/>
        </w:rPr>
        <w:t>to meet the physical requirements of his Military Occupational Specialty (MOS)</w:t>
      </w:r>
      <w:r w:rsidR="009D50C4" w:rsidRPr="009D50C4">
        <w:rPr>
          <w:color w:val="auto"/>
        </w:rPr>
        <w:t xml:space="preserve"> </w:t>
      </w:r>
      <w:r w:rsidR="009D50C4" w:rsidRPr="00F64312">
        <w:rPr>
          <w:color w:val="auto"/>
        </w:rPr>
        <w:t xml:space="preserve">or satisfy physical fitness standards.  </w:t>
      </w:r>
      <w:r w:rsidR="009C12A1" w:rsidRPr="00A923F8">
        <w:rPr>
          <w:color w:val="auto"/>
        </w:rPr>
        <w:t>He</w:t>
      </w:r>
      <w:r w:rsidR="009C12A1" w:rsidRPr="00F64312">
        <w:rPr>
          <w:color w:val="auto"/>
        </w:rPr>
        <w:t xml:space="preserve"> </w:t>
      </w:r>
      <w:r w:rsidR="00F566B7" w:rsidRPr="00F64312">
        <w:rPr>
          <w:color w:val="auto"/>
        </w:rPr>
        <w:t xml:space="preserve">was issued a </w:t>
      </w:r>
      <w:r w:rsidR="00F566B7" w:rsidRPr="00A923F8">
        <w:rPr>
          <w:color w:val="auto"/>
        </w:rPr>
        <w:t xml:space="preserve">permanent </w:t>
      </w:r>
      <w:r w:rsidR="00A923F8" w:rsidRPr="00A923F8">
        <w:rPr>
          <w:color w:val="auto"/>
        </w:rPr>
        <w:t>P</w:t>
      </w:r>
      <w:r w:rsidR="00F566B7" w:rsidRPr="00A923F8">
        <w:rPr>
          <w:color w:val="auto"/>
        </w:rPr>
        <w:t>3 profile</w:t>
      </w:r>
      <w:r w:rsidR="00252A84" w:rsidRPr="00F64312">
        <w:rPr>
          <w:color w:val="auto"/>
        </w:rPr>
        <w:t xml:space="preserve"> </w:t>
      </w:r>
      <w:r w:rsidR="00F566B7" w:rsidRPr="00F64312">
        <w:rPr>
          <w:color w:val="auto"/>
        </w:rPr>
        <w:t>and</w:t>
      </w:r>
      <w:r w:rsidR="009C12A1" w:rsidRPr="00F64312">
        <w:rPr>
          <w:color w:val="auto"/>
        </w:rPr>
        <w:t xml:space="preserve"> </w:t>
      </w:r>
      <w:r w:rsidR="00F566B7" w:rsidRPr="00F64312">
        <w:rPr>
          <w:color w:val="auto"/>
        </w:rPr>
        <w:t xml:space="preserve">referred for a Medical Evaluation </w:t>
      </w:r>
      <w:r w:rsidR="00F566B7" w:rsidRPr="004C41EF">
        <w:rPr>
          <w:color w:val="auto"/>
        </w:rPr>
        <w:t>Board (MEB).</w:t>
      </w:r>
      <w:r w:rsidR="00F11A00" w:rsidRPr="004C41EF">
        <w:rPr>
          <w:color w:val="auto"/>
        </w:rPr>
        <w:t xml:space="preserve"> </w:t>
      </w:r>
      <w:r w:rsidR="00320A16" w:rsidRPr="004C41EF">
        <w:rPr>
          <w:color w:val="auto"/>
        </w:rPr>
        <w:t xml:space="preserve"> The first MEB in April 2004 forwarded asthma to the </w:t>
      </w:r>
      <w:r w:rsidR="00D91B08">
        <w:rPr>
          <w:color w:val="auto"/>
        </w:rPr>
        <w:t>Physical Evaluation Board (</w:t>
      </w:r>
      <w:r w:rsidR="00320A16" w:rsidRPr="004C41EF">
        <w:rPr>
          <w:color w:val="auto"/>
        </w:rPr>
        <w:t>PEB</w:t>
      </w:r>
      <w:r w:rsidR="00D91B08">
        <w:rPr>
          <w:color w:val="auto"/>
        </w:rPr>
        <w:t>)</w:t>
      </w:r>
      <w:r w:rsidR="00320A16" w:rsidRPr="004C41EF">
        <w:rPr>
          <w:color w:val="auto"/>
        </w:rPr>
        <w:t xml:space="preserve"> who found him fit for duty</w:t>
      </w:r>
      <w:r w:rsidR="00EE3F2F" w:rsidRPr="004C41EF">
        <w:rPr>
          <w:color w:val="auto"/>
        </w:rPr>
        <w:t xml:space="preserve"> (FFD)</w:t>
      </w:r>
      <w:r w:rsidR="00320A16" w:rsidRPr="004C41EF">
        <w:rPr>
          <w:color w:val="auto"/>
        </w:rPr>
        <w:t>.</w:t>
      </w:r>
      <w:r w:rsidR="006D5E1E" w:rsidRPr="004C41EF">
        <w:rPr>
          <w:color w:val="auto"/>
        </w:rPr>
        <w:t xml:space="preserve"> </w:t>
      </w:r>
      <w:r w:rsidR="009D50C4" w:rsidRPr="004C41EF">
        <w:rPr>
          <w:color w:val="auto"/>
        </w:rPr>
        <w:t xml:space="preserve"> </w:t>
      </w:r>
      <w:r w:rsidR="00F11A00" w:rsidRPr="004C41EF">
        <w:rPr>
          <w:color w:val="auto"/>
        </w:rPr>
        <w:t xml:space="preserve">A second MEB was completed in February 2007 for progressive worsening cough.  </w:t>
      </w:r>
      <w:r w:rsidR="009D50C4" w:rsidRPr="004C41EF">
        <w:rPr>
          <w:color w:val="auto"/>
        </w:rPr>
        <w:t>V</w:t>
      </w:r>
      <w:r w:rsidR="0091242B" w:rsidRPr="004C41EF">
        <w:rPr>
          <w:color w:val="auto"/>
        </w:rPr>
        <w:t xml:space="preserve">iolent coughing of unknown etiology </w:t>
      </w:r>
      <w:r w:rsidR="009D50C4" w:rsidRPr="004C41EF">
        <w:rPr>
          <w:color w:val="auto"/>
        </w:rPr>
        <w:t>was forwarded to the P</w:t>
      </w:r>
      <w:r w:rsidR="00D91B08">
        <w:rPr>
          <w:color w:val="auto"/>
        </w:rPr>
        <w:t>EB</w:t>
      </w:r>
      <w:r w:rsidR="009D50C4" w:rsidRPr="004C41EF">
        <w:rPr>
          <w:color w:val="auto"/>
        </w:rPr>
        <w:t xml:space="preserve"> as medically unacceptable IAW AR 40-501</w:t>
      </w:r>
      <w:r w:rsidR="00F15483" w:rsidRPr="004C41EF">
        <w:rPr>
          <w:color w:val="auto"/>
        </w:rPr>
        <w:t>.</w:t>
      </w:r>
      <w:r w:rsidR="009D50C4" w:rsidRPr="004C41EF">
        <w:rPr>
          <w:color w:val="auto"/>
        </w:rPr>
        <w:t xml:space="preserve">  No other conditions appeared on the MEB’s submission.  </w:t>
      </w:r>
      <w:r w:rsidRPr="004C41EF">
        <w:rPr>
          <w:color w:val="auto"/>
        </w:rPr>
        <w:t xml:space="preserve">The PEB adjudicated the </w:t>
      </w:r>
      <w:r w:rsidR="00836838" w:rsidRPr="004C41EF">
        <w:rPr>
          <w:color w:val="auto"/>
        </w:rPr>
        <w:t xml:space="preserve">chronic cough </w:t>
      </w:r>
      <w:r w:rsidR="009D50C4" w:rsidRPr="004C41EF">
        <w:rPr>
          <w:color w:val="auto"/>
        </w:rPr>
        <w:t>condition</w:t>
      </w:r>
      <w:r w:rsidR="00836838" w:rsidRPr="004C41EF">
        <w:rPr>
          <w:color w:val="auto"/>
        </w:rPr>
        <w:t xml:space="preserve"> </w:t>
      </w:r>
      <w:r w:rsidR="008530E3" w:rsidRPr="004C41EF">
        <w:rPr>
          <w:color w:val="auto"/>
        </w:rPr>
        <w:t>as unfitting, rat</w:t>
      </w:r>
      <w:r w:rsidR="00836838" w:rsidRPr="004C41EF">
        <w:rPr>
          <w:color w:val="auto"/>
        </w:rPr>
        <w:t>ing it</w:t>
      </w:r>
      <w:r w:rsidR="008530E3" w:rsidRPr="004C41EF">
        <w:rPr>
          <w:color w:val="auto"/>
        </w:rPr>
        <w:t xml:space="preserve"> </w:t>
      </w:r>
      <w:r w:rsidR="00836838" w:rsidRPr="004C41EF">
        <w:rPr>
          <w:color w:val="auto"/>
        </w:rPr>
        <w:t>10</w:t>
      </w:r>
      <w:r w:rsidRPr="004C41EF">
        <w:rPr>
          <w:color w:val="auto"/>
        </w:rPr>
        <w:t>%</w:t>
      </w:r>
      <w:r w:rsidR="00836838" w:rsidRPr="004C41EF">
        <w:rPr>
          <w:color w:val="auto"/>
        </w:rPr>
        <w:t xml:space="preserve"> </w:t>
      </w:r>
      <w:r w:rsidR="00E46D90" w:rsidRPr="004C41EF">
        <w:rPr>
          <w:color w:val="auto"/>
        </w:rPr>
        <w:t xml:space="preserve">with application of the </w:t>
      </w:r>
      <w:r w:rsidRPr="004C41EF">
        <w:rPr>
          <w:color w:val="auto"/>
        </w:rPr>
        <w:t>Veteran</w:t>
      </w:r>
      <w:r w:rsidR="00BF72CA" w:rsidRPr="004C41EF">
        <w:rPr>
          <w:color w:val="auto"/>
        </w:rPr>
        <w:t>’</w:t>
      </w:r>
      <w:r w:rsidRPr="004C41EF">
        <w:rPr>
          <w:color w:val="auto"/>
        </w:rPr>
        <w:t>s A</w:t>
      </w:r>
      <w:r w:rsidR="00BF72CA" w:rsidRPr="004C41EF">
        <w:rPr>
          <w:color w:val="auto"/>
        </w:rPr>
        <w:t>ffairs</w:t>
      </w:r>
      <w:r w:rsidRPr="004C41EF">
        <w:rPr>
          <w:color w:val="auto"/>
        </w:rPr>
        <w:t xml:space="preserve"> Schedule for Rating Disabilities (VASRD)</w:t>
      </w:r>
      <w:r w:rsidR="00836838" w:rsidRPr="004C41EF">
        <w:rPr>
          <w:color w:val="auto"/>
        </w:rPr>
        <w:t>.</w:t>
      </w:r>
      <w:r w:rsidR="00165C7B" w:rsidRPr="004C41EF">
        <w:rPr>
          <w:color w:val="auto"/>
        </w:rPr>
        <w:t xml:space="preserve"> </w:t>
      </w:r>
      <w:r w:rsidR="009D50C4" w:rsidRPr="004C41EF">
        <w:rPr>
          <w:color w:val="auto"/>
        </w:rPr>
        <w:t xml:space="preserve"> </w:t>
      </w:r>
      <w:r w:rsidRPr="004C41EF">
        <w:rPr>
          <w:color w:val="auto"/>
        </w:rPr>
        <w:t xml:space="preserve">The CI made no appeals, and was medically separated with </w:t>
      </w:r>
      <w:r w:rsidR="0066684A" w:rsidRPr="004C41EF">
        <w:rPr>
          <w:color w:val="auto"/>
        </w:rPr>
        <w:t xml:space="preserve">a </w:t>
      </w:r>
      <w:r w:rsidR="00615382" w:rsidRPr="004C41EF">
        <w:rPr>
          <w:color w:val="auto"/>
        </w:rPr>
        <w:t>10</w:t>
      </w:r>
      <w:r w:rsidR="0066684A" w:rsidRPr="004C41EF">
        <w:rPr>
          <w:color w:val="auto"/>
        </w:rPr>
        <w:t xml:space="preserve">% </w:t>
      </w:r>
      <w:r w:rsidRPr="004C41EF">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C3377E" w:rsidRDefault="00AD2379" w:rsidP="00C3377E">
      <w:pPr>
        <w:autoSpaceDE w:val="0"/>
        <w:autoSpaceDN w:val="0"/>
        <w:adjustRightInd w:val="0"/>
        <w:jc w:val="left"/>
        <w:rPr>
          <w:color w:val="auto"/>
          <w:szCs w:val="24"/>
        </w:rPr>
      </w:pPr>
      <w:r w:rsidRPr="00F64312">
        <w:rPr>
          <w:color w:val="auto"/>
          <w:u w:val="single"/>
        </w:rPr>
        <w:t>CI CONTENTION</w:t>
      </w:r>
      <w:r w:rsidRPr="00F64312">
        <w:rPr>
          <w:color w:val="auto"/>
        </w:rPr>
        <w:t>:</w:t>
      </w:r>
      <w:r w:rsidR="0066684A" w:rsidRPr="00F64312">
        <w:rPr>
          <w:color w:val="auto"/>
        </w:rPr>
        <w:t xml:space="preserve"> </w:t>
      </w:r>
      <w:r w:rsidR="008C74E2">
        <w:rPr>
          <w:color w:val="auto"/>
        </w:rPr>
        <w:t>The CI states</w:t>
      </w:r>
      <w:r w:rsidR="008C74E2" w:rsidRPr="00C3377E">
        <w:rPr>
          <w:color w:val="auto"/>
          <w:szCs w:val="24"/>
        </w:rPr>
        <w:t xml:space="preserve">: “after separation from us army with 10% rating for asthma and 100% ptsd </w:t>
      </w:r>
      <w:r w:rsidR="00580933">
        <w:rPr>
          <w:color w:val="auto"/>
          <w:szCs w:val="24"/>
        </w:rPr>
        <w:t>[</w:t>
      </w:r>
      <w:r w:rsidR="00580933" w:rsidRPr="00580933">
        <w:rPr>
          <w:i/>
          <w:color w:val="auto"/>
          <w:szCs w:val="24"/>
        </w:rPr>
        <w:t>sic]</w:t>
      </w:r>
      <w:r w:rsidR="00580933">
        <w:rPr>
          <w:color w:val="auto"/>
          <w:szCs w:val="24"/>
        </w:rPr>
        <w:t xml:space="preserve"> </w:t>
      </w:r>
      <w:r w:rsidR="008C74E2" w:rsidRPr="00C3377E">
        <w:rPr>
          <w:color w:val="auto"/>
          <w:szCs w:val="24"/>
        </w:rPr>
        <w:t xml:space="preserve">both conditions were connected to service effective date a </w:t>
      </w:r>
      <w:r w:rsidR="00F96A64">
        <w:rPr>
          <w:color w:val="auto"/>
          <w:szCs w:val="24"/>
        </w:rPr>
        <w:t>[</w:t>
      </w:r>
      <w:r w:rsidR="00F96A64" w:rsidRPr="00F96A64">
        <w:rPr>
          <w:i/>
          <w:color w:val="auto"/>
          <w:szCs w:val="24"/>
        </w:rPr>
        <w:t>sic</w:t>
      </w:r>
      <w:r w:rsidR="00F96A64">
        <w:rPr>
          <w:color w:val="auto"/>
          <w:szCs w:val="24"/>
        </w:rPr>
        <w:t xml:space="preserve">] </w:t>
      </w:r>
      <w:r w:rsidR="008C74E2" w:rsidRPr="00C3377E">
        <w:rPr>
          <w:color w:val="auto"/>
          <w:szCs w:val="24"/>
        </w:rPr>
        <w:t>in the interest of justice I request that a waiver for time expiration be considered since my case is older than 4 yrs and I did not came about this information until it was published in news papers and from my dav rep</w:t>
      </w:r>
      <w:r w:rsidR="00C3377E" w:rsidRPr="00C3377E">
        <w:rPr>
          <w:color w:val="auto"/>
          <w:szCs w:val="24"/>
        </w:rPr>
        <w:t xml:space="preserve"> around 24 jan 2011</w:t>
      </w:r>
      <w:r w:rsidR="008C74E2" w:rsidRPr="00C3377E">
        <w:rPr>
          <w:color w:val="auto"/>
          <w:szCs w:val="24"/>
        </w:rPr>
        <w:t>.</w:t>
      </w:r>
      <w:r w:rsidR="00C3377E" w:rsidRPr="00C3377E">
        <w:rPr>
          <w:color w:val="auto"/>
          <w:szCs w:val="24"/>
        </w:rPr>
        <w:t>”</w:t>
      </w:r>
      <w:r w:rsidR="00C3377E">
        <w:rPr>
          <w:color w:val="auto"/>
          <w:szCs w:val="24"/>
        </w:rPr>
        <w:t xml:space="preserve"> </w:t>
      </w:r>
      <w:r w:rsidR="00165C7B" w:rsidRPr="00C3377E">
        <w:rPr>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r w:rsidR="002F2E24">
        <w:rPr>
          <w:color w:val="auto"/>
        </w:rPr>
        <w:t>.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D91B08">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009D50C4">
        <w:rPr>
          <w:color w:val="auto"/>
        </w:rPr>
        <w:t xml:space="preserve"> </w:t>
      </w:r>
      <w:r w:rsidR="00EB3117" w:rsidRPr="00EB3117">
        <w:rPr>
          <w:color w:val="auto"/>
        </w:rPr>
        <w:t xml:space="preserve">The other requested condition of </w:t>
      </w:r>
      <w:r w:rsidR="00D903F9">
        <w:rPr>
          <w:color w:val="auto"/>
        </w:rPr>
        <w:t>posttraumatic stress disorder (</w:t>
      </w:r>
      <w:r w:rsidR="00EB3117" w:rsidRPr="00EB3117">
        <w:rPr>
          <w:color w:val="auto"/>
        </w:rPr>
        <w:t>PTSD</w:t>
      </w:r>
      <w:r w:rsidR="00D903F9">
        <w:rPr>
          <w:color w:val="auto"/>
        </w:rPr>
        <w:t>)</w:t>
      </w:r>
      <w:r w:rsidR="00EB3117" w:rsidRPr="00EB3117">
        <w:rPr>
          <w:color w:val="auto"/>
        </w:rPr>
        <w:t xml:space="preserve"> is not within the Board’s purview.</w:t>
      </w:r>
      <w:r w:rsidR="00EB3117">
        <w:rPr>
          <w:color w:val="auto"/>
        </w:rPr>
        <w:t xml:space="preserve"> </w:t>
      </w:r>
      <w:r w:rsidR="009D50C4">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DD25A4">
        <w:rPr>
          <w:color w:val="auto"/>
        </w:rPr>
        <w:t>the Army Board for the Correction of Military Records (BCMR)</w:t>
      </w:r>
      <w:r w:rsidR="00DD25A4" w:rsidRPr="00DD25A4">
        <w:rPr>
          <w:color w:val="auto"/>
        </w:rPr>
        <w:t>.</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455" w:type="dxa"/>
        <w:jc w:val="center"/>
        <w:tblInd w:w="9" w:type="dxa"/>
        <w:tblLayout w:type="fixed"/>
        <w:tblLook w:val="00A0"/>
      </w:tblPr>
      <w:tblGrid>
        <w:gridCol w:w="2169"/>
        <w:gridCol w:w="1080"/>
        <w:gridCol w:w="720"/>
        <w:gridCol w:w="2610"/>
        <w:gridCol w:w="1166"/>
        <w:gridCol w:w="720"/>
        <w:gridCol w:w="990"/>
      </w:tblGrid>
      <w:tr w:rsidR="00F90376" w:rsidRPr="00F64312" w:rsidTr="008032EA">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160728">
            <w:pPr>
              <w:spacing w:line="180" w:lineRule="exact"/>
              <w:contextualSpacing/>
              <w:rPr>
                <w:rFonts w:cs="Calibri"/>
                <w:b/>
                <w:color w:val="auto"/>
                <w:sz w:val="18"/>
              </w:rPr>
            </w:pPr>
            <w:r w:rsidRPr="00F64312">
              <w:rPr>
                <w:b/>
                <w:color w:val="auto"/>
                <w:sz w:val="18"/>
              </w:rPr>
              <w:t xml:space="preserve">Service PEB – Dated </w:t>
            </w:r>
            <w:r w:rsidRPr="00160728">
              <w:rPr>
                <w:b/>
                <w:color w:val="auto"/>
                <w:sz w:val="18"/>
              </w:rPr>
              <w:t>200</w:t>
            </w:r>
            <w:r w:rsidR="00160728" w:rsidRPr="00160728">
              <w:rPr>
                <w:b/>
                <w:color w:val="auto"/>
                <w:sz w:val="18"/>
              </w:rPr>
              <w:t>70615</w:t>
            </w:r>
          </w:p>
        </w:tc>
        <w:tc>
          <w:tcPr>
            <w:tcW w:w="5486" w:type="dxa"/>
            <w:gridSpan w:val="4"/>
            <w:tcBorders>
              <w:left w:val="thinThickThinSmallGap" w:sz="24" w:space="0" w:color="auto"/>
            </w:tcBorders>
            <w:shd w:val="clear" w:color="auto" w:fill="D9D9D9"/>
            <w:vAlign w:val="center"/>
          </w:tcPr>
          <w:p w:rsidR="00F90376" w:rsidRPr="00F64312" w:rsidRDefault="00F90376" w:rsidP="00E402DB">
            <w:pPr>
              <w:spacing w:line="180" w:lineRule="exact"/>
              <w:contextualSpacing/>
              <w:rPr>
                <w:rFonts w:cs="Calibri"/>
                <w:b/>
                <w:color w:val="auto"/>
                <w:sz w:val="18"/>
              </w:rPr>
            </w:pPr>
            <w:r w:rsidRPr="00F64312">
              <w:rPr>
                <w:b/>
                <w:color w:val="auto"/>
                <w:sz w:val="18"/>
              </w:rPr>
              <w:t>VA (</w:t>
            </w:r>
            <w:r w:rsidR="006F0FC8">
              <w:rPr>
                <w:b/>
                <w:color w:val="auto"/>
                <w:sz w:val="18"/>
              </w:rPr>
              <w:t>1</w:t>
            </w:r>
            <w:r w:rsidRPr="00F64312">
              <w:rPr>
                <w:b/>
                <w:color w:val="auto"/>
                <w:sz w:val="18"/>
              </w:rPr>
              <w:t xml:space="preserve"> Mos. </w:t>
            </w:r>
            <w:r w:rsidRPr="006F0FC8">
              <w:rPr>
                <w:b/>
                <w:color w:val="auto"/>
                <w:sz w:val="18"/>
              </w:rPr>
              <w:t>Post</w:t>
            </w:r>
            <w:r w:rsidRPr="00F64312">
              <w:rPr>
                <w:b/>
                <w:color w:val="auto"/>
                <w:sz w:val="18"/>
              </w:rPr>
              <w:t>-Separation) – All Effective</w:t>
            </w:r>
            <w:r w:rsidR="006F0FC8">
              <w:rPr>
                <w:b/>
                <w:color w:val="auto"/>
                <w:sz w:val="18"/>
              </w:rPr>
              <w:t>:</w:t>
            </w:r>
            <w:r w:rsidRPr="00F64312">
              <w:rPr>
                <w:b/>
                <w:color w:val="auto"/>
                <w:sz w:val="18"/>
              </w:rPr>
              <w:t xml:space="preserve"> </w:t>
            </w:r>
            <w:r w:rsidR="00E402DB">
              <w:rPr>
                <w:b/>
                <w:color w:val="auto"/>
                <w:sz w:val="18"/>
              </w:rPr>
              <w:t>20070818</w:t>
            </w:r>
          </w:p>
        </w:tc>
      </w:tr>
      <w:tr w:rsidR="00F90376" w:rsidRPr="00F64312" w:rsidTr="008032EA">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166"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8032EA">
        <w:trPr>
          <w:trHeight w:val="118"/>
          <w:jc w:val="center"/>
        </w:trPr>
        <w:tc>
          <w:tcPr>
            <w:tcW w:w="2169" w:type="dxa"/>
            <w:tcBorders>
              <w:right w:val="single" w:sz="4" w:space="0" w:color="auto"/>
            </w:tcBorders>
            <w:shd w:val="clear" w:color="auto" w:fill="FFFFFF"/>
            <w:vAlign w:val="center"/>
          </w:tcPr>
          <w:p w:rsidR="00F90376" w:rsidRPr="00F64312" w:rsidRDefault="00160728" w:rsidP="006B690F">
            <w:pPr>
              <w:spacing w:line="180" w:lineRule="exact"/>
              <w:contextualSpacing/>
              <w:jc w:val="left"/>
              <w:rPr>
                <w:rFonts w:cs="Calibri"/>
                <w:color w:val="auto"/>
                <w:sz w:val="18"/>
              </w:rPr>
            </w:pPr>
            <w:r>
              <w:rPr>
                <w:rFonts w:cs="Calibri"/>
                <w:color w:val="auto"/>
                <w:sz w:val="18"/>
              </w:rPr>
              <w:t>Chronic Cough of Unknown Etiology</w:t>
            </w:r>
          </w:p>
        </w:tc>
        <w:tc>
          <w:tcPr>
            <w:tcW w:w="1080" w:type="dxa"/>
            <w:tcBorders>
              <w:left w:val="single" w:sz="4" w:space="0" w:color="auto"/>
            </w:tcBorders>
            <w:shd w:val="clear" w:color="auto" w:fill="FFFFFF"/>
            <w:vAlign w:val="center"/>
          </w:tcPr>
          <w:p w:rsidR="00F90376" w:rsidRPr="00F64312" w:rsidRDefault="00160728" w:rsidP="006B690F">
            <w:pPr>
              <w:spacing w:line="180" w:lineRule="exact"/>
              <w:contextualSpacing/>
              <w:rPr>
                <w:rFonts w:cs="Calibri"/>
                <w:color w:val="auto"/>
                <w:sz w:val="18"/>
              </w:rPr>
            </w:pPr>
            <w:r>
              <w:rPr>
                <w:rFonts w:cs="Calibri"/>
                <w:color w:val="auto"/>
                <w:sz w:val="18"/>
              </w:rPr>
              <w:t>6699-6602</w:t>
            </w:r>
          </w:p>
        </w:tc>
        <w:tc>
          <w:tcPr>
            <w:tcW w:w="720" w:type="dxa"/>
            <w:tcBorders>
              <w:right w:val="thinThickThinSmallGap" w:sz="24" w:space="0" w:color="auto"/>
            </w:tcBorders>
            <w:shd w:val="clear" w:color="auto" w:fill="FFFFFF"/>
            <w:vAlign w:val="center"/>
          </w:tcPr>
          <w:p w:rsidR="00F90376" w:rsidRPr="00F64312" w:rsidRDefault="00160728"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F90376" w:rsidRPr="00F64312" w:rsidRDefault="001B17BB" w:rsidP="0017172C">
            <w:pPr>
              <w:spacing w:line="180" w:lineRule="exact"/>
              <w:contextualSpacing/>
              <w:jc w:val="left"/>
              <w:rPr>
                <w:rFonts w:cs="Calibri"/>
                <w:color w:val="auto"/>
                <w:sz w:val="18"/>
              </w:rPr>
            </w:pPr>
            <w:r>
              <w:rPr>
                <w:color w:val="auto"/>
                <w:sz w:val="18"/>
                <w:szCs w:val="18"/>
              </w:rPr>
              <w:t>Bronchial Asthma also claimed as Chronic Cough of Unknown Etiology</w:t>
            </w:r>
            <w:r>
              <w:rPr>
                <w:rFonts w:cs="Calibri"/>
                <w:color w:val="auto"/>
                <w:sz w:val="18"/>
              </w:rPr>
              <w:t xml:space="preserve"> </w:t>
            </w:r>
            <w:r w:rsidR="00A77361">
              <w:rPr>
                <w:rFonts w:cs="Calibri"/>
                <w:color w:val="auto"/>
                <w:sz w:val="18"/>
              </w:rPr>
              <w:t>*</w:t>
            </w:r>
          </w:p>
        </w:tc>
        <w:tc>
          <w:tcPr>
            <w:tcW w:w="1166" w:type="dxa"/>
            <w:shd w:val="clear" w:color="auto" w:fill="FFFFFF"/>
            <w:vAlign w:val="center"/>
          </w:tcPr>
          <w:p w:rsidR="00F90376" w:rsidRPr="00F64312" w:rsidRDefault="00514F03" w:rsidP="0017172C">
            <w:pPr>
              <w:spacing w:line="180" w:lineRule="exact"/>
              <w:contextualSpacing/>
              <w:rPr>
                <w:rFonts w:cs="Calibri"/>
                <w:color w:val="auto"/>
                <w:sz w:val="18"/>
              </w:rPr>
            </w:pPr>
            <w:r>
              <w:rPr>
                <w:rFonts w:cs="Calibri"/>
                <w:color w:val="auto"/>
                <w:sz w:val="18"/>
              </w:rPr>
              <w:t>6699-6602</w:t>
            </w:r>
            <w:r w:rsidR="00A77361">
              <w:rPr>
                <w:rFonts w:cs="Calibri"/>
                <w:color w:val="auto"/>
                <w:sz w:val="18"/>
              </w:rPr>
              <w:t>*</w:t>
            </w:r>
          </w:p>
        </w:tc>
        <w:tc>
          <w:tcPr>
            <w:tcW w:w="720" w:type="dxa"/>
            <w:shd w:val="clear" w:color="auto" w:fill="FFFFFF"/>
            <w:vAlign w:val="center"/>
          </w:tcPr>
          <w:p w:rsidR="00F90376" w:rsidRPr="00F64312" w:rsidRDefault="00514F03" w:rsidP="0017172C">
            <w:pPr>
              <w:spacing w:line="180" w:lineRule="exact"/>
              <w:contextualSpacing/>
              <w:rPr>
                <w:rFonts w:cs="Calibri"/>
                <w:color w:val="auto"/>
                <w:sz w:val="18"/>
              </w:rPr>
            </w:pPr>
            <w:r>
              <w:rPr>
                <w:rFonts w:cs="Calibri"/>
                <w:color w:val="auto"/>
                <w:sz w:val="18"/>
              </w:rPr>
              <w:t>30%</w:t>
            </w:r>
            <w:r w:rsidR="00A77361">
              <w:rPr>
                <w:rFonts w:cs="Calibri"/>
                <w:color w:val="auto"/>
                <w:sz w:val="18"/>
              </w:rPr>
              <w:t>*</w:t>
            </w:r>
          </w:p>
        </w:tc>
        <w:tc>
          <w:tcPr>
            <w:tcW w:w="990" w:type="dxa"/>
            <w:shd w:val="clear" w:color="auto" w:fill="FFFFFF"/>
            <w:vAlign w:val="center"/>
          </w:tcPr>
          <w:p w:rsidR="00F90376" w:rsidRPr="00F64312" w:rsidRDefault="00A314B6" w:rsidP="001B17BB">
            <w:pPr>
              <w:spacing w:line="180" w:lineRule="exact"/>
              <w:contextualSpacing/>
              <w:rPr>
                <w:rFonts w:cs="Calibri"/>
                <w:color w:val="auto"/>
                <w:sz w:val="18"/>
              </w:rPr>
            </w:pPr>
            <w:r w:rsidRPr="006F0FC8">
              <w:rPr>
                <w:color w:val="auto"/>
                <w:sz w:val="18"/>
              </w:rPr>
              <w:t>200</w:t>
            </w:r>
            <w:r w:rsidR="001B17BB">
              <w:rPr>
                <w:color w:val="auto"/>
                <w:sz w:val="18"/>
              </w:rPr>
              <w:t>8</w:t>
            </w:r>
            <w:r w:rsidR="006F0FC8" w:rsidRPr="006F0FC8">
              <w:rPr>
                <w:color w:val="auto"/>
                <w:sz w:val="18"/>
              </w:rPr>
              <w:t>0</w:t>
            </w:r>
            <w:r w:rsidR="001B17BB">
              <w:rPr>
                <w:color w:val="auto"/>
                <w:sz w:val="18"/>
              </w:rPr>
              <w:t>619</w:t>
            </w:r>
          </w:p>
        </w:tc>
      </w:tr>
      <w:tr w:rsidR="00A906E9" w:rsidRPr="00F64312" w:rsidTr="008032EA">
        <w:trPr>
          <w:trHeight w:val="118"/>
          <w:jc w:val="center"/>
        </w:trPr>
        <w:tc>
          <w:tcPr>
            <w:tcW w:w="3969" w:type="dxa"/>
            <w:gridSpan w:val="3"/>
            <w:vMerge w:val="restart"/>
            <w:tcBorders>
              <w:right w:val="thinThickThinSmallGap" w:sz="24" w:space="0" w:color="auto"/>
            </w:tcBorders>
            <w:shd w:val="clear" w:color="auto" w:fill="FFFFFF"/>
            <w:vAlign w:val="center"/>
          </w:tcPr>
          <w:p w:rsidR="00A906E9" w:rsidRDefault="00A906E9" w:rsidP="00A906E9">
            <w:pPr>
              <w:spacing w:line="180" w:lineRule="exact"/>
              <w:contextualSpacing/>
              <w:rPr>
                <w:rFonts w:cs="Calibri"/>
                <w:color w:val="auto"/>
                <w:sz w:val="18"/>
                <w:szCs w:val="18"/>
              </w:rPr>
            </w:pPr>
          </w:p>
          <w:p w:rsidR="00A906E9" w:rsidRDefault="00A906E9" w:rsidP="00A906E9">
            <w:pPr>
              <w:spacing w:line="180" w:lineRule="exact"/>
              <w:contextualSpacing/>
              <w:rPr>
                <w:rFonts w:cs="Calibri"/>
                <w:color w:val="auto"/>
                <w:sz w:val="18"/>
              </w:rPr>
            </w:pPr>
            <w:r w:rsidRPr="00F64312">
              <w:rPr>
                <w:rFonts w:cs="Calibri"/>
                <w:color w:val="auto"/>
                <w:sz w:val="18"/>
                <w:szCs w:val="18"/>
              </w:rPr>
              <w:t>↓No Additional MEB/PEB Entries↓</w:t>
            </w:r>
          </w:p>
          <w:p w:rsidR="00A906E9" w:rsidRDefault="00A906E9" w:rsidP="00A906E9">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A906E9" w:rsidRDefault="00A906E9" w:rsidP="0017172C">
            <w:pPr>
              <w:spacing w:line="180" w:lineRule="exact"/>
              <w:contextualSpacing/>
              <w:jc w:val="left"/>
              <w:rPr>
                <w:color w:val="auto"/>
                <w:sz w:val="18"/>
              </w:rPr>
            </w:pPr>
            <w:r>
              <w:rPr>
                <w:color w:val="auto"/>
                <w:sz w:val="18"/>
              </w:rPr>
              <w:t>PTSD**</w:t>
            </w:r>
          </w:p>
        </w:tc>
        <w:tc>
          <w:tcPr>
            <w:tcW w:w="1166" w:type="dxa"/>
            <w:shd w:val="clear" w:color="auto" w:fill="FFFFFF"/>
            <w:vAlign w:val="center"/>
          </w:tcPr>
          <w:p w:rsidR="00A906E9" w:rsidRDefault="00A906E9" w:rsidP="0017172C">
            <w:pPr>
              <w:spacing w:line="180" w:lineRule="exact"/>
              <w:contextualSpacing/>
              <w:rPr>
                <w:color w:val="auto"/>
                <w:sz w:val="18"/>
              </w:rPr>
            </w:pPr>
            <w:r>
              <w:rPr>
                <w:color w:val="auto"/>
                <w:sz w:val="18"/>
              </w:rPr>
              <w:t>9411</w:t>
            </w:r>
          </w:p>
        </w:tc>
        <w:tc>
          <w:tcPr>
            <w:tcW w:w="720" w:type="dxa"/>
            <w:shd w:val="clear" w:color="auto" w:fill="FFFFFF"/>
            <w:vAlign w:val="center"/>
          </w:tcPr>
          <w:p w:rsidR="00A906E9" w:rsidRDefault="00A906E9" w:rsidP="0017172C">
            <w:pPr>
              <w:spacing w:line="180" w:lineRule="exact"/>
              <w:contextualSpacing/>
              <w:rPr>
                <w:color w:val="auto"/>
                <w:sz w:val="18"/>
              </w:rPr>
            </w:pPr>
            <w:r>
              <w:rPr>
                <w:color w:val="auto"/>
                <w:sz w:val="18"/>
              </w:rPr>
              <w:t>100%</w:t>
            </w:r>
          </w:p>
        </w:tc>
        <w:tc>
          <w:tcPr>
            <w:tcW w:w="990" w:type="dxa"/>
            <w:shd w:val="clear" w:color="auto" w:fill="FFFFFF"/>
            <w:vAlign w:val="center"/>
          </w:tcPr>
          <w:p w:rsidR="00A906E9" w:rsidRPr="006F0FC8" w:rsidRDefault="00A906E9" w:rsidP="006F0FC8">
            <w:pPr>
              <w:spacing w:line="180" w:lineRule="exact"/>
              <w:contextualSpacing/>
              <w:rPr>
                <w:color w:val="auto"/>
                <w:sz w:val="18"/>
              </w:rPr>
            </w:pPr>
            <w:r>
              <w:rPr>
                <w:color w:val="auto"/>
                <w:sz w:val="18"/>
              </w:rPr>
              <w:t>20081203</w:t>
            </w:r>
          </w:p>
        </w:tc>
      </w:tr>
      <w:tr w:rsidR="00A906E9" w:rsidRPr="00F64312" w:rsidTr="008032EA">
        <w:trPr>
          <w:trHeight w:val="118"/>
          <w:jc w:val="center"/>
        </w:trPr>
        <w:tc>
          <w:tcPr>
            <w:tcW w:w="3969" w:type="dxa"/>
            <w:gridSpan w:val="3"/>
            <w:vMerge/>
            <w:tcBorders>
              <w:right w:val="thinThickThinSmallGap" w:sz="24" w:space="0" w:color="auto"/>
            </w:tcBorders>
            <w:shd w:val="clear" w:color="auto" w:fill="FFFFFF"/>
            <w:vAlign w:val="center"/>
          </w:tcPr>
          <w:p w:rsidR="00A906E9" w:rsidRDefault="00A906E9" w:rsidP="00A906E9">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A906E9" w:rsidRDefault="00A906E9" w:rsidP="0017172C">
            <w:pPr>
              <w:spacing w:line="180" w:lineRule="exact"/>
              <w:contextualSpacing/>
              <w:jc w:val="left"/>
              <w:rPr>
                <w:color w:val="auto"/>
                <w:sz w:val="18"/>
              </w:rPr>
            </w:pPr>
            <w:r>
              <w:rPr>
                <w:color w:val="auto"/>
                <w:sz w:val="18"/>
              </w:rPr>
              <w:t>Hypertension***</w:t>
            </w:r>
          </w:p>
        </w:tc>
        <w:tc>
          <w:tcPr>
            <w:tcW w:w="1166" w:type="dxa"/>
            <w:shd w:val="clear" w:color="auto" w:fill="FFFFFF"/>
            <w:vAlign w:val="center"/>
          </w:tcPr>
          <w:p w:rsidR="00A906E9" w:rsidRDefault="00A906E9" w:rsidP="0017172C">
            <w:pPr>
              <w:spacing w:line="180" w:lineRule="exact"/>
              <w:contextualSpacing/>
              <w:rPr>
                <w:color w:val="auto"/>
                <w:sz w:val="18"/>
              </w:rPr>
            </w:pPr>
            <w:r>
              <w:rPr>
                <w:color w:val="auto"/>
                <w:sz w:val="18"/>
              </w:rPr>
              <w:t>7101</w:t>
            </w:r>
          </w:p>
        </w:tc>
        <w:tc>
          <w:tcPr>
            <w:tcW w:w="720" w:type="dxa"/>
            <w:shd w:val="clear" w:color="auto" w:fill="FFFFFF"/>
            <w:vAlign w:val="center"/>
          </w:tcPr>
          <w:p w:rsidR="00A906E9" w:rsidRDefault="00A906E9" w:rsidP="0017172C">
            <w:pPr>
              <w:spacing w:line="180" w:lineRule="exact"/>
              <w:contextualSpacing/>
              <w:rPr>
                <w:color w:val="auto"/>
                <w:sz w:val="18"/>
              </w:rPr>
            </w:pPr>
            <w:r>
              <w:rPr>
                <w:color w:val="auto"/>
                <w:sz w:val="18"/>
              </w:rPr>
              <w:t>10%</w:t>
            </w:r>
          </w:p>
        </w:tc>
        <w:tc>
          <w:tcPr>
            <w:tcW w:w="990" w:type="dxa"/>
            <w:shd w:val="clear" w:color="auto" w:fill="FFFFFF"/>
            <w:vAlign w:val="center"/>
          </w:tcPr>
          <w:p w:rsidR="00A906E9" w:rsidRDefault="00A906E9" w:rsidP="006F0FC8">
            <w:pPr>
              <w:spacing w:line="180" w:lineRule="exact"/>
              <w:contextualSpacing/>
              <w:rPr>
                <w:color w:val="auto"/>
                <w:sz w:val="18"/>
              </w:rPr>
            </w:pPr>
            <w:r>
              <w:rPr>
                <w:color w:val="auto"/>
                <w:sz w:val="18"/>
              </w:rPr>
              <w:t>20100421</w:t>
            </w:r>
          </w:p>
        </w:tc>
      </w:tr>
      <w:tr w:rsidR="00A906E9" w:rsidRPr="00F64312" w:rsidTr="008032EA">
        <w:trPr>
          <w:trHeight w:val="172"/>
          <w:jc w:val="center"/>
        </w:trPr>
        <w:tc>
          <w:tcPr>
            <w:tcW w:w="3969" w:type="dxa"/>
            <w:gridSpan w:val="3"/>
            <w:vMerge/>
            <w:tcBorders>
              <w:right w:val="thinThickThinSmallGap" w:sz="24" w:space="0" w:color="auto"/>
            </w:tcBorders>
            <w:shd w:val="clear" w:color="auto" w:fill="FFFFFF"/>
            <w:vAlign w:val="center"/>
          </w:tcPr>
          <w:p w:rsidR="00A906E9" w:rsidRPr="00F64312" w:rsidRDefault="00A906E9" w:rsidP="00A906E9">
            <w:pPr>
              <w:spacing w:line="180" w:lineRule="exact"/>
              <w:contextualSpacing/>
              <w:rPr>
                <w:rFonts w:cs="Calibri"/>
                <w:color w:val="auto"/>
                <w:sz w:val="18"/>
              </w:rPr>
            </w:pPr>
          </w:p>
        </w:tc>
        <w:tc>
          <w:tcPr>
            <w:tcW w:w="4496" w:type="dxa"/>
            <w:gridSpan w:val="3"/>
            <w:tcBorders>
              <w:left w:val="thinThickThinSmallGap" w:sz="24" w:space="0" w:color="auto"/>
            </w:tcBorders>
            <w:shd w:val="clear" w:color="auto" w:fill="FFFFFF"/>
            <w:vAlign w:val="center"/>
          </w:tcPr>
          <w:p w:rsidR="00A906E9" w:rsidRPr="00F64312" w:rsidRDefault="00A906E9" w:rsidP="006F0FC8">
            <w:pPr>
              <w:spacing w:line="180" w:lineRule="exact"/>
              <w:contextualSpacing/>
              <w:rPr>
                <w:rFonts w:cs="Calibri"/>
                <w:color w:val="auto"/>
                <w:sz w:val="18"/>
              </w:rPr>
            </w:pPr>
            <w:r w:rsidRPr="00F64312">
              <w:rPr>
                <w:color w:val="auto"/>
                <w:sz w:val="18"/>
              </w:rPr>
              <w:t xml:space="preserve">0% X </w:t>
            </w:r>
            <w:r>
              <w:rPr>
                <w:color w:val="auto"/>
                <w:sz w:val="18"/>
              </w:rPr>
              <w:t>0</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8</w:t>
            </w:r>
          </w:p>
        </w:tc>
        <w:tc>
          <w:tcPr>
            <w:tcW w:w="990" w:type="dxa"/>
            <w:shd w:val="clear" w:color="auto" w:fill="FFFFFF"/>
            <w:vAlign w:val="center"/>
          </w:tcPr>
          <w:p w:rsidR="00A906E9" w:rsidRPr="00F64312" w:rsidRDefault="00A906E9" w:rsidP="0017172C">
            <w:pPr>
              <w:spacing w:line="180" w:lineRule="exact"/>
              <w:contextualSpacing/>
              <w:rPr>
                <w:rFonts w:cs="Calibri"/>
                <w:color w:val="auto"/>
                <w:sz w:val="18"/>
              </w:rPr>
            </w:pPr>
            <w:r>
              <w:rPr>
                <w:rFonts w:cs="Calibri"/>
                <w:color w:val="auto"/>
                <w:sz w:val="18"/>
              </w:rPr>
              <w:t>20070925</w:t>
            </w:r>
          </w:p>
        </w:tc>
      </w:tr>
      <w:tr w:rsidR="00F90376" w:rsidRPr="00F64312" w:rsidTr="008032EA">
        <w:trPr>
          <w:trHeight w:val="124"/>
          <w:jc w:val="center"/>
        </w:trPr>
        <w:tc>
          <w:tcPr>
            <w:tcW w:w="3969" w:type="dxa"/>
            <w:gridSpan w:val="3"/>
            <w:tcBorders>
              <w:right w:val="thinThickThinSmallGap" w:sz="24" w:space="0" w:color="auto"/>
            </w:tcBorders>
            <w:shd w:val="clear" w:color="auto" w:fill="D9D9D9"/>
          </w:tcPr>
          <w:p w:rsidR="00F90376" w:rsidRPr="00F64312" w:rsidRDefault="00E7250B" w:rsidP="00160728">
            <w:pPr>
              <w:spacing w:line="180" w:lineRule="exact"/>
              <w:contextualSpacing/>
              <w:rPr>
                <w:rFonts w:cs="Calibri"/>
                <w:b/>
                <w:color w:val="auto"/>
                <w:sz w:val="18"/>
              </w:rPr>
            </w:pPr>
            <w:r>
              <w:rPr>
                <w:b/>
                <w:color w:val="auto"/>
                <w:sz w:val="18"/>
              </w:rPr>
              <w:t xml:space="preserve">Combined: </w:t>
            </w:r>
            <w:r w:rsidR="00160728">
              <w:rPr>
                <w:b/>
                <w:color w:val="auto"/>
                <w:sz w:val="18"/>
              </w:rPr>
              <w:t>10</w:t>
            </w:r>
            <w:r w:rsidR="00F90376" w:rsidRPr="00F64312">
              <w:rPr>
                <w:b/>
                <w:color w:val="auto"/>
                <w:sz w:val="18"/>
              </w:rPr>
              <w:t>%</w:t>
            </w:r>
          </w:p>
        </w:tc>
        <w:tc>
          <w:tcPr>
            <w:tcW w:w="5486" w:type="dxa"/>
            <w:gridSpan w:val="4"/>
            <w:tcBorders>
              <w:left w:val="thinThickThinSmallGap" w:sz="24" w:space="0" w:color="auto"/>
            </w:tcBorders>
            <w:shd w:val="clear" w:color="auto" w:fill="D9D9D9"/>
          </w:tcPr>
          <w:p w:rsidR="00F90376" w:rsidRPr="00F64312" w:rsidRDefault="00F90376" w:rsidP="00052BEC">
            <w:pPr>
              <w:spacing w:line="180" w:lineRule="exact"/>
              <w:contextualSpacing/>
              <w:rPr>
                <w:rFonts w:cs="Calibri"/>
                <w:b/>
                <w:color w:val="auto"/>
                <w:sz w:val="18"/>
              </w:rPr>
            </w:pPr>
            <w:r w:rsidRPr="00F64312">
              <w:rPr>
                <w:b/>
                <w:color w:val="auto"/>
                <w:sz w:val="18"/>
              </w:rPr>
              <w:t xml:space="preserve">Combined: </w:t>
            </w:r>
            <w:r w:rsidR="00052BEC">
              <w:rPr>
                <w:b/>
                <w:color w:val="auto"/>
                <w:sz w:val="18"/>
              </w:rPr>
              <w:t>10</w:t>
            </w:r>
            <w:r w:rsidR="006F0FC8">
              <w:rPr>
                <w:b/>
                <w:color w:val="auto"/>
                <w:sz w:val="18"/>
              </w:rPr>
              <w:t>0</w:t>
            </w:r>
            <w:r w:rsidRPr="00F64312">
              <w:rPr>
                <w:b/>
                <w:color w:val="auto"/>
                <w:sz w:val="18"/>
              </w:rPr>
              <w:t>%</w:t>
            </w:r>
          </w:p>
        </w:tc>
      </w:tr>
    </w:tbl>
    <w:p w:rsidR="009D50C4" w:rsidRDefault="00F90376" w:rsidP="00E82548">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C17FFD">
        <w:rPr>
          <w:color w:val="auto"/>
          <w:sz w:val="18"/>
          <w:szCs w:val="18"/>
        </w:rPr>
        <w:t xml:space="preserve">DRO </w:t>
      </w:r>
      <w:r w:rsidR="00A77361">
        <w:rPr>
          <w:color w:val="auto"/>
          <w:sz w:val="18"/>
          <w:szCs w:val="18"/>
        </w:rPr>
        <w:t xml:space="preserve">VARD of </w:t>
      </w:r>
      <w:r w:rsidR="009D50C4">
        <w:rPr>
          <w:color w:val="auto"/>
          <w:sz w:val="18"/>
          <w:szCs w:val="18"/>
        </w:rPr>
        <w:t>2008</w:t>
      </w:r>
      <w:r w:rsidR="001B17BB">
        <w:rPr>
          <w:color w:val="auto"/>
          <w:sz w:val="18"/>
          <w:szCs w:val="18"/>
        </w:rPr>
        <w:t>0912</w:t>
      </w:r>
      <w:r w:rsidR="009D50C4">
        <w:rPr>
          <w:color w:val="auto"/>
          <w:sz w:val="18"/>
          <w:szCs w:val="18"/>
        </w:rPr>
        <w:t xml:space="preserve"> </w:t>
      </w:r>
      <w:r w:rsidR="00A77361">
        <w:rPr>
          <w:color w:val="auto"/>
          <w:sz w:val="18"/>
          <w:szCs w:val="18"/>
        </w:rPr>
        <w:t>changed t</w:t>
      </w:r>
      <w:r w:rsidR="001B17BB">
        <w:rPr>
          <w:color w:val="auto"/>
          <w:sz w:val="18"/>
          <w:szCs w:val="18"/>
        </w:rPr>
        <w:t>he</w:t>
      </w:r>
      <w:r w:rsidR="00A77361">
        <w:rPr>
          <w:color w:val="auto"/>
          <w:sz w:val="18"/>
          <w:szCs w:val="18"/>
        </w:rPr>
        <w:t xml:space="preserve"> following:</w:t>
      </w:r>
      <w:r w:rsidR="00C17FFD">
        <w:rPr>
          <w:color w:val="auto"/>
          <w:sz w:val="18"/>
          <w:szCs w:val="18"/>
        </w:rPr>
        <w:t xml:space="preserve"> diagnosis </w:t>
      </w:r>
      <w:r w:rsidR="001B17BB">
        <w:rPr>
          <w:color w:val="auto"/>
          <w:sz w:val="18"/>
          <w:szCs w:val="18"/>
        </w:rPr>
        <w:t xml:space="preserve">from Chronic Bronchitis to Bronchial Asthma also claimed as Chronic Cough of Unknown Etiology, </w:t>
      </w:r>
      <w:r w:rsidR="00514F03">
        <w:rPr>
          <w:color w:val="auto"/>
          <w:sz w:val="18"/>
          <w:szCs w:val="18"/>
        </w:rPr>
        <w:t xml:space="preserve">code from 6600 to </w:t>
      </w:r>
      <w:r w:rsidR="00A77361">
        <w:rPr>
          <w:color w:val="auto"/>
          <w:sz w:val="18"/>
          <w:szCs w:val="18"/>
        </w:rPr>
        <w:t xml:space="preserve">6699-6602, </w:t>
      </w:r>
      <w:r w:rsidR="00514F03">
        <w:rPr>
          <w:color w:val="auto"/>
          <w:sz w:val="18"/>
          <w:szCs w:val="18"/>
        </w:rPr>
        <w:t>rating from NSC to</w:t>
      </w:r>
      <w:r w:rsidR="00A77361">
        <w:rPr>
          <w:color w:val="auto"/>
          <w:sz w:val="18"/>
          <w:szCs w:val="18"/>
        </w:rPr>
        <w:t xml:space="preserve"> 30%</w:t>
      </w:r>
      <w:r w:rsidR="001B17BB" w:rsidRPr="001B17BB">
        <w:rPr>
          <w:color w:val="auto"/>
          <w:sz w:val="18"/>
          <w:szCs w:val="18"/>
        </w:rPr>
        <w:t xml:space="preserve"> </w:t>
      </w:r>
      <w:r w:rsidR="001B17BB">
        <w:rPr>
          <w:color w:val="auto"/>
          <w:sz w:val="18"/>
          <w:szCs w:val="18"/>
        </w:rPr>
        <w:t>effective 20070818</w:t>
      </w:r>
      <w:r w:rsidR="00514F03">
        <w:rPr>
          <w:color w:val="auto"/>
          <w:sz w:val="18"/>
          <w:szCs w:val="18"/>
        </w:rPr>
        <w:t xml:space="preserve">. </w:t>
      </w:r>
    </w:p>
    <w:p w:rsidR="009D50C4" w:rsidRDefault="00052BEC" w:rsidP="00E82548">
      <w:pPr>
        <w:pBdr>
          <w:bottom w:val="single" w:sz="12" w:space="1" w:color="auto"/>
        </w:pBdr>
        <w:tabs>
          <w:tab w:val="left" w:pos="288"/>
          <w:tab w:val="left" w:pos="4752"/>
        </w:tabs>
        <w:spacing w:line="180" w:lineRule="exact"/>
        <w:jc w:val="both"/>
        <w:rPr>
          <w:color w:val="auto"/>
          <w:sz w:val="18"/>
          <w:szCs w:val="18"/>
        </w:rPr>
      </w:pPr>
      <w:r>
        <w:rPr>
          <w:color w:val="auto"/>
          <w:sz w:val="18"/>
          <w:szCs w:val="18"/>
        </w:rPr>
        <w:t xml:space="preserve">**VARD of </w:t>
      </w:r>
      <w:r w:rsidR="009D50C4">
        <w:rPr>
          <w:color w:val="auto"/>
          <w:sz w:val="18"/>
          <w:szCs w:val="18"/>
        </w:rPr>
        <w:t>20081209</w:t>
      </w:r>
      <w:r>
        <w:rPr>
          <w:color w:val="auto"/>
          <w:sz w:val="18"/>
          <w:szCs w:val="18"/>
        </w:rPr>
        <w:t xml:space="preserve"> added PTSD, effective </w:t>
      </w:r>
      <w:r w:rsidR="009D50C4">
        <w:rPr>
          <w:color w:val="auto"/>
          <w:sz w:val="18"/>
          <w:szCs w:val="18"/>
        </w:rPr>
        <w:t>20070818</w:t>
      </w:r>
      <w:r>
        <w:rPr>
          <w:color w:val="auto"/>
          <w:sz w:val="18"/>
          <w:szCs w:val="18"/>
        </w:rPr>
        <w:t>, combined 100%.</w:t>
      </w:r>
    </w:p>
    <w:p w:rsidR="00F90376" w:rsidRPr="00F64312" w:rsidRDefault="00E402DB" w:rsidP="00E82548">
      <w:pPr>
        <w:pBdr>
          <w:bottom w:val="single" w:sz="12" w:space="1" w:color="auto"/>
        </w:pBdr>
        <w:tabs>
          <w:tab w:val="left" w:pos="288"/>
          <w:tab w:val="left" w:pos="4752"/>
        </w:tabs>
        <w:spacing w:line="180" w:lineRule="exact"/>
        <w:jc w:val="both"/>
        <w:rPr>
          <w:color w:val="auto"/>
        </w:rPr>
      </w:pPr>
      <w:r>
        <w:rPr>
          <w:color w:val="auto"/>
          <w:sz w:val="18"/>
          <w:szCs w:val="18"/>
        </w:rPr>
        <w:t xml:space="preserve">***VARD of </w:t>
      </w:r>
      <w:r w:rsidR="009D50C4">
        <w:rPr>
          <w:color w:val="auto"/>
          <w:sz w:val="18"/>
          <w:szCs w:val="18"/>
        </w:rPr>
        <w:t>2010</w:t>
      </w:r>
      <w:r w:rsidR="009678BA">
        <w:rPr>
          <w:color w:val="auto"/>
          <w:sz w:val="18"/>
          <w:szCs w:val="18"/>
        </w:rPr>
        <w:t>0721</w:t>
      </w:r>
      <w:r>
        <w:rPr>
          <w:color w:val="auto"/>
          <w:sz w:val="18"/>
          <w:szCs w:val="18"/>
        </w:rPr>
        <w:t xml:space="preserve"> added Hypertension, effective </w:t>
      </w:r>
      <w:r w:rsidR="009678BA">
        <w:rPr>
          <w:color w:val="auto"/>
          <w:sz w:val="18"/>
          <w:szCs w:val="18"/>
        </w:rPr>
        <w:t>20070818</w:t>
      </w:r>
      <w:r>
        <w:rPr>
          <w:color w:val="auto"/>
          <w:sz w:val="18"/>
          <w:szCs w:val="18"/>
        </w:rPr>
        <w:t>.</w:t>
      </w:r>
    </w:p>
    <w:p w:rsidR="00AD2379" w:rsidRPr="00F64312" w:rsidRDefault="00AD2379" w:rsidP="00726F84">
      <w:pPr>
        <w:jc w:val="both"/>
        <w:rPr>
          <w:color w:val="auto"/>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r w:rsidR="009678BA" w:rsidRPr="009678BA">
        <w:rPr>
          <w:color w:val="auto"/>
        </w:rPr>
        <w:t xml:space="preserve">The Board acknowledges the CI's contention suggesting that ratings should have been conferred for </w:t>
      </w:r>
      <w:r w:rsidR="00F11A00">
        <w:rPr>
          <w:color w:val="auto"/>
        </w:rPr>
        <w:t xml:space="preserve">conditions </w:t>
      </w:r>
      <w:r w:rsidR="009678BA" w:rsidRPr="009678BA">
        <w:rPr>
          <w:color w:val="auto"/>
        </w:rPr>
        <w:t xml:space="preserve">not </w:t>
      </w:r>
      <w:r w:rsidR="001102E8">
        <w:rPr>
          <w:color w:val="auto"/>
        </w:rPr>
        <w:t xml:space="preserve">diagnosed while in the service </w:t>
      </w:r>
      <w:r w:rsidR="009678BA" w:rsidRPr="009678BA">
        <w:rPr>
          <w:color w:val="auto"/>
        </w:rPr>
        <w:t>but</w:t>
      </w:r>
      <w:r w:rsidR="00D91B08">
        <w:rPr>
          <w:color w:val="auto"/>
        </w:rPr>
        <w:t xml:space="preserve"> later determined to be service-</w:t>
      </w:r>
      <w:r w:rsidR="009678BA" w:rsidRPr="009678BA">
        <w:rPr>
          <w:color w:val="auto"/>
        </w:rPr>
        <w:t xml:space="preserve">connected by the </w:t>
      </w:r>
      <w:r w:rsidR="00D91B08">
        <w:rPr>
          <w:color w:val="auto"/>
        </w:rPr>
        <w:t>Department of Veterans’ Affairs (D</w:t>
      </w:r>
      <w:r w:rsidR="009678BA" w:rsidRPr="009678BA">
        <w:rPr>
          <w:color w:val="auto"/>
        </w:rPr>
        <w:t>VA</w:t>
      </w:r>
      <w:r w:rsidR="00D91B08">
        <w:rPr>
          <w:color w:val="auto"/>
        </w:rPr>
        <w:t>)</w:t>
      </w:r>
      <w:r w:rsidR="009678BA" w:rsidRPr="009678BA">
        <w:rPr>
          <w:color w:val="auto"/>
        </w:rPr>
        <w:t xml:space="preserve">. </w:t>
      </w:r>
      <w:r w:rsidR="009678BA">
        <w:rPr>
          <w:color w:val="auto"/>
        </w:rPr>
        <w:t xml:space="preserve"> </w:t>
      </w:r>
      <w:r w:rsidR="009678BA" w:rsidRPr="009678BA">
        <w:rPr>
          <w:color w:val="auto"/>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8728A6">
        <w:rPr>
          <w:color w:val="auto"/>
        </w:rPr>
        <w:t xml:space="preserve"> </w:t>
      </w:r>
      <w:r w:rsidR="009678BA" w:rsidRPr="009678BA">
        <w:rPr>
          <w:color w:val="auto"/>
        </w:rPr>
        <w:t xml:space="preserve">The DVA, however, is empowered to compensate </w:t>
      </w:r>
      <w:r w:rsidR="009678BA">
        <w:rPr>
          <w:color w:val="auto"/>
        </w:rPr>
        <w:t xml:space="preserve">all </w:t>
      </w:r>
      <w:r w:rsidR="00D91B08">
        <w:rPr>
          <w:color w:val="auto"/>
        </w:rPr>
        <w:t>service-</w:t>
      </w:r>
      <w:r w:rsidR="009678BA" w:rsidRPr="009678BA">
        <w:rPr>
          <w:color w:val="auto"/>
        </w:rPr>
        <w:t xml:space="preserve">connected conditions and to periodically re-evaluate said conditions for the purpose of adjusting the </w:t>
      </w:r>
      <w:r w:rsidR="00D91B08">
        <w:rPr>
          <w:color w:val="auto"/>
        </w:rPr>
        <w:t>V</w:t>
      </w:r>
      <w:r w:rsidR="009678BA" w:rsidRPr="009678BA">
        <w:rPr>
          <w:color w:val="auto"/>
        </w:rPr>
        <w:t xml:space="preserve">eteran’s disability rating should </w:t>
      </w:r>
      <w:r w:rsidR="00D91B08">
        <w:rPr>
          <w:color w:val="auto"/>
        </w:rPr>
        <w:t>the</w:t>
      </w:r>
      <w:r w:rsidR="009678BA" w:rsidRPr="009678BA">
        <w:rPr>
          <w:color w:val="auto"/>
        </w:rPr>
        <w:t xml:space="preserve"> degree of impairment vary over time. </w:t>
      </w:r>
      <w:r w:rsidR="008728A6">
        <w:rPr>
          <w:color w:val="auto"/>
        </w:rPr>
        <w:t xml:space="preserve"> </w:t>
      </w:r>
    </w:p>
    <w:p w:rsidR="00AD2379" w:rsidRPr="00F64312" w:rsidRDefault="00AD2379" w:rsidP="00B22D42">
      <w:pPr>
        <w:jc w:val="both"/>
        <w:rPr>
          <w:color w:val="auto"/>
          <w:highlight w:val="yellow"/>
        </w:rPr>
      </w:pPr>
    </w:p>
    <w:p w:rsidR="00D91B08" w:rsidRDefault="008129E9" w:rsidP="003D3F2B">
      <w:pPr>
        <w:autoSpaceDE w:val="0"/>
        <w:autoSpaceDN w:val="0"/>
        <w:adjustRightInd w:val="0"/>
        <w:jc w:val="both"/>
        <w:rPr>
          <w:color w:val="auto"/>
          <w:szCs w:val="24"/>
        </w:rPr>
      </w:pPr>
      <w:r w:rsidRPr="008129E9">
        <w:rPr>
          <w:color w:val="auto"/>
          <w:u w:val="single"/>
        </w:rPr>
        <w:t xml:space="preserve">Chronic Cough </w:t>
      </w:r>
      <w:r w:rsidR="009678BA">
        <w:rPr>
          <w:color w:val="auto"/>
          <w:u w:val="single"/>
        </w:rPr>
        <w:t>Condition</w:t>
      </w:r>
      <w:r w:rsidR="00AD2379" w:rsidRPr="00F64312">
        <w:rPr>
          <w:color w:val="auto"/>
        </w:rPr>
        <w:t xml:space="preserve">. </w:t>
      </w:r>
      <w:r w:rsidR="00385708" w:rsidRPr="00F64312">
        <w:rPr>
          <w:color w:val="auto"/>
        </w:rPr>
        <w:t xml:space="preserve"> </w:t>
      </w:r>
      <w:r w:rsidR="00D920F0" w:rsidRPr="00CE61A9">
        <w:rPr>
          <w:color w:val="auto"/>
          <w:szCs w:val="24"/>
        </w:rPr>
        <w:t xml:space="preserve">The CI was in good health until October 2001 when he arrived for duty in Germany.  He was treated over the course of the next </w:t>
      </w:r>
      <w:r w:rsidR="00D91B08">
        <w:rPr>
          <w:color w:val="auto"/>
          <w:szCs w:val="24"/>
        </w:rPr>
        <w:t>2</w:t>
      </w:r>
      <w:r w:rsidR="00D920F0" w:rsidRPr="00CE61A9">
        <w:rPr>
          <w:color w:val="auto"/>
          <w:szCs w:val="24"/>
        </w:rPr>
        <w:t xml:space="preserve"> years for</w:t>
      </w:r>
      <w:r w:rsidR="00322E8A" w:rsidRPr="00CE61A9">
        <w:rPr>
          <w:color w:val="auto"/>
          <w:szCs w:val="24"/>
        </w:rPr>
        <w:t xml:space="preserve"> wheezing and shortness of breath associated with a cough</w:t>
      </w:r>
      <w:r w:rsidR="00D920F0" w:rsidRPr="00CE61A9">
        <w:rPr>
          <w:color w:val="auto"/>
          <w:szCs w:val="24"/>
        </w:rPr>
        <w:t xml:space="preserve"> that responded to oral </w:t>
      </w:r>
      <w:r w:rsidR="00D91B08">
        <w:rPr>
          <w:color w:val="auto"/>
          <w:szCs w:val="24"/>
        </w:rPr>
        <w:t>P</w:t>
      </w:r>
      <w:r w:rsidR="00D920F0" w:rsidRPr="00CE61A9">
        <w:rPr>
          <w:color w:val="auto"/>
          <w:szCs w:val="24"/>
        </w:rPr>
        <w:t>rednisone</w:t>
      </w:r>
      <w:r w:rsidR="004C41EF">
        <w:rPr>
          <w:color w:val="auto"/>
          <w:szCs w:val="24"/>
        </w:rPr>
        <w:t xml:space="preserve"> (anti-inflammatory medication) </w:t>
      </w:r>
      <w:r w:rsidR="00D920F0" w:rsidRPr="00CE61A9">
        <w:rPr>
          <w:color w:val="auto"/>
          <w:szCs w:val="24"/>
        </w:rPr>
        <w:t xml:space="preserve">and </w:t>
      </w:r>
      <w:r w:rsidR="00D91B08">
        <w:rPr>
          <w:bCs/>
          <w:color w:val="auto"/>
        </w:rPr>
        <w:t>F</w:t>
      </w:r>
      <w:r w:rsidR="004C41EF" w:rsidRPr="004C41EF">
        <w:rPr>
          <w:bCs/>
          <w:color w:val="auto"/>
        </w:rPr>
        <w:t>luticasone/</w:t>
      </w:r>
      <w:r w:rsidR="00D91B08">
        <w:rPr>
          <w:bCs/>
          <w:color w:val="auto"/>
        </w:rPr>
        <w:t>S</w:t>
      </w:r>
      <w:r w:rsidR="004C41EF" w:rsidRPr="004C41EF">
        <w:rPr>
          <w:bCs/>
          <w:color w:val="auto"/>
        </w:rPr>
        <w:t>almeterol</w:t>
      </w:r>
      <w:r w:rsidR="004C41EF">
        <w:rPr>
          <w:bCs/>
          <w:color w:val="auto"/>
        </w:rPr>
        <w:t>,</w:t>
      </w:r>
      <w:r w:rsidR="004C41EF" w:rsidRPr="00CE61A9">
        <w:rPr>
          <w:color w:val="auto"/>
          <w:szCs w:val="24"/>
        </w:rPr>
        <w:t xml:space="preserve"> </w:t>
      </w:r>
      <w:r w:rsidR="00D91B08">
        <w:rPr>
          <w:color w:val="auto"/>
          <w:szCs w:val="24"/>
        </w:rPr>
        <w:t>(</w:t>
      </w:r>
      <w:r w:rsidR="00D2377C" w:rsidRPr="00CE61A9">
        <w:rPr>
          <w:color w:val="auto"/>
          <w:szCs w:val="24"/>
        </w:rPr>
        <w:t>Advair</w:t>
      </w:r>
      <w:r w:rsidR="00D91B08">
        <w:rPr>
          <w:color w:val="auto"/>
          <w:szCs w:val="24"/>
        </w:rPr>
        <w:t>, an anti-</w:t>
      </w:r>
      <w:r w:rsidR="002F2E24">
        <w:rPr>
          <w:color w:val="auto"/>
          <w:szCs w:val="24"/>
        </w:rPr>
        <w:t>inflammatory and long acting bronchodilator</w:t>
      </w:r>
      <w:r w:rsidR="004C41EF">
        <w:rPr>
          <w:color w:val="auto"/>
          <w:szCs w:val="24"/>
        </w:rPr>
        <w:t xml:space="preserve"> medication</w:t>
      </w:r>
      <w:r w:rsidR="002F2E24">
        <w:rPr>
          <w:color w:val="auto"/>
          <w:szCs w:val="24"/>
        </w:rPr>
        <w:t>)</w:t>
      </w:r>
      <w:r w:rsidR="00D920F0" w:rsidRPr="00CE61A9">
        <w:rPr>
          <w:color w:val="auto"/>
          <w:szCs w:val="24"/>
        </w:rPr>
        <w:t>.</w:t>
      </w:r>
      <w:r w:rsidR="00322E8A" w:rsidRPr="00CE61A9">
        <w:rPr>
          <w:color w:val="auto"/>
          <w:szCs w:val="24"/>
        </w:rPr>
        <w:t xml:space="preserve">  These symptoms were worse from January to March and in the cold weather.</w:t>
      </w:r>
      <w:r w:rsidR="00D920F0" w:rsidRPr="00CE61A9">
        <w:rPr>
          <w:color w:val="auto"/>
          <w:szCs w:val="24"/>
        </w:rPr>
        <w:t xml:space="preserve">  </w:t>
      </w:r>
      <w:r w:rsidR="00884B99">
        <w:rPr>
          <w:color w:val="auto"/>
          <w:szCs w:val="24"/>
        </w:rPr>
        <w:t xml:space="preserve">He was seen in pulmonary in April 2003, had normal </w:t>
      </w:r>
      <w:r w:rsidR="00D91B08">
        <w:rPr>
          <w:color w:val="auto"/>
          <w:szCs w:val="24"/>
        </w:rPr>
        <w:t>p</w:t>
      </w:r>
      <w:r w:rsidR="00DE6C4E" w:rsidRPr="00DE6C4E">
        <w:rPr>
          <w:color w:val="auto"/>
          <w:szCs w:val="24"/>
        </w:rPr>
        <w:t xml:space="preserve">ulmonary </w:t>
      </w:r>
      <w:r w:rsidR="00D91B08">
        <w:rPr>
          <w:color w:val="auto"/>
          <w:szCs w:val="24"/>
        </w:rPr>
        <w:t>f</w:t>
      </w:r>
      <w:r w:rsidR="00DE6C4E" w:rsidRPr="00DE6C4E">
        <w:rPr>
          <w:color w:val="auto"/>
          <w:szCs w:val="24"/>
        </w:rPr>
        <w:t xml:space="preserve">unction </w:t>
      </w:r>
      <w:r w:rsidR="00D91B08">
        <w:rPr>
          <w:color w:val="auto"/>
          <w:szCs w:val="24"/>
        </w:rPr>
        <w:t>t</w:t>
      </w:r>
      <w:r w:rsidR="00DE6C4E" w:rsidRPr="00DE6C4E">
        <w:rPr>
          <w:color w:val="auto"/>
          <w:szCs w:val="24"/>
        </w:rPr>
        <w:t xml:space="preserve">ests </w:t>
      </w:r>
      <w:r w:rsidR="00DE6C4E">
        <w:rPr>
          <w:color w:val="auto"/>
          <w:szCs w:val="24"/>
        </w:rPr>
        <w:t>(</w:t>
      </w:r>
      <w:r w:rsidR="00884B99">
        <w:rPr>
          <w:color w:val="auto"/>
          <w:szCs w:val="24"/>
        </w:rPr>
        <w:t>PFTs</w:t>
      </w:r>
      <w:r w:rsidR="00DE6C4E">
        <w:rPr>
          <w:color w:val="auto"/>
          <w:szCs w:val="24"/>
        </w:rPr>
        <w:t>)</w:t>
      </w:r>
      <w:r w:rsidR="00884B99">
        <w:rPr>
          <w:color w:val="auto"/>
          <w:szCs w:val="24"/>
        </w:rPr>
        <w:t xml:space="preserve"> at baseline but improved by 16% post bronchodilator, and was diagnosed with asthma and seasonal rhinitis.</w:t>
      </w:r>
      <w:r w:rsidR="00884B99" w:rsidRPr="00884B99">
        <w:rPr>
          <w:color w:val="auto"/>
          <w:szCs w:val="24"/>
        </w:rPr>
        <w:t xml:space="preserve"> </w:t>
      </w:r>
      <w:r w:rsidR="00884B99">
        <w:rPr>
          <w:color w:val="auto"/>
          <w:szCs w:val="24"/>
        </w:rPr>
        <w:t xml:space="preserve"> </w:t>
      </w:r>
      <w:r w:rsidR="003D3F2B">
        <w:rPr>
          <w:color w:val="auto"/>
          <w:szCs w:val="24"/>
        </w:rPr>
        <w:t xml:space="preserve">The CI </w:t>
      </w:r>
      <w:r w:rsidR="00884B99">
        <w:rPr>
          <w:color w:val="auto"/>
          <w:szCs w:val="24"/>
        </w:rPr>
        <w:t xml:space="preserve">deployed to Iraq in April 2003.  </w:t>
      </w:r>
      <w:r w:rsidR="00884B99" w:rsidRPr="00CE61A9">
        <w:rPr>
          <w:color w:val="auto"/>
          <w:szCs w:val="24"/>
        </w:rPr>
        <w:t>While in Iraq he developed worsening symptoms necessitating increas</w:t>
      </w:r>
      <w:r w:rsidR="00884B99">
        <w:rPr>
          <w:color w:val="auto"/>
          <w:szCs w:val="24"/>
        </w:rPr>
        <w:t>ing</w:t>
      </w:r>
      <w:r w:rsidR="00884B99" w:rsidRPr="00CE61A9">
        <w:rPr>
          <w:color w:val="auto"/>
          <w:szCs w:val="24"/>
        </w:rPr>
        <w:t xml:space="preserve"> doses of Advair and in January 2004</w:t>
      </w:r>
      <w:r w:rsidR="00DE6C4E">
        <w:rPr>
          <w:color w:val="auto"/>
          <w:szCs w:val="24"/>
        </w:rPr>
        <w:t>,</w:t>
      </w:r>
      <w:r w:rsidR="00884B99" w:rsidRPr="00CE61A9">
        <w:rPr>
          <w:color w:val="auto"/>
          <w:szCs w:val="24"/>
        </w:rPr>
        <w:t xml:space="preserve"> after </w:t>
      </w:r>
      <w:r w:rsidR="00884B99">
        <w:rPr>
          <w:color w:val="auto"/>
          <w:szCs w:val="24"/>
        </w:rPr>
        <w:t>9</w:t>
      </w:r>
      <w:r w:rsidR="00884B99" w:rsidRPr="00CE61A9">
        <w:rPr>
          <w:color w:val="auto"/>
          <w:szCs w:val="24"/>
        </w:rPr>
        <w:t xml:space="preserve"> months of deployment</w:t>
      </w:r>
      <w:r w:rsidR="00DE6C4E">
        <w:rPr>
          <w:color w:val="auto"/>
          <w:szCs w:val="24"/>
        </w:rPr>
        <w:t>,</w:t>
      </w:r>
      <w:r w:rsidR="00884B99" w:rsidRPr="00CE61A9">
        <w:rPr>
          <w:color w:val="auto"/>
          <w:szCs w:val="24"/>
        </w:rPr>
        <w:t xml:space="preserve"> was </w:t>
      </w:r>
      <w:r w:rsidR="004C41EF" w:rsidRPr="00CE61A9">
        <w:rPr>
          <w:color w:val="auto"/>
          <w:szCs w:val="24"/>
        </w:rPr>
        <w:t xml:space="preserve">medevac'd </w:t>
      </w:r>
      <w:r w:rsidR="00884B99" w:rsidRPr="00CE61A9">
        <w:rPr>
          <w:color w:val="auto"/>
          <w:szCs w:val="24"/>
        </w:rPr>
        <w:t xml:space="preserve">back to Germany due </w:t>
      </w:r>
      <w:r w:rsidR="003D3F2B">
        <w:rPr>
          <w:color w:val="auto"/>
          <w:szCs w:val="24"/>
        </w:rPr>
        <w:t xml:space="preserve">to </w:t>
      </w:r>
      <w:r w:rsidR="00884B99" w:rsidRPr="00CE61A9">
        <w:rPr>
          <w:color w:val="auto"/>
          <w:szCs w:val="24"/>
        </w:rPr>
        <w:t xml:space="preserve">lack of Advair in theater and </w:t>
      </w:r>
      <w:r w:rsidR="004C41EF">
        <w:rPr>
          <w:color w:val="auto"/>
          <w:szCs w:val="24"/>
        </w:rPr>
        <w:t>his</w:t>
      </w:r>
      <w:r w:rsidR="00884B99" w:rsidRPr="00CE61A9">
        <w:rPr>
          <w:color w:val="auto"/>
          <w:szCs w:val="24"/>
        </w:rPr>
        <w:t xml:space="preserve"> cough </w:t>
      </w:r>
      <w:r w:rsidR="00EE3F2F">
        <w:rPr>
          <w:color w:val="auto"/>
          <w:szCs w:val="24"/>
        </w:rPr>
        <w:t>was</w:t>
      </w:r>
      <w:r w:rsidR="00884B99" w:rsidRPr="00CE61A9">
        <w:rPr>
          <w:color w:val="auto"/>
          <w:szCs w:val="24"/>
        </w:rPr>
        <w:t xml:space="preserve"> unresponsive to</w:t>
      </w:r>
      <w:r w:rsidR="00884B99" w:rsidRPr="004C41EF">
        <w:rPr>
          <w:color w:val="auto"/>
          <w:szCs w:val="24"/>
        </w:rPr>
        <w:t xml:space="preserve"> </w:t>
      </w:r>
      <w:r w:rsidR="00D91B08">
        <w:rPr>
          <w:bCs/>
          <w:color w:val="auto"/>
        </w:rPr>
        <w:t>T</w:t>
      </w:r>
      <w:r w:rsidR="004C41EF" w:rsidRPr="004C41EF">
        <w:rPr>
          <w:bCs/>
          <w:color w:val="auto"/>
        </w:rPr>
        <w:t>riamcinolone</w:t>
      </w:r>
      <w:r w:rsidR="004C41EF">
        <w:rPr>
          <w:bCs/>
          <w:color w:val="auto"/>
        </w:rPr>
        <w:t>,</w:t>
      </w:r>
      <w:r w:rsidR="004C41EF" w:rsidRPr="00CE61A9">
        <w:rPr>
          <w:color w:val="auto"/>
          <w:szCs w:val="24"/>
        </w:rPr>
        <w:t xml:space="preserve"> </w:t>
      </w:r>
      <w:r w:rsidR="004C41EF">
        <w:rPr>
          <w:color w:val="auto"/>
          <w:szCs w:val="24"/>
        </w:rPr>
        <w:t>(</w:t>
      </w:r>
      <w:r w:rsidR="00884B99" w:rsidRPr="00CE61A9">
        <w:rPr>
          <w:color w:val="auto"/>
          <w:szCs w:val="24"/>
        </w:rPr>
        <w:t>Azmacort</w:t>
      </w:r>
      <w:r w:rsidR="002F2E24" w:rsidRPr="002F2E24">
        <w:rPr>
          <w:color w:val="auto"/>
          <w:szCs w:val="24"/>
        </w:rPr>
        <w:t xml:space="preserve"> </w:t>
      </w:r>
      <w:r w:rsidR="002F2E24">
        <w:rPr>
          <w:color w:val="auto"/>
          <w:szCs w:val="24"/>
        </w:rPr>
        <w:t>anti-inflammatory</w:t>
      </w:r>
      <w:r w:rsidR="004C41EF">
        <w:rPr>
          <w:color w:val="auto"/>
          <w:szCs w:val="24"/>
        </w:rPr>
        <w:t xml:space="preserve"> medication</w:t>
      </w:r>
      <w:r w:rsidR="002F2E24">
        <w:rPr>
          <w:color w:val="auto"/>
          <w:szCs w:val="24"/>
        </w:rPr>
        <w:t>)</w:t>
      </w:r>
      <w:r w:rsidR="00884B99" w:rsidRPr="00CE61A9">
        <w:rPr>
          <w:color w:val="auto"/>
          <w:szCs w:val="24"/>
        </w:rPr>
        <w:t xml:space="preserve">.  Upon restarting his Advair his symptoms resolved in 2 days.  </w:t>
      </w:r>
      <w:r w:rsidR="006604E1">
        <w:rPr>
          <w:color w:val="auto"/>
          <w:szCs w:val="24"/>
        </w:rPr>
        <w:t xml:space="preserve">There were multiple temporary profiles starting in 2003 which </w:t>
      </w:r>
      <w:r w:rsidR="003D3F2B">
        <w:rPr>
          <w:color w:val="auto"/>
          <w:szCs w:val="24"/>
        </w:rPr>
        <w:t>led to a</w:t>
      </w:r>
      <w:r w:rsidR="006604E1">
        <w:rPr>
          <w:color w:val="auto"/>
          <w:szCs w:val="24"/>
        </w:rPr>
        <w:t xml:space="preserve"> permanent profile in </w:t>
      </w:r>
      <w:r w:rsidR="00884B99">
        <w:rPr>
          <w:color w:val="auto"/>
          <w:szCs w:val="24"/>
        </w:rPr>
        <w:t xml:space="preserve">April </w:t>
      </w:r>
      <w:r w:rsidR="00DE6C4E">
        <w:rPr>
          <w:color w:val="auto"/>
          <w:szCs w:val="24"/>
        </w:rPr>
        <w:t xml:space="preserve">2004 and they </w:t>
      </w:r>
      <w:r w:rsidR="006604E1">
        <w:rPr>
          <w:color w:val="auto"/>
          <w:szCs w:val="24"/>
        </w:rPr>
        <w:t xml:space="preserve">all </w:t>
      </w:r>
      <w:r w:rsidR="00DE6C4E">
        <w:rPr>
          <w:color w:val="auto"/>
          <w:szCs w:val="24"/>
        </w:rPr>
        <w:t>labeled the medical condition,</w:t>
      </w:r>
      <w:r w:rsidR="006604E1">
        <w:rPr>
          <w:color w:val="auto"/>
          <w:szCs w:val="24"/>
        </w:rPr>
        <w:t xml:space="preserve"> asthma.  </w:t>
      </w:r>
      <w:r w:rsidR="006604E1" w:rsidRPr="009D29F4">
        <w:rPr>
          <w:color w:val="auto"/>
          <w:szCs w:val="24"/>
        </w:rPr>
        <w:t xml:space="preserve">The limitations included; </w:t>
      </w:r>
      <w:r w:rsidR="006604E1">
        <w:rPr>
          <w:color w:val="auto"/>
          <w:szCs w:val="24"/>
        </w:rPr>
        <w:t>r</w:t>
      </w:r>
      <w:r w:rsidR="006604E1" w:rsidRPr="009D29F4">
        <w:rPr>
          <w:color w:val="auto"/>
          <w:szCs w:val="24"/>
        </w:rPr>
        <w:t>un at own pace and distance</w:t>
      </w:r>
      <w:r w:rsidR="006604E1">
        <w:rPr>
          <w:color w:val="auto"/>
          <w:szCs w:val="24"/>
        </w:rPr>
        <w:t>, m</w:t>
      </w:r>
      <w:r w:rsidR="006604E1" w:rsidRPr="009D29F4">
        <w:rPr>
          <w:color w:val="auto"/>
          <w:szCs w:val="24"/>
        </w:rPr>
        <w:t xml:space="preserve">ay take run for </w:t>
      </w:r>
      <w:r w:rsidR="004C41EF">
        <w:rPr>
          <w:color w:val="auto"/>
          <w:szCs w:val="24"/>
        </w:rPr>
        <w:t>army physical fitness testing (AFPT)</w:t>
      </w:r>
      <w:r w:rsidR="006604E1" w:rsidRPr="009D29F4">
        <w:rPr>
          <w:color w:val="auto"/>
          <w:szCs w:val="24"/>
        </w:rPr>
        <w:t xml:space="preserve"> aerobic event</w:t>
      </w:r>
      <w:r w:rsidR="006604E1">
        <w:rPr>
          <w:color w:val="auto"/>
          <w:szCs w:val="24"/>
        </w:rPr>
        <w:t>, d</w:t>
      </w:r>
      <w:r w:rsidR="006604E1" w:rsidRPr="009D29F4">
        <w:rPr>
          <w:color w:val="auto"/>
          <w:szCs w:val="24"/>
        </w:rPr>
        <w:t>eployment to dusty environment only to areas wher</w:t>
      </w:r>
      <w:r w:rsidR="004C41EF">
        <w:rPr>
          <w:color w:val="auto"/>
          <w:szCs w:val="24"/>
        </w:rPr>
        <w:t>e medical clearing company</w:t>
      </w:r>
      <w:r w:rsidR="006604E1" w:rsidRPr="009D29F4">
        <w:rPr>
          <w:color w:val="auto"/>
          <w:szCs w:val="24"/>
        </w:rPr>
        <w:t xml:space="preserve"> or </w:t>
      </w:r>
      <w:r w:rsidR="004C41EF">
        <w:rPr>
          <w:color w:val="auto"/>
          <w:szCs w:val="24"/>
        </w:rPr>
        <w:t>combat support hospital (</w:t>
      </w:r>
      <w:r w:rsidR="006604E1" w:rsidRPr="009D29F4">
        <w:rPr>
          <w:color w:val="auto"/>
          <w:szCs w:val="24"/>
        </w:rPr>
        <w:t>CSH</w:t>
      </w:r>
      <w:r w:rsidR="004C41EF">
        <w:rPr>
          <w:color w:val="auto"/>
          <w:szCs w:val="24"/>
        </w:rPr>
        <w:t>)</w:t>
      </w:r>
      <w:r w:rsidR="006604E1" w:rsidRPr="009D29F4">
        <w:rPr>
          <w:color w:val="auto"/>
          <w:szCs w:val="24"/>
        </w:rPr>
        <w:t xml:space="preserve"> </w:t>
      </w:r>
      <w:r w:rsidR="004C41EF">
        <w:rPr>
          <w:color w:val="auto"/>
          <w:szCs w:val="24"/>
        </w:rPr>
        <w:t>were</w:t>
      </w:r>
      <w:r w:rsidR="006604E1" w:rsidRPr="009D29F4">
        <w:rPr>
          <w:color w:val="auto"/>
          <w:szCs w:val="24"/>
        </w:rPr>
        <w:t xml:space="preserve"> within 30 minutes of </w:t>
      </w:r>
      <w:r w:rsidR="00D2377C" w:rsidRPr="009D29F4">
        <w:rPr>
          <w:color w:val="auto"/>
          <w:szCs w:val="24"/>
        </w:rPr>
        <w:t>dust-off</w:t>
      </w:r>
      <w:r w:rsidR="006604E1" w:rsidRPr="009D29F4">
        <w:rPr>
          <w:color w:val="auto"/>
          <w:szCs w:val="24"/>
        </w:rPr>
        <w:t>.</w:t>
      </w:r>
      <w:r w:rsidR="006604E1">
        <w:rPr>
          <w:color w:val="auto"/>
          <w:szCs w:val="24"/>
        </w:rPr>
        <w:t xml:space="preserve">  </w:t>
      </w:r>
      <w:r w:rsidR="00EE3F2F">
        <w:rPr>
          <w:color w:val="auto"/>
          <w:szCs w:val="24"/>
        </w:rPr>
        <w:t>He underwent a MEB and</w:t>
      </w:r>
      <w:r w:rsidR="00884B99">
        <w:rPr>
          <w:color w:val="auto"/>
          <w:szCs w:val="24"/>
        </w:rPr>
        <w:t xml:space="preserve"> was found FFD</w:t>
      </w:r>
      <w:r w:rsidR="003D3F2B">
        <w:rPr>
          <w:color w:val="auto"/>
          <w:szCs w:val="24"/>
        </w:rPr>
        <w:t xml:space="preserve">. </w:t>
      </w:r>
      <w:r w:rsidR="00884B99">
        <w:rPr>
          <w:color w:val="auto"/>
          <w:szCs w:val="24"/>
        </w:rPr>
        <w:t xml:space="preserve"> </w:t>
      </w:r>
      <w:r w:rsidR="00322E8A" w:rsidRPr="00CE61A9">
        <w:rPr>
          <w:color w:val="auto"/>
          <w:szCs w:val="24"/>
        </w:rPr>
        <w:t xml:space="preserve">Over the next 3 years he </w:t>
      </w:r>
      <w:r w:rsidR="0060267F" w:rsidRPr="00CE61A9">
        <w:rPr>
          <w:color w:val="auto"/>
          <w:szCs w:val="24"/>
        </w:rPr>
        <w:t>had progressive worsening of his cough</w:t>
      </w:r>
      <w:r w:rsidR="00322E8A" w:rsidRPr="00CE61A9">
        <w:rPr>
          <w:color w:val="auto"/>
          <w:szCs w:val="24"/>
        </w:rPr>
        <w:t>, sought care acutely over 12 times</w:t>
      </w:r>
      <w:r w:rsidR="00CE61A9" w:rsidRPr="00CE61A9">
        <w:rPr>
          <w:color w:val="auto"/>
          <w:szCs w:val="24"/>
        </w:rPr>
        <w:t xml:space="preserve"> and </w:t>
      </w:r>
      <w:r w:rsidR="00322E8A" w:rsidRPr="00CE61A9">
        <w:rPr>
          <w:color w:val="auto"/>
          <w:szCs w:val="24"/>
        </w:rPr>
        <w:t xml:space="preserve">was extensively reevaluated by </w:t>
      </w:r>
      <w:r w:rsidR="00322E8A" w:rsidRPr="007B7ADA">
        <w:rPr>
          <w:color w:val="auto"/>
          <w:szCs w:val="24"/>
        </w:rPr>
        <w:t>pulmonary.</w:t>
      </w:r>
      <w:r w:rsidR="0060267F" w:rsidRPr="007B7ADA">
        <w:rPr>
          <w:color w:val="auto"/>
          <w:szCs w:val="24"/>
        </w:rPr>
        <w:t xml:space="preserve"> </w:t>
      </w:r>
      <w:r w:rsidR="00322E8A" w:rsidRPr="007B7ADA">
        <w:rPr>
          <w:color w:val="auto"/>
          <w:szCs w:val="24"/>
        </w:rPr>
        <w:t xml:space="preserve"> The </w:t>
      </w:r>
      <w:r w:rsidR="0060267F" w:rsidRPr="007B7ADA">
        <w:rPr>
          <w:color w:val="auto"/>
          <w:szCs w:val="24"/>
        </w:rPr>
        <w:t xml:space="preserve">pulmonologist questioned the diagnosis of asthma as the </w:t>
      </w:r>
      <w:r w:rsidR="003D3F2B" w:rsidRPr="007B7ADA">
        <w:rPr>
          <w:color w:val="auto"/>
          <w:szCs w:val="24"/>
        </w:rPr>
        <w:t xml:space="preserve">CI </w:t>
      </w:r>
      <w:r w:rsidR="00322E8A" w:rsidRPr="007B7ADA">
        <w:rPr>
          <w:color w:val="auto"/>
          <w:szCs w:val="24"/>
        </w:rPr>
        <w:t>had</w:t>
      </w:r>
      <w:r w:rsidR="0060267F" w:rsidRPr="007B7ADA">
        <w:rPr>
          <w:color w:val="auto"/>
          <w:szCs w:val="24"/>
        </w:rPr>
        <w:t xml:space="preserve"> multiple normal PFTs</w:t>
      </w:r>
      <w:r w:rsidR="00322E8A" w:rsidRPr="007B7ADA">
        <w:rPr>
          <w:color w:val="auto"/>
          <w:szCs w:val="24"/>
        </w:rPr>
        <w:t xml:space="preserve"> </w:t>
      </w:r>
      <w:r w:rsidR="0060267F" w:rsidRPr="007B7ADA">
        <w:rPr>
          <w:color w:val="auto"/>
          <w:szCs w:val="24"/>
        </w:rPr>
        <w:t>showing no improvement on bronchodilators</w:t>
      </w:r>
      <w:r w:rsidR="00CE61A9" w:rsidRPr="007B7ADA">
        <w:rPr>
          <w:color w:val="auto"/>
          <w:szCs w:val="24"/>
        </w:rPr>
        <w:t>,</w:t>
      </w:r>
      <w:r w:rsidR="0060267F" w:rsidRPr="007B7ADA">
        <w:rPr>
          <w:color w:val="auto"/>
          <w:szCs w:val="24"/>
        </w:rPr>
        <w:t xml:space="preserve"> </w:t>
      </w:r>
      <w:r w:rsidR="00CE61A9" w:rsidRPr="007B7ADA">
        <w:rPr>
          <w:color w:val="auto"/>
          <w:szCs w:val="24"/>
        </w:rPr>
        <w:t>the latest June 2006</w:t>
      </w:r>
      <w:r w:rsidR="003D3F2B" w:rsidRPr="007B7ADA">
        <w:rPr>
          <w:color w:val="auto"/>
          <w:szCs w:val="24"/>
        </w:rPr>
        <w:t>,</w:t>
      </w:r>
      <w:r w:rsidR="00CE61A9" w:rsidRPr="007B7ADA">
        <w:rPr>
          <w:color w:val="auto"/>
          <w:szCs w:val="24"/>
        </w:rPr>
        <w:t xml:space="preserve"> </w:t>
      </w:r>
      <w:r w:rsidR="0060267F" w:rsidRPr="007B7ADA">
        <w:rPr>
          <w:color w:val="auto"/>
          <w:szCs w:val="24"/>
        </w:rPr>
        <w:t>and a</w:t>
      </w:r>
      <w:r w:rsidR="00CE61A9" w:rsidRPr="007B7ADA">
        <w:rPr>
          <w:color w:val="auto"/>
          <w:szCs w:val="24"/>
        </w:rPr>
        <w:t xml:space="preserve"> </w:t>
      </w:r>
      <w:r w:rsidR="0060267F" w:rsidRPr="007B7ADA">
        <w:rPr>
          <w:color w:val="auto"/>
          <w:szCs w:val="24"/>
        </w:rPr>
        <w:t xml:space="preserve">negative methacholine challenge test. </w:t>
      </w:r>
      <w:r w:rsidR="003D3F2B" w:rsidRPr="007B7ADA">
        <w:rPr>
          <w:color w:val="auto"/>
          <w:szCs w:val="24"/>
        </w:rPr>
        <w:t xml:space="preserve"> </w:t>
      </w:r>
      <w:r w:rsidR="00CE61A9" w:rsidRPr="007B7ADA">
        <w:rPr>
          <w:color w:val="auto"/>
          <w:szCs w:val="24"/>
        </w:rPr>
        <w:t>The CI was th</w:t>
      </w:r>
      <w:r w:rsidR="003D3F2B" w:rsidRPr="007B7ADA">
        <w:rPr>
          <w:color w:val="auto"/>
          <w:szCs w:val="24"/>
        </w:rPr>
        <w:t xml:space="preserve">us referred to </w:t>
      </w:r>
      <w:r w:rsidR="00CE61A9" w:rsidRPr="007B7ADA">
        <w:rPr>
          <w:color w:val="auto"/>
          <w:szCs w:val="24"/>
        </w:rPr>
        <w:t xml:space="preserve">allergy and gastroenterology. </w:t>
      </w:r>
      <w:r w:rsidR="003D3F2B" w:rsidRPr="007B7ADA">
        <w:rPr>
          <w:color w:val="auto"/>
          <w:szCs w:val="24"/>
        </w:rPr>
        <w:t xml:space="preserve"> </w:t>
      </w:r>
    </w:p>
    <w:p w:rsidR="00D91B08" w:rsidRDefault="00D91B08" w:rsidP="003D3F2B">
      <w:pPr>
        <w:autoSpaceDE w:val="0"/>
        <w:autoSpaceDN w:val="0"/>
        <w:adjustRightInd w:val="0"/>
        <w:jc w:val="both"/>
        <w:rPr>
          <w:color w:val="auto"/>
          <w:szCs w:val="24"/>
        </w:rPr>
      </w:pPr>
    </w:p>
    <w:p w:rsidR="00542022" w:rsidRPr="00D91B08" w:rsidRDefault="00AF66E5" w:rsidP="003D3F2B">
      <w:pPr>
        <w:autoSpaceDE w:val="0"/>
        <w:autoSpaceDN w:val="0"/>
        <w:adjustRightInd w:val="0"/>
        <w:jc w:val="both"/>
        <w:rPr>
          <w:color w:val="auto"/>
          <w:szCs w:val="24"/>
        </w:rPr>
      </w:pPr>
      <w:r w:rsidRPr="007B7ADA">
        <w:rPr>
          <w:color w:val="auto"/>
          <w:szCs w:val="24"/>
        </w:rPr>
        <w:t>In January 2007, t</w:t>
      </w:r>
      <w:r w:rsidR="00CE61A9" w:rsidRPr="007B7ADA">
        <w:rPr>
          <w:color w:val="auto"/>
          <w:szCs w:val="24"/>
        </w:rPr>
        <w:t xml:space="preserve">he </w:t>
      </w:r>
      <w:r w:rsidR="004C41EF">
        <w:rPr>
          <w:color w:val="auto"/>
          <w:szCs w:val="24"/>
        </w:rPr>
        <w:t>a</w:t>
      </w:r>
      <w:r w:rsidR="0060267F" w:rsidRPr="007B7ADA">
        <w:rPr>
          <w:color w:val="auto"/>
          <w:szCs w:val="24"/>
        </w:rPr>
        <w:t xml:space="preserve">llergy </w:t>
      </w:r>
      <w:r w:rsidR="004C41EF">
        <w:rPr>
          <w:color w:val="auto"/>
          <w:szCs w:val="24"/>
        </w:rPr>
        <w:t>s</w:t>
      </w:r>
      <w:r w:rsidR="0060267F" w:rsidRPr="007B7ADA">
        <w:rPr>
          <w:color w:val="auto"/>
          <w:szCs w:val="24"/>
        </w:rPr>
        <w:t xml:space="preserve">ervice </w:t>
      </w:r>
      <w:r w:rsidR="003D3F2B" w:rsidRPr="007B7ADA">
        <w:rPr>
          <w:color w:val="auto"/>
          <w:szCs w:val="24"/>
        </w:rPr>
        <w:t>documented an immunodeficiency</w:t>
      </w:r>
      <w:r w:rsidR="00CE61A9" w:rsidRPr="007B7ADA">
        <w:rPr>
          <w:color w:val="auto"/>
          <w:szCs w:val="24"/>
        </w:rPr>
        <w:t xml:space="preserve"> </w:t>
      </w:r>
      <w:r w:rsidR="00EE3F2F">
        <w:rPr>
          <w:color w:val="auto"/>
          <w:szCs w:val="24"/>
        </w:rPr>
        <w:t xml:space="preserve">disorder </w:t>
      </w:r>
      <w:r w:rsidR="00CE61A9" w:rsidRPr="007B7ADA">
        <w:rPr>
          <w:color w:val="auto"/>
          <w:szCs w:val="24"/>
        </w:rPr>
        <w:t>and</w:t>
      </w:r>
      <w:r w:rsidR="00EE3F2F">
        <w:rPr>
          <w:color w:val="auto"/>
          <w:szCs w:val="24"/>
        </w:rPr>
        <w:t xml:space="preserve"> </w:t>
      </w:r>
      <w:r w:rsidR="00CE61A9" w:rsidRPr="007B7ADA">
        <w:rPr>
          <w:color w:val="auto"/>
          <w:szCs w:val="24"/>
        </w:rPr>
        <w:t xml:space="preserve">treated </w:t>
      </w:r>
      <w:r w:rsidR="004C41EF">
        <w:rPr>
          <w:color w:val="auto"/>
          <w:szCs w:val="24"/>
        </w:rPr>
        <w:t xml:space="preserve">him </w:t>
      </w:r>
      <w:r w:rsidR="00EE3F2F">
        <w:rPr>
          <w:color w:val="auto"/>
          <w:szCs w:val="24"/>
        </w:rPr>
        <w:t xml:space="preserve">for </w:t>
      </w:r>
      <w:r w:rsidR="0060267F" w:rsidRPr="007B7ADA">
        <w:rPr>
          <w:color w:val="auto"/>
          <w:szCs w:val="24"/>
        </w:rPr>
        <w:t>low</w:t>
      </w:r>
      <w:r w:rsidR="00CE61A9" w:rsidRPr="007B7ADA">
        <w:rPr>
          <w:color w:val="auto"/>
          <w:szCs w:val="24"/>
        </w:rPr>
        <w:t xml:space="preserve"> </w:t>
      </w:r>
      <w:r w:rsidR="0060267F" w:rsidRPr="007B7ADA">
        <w:rPr>
          <w:color w:val="auto"/>
          <w:szCs w:val="24"/>
        </w:rPr>
        <w:t xml:space="preserve">titers </w:t>
      </w:r>
      <w:r w:rsidR="00561DF8" w:rsidRPr="007B7ADA">
        <w:rPr>
          <w:color w:val="auto"/>
          <w:szCs w:val="24"/>
        </w:rPr>
        <w:t>of</w:t>
      </w:r>
      <w:r w:rsidR="0060267F" w:rsidRPr="007B7ADA">
        <w:rPr>
          <w:color w:val="auto"/>
          <w:szCs w:val="24"/>
        </w:rPr>
        <w:t xml:space="preserve"> pneumococcus and H. flu bacteria</w:t>
      </w:r>
      <w:r w:rsidR="00561DF8" w:rsidRPr="007B7ADA">
        <w:rPr>
          <w:color w:val="auto"/>
          <w:szCs w:val="24"/>
        </w:rPr>
        <w:t xml:space="preserve"> with vaccination which resulted in an excellent</w:t>
      </w:r>
      <w:r w:rsidR="00215499" w:rsidRPr="007B7ADA">
        <w:rPr>
          <w:color w:val="auto"/>
          <w:szCs w:val="24"/>
        </w:rPr>
        <w:t xml:space="preserve"> response with documented protective titers.  The allergist, therefore,</w:t>
      </w:r>
      <w:r w:rsidRPr="007B7ADA">
        <w:rPr>
          <w:color w:val="auto"/>
          <w:szCs w:val="24"/>
        </w:rPr>
        <w:t xml:space="preserve"> opined there was no evidence of asthma and that his cough had been due to non-specific sensitivity to irritants because of airway </w:t>
      </w:r>
      <w:r w:rsidR="00561DF8" w:rsidRPr="007B7ADA">
        <w:rPr>
          <w:color w:val="auto"/>
          <w:szCs w:val="24"/>
        </w:rPr>
        <w:t>sensitivity</w:t>
      </w:r>
      <w:r w:rsidRPr="007B7ADA">
        <w:rPr>
          <w:color w:val="auto"/>
          <w:szCs w:val="24"/>
        </w:rPr>
        <w:t xml:space="preserve"> </w:t>
      </w:r>
      <w:r w:rsidR="00215499" w:rsidRPr="007B7ADA">
        <w:rPr>
          <w:color w:val="auto"/>
          <w:szCs w:val="24"/>
        </w:rPr>
        <w:t>and that the progression of disease had been interrupted by immunization and by giving symptom-relieving medicat</w:t>
      </w:r>
      <w:r w:rsidR="002F2E24">
        <w:rPr>
          <w:color w:val="auto"/>
          <w:szCs w:val="24"/>
        </w:rPr>
        <w:t xml:space="preserve">ions, </w:t>
      </w:r>
      <w:r w:rsidR="00D91B08">
        <w:rPr>
          <w:bCs/>
          <w:color w:val="auto"/>
        </w:rPr>
        <w:t>I</w:t>
      </w:r>
      <w:r w:rsidR="004C41EF" w:rsidRPr="004C41EF">
        <w:rPr>
          <w:bCs/>
          <w:color w:val="auto"/>
        </w:rPr>
        <w:t xml:space="preserve">pratropium </w:t>
      </w:r>
      <w:r w:rsidR="00D91B08">
        <w:rPr>
          <w:bCs/>
          <w:color w:val="auto"/>
        </w:rPr>
        <w:t>B</w:t>
      </w:r>
      <w:r w:rsidR="004C41EF" w:rsidRPr="004C41EF">
        <w:rPr>
          <w:bCs/>
          <w:color w:val="auto"/>
        </w:rPr>
        <w:t>romide</w:t>
      </w:r>
      <w:r w:rsidR="004C41EF">
        <w:rPr>
          <w:bCs/>
          <w:color w:val="auto"/>
        </w:rPr>
        <w:t>,</w:t>
      </w:r>
      <w:r w:rsidR="004C41EF">
        <w:rPr>
          <w:color w:val="auto"/>
          <w:szCs w:val="24"/>
        </w:rPr>
        <w:t xml:space="preserve"> (</w:t>
      </w:r>
      <w:r w:rsidR="002F2E24">
        <w:rPr>
          <w:color w:val="auto"/>
          <w:szCs w:val="24"/>
        </w:rPr>
        <w:t>Atroven</w:t>
      </w:r>
      <w:r w:rsidR="00D91B08">
        <w:rPr>
          <w:color w:val="auto"/>
          <w:szCs w:val="24"/>
        </w:rPr>
        <w:t>t,</w:t>
      </w:r>
      <w:r w:rsidR="004C41EF">
        <w:rPr>
          <w:color w:val="auto"/>
          <w:szCs w:val="24"/>
        </w:rPr>
        <w:t xml:space="preserve"> an </w:t>
      </w:r>
      <w:r w:rsidR="002F2E24">
        <w:rPr>
          <w:color w:val="auto"/>
          <w:szCs w:val="24"/>
        </w:rPr>
        <w:t>anti</w:t>
      </w:r>
      <w:r w:rsidR="00D91B08">
        <w:rPr>
          <w:color w:val="auto"/>
          <w:szCs w:val="24"/>
        </w:rPr>
        <w:t>-</w:t>
      </w:r>
      <w:r w:rsidR="002F2E24">
        <w:rPr>
          <w:color w:val="auto"/>
          <w:szCs w:val="24"/>
        </w:rPr>
        <w:t>cholinergic inhaler</w:t>
      </w:r>
      <w:r w:rsidR="004C41EF">
        <w:rPr>
          <w:color w:val="auto"/>
          <w:szCs w:val="24"/>
        </w:rPr>
        <w:t>)</w:t>
      </w:r>
      <w:r w:rsidR="00215499" w:rsidRPr="007B7ADA">
        <w:rPr>
          <w:color w:val="auto"/>
          <w:szCs w:val="24"/>
        </w:rPr>
        <w:t>.</w:t>
      </w:r>
      <w:r w:rsidRPr="007B7ADA">
        <w:rPr>
          <w:color w:val="auto"/>
          <w:szCs w:val="24"/>
        </w:rPr>
        <w:t xml:space="preserve">  He further opined the CI would need future </w:t>
      </w:r>
      <w:r w:rsidR="00215499" w:rsidRPr="007B7ADA">
        <w:rPr>
          <w:color w:val="auto"/>
          <w:szCs w:val="24"/>
        </w:rPr>
        <w:t xml:space="preserve">annual </w:t>
      </w:r>
      <w:r w:rsidRPr="007B7ADA">
        <w:rPr>
          <w:color w:val="auto"/>
          <w:szCs w:val="24"/>
        </w:rPr>
        <w:t xml:space="preserve">monitoring of his immune status and that his current medical condition, chronic cough due to immunodeficiency which led to airway inflammation with normal PFTs </w:t>
      </w:r>
      <w:r w:rsidR="00561DF8" w:rsidRPr="007B7ADA">
        <w:rPr>
          <w:color w:val="auto"/>
          <w:szCs w:val="24"/>
        </w:rPr>
        <w:t>and was</w:t>
      </w:r>
      <w:r w:rsidRPr="007B7ADA">
        <w:rPr>
          <w:color w:val="auto"/>
          <w:szCs w:val="24"/>
        </w:rPr>
        <w:t xml:space="preserve"> not disqualifying IAW 40-501</w:t>
      </w:r>
      <w:r w:rsidR="00D91B08">
        <w:rPr>
          <w:color w:val="auto"/>
          <w:szCs w:val="24"/>
        </w:rPr>
        <w:t>;</w:t>
      </w:r>
      <w:r w:rsidR="0042515D">
        <w:rPr>
          <w:color w:val="auto"/>
          <w:szCs w:val="24"/>
        </w:rPr>
        <w:t xml:space="preserve"> </w:t>
      </w:r>
      <w:r w:rsidR="00561DF8" w:rsidRPr="007B7ADA">
        <w:rPr>
          <w:color w:val="auto"/>
          <w:szCs w:val="24"/>
        </w:rPr>
        <w:t>however</w:t>
      </w:r>
      <w:r w:rsidR="00561DF8">
        <w:rPr>
          <w:color w:val="auto"/>
          <w:szCs w:val="24"/>
        </w:rPr>
        <w:t xml:space="preserve">, </w:t>
      </w:r>
      <w:r w:rsidR="00215499">
        <w:rPr>
          <w:color w:val="auto"/>
          <w:szCs w:val="24"/>
        </w:rPr>
        <w:t>certain duty positions may have requirements with increased fitness standards and cross-training might be considered</w:t>
      </w:r>
      <w:r>
        <w:rPr>
          <w:color w:val="auto"/>
          <w:szCs w:val="24"/>
        </w:rPr>
        <w:t xml:space="preserve">.  The allergist diagnosed cough, bronchitis, </w:t>
      </w:r>
      <w:r w:rsidR="00CE61A9" w:rsidRPr="00CE61A9">
        <w:rPr>
          <w:color w:val="auto"/>
          <w:szCs w:val="24"/>
        </w:rPr>
        <w:t xml:space="preserve">and </w:t>
      </w:r>
      <w:r w:rsidR="00215499">
        <w:rPr>
          <w:color w:val="auto"/>
          <w:szCs w:val="24"/>
        </w:rPr>
        <w:t xml:space="preserve">placed him on 3 months of </w:t>
      </w:r>
      <w:r w:rsidR="00215499" w:rsidRPr="002F2E24">
        <w:rPr>
          <w:color w:val="auto"/>
          <w:szCs w:val="24"/>
        </w:rPr>
        <w:t xml:space="preserve">antibiotics and </w:t>
      </w:r>
      <w:r w:rsidR="002F2E24" w:rsidRPr="002F2E24">
        <w:rPr>
          <w:color w:val="auto"/>
          <w:szCs w:val="24"/>
        </w:rPr>
        <w:t>A</w:t>
      </w:r>
      <w:r w:rsidR="00215499" w:rsidRPr="002F2E24">
        <w:rPr>
          <w:color w:val="auto"/>
          <w:szCs w:val="24"/>
        </w:rPr>
        <w:t xml:space="preserve">trovent and recommended follow-up in 3 months.  </w:t>
      </w:r>
      <w:r w:rsidR="0042515D" w:rsidRPr="002F2E24">
        <w:rPr>
          <w:color w:val="auto"/>
          <w:szCs w:val="24"/>
        </w:rPr>
        <w:t>The CI</w:t>
      </w:r>
      <w:r w:rsidR="0060267F" w:rsidRPr="002F2E24">
        <w:rPr>
          <w:color w:val="auto"/>
          <w:szCs w:val="24"/>
        </w:rPr>
        <w:t xml:space="preserve"> continued to have recurrent episodes</w:t>
      </w:r>
      <w:r w:rsidR="00CE61A9" w:rsidRPr="002F2E24">
        <w:rPr>
          <w:color w:val="auto"/>
          <w:szCs w:val="24"/>
        </w:rPr>
        <w:t xml:space="preserve"> </w:t>
      </w:r>
      <w:r w:rsidR="0060267F" w:rsidRPr="002F2E24">
        <w:rPr>
          <w:color w:val="auto"/>
          <w:szCs w:val="24"/>
        </w:rPr>
        <w:t>of violent coughing with any activity that required full lung expansion, with exposure</w:t>
      </w:r>
      <w:r w:rsidR="00CE61A9" w:rsidRPr="002F2E24">
        <w:rPr>
          <w:color w:val="auto"/>
          <w:szCs w:val="24"/>
        </w:rPr>
        <w:t xml:space="preserve"> </w:t>
      </w:r>
      <w:r w:rsidR="0060267F" w:rsidRPr="002F2E24">
        <w:rPr>
          <w:color w:val="auto"/>
          <w:szCs w:val="24"/>
        </w:rPr>
        <w:t>to cold weather, and with exp</w:t>
      </w:r>
      <w:r w:rsidR="009F06E4" w:rsidRPr="002F2E24">
        <w:rPr>
          <w:color w:val="auto"/>
          <w:szCs w:val="24"/>
        </w:rPr>
        <w:t>osure to hot and dusty weather.  A bronchoscopy</w:t>
      </w:r>
      <w:r w:rsidR="00561DF8" w:rsidRPr="002F2E24">
        <w:rPr>
          <w:color w:val="auto"/>
          <w:szCs w:val="24"/>
        </w:rPr>
        <w:t>,</w:t>
      </w:r>
      <w:r w:rsidR="009F06E4" w:rsidRPr="002F2E24">
        <w:rPr>
          <w:color w:val="auto"/>
          <w:szCs w:val="24"/>
        </w:rPr>
        <w:t xml:space="preserve"> completed in April 2007</w:t>
      </w:r>
      <w:r w:rsidR="00561DF8" w:rsidRPr="002F2E24">
        <w:rPr>
          <w:color w:val="auto"/>
          <w:szCs w:val="24"/>
        </w:rPr>
        <w:t>,</w:t>
      </w:r>
      <w:r w:rsidR="009F06E4" w:rsidRPr="002F2E24">
        <w:rPr>
          <w:color w:val="auto"/>
          <w:szCs w:val="24"/>
        </w:rPr>
        <w:t xml:space="preserve"> revealed </w:t>
      </w:r>
      <w:r w:rsidR="009F06E4" w:rsidRPr="004C41EF">
        <w:rPr>
          <w:color w:val="auto"/>
          <w:szCs w:val="24"/>
        </w:rPr>
        <w:t>normal lung airway anatomy.  A</w:t>
      </w:r>
      <w:r w:rsidR="00CE61A9" w:rsidRPr="004C41EF">
        <w:rPr>
          <w:color w:val="auto"/>
          <w:szCs w:val="24"/>
        </w:rPr>
        <w:t xml:space="preserve"> gastroenterology evaluation </w:t>
      </w:r>
      <w:r w:rsidR="00561DF8" w:rsidRPr="004C41EF">
        <w:rPr>
          <w:color w:val="auto"/>
          <w:szCs w:val="24"/>
        </w:rPr>
        <w:t xml:space="preserve">was completed and </w:t>
      </w:r>
      <w:r w:rsidR="009F06E4" w:rsidRPr="004C41EF">
        <w:rPr>
          <w:color w:val="auto"/>
          <w:szCs w:val="24"/>
        </w:rPr>
        <w:t xml:space="preserve">included an </w:t>
      </w:r>
      <w:r w:rsidR="004C41EF" w:rsidRPr="004C41EF">
        <w:rPr>
          <w:color w:val="auto"/>
          <w:szCs w:val="24"/>
        </w:rPr>
        <w:t>e</w:t>
      </w:r>
      <w:r w:rsidR="004C41EF" w:rsidRPr="004C41EF">
        <w:rPr>
          <w:bCs/>
          <w:color w:val="auto"/>
        </w:rPr>
        <w:t>sophagogastroduodenoscopy</w:t>
      </w:r>
      <w:r w:rsidR="004C41EF" w:rsidRPr="004C41EF">
        <w:rPr>
          <w:b/>
          <w:bCs/>
          <w:color w:val="auto"/>
        </w:rPr>
        <w:t xml:space="preserve"> </w:t>
      </w:r>
      <w:r w:rsidR="004C41EF" w:rsidRPr="00D903F9">
        <w:rPr>
          <w:bCs/>
          <w:color w:val="auto"/>
        </w:rPr>
        <w:t>(</w:t>
      </w:r>
      <w:r w:rsidR="009F06E4" w:rsidRPr="00D903F9">
        <w:rPr>
          <w:color w:val="auto"/>
          <w:szCs w:val="24"/>
        </w:rPr>
        <w:t>EGD</w:t>
      </w:r>
      <w:r w:rsidR="004C41EF" w:rsidRPr="004C41EF">
        <w:rPr>
          <w:color w:val="auto"/>
          <w:szCs w:val="24"/>
        </w:rPr>
        <w:t>)</w:t>
      </w:r>
      <w:r w:rsidR="009F06E4" w:rsidRPr="004C41EF">
        <w:rPr>
          <w:color w:val="auto"/>
          <w:szCs w:val="24"/>
        </w:rPr>
        <w:t>,</w:t>
      </w:r>
      <w:r w:rsidR="009F06E4">
        <w:rPr>
          <w:color w:val="auto"/>
          <w:szCs w:val="24"/>
        </w:rPr>
        <w:t xml:space="preserve"> gastric biopsies, trial of proton pump inhibitors and p</w:t>
      </w:r>
      <w:r w:rsidR="00561DF8">
        <w:rPr>
          <w:color w:val="auto"/>
          <w:szCs w:val="24"/>
        </w:rPr>
        <w:t>H</w:t>
      </w:r>
      <w:r w:rsidR="009F06E4">
        <w:rPr>
          <w:color w:val="auto"/>
          <w:szCs w:val="24"/>
        </w:rPr>
        <w:t xml:space="preserve"> monitoring.  The EGD revealed antral gastritis, normal biopsies and </w:t>
      </w:r>
      <w:r w:rsidR="00EE3F2F">
        <w:rPr>
          <w:color w:val="auto"/>
          <w:szCs w:val="24"/>
        </w:rPr>
        <w:t xml:space="preserve">a </w:t>
      </w:r>
      <w:r w:rsidR="00561DF8">
        <w:rPr>
          <w:color w:val="auto"/>
          <w:szCs w:val="24"/>
        </w:rPr>
        <w:t>pH</w:t>
      </w:r>
      <w:r w:rsidR="009F06E4">
        <w:rPr>
          <w:color w:val="auto"/>
          <w:szCs w:val="24"/>
        </w:rPr>
        <w:t xml:space="preserve"> monitoring day </w:t>
      </w:r>
      <w:r w:rsidR="00D91B08">
        <w:rPr>
          <w:color w:val="auto"/>
          <w:szCs w:val="24"/>
        </w:rPr>
        <w:t>one</w:t>
      </w:r>
      <w:r w:rsidR="009F06E4">
        <w:rPr>
          <w:color w:val="auto"/>
          <w:szCs w:val="24"/>
        </w:rPr>
        <w:t xml:space="preserve"> </w:t>
      </w:r>
      <w:r w:rsidR="00596DCE">
        <w:rPr>
          <w:color w:val="auto"/>
          <w:szCs w:val="24"/>
        </w:rPr>
        <w:t>revealed a DeMeester score of</w:t>
      </w:r>
      <w:r w:rsidR="009F06E4">
        <w:rPr>
          <w:color w:val="auto"/>
          <w:szCs w:val="24"/>
        </w:rPr>
        <w:t xml:space="preserve"> 23, </w:t>
      </w:r>
      <w:r w:rsidR="00596DCE">
        <w:rPr>
          <w:color w:val="auto"/>
          <w:szCs w:val="24"/>
        </w:rPr>
        <w:t>(</w:t>
      </w:r>
      <w:r w:rsidR="009F06E4">
        <w:rPr>
          <w:color w:val="auto"/>
          <w:szCs w:val="24"/>
        </w:rPr>
        <w:t xml:space="preserve">a </w:t>
      </w:r>
      <w:r w:rsidR="00596DCE">
        <w:rPr>
          <w:color w:val="auto"/>
          <w:szCs w:val="24"/>
        </w:rPr>
        <w:t xml:space="preserve">DeMeester </w:t>
      </w:r>
      <w:r w:rsidR="009F06E4">
        <w:rPr>
          <w:color w:val="auto"/>
          <w:szCs w:val="24"/>
        </w:rPr>
        <w:t>score of &gt; 14.72 indicates reflux</w:t>
      </w:r>
      <w:r w:rsidR="00596DCE">
        <w:rPr>
          <w:color w:val="auto"/>
          <w:szCs w:val="24"/>
        </w:rPr>
        <w:t>)</w:t>
      </w:r>
      <w:r w:rsidR="004C41EF">
        <w:rPr>
          <w:color w:val="auto"/>
          <w:szCs w:val="24"/>
        </w:rPr>
        <w:t xml:space="preserve">.  However, </w:t>
      </w:r>
      <w:r w:rsidR="009F06E4">
        <w:rPr>
          <w:color w:val="auto"/>
          <w:szCs w:val="24"/>
        </w:rPr>
        <w:t xml:space="preserve">his trial on medication for reflux </w:t>
      </w:r>
      <w:r w:rsidR="00CE61A9" w:rsidRPr="00CE61A9">
        <w:rPr>
          <w:color w:val="auto"/>
          <w:szCs w:val="24"/>
        </w:rPr>
        <w:t xml:space="preserve">did not </w:t>
      </w:r>
      <w:r w:rsidR="009F06E4">
        <w:rPr>
          <w:color w:val="auto"/>
          <w:szCs w:val="24"/>
        </w:rPr>
        <w:t>improve</w:t>
      </w:r>
      <w:r w:rsidR="00CE61A9" w:rsidRPr="00CE61A9">
        <w:rPr>
          <w:color w:val="auto"/>
          <w:szCs w:val="24"/>
        </w:rPr>
        <w:t xml:space="preserve"> his cough.  </w:t>
      </w:r>
      <w:r w:rsidR="00596DCE">
        <w:rPr>
          <w:color w:val="auto"/>
          <w:szCs w:val="24"/>
        </w:rPr>
        <w:t>A new</w:t>
      </w:r>
      <w:r w:rsidR="009D29F4">
        <w:rPr>
          <w:color w:val="auto"/>
          <w:szCs w:val="24"/>
        </w:rPr>
        <w:t xml:space="preserve"> permanent profile </w:t>
      </w:r>
      <w:r w:rsidR="00596DCE">
        <w:rPr>
          <w:color w:val="auto"/>
          <w:szCs w:val="24"/>
        </w:rPr>
        <w:t xml:space="preserve">was written in March 2007 </w:t>
      </w:r>
      <w:r w:rsidR="00561DF8">
        <w:rPr>
          <w:color w:val="auto"/>
          <w:szCs w:val="24"/>
        </w:rPr>
        <w:t xml:space="preserve">which </w:t>
      </w:r>
      <w:r w:rsidR="00596DCE">
        <w:rPr>
          <w:color w:val="auto"/>
          <w:szCs w:val="24"/>
        </w:rPr>
        <w:t xml:space="preserve">labeled the medical condition as chronic cough with the following </w:t>
      </w:r>
      <w:r w:rsidR="00596DCE">
        <w:rPr>
          <w:color w:val="auto"/>
          <w:szCs w:val="24"/>
        </w:rPr>
        <w:lastRenderedPageBreak/>
        <w:t xml:space="preserve">more restrictive limitations than his prior permanent profile; physical training at </w:t>
      </w:r>
      <w:r w:rsidR="00596DCE" w:rsidRPr="00596DCE">
        <w:rPr>
          <w:color w:val="auto"/>
          <w:szCs w:val="24"/>
        </w:rPr>
        <w:t xml:space="preserve">own pace and </w:t>
      </w:r>
      <w:r w:rsidR="00596DCE">
        <w:rPr>
          <w:color w:val="auto"/>
          <w:szCs w:val="24"/>
        </w:rPr>
        <w:t>distance, indoor duty only, no AFPT, unable to move with a fighting load at least 2 miles, unable to wear protective mask, unable to construct an individual fighting position, unable to do 3-5 second rushes and unable to deploy.</w:t>
      </w:r>
      <w:r w:rsidR="0042515D">
        <w:rPr>
          <w:color w:val="auto"/>
          <w:szCs w:val="24"/>
        </w:rPr>
        <w:t xml:space="preserve">  A review of the </w:t>
      </w:r>
      <w:r w:rsidR="00D91B08">
        <w:rPr>
          <w:color w:val="auto"/>
          <w:szCs w:val="24"/>
        </w:rPr>
        <w:t>s</w:t>
      </w:r>
      <w:r w:rsidR="0042515D">
        <w:rPr>
          <w:color w:val="auto"/>
          <w:szCs w:val="24"/>
        </w:rPr>
        <w:t xml:space="preserve">ervice treatment pharmacy record documented </w:t>
      </w:r>
      <w:r w:rsidR="002F2E24">
        <w:rPr>
          <w:color w:val="auto"/>
          <w:szCs w:val="24"/>
        </w:rPr>
        <w:t xml:space="preserve">multiple different allergy and asthma </w:t>
      </w:r>
      <w:r w:rsidR="0042515D">
        <w:rPr>
          <w:color w:val="auto"/>
          <w:szCs w:val="24"/>
        </w:rPr>
        <w:t xml:space="preserve">prescriptions </w:t>
      </w:r>
      <w:r w:rsidR="002F2E24">
        <w:rPr>
          <w:color w:val="auto"/>
          <w:szCs w:val="24"/>
        </w:rPr>
        <w:t>to include;</w:t>
      </w:r>
      <w:r w:rsidR="0042515D">
        <w:rPr>
          <w:color w:val="auto"/>
          <w:szCs w:val="24"/>
        </w:rPr>
        <w:t xml:space="preserve"> </w:t>
      </w:r>
      <w:r w:rsidR="00D91B08">
        <w:rPr>
          <w:color w:val="auto"/>
          <w:szCs w:val="24"/>
        </w:rPr>
        <w:t>A</w:t>
      </w:r>
      <w:r w:rsidR="004C41EF">
        <w:rPr>
          <w:color w:val="auto"/>
          <w:szCs w:val="24"/>
        </w:rPr>
        <w:t>lbuterol, both</w:t>
      </w:r>
      <w:r w:rsidR="0042515D">
        <w:rPr>
          <w:color w:val="auto"/>
          <w:szCs w:val="24"/>
        </w:rPr>
        <w:t xml:space="preserve"> inhaler and solution for nebulizer, Atrovent, Spirivia, Advair, Allegra, Singulair, and Flovent.  </w:t>
      </w:r>
      <w:r w:rsidR="0042515D" w:rsidRPr="002F2E24">
        <w:rPr>
          <w:color w:val="auto"/>
          <w:szCs w:val="24"/>
        </w:rPr>
        <w:t>The pharmacy record reflected refills of Advair</w:t>
      </w:r>
      <w:r w:rsidR="00D91B08">
        <w:rPr>
          <w:color w:val="auto"/>
          <w:szCs w:val="24"/>
        </w:rPr>
        <w:t>;</w:t>
      </w:r>
      <w:r w:rsidR="0042515D" w:rsidRPr="002F2E24">
        <w:rPr>
          <w:color w:val="auto"/>
          <w:szCs w:val="24"/>
        </w:rPr>
        <w:t xml:space="preserve"> however</w:t>
      </w:r>
      <w:r w:rsidR="00D91B08">
        <w:rPr>
          <w:color w:val="auto"/>
          <w:szCs w:val="24"/>
        </w:rPr>
        <w:t>,</w:t>
      </w:r>
      <w:r w:rsidR="0042515D" w:rsidRPr="002F2E24">
        <w:rPr>
          <w:color w:val="auto"/>
          <w:szCs w:val="24"/>
        </w:rPr>
        <w:t xml:space="preserve"> refills were inconsistent with the prescription directions.</w:t>
      </w:r>
    </w:p>
    <w:p w:rsidR="009678BA" w:rsidRDefault="009678BA" w:rsidP="0069687C">
      <w:pPr>
        <w:jc w:val="both"/>
        <w:rPr>
          <w:color w:val="auto"/>
          <w:szCs w:val="24"/>
        </w:rPr>
      </w:pPr>
    </w:p>
    <w:p w:rsidR="0069687C" w:rsidRPr="00F64312" w:rsidRDefault="0069687C" w:rsidP="0069687C">
      <w:pPr>
        <w:jc w:val="both"/>
        <w:rPr>
          <w:color w:val="auto"/>
          <w:szCs w:val="24"/>
        </w:rPr>
      </w:pPr>
      <w:r w:rsidRPr="00F64312">
        <w:rPr>
          <w:color w:val="auto"/>
          <w:szCs w:val="24"/>
        </w:rPr>
        <w:t xml:space="preserve">There were </w:t>
      </w:r>
      <w:r w:rsidR="00D91B08">
        <w:rPr>
          <w:color w:val="auto"/>
          <w:szCs w:val="24"/>
        </w:rPr>
        <w:t>four</w:t>
      </w:r>
      <w:r w:rsidR="00001EFC">
        <w:rPr>
          <w:color w:val="auto"/>
          <w:szCs w:val="24"/>
        </w:rPr>
        <w:t xml:space="preserve"> </w:t>
      </w:r>
      <w:r w:rsidR="00B3214F">
        <w:rPr>
          <w:color w:val="auto"/>
          <w:szCs w:val="24"/>
        </w:rPr>
        <w:t xml:space="preserve">pulmonary exams </w:t>
      </w:r>
      <w:r w:rsidRPr="00F64312">
        <w:rPr>
          <w:color w:val="auto"/>
          <w:szCs w:val="24"/>
        </w:rPr>
        <w:t>in evidence</w:t>
      </w:r>
      <w:r w:rsidR="004C41EF">
        <w:rPr>
          <w:color w:val="auto"/>
          <w:szCs w:val="24"/>
        </w:rPr>
        <w:t xml:space="preserve">, </w:t>
      </w:r>
      <w:r w:rsidR="00D91B08">
        <w:rPr>
          <w:color w:val="auto"/>
          <w:szCs w:val="24"/>
        </w:rPr>
        <w:t>two</w:t>
      </w:r>
      <w:r w:rsidR="004C41EF">
        <w:rPr>
          <w:color w:val="auto"/>
          <w:szCs w:val="24"/>
        </w:rPr>
        <w:t xml:space="preserve"> of which specifically met the VASRD </w:t>
      </w:r>
      <w:r w:rsidR="004C41EF" w:rsidRPr="004C41EF">
        <w:rPr>
          <w:rFonts w:eastAsia="Calibri"/>
          <w:color w:val="auto"/>
          <w:szCs w:val="24"/>
        </w:rPr>
        <w:t>§</w:t>
      </w:r>
      <w:r w:rsidR="004C41EF" w:rsidRPr="004C41EF">
        <w:rPr>
          <w:color w:val="auto"/>
          <w:szCs w:val="24"/>
        </w:rPr>
        <w:t>4.46</w:t>
      </w:r>
      <w:r w:rsidR="004C41EF">
        <w:rPr>
          <w:color w:val="auto"/>
          <w:szCs w:val="24"/>
        </w:rPr>
        <w:t xml:space="preserve"> compliance which are referenced in the table below</w:t>
      </w:r>
      <w:r w:rsidRPr="00F64312">
        <w:rPr>
          <w:color w:val="auto"/>
          <w:szCs w:val="24"/>
        </w:rPr>
        <w:t>, with documentation of additional ratable criteria, which the Board weighed in arriving at its rating recommendation; as summarized in the chart below.</w:t>
      </w:r>
      <w:r w:rsidR="00165C7B" w:rsidRPr="00F64312">
        <w:rPr>
          <w:color w:val="auto"/>
          <w:szCs w:val="24"/>
        </w:rPr>
        <w:t xml:space="preserve">  </w:t>
      </w:r>
    </w:p>
    <w:p w:rsidR="00836B7B" w:rsidRDefault="00836B7B" w:rsidP="0069687C">
      <w:pPr>
        <w:jc w:val="both"/>
        <w:rPr>
          <w:color w:val="auto"/>
          <w:szCs w:val="24"/>
        </w:rPr>
      </w:pPr>
    </w:p>
    <w:tbl>
      <w:tblPr>
        <w:tblW w:w="6739" w:type="dxa"/>
        <w:jc w:val="center"/>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9"/>
        <w:gridCol w:w="1841"/>
        <w:gridCol w:w="2559"/>
      </w:tblGrid>
      <w:tr w:rsidR="00313710" w:rsidRPr="00F64312" w:rsidTr="004C41EF">
        <w:trPr>
          <w:jc w:val="center"/>
        </w:trPr>
        <w:tc>
          <w:tcPr>
            <w:tcW w:w="2339" w:type="dxa"/>
            <w:tcBorders>
              <w:top w:val="single" w:sz="4" w:space="0" w:color="000000"/>
              <w:left w:val="single" w:sz="4" w:space="0" w:color="000000"/>
              <w:bottom w:val="single" w:sz="4" w:space="0" w:color="000000"/>
              <w:right w:val="single" w:sz="4" w:space="0" w:color="000000"/>
            </w:tcBorders>
            <w:shd w:val="pct15" w:color="auto" w:fill="auto"/>
            <w:vAlign w:val="center"/>
          </w:tcPr>
          <w:p w:rsidR="00313710" w:rsidRPr="00D2377C" w:rsidRDefault="00313710" w:rsidP="00F17DC6">
            <w:pPr>
              <w:spacing w:line="260" w:lineRule="exact"/>
              <w:contextualSpacing/>
              <w:rPr>
                <w:rFonts w:asciiTheme="majorHAnsi" w:eastAsia="Calibri" w:hAnsiTheme="majorHAnsi" w:cstheme="majorHAnsi"/>
                <w:color w:val="auto"/>
                <w:sz w:val="18"/>
                <w:szCs w:val="18"/>
              </w:rPr>
            </w:pPr>
            <w:r w:rsidRPr="00D2377C">
              <w:rPr>
                <w:rFonts w:asciiTheme="majorHAnsi" w:eastAsia="Calibri" w:hAnsiTheme="majorHAnsi" w:cstheme="majorHAnsi"/>
                <w:color w:val="auto"/>
                <w:sz w:val="18"/>
                <w:szCs w:val="18"/>
              </w:rPr>
              <w:t>Pulmonary Exam</w:t>
            </w:r>
          </w:p>
        </w:tc>
        <w:tc>
          <w:tcPr>
            <w:tcW w:w="1841" w:type="dxa"/>
            <w:tcBorders>
              <w:top w:val="single" w:sz="4" w:space="0" w:color="000000"/>
              <w:left w:val="single" w:sz="4" w:space="0" w:color="000000"/>
              <w:bottom w:val="single" w:sz="4" w:space="0" w:color="000000"/>
              <w:right w:val="single" w:sz="4" w:space="0" w:color="000000"/>
            </w:tcBorders>
            <w:shd w:val="pct15" w:color="auto" w:fill="auto"/>
            <w:vAlign w:val="center"/>
          </w:tcPr>
          <w:p w:rsidR="00313710" w:rsidRPr="00D2377C" w:rsidRDefault="00313710" w:rsidP="003977F9">
            <w:pPr>
              <w:spacing w:line="260" w:lineRule="exact"/>
              <w:contextualSpacing/>
              <w:rPr>
                <w:rFonts w:asciiTheme="majorHAnsi" w:eastAsia="Calibri" w:hAnsiTheme="majorHAnsi" w:cstheme="majorHAnsi"/>
                <w:color w:val="auto"/>
                <w:sz w:val="18"/>
                <w:szCs w:val="18"/>
              </w:rPr>
            </w:pPr>
            <w:r w:rsidRPr="00D2377C">
              <w:rPr>
                <w:rFonts w:asciiTheme="majorHAnsi" w:eastAsia="Calibri" w:hAnsiTheme="majorHAnsi" w:cstheme="majorHAnsi"/>
                <w:color w:val="auto"/>
                <w:sz w:val="18"/>
                <w:szCs w:val="18"/>
              </w:rPr>
              <w:t>MEB ~6 Mo. Pre-Sep</w:t>
            </w:r>
          </w:p>
          <w:p w:rsidR="00313710" w:rsidRPr="00D2377C" w:rsidRDefault="00313710" w:rsidP="003977F9">
            <w:pPr>
              <w:spacing w:line="260" w:lineRule="exact"/>
              <w:contextualSpacing/>
              <w:rPr>
                <w:rFonts w:asciiTheme="majorHAnsi" w:eastAsia="Calibri" w:hAnsiTheme="majorHAnsi" w:cstheme="majorHAnsi"/>
                <w:color w:val="auto"/>
                <w:sz w:val="18"/>
                <w:szCs w:val="18"/>
              </w:rPr>
            </w:pPr>
            <w:r w:rsidRPr="00D2377C">
              <w:rPr>
                <w:rFonts w:asciiTheme="majorHAnsi" w:eastAsia="Calibri" w:hAnsiTheme="majorHAnsi" w:cstheme="majorHAnsi"/>
                <w:color w:val="auto"/>
                <w:sz w:val="18"/>
                <w:szCs w:val="18"/>
              </w:rPr>
              <w:t>Post-Bronch</w:t>
            </w:r>
          </w:p>
        </w:tc>
        <w:tc>
          <w:tcPr>
            <w:tcW w:w="2559" w:type="dxa"/>
            <w:tcBorders>
              <w:top w:val="single" w:sz="4" w:space="0" w:color="000000"/>
              <w:left w:val="single" w:sz="4" w:space="0" w:color="000000"/>
              <w:bottom w:val="single" w:sz="4" w:space="0" w:color="000000"/>
              <w:right w:val="single" w:sz="4" w:space="0" w:color="000000"/>
            </w:tcBorders>
            <w:shd w:val="pct15" w:color="auto" w:fill="auto"/>
          </w:tcPr>
          <w:p w:rsidR="00313710" w:rsidRPr="00D2377C" w:rsidRDefault="00313710" w:rsidP="004C41EF">
            <w:pPr>
              <w:spacing w:line="260" w:lineRule="exact"/>
              <w:contextualSpacing/>
              <w:rPr>
                <w:rFonts w:asciiTheme="majorHAnsi" w:eastAsia="Calibri" w:hAnsiTheme="majorHAnsi" w:cstheme="majorHAnsi"/>
                <w:color w:val="auto"/>
                <w:sz w:val="18"/>
                <w:szCs w:val="18"/>
              </w:rPr>
            </w:pPr>
            <w:r w:rsidRPr="00D2377C">
              <w:rPr>
                <w:rFonts w:asciiTheme="majorHAnsi" w:eastAsia="Calibri" w:hAnsiTheme="majorHAnsi" w:cstheme="majorHAnsi"/>
                <w:color w:val="auto"/>
                <w:sz w:val="18"/>
                <w:szCs w:val="18"/>
              </w:rPr>
              <w:t>VA ~ 6 Mo. Post-Sep</w:t>
            </w:r>
          </w:p>
          <w:p w:rsidR="00313710" w:rsidRPr="00F64312" w:rsidRDefault="00313710" w:rsidP="004C41EF">
            <w:pPr>
              <w:spacing w:line="260" w:lineRule="exact"/>
              <w:contextualSpacing/>
              <w:rPr>
                <w:rFonts w:asciiTheme="majorHAnsi" w:eastAsia="Calibri" w:hAnsiTheme="majorHAnsi" w:cstheme="majorHAnsi"/>
                <w:color w:val="auto"/>
                <w:sz w:val="18"/>
                <w:szCs w:val="18"/>
              </w:rPr>
            </w:pPr>
            <w:r w:rsidRPr="00D2377C">
              <w:rPr>
                <w:rFonts w:asciiTheme="majorHAnsi" w:eastAsia="Calibri" w:hAnsiTheme="majorHAnsi" w:cstheme="majorHAnsi"/>
                <w:color w:val="auto"/>
                <w:sz w:val="18"/>
                <w:szCs w:val="18"/>
              </w:rPr>
              <w:t>Post-Bronch</w:t>
            </w:r>
          </w:p>
        </w:tc>
      </w:tr>
      <w:tr w:rsidR="00313710" w:rsidRPr="00F64312" w:rsidTr="004C41EF">
        <w:trPr>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313710" w:rsidRPr="00F64312" w:rsidRDefault="00313710" w:rsidP="004C41EF">
            <w:pPr>
              <w:spacing w:line="26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FEV1 % Predicted</w:t>
            </w:r>
          </w:p>
        </w:tc>
        <w:tc>
          <w:tcPr>
            <w:tcW w:w="1841" w:type="dxa"/>
            <w:tcBorders>
              <w:top w:val="single" w:sz="4" w:space="0" w:color="000000"/>
              <w:left w:val="single" w:sz="4" w:space="0" w:color="000000"/>
              <w:bottom w:val="single" w:sz="4" w:space="0" w:color="000000"/>
              <w:right w:val="single" w:sz="4" w:space="0" w:color="000000"/>
            </w:tcBorders>
            <w:vAlign w:val="center"/>
          </w:tcPr>
          <w:p w:rsidR="004C41EF" w:rsidRDefault="00313710" w:rsidP="0042515D">
            <w:pPr>
              <w:spacing w:line="26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99.83% </w:t>
            </w:r>
          </w:p>
          <w:p w:rsidR="00313710" w:rsidRPr="001409EE" w:rsidRDefault="004C41EF" w:rsidP="0042515D">
            <w:pPr>
              <w:spacing w:line="26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Pre</w:t>
            </w:r>
            <w:r w:rsidR="00313710">
              <w:rPr>
                <w:rFonts w:asciiTheme="majorHAnsi" w:eastAsia="Calibri" w:hAnsiTheme="majorHAnsi" w:cstheme="majorHAnsi"/>
                <w:color w:val="auto"/>
                <w:sz w:val="18"/>
                <w:szCs w:val="18"/>
              </w:rPr>
              <w:t xml:space="preserve"> </w:t>
            </w:r>
            <w:r w:rsidR="00D2377C">
              <w:rPr>
                <w:rFonts w:asciiTheme="majorHAnsi" w:eastAsia="Calibri" w:hAnsiTheme="majorHAnsi" w:cstheme="majorHAnsi"/>
                <w:color w:val="auto"/>
                <w:sz w:val="18"/>
                <w:szCs w:val="18"/>
              </w:rPr>
              <w:t>B</w:t>
            </w:r>
            <w:r>
              <w:rPr>
                <w:rFonts w:asciiTheme="majorHAnsi" w:eastAsia="Calibri" w:hAnsiTheme="majorHAnsi" w:cstheme="majorHAnsi"/>
                <w:color w:val="auto"/>
                <w:sz w:val="18"/>
                <w:szCs w:val="18"/>
              </w:rPr>
              <w:t xml:space="preserve">ronch </w:t>
            </w:r>
            <w:r w:rsidR="00313710">
              <w:rPr>
                <w:rFonts w:asciiTheme="majorHAnsi" w:eastAsia="Calibri" w:hAnsiTheme="majorHAnsi" w:cstheme="majorHAnsi"/>
                <w:color w:val="auto"/>
                <w:sz w:val="18"/>
                <w:szCs w:val="18"/>
              </w:rPr>
              <w:t>80%</w:t>
            </w:r>
          </w:p>
        </w:tc>
        <w:tc>
          <w:tcPr>
            <w:tcW w:w="2559" w:type="dxa"/>
            <w:tcBorders>
              <w:top w:val="single" w:sz="4" w:space="0" w:color="000000"/>
              <w:left w:val="single" w:sz="4" w:space="0" w:color="000000"/>
              <w:bottom w:val="single" w:sz="4" w:space="0" w:color="000000"/>
              <w:right w:val="single" w:sz="4" w:space="0" w:color="000000"/>
            </w:tcBorders>
          </w:tcPr>
          <w:p w:rsidR="004C41EF" w:rsidRDefault="00313710" w:rsidP="0042515D">
            <w:pPr>
              <w:spacing w:line="26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100% </w:t>
            </w:r>
          </w:p>
          <w:p w:rsidR="00313710" w:rsidRPr="00F17DC6" w:rsidRDefault="004C41EF" w:rsidP="004C41EF">
            <w:pPr>
              <w:spacing w:line="26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w:t>
            </w:r>
            <w:r w:rsidR="00313710">
              <w:rPr>
                <w:rFonts w:asciiTheme="majorHAnsi" w:eastAsia="Calibri" w:hAnsiTheme="majorHAnsi" w:cstheme="majorHAnsi"/>
                <w:color w:val="auto"/>
                <w:sz w:val="18"/>
                <w:szCs w:val="18"/>
              </w:rPr>
              <w:t>re</w:t>
            </w:r>
            <w:r>
              <w:rPr>
                <w:rFonts w:asciiTheme="majorHAnsi" w:eastAsia="Calibri" w:hAnsiTheme="majorHAnsi" w:cstheme="majorHAnsi"/>
                <w:color w:val="auto"/>
                <w:sz w:val="18"/>
                <w:szCs w:val="18"/>
              </w:rPr>
              <w:t xml:space="preserve"> Bronch</w:t>
            </w:r>
            <w:r w:rsidR="00313710">
              <w:rPr>
                <w:rFonts w:asciiTheme="majorHAnsi" w:eastAsia="Calibri" w:hAnsiTheme="majorHAnsi" w:cstheme="majorHAnsi"/>
                <w:color w:val="auto"/>
                <w:sz w:val="18"/>
                <w:szCs w:val="18"/>
              </w:rPr>
              <w:t xml:space="preserve"> 84%</w:t>
            </w:r>
          </w:p>
        </w:tc>
      </w:tr>
      <w:tr w:rsidR="00313710" w:rsidRPr="00F64312" w:rsidTr="004C41EF">
        <w:trPr>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313710" w:rsidRPr="00F64312" w:rsidRDefault="004C41EF" w:rsidP="004C41EF">
            <w:pPr>
              <w:spacing w:line="26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FVC </w:t>
            </w:r>
            <w:r w:rsidR="00313710" w:rsidRPr="00F64312">
              <w:rPr>
                <w:rFonts w:asciiTheme="majorHAnsi" w:eastAsia="Calibri" w:hAnsiTheme="majorHAnsi" w:cstheme="majorHAnsi"/>
                <w:color w:val="auto"/>
                <w:sz w:val="18"/>
                <w:szCs w:val="18"/>
              </w:rPr>
              <w:t>% Predicted</w:t>
            </w:r>
          </w:p>
        </w:tc>
        <w:tc>
          <w:tcPr>
            <w:tcW w:w="1841" w:type="dxa"/>
            <w:tcBorders>
              <w:top w:val="single" w:sz="4" w:space="0" w:color="000000"/>
              <w:left w:val="single" w:sz="4" w:space="0" w:color="000000"/>
              <w:bottom w:val="single" w:sz="4" w:space="0" w:color="000000"/>
              <w:right w:val="single" w:sz="4" w:space="0" w:color="000000"/>
            </w:tcBorders>
            <w:vAlign w:val="center"/>
          </w:tcPr>
          <w:p w:rsidR="004C41EF" w:rsidRDefault="00313710" w:rsidP="004C41EF">
            <w:pPr>
              <w:spacing w:line="26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98.37%</w:t>
            </w:r>
          </w:p>
          <w:p w:rsidR="00313710" w:rsidRPr="00BE7489" w:rsidRDefault="004C41EF" w:rsidP="004C41EF">
            <w:pPr>
              <w:spacing w:line="26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w:t>
            </w:r>
            <w:r w:rsidR="00313710">
              <w:rPr>
                <w:rFonts w:asciiTheme="majorHAnsi" w:eastAsia="Calibri" w:hAnsiTheme="majorHAnsi" w:cstheme="majorHAnsi"/>
                <w:color w:val="auto"/>
                <w:sz w:val="18"/>
                <w:szCs w:val="18"/>
              </w:rPr>
              <w:t xml:space="preserve">re </w:t>
            </w:r>
            <w:r>
              <w:rPr>
                <w:rFonts w:asciiTheme="majorHAnsi" w:eastAsia="Calibri" w:hAnsiTheme="majorHAnsi" w:cstheme="majorHAnsi"/>
                <w:color w:val="auto"/>
                <w:sz w:val="18"/>
                <w:szCs w:val="18"/>
              </w:rPr>
              <w:t xml:space="preserve">Bronch </w:t>
            </w:r>
            <w:r w:rsidR="00313710">
              <w:rPr>
                <w:rFonts w:asciiTheme="majorHAnsi" w:eastAsia="Calibri" w:hAnsiTheme="majorHAnsi" w:cstheme="majorHAnsi"/>
                <w:color w:val="auto"/>
                <w:sz w:val="18"/>
                <w:szCs w:val="18"/>
              </w:rPr>
              <w:t>86.18%</w:t>
            </w:r>
          </w:p>
        </w:tc>
        <w:tc>
          <w:tcPr>
            <w:tcW w:w="2559" w:type="dxa"/>
            <w:tcBorders>
              <w:top w:val="single" w:sz="4" w:space="0" w:color="000000"/>
              <w:left w:val="single" w:sz="4" w:space="0" w:color="000000"/>
              <w:bottom w:val="single" w:sz="4" w:space="0" w:color="000000"/>
              <w:right w:val="single" w:sz="4" w:space="0" w:color="000000"/>
            </w:tcBorders>
          </w:tcPr>
          <w:p w:rsidR="004C41EF" w:rsidRDefault="004C41EF" w:rsidP="0042515D">
            <w:pPr>
              <w:spacing w:line="26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96%</w:t>
            </w:r>
          </w:p>
          <w:p w:rsidR="00313710" w:rsidRPr="00F17DC6" w:rsidRDefault="004C41EF" w:rsidP="004C41EF">
            <w:pPr>
              <w:spacing w:line="26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Pre Bronch</w:t>
            </w:r>
            <w:r w:rsidR="00313710">
              <w:rPr>
                <w:rFonts w:asciiTheme="majorHAnsi" w:eastAsia="Calibri" w:hAnsiTheme="majorHAnsi" w:cstheme="majorHAnsi"/>
                <w:color w:val="auto"/>
                <w:sz w:val="18"/>
                <w:szCs w:val="18"/>
              </w:rPr>
              <w:t xml:space="preserve"> 85%</w:t>
            </w:r>
          </w:p>
        </w:tc>
      </w:tr>
      <w:tr w:rsidR="00313710" w:rsidRPr="00F64312" w:rsidTr="004C41EF">
        <w:trPr>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313710" w:rsidRPr="00F64312" w:rsidRDefault="00313710" w:rsidP="004C41EF">
            <w:pPr>
              <w:spacing w:line="26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FEV1/FVC</w:t>
            </w:r>
            <w:r w:rsidR="004C41EF">
              <w:rPr>
                <w:rFonts w:asciiTheme="majorHAnsi" w:eastAsia="Calibri" w:hAnsiTheme="majorHAnsi" w:cstheme="majorHAnsi"/>
                <w:color w:val="auto"/>
                <w:sz w:val="18"/>
                <w:szCs w:val="18"/>
              </w:rPr>
              <w:t xml:space="preserve"> </w:t>
            </w:r>
            <w:r w:rsidRPr="00F64312">
              <w:rPr>
                <w:rFonts w:asciiTheme="majorHAnsi" w:eastAsia="Calibri" w:hAnsiTheme="majorHAnsi" w:cstheme="majorHAnsi"/>
                <w:color w:val="auto"/>
                <w:sz w:val="18"/>
                <w:szCs w:val="18"/>
              </w:rPr>
              <w:t>% Predicted</w:t>
            </w:r>
          </w:p>
        </w:tc>
        <w:tc>
          <w:tcPr>
            <w:tcW w:w="1841" w:type="dxa"/>
            <w:tcBorders>
              <w:top w:val="single" w:sz="4" w:space="0" w:color="000000"/>
              <w:left w:val="single" w:sz="4" w:space="0" w:color="000000"/>
              <w:bottom w:val="single" w:sz="4" w:space="0" w:color="000000"/>
              <w:right w:val="single" w:sz="4" w:space="0" w:color="000000"/>
            </w:tcBorders>
            <w:vAlign w:val="center"/>
          </w:tcPr>
          <w:p w:rsidR="00313710" w:rsidRPr="004C41EF" w:rsidRDefault="00313710" w:rsidP="004C41EF">
            <w:pPr>
              <w:spacing w:line="260" w:lineRule="exact"/>
              <w:contextualSpacing/>
              <w:rPr>
                <w:rFonts w:asciiTheme="majorHAnsi" w:eastAsia="Calibri" w:hAnsiTheme="majorHAnsi" w:cstheme="majorHAnsi"/>
                <w:color w:val="auto"/>
                <w:sz w:val="18"/>
                <w:szCs w:val="18"/>
              </w:rPr>
            </w:pPr>
            <w:r w:rsidRPr="00FA4770">
              <w:rPr>
                <w:rFonts w:asciiTheme="majorHAnsi" w:eastAsia="Calibri" w:hAnsiTheme="majorHAnsi" w:cstheme="majorHAnsi"/>
                <w:color w:val="auto"/>
                <w:sz w:val="18"/>
                <w:szCs w:val="18"/>
              </w:rPr>
              <w:t>101.60%</w:t>
            </w:r>
          </w:p>
        </w:tc>
        <w:tc>
          <w:tcPr>
            <w:tcW w:w="2559" w:type="dxa"/>
            <w:tcBorders>
              <w:top w:val="single" w:sz="4" w:space="0" w:color="000000"/>
              <w:left w:val="single" w:sz="4" w:space="0" w:color="000000"/>
              <w:bottom w:val="single" w:sz="4" w:space="0" w:color="000000"/>
              <w:right w:val="single" w:sz="4" w:space="0" w:color="000000"/>
            </w:tcBorders>
          </w:tcPr>
          <w:p w:rsidR="00313710" w:rsidRDefault="00313710" w:rsidP="004C41EF">
            <w:pPr>
              <w:spacing w:line="26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103%</w:t>
            </w:r>
          </w:p>
        </w:tc>
      </w:tr>
      <w:tr w:rsidR="00313710" w:rsidRPr="00F64312" w:rsidTr="004C41EF">
        <w:trPr>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313710" w:rsidRPr="00F64312" w:rsidRDefault="00313710" w:rsidP="00FC3DFD">
            <w:pPr>
              <w:spacing w:line="26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Meds</w:t>
            </w:r>
          </w:p>
        </w:tc>
        <w:tc>
          <w:tcPr>
            <w:tcW w:w="1841" w:type="dxa"/>
            <w:tcBorders>
              <w:top w:val="single" w:sz="4" w:space="0" w:color="000000"/>
              <w:left w:val="single" w:sz="4" w:space="0" w:color="000000"/>
              <w:bottom w:val="single" w:sz="4" w:space="0" w:color="000000"/>
              <w:right w:val="single" w:sz="4" w:space="0" w:color="000000"/>
            </w:tcBorders>
            <w:vAlign w:val="center"/>
          </w:tcPr>
          <w:p w:rsidR="00313710" w:rsidRPr="004C41EF" w:rsidRDefault="00313710" w:rsidP="003977F9">
            <w:pPr>
              <w:spacing w:line="220" w:lineRule="exact"/>
              <w:contextualSpacing/>
              <w:rPr>
                <w:rFonts w:asciiTheme="majorHAnsi" w:eastAsia="Calibri" w:hAnsiTheme="majorHAnsi" w:cstheme="majorHAnsi"/>
                <w:color w:val="auto"/>
                <w:sz w:val="18"/>
                <w:szCs w:val="18"/>
              </w:rPr>
            </w:pPr>
            <w:r w:rsidRPr="004C41EF">
              <w:rPr>
                <w:rFonts w:asciiTheme="majorHAnsi" w:eastAsia="Calibri" w:hAnsiTheme="majorHAnsi" w:cstheme="majorHAnsi"/>
                <w:color w:val="auto"/>
                <w:sz w:val="18"/>
                <w:szCs w:val="18"/>
              </w:rPr>
              <w:t>Coughing during exam, had taken Flovent within last 7days</w:t>
            </w:r>
          </w:p>
        </w:tc>
        <w:tc>
          <w:tcPr>
            <w:tcW w:w="2559" w:type="dxa"/>
            <w:tcBorders>
              <w:top w:val="single" w:sz="4" w:space="0" w:color="000000"/>
              <w:left w:val="single" w:sz="4" w:space="0" w:color="000000"/>
              <w:bottom w:val="single" w:sz="4" w:space="0" w:color="000000"/>
              <w:right w:val="single" w:sz="4" w:space="0" w:color="000000"/>
            </w:tcBorders>
          </w:tcPr>
          <w:p w:rsidR="00313710" w:rsidRPr="004C41EF" w:rsidRDefault="00313710" w:rsidP="004C41EF">
            <w:pPr>
              <w:spacing w:line="220" w:lineRule="exact"/>
              <w:contextualSpacing/>
              <w:rPr>
                <w:rFonts w:asciiTheme="majorHAnsi" w:eastAsia="Calibri" w:hAnsiTheme="majorHAnsi" w:cstheme="majorHAnsi"/>
                <w:color w:val="auto"/>
                <w:sz w:val="18"/>
                <w:szCs w:val="18"/>
              </w:rPr>
            </w:pPr>
            <w:r w:rsidRPr="004C41EF">
              <w:rPr>
                <w:rFonts w:asciiTheme="majorHAnsi" w:eastAsia="Calibri" w:hAnsiTheme="majorHAnsi" w:cstheme="majorHAnsi"/>
                <w:color w:val="auto"/>
                <w:sz w:val="18"/>
                <w:szCs w:val="18"/>
              </w:rPr>
              <w:t>Daily inhaled corticosteroid (</w:t>
            </w:r>
            <w:r w:rsidR="004C41EF">
              <w:rPr>
                <w:rFonts w:asciiTheme="majorHAnsi" w:eastAsia="Calibri" w:hAnsiTheme="majorHAnsi" w:cstheme="majorHAnsi"/>
                <w:color w:val="auto"/>
                <w:sz w:val="18"/>
                <w:szCs w:val="18"/>
              </w:rPr>
              <w:t>A</w:t>
            </w:r>
            <w:r w:rsidRPr="004C41EF">
              <w:rPr>
                <w:rFonts w:asciiTheme="majorHAnsi" w:eastAsia="Calibri" w:hAnsiTheme="majorHAnsi" w:cstheme="majorHAnsi"/>
                <w:color w:val="auto"/>
                <w:sz w:val="18"/>
                <w:szCs w:val="18"/>
              </w:rPr>
              <w:t>smanex), intermittent inhaled bronchodilator</w:t>
            </w:r>
          </w:p>
        </w:tc>
      </w:tr>
      <w:tr w:rsidR="00313710" w:rsidRPr="00F64312" w:rsidTr="004C41EF">
        <w:trPr>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313710" w:rsidRPr="00F64312" w:rsidRDefault="00313710" w:rsidP="00FC3DFD">
            <w:pPr>
              <w:spacing w:line="26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w:t>
            </w:r>
            <w:r w:rsidRPr="00F64312">
              <w:rPr>
                <w:rFonts w:asciiTheme="majorHAnsi" w:hAnsiTheme="majorHAnsi" w:cstheme="majorHAnsi"/>
                <w:color w:val="auto"/>
                <w:sz w:val="18"/>
                <w:szCs w:val="18"/>
              </w:rPr>
              <w:t xml:space="preserve">4.97 </w:t>
            </w:r>
            <w:r w:rsidRPr="00F64312">
              <w:rPr>
                <w:rFonts w:asciiTheme="majorHAnsi" w:eastAsia="Calibri" w:hAnsiTheme="majorHAnsi" w:cstheme="majorHAnsi"/>
                <w:color w:val="auto"/>
                <w:sz w:val="18"/>
                <w:szCs w:val="18"/>
              </w:rPr>
              <w:t>Rating</w:t>
            </w:r>
          </w:p>
        </w:tc>
        <w:tc>
          <w:tcPr>
            <w:tcW w:w="1841" w:type="dxa"/>
            <w:tcBorders>
              <w:top w:val="single" w:sz="4" w:space="0" w:color="000000"/>
              <w:left w:val="single" w:sz="4" w:space="0" w:color="000000"/>
              <w:bottom w:val="single" w:sz="4" w:space="0" w:color="000000"/>
              <w:right w:val="single" w:sz="4" w:space="0" w:color="000000"/>
            </w:tcBorders>
            <w:vAlign w:val="center"/>
          </w:tcPr>
          <w:p w:rsidR="00313710" w:rsidRPr="004C41EF" w:rsidRDefault="00313710" w:rsidP="003977F9">
            <w:pPr>
              <w:spacing w:line="260" w:lineRule="exact"/>
              <w:rPr>
                <w:rFonts w:asciiTheme="majorHAnsi" w:hAnsiTheme="majorHAnsi" w:cstheme="majorHAnsi"/>
                <w:color w:val="auto"/>
                <w:sz w:val="18"/>
                <w:szCs w:val="18"/>
              </w:rPr>
            </w:pPr>
            <w:r w:rsidRPr="004C41EF">
              <w:rPr>
                <w:rFonts w:asciiTheme="majorHAnsi" w:eastAsia="Calibri" w:hAnsiTheme="majorHAnsi" w:cstheme="majorHAnsi"/>
                <w:color w:val="auto"/>
                <w:sz w:val="18"/>
                <w:szCs w:val="18"/>
              </w:rPr>
              <w:t>30%</w:t>
            </w:r>
          </w:p>
        </w:tc>
        <w:tc>
          <w:tcPr>
            <w:tcW w:w="2559" w:type="dxa"/>
            <w:tcBorders>
              <w:top w:val="single" w:sz="4" w:space="0" w:color="000000"/>
              <w:left w:val="single" w:sz="4" w:space="0" w:color="000000"/>
              <w:bottom w:val="single" w:sz="4" w:space="0" w:color="000000"/>
              <w:right w:val="single" w:sz="4" w:space="0" w:color="000000"/>
            </w:tcBorders>
          </w:tcPr>
          <w:p w:rsidR="00313710" w:rsidRPr="004C41EF" w:rsidRDefault="00313710" w:rsidP="00FC3DFD">
            <w:pPr>
              <w:spacing w:line="260" w:lineRule="exact"/>
              <w:rPr>
                <w:rFonts w:asciiTheme="majorHAnsi" w:eastAsia="Calibri" w:hAnsiTheme="majorHAnsi" w:cstheme="majorHAnsi"/>
                <w:color w:val="auto"/>
                <w:sz w:val="18"/>
                <w:szCs w:val="18"/>
              </w:rPr>
            </w:pPr>
            <w:r w:rsidRPr="004C41EF">
              <w:rPr>
                <w:rFonts w:asciiTheme="majorHAnsi" w:eastAsia="Calibri" w:hAnsiTheme="majorHAnsi" w:cstheme="majorHAnsi"/>
                <w:color w:val="auto"/>
                <w:sz w:val="18"/>
                <w:szCs w:val="18"/>
              </w:rPr>
              <w:t>30%</w:t>
            </w:r>
          </w:p>
        </w:tc>
      </w:tr>
    </w:tbl>
    <w:p w:rsidR="007E4F0A" w:rsidRPr="0060267F" w:rsidRDefault="007E4F0A" w:rsidP="0069687C">
      <w:pPr>
        <w:jc w:val="both"/>
        <w:rPr>
          <w:color w:val="FF0000"/>
          <w:sz w:val="18"/>
          <w:szCs w:val="18"/>
        </w:rPr>
      </w:pPr>
    </w:p>
    <w:p w:rsidR="00CF0280" w:rsidRPr="00F64312" w:rsidRDefault="00CF0280" w:rsidP="00CF0280">
      <w:pPr>
        <w:jc w:val="both"/>
        <w:rPr>
          <w:color w:val="auto"/>
          <w:szCs w:val="24"/>
        </w:rPr>
      </w:pPr>
      <w:r w:rsidRPr="007B7ADA">
        <w:rPr>
          <w:color w:val="auto"/>
          <w:szCs w:val="24"/>
        </w:rPr>
        <w:t>At the MEB exam</w:t>
      </w:r>
      <w:r w:rsidR="00E12DE7" w:rsidRPr="007B7ADA">
        <w:rPr>
          <w:color w:val="auto"/>
          <w:szCs w:val="24"/>
        </w:rPr>
        <w:t xml:space="preserve"> completed </w:t>
      </w:r>
      <w:r w:rsidR="00D91B08">
        <w:rPr>
          <w:color w:val="auto"/>
          <w:szCs w:val="24"/>
        </w:rPr>
        <w:t xml:space="preserve">on 4 June </w:t>
      </w:r>
      <w:r w:rsidR="00E12DE7" w:rsidRPr="007B7ADA">
        <w:rPr>
          <w:color w:val="auto"/>
          <w:szCs w:val="24"/>
        </w:rPr>
        <w:t>2007</w:t>
      </w:r>
      <w:r w:rsidRPr="007B7ADA">
        <w:rPr>
          <w:color w:val="auto"/>
          <w:szCs w:val="24"/>
        </w:rPr>
        <w:t>, the CI reported</w:t>
      </w:r>
      <w:r w:rsidR="00E12DE7" w:rsidRPr="007B7ADA">
        <w:rPr>
          <w:color w:val="auto"/>
          <w:szCs w:val="24"/>
        </w:rPr>
        <w:t xml:space="preserve"> </w:t>
      </w:r>
      <w:r w:rsidR="00CB14E5" w:rsidRPr="007B7ADA">
        <w:rPr>
          <w:color w:val="auto"/>
          <w:szCs w:val="24"/>
        </w:rPr>
        <w:t xml:space="preserve">taking Atrovent, Flovent and </w:t>
      </w:r>
      <w:r w:rsidR="00F11A00" w:rsidRPr="007B7ADA">
        <w:rPr>
          <w:color w:val="auto"/>
          <w:szCs w:val="24"/>
        </w:rPr>
        <w:t>Spiriva</w:t>
      </w:r>
      <w:r w:rsidR="00CB14E5" w:rsidRPr="007B7ADA">
        <w:rPr>
          <w:color w:val="auto"/>
          <w:szCs w:val="24"/>
        </w:rPr>
        <w:t>.</w:t>
      </w:r>
      <w:r w:rsidR="007B7ADA">
        <w:rPr>
          <w:color w:val="auto"/>
          <w:szCs w:val="24"/>
        </w:rPr>
        <w:t xml:space="preserve">  </w:t>
      </w:r>
      <w:r w:rsidRPr="007B7ADA">
        <w:rPr>
          <w:color w:val="auto"/>
          <w:szCs w:val="24"/>
        </w:rPr>
        <w:t xml:space="preserve">The MEB physical exam </w:t>
      </w:r>
      <w:r w:rsidR="003002AC" w:rsidRPr="007B7ADA">
        <w:rPr>
          <w:color w:val="auto"/>
          <w:szCs w:val="24"/>
        </w:rPr>
        <w:t>demonstrated the CI had a</w:t>
      </w:r>
      <w:r w:rsidR="00CB14E5" w:rsidRPr="007B7ADA">
        <w:rPr>
          <w:color w:val="auto"/>
          <w:szCs w:val="24"/>
        </w:rPr>
        <w:t xml:space="preserve"> frequent non-productive cough and a normal lung exam.  The examiner</w:t>
      </w:r>
      <w:r w:rsidR="003002AC" w:rsidRPr="007B7ADA">
        <w:rPr>
          <w:color w:val="auto"/>
          <w:szCs w:val="24"/>
        </w:rPr>
        <w:t xml:space="preserve"> referenced a pulmonary function test in </w:t>
      </w:r>
      <w:r w:rsidR="00F11A00" w:rsidRPr="007B7ADA">
        <w:rPr>
          <w:color w:val="auto"/>
          <w:szCs w:val="24"/>
        </w:rPr>
        <w:t>Mar</w:t>
      </w:r>
      <w:r w:rsidR="003002AC" w:rsidRPr="007B7ADA">
        <w:rPr>
          <w:color w:val="auto"/>
          <w:szCs w:val="24"/>
        </w:rPr>
        <w:t>ch 20</w:t>
      </w:r>
      <w:r w:rsidR="00F11A00" w:rsidRPr="007B7ADA">
        <w:rPr>
          <w:color w:val="auto"/>
          <w:szCs w:val="24"/>
        </w:rPr>
        <w:t xml:space="preserve">04 </w:t>
      </w:r>
      <w:r w:rsidR="00CB14E5" w:rsidRPr="007B7ADA">
        <w:rPr>
          <w:color w:val="auto"/>
          <w:szCs w:val="24"/>
        </w:rPr>
        <w:t xml:space="preserve">which </w:t>
      </w:r>
      <w:r w:rsidR="00F11A00" w:rsidRPr="007B7ADA">
        <w:rPr>
          <w:color w:val="auto"/>
          <w:szCs w:val="24"/>
        </w:rPr>
        <w:t>showed a</w:t>
      </w:r>
      <w:r w:rsidR="00CB14E5" w:rsidRPr="007B7ADA">
        <w:rPr>
          <w:color w:val="auto"/>
          <w:szCs w:val="24"/>
        </w:rPr>
        <w:t xml:space="preserve"> </w:t>
      </w:r>
      <w:r w:rsidR="00F11A00" w:rsidRPr="007B7ADA">
        <w:rPr>
          <w:color w:val="auto"/>
          <w:szCs w:val="24"/>
        </w:rPr>
        <w:t>normal baseline spirometry with no significant chang</w:t>
      </w:r>
      <w:r w:rsidR="00CB14E5" w:rsidRPr="007B7ADA">
        <w:rPr>
          <w:color w:val="auto"/>
          <w:szCs w:val="24"/>
        </w:rPr>
        <w:t xml:space="preserve">e after Methacholine challenge, </w:t>
      </w:r>
      <w:r w:rsidR="00810A76">
        <w:rPr>
          <w:color w:val="auto"/>
          <w:szCs w:val="24"/>
        </w:rPr>
        <w:t>and the above February 2007 PFT.  The examiner also documented</w:t>
      </w:r>
      <w:r w:rsidR="00CB14E5" w:rsidRPr="007B7ADA">
        <w:rPr>
          <w:color w:val="auto"/>
          <w:szCs w:val="24"/>
        </w:rPr>
        <w:t xml:space="preserve"> normal pneumococcus and H</w:t>
      </w:r>
      <w:r w:rsidR="00D91B08">
        <w:rPr>
          <w:color w:val="auto"/>
          <w:szCs w:val="24"/>
        </w:rPr>
        <w:t>.</w:t>
      </w:r>
      <w:r w:rsidR="00CB14E5" w:rsidRPr="007B7ADA">
        <w:rPr>
          <w:color w:val="auto"/>
          <w:szCs w:val="24"/>
        </w:rPr>
        <w:t xml:space="preserve"> flu titers, high lipids and </w:t>
      </w:r>
      <w:r w:rsidR="0042515D">
        <w:rPr>
          <w:color w:val="auto"/>
          <w:szCs w:val="24"/>
        </w:rPr>
        <w:t xml:space="preserve">abnormal </w:t>
      </w:r>
      <w:r w:rsidR="00CB14E5" w:rsidRPr="007B7ADA">
        <w:rPr>
          <w:color w:val="auto"/>
          <w:szCs w:val="24"/>
        </w:rPr>
        <w:t xml:space="preserve">IgE levels.  </w:t>
      </w:r>
      <w:r w:rsidR="00CB14E5" w:rsidRPr="004C41EF">
        <w:rPr>
          <w:color w:val="auto"/>
          <w:szCs w:val="24"/>
        </w:rPr>
        <w:t>The</w:t>
      </w:r>
      <w:r w:rsidR="004C41EF" w:rsidRPr="004C41EF">
        <w:rPr>
          <w:color w:val="000000" w:themeColor="text1"/>
        </w:rPr>
        <w:t xml:space="preserve"> </w:t>
      </w:r>
      <w:r w:rsidR="00D91B08">
        <w:rPr>
          <w:color w:val="000000" w:themeColor="text1"/>
        </w:rPr>
        <w:t>c</w:t>
      </w:r>
      <w:r w:rsidR="004C41EF" w:rsidRPr="004C41EF">
        <w:rPr>
          <w:color w:val="000000" w:themeColor="text1"/>
        </w:rPr>
        <w:t xml:space="preserve">omputer </w:t>
      </w:r>
      <w:r w:rsidR="00D91B08">
        <w:rPr>
          <w:color w:val="000000" w:themeColor="text1"/>
        </w:rPr>
        <w:t>t</w:t>
      </w:r>
      <w:r w:rsidR="004C41EF" w:rsidRPr="004C41EF">
        <w:rPr>
          <w:color w:val="000000" w:themeColor="text1"/>
        </w:rPr>
        <w:t>omography (CT)</w:t>
      </w:r>
      <w:r w:rsidR="001409EE" w:rsidRPr="007B7ADA">
        <w:rPr>
          <w:color w:val="auto"/>
          <w:szCs w:val="24"/>
        </w:rPr>
        <w:t xml:space="preserve"> of the chest from</w:t>
      </w:r>
      <w:r w:rsidR="00CB14E5" w:rsidRPr="007B7ADA">
        <w:rPr>
          <w:color w:val="auto"/>
          <w:szCs w:val="24"/>
        </w:rPr>
        <w:t xml:space="preserve"> </w:t>
      </w:r>
      <w:r w:rsidR="001409EE" w:rsidRPr="007B7ADA">
        <w:rPr>
          <w:color w:val="auto"/>
          <w:szCs w:val="24"/>
        </w:rPr>
        <w:t>Feb</w:t>
      </w:r>
      <w:r w:rsidR="00D91B08">
        <w:rPr>
          <w:color w:val="auto"/>
          <w:szCs w:val="24"/>
        </w:rPr>
        <w:t>ruary</w:t>
      </w:r>
      <w:r w:rsidR="001409EE" w:rsidRPr="007B7ADA">
        <w:rPr>
          <w:color w:val="auto"/>
          <w:szCs w:val="24"/>
        </w:rPr>
        <w:t xml:space="preserve"> 2007 revealed two small right lung </w:t>
      </w:r>
      <w:r w:rsidR="00D2377C" w:rsidRPr="007B7ADA">
        <w:rPr>
          <w:color w:val="auto"/>
          <w:szCs w:val="24"/>
        </w:rPr>
        <w:t>nodules</w:t>
      </w:r>
      <w:r w:rsidR="001409EE" w:rsidRPr="007B7ADA">
        <w:rPr>
          <w:color w:val="auto"/>
          <w:szCs w:val="24"/>
        </w:rPr>
        <w:t xml:space="preserve"> and an increase in the right middle lobe scarring</w:t>
      </w:r>
      <w:r w:rsidR="00CB14E5" w:rsidRPr="007B7ADA">
        <w:rPr>
          <w:color w:val="auto"/>
          <w:szCs w:val="24"/>
        </w:rPr>
        <w:t xml:space="preserve"> </w:t>
      </w:r>
      <w:r w:rsidR="001409EE" w:rsidRPr="007B7ADA">
        <w:rPr>
          <w:color w:val="auto"/>
          <w:szCs w:val="24"/>
        </w:rPr>
        <w:t>when compared to the Aug</w:t>
      </w:r>
      <w:r w:rsidR="00D91B08">
        <w:rPr>
          <w:color w:val="auto"/>
          <w:szCs w:val="24"/>
        </w:rPr>
        <w:t>ust</w:t>
      </w:r>
      <w:r w:rsidR="001409EE" w:rsidRPr="007B7ADA">
        <w:rPr>
          <w:color w:val="auto"/>
          <w:szCs w:val="24"/>
        </w:rPr>
        <w:t xml:space="preserve"> 2006 chest CT.</w:t>
      </w:r>
      <w:r w:rsidR="004C41EF">
        <w:rPr>
          <w:color w:val="auto"/>
          <w:szCs w:val="24"/>
        </w:rPr>
        <w:t xml:space="preserve">  </w:t>
      </w:r>
      <w:r w:rsidRPr="00F64312">
        <w:rPr>
          <w:color w:val="auto"/>
          <w:szCs w:val="24"/>
        </w:rPr>
        <w:t xml:space="preserve">At the </w:t>
      </w:r>
      <w:r w:rsidR="001102E8">
        <w:rPr>
          <w:color w:val="auto"/>
          <w:szCs w:val="24"/>
        </w:rPr>
        <w:t xml:space="preserve">post –separation </w:t>
      </w:r>
      <w:r w:rsidRPr="00F64312">
        <w:rPr>
          <w:color w:val="auto"/>
          <w:szCs w:val="24"/>
        </w:rPr>
        <w:t>VA Compensation and Pension (C&amp;P) exam, the CI reported</w:t>
      </w:r>
      <w:r w:rsidR="001409EE" w:rsidRPr="001409EE">
        <w:rPr>
          <w:color w:val="auto"/>
          <w:szCs w:val="24"/>
        </w:rPr>
        <w:t xml:space="preserve"> severe coughing, sensation</w:t>
      </w:r>
      <w:r w:rsidR="00CB14E5">
        <w:rPr>
          <w:color w:val="auto"/>
          <w:szCs w:val="24"/>
        </w:rPr>
        <w:t xml:space="preserve"> </w:t>
      </w:r>
      <w:r w:rsidR="001409EE" w:rsidRPr="001409EE">
        <w:rPr>
          <w:color w:val="auto"/>
          <w:szCs w:val="24"/>
        </w:rPr>
        <w:t xml:space="preserve">of chest tightness and shortness of breath </w:t>
      </w:r>
      <w:r w:rsidR="00CB14E5">
        <w:rPr>
          <w:color w:val="auto"/>
          <w:szCs w:val="24"/>
        </w:rPr>
        <w:t xml:space="preserve">which had </w:t>
      </w:r>
      <w:r w:rsidR="001409EE" w:rsidRPr="001409EE">
        <w:rPr>
          <w:color w:val="auto"/>
          <w:szCs w:val="24"/>
        </w:rPr>
        <w:t>improved since he</w:t>
      </w:r>
      <w:r w:rsidR="007B7ADA">
        <w:rPr>
          <w:color w:val="auto"/>
          <w:szCs w:val="24"/>
        </w:rPr>
        <w:t xml:space="preserve"> had </w:t>
      </w:r>
      <w:r w:rsidR="001409EE" w:rsidRPr="001409EE">
        <w:rPr>
          <w:color w:val="auto"/>
          <w:szCs w:val="24"/>
        </w:rPr>
        <w:t>mov</w:t>
      </w:r>
      <w:r w:rsidR="00CB14E5">
        <w:rPr>
          <w:color w:val="auto"/>
          <w:szCs w:val="24"/>
        </w:rPr>
        <w:t xml:space="preserve">ed to </w:t>
      </w:r>
      <w:r w:rsidR="007B7ADA">
        <w:rPr>
          <w:color w:val="auto"/>
          <w:szCs w:val="24"/>
        </w:rPr>
        <w:t>Puerto</w:t>
      </w:r>
      <w:r w:rsidR="00CB14E5">
        <w:rPr>
          <w:color w:val="auto"/>
          <w:szCs w:val="24"/>
        </w:rPr>
        <w:t xml:space="preserve"> Rico</w:t>
      </w:r>
      <w:r w:rsidR="001409EE" w:rsidRPr="001409EE">
        <w:rPr>
          <w:color w:val="auto"/>
          <w:szCs w:val="24"/>
        </w:rPr>
        <w:t xml:space="preserve"> but, intermittently, </w:t>
      </w:r>
      <w:r w:rsidR="00CB14E5">
        <w:rPr>
          <w:color w:val="auto"/>
          <w:szCs w:val="24"/>
        </w:rPr>
        <w:t>he coughed</w:t>
      </w:r>
      <w:r w:rsidR="001409EE" w:rsidRPr="001409EE">
        <w:rPr>
          <w:color w:val="auto"/>
          <w:szCs w:val="24"/>
        </w:rPr>
        <w:t xml:space="preserve"> severe enough</w:t>
      </w:r>
      <w:r w:rsidR="00CB14E5">
        <w:rPr>
          <w:color w:val="auto"/>
          <w:szCs w:val="24"/>
        </w:rPr>
        <w:t xml:space="preserve"> that he would need a</w:t>
      </w:r>
      <w:r w:rsidR="001409EE" w:rsidRPr="001409EE">
        <w:rPr>
          <w:color w:val="auto"/>
          <w:szCs w:val="24"/>
        </w:rPr>
        <w:t xml:space="preserve"> few minutes </w:t>
      </w:r>
      <w:r w:rsidR="00CB14E5">
        <w:rPr>
          <w:color w:val="auto"/>
          <w:szCs w:val="24"/>
        </w:rPr>
        <w:t>to recover</w:t>
      </w:r>
      <w:r w:rsidR="001409EE" w:rsidRPr="001409EE">
        <w:rPr>
          <w:color w:val="auto"/>
          <w:szCs w:val="24"/>
        </w:rPr>
        <w:t xml:space="preserve"> his normal</w:t>
      </w:r>
      <w:r w:rsidR="00CB14E5">
        <w:rPr>
          <w:color w:val="auto"/>
          <w:szCs w:val="24"/>
        </w:rPr>
        <w:t xml:space="preserve"> </w:t>
      </w:r>
      <w:r w:rsidR="001409EE" w:rsidRPr="001409EE">
        <w:rPr>
          <w:color w:val="auto"/>
          <w:szCs w:val="24"/>
        </w:rPr>
        <w:t xml:space="preserve">respiratory pattern. </w:t>
      </w:r>
      <w:r w:rsidR="00CB14E5">
        <w:rPr>
          <w:color w:val="auto"/>
          <w:szCs w:val="24"/>
        </w:rPr>
        <w:t xml:space="preserve"> The </w:t>
      </w:r>
      <w:r w:rsidR="001409EE" w:rsidRPr="001409EE">
        <w:rPr>
          <w:color w:val="auto"/>
          <w:szCs w:val="24"/>
        </w:rPr>
        <w:t xml:space="preserve">symptoms </w:t>
      </w:r>
      <w:r w:rsidR="00CB14E5">
        <w:rPr>
          <w:color w:val="auto"/>
          <w:szCs w:val="24"/>
        </w:rPr>
        <w:t xml:space="preserve">worsened </w:t>
      </w:r>
      <w:r w:rsidR="001409EE" w:rsidRPr="001409EE">
        <w:rPr>
          <w:color w:val="auto"/>
          <w:szCs w:val="24"/>
        </w:rPr>
        <w:t>with stressful situations, on exercising, on walking fast,</w:t>
      </w:r>
      <w:r w:rsidR="00CB14E5">
        <w:rPr>
          <w:color w:val="auto"/>
          <w:szCs w:val="24"/>
        </w:rPr>
        <w:t xml:space="preserve"> and it did</w:t>
      </w:r>
      <w:r w:rsidR="001409EE" w:rsidRPr="001409EE">
        <w:rPr>
          <w:color w:val="auto"/>
          <w:szCs w:val="24"/>
        </w:rPr>
        <w:t xml:space="preserve"> not follow a specific pattern of appearance during the</w:t>
      </w:r>
      <w:r w:rsidR="00CB14E5">
        <w:rPr>
          <w:color w:val="auto"/>
          <w:szCs w:val="24"/>
        </w:rPr>
        <w:t xml:space="preserve"> </w:t>
      </w:r>
      <w:r w:rsidR="001409EE" w:rsidRPr="001409EE">
        <w:rPr>
          <w:color w:val="auto"/>
          <w:szCs w:val="24"/>
        </w:rPr>
        <w:t>day</w:t>
      </w:r>
      <w:r w:rsidR="00CB14E5">
        <w:rPr>
          <w:color w:val="auto"/>
          <w:szCs w:val="24"/>
        </w:rPr>
        <w:t xml:space="preserve"> and </w:t>
      </w:r>
      <w:r w:rsidR="00EE3F2F">
        <w:rPr>
          <w:color w:val="auto"/>
          <w:szCs w:val="24"/>
        </w:rPr>
        <w:t xml:space="preserve">also </w:t>
      </w:r>
      <w:r w:rsidR="00CB14E5">
        <w:rPr>
          <w:color w:val="auto"/>
          <w:szCs w:val="24"/>
        </w:rPr>
        <w:t>occurred at night</w:t>
      </w:r>
      <w:r w:rsidR="001409EE" w:rsidRPr="001409EE">
        <w:rPr>
          <w:color w:val="auto"/>
          <w:szCs w:val="24"/>
        </w:rPr>
        <w:t>.</w:t>
      </w:r>
      <w:r w:rsidR="00CB14E5">
        <w:rPr>
          <w:color w:val="auto"/>
          <w:szCs w:val="24"/>
        </w:rPr>
        <w:t xml:space="preserve">  He was not </w:t>
      </w:r>
      <w:r w:rsidR="001409EE" w:rsidRPr="001409EE">
        <w:rPr>
          <w:color w:val="auto"/>
          <w:szCs w:val="24"/>
        </w:rPr>
        <w:t>taking medications for management of this condition.</w:t>
      </w:r>
      <w:r w:rsidR="00CB14E5">
        <w:rPr>
          <w:color w:val="auto"/>
          <w:szCs w:val="24"/>
        </w:rPr>
        <w:t xml:space="preserve">  </w:t>
      </w:r>
      <w:r w:rsidR="009678BA" w:rsidRPr="00F64312">
        <w:rPr>
          <w:color w:val="auto"/>
          <w:szCs w:val="24"/>
        </w:rPr>
        <w:t xml:space="preserve">The </w:t>
      </w:r>
      <w:r w:rsidR="009678BA">
        <w:rPr>
          <w:color w:val="auto"/>
          <w:szCs w:val="24"/>
        </w:rPr>
        <w:t>C&amp;P</w:t>
      </w:r>
      <w:r w:rsidR="009678BA" w:rsidRPr="00F64312">
        <w:rPr>
          <w:color w:val="auto"/>
          <w:szCs w:val="24"/>
        </w:rPr>
        <w:t xml:space="preserve"> physical exam </w:t>
      </w:r>
      <w:r w:rsidR="009678BA">
        <w:rPr>
          <w:color w:val="auto"/>
          <w:szCs w:val="24"/>
        </w:rPr>
        <w:t>demonstrated</w:t>
      </w:r>
      <w:r w:rsidR="007B7ADA">
        <w:rPr>
          <w:color w:val="auto"/>
          <w:szCs w:val="24"/>
        </w:rPr>
        <w:t xml:space="preserve"> a cough, moderate to severe, during the interview otherwise a normal lung exam.  The VA examiner cited the February 2007 CT scan report.</w:t>
      </w:r>
      <w:r w:rsidR="00DE6C4E">
        <w:rPr>
          <w:color w:val="auto"/>
          <w:szCs w:val="24"/>
        </w:rPr>
        <w:t xml:space="preserve">  The CI was not working and the evidence reflects </w:t>
      </w:r>
      <w:r w:rsidR="00EE3F2F">
        <w:rPr>
          <w:color w:val="auto"/>
          <w:szCs w:val="24"/>
        </w:rPr>
        <w:t xml:space="preserve">he </w:t>
      </w:r>
      <w:r w:rsidR="00DE6C4E">
        <w:rPr>
          <w:color w:val="auto"/>
          <w:szCs w:val="24"/>
        </w:rPr>
        <w:t>remained unemployed at the time of his application likely due to PTSD.</w:t>
      </w:r>
    </w:p>
    <w:p w:rsidR="00CF0280" w:rsidRPr="00F64312" w:rsidRDefault="00CF0280" w:rsidP="0069687C">
      <w:pPr>
        <w:jc w:val="both"/>
        <w:rPr>
          <w:color w:val="auto"/>
          <w:szCs w:val="24"/>
        </w:rPr>
      </w:pPr>
    </w:p>
    <w:p w:rsidR="00D903F9" w:rsidRDefault="00AD2379" w:rsidP="00313710">
      <w:pPr>
        <w:tabs>
          <w:tab w:val="left" w:pos="288"/>
          <w:tab w:val="left" w:pos="4752"/>
        </w:tabs>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2D7E6B" w:rsidRPr="002D7E6B">
        <w:rPr>
          <w:rFonts w:cs="Times New Roman"/>
          <w:color w:val="auto"/>
        </w:rPr>
        <w:t xml:space="preserve">The Board notes that both the MEB and VA exams were complete, well documented, </w:t>
      </w:r>
      <w:r w:rsidR="0038455A">
        <w:rPr>
          <w:rFonts w:cs="Times New Roman"/>
          <w:color w:val="auto"/>
        </w:rPr>
        <w:t xml:space="preserve">and </w:t>
      </w:r>
      <w:r w:rsidR="002D7E6B" w:rsidRPr="002D7E6B">
        <w:rPr>
          <w:rFonts w:cs="Times New Roman"/>
          <w:color w:val="auto"/>
        </w:rPr>
        <w:t>compliant with VASRD §4.46 (accurate measurement)</w:t>
      </w:r>
      <w:r w:rsidR="004C41EF">
        <w:rPr>
          <w:rFonts w:cs="Times New Roman"/>
          <w:color w:val="auto"/>
        </w:rPr>
        <w:t xml:space="preserve"> and</w:t>
      </w:r>
      <w:r w:rsidR="004C41EF" w:rsidRPr="004C41EF">
        <w:rPr>
          <w:rFonts w:cs="Times New Roman"/>
          <w:color w:val="auto"/>
          <w:szCs w:val="24"/>
        </w:rPr>
        <w:t xml:space="preserve"> </w:t>
      </w:r>
      <w:r w:rsidR="004C41EF" w:rsidRPr="00DE6C4E">
        <w:rPr>
          <w:rFonts w:cs="Times New Roman"/>
          <w:color w:val="auto"/>
          <w:szCs w:val="24"/>
        </w:rPr>
        <w:t>assigns the MEB</w:t>
      </w:r>
      <w:r w:rsidR="004C41EF">
        <w:rPr>
          <w:rFonts w:cs="Times New Roman"/>
          <w:color w:val="auto"/>
          <w:szCs w:val="24"/>
        </w:rPr>
        <w:t xml:space="preserve"> and VA exams equal</w:t>
      </w:r>
      <w:r w:rsidR="004C41EF" w:rsidRPr="00DE6C4E">
        <w:rPr>
          <w:rFonts w:cs="Times New Roman"/>
          <w:color w:val="auto"/>
          <w:szCs w:val="24"/>
        </w:rPr>
        <w:t xml:space="preserve"> probative value.  </w:t>
      </w:r>
      <w:r w:rsidR="009B0B27" w:rsidRPr="00DE6C4E">
        <w:rPr>
          <w:rFonts w:cs="Times New Roman"/>
          <w:color w:val="auto"/>
          <w:szCs w:val="24"/>
        </w:rPr>
        <w:t xml:space="preserve">IAW VASRD </w:t>
      </w:r>
      <w:r w:rsidR="009B0B27" w:rsidRPr="00DE6C4E">
        <w:rPr>
          <w:bCs/>
          <w:color w:val="auto"/>
          <w:szCs w:val="24"/>
        </w:rPr>
        <w:t xml:space="preserve">§4.96 </w:t>
      </w:r>
      <w:r w:rsidR="0042515D">
        <w:rPr>
          <w:bCs/>
          <w:color w:val="auto"/>
          <w:szCs w:val="24"/>
        </w:rPr>
        <w:t>s</w:t>
      </w:r>
      <w:r w:rsidR="009B0B27" w:rsidRPr="00DE6C4E">
        <w:rPr>
          <w:bCs/>
          <w:color w:val="auto"/>
          <w:szCs w:val="24"/>
        </w:rPr>
        <w:t>pecial provisions regarding evaluation of respiratory conditions</w:t>
      </w:r>
      <w:r w:rsidR="009B0B27" w:rsidRPr="00DE6C4E">
        <w:rPr>
          <w:color w:val="auto"/>
          <w:szCs w:val="24"/>
        </w:rPr>
        <w:t xml:space="preserve"> PFT’s are required to evaluate respiratory conditions unless the condition meets exception to this requirement which in this case it did not</w:t>
      </w:r>
      <w:r w:rsidR="009B0B27" w:rsidRPr="00DE6C4E">
        <w:rPr>
          <w:bCs/>
          <w:color w:val="auto"/>
          <w:szCs w:val="24"/>
        </w:rPr>
        <w:t xml:space="preserve">. </w:t>
      </w:r>
      <w:r w:rsidR="00DE6C4E" w:rsidRPr="00DE6C4E">
        <w:rPr>
          <w:bCs/>
          <w:color w:val="auto"/>
          <w:szCs w:val="24"/>
        </w:rPr>
        <w:t xml:space="preserve"> </w:t>
      </w:r>
      <w:r w:rsidR="009B0B27" w:rsidRPr="00DE6C4E">
        <w:rPr>
          <w:bCs/>
          <w:color w:val="auto"/>
          <w:szCs w:val="24"/>
        </w:rPr>
        <w:t xml:space="preserve">VASRD §4.96 </w:t>
      </w:r>
      <w:r w:rsidR="0042515D">
        <w:rPr>
          <w:bCs/>
          <w:color w:val="auto"/>
          <w:szCs w:val="24"/>
        </w:rPr>
        <w:t xml:space="preserve">also </w:t>
      </w:r>
      <w:r w:rsidR="009B0B27" w:rsidRPr="00DE6C4E">
        <w:rPr>
          <w:bCs/>
          <w:color w:val="auto"/>
          <w:szCs w:val="24"/>
        </w:rPr>
        <w:t xml:space="preserve">specifies </w:t>
      </w:r>
      <w:r w:rsidR="0042515D">
        <w:rPr>
          <w:color w:val="auto"/>
          <w:szCs w:val="24"/>
        </w:rPr>
        <w:t>w</w:t>
      </w:r>
      <w:r w:rsidR="009B0B27" w:rsidRPr="00DE6C4E">
        <w:rPr>
          <w:color w:val="auto"/>
          <w:szCs w:val="24"/>
        </w:rPr>
        <w:t xml:space="preserve">hen evaluating based on PFTs, use post-bronchodilator results in applying the evaluation criteria in the rating schedule </w:t>
      </w:r>
      <w:r w:rsidR="009B0B27" w:rsidRPr="00DE6C4E">
        <w:rPr>
          <w:color w:val="auto"/>
          <w:szCs w:val="24"/>
        </w:rPr>
        <w:lastRenderedPageBreak/>
        <w:t xml:space="preserve">unless the post-bronchodilator results were poorer than the pre-bronchodilator results.  </w:t>
      </w:r>
      <w:r w:rsidR="004C41EF" w:rsidRPr="00DE6C4E">
        <w:rPr>
          <w:color w:val="auto"/>
          <w:szCs w:val="24"/>
        </w:rPr>
        <w:t xml:space="preserve">When carefully considering the whole record IAW VASRD §4.2 (Interpretation of examination reports) in order to develop a consistent picture of the CI’s chronic cough condition health condition </w:t>
      </w:r>
      <w:r w:rsidR="004C41EF" w:rsidRPr="00DE6C4E">
        <w:rPr>
          <w:rFonts w:cs="Times New Roman"/>
          <w:color w:val="auto"/>
          <w:szCs w:val="24"/>
        </w:rPr>
        <w:t xml:space="preserve">the Board agreed the evidence reflects a consistent improvement in </w:t>
      </w:r>
      <w:r w:rsidR="004C41EF">
        <w:rPr>
          <w:rFonts w:cs="Times New Roman"/>
          <w:color w:val="auto"/>
          <w:szCs w:val="24"/>
        </w:rPr>
        <w:t xml:space="preserve">the post bronchodilator.  </w:t>
      </w:r>
      <w:r w:rsidR="004C41EF">
        <w:rPr>
          <w:color w:val="auto"/>
          <w:szCs w:val="24"/>
        </w:rPr>
        <w:t xml:space="preserve">While there were other PFT’s in the evidence which were VASRD compliant, they were pre bronchodilator exams, and did not offer the more complete information seen in the </w:t>
      </w:r>
      <w:r w:rsidR="0038455A" w:rsidRPr="00DE6C4E">
        <w:rPr>
          <w:rFonts w:cs="Times New Roman"/>
          <w:color w:val="auto"/>
          <w:szCs w:val="24"/>
        </w:rPr>
        <w:t>post</w:t>
      </w:r>
      <w:r w:rsidR="009B0B27" w:rsidRPr="00DE6C4E">
        <w:rPr>
          <w:rFonts w:cs="Times New Roman"/>
          <w:color w:val="auto"/>
          <w:szCs w:val="24"/>
        </w:rPr>
        <w:t>-</w:t>
      </w:r>
      <w:r w:rsidR="0038455A" w:rsidRPr="00DE6C4E">
        <w:rPr>
          <w:rFonts w:cs="Times New Roman"/>
          <w:color w:val="auto"/>
          <w:szCs w:val="24"/>
        </w:rPr>
        <w:t xml:space="preserve">bronchodilator </w:t>
      </w:r>
      <w:r w:rsidR="009B0B27" w:rsidRPr="00DE6C4E">
        <w:rPr>
          <w:rFonts w:cs="Times New Roman"/>
          <w:color w:val="auto"/>
          <w:szCs w:val="24"/>
        </w:rPr>
        <w:t>exam</w:t>
      </w:r>
      <w:r w:rsidR="004C41EF">
        <w:rPr>
          <w:rFonts w:cs="Times New Roman"/>
          <w:color w:val="auto"/>
          <w:szCs w:val="24"/>
        </w:rPr>
        <w:t xml:space="preserve"> and therefore the Board agreed the post bronchodilator exams were more probative when considering its permanent rating recommendation.  </w:t>
      </w:r>
      <w:r w:rsidR="007B7ADA" w:rsidRPr="00DE6C4E">
        <w:rPr>
          <w:rFonts w:cs="Times New Roman"/>
          <w:color w:val="auto"/>
          <w:szCs w:val="24"/>
        </w:rPr>
        <w:t xml:space="preserve">The PEB and VA chose </w:t>
      </w:r>
      <w:r w:rsidR="0042515D">
        <w:rPr>
          <w:rFonts w:cs="Times New Roman"/>
          <w:color w:val="auto"/>
          <w:szCs w:val="24"/>
        </w:rPr>
        <w:t>different</w:t>
      </w:r>
      <w:r w:rsidR="008728A6" w:rsidRPr="00DE6C4E">
        <w:rPr>
          <w:rFonts w:cs="Times New Roman"/>
          <w:color w:val="auto"/>
          <w:szCs w:val="24"/>
        </w:rPr>
        <w:t xml:space="preserve"> coding options for the condition</w:t>
      </w:r>
      <w:r w:rsidR="0042515D">
        <w:rPr>
          <w:rFonts w:cs="Times New Roman"/>
          <w:color w:val="auto"/>
          <w:szCs w:val="24"/>
        </w:rPr>
        <w:t xml:space="preserve"> originally but a year later the VA </w:t>
      </w:r>
      <w:r w:rsidR="00DB4D61">
        <w:rPr>
          <w:rFonts w:cs="Times New Roman"/>
          <w:color w:val="auto"/>
          <w:szCs w:val="24"/>
        </w:rPr>
        <w:t>d</w:t>
      </w:r>
      <w:r w:rsidR="0042515D">
        <w:rPr>
          <w:rFonts w:cs="Times New Roman"/>
          <w:color w:val="auto"/>
          <w:szCs w:val="24"/>
        </w:rPr>
        <w:t xml:space="preserve">ecision </w:t>
      </w:r>
      <w:r w:rsidR="00DB4D61">
        <w:rPr>
          <w:rFonts w:cs="Times New Roman"/>
          <w:color w:val="auto"/>
          <w:szCs w:val="24"/>
        </w:rPr>
        <w:t>r</w:t>
      </w:r>
      <w:r w:rsidR="0042515D" w:rsidRPr="004C41EF">
        <w:rPr>
          <w:rFonts w:cs="Times New Roman"/>
          <w:color w:val="auto"/>
          <w:szCs w:val="24"/>
        </w:rPr>
        <w:t xml:space="preserve">eview </w:t>
      </w:r>
      <w:r w:rsidR="00DB4D61">
        <w:rPr>
          <w:rFonts w:cs="Times New Roman"/>
          <w:color w:val="auto"/>
          <w:szCs w:val="24"/>
        </w:rPr>
        <w:t>o</w:t>
      </w:r>
      <w:r w:rsidR="0042515D" w:rsidRPr="004C41EF">
        <w:rPr>
          <w:rFonts w:cs="Times New Roman"/>
          <w:color w:val="auto"/>
          <w:szCs w:val="24"/>
        </w:rPr>
        <w:t>fficer (DRO) changed the VA code to that which was chosen by the PEB</w:t>
      </w:r>
      <w:r w:rsidR="008728A6" w:rsidRPr="004C41EF">
        <w:rPr>
          <w:rFonts w:cs="Times New Roman"/>
          <w:color w:val="auto"/>
          <w:szCs w:val="24"/>
        </w:rPr>
        <w:t xml:space="preserve">, and both were IAW </w:t>
      </w:r>
      <w:r w:rsidR="008728A6" w:rsidRPr="004C41EF">
        <w:rPr>
          <w:rFonts w:eastAsia="Calibri" w:cs="Times New Roman"/>
          <w:color w:val="auto"/>
          <w:szCs w:val="24"/>
        </w:rPr>
        <w:t>§4.97—</w:t>
      </w:r>
      <w:r w:rsidR="00DB4D61">
        <w:rPr>
          <w:rFonts w:eastAsia="Calibri" w:cs="Times New Roman"/>
          <w:color w:val="auto"/>
          <w:szCs w:val="24"/>
        </w:rPr>
        <w:t>s</w:t>
      </w:r>
      <w:r w:rsidR="008728A6" w:rsidRPr="004C41EF">
        <w:rPr>
          <w:rFonts w:eastAsia="Calibri" w:cs="Times New Roman"/>
          <w:color w:val="auto"/>
          <w:szCs w:val="24"/>
        </w:rPr>
        <w:t xml:space="preserve">chedule of ratings–respiratory system.  </w:t>
      </w:r>
      <w:r w:rsidR="0042515D" w:rsidRPr="004C41EF">
        <w:rPr>
          <w:rFonts w:eastAsia="Calibri" w:cs="Times New Roman"/>
          <w:color w:val="auto"/>
          <w:szCs w:val="24"/>
        </w:rPr>
        <w:t>The original VA evaluator chose the 6600 code (chronic bronc</w:t>
      </w:r>
      <w:r w:rsidR="00DB4D61">
        <w:rPr>
          <w:rFonts w:eastAsia="Calibri" w:cs="Times New Roman"/>
          <w:color w:val="auto"/>
          <w:szCs w:val="24"/>
        </w:rPr>
        <w:t>hitis) and assigned not service-</w:t>
      </w:r>
      <w:r w:rsidR="0042515D" w:rsidRPr="004C41EF">
        <w:rPr>
          <w:rFonts w:eastAsia="Calibri" w:cs="Times New Roman"/>
          <w:color w:val="auto"/>
          <w:szCs w:val="24"/>
        </w:rPr>
        <w:t>connected (NSC) based on normal pre bronchodilator PFTs and lack of use of medications.  The PEB coded analogous to the 6602 code (</w:t>
      </w:r>
      <w:r w:rsidR="00D903F9">
        <w:rPr>
          <w:color w:val="auto"/>
          <w:szCs w:val="24"/>
        </w:rPr>
        <w:t>a</w:t>
      </w:r>
      <w:r w:rsidR="0042515D" w:rsidRPr="004C41EF">
        <w:rPr>
          <w:color w:val="auto"/>
          <w:szCs w:val="24"/>
        </w:rPr>
        <w:t xml:space="preserve">sthma, bronchial) and </w:t>
      </w:r>
      <w:r w:rsidR="0042515D" w:rsidRPr="004C41EF">
        <w:rPr>
          <w:rFonts w:eastAsia="Calibri" w:cs="Times New Roman"/>
          <w:color w:val="auto"/>
          <w:szCs w:val="24"/>
        </w:rPr>
        <w:t>assigned a 10% rating based on normal PFT’s, normal Methacholine challenge test and intermittent use of bronchodilator medications with a review of the CI’s pharmacy record.</w:t>
      </w:r>
      <w:r w:rsidR="0042515D">
        <w:rPr>
          <w:rFonts w:eastAsia="Calibri" w:cs="Times New Roman"/>
          <w:color w:val="auto"/>
          <w:szCs w:val="24"/>
        </w:rPr>
        <w:t xml:space="preserve">  The DRO changed the code to 6602 and assigned a rating of 30% based on this decision on review of the 6 month VA PFT exam as well as prior STR and the opinion of a “</w:t>
      </w:r>
      <w:r w:rsidR="00DB4D61">
        <w:rPr>
          <w:rFonts w:eastAsia="Calibri" w:cs="Times New Roman"/>
          <w:color w:val="auto"/>
          <w:szCs w:val="24"/>
        </w:rPr>
        <w:t>p</w:t>
      </w:r>
      <w:r w:rsidR="0042515D">
        <w:rPr>
          <w:rFonts w:eastAsia="Calibri" w:cs="Times New Roman"/>
          <w:color w:val="auto"/>
          <w:szCs w:val="24"/>
        </w:rPr>
        <w:t>neum</w:t>
      </w:r>
      <w:r w:rsidR="000954EF">
        <w:rPr>
          <w:rFonts w:eastAsia="Calibri" w:cs="Times New Roman"/>
          <w:color w:val="auto"/>
          <w:szCs w:val="24"/>
        </w:rPr>
        <w:t>ono</w:t>
      </w:r>
      <w:r w:rsidR="0042515D">
        <w:rPr>
          <w:rFonts w:eastAsia="Calibri" w:cs="Times New Roman"/>
          <w:color w:val="auto"/>
          <w:szCs w:val="24"/>
        </w:rPr>
        <w:t xml:space="preserve">logy” </w:t>
      </w:r>
      <w:r w:rsidR="00DB4D61">
        <w:rPr>
          <w:rFonts w:eastAsia="Calibri" w:cs="Times New Roman"/>
          <w:color w:val="auto"/>
          <w:szCs w:val="24"/>
        </w:rPr>
        <w:t>b</w:t>
      </w:r>
      <w:r w:rsidR="0042515D">
        <w:rPr>
          <w:rFonts w:eastAsia="Calibri" w:cs="Times New Roman"/>
          <w:color w:val="auto"/>
          <w:szCs w:val="24"/>
        </w:rPr>
        <w:t xml:space="preserve">oard.  The DRO cited chronic cough manifested while in service was as least as likely as not the first manifestation of afterwards diagnosed and treated </w:t>
      </w:r>
      <w:r w:rsidR="004C41EF">
        <w:rPr>
          <w:rFonts w:eastAsia="Calibri" w:cs="Times New Roman"/>
          <w:color w:val="auto"/>
          <w:szCs w:val="24"/>
        </w:rPr>
        <w:t>a</w:t>
      </w:r>
      <w:r w:rsidR="0042515D">
        <w:rPr>
          <w:rFonts w:eastAsia="Calibri" w:cs="Times New Roman"/>
          <w:color w:val="auto"/>
          <w:szCs w:val="24"/>
        </w:rPr>
        <w:t xml:space="preserve">sthma with intermittent inhaled bronchodilator and daily anti-inflammatory medications.  </w:t>
      </w:r>
    </w:p>
    <w:p w:rsidR="00D903F9" w:rsidRDefault="00D903F9" w:rsidP="00313710">
      <w:pPr>
        <w:tabs>
          <w:tab w:val="left" w:pos="288"/>
          <w:tab w:val="left" w:pos="4752"/>
        </w:tabs>
        <w:jc w:val="both"/>
        <w:rPr>
          <w:rFonts w:eastAsia="Calibri" w:cs="Times New Roman"/>
          <w:color w:val="auto"/>
          <w:szCs w:val="24"/>
        </w:rPr>
      </w:pPr>
    </w:p>
    <w:p w:rsidR="00D903F9" w:rsidRDefault="0042515D" w:rsidP="00313710">
      <w:pPr>
        <w:tabs>
          <w:tab w:val="left" w:pos="288"/>
          <w:tab w:val="left" w:pos="4752"/>
        </w:tabs>
        <w:jc w:val="both"/>
        <w:rPr>
          <w:rFonts w:eastAsia="Calibri" w:cs="Times New Roman"/>
          <w:color w:val="auto"/>
          <w:szCs w:val="24"/>
        </w:rPr>
      </w:pPr>
      <w:r>
        <w:rPr>
          <w:rFonts w:eastAsia="Calibri" w:cs="Times New Roman"/>
          <w:color w:val="auto"/>
          <w:szCs w:val="24"/>
        </w:rPr>
        <w:t>The evidence reflects an original diagnosis of asthma</w:t>
      </w:r>
      <w:r w:rsidR="004C41EF">
        <w:rPr>
          <w:rFonts w:eastAsia="Calibri" w:cs="Times New Roman"/>
          <w:color w:val="auto"/>
          <w:szCs w:val="24"/>
        </w:rPr>
        <w:t xml:space="preserve"> however,</w:t>
      </w:r>
      <w:r>
        <w:rPr>
          <w:rFonts w:eastAsia="Calibri" w:cs="Times New Roman"/>
          <w:color w:val="auto"/>
          <w:szCs w:val="24"/>
        </w:rPr>
        <w:t xml:space="preserve"> due to worsening symptoms, normal baseline PFTs, and a normal Methacholine challenge test, the pulmonologist was skeptical of the diagnosis and referred the CI to other consultants for further evaluation.  This resulted in a difference of opinion of the etiology of the </w:t>
      </w:r>
      <w:r w:rsidR="003C6F13">
        <w:rPr>
          <w:rFonts w:eastAsia="Calibri" w:cs="Times New Roman"/>
          <w:color w:val="auto"/>
          <w:szCs w:val="24"/>
        </w:rPr>
        <w:t xml:space="preserve">chronic </w:t>
      </w:r>
      <w:r>
        <w:rPr>
          <w:rFonts w:eastAsia="Calibri" w:cs="Times New Roman"/>
          <w:color w:val="auto"/>
          <w:szCs w:val="24"/>
        </w:rPr>
        <w:t>cough</w:t>
      </w:r>
      <w:r w:rsidR="004C41EF">
        <w:rPr>
          <w:rFonts w:eastAsia="Calibri" w:cs="Times New Roman"/>
          <w:color w:val="auto"/>
          <w:szCs w:val="24"/>
        </w:rPr>
        <w:t xml:space="preserve">.  </w:t>
      </w:r>
      <w:r>
        <w:rPr>
          <w:rFonts w:eastAsia="Calibri" w:cs="Times New Roman"/>
          <w:color w:val="auto"/>
          <w:szCs w:val="24"/>
        </w:rPr>
        <w:t xml:space="preserve">The </w:t>
      </w:r>
      <w:r w:rsidRPr="003C6F13">
        <w:rPr>
          <w:rFonts w:eastAsia="Calibri"/>
          <w:color w:val="auto"/>
          <w:szCs w:val="24"/>
        </w:rPr>
        <w:t>pharmacy record reflects some level of noncompliance while seeking care with these consultants and the AO opines this likely contributed to the non</w:t>
      </w:r>
      <w:r w:rsidR="00D903F9">
        <w:rPr>
          <w:rFonts w:eastAsia="Calibri"/>
          <w:color w:val="auto"/>
          <w:szCs w:val="24"/>
        </w:rPr>
        <w:t>-</w:t>
      </w:r>
      <w:r w:rsidRPr="003C6F13">
        <w:rPr>
          <w:rFonts w:eastAsia="Calibri"/>
          <w:color w:val="auto"/>
          <w:szCs w:val="24"/>
        </w:rPr>
        <w:t>specific</w:t>
      </w:r>
      <w:r w:rsidR="003C6F13" w:rsidRPr="003C6F13">
        <w:rPr>
          <w:rFonts w:eastAsia="Calibri"/>
          <w:color w:val="auto"/>
          <w:szCs w:val="24"/>
        </w:rPr>
        <w:t>, more general,</w:t>
      </w:r>
      <w:r w:rsidRPr="003C6F13">
        <w:rPr>
          <w:rFonts w:eastAsia="Calibri"/>
          <w:color w:val="auto"/>
          <w:szCs w:val="24"/>
        </w:rPr>
        <w:t xml:space="preserve"> diagnosis assigned by the PEB</w:t>
      </w:r>
      <w:r w:rsidR="003C6F13" w:rsidRPr="003C6F13">
        <w:rPr>
          <w:color w:val="auto"/>
          <w:szCs w:val="24"/>
        </w:rPr>
        <w:t xml:space="preserve"> </w:t>
      </w:r>
      <w:r w:rsidR="003C6F13">
        <w:rPr>
          <w:color w:val="auto"/>
          <w:szCs w:val="24"/>
        </w:rPr>
        <w:t>and t</w:t>
      </w:r>
      <w:r w:rsidR="003C6F13" w:rsidRPr="003C6F13">
        <w:rPr>
          <w:color w:val="auto"/>
          <w:szCs w:val="24"/>
        </w:rPr>
        <w:t xml:space="preserve">he Board adjudged that the PEB diagnosis of chronic cough of </w:t>
      </w:r>
      <w:r w:rsidR="002F2E24" w:rsidRPr="003C6F13">
        <w:rPr>
          <w:color w:val="auto"/>
          <w:szCs w:val="24"/>
        </w:rPr>
        <w:t>unknown</w:t>
      </w:r>
      <w:r w:rsidR="003C6F13" w:rsidRPr="003C6F13">
        <w:rPr>
          <w:color w:val="auto"/>
          <w:szCs w:val="24"/>
        </w:rPr>
        <w:t xml:space="preserve"> etiology and coding using 6699-6602 was considered administratively final.</w:t>
      </w:r>
      <w:r w:rsidR="003C6F13">
        <w:rPr>
          <w:color w:val="auto"/>
          <w:szCs w:val="24"/>
        </w:rPr>
        <w:t xml:space="preserve">  </w:t>
      </w:r>
      <w:r w:rsidR="003C6F13">
        <w:rPr>
          <w:rFonts w:eastAsia="Calibri" w:cs="Times New Roman"/>
          <w:color w:val="auto"/>
          <w:szCs w:val="24"/>
        </w:rPr>
        <w:t xml:space="preserve">For the 6602 code, </w:t>
      </w:r>
      <w:r w:rsidR="00D2377C">
        <w:rPr>
          <w:rFonts w:eastAsia="Calibri" w:cs="Times New Roman"/>
          <w:color w:val="auto"/>
          <w:szCs w:val="24"/>
        </w:rPr>
        <w:t xml:space="preserve">the 30% criteria specify </w:t>
      </w:r>
      <w:r w:rsidR="004C41EF">
        <w:rPr>
          <w:rFonts w:eastAsia="Calibri" w:cs="Times New Roman"/>
          <w:color w:val="auto"/>
          <w:szCs w:val="24"/>
        </w:rPr>
        <w:t xml:space="preserve">daily </w:t>
      </w:r>
      <w:r w:rsidRPr="0042515D">
        <w:rPr>
          <w:rFonts w:eastAsia="Calibri" w:cs="Times New Roman"/>
          <w:color w:val="auto"/>
          <w:szCs w:val="24"/>
        </w:rPr>
        <w:t xml:space="preserve">inhalational or oral bronchodilator therapy, or; inhalational anti-inflammatory medication </w:t>
      </w:r>
      <w:r w:rsidR="00D2377C">
        <w:rPr>
          <w:rFonts w:eastAsia="Calibri" w:cs="Times New Roman"/>
          <w:color w:val="auto"/>
          <w:szCs w:val="24"/>
        </w:rPr>
        <w:t>and the 10% criteria specify</w:t>
      </w:r>
      <w:r>
        <w:rPr>
          <w:rFonts w:eastAsia="Calibri" w:cs="Times New Roman"/>
          <w:color w:val="auto"/>
          <w:szCs w:val="24"/>
        </w:rPr>
        <w:t xml:space="preserve"> </w:t>
      </w:r>
      <w:r w:rsidRPr="0042515D">
        <w:rPr>
          <w:rFonts w:eastAsia="Calibri" w:cs="Times New Roman"/>
          <w:color w:val="auto"/>
          <w:szCs w:val="24"/>
        </w:rPr>
        <w:t>intermittent inhalational or oral bro</w:t>
      </w:r>
      <w:r>
        <w:rPr>
          <w:rFonts w:eastAsia="Calibri" w:cs="Times New Roman"/>
          <w:color w:val="auto"/>
          <w:szCs w:val="24"/>
        </w:rPr>
        <w:t>nchodilator therapy.  The Board agreed the evidence reflects prescr</w:t>
      </w:r>
      <w:r w:rsidR="004C41EF">
        <w:rPr>
          <w:rFonts w:eastAsia="Calibri" w:cs="Times New Roman"/>
          <w:color w:val="auto"/>
          <w:szCs w:val="24"/>
        </w:rPr>
        <w:t xml:space="preserve">iptions and refills </w:t>
      </w:r>
      <w:r>
        <w:rPr>
          <w:rFonts w:eastAsia="Calibri" w:cs="Times New Roman"/>
          <w:color w:val="auto"/>
          <w:szCs w:val="24"/>
        </w:rPr>
        <w:t xml:space="preserve">for use of </w:t>
      </w:r>
      <w:r w:rsidR="004C41EF">
        <w:rPr>
          <w:rFonts w:eastAsia="Calibri" w:cs="Times New Roman"/>
          <w:color w:val="auto"/>
          <w:szCs w:val="24"/>
        </w:rPr>
        <w:t xml:space="preserve">daily </w:t>
      </w:r>
      <w:r w:rsidR="00D903F9">
        <w:rPr>
          <w:rFonts w:eastAsia="Calibri" w:cs="Times New Roman"/>
          <w:color w:val="auto"/>
          <w:szCs w:val="24"/>
        </w:rPr>
        <w:t>Advair</w:t>
      </w:r>
      <w:r>
        <w:rPr>
          <w:rFonts w:eastAsia="Calibri" w:cs="Times New Roman"/>
          <w:color w:val="auto"/>
          <w:szCs w:val="24"/>
        </w:rPr>
        <w:t xml:space="preserve"> while in the </w:t>
      </w:r>
      <w:r w:rsidR="00D903F9">
        <w:rPr>
          <w:rFonts w:eastAsia="Calibri" w:cs="Times New Roman"/>
          <w:color w:val="auto"/>
          <w:szCs w:val="24"/>
        </w:rPr>
        <w:t>s</w:t>
      </w:r>
      <w:r>
        <w:rPr>
          <w:rFonts w:eastAsia="Calibri" w:cs="Times New Roman"/>
          <w:color w:val="auto"/>
          <w:szCs w:val="24"/>
        </w:rPr>
        <w:t xml:space="preserve">ervice.  </w:t>
      </w:r>
      <w:r w:rsidR="004C41EF">
        <w:rPr>
          <w:rFonts w:eastAsia="Calibri" w:cs="Times New Roman"/>
          <w:color w:val="auto"/>
          <w:szCs w:val="24"/>
        </w:rPr>
        <w:t xml:space="preserve">While the refills suggests less than daily use of Advair, </w:t>
      </w:r>
      <w:r w:rsidR="00D903F9">
        <w:rPr>
          <w:bCs/>
          <w:color w:val="auto"/>
          <w:szCs w:val="24"/>
        </w:rPr>
        <w:t>reflecting some level of non-</w:t>
      </w:r>
      <w:r w:rsidR="004C41EF">
        <w:rPr>
          <w:bCs/>
          <w:color w:val="auto"/>
          <w:szCs w:val="24"/>
        </w:rPr>
        <w:t>compliance, t</w:t>
      </w:r>
      <w:r w:rsidR="004C41EF" w:rsidRPr="00EC36E5">
        <w:rPr>
          <w:color w:val="000000"/>
          <w:szCs w:val="24"/>
        </w:rPr>
        <w:t xml:space="preserve">here is no </w:t>
      </w:r>
      <w:r w:rsidR="004C41EF" w:rsidRPr="00FA1F21">
        <w:rPr>
          <w:color w:val="auto"/>
          <w:szCs w:val="24"/>
        </w:rPr>
        <w:t xml:space="preserve">defensible </w:t>
      </w:r>
      <w:r w:rsidR="004C41EF" w:rsidRPr="002F2E24">
        <w:rPr>
          <w:color w:val="auto"/>
          <w:szCs w:val="24"/>
        </w:rPr>
        <w:t xml:space="preserve">basis for applying, or means of measuring, any deduction which might be considered.  The Board must therefore disregard the influence non-compliance on ratable symptoms for its permanent rating recommendation and therefore recommends no deduction for non-compliance.  </w:t>
      </w:r>
      <w:r w:rsidR="00FA1F21">
        <w:rPr>
          <w:rFonts w:eastAsia="Calibri" w:cs="Times New Roman"/>
          <w:color w:val="auto"/>
          <w:szCs w:val="24"/>
        </w:rPr>
        <w:t>Further the</w:t>
      </w:r>
      <w:r w:rsidR="003C6F13">
        <w:rPr>
          <w:rFonts w:eastAsia="Calibri" w:cs="Times New Roman"/>
          <w:color w:val="auto"/>
          <w:szCs w:val="24"/>
        </w:rPr>
        <w:t xml:space="preserve"> final permanent profile reflects a more </w:t>
      </w:r>
      <w:r w:rsidR="00FA1F21">
        <w:rPr>
          <w:rFonts w:eastAsia="Calibri" w:cs="Times New Roman"/>
          <w:color w:val="auto"/>
          <w:szCs w:val="24"/>
        </w:rPr>
        <w:t xml:space="preserve">functionally </w:t>
      </w:r>
      <w:r w:rsidR="004C41EF">
        <w:rPr>
          <w:rFonts w:eastAsia="Calibri" w:cs="Times New Roman"/>
          <w:color w:val="auto"/>
          <w:szCs w:val="24"/>
        </w:rPr>
        <w:t>restrictive profile</w:t>
      </w:r>
      <w:r w:rsidR="003C6F13">
        <w:rPr>
          <w:rFonts w:eastAsia="Calibri" w:cs="Times New Roman"/>
          <w:color w:val="auto"/>
          <w:szCs w:val="24"/>
        </w:rPr>
        <w:t xml:space="preserve"> </w:t>
      </w:r>
      <w:r w:rsidR="00FA1F21">
        <w:rPr>
          <w:rFonts w:eastAsia="Calibri" w:cs="Times New Roman"/>
          <w:color w:val="auto"/>
          <w:szCs w:val="24"/>
        </w:rPr>
        <w:t>limiting activity to</w:t>
      </w:r>
      <w:r w:rsidR="003C6F13">
        <w:rPr>
          <w:rFonts w:eastAsia="Calibri" w:cs="Times New Roman"/>
          <w:color w:val="auto"/>
          <w:szCs w:val="24"/>
        </w:rPr>
        <w:t xml:space="preserve"> indoor only.  </w:t>
      </w:r>
    </w:p>
    <w:p w:rsidR="00D903F9" w:rsidRDefault="00D903F9" w:rsidP="00313710">
      <w:pPr>
        <w:tabs>
          <w:tab w:val="left" w:pos="288"/>
          <w:tab w:val="left" w:pos="4752"/>
        </w:tabs>
        <w:jc w:val="both"/>
        <w:rPr>
          <w:rFonts w:eastAsia="Calibri" w:cs="Times New Roman"/>
          <w:color w:val="auto"/>
          <w:szCs w:val="24"/>
        </w:rPr>
      </w:pPr>
    </w:p>
    <w:p w:rsidR="00A71636" w:rsidRPr="00313710" w:rsidRDefault="003C6F13" w:rsidP="00313710">
      <w:pPr>
        <w:tabs>
          <w:tab w:val="left" w:pos="288"/>
          <w:tab w:val="left" w:pos="4752"/>
        </w:tabs>
        <w:jc w:val="both"/>
        <w:rPr>
          <w:rFonts w:eastAsia="Calibri" w:cs="Times New Roman"/>
          <w:color w:val="auto"/>
          <w:szCs w:val="24"/>
        </w:rPr>
      </w:pPr>
      <w:r>
        <w:rPr>
          <w:rFonts w:eastAsia="Calibri" w:cs="Times New Roman"/>
          <w:color w:val="auto"/>
          <w:szCs w:val="24"/>
        </w:rPr>
        <w:t>The Board looked for evidence reflecting post</w:t>
      </w:r>
      <w:r w:rsidR="001102E8">
        <w:rPr>
          <w:rFonts w:eastAsia="Calibri" w:cs="Times New Roman"/>
          <w:color w:val="auto"/>
          <w:szCs w:val="24"/>
        </w:rPr>
        <w:t>-</w:t>
      </w:r>
      <w:r>
        <w:rPr>
          <w:rFonts w:eastAsia="Calibri" w:cs="Times New Roman"/>
          <w:color w:val="auto"/>
          <w:szCs w:val="24"/>
        </w:rPr>
        <w:t>separation</w:t>
      </w:r>
      <w:r w:rsidR="00FA1F21">
        <w:rPr>
          <w:rFonts w:eastAsia="Calibri" w:cs="Times New Roman"/>
          <w:color w:val="auto"/>
          <w:szCs w:val="24"/>
        </w:rPr>
        <w:t xml:space="preserve"> employment due to his</w:t>
      </w:r>
      <w:r>
        <w:rPr>
          <w:rFonts w:eastAsia="Calibri" w:cs="Times New Roman"/>
          <w:color w:val="auto"/>
          <w:szCs w:val="24"/>
        </w:rPr>
        <w:t xml:space="preserve"> </w:t>
      </w:r>
      <w:r w:rsidR="00FA1F21">
        <w:rPr>
          <w:rFonts w:eastAsia="Calibri" w:cs="Times New Roman"/>
          <w:color w:val="auto"/>
          <w:szCs w:val="24"/>
        </w:rPr>
        <w:t>pulmonary impairment</w:t>
      </w:r>
      <w:r w:rsidR="001102E8">
        <w:rPr>
          <w:rFonts w:eastAsia="Calibri" w:cs="Times New Roman"/>
          <w:color w:val="auto"/>
          <w:szCs w:val="24"/>
        </w:rPr>
        <w:t>;</w:t>
      </w:r>
      <w:r>
        <w:rPr>
          <w:rFonts w:eastAsia="Calibri" w:cs="Times New Roman"/>
          <w:color w:val="auto"/>
          <w:szCs w:val="24"/>
        </w:rPr>
        <w:t xml:space="preserve"> however</w:t>
      </w:r>
      <w:r w:rsidR="001102E8">
        <w:rPr>
          <w:rFonts w:eastAsia="Calibri" w:cs="Times New Roman"/>
          <w:color w:val="auto"/>
          <w:szCs w:val="24"/>
        </w:rPr>
        <w:t>,</w:t>
      </w:r>
      <w:r>
        <w:rPr>
          <w:rFonts w:eastAsia="Calibri" w:cs="Times New Roman"/>
          <w:color w:val="auto"/>
          <w:szCs w:val="24"/>
        </w:rPr>
        <w:t xml:space="preserve"> </w:t>
      </w:r>
      <w:r w:rsidR="00FA1F21">
        <w:rPr>
          <w:rFonts w:eastAsia="Calibri" w:cs="Times New Roman"/>
          <w:color w:val="auto"/>
          <w:szCs w:val="24"/>
        </w:rPr>
        <w:t xml:space="preserve">the CI was diagnosed with PTSD and did not gain employment.  The Board considered the 6600 code originally assigned by the VA but agreed IAW VASRD </w:t>
      </w:r>
      <w:r w:rsidR="00FA1F21" w:rsidRPr="00FF6D6C">
        <w:rPr>
          <w:bCs/>
          <w:color w:val="auto"/>
          <w:szCs w:val="24"/>
        </w:rPr>
        <w:t xml:space="preserve">§4.7 </w:t>
      </w:r>
      <w:r w:rsidR="00FA1F21">
        <w:rPr>
          <w:bCs/>
          <w:color w:val="auto"/>
          <w:szCs w:val="24"/>
        </w:rPr>
        <w:t>(</w:t>
      </w:r>
      <w:r w:rsidR="00D903F9">
        <w:rPr>
          <w:bCs/>
          <w:color w:val="auto"/>
          <w:szCs w:val="24"/>
        </w:rPr>
        <w:t>h</w:t>
      </w:r>
      <w:r w:rsidR="00FA1F21" w:rsidRPr="00FF6D6C">
        <w:rPr>
          <w:bCs/>
          <w:color w:val="auto"/>
          <w:szCs w:val="24"/>
        </w:rPr>
        <w:t>igher of two evaluations</w:t>
      </w:r>
      <w:r w:rsidR="00FA1F21">
        <w:rPr>
          <w:bCs/>
          <w:color w:val="auto"/>
          <w:szCs w:val="24"/>
        </w:rPr>
        <w:t xml:space="preserve">) the symptoms are more closely related to the 6602 code and agreed with the analogous code as the disability is not specifically listed in the rating schedule.  </w:t>
      </w:r>
      <w:r w:rsidR="00FA1F21" w:rsidRPr="002F2E24">
        <w:rPr>
          <w:rFonts w:eastAsia="Calibri" w:cs="Times New Roman"/>
          <w:color w:val="auto"/>
          <w:szCs w:val="24"/>
        </w:rPr>
        <w:t>After due deliberation, considering all of the evidence and mindful of VASRD §4.3 (reasonable doubt), the Board recommends a disability rating of 30% for the chronic cough condition.</w:t>
      </w:r>
      <w:r w:rsidR="00FA1F21" w:rsidRPr="00F64312">
        <w:rPr>
          <w:rFonts w:eastAsia="Calibri" w:cs="Times New Roman"/>
          <w:color w:val="auto"/>
          <w:szCs w:val="24"/>
        </w:rPr>
        <w:t xml:space="preserve">  </w:t>
      </w:r>
    </w:p>
    <w:p w:rsidR="00FA1F21" w:rsidRPr="00F64312" w:rsidRDefault="00FA1F21"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4C41EF"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241B01" w:rsidRPr="00F64312">
        <w:rPr>
          <w:rFonts w:eastAsia="Calibri" w:cs="Times New Roman"/>
          <w:color w:val="auto"/>
          <w:szCs w:val="24"/>
        </w:rPr>
        <w:t xml:space="preserve">In the matter of the </w:t>
      </w:r>
      <w:r w:rsidR="008728A6">
        <w:rPr>
          <w:rFonts w:eastAsia="Calibri" w:cs="Times New Roman"/>
          <w:color w:val="auto"/>
          <w:szCs w:val="24"/>
        </w:rPr>
        <w:t>chronic cough</w:t>
      </w:r>
      <w:r w:rsidR="00241B01" w:rsidRPr="00F64312">
        <w:rPr>
          <w:rFonts w:eastAsia="Calibri" w:cs="Times New Roman"/>
          <w:color w:val="auto"/>
          <w:szCs w:val="24"/>
        </w:rPr>
        <w:t xml:space="preserve"> cond</w:t>
      </w:r>
      <w:r w:rsidR="00241B01" w:rsidRPr="004C41EF">
        <w:rPr>
          <w:rFonts w:eastAsia="Calibri" w:cs="Times New Roman"/>
          <w:color w:val="auto"/>
          <w:szCs w:val="24"/>
        </w:rPr>
        <w:t xml:space="preserve">ition, the Board unanimously </w:t>
      </w:r>
      <w:r w:rsidR="00241B01" w:rsidRPr="004C41EF">
        <w:rPr>
          <w:rFonts w:eastAsia="Calibri" w:cs="Times New Roman"/>
          <w:color w:val="auto"/>
          <w:szCs w:val="24"/>
        </w:rPr>
        <w:lastRenderedPageBreak/>
        <w:t xml:space="preserve">recommends a disability rating of </w:t>
      </w:r>
      <w:r w:rsidR="008728A6" w:rsidRPr="004C41EF">
        <w:rPr>
          <w:rFonts w:eastAsia="Calibri" w:cs="Times New Roman"/>
          <w:color w:val="auto"/>
          <w:szCs w:val="24"/>
        </w:rPr>
        <w:t>30</w:t>
      </w:r>
      <w:r w:rsidR="00241B01" w:rsidRPr="004C41EF">
        <w:rPr>
          <w:rFonts w:eastAsia="Calibri" w:cs="Times New Roman"/>
          <w:color w:val="auto"/>
          <w:szCs w:val="24"/>
        </w:rPr>
        <w:t xml:space="preserve">%, coded </w:t>
      </w:r>
      <w:r w:rsidR="008728A6" w:rsidRPr="004C41EF">
        <w:rPr>
          <w:rFonts w:eastAsia="Calibri" w:cs="Times New Roman"/>
          <w:color w:val="auto"/>
          <w:szCs w:val="24"/>
        </w:rPr>
        <w:t>6699-6602</w:t>
      </w:r>
      <w:r w:rsidR="00241B01" w:rsidRPr="004C41EF">
        <w:rPr>
          <w:rFonts w:eastAsia="Calibri" w:cs="Times New Roman"/>
          <w:color w:val="auto"/>
          <w:szCs w:val="24"/>
        </w:rPr>
        <w:t xml:space="preserve"> IAW VASRD </w:t>
      </w:r>
      <w:r w:rsidR="008728A6" w:rsidRPr="004C41EF">
        <w:rPr>
          <w:rFonts w:eastAsia="Calibri" w:cs="Times New Roman"/>
          <w:color w:val="auto"/>
          <w:szCs w:val="24"/>
        </w:rPr>
        <w:t>§4.97</w:t>
      </w:r>
      <w:r w:rsidR="002F2E24" w:rsidRPr="004C41EF">
        <w:rPr>
          <w:rFonts w:eastAsia="Calibri" w:cs="Times New Roman"/>
          <w:color w:val="auto"/>
          <w:szCs w:val="24"/>
        </w:rPr>
        <w:t>.</w:t>
      </w:r>
      <w:r w:rsidR="004C41EF" w:rsidRPr="004C41EF">
        <w:rPr>
          <w:rFonts w:cs="Times New Roman"/>
          <w:color w:val="auto"/>
        </w:rPr>
        <w:t xml:space="preserve">  </w:t>
      </w:r>
      <w:r w:rsidR="00417BED" w:rsidRPr="004C41EF">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4C41EF" w:rsidRDefault="00AD2379" w:rsidP="00D903F9">
      <w:pPr>
        <w:jc w:val="both"/>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permanent disability retirement, effective as of the date of his</w:t>
      </w:r>
      <w:r w:rsidR="00417BED" w:rsidRPr="00F64312">
        <w:rPr>
          <w:rFonts w:eastAsia="Calibri" w:cs="Times New Roman"/>
          <w:color w:val="auto"/>
          <w:szCs w:val="24"/>
        </w:rPr>
        <w:t xml:space="preserve"> prior medical separation:</w:t>
      </w:r>
      <w:r w:rsidR="006B690F" w:rsidRPr="00F64312">
        <w:rPr>
          <w:rFonts w:eastAsia="Calibri" w:cs="Times New Roman"/>
          <w:color w:val="auto"/>
          <w:szCs w:val="24"/>
        </w:rPr>
        <w:t xml:space="preserve">  </w:t>
      </w:r>
    </w:p>
    <w:p w:rsidR="008728A6" w:rsidRDefault="008728A6" w:rsidP="00565636">
      <w:pPr>
        <w:tabs>
          <w:tab w:val="left" w:pos="288"/>
          <w:tab w:val="left" w:pos="4752"/>
        </w:tabs>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8728A6" w:rsidRPr="00F64312" w:rsidTr="00FC3DFD">
        <w:trPr>
          <w:trHeight w:val="233"/>
          <w:jc w:val="center"/>
        </w:trPr>
        <w:tc>
          <w:tcPr>
            <w:tcW w:w="6768" w:type="dxa"/>
            <w:shd w:val="clear" w:color="auto" w:fill="D9D9D9"/>
            <w:vAlign w:val="center"/>
          </w:tcPr>
          <w:p w:rsidR="008728A6" w:rsidRPr="004C41EF" w:rsidRDefault="008728A6" w:rsidP="00FC3DFD">
            <w:pPr>
              <w:tabs>
                <w:tab w:val="left" w:pos="288"/>
                <w:tab w:val="left" w:pos="4752"/>
              </w:tabs>
              <w:rPr>
                <w:b/>
                <w:color w:val="auto"/>
              </w:rPr>
            </w:pPr>
            <w:r w:rsidRPr="004C41EF">
              <w:rPr>
                <w:b/>
                <w:color w:val="auto"/>
              </w:rPr>
              <w:t>UNFITTING CONDITION</w:t>
            </w:r>
          </w:p>
        </w:tc>
        <w:tc>
          <w:tcPr>
            <w:tcW w:w="1530" w:type="dxa"/>
            <w:shd w:val="clear" w:color="auto" w:fill="D9D9D9"/>
            <w:vAlign w:val="center"/>
          </w:tcPr>
          <w:p w:rsidR="008728A6" w:rsidRPr="004C41EF" w:rsidRDefault="008728A6" w:rsidP="00FC3DFD">
            <w:pPr>
              <w:tabs>
                <w:tab w:val="left" w:pos="288"/>
                <w:tab w:val="left" w:pos="4752"/>
              </w:tabs>
              <w:rPr>
                <w:b/>
                <w:color w:val="auto"/>
              </w:rPr>
            </w:pPr>
            <w:r w:rsidRPr="004C41EF">
              <w:rPr>
                <w:b/>
                <w:color w:val="auto"/>
              </w:rPr>
              <w:t>VASRD CODE</w:t>
            </w:r>
          </w:p>
        </w:tc>
        <w:tc>
          <w:tcPr>
            <w:tcW w:w="1026" w:type="dxa"/>
            <w:shd w:val="clear" w:color="auto" w:fill="D9D9D9"/>
            <w:vAlign w:val="center"/>
          </w:tcPr>
          <w:p w:rsidR="008728A6" w:rsidRPr="004C41EF" w:rsidRDefault="008728A6" w:rsidP="00FC3DFD">
            <w:pPr>
              <w:tabs>
                <w:tab w:val="left" w:pos="288"/>
                <w:tab w:val="left" w:pos="4752"/>
              </w:tabs>
              <w:rPr>
                <w:b/>
                <w:color w:val="auto"/>
              </w:rPr>
            </w:pPr>
            <w:r w:rsidRPr="004C41EF">
              <w:rPr>
                <w:b/>
                <w:color w:val="auto"/>
              </w:rPr>
              <w:t>RATING</w:t>
            </w:r>
          </w:p>
        </w:tc>
      </w:tr>
      <w:tr w:rsidR="008728A6" w:rsidRPr="00F64312" w:rsidTr="00FC3DFD">
        <w:trPr>
          <w:jc w:val="center"/>
        </w:trPr>
        <w:tc>
          <w:tcPr>
            <w:tcW w:w="6768" w:type="dxa"/>
            <w:vAlign w:val="center"/>
          </w:tcPr>
          <w:p w:rsidR="008728A6" w:rsidRPr="004C41EF" w:rsidRDefault="008728A6" w:rsidP="00FC3DFD">
            <w:pPr>
              <w:tabs>
                <w:tab w:val="left" w:pos="288"/>
                <w:tab w:val="left" w:pos="4752"/>
              </w:tabs>
              <w:jc w:val="left"/>
              <w:rPr>
                <w:color w:val="auto"/>
              </w:rPr>
            </w:pPr>
            <w:r w:rsidRPr="004C41EF">
              <w:rPr>
                <w:color w:val="auto"/>
              </w:rPr>
              <w:t>Chronic Cough of Unknown Etiology</w:t>
            </w:r>
          </w:p>
        </w:tc>
        <w:tc>
          <w:tcPr>
            <w:tcW w:w="1530" w:type="dxa"/>
            <w:vAlign w:val="center"/>
          </w:tcPr>
          <w:p w:rsidR="008728A6" w:rsidRPr="004C41EF" w:rsidRDefault="008728A6" w:rsidP="00FC3DFD">
            <w:pPr>
              <w:tabs>
                <w:tab w:val="left" w:pos="288"/>
                <w:tab w:val="left" w:pos="4752"/>
              </w:tabs>
              <w:rPr>
                <w:color w:val="auto"/>
              </w:rPr>
            </w:pPr>
            <w:r w:rsidRPr="004C41EF">
              <w:rPr>
                <w:color w:val="auto"/>
              </w:rPr>
              <w:t>6699-6602</w:t>
            </w:r>
          </w:p>
        </w:tc>
        <w:tc>
          <w:tcPr>
            <w:tcW w:w="1026" w:type="dxa"/>
            <w:vAlign w:val="center"/>
          </w:tcPr>
          <w:p w:rsidR="008728A6" w:rsidRPr="004C41EF" w:rsidRDefault="008728A6" w:rsidP="00FC3DFD">
            <w:pPr>
              <w:tabs>
                <w:tab w:val="left" w:pos="288"/>
                <w:tab w:val="left" w:pos="4752"/>
              </w:tabs>
              <w:rPr>
                <w:color w:val="auto"/>
              </w:rPr>
            </w:pPr>
            <w:r w:rsidRPr="004C41EF">
              <w:rPr>
                <w:color w:val="auto"/>
              </w:rPr>
              <w:t>30%</w:t>
            </w:r>
          </w:p>
        </w:tc>
      </w:tr>
      <w:tr w:rsidR="008728A6" w:rsidRPr="00F64312" w:rsidTr="00FC3DF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8728A6" w:rsidRPr="004C41EF" w:rsidRDefault="008728A6" w:rsidP="00FC3DFD">
            <w:pPr>
              <w:tabs>
                <w:tab w:val="left" w:pos="288"/>
                <w:tab w:val="left" w:pos="4752"/>
              </w:tabs>
              <w:rPr>
                <w:b/>
                <w:color w:val="auto"/>
              </w:rPr>
            </w:pPr>
            <w:r w:rsidRPr="004C41EF">
              <w:rPr>
                <w:b/>
                <w:color w:val="auto"/>
              </w:rPr>
              <w:t>COMBINED</w:t>
            </w:r>
          </w:p>
        </w:tc>
        <w:tc>
          <w:tcPr>
            <w:tcW w:w="1026" w:type="dxa"/>
            <w:shd w:val="clear" w:color="auto" w:fill="D9D9D9"/>
            <w:vAlign w:val="center"/>
          </w:tcPr>
          <w:p w:rsidR="008728A6" w:rsidRPr="004C41EF" w:rsidRDefault="008728A6" w:rsidP="00FC3DFD">
            <w:pPr>
              <w:tabs>
                <w:tab w:val="left" w:pos="288"/>
                <w:tab w:val="left" w:pos="4752"/>
              </w:tabs>
              <w:rPr>
                <w:b/>
                <w:color w:val="auto"/>
              </w:rPr>
            </w:pPr>
            <w:r w:rsidRPr="004C41EF">
              <w:rPr>
                <w:b/>
                <w:color w:val="auto"/>
              </w:rPr>
              <w:t>30%</w:t>
            </w:r>
          </w:p>
        </w:tc>
      </w:tr>
    </w:tbl>
    <w:p w:rsidR="003530AA" w:rsidRPr="00F64312" w:rsidRDefault="003530AA"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3F204C">
        <w:rPr>
          <w:color w:val="auto"/>
        </w:rPr>
        <w:t>20</w:t>
      </w:r>
      <w:r w:rsidR="003F204C" w:rsidRPr="003F204C">
        <w:rPr>
          <w:color w:val="auto"/>
        </w:rPr>
        <w:t>120130</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BA0EDD" w:rsidP="006B690F">
      <w:pPr>
        <w:tabs>
          <w:tab w:val="left" w:pos="0"/>
          <w:tab w:val="left" w:pos="4320"/>
        </w:tabs>
        <w:jc w:val="both"/>
        <w:rPr>
          <w:color w:val="auto"/>
        </w:rPr>
      </w:pPr>
      <w:r>
        <w:rPr>
          <w:color w:val="auto"/>
        </w:rPr>
        <w:tab/>
        <w:t xml:space="preserve">           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BA0EDD" w:rsidRDefault="00AD2379" w:rsidP="00BF0E94">
      <w:pPr>
        <w:tabs>
          <w:tab w:val="left" w:pos="0"/>
          <w:tab w:val="left" w:pos="4320"/>
        </w:tabs>
        <w:jc w:val="both"/>
        <w:rPr>
          <w:color w:val="auto"/>
        </w:rPr>
      </w:pPr>
      <w:r w:rsidRPr="00F64312">
        <w:rPr>
          <w:color w:val="auto"/>
        </w:rPr>
        <w:tab/>
        <w:t xml:space="preserve">           Physical Disability Board of Review</w:t>
      </w:r>
    </w:p>
    <w:p w:rsidR="00BA0EDD" w:rsidRDefault="00BA0EDD">
      <w:pPr>
        <w:spacing w:line="240" w:lineRule="auto"/>
        <w:jc w:val="left"/>
        <w:rPr>
          <w:color w:val="auto"/>
        </w:rPr>
      </w:pPr>
      <w:r>
        <w:rPr>
          <w:color w:val="auto"/>
        </w:rPr>
        <w:br w:type="page"/>
      </w:r>
    </w:p>
    <w:p w:rsidR="00BA0EDD" w:rsidRDefault="00BA0EDD" w:rsidP="00BA0EDD">
      <w:pPr>
        <w:pStyle w:val="Header"/>
        <w:tabs>
          <w:tab w:val="left" w:pos="720"/>
        </w:tabs>
        <w:jc w:val="left"/>
      </w:pPr>
      <w:r>
        <w:lastRenderedPageBreak/>
        <w:t>SFMR-RB</w:t>
      </w:r>
      <w:r>
        <w:tab/>
      </w:r>
      <w:r>
        <w:tab/>
      </w:r>
      <w:r>
        <w:tab/>
      </w:r>
      <w:r>
        <w:tab/>
      </w:r>
      <w:r>
        <w:tab/>
      </w:r>
      <w:r>
        <w:tab/>
      </w:r>
      <w:r>
        <w:tab/>
      </w:r>
      <w:r>
        <w:tab/>
      </w:r>
      <w:r>
        <w:tab/>
      </w:r>
    </w:p>
    <w:p w:rsidR="00BA0EDD" w:rsidRDefault="00BA0EDD" w:rsidP="00BA0EDD">
      <w:pPr>
        <w:pStyle w:val="Header"/>
        <w:tabs>
          <w:tab w:val="left" w:pos="720"/>
        </w:tabs>
        <w:jc w:val="left"/>
      </w:pPr>
    </w:p>
    <w:p w:rsidR="00BA0EDD" w:rsidRDefault="00BA0EDD" w:rsidP="00BA0EDD">
      <w:pPr>
        <w:jc w:val="left"/>
      </w:pPr>
    </w:p>
    <w:p w:rsidR="00BA0EDD" w:rsidRDefault="00BA0EDD" w:rsidP="00BA0EDD">
      <w:pPr>
        <w:jc w:val="left"/>
      </w:pPr>
      <w:r>
        <w:t xml:space="preserve">MEMORANDUM FOR Commander, US Army Physical Disability Agency </w:t>
      </w:r>
    </w:p>
    <w:p w:rsidR="00BA0EDD" w:rsidRDefault="00BA0EDD" w:rsidP="00BA0EDD">
      <w:pPr>
        <w:jc w:val="left"/>
      </w:pPr>
      <w:r>
        <w:t xml:space="preserve">(TAPD-ZB </w:t>
      </w:r>
      <w:proofErr w:type="gramStart"/>
      <w:r>
        <w:t>/  )</w:t>
      </w:r>
      <w:proofErr w:type="gramEnd"/>
      <w:r>
        <w:t>, 2900 Crystal Drive, Suite 300, Arlington, VA  22202</w:t>
      </w:r>
    </w:p>
    <w:p w:rsidR="00BA0EDD" w:rsidRDefault="00BA0EDD" w:rsidP="00BA0EDD">
      <w:pPr>
        <w:jc w:val="left"/>
      </w:pPr>
    </w:p>
    <w:p w:rsidR="00BA0EDD" w:rsidRDefault="00BA0EDD" w:rsidP="00BA0EDD">
      <w:pPr>
        <w:ind w:right="-180"/>
        <w:jc w:val="left"/>
      </w:pPr>
      <w:r>
        <w:t xml:space="preserve">SUBJECT:  Department of Defense Physical Disability Board of Review Recommendation </w:t>
      </w:r>
    </w:p>
    <w:p w:rsidR="00BA0EDD" w:rsidRDefault="00BA0EDD" w:rsidP="00BA0EDD">
      <w:pPr>
        <w:pStyle w:val="Header"/>
        <w:tabs>
          <w:tab w:val="left" w:pos="720"/>
        </w:tabs>
        <w:jc w:val="left"/>
      </w:pPr>
      <w:proofErr w:type="gramStart"/>
      <w:r>
        <w:t>for</w:t>
      </w:r>
      <w:proofErr w:type="gramEnd"/>
      <w:r>
        <w:t xml:space="preserve"> XXXXXXXXXXXXXXXXXXXXXXXXXXXX, AR20120015466 (PD201200100)</w:t>
      </w:r>
    </w:p>
    <w:p w:rsidR="00BA0EDD" w:rsidRDefault="00BA0EDD" w:rsidP="00BA0EDD">
      <w:pPr>
        <w:pStyle w:val="Header"/>
        <w:tabs>
          <w:tab w:val="left" w:pos="720"/>
        </w:tabs>
        <w:jc w:val="left"/>
      </w:pPr>
    </w:p>
    <w:p w:rsidR="00BA0EDD" w:rsidRDefault="00BA0EDD" w:rsidP="00BA0EDD">
      <w:pPr>
        <w:jc w:val="left"/>
      </w:pPr>
    </w:p>
    <w:p w:rsidR="00BA0EDD" w:rsidRDefault="00BA0EDD" w:rsidP="00BA0EDD">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BA0EDD" w:rsidRDefault="00BA0EDD" w:rsidP="00BA0EDD">
      <w:pPr>
        <w:jc w:val="left"/>
      </w:pPr>
    </w:p>
    <w:p w:rsidR="00BA0EDD" w:rsidRDefault="00BA0EDD" w:rsidP="00BA0EDD">
      <w:pPr>
        <w:jc w:val="left"/>
      </w:pPr>
      <w:r>
        <w:t>2.  I direct that all the Department of the Army records of the individual concerned be corrected accordingly no later than 120 days from the date of this memorandum:</w:t>
      </w:r>
    </w:p>
    <w:p w:rsidR="00BA0EDD" w:rsidRDefault="00BA0EDD" w:rsidP="00BA0EDD">
      <w:pPr>
        <w:jc w:val="left"/>
      </w:pPr>
    </w:p>
    <w:p w:rsidR="00BA0EDD" w:rsidRDefault="00BA0EDD" w:rsidP="00BA0EDD">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BA0EDD" w:rsidRDefault="00BA0EDD" w:rsidP="00BA0EDD">
      <w:pPr>
        <w:jc w:val="left"/>
      </w:pPr>
    </w:p>
    <w:p w:rsidR="00BA0EDD" w:rsidRDefault="00BA0EDD" w:rsidP="00BA0EDD">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BA0EDD" w:rsidRDefault="00BA0EDD" w:rsidP="00BA0EDD">
      <w:pPr>
        <w:jc w:val="left"/>
      </w:pPr>
    </w:p>
    <w:p w:rsidR="00BA0EDD" w:rsidRDefault="00BA0EDD" w:rsidP="00BA0EDD">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BA0EDD" w:rsidRDefault="00BA0EDD" w:rsidP="00BA0EDD">
      <w:pPr>
        <w:jc w:val="left"/>
      </w:pPr>
    </w:p>
    <w:p w:rsidR="00BA0EDD" w:rsidRDefault="00BA0EDD" w:rsidP="00BA0EDD">
      <w:pPr>
        <w:jc w:val="left"/>
      </w:pPr>
      <w:r>
        <w:tab/>
      </w:r>
      <w:proofErr w:type="gramStart"/>
      <w:r>
        <w:t>d.  Affording</w:t>
      </w:r>
      <w:proofErr w:type="gramEnd"/>
      <w:r>
        <w:t xml:space="preserve"> the individual the opportunity to elect Survivor Benefit Plan (SBP) and medical TRICARE retiree options.</w:t>
      </w:r>
    </w:p>
    <w:p w:rsidR="00BA0EDD" w:rsidRDefault="00BA0EDD" w:rsidP="00BA0EDD">
      <w:pPr>
        <w:jc w:val="left"/>
      </w:pPr>
    </w:p>
    <w:p w:rsidR="00BA0EDD" w:rsidRDefault="00BA0EDD" w:rsidP="00BA0EDD">
      <w:pPr>
        <w:jc w:val="left"/>
      </w:pPr>
    </w:p>
    <w:p w:rsidR="00BA0EDD" w:rsidRDefault="00BA0EDD" w:rsidP="00BA0EDD">
      <w:pPr>
        <w:jc w:val="left"/>
      </w:pPr>
    </w:p>
    <w:p w:rsidR="00BA0EDD" w:rsidRDefault="00BA0EDD" w:rsidP="00BA0EDD">
      <w:pPr>
        <w:jc w:val="left"/>
      </w:pPr>
    </w:p>
    <w:p w:rsidR="00BA0EDD" w:rsidRDefault="00BA0EDD" w:rsidP="00BA0EDD">
      <w:pPr>
        <w:jc w:val="left"/>
      </w:pPr>
    </w:p>
    <w:p w:rsidR="00BA0EDD" w:rsidRDefault="00BA0EDD" w:rsidP="00BA0EDD">
      <w:pPr>
        <w:jc w:val="left"/>
      </w:pPr>
    </w:p>
    <w:p w:rsidR="00BA0EDD" w:rsidRDefault="00BA0EDD" w:rsidP="00BA0EDD">
      <w:pPr>
        <w:jc w:val="left"/>
      </w:pPr>
    </w:p>
    <w:p w:rsidR="00BA0EDD" w:rsidRDefault="00BA0EDD" w:rsidP="00BA0EDD">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BA0EDD" w:rsidRDefault="00BA0EDD" w:rsidP="00BA0EDD">
      <w:pPr>
        <w:jc w:val="left"/>
      </w:pPr>
    </w:p>
    <w:p w:rsidR="00BA0EDD" w:rsidRDefault="00BA0EDD" w:rsidP="00BA0EDD">
      <w:pPr>
        <w:jc w:val="left"/>
      </w:pPr>
      <w:r>
        <w:t>BY ORDER OF THE SECRETARY OF THE ARMY:</w:t>
      </w:r>
    </w:p>
    <w:p w:rsidR="00BA0EDD" w:rsidRDefault="00BA0EDD" w:rsidP="00BA0EDD">
      <w:pPr>
        <w:jc w:val="left"/>
      </w:pPr>
    </w:p>
    <w:p w:rsidR="00BA0EDD" w:rsidRDefault="00BA0EDD" w:rsidP="00BA0EDD">
      <w:pPr>
        <w:jc w:val="left"/>
      </w:pPr>
    </w:p>
    <w:p w:rsidR="00BA0EDD" w:rsidRDefault="00BA0EDD" w:rsidP="00BA0EDD">
      <w:pPr>
        <w:pStyle w:val="Header"/>
        <w:tabs>
          <w:tab w:val="left" w:pos="720"/>
        </w:tabs>
        <w:jc w:val="left"/>
      </w:pPr>
    </w:p>
    <w:p w:rsidR="00BA0EDD" w:rsidRDefault="00BA0EDD" w:rsidP="00BA0EDD">
      <w:pPr>
        <w:jc w:val="left"/>
      </w:pPr>
    </w:p>
    <w:p w:rsidR="00BA0EDD" w:rsidRDefault="00BA0EDD" w:rsidP="00BA0EDD">
      <w:pPr>
        <w:jc w:val="left"/>
      </w:pPr>
      <w:bookmarkStart w:id="0" w:name="OLE_LINK4"/>
      <w:bookmarkStart w:id="1" w:name="OLE_LINK3"/>
      <w:r>
        <w:t>Encl</w:t>
      </w:r>
      <w:r>
        <w:tab/>
      </w:r>
      <w:r>
        <w:tab/>
      </w:r>
      <w:r>
        <w:tab/>
      </w:r>
      <w:r>
        <w:tab/>
      </w:r>
      <w:r>
        <w:tab/>
      </w:r>
      <w:r>
        <w:tab/>
        <w:t xml:space="preserve">     XXXXXXXXXXXXXXXXXXXXXXXXXXXXX</w:t>
      </w:r>
    </w:p>
    <w:p w:rsidR="00BA0EDD" w:rsidRDefault="00BA0EDD" w:rsidP="00BA0EDD">
      <w:pPr>
        <w:jc w:val="left"/>
      </w:pPr>
      <w:r>
        <w:tab/>
      </w:r>
      <w:r>
        <w:tab/>
      </w:r>
      <w:r>
        <w:tab/>
      </w:r>
      <w:r>
        <w:tab/>
      </w:r>
      <w:r>
        <w:tab/>
      </w:r>
      <w:r>
        <w:tab/>
        <w:t xml:space="preserve">     Deputy Assistant Secretary</w:t>
      </w:r>
    </w:p>
    <w:p w:rsidR="00BA0EDD" w:rsidRDefault="00BA0EDD" w:rsidP="00BA0EDD">
      <w:pPr>
        <w:jc w:val="left"/>
      </w:pPr>
      <w:r>
        <w:tab/>
      </w:r>
      <w:r>
        <w:tab/>
      </w:r>
      <w:r>
        <w:tab/>
      </w:r>
      <w:r>
        <w:tab/>
      </w:r>
      <w:r>
        <w:tab/>
      </w:r>
      <w:r>
        <w:tab/>
        <w:t xml:space="preserve">         (Army Review Boards)</w:t>
      </w:r>
      <w:bookmarkEnd w:id="0"/>
      <w:bookmarkEnd w:id="1"/>
    </w:p>
    <w:p w:rsidR="00BA0EDD" w:rsidRDefault="00BA0EDD" w:rsidP="00BA0EDD">
      <w:pPr>
        <w:jc w:val="left"/>
      </w:pPr>
    </w:p>
    <w:p w:rsidR="00BA0EDD" w:rsidRDefault="00BA0EDD" w:rsidP="00BA0EDD">
      <w:pPr>
        <w:jc w:val="left"/>
      </w:pPr>
      <w:r>
        <w:t xml:space="preserve">CF: </w:t>
      </w:r>
    </w:p>
    <w:p w:rsidR="00BA0EDD" w:rsidRDefault="00BA0EDD" w:rsidP="00BA0EDD">
      <w:pPr>
        <w:jc w:val="left"/>
      </w:pPr>
      <w:r>
        <w:t xml:space="preserve">(  ) </w:t>
      </w:r>
      <w:proofErr w:type="spellStart"/>
      <w:proofErr w:type="gramStart"/>
      <w:r>
        <w:t>DoD</w:t>
      </w:r>
      <w:proofErr w:type="spellEnd"/>
      <w:proofErr w:type="gramEnd"/>
      <w:r>
        <w:t xml:space="preserve"> PDBR</w:t>
      </w:r>
    </w:p>
    <w:p w:rsidR="00BA0EDD" w:rsidRDefault="00BA0EDD" w:rsidP="00BA0EDD">
      <w:pPr>
        <w:jc w:val="left"/>
      </w:pPr>
      <w:r>
        <w:t>(  ) DVA</w:t>
      </w:r>
    </w:p>
    <w:p w:rsidR="00AD2379" w:rsidRDefault="00AD2379" w:rsidP="00BA0EDD">
      <w:pPr>
        <w:tabs>
          <w:tab w:val="left" w:pos="0"/>
          <w:tab w:val="left" w:pos="4320"/>
        </w:tabs>
        <w:jc w:val="left"/>
        <w:rPr>
          <w:color w:val="auto"/>
        </w:rPr>
      </w:pP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541" w:rsidRDefault="00903541">
      <w:r>
        <w:separator/>
      </w:r>
    </w:p>
  </w:endnote>
  <w:endnote w:type="continuationSeparator" w:id="0">
    <w:p w:rsidR="00903541" w:rsidRDefault="00903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D" w:rsidRPr="00374247" w:rsidRDefault="00FC3DFD" w:rsidP="00726F84">
    <w:pPr>
      <w:pStyle w:val="Footer"/>
      <w:ind w:firstLine="4320"/>
      <w:rPr>
        <w:color w:val="auto"/>
      </w:rPr>
    </w:pPr>
    <w:r w:rsidRPr="00374247">
      <w:rPr>
        <w:color w:val="auto"/>
      </w:rPr>
      <w:t xml:space="preserve">   </w:t>
    </w:r>
    <w:fldSimple w:instr=" PAGE   \* MERGEFORMAT ">
      <w:r w:rsidR="00BA0EDD" w:rsidRPr="00BA0EDD">
        <w:rPr>
          <w:noProof/>
          <w:color w:val="auto"/>
        </w:rPr>
        <w:t>2</w:t>
      </w:r>
    </w:fldSimple>
    <w:r w:rsidRPr="00374247">
      <w:rPr>
        <w:color w:val="auto"/>
      </w:rPr>
      <w:t xml:space="preserve">                                                           </w:t>
    </w:r>
    <w:r w:rsidR="00D903F9">
      <w:rPr>
        <w:color w:val="auto"/>
      </w:rPr>
      <w:t>PD12</w:t>
    </w:r>
    <w:r w:rsidRPr="004846AC">
      <w:rPr>
        <w:color w:val="auto"/>
      </w:rPr>
      <w:t>00100</w:t>
    </w:r>
  </w:p>
  <w:p w:rsidR="00FC3DFD" w:rsidRPr="00684CE6" w:rsidRDefault="00FC3DF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541" w:rsidRDefault="00903541">
      <w:r>
        <w:separator/>
      </w:r>
    </w:p>
  </w:footnote>
  <w:footnote w:type="continuationSeparator" w:id="0">
    <w:p w:rsidR="00903541" w:rsidRDefault="00903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53"/>
    <w:rsid w:val="00051F89"/>
    <w:rsid w:val="00052234"/>
    <w:rsid w:val="00052BEC"/>
    <w:rsid w:val="00053D7C"/>
    <w:rsid w:val="000575C5"/>
    <w:rsid w:val="000577C9"/>
    <w:rsid w:val="00060C18"/>
    <w:rsid w:val="00060FFD"/>
    <w:rsid w:val="000613C4"/>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5FC1"/>
    <w:rsid w:val="0008708B"/>
    <w:rsid w:val="00092619"/>
    <w:rsid w:val="00092C66"/>
    <w:rsid w:val="00092CC9"/>
    <w:rsid w:val="00094375"/>
    <w:rsid w:val="000949DD"/>
    <w:rsid w:val="00094E4F"/>
    <w:rsid w:val="000954E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796"/>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6C1"/>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2E8"/>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9EE"/>
    <w:rsid w:val="00140FA4"/>
    <w:rsid w:val="00141BC9"/>
    <w:rsid w:val="001421FD"/>
    <w:rsid w:val="001425C8"/>
    <w:rsid w:val="00142EBA"/>
    <w:rsid w:val="00143AC7"/>
    <w:rsid w:val="00143B79"/>
    <w:rsid w:val="00145965"/>
    <w:rsid w:val="0014767E"/>
    <w:rsid w:val="00150B8A"/>
    <w:rsid w:val="00150DCB"/>
    <w:rsid w:val="00151906"/>
    <w:rsid w:val="00151912"/>
    <w:rsid w:val="0015366B"/>
    <w:rsid w:val="00153740"/>
    <w:rsid w:val="001537D8"/>
    <w:rsid w:val="00153D88"/>
    <w:rsid w:val="001541C5"/>
    <w:rsid w:val="001554E4"/>
    <w:rsid w:val="0015623F"/>
    <w:rsid w:val="00156585"/>
    <w:rsid w:val="00156BA9"/>
    <w:rsid w:val="00160728"/>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17BB"/>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499"/>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D7E6B"/>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2E24"/>
    <w:rsid w:val="002F478B"/>
    <w:rsid w:val="002F6AD8"/>
    <w:rsid w:val="002F7C06"/>
    <w:rsid w:val="002F7F81"/>
    <w:rsid w:val="003002AC"/>
    <w:rsid w:val="00300A36"/>
    <w:rsid w:val="00301B45"/>
    <w:rsid w:val="003029D5"/>
    <w:rsid w:val="0030433B"/>
    <w:rsid w:val="00304511"/>
    <w:rsid w:val="00305856"/>
    <w:rsid w:val="00305867"/>
    <w:rsid w:val="0030678B"/>
    <w:rsid w:val="00306D16"/>
    <w:rsid w:val="0030700A"/>
    <w:rsid w:val="00307595"/>
    <w:rsid w:val="00307DA6"/>
    <w:rsid w:val="00310CD7"/>
    <w:rsid w:val="00313710"/>
    <w:rsid w:val="00313C3A"/>
    <w:rsid w:val="00313D7A"/>
    <w:rsid w:val="00314517"/>
    <w:rsid w:val="003155FB"/>
    <w:rsid w:val="00320A16"/>
    <w:rsid w:val="0032136A"/>
    <w:rsid w:val="003219E5"/>
    <w:rsid w:val="003224D8"/>
    <w:rsid w:val="00322E8A"/>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895"/>
    <w:rsid w:val="00341A54"/>
    <w:rsid w:val="00344A4F"/>
    <w:rsid w:val="00344D17"/>
    <w:rsid w:val="0034669F"/>
    <w:rsid w:val="003470C4"/>
    <w:rsid w:val="00347D0D"/>
    <w:rsid w:val="00351498"/>
    <w:rsid w:val="00352B22"/>
    <w:rsid w:val="00352CBF"/>
    <w:rsid w:val="003530AA"/>
    <w:rsid w:val="003534DC"/>
    <w:rsid w:val="00354547"/>
    <w:rsid w:val="003549F5"/>
    <w:rsid w:val="00355ACB"/>
    <w:rsid w:val="003567DE"/>
    <w:rsid w:val="003574F3"/>
    <w:rsid w:val="00357831"/>
    <w:rsid w:val="003578FB"/>
    <w:rsid w:val="003604A5"/>
    <w:rsid w:val="0036114B"/>
    <w:rsid w:val="003618B6"/>
    <w:rsid w:val="0036199A"/>
    <w:rsid w:val="003620C8"/>
    <w:rsid w:val="00363087"/>
    <w:rsid w:val="0036319E"/>
    <w:rsid w:val="003632A4"/>
    <w:rsid w:val="00363362"/>
    <w:rsid w:val="0036392A"/>
    <w:rsid w:val="00364CAB"/>
    <w:rsid w:val="00365767"/>
    <w:rsid w:val="003659C0"/>
    <w:rsid w:val="00365A25"/>
    <w:rsid w:val="003660DF"/>
    <w:rsid w:val="003674A9"/>
    <w:rsid w:val="00367D4F"/>
    <w:rsid w:val="00370743"/>
    <w:rsid w:val="00370EF5"/>
    <w:rsid w:val="0037135B"/>
    <w:rsid w:val="003718CD"/>
    <w:rsid w:val="00371D00"/>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55A"/>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D39"/>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074"/>
    <w:rsid w:val="003C53E8"/>
    <w:rsid w:val="003C5B54"/>
    <w:rsid w:val="003C6068"/>
    <w:rsid w:val="003C6F13"/>
    <w:rsid w:val="003C7756"/>
    <w:rsid w:val="003C7AEC"/>
    <w:rsid w:val="003D2BA3"/>
    <w:rsid w:val="003D316B"/>
    <w:rsid w:val="003D3C22"/>
    <w:rsid w:val="003D3F2B"/>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04C"/>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15D"/>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2CC"/>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6AC"/>
    <w:rsid w:val="004848C3"/>
    <w:rsid w:val="00484BA9"/>
    <w:rsid w:val="00485727"/>
    <w:rsid w:val="0048599A"/>
    <w:rsid w:val="00486818"/>
    <w:rsid w:val="00487036"/>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1EF"/>
    <w:rsid w:val="004C47D5"/>
    <w:rsid w:val="004C4CAF"/>
    <w:rsid w:val="004C5E33"/>
    <w:rsid w:val="004C60A3"/>
    <w:rsid w:val="004C61EB"/>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2A93"/>
    <w:rsid w:val="00514449"/>
    <w:rsid w:val="005144A7"/>
    <w:rsid w:val="00514F03"/>
    <w:rsid w:val="00515419"/>
    <w:rsid w:val="005157BD"/>
    <w:rsid w:val="0051594B"/>
    <w:rsid w:val="005214A3"/>
    <w:rsid w:val="005222E7"/>
    <w:rsid w:val="00523488"/>
    <w:rsid w:val="00523A8B"/>
    <w:rsid w:val="00523E04"/>
    <w:rsid w:val="005240A4"/>
    <w:rsid w:val="00524D3A"/>
    <w:rsid w:val="00524ED7"/>
    <w:rsid w:val="00525003"/>
    <w:rsid w:val="0052590B"/>
    <w:rsid w:val="0052592B"/>
    <w:rsid w:val="00526503"/>
    <w:rsid w:val="00526591"/>
    <w:rsid w:val="00527178"/>
    <w:rsid w:val="00527618"/>
    <w:rsid w:val="005278CB"/>
    <w:rsid w:val="00530388"/>
    <w:rsid w:val="00530AED"/>
    <w:rsid w:val="00531DA0"/>
    <w:rsid w:val="00532B33"/>
    <w:rsid w:val="00532E9D"/>
    <w:rsid w:val="00533075"/>
    <w:rsid w:val="005334B4"/>
    <w:rsid w:val="00534D42"/>
    <w:rsid w:val="005350A5"/>
    <w:rsid w:val="00536044"/>
    <w:rsid w:val="00536379"/>
    <w:rsid w:val="00537238"/>
    <w:rsid w:val="00537E01"/>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1DF8"/>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4A2"/>
    <w:rsid w:val="0058039C"/>
    <w:rsid w:val="00580933"/>
    <w:rsid w:val="00580A63"/>
    <w:rsid w:val="00583379"/>
    <w:rsid w:val="0058417C"/>
    <w:rsid w:val="005854F9"/>
    <w:rsid w:val="00586EC6"/>
    <w:rsid w:val="00587DDE"/>
    <w:rsid w:val="005915EE"/>
    <w:rsid w:val="00593043"/>
    <w:rsid w:val="00595B60"/>
    <w:rsid w:val="00595B63"/>
    <w:rsid w:val="00595BF0"/>
    <w:rsid w:val="00596DCE"/>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267F"/>
    <w:rsid w:val="006036C2"/>
    <w:rsid w:val="00605AAB"/>
    <w:rsid w:val="00606BEB"/>
    <w:rsid w:val="00607AC8"/>
    <w:rsid w:val="0061010C"/>
    <w:rsid w:val="0061014A"/>
    <w:rsid w:val="0061054B"/>
    <w:rsid w:val="006110FB"/>
    <w:rsid w:val="006114BB"/>
    <w:rsid w:val="00612625"/>
    <w:rsid w:val="00612FB0"/>
    <w:rsid w:val="0061356D"/>
    <w:rsid w:val="00613E26"/>
    <w:rsid w:val="00615382"/>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04E1"/>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B55"/>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D80"/>
    <w:rsid w:val="006F0F9C"/>
    <w:rsid w:val="006F0FC8"/>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7CD"/>
    <w:rsid w:val="00707ECE"/>
    <w:rsid w:val="00710CE8"/>
    <w:rsid w:val="00711350"/>
    <w:rsid w:val="00711538"/>
    <w:rsid w:val="007116BC"/>
    <w:rsid w:val="00711961"/>
    <w:rsid w:val="00711CA6"/>
    <w:rsid w:val="00713DA0"/>
    <w:rsid w:val="007165CE"/>
    <w:rsid w:val="00717CEB"/>
    <w:rsid w:val="0072035D"/>
    <w:rsid w:val="00720968"/>
    <w:rsid w:val="00720EC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4B"/>
    <w:rsid w:val="00773AF7"/>
    <w:rsid w:val="00773C45"/>
    <w:rsid w:val="00774FFD"/>
    <w:rsid w:val="00780378"/>
    <w:rsid w:val="0078085E"/>
    <w:rsid w:val="00780EF6"/>
    <w:rsid w:val="00781BD4"/>
    <w:rsid w:val="00782562"/>
    <w:rsid w:val="007828B4"/>
    <w:rsid w:val="00782CC1"/>
    <w:rsid w:val="00784832"/>
    <w:rsid w:val="00784EA0"/>
    <w:rsid w:val="007856FD"/>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ADA"/>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2F89"/>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0A"/>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2EA"/>
    <w:rsid w:val="00803850"/>
    <w:rsid w:val="008039E8"/>
    <w:rsid w:val="00804385"/>
    <w:rsid w:val="00804E0E"/>
    <w:rsid w:val="008051EB"/>
    <w:rsid w:val="0080588E"/>
    <w:rsid w:val="00805AFD"/>
    <w:rsid w:val="00806397"/>
    <w:rsid w:val="008078D8"/>
    <w:rsid w:val="0080798E"/>
    <w:rsid w:val="00810A76"/>
    <w:rsid w:val="00811BD9"/>
    <w:rsid w:val="00811D5B"/>
    <w:rsid w:val="008129E9"/>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838"/>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28A6"/>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4B99"/>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469B"/>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00F0"/>
    <w:rsid w:val="008C22F3"/>
    <w:rsid w:val="008C3223"/>
    <w:rsid w:val="008C3FD0"/>
    <w:rsid w:val="008C4F01"/>
    <w:rsid w:val="008C5152"/>
    <w:rsid w:val="008C710E"/>
    <w:rsid w:val="008C74E2"/>
    <w:rsid w:val="008D1484"/>
    <w:rsid w:val="008D29E7"/>
    <w:rsid w:val="008D5104"/>
    <w:rsid w:val="008D75F4"/>
    <w:rsid w:val="008D795D"/>
    <w:rsid w:val="008D7B07"/>
    <w:rsid w:val="008E0D8F"/>
    <w:rsid w:val="008E0F40"/>
    <w:rsid w:val="008E0F4E"/>
    <w:rsid w:val="008E1E94"/>
    <w:rsid w:val="008E2D99"/>
    <w:rsid w:val="008E30D4"/>
    <w:rsid w:val="008E38B0"/>
    <w:rsid w:val="008E3C90"/>
    <w:rsid w:val="008E4A60"/>
    <w:rsid w:val="008E744D"/>
    <w:rsid w:val="008F1E08"/>
    <w:rsid w:val="008F2A08"/>
    <w:rsid w:val="008F30F4"/>
    <w:rsid w:val="008F58E1"/>
    <w:rsid w:val="008F6E05"/>
    <w:rsid w:val="008F6FC8"/>
    <w:rsid w:val="009001FA"/>
    <w:rsid w:val="0090045D"/>
    <w:rsid w:val="00900906"/>
    <w:rsid w:val="00900D8F"/>
    <w:rsid w:val="00901229"/>
    <w:rsid w:val="009014E3"/>
    <w:rsid w:val="009017CE"/>
    <w:rsid w:val="009020ED"/>
    <w:rsid w:val="009026E8"/>
    <w:rsid w:val="009029D7"/>
    <w:rsid w:val="00902FDD"/>
    <w:rsid w:val="00903541"/>
    <w:rsid w:val="00905EA6"/>
    <w:rsid w:val="00905EEF"/>
    <w:rsid w:val="00906919"/>
    <w:rsid w:val="00906EB7"/>
    <w:rsid w:val="00907FE6"/>
    <w:rsid w:val="009102BF"/>
    <w:rsid w:val="00911490"/>
    <w:rsid w:val="009115F2"/>
    <w:rsid w:val="00911B11"/>
    <w:rsid w:val="0091242B"/>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678BA"/>
    <w:rsid w:val="00971810"/>
    <w:rsid w:val="00972266"/>
    <w:rsid w:val="00972996"/>
    <w:rsid w:val="009730B4"/>
    <w:rsid w:val="0097320E"/>
    <w:rsid w:val="009732B8"/>
    <w:rsid w:val="00974647"/>
    <w:rsid w:val="0097514A"/>
    <w:rsid w:val="009759C2"/>
    <w:rsid w:val="00975C72"/>
    <w:rsid w:val="0097651E"/>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0B27"/>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29F4"/>
    <w:rsid w:val="009D3652"/>
    <w:rsid w:val="009D37CA"/>
    <w:rsid w:val="009D4229"/>
    <w:rsid w:val="009D4268"/>
    <w:rsid w:val="009D50C4"/>
    <w:rsid w:val="009D5DE9"/>
    <w:rsid w:val="009E09D0"/>
    <w:rsid w:val="009E0C9F"/>
    <w:rsid w:val="009E1181"/>
    <w:rsid w:val="009E1283"/>
    <w:rsid w:val="009E3A7F"/>
    <w:rsid w:val="009E4C9B"/>
    <w:rsid w:val="009E4DFC"/>
    <w:rsid w:val="009E5789"/>
    <w:rsid w:val="009E57B1"/>
    <w:rsid w:val="009E6379"/>
    <w:rsid w:val="009F020F"/>
    <w:rsid w:val="009F06E4"/>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AF9"/>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2FE2"/>
    <w:rsid w:val="00A361A2"/>
    <w:rsid w:val="00A36444"/>
    <w:rsid w:val="00A36CD4"/>
    <w:rsid w:val="00A40356"/>
    <w:rsid w:val="00A40FFB"/>
    <w:rsid w:val="00A41468"/>
    <w:rsid w:val="00A414A9"/>
    <w:rsid w:val="00A44141"/>
    <w:rsid w:val="00A44886"/>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636"/>
    <w:rsid w:val="00A717EA"/>
    <w:rsid w:val="00A730B0"/>
    <w:rsid w:val="00A7387A"/>
    <w:rsid w:val="00A73B84"/>
    <w:rsid w:val="00A7411D"/>
    <w:rsid w:val="00A756C4"/>
    <w:rsid w:val="00A7592B"/>
    <w:rsid w:val="00A75ED7"/>
    <w:rsid w:val="00A76094"/>
    <w:rsid w:val="00A768E2"/>
    <w:rsid w:val="00A77361"/>
    <w:rsid w:val="00A82C52"/>
    <w:rsid w:val="00A838E8"/>
    <w:rsid w:val="00A83C15"/>
    <w:rsid w:val="00A84EC4"/>
    <w:rsid w:val="00A86530"/>
    <w:rsid w:val="00A86CB6"/>
    <w:rsid w:val="00A906E9"/>
    <w:rsid w:val="00A90D55"/>
    <w:rsid w:val="00A91E6C"/>
    <w:rsid w:val="00A9225E"/>
    <w:rsid w:val="00A923F8"/>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7B31"/>
    <w:rsid w:val="00AC0C1C"/>
    <w:rsid w:val="00AC1305"/>
    <w:rsid w:val="00AC37BE"/>
    <w:rsid w:val="00AC439D"/>
    <w:rsid w:val="00AC4BA1"/>
    <w:rsid w:val="00AC5522"/>
    <w:rsid w:val="00AC62CC"/>
    <w:rsid w:val="00AC712C"/>
    <w:rsid w:val="00AC713F"/>
    <w:rsid w:val="00AC7329"/>
    <w:rsid w:val="00AC7D96"/>
    <w:rsid w:val="00AD00E4"/>
    <w:rsid w:val="00AD067E"/>
    <w:rsid w:val="00AD0A95"/>
    <w:rsid w:val="00AD168B"/>
    <w:rsid w:val="00AD1B4E"/>
    <w:rsid w:val="00AD2379"/>
    <w:rsid w:val="00AD2801"/>
    <w:rsid w:val="00AD3496"/>
    <w:rsid w:val="00AD426A"/>
    <w:rsid w:val="00AD49A1"/>
    <w:rsid w:val="00AD5771"/>
    <w:rsid w:val="00AD6870"/>
    <w:rsid w:val="00AD68C5"/>
    <w:rsid w:val="00AD7D64"/>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6E5"/>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584"/>
    <w:rsid w:val="00B24ED4"/>
    <w:rsid w:val="00B24F33"/>
    <w:rsid w:val="00B26354"/>
    <w:rsid w:val="00B26CA0"/>
    <w:rsid w:val="00B300BD"/>
    <w:rsid w:val="00B31965"/>
    <w:rsid w:val="00B3214F"/>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16"/>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7EA6"/>
    <w:rsid w:val="00B91676"/>
    <w:rsid w:val="00B930B6"/>
    <w:rsid w:val="00B9322B"/>
    <w:rsid w:val="00B93640"/>
    <w:rsid w:val="00B94023"/>
    <w:rsid w:val="00B955D5"/>
    <w:rsid w:val="00B95833"/>
    <w:rsid w:val="00BA0EDD"/>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E7489"/>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17FFD"/>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377E"/>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5181"/>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32E"/>
    <w:rsid w:val="00CA1C73"/>
    <w:rsid w:val="00CA282D"/>
    <w:rsid w:val="00CA3F73"/>
    <w:rsid w:val="00CA4670"/>
    <w:rsid w:val="00CA5F89"/>
    <w:rsid w:val="00CA6B1A"/>
    <w:rsid w:val="00CA720B"/>
    <w:rsid w:val="00CB14E5"/>
    <w:rsid w:val="00CB1B18"/>
    <w:rsid w:val="00CB20DC"/>
    <w:rsid w:val="00CB23DC"/>
    <w:rsid w:val="00CB2487"/>
    <w:rsid w:val="00CB28E2"/>
    <w:rsid w:val="00CB2F20"/>
    <w:rsid w:val="00CB3395"/>
    <w:rsid w:val="00CB3F63"/>
    <w:rsid w:val="00CB5801"/>
    <w:rsid w:val="00CB6780"/>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46D7"/>
    <w:rsid w:val="00CE61A9"/>
    <w:rsid w:val="00CE683E"/>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7C"/>
    <w:rsid w:val="00D237E7"/>
    <w:rsid w:val="00D23DE4"/>
    <w:rsid w:val="00D25A5C"/>
    <w:rsid w:val="00D26873"/>
    <w:rsid w:val="00D27C99"/>
    <w:rsid w:val="00D31683"/>
    <w:rsid w:val="00D3308A"/>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38"/>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03F9"/>
    <w:rsid w:val="00D91040"/>
    <w:rsid w:val="00D910C2"/>
    <w:rsid w:val="00D9168C"/>
    <w:rsid w:val="00D9189B"/>
    <w:rsid w:val="00D91B08"/>
    <w:rsid w:val="00D91DA6"/>
    <w:rsid w:val="00D920F0"/>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4D61"/>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5A4"/>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C4E"/>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2DE7"/>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2DB"/>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250B"/>
    <w:rsid w:val="00E738CB"/>
    <w:rsid w:val="00E73C88"/>
    <w:rsid w:val="00E73E21"/>
    <w:rsid w:val="00E74437"/>
    <w:rsid w:val="00E7443D"/>
    <w:rsid w:val="00E74E0C"/>
    <w:rsid w:val="00E75ACE"/>
    <w:rsid w:val="00E771AF"/>
    <w:rsid w:val="00E80386"/>
    <w:rsid w:val="00E807F1"/>
    <w:rsid w:val="00E809C3"/>
    <w:rsid w:val="00E81241"/>
    <w:rsid w:val="00E814D4"/>
    <w:rsid w:val="00E81A1A"/>
    <w:rsid w:val="00E81C3E"/>
    <w:rsid w:val="00E82359"/>
    <w:rsid w:val="00E823F9"/>
    <w:rsid w:val="00E82548"/>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2D3D"/>
    <w:rsid w:val="00EB3117"/>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6E5"/>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3F2F"/>
    <w:rsid w:val="00EE48BB"/>
    <w:rsid w:val="00EE6580"/>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A00"/>
    <w:rsid w:val="00F11EBE"/>
    <w:rsid w:val="00F12293"/>
    <w:rsid w:val="00F12B00"/>
    <w:rsid w:val="00F12BA8"/>
    <w:rsid w:val="00F12D7A"/>
    <w:rsid w:val="00F130D0"/>
    <w:rsid w:val="00F13AC6"/>
    <w:rsid w:val="00F14933"/>
    <w:rsid w:val="00F1516A"/>
    <w:rsid w:val="00F15483"/>
    <w:rsid w:val="00F15EE5"/>
    <w:rsid w:val="00F171F9"/>
    <w:rsid w:val="00F1737C"/>
    <w:rsid w:val="00F173AA"/>
    <w:rsid w:val="00F17DC6"/>
    <w:rsid w:val="00F20DA4"/>
    <w:rsid w:val="00F22A26"/>
    <w:rsid w:val="00F2361E"/>
    <w:rsid w:val="00F24072"/>
    <w:rsid w:val="00F26432"/>
    <w:rsid w:val="00F3197A"/>
    <w:rsid w:val="00F32139"/>
    <w:rsid w:val="00F33C27"/>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0DAA"/>
    <w:rsid w:val="00F611B3"/>
    <w:rsid w:val="00F6196E"/>
    <w:rsid w:val="00F61C23"/>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5F77"/>
    <w:rsid w:val="00F90376"/>
    <w:rsid w:val="00F908D5"/>
    <w:rsid w:val="00F912A0"/>
    <w:rsid w:val="00F913B9"/>
    <w:rsid w:val="00F91B14"/>
    <w:rsid w:val="00F93C74"/>
    <w:rsid w:val="00F93DCC"/>
    <w:rsid w:val="00F93EA6"/>
    <w:rsid w:val="00F9435D"/>
    <w:rsid w:val="00F966F9"/>
    <w:rsid w:val="00F96A64"/>
    <w:rsid w:val="00F96F61"/>
    <w:rsid w:val="00F97740"/>
    <w:rsid w:val="00FA0C8F"/>
    <w:rsid w:val="00FA1F21"/>
    <w:rsid w:val="00FA24F2"/>
    <w:rsid w:val="00FA2DEF"/>
    <w:rsid w:val="00FA2F7B"/>
    <w:rsid w:val="00FA3C90"/>
    <w:rsid w:val="00FA3C97"/>
    <w:rsid w:val="00FA3D30"/>
    <w:rsid w:val="00FA477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690"/>
    <w:rsid w:val="00FC2A13"/>
    <w:rsid w:val="00FC3DDD"/>
    <w:rsid w:val="00FC3DFD"/>
    <w:rsid w:val="00FC4284"/>
    <w:rsid w:val="00FC4576"/>
    <w:rsid w:val="00FC494C"/>
    <w:rsid w:val="00FC5FF5"/>
    <w:rsid w:val="00FC6285"/>
    <w:rsid w:val="00FC78FB"/>
    <w:rsid w:val="00FC7DBC"/>
    <w:rsid w:val="00FD076A"/>
    <w:rsid w:val="00FD0AA0"/>
    <w:rsid w:val="00FD1D5A"/>
    <w:rsid w:val="00FD351D"/>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 w:val="00FF6D6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paragraph" w:styleId="Heading2">
    <w:name w:val="heading 2"/>
    <w:basedOn w:val="Normal"/>
    <w:link w:val="Heading2Char"/>
    <w:uiPriority w:val="9"/>
    <w:qFormat/>
    <w:rsid w:val="009F06E4"/>
    <w:pPr>
      <w:spacing w:before="100" w:beforeAutospacing="1" w:after="100" w:afterAutospacing="1" w:line="240" w:lineRule="auto"/>
      <w:jc w:val="left"/>
      <w:outlineLvl w:val="1"/>
    </w:pPr>
    <w:rPr>
      <w:rFonts w:ascii="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9F06E4"/>
    <w:rPr>
      <w:rFonts w:ascii="Times New Roman" w:hAnsi="Times New Roman" w:cs="Times New Roman"/>
      <w:b/>
      <w:bCs/>
      <w:sz w:val="36"/>
      <w:szCs w:val="36"/>
    </w:rPr>
  </w:style>
  <w:style w:type="paragraph" w:styleId="NormalWeb">
    <w:name w:val="Normal (Web)"/>
    <w:basedOn w:val="Normal"/>
    <w:uiPriority w:val="99"/>
    <w:semiHidden/>
    <w:unhideWhenUsed/>
    <w:rsid w:val="009F06E4"/>
    <w:pPr>
      <w:spacing w:before="100" w:beforeAutospacing="1" w:after="100" w:afterAutospacing="1" w:line="240" w:lineRule="auto"/>
      <w:jc w:val="left"/>
    </w:pPr>
    <w:rPr>
      <w:rFonts w:ascii="Times New Roman" w:hAnsi="Times New Roman" w:cs="Times New Roman"/>
      <w:color w:val="auto"/>
      <w:szCs w:val="24"/>
    </w:rPr>
  </w:style>
  <w:style w:type="character" w:customStyle="1" w:styleId="mw-headline">
    <w:name w:val="mw-headline"/>
    <w:basedOn w:val="DefaultParagraphFont"/>
    <w:rsid w:val="009F06E4"/>
  </w:style>
</w:styles>
</file>

<file path=word/webSettings.xml><?xml version="1.0" encoding="utf-8"?>
<w:webSettings xmlns:r="http://schemas.openxmlformats.org/officeDocument/2006/relationships" xmlns:w="http://schemas.openxmlformats.org/wordprocessingml/2006/main">
  <w:divs>
    <w:div w:id="473256703">
      <w:bodyDiv w:val="1"/>
      <w:marLeft w:val="0"/>
      <w:marRight w:val="0"/>
      <w:marTop w:val="0"/>
      <w:marBottom w:val="0"/>
      <w:divBdr>
        <w:top w:val="none" w:sz="0" w:space="0" w:color="auto"/>
        <w:left w:val="none" w:sz="0" w:space="0" w:color="auto"/>
        <w:bottom w:val="none" w:sz="0" w:space="0" w:color="auto"/>
        <w:right w:val="none" w:sz="0" w:space="0" w:color="auto"/>
      </w:divBdr>
      <w:divsChild>
        <w:div w:id="2145586157">
          <w:marLeft w:val="0"/>
          <w:marRight w:val="0"/>
          <w:marTop w:val="0"/>
          <w:marBottom w:val="0"/>
          <w:divBdr>
            <w:top w:val="none" w:sz="0" w:space="0" w:color="auto"/>
            <w:left w:val="none" w:sz="0" w:space="0" w:color="auto"/>
            <w:bottom w:val="none" w:sz="0" w:space="0" w:color="auto"/>
            <w:right w:val="none" w:sz="0" w:space="0" w:color="auto"/>
          </w:divBdr>
          <w:divsChild>
            <w:div w:id="511186345">
              <w:marLeft w:val="0"/>
              <w:marRight w:val="0"/>
              <w:marTop w:val="0"/>
              <w:marBottom w:val="0"/>
              <w:divBdr>
                <w:top w:val="none" w:sz="0" w:space="0" w:color="auto"/>
                <w:left w:val="none" w:sz="0" w:space="0" w:color="auto"/>
                <w:bottom w:val="none" w:sz="0" w:space="0" w:color="auto"/>
                <w:right w:val="none" w:sz="0" w:space="0" w:color="auto"/>
              </w:divBdr>
              <w:divsChild>
                <w:div w:id="3338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5965">
      <w:bodyDiv w:val="1"/>
      <w:marLeft w:val="0"/>
      <w:marRight w:val="0"/>
      <w:marTop w:val="0"/>
      <w:marBottom w:val="0"/>
      <w:divBdr>
        <w:top w:val="none" w:sz="0" w:space="0" w:color="auto"/>
        <w:left w:val="none" w:sz="0" w:space="0" w:color="auto"/>
        <w:bottom w:val="none" w:sz="0" w:space="0" w:color="auto"/>
        <w:right w:val="none" w:sz="0" w:space="0" w:color="auto"/>
      </w:divBdr>
      <w:divsChild>
        <w:div w:id="1391071815">
          <w:marLeft w:val="0"/>
          <w:marRight w:val="0"/>
          <w:marTop w:val="0"/>
          <w:marBottom w:val="0"/>
          <w:divBdr>
            <w:top w:val="none" w:sz="0" w:space="0" w:color="auto"/>
            <w:left w:val="none" w:sz="0" w:space="0" w:color="auto"/>
            <w:bottom w:val="none" w:sz="0" w:space="0" w:color="auto"/>
            <w:right w:val="none" w:sz="0" w:space="0" w:color="auto"/>
          </w:divBdr>
          <w:divsChild>
            <w:div w:id="1277100571">
              <w:marLeft w:val="0"/>
              <w:marRight w:val="0"/>
              <w:marTop w:val="0"/>
              <w:marBottom w:val="0"/>
              <w:divBdr>
                <w:top w:val="none" w:sz="0" w:space="0" w:color="auto"/>
                <w:left w:val="none" w:sz="0" w:space="0" w:color="auto"/>
                <w:bottom w:val="none" w:sz="0" w:space="0" w:color="auto"/>
                <w:right w:val="none" w:sz="0" w:space="0" w:color="auto"/>
              </w:divBdr>
              <w:divsChild>
                <w:div w:id="666641036">
                  <w:marLeft w:val="0"/>
                  <w:marRight w:val="0"/>
                  <w:marTop w:val="0"/>
                  <w:marBottom w:val="0"/>
                  <w:divBdr>
                    <w:top w:val="none" w:sz="0" w:space="0" w:color="auto"/>
                    <w:left w:val="none" w:sz="0" w:space="0" w:color="auto"/>
                    <w:bottom w:val="none" w:sz="0" w:space="0" w:color="auto"/>
                    <w:right w:val="none" w:sz="0" w:space="0" w:color="auto"/>
                  </w:divBdr>
                </w:div>
                <w:div w:id="324431258">
                  <w:marLeft w:val="0"/>
                  <w:marRight w:val="0"/>
                  <w:marTop w:val="0"/>
                  <w:marBottom w:val="0"/>
                  <w:divBdr>
                    <w:top w:val="none" w:sz="0" w:space="0" w:color="auto"/>
                    <w:left w:val="none" w:sz="0" w:space="0" w:color="auto"/>
                    <w:bottom w:val="none" w:sz="0" w:space="0" w:color="auto"/>
                    <w:right w:val="none" w:sz="0" w:space="0" w:color="auto"/>
                  </w:divBdr>
                  <w:divsChild>
                    <w:div w:id="1619219689">
                      <w:marLeft w:val="0"/>
                      <w:marRight w:val="0"/>
                      <w:marTop w:val="0"/>
                      <w:marBottom w:val="0"/>
                      <w:divBdr>
                        <w:top w:val="none" w:sz="0" w:space="0" w:color="auto"/>
                        <w:left w:val="none" w:sz="0" w:space="0" w:color="auto"/>
                        <w:bottom w:val="none" w:sz="0" w:space="0" w:color="auto"/>
                        <w:right w:val="none" w:sz="0" w:space="0" w:color="auto"/>
                      </w:divBdr>
                      <w:divsChild>
                        <w:div w:id="1241870913">
                          <w:marLeft w:val="0"/>
                          <w:marRight w:val="0"/>
                          <w:marTop w:val="0"/>
                          <w:marBottom w:val="122"/>
                          <w:divBdr>
                            <w:top w:val="single" w:sz="2" w:space="3" w:color="DCD9D9"/>
                            <w:left w:val="single" w:sz="2" w:space="5" w:color="DCD9D9"/>
                            <w:bottom w:val="single" w:sz="2" w:space="3" w:color="DCD9D9"/>
                            <w:right w:val="single" w:sz="2" w:space="12" w:color="DCD9D9"/>
                          </w:divBdr>
                          <w:divsChild>
                            <w:div w:id="1439645402">
                              <w:marLeft w:val="0"/>
                              <w:marRight w:val="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7512">
      <w:bodyDiv w:val="1"/>
      <w:marLeft w:val="0"/>
      <w:marRight w:val="0"/>
      <w:marTop w:val="0"/>
      <w:marBottom w:val="0"/>
      <w:divBdr>
        <w:top w:val="none" w:sz="0" w:space="0" w:color="auto"/>
        <w:left w:val="none" w:sz="0" w:space="0" w:color="auto"/>
        <w:bottom w:val="none" w:sz="0" w:space="0" w:color="auto"/>
        <w:right w:val="none" w:sz="0" w:space="0" w:color="auto"/>
      </w:divBdr>
    </w:div>
    <w:div w:id="1123156257">
      <w:bodyDiv w:val="1"/>
      <w:marLeft w:val="0"/>
      <w:marRight w:val="0"/>
      <w:marTop w:val="0"/>
      <w:marBottom w:val="0"/>
      <w:divBdr>
        <w:top w:val="none" w:sz="0" w:space="0" w:color="auto"/>
        <w:left w:val="none" w:sz="0" w:space="0" w:color="auto"/>
        <w:bottom w:val="none" w:sz="0" w:space="0" w:color="auto"/>
        <w:right w:val="none" w:sz="0" w:space="0" w:color="auto"/>
      </w:divBdr>
      <w:divsChild>
        <w:div w:id="1097755847">
          <w:marLeft w:val="0"/>
          <w:marRight w:val="0"/>
          <w:marTop w:val="0"/>
          <w:marBottom w:val="0"/>
          <w:divBdr>
            <w:top w:val="none" w:sz="0" w:space="0" w:color="auto"/>
            <w:left w:val="none" w:sz="0" w:space="0" w:color="auto"/>
            <w:bottom w:val="none" w:sz="0" w:space="0" w:color="auto"/>
            <w:right w:val="none" w:sz="0" w:space="0" w:color="auto"/>
          </w:divBdr>
          <w:divsChild>
            <w:div w:id="923496808">
              <w:marLeft w:val="0"/>
              <w:marRight w:val="0"/>
              <w:marTop w:val="0"/>
              <w:marBottom w:val="0"/>
              <w:divBdr>
                <w:top w:val="none" w:sz="0" w:space="0" w:color="auto"/>
                <w:left w:val="none" w:sz="0" w:space="0" w:color="auto"/>
                <w:bottom w:val="none" w:sz="0" w:space="0" w:color="auto"/>
                <w:right w:val="none" w:sz="0" w:space="0" w:color="auto"/>
              </w:divBdr>
              <w:divsChild>
                <w:div w:id="18410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37613">
      <w:bodyDiv w:val="1"/>
      <w:marLeft w:val="0"/>
      <w:marRight w:val="0"/>
      <w:marTop w:val="0"/>
      <w:marBottom w:val="0"/>
      <w:divBdr>
        <w:top w:val="none" w:sz="0" w:space="0" w:color="auto"/>
        <w:left w:val="none" w:sz="0" w:space="0" w:color="auto"/>
        <w:bottom w:val="none" w:sz="0" w:space="0" w:color="auto"/>
        <w:right w:val="none" w:sz="0" w:space="0" w:color="auto"/>
      </w:divBdr>
      <w:divsChild>
        <w:div w:id="396129371">
          <w:marLeft w:val="0"/>
          <w:marRight w:val="0"/>
          <w:marTop w:val="0"/>
          <w:marBottom w:val="0"/>
          <w:divBdr>
            <w:top w:val="none" w:sz="0" w:space="0" w:color="auto"/>
            <w:left w:val="none" w:sz="0" w:space="0" w:color="auto"/>
            <w:bottom w:val="none" w:sz="0" w:space="0" w:color="auto"/>
            <w:right w:val="none" w:sz="0" w:space="0" w:color="auto"/>
          </w:divBdr>
          <w:divsChild>
            <w:div w:id="1666013828">
              <w:marLeft w:val="0"/>
              <w:marRight w:val="0"/>
              <w:marTop w:val="0"/>
              <w:marBottom w:val="0"/>
              <w:divBdr>
                <w:top w:val="none" w:sz="0" w:space="0" w:color="auto"/>
                <w:left w:val="none" w:sz="0" w:space="0" w:color="auto"/>
                <w:bottom w:val="none" w:sz="0" w:space="0" w:color="auto"/>
                <w:right w:val="none" w:sz="0" w:space="0" w:color="auto"/>
              </w:divBdr>
              <w:divsChild>
                <w:div w:id="13602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61FC-A34C-4FEE-8DC7-CFC3E6AA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2012-09-11T14:45:00Z</dcterms:created>
  <dcterms:modified xsi:type="dcterms:W3CDTF">2012-09-11T14:45:00Z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