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07752E">
        <w:rPr>
          <w:caps/>
          <w:color w:val="auto"/>
        </w:rPr>
        <w:t>XXXXXXXXXX</w:t>
      </w:r>
      <w:r w:rsidR="00B8692C">
        <w:rPr>
          <w:caps/>
          <w:color w:val="auto"/>
        </w:rPr>
        <w:t xml:space="preserve">                                                                         </w:t>
      </w:r>
      <w:r w:rsidRPr="00F64312">
        <w:rPr>
          <w:caps/>
          <w:color w:val="auto"/>
        </w:rPr>
        <w:t>BRANCH OF SERVICE</w:t>
      </w:r>
      <w:r w:rsidRPr="00BA1D57">
        <w:rPr>
          <w:caps/>
          <w:color w:val="auto"/>
        </w:rPr>
        <w:t xml:space="preserve">:  </w:t>
      </w:r>
      <w:r w:rsidR="0018208F" w:rsidRPr="00BA1D57">
        <w:rPr>
          <w:caps/>
          <w:color w:val="auto"/>
        </w:rPr>
        <w:t xml:space="preserve"> </w:t>
      </w:r>
      <w:r w:rsidR="00DF70F4" w:rsidRPr="00BA1D57">
        <w:rPr>
          <w:caps/>
          <w:color w:val="auto"/>
        </w:rPr>
        <w:t>Army</w:t>
      </w:r>
    </w:p>
    <w:p w:rsidR="0095270D" w:rsidRPr="00F64312" w:rsidRDefault="0095270D" w:rsidP="00DD5558">
      <w:pPr>
        <w:tabs>
          <w:tab w:val="right" w:pos="9360"/>
        </w:tabs>
        <w:jc w:val="both"/>
        <w:rPr>
          <w:color w:val="auto"/>
        </w:rPr>
      </w:pPr>
      <w:r w:rsidRPr="00F64312">
        <w:rPr>
          <w:caps/>
          <w:color w:val="auto"/>
        </w:rPr>
        <w:t xml:space="preserve">CASE NUMBER:  </w:t>
      </w:r>
      <w:r w:rsidRPr="00AB6332">
        <w:rPr>
          <w:caps/>
          <w:color w:val="auto"/>
        </w:rPr>
        <w:t>PD</w:t>
      </w:r>
      <w:r w:rsidR="001657BE" w:rsidRPr="00AB6332">
        <w:rPr>
          <w:caps/>
          <w:color w:val="auto"/>
        </w:rPr>
        <w:t>12</w:t>
      </w:r>
      <w:r w:rsidRPr="00AB6332">
        <w:rPr>
          <w:caps/>
          <w:color w:val="auto"/>
        </w:rPr>
        <w:t>00</w:t>
      </w:r>
      <w:r w:rsidR="00AB6332" w:rsidRPr="00AB6332">
        <w:rPr>
          <w:caps/>
          <w:color w:val="auto"/>
        </w:rPr>
        <w:t>093</w:t>
      </w:r>
      <w:r w:rsidR="00DD5558">
        <w:rPr>
          <w:color w:val="auto"/>
        </w:rPr>
        <w:tab/>
      </w:r>
      <w:r w:rsidR="0018208F" w:rsidRPr="00F64312">
        <w:rPr>
          <w:color w:val="auto"/>
        </w:rPr>
        <w:t>SE</w:t>
      </w:r>
      <w:r w:rsidRPr="00F64312">
        <w:rPr>
          <w:color w:val="auto"/>
        </w:rPr>
        <w:t xml:space="preserve">PARATION DATE:  </w:t>
      </w:r>
      <w:r w:rsidRPr="00F27F07">
        <w:rPr>
          <w:color w:val="auto"/>
        </w:rPr>
        <w:t>200</w:t>
      </w:r>
      <w:r w:rsidR="00742460" w:rsidRPr="00F27F07">
        <w:rPr>
          <w:color w:val="auto"/>
        </w:rPr>
        <w:t>80215</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F27F07">
        <w:rPr>
          <w:caps/>
          <w:color w:val="auto"/>
        </w:rPr>
        <w:t>0816</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E970F6" w:rsidRPr="00E970F6" w:rsidRDefault="00AD2379" w:rsidP="00E970F6">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BA1D57">
        <w:rPr>
          <w:color w:val="auto"/>
        </w:rPr>
        <w:t>active duty</w:t>
      </w:r>
      <w:r w:rsidRPr="00BA1D57">
        <w:rPr>
          <w:color w:val="auto"/>
        </w:rPr>
        <w:t xml:space="preserve"> </w:t>
      </w:r>
      <w:r w:rsidR="0017172C" w:rsidRPr="00BA1D57">
        <w:rPr>
          <w:color w:val="auto"/>
        </w:rPr>
        <w:t>SGT/E-5</w:t>
      </w:r>
      <w:r w:rsidRPr="00BA1D57">
        <w:rPr>
          <w:color w:val="auto"/>
        </w:rPr>
        <w:t xml:space="preserve"> (</w:t>
      </w:r>
      <w:r w:rsidR="00BA1D57" w:rsidRPr="00BA1D57">
        <w:rPr>
          <w:color w:val="auto"/>
        </w:rPr>
        <w:t>19D</w:t>
      </w:r>
      <w:r w:rsidR="00B8692C">
        <w:rPr>
          <w:color w:val="auto"/>
        </w:rPr>
        <w:t>/</w:t>
      </w:r>
      <w:r w:rsidR="00BA1D57" w:rsidRPr="00F27F07">
        <w:rPr>
          <w:color w:val="auto"/>
        </w:rPr>
        <w:t>Cavalry Scout</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BA1D57">
        <w:rPr>
          <w:color w:val="auto"/>
        </w:rPr>
        <w:t>bilateral patellofemoral pain syndrome</w:t>
      </w:r>
      <w:r w:rsidR="0021565F" w:rsidRPr="00F64312">
        <w:rPr>
          <w:color w:val="auto"/>
          <w:szCs w:val="24"/>
        </w:rPr>
        <w:t>.</w:t>
      </w:r>
      <w:r w:rsidR="006E5D69">
        <w:rPr>
          <w:color w:val="auto"/>
          <w:szCs w:val="24"/>
        </w:rPr>
        <w:t xml:space="preserve">  </w:t>
      </w:r>
      <w:r w:rsidR="0035057A" w:rsidRPr="006E5D69">
        <w:rPr>
          <w:color w:val="auto"/>
        </w:rPr>
        <w:t>The condition was not a result of injury or associated with a surgical indication.</w:t>
      </w:r>
      <w:r w:rsidR="002143E5" w:rsidRPr="00F64312">
        <w:rPr>
          <w:color w:val="auto"/>
        </w:rPr>
        <w:t xml:space="preserve">  </w:t>
      </w:r>
      <w:r w:rsidR="006E5D69">
        <w:rPr>
          <w:color w:val="auto"/>
        </w:rPr>
        <w:t>T</w:t>
      </w:r>
      <w:r w:rsidR="00F15483" w:rsidRPr="006E5D69">
        <w:rPr>
          <w:color w:val="auto"/>
        </w:rPr>
        <w:t>he CI did not improve adequately with treatment</w:t>
      </w:r>
      <w:r w:rsidR="006E5D69">
        <w:rPr>
          <w:color w:val="auto"/>
        </w:rPr>
        <w:t xml:space="preserve"> </w:t>
      </w:r>
      <w:r w:rsidR="00F566B7" w:rsidRPr="00F64312">
        <w:rPr>
          <w:color w:val="auto"/>
        </w:rPr>
        <w:t xml:space="preserve">to meet the physical requirements of </w:t>
      </w:r>
      <w:r w:rsidR="00F566B7" w:rsidRPr="00E970F6">
        <w:rPr>
          <w:color w:val="auto"/>
        </w:rPr>
        <w:t>his Military Occupational Specialty (MOS)</w:t>
      </w:r>
      <w:r w:rsidR="0021565F" w:rsidRPr="00E970F6">
        <w:rPr>
          <w:color w:val="auto"/>
        </w:rPr>
        <w:t xml:space="preserve"> </w:t>
      </w:r>
      <w:r w:rsidR="00F566B7" w:rsidRPr="00F64312">
        <w:rPr>
          <w:color w:val="auto"/>
        </w:rPr>
        <w:t>or satis</w:t>
      </w:r>
      <w:r w:rsidR="009C12A1" w:rsidRPr="00F64312">
        <w:rPr>
          <w:color w:val="auto"/>
        </w:rPr>
        <w:t>fy physical fitness standards.</w:t>
      </w:r>
      <w:r w:rsidR="00F566B7" w:rsidRPr="00F64312">
        <w:rPr>
          <w:color w:val="auto"/>
        </w:rPr>
        <w:t xml:space="preserve"> </w:t>
      </w:r>
      <w:r w:rsidR="00895FCB">
        <w:rPr>
          <w:color w:val="auto"/>
        </w:rPr>
        <w:t xml:space="preserve"> </w:t>
      </w:r>
      <w:r w:rsidR="009C12A1" w:rsidRPr="00F547EF">
        <w:rPr>
          <w:color w:val="auto"/>
        </w:rPr>
        <w:t xml:space="preserve">He </w:t>
      </w:r>
      <w:r w:rsidR="00F566B7" w:rsidRPr="00F547EF">
        <w:rPr>
          <w:color w:val="auto"/>
        </w:rPr>
        <w:t xml:space="preserve">was issued a permanent </w:t>
      </w:r>
      <w:r w:rsidR="00F566B7" w:rsidRPr="00F27F07">
        <w:rPr>
          <w:color w:val="auto"/>
        </w:rPr>
        <w:t>L3</w:t>
      </w:r>
      <w:r w:rsidR="00F566B7" w:rsidRPr="00F547EF">
        <w:rPr>
          <w:color w:val="auto"/>
        </w:rPr>
        <w:t xml:space="preserve"> profile</w:t>
      </w:r>
      <w:r w:rsidR="00252A84" w:rsidRPr="00F64312">
        <w:rPr>
          <w:color w:val="auto"/>
        </w:rPr>
        <w:t xml:space="preserve"> </w:t>
      </w:r>
      <w:r w:rsidR="00F566B7" w:rsidRPr="00F64312">
        <w:rPr>
          <w:color w:val="auto"/>
        </w:rPr>
        <w:t>and</w:t>
      </w:r>
      <w:r w:rsidR="009C12A1" w:rsidRPr="00F64312">
        <w:rPr>
          <w:color w:val="auto"/>
        </w:rPr>
        <w:t xml:space="preserve"> </w:t>
      </w:r>
      <w:r w:rsidR="00F566B7" w:rsidRPr="00F64312">
        <w:rPr>
          <w:color w:val="auto"/>
        </w:rPr>
        <w:t>referred for a Medical Evaluation Board (MEB).</w:t>
      </w:r>
      <w:r w:rsidR="006D5E1E" w:rsidRPr="00F64312">
        <w:rPr>
          <w:color w:val="auto"/>
        </w:rPr>
        <w:t xml:space="preserve">  </w:t>
      </w:r>
      <w:r w:rsidR="009F44A2">
        <w:rPr>
          <w:color w:val="auto"/>
        </w:rPr>
        <w:t xml:space="preserve">The MEB forwarded </w:t>
      </w:r>
      <w:r w:rsidR="00D136B6">
        <w:rPr>
          <w:color w:val="auto"/>
        </w:rPr>
        <w:t>bilateral knee patellofemoral syndrome</w:t>
      </w:r>
      <w:r w:rsidR="009F44A2">
        <w:rPr>
          <w:color w:val="auto"/>
        </w:rPr>
        <w:t xml:space="preserve"> to the Physical Evaluation Board (PEB) as medically unacceptable </w:t>
      </w:r>
      <w:r w:rsidR="009F44A2" w:rsidRPr="00D136B6">
        <w:rPr>
          <w:color w:val="auto"/>
        </w:rPr>
        <w:t>IAW AR 40-501.</w:t>
      </w:r>
      <w:r w:rsidR="00D136B6">
        <w:rPr>
          <w:color w:val="auto"/>
        </w:rPr>
        <w:t xml:space="preserve">  </w:t>
      </w:r>
      <w:r w:rsidR="007A4E77" w:rsidRPr="00D136B6">
        <w:rPr>
          <w:color w:val="auto"/>
        </w:rPr>
        <w:t>No other conditions appeared on the MEB’s submission.</w:t>
      </w:r>
      <w:r w:rsidR="00E970F6">
        <w:rPr>
          <w:color w:val="auto"/>
        </w:rPr>
        <w:t xml:space="preserve">  </w:t>
      </w:r>
      <w:r w:rsidRPr="00F64312">
        <w:rPr>
          <w:color w:val="auto"/>
        </w:rPr>
        <w:t xml:space="preserve">The PEB adjudicated the </w:t>
      </w:r>
      <w:r w:rsidR="002A591D">
        <w:rPr>
          <w:color w:val="auto"/>
        </w:rPr>
        <w:t>bilateral patellofemoral pain syndrome condition</w:t>
      </w:r>
      <w:r w:rsidR="008530E3" w:rsidRPr="00F64312">
        <w:rPr>
          <w:color w:val="auto"/>
        </w:rPr>
        <w:t xml:space="preserve"> as unfitting, rated </w:t>
      </w:r>
      <w:r w:rsidR="002A591D" w:rsidRPr="00F27F07">
        <w:rPr>
          <w:color w:val="auto"/>
        </w:rPr>
        <w:t>10</w:t>
      </w:r>
      <w:r w:rsidRPr="00F27F07">
        <w:rPr>
          <w:color w:val="auto"/>
        </w:rPr>
        <w:t>%</w:t>
      </w:r>
      <w:r w:rsidRPr="00F64312">
        <w:rPr>
          <w:color w:val="auto"/>
        </w:rPr>
        <w:t xml:space="preserve"> </w:t>
      </w:r>
      <w:r w:rsidR="00E46D90" w:rsidRPr="00F64312">
        <w:rPr>
          <w:color w:val="auto"/>
        </w:rPr>
        <w:t xml:space="preserve">with application of the </w:t>
      </w:r>
      <w:r w:rsidRPr="002A591D">
        <w:rPr>
          <w:color w:val="auto"/>
        </w:rPr>
        <w:t>Veteran</w:t>
      </w:r>
      <w:r w:rsidR="00BF72CA" w:rsidRPr="002A591D">
        <w:rPr>
          <w:color w:val="auto"/>
        </w:rPr>
        <w:t>’</w:t>
      </w:r>
      <w:r w:rsidRPr="002A591D">
        <w:rPr>
          <w:color w:val="auto"/>
        </w:rPr>
        <w:t>s A</w:t>
      </w:r>
      <w:r w:rsidR="00BF72CA" w:rsidRPr="002A591D">
        <w:rPr>
          <w:color w:val="auto"/>
        </w:rPr>
        <w:t>ffairs</w:t>
      </w:r>
      <w:r w:rsidRPr="002A591D">
        <w:rPr>
          <w:color w:val="auto"/>
        </w:rPr>
        <w:t xml:space="preserve"> Schedule for Rating Disabilities (VASRD)</w:t>
      </w:r>
      <w:r w:rsidR="002A591D">
        <w:rPr>
          <w:color w:val="auto"/>
        </w:rPr>
        <w:t>.</w:t>
      </w:r>
      <w:r w:rsidR="00E970F6">
        <w:rPr>
          <w:color w:val="auto"/>
        </w:rPr>
        <w:t xml:space="preserve">  </w:t>
      </w:r>
      <w:r w:rsidR="00743E67">
        <w:rPr>
          <w:color w:val="auto"/>
        </w:rPr>
        <w:t>A</w:t>
      </w:r>
      <w:r w:rsidR="00E970F6" w:rsidRPr="00E970F6">
        <w:rPr>
          <w:color w:val="auto"/>
        </w:rPr>
        <w:t xml:space="preserve">n </w:t>
      </w:r>
      <w:r w:rsidR="00B8692C">
        <w:rPr>
          <w:color w:val="auto"/>
        </w:rPr>
        <w:t>a</w:t>
      </w:r>
      <w:r w:rsidR="00E970F6" w:rsidRPr="00E970F6">
        <w:rPr>
          <w:color w:val="auto"/>
        </w:rPr>
        <w:t xml:space="preserve">dministrative </w:t>
      </w:r>
      <w:r w:rsidR="00B8692C">
        <w:rPr>
          <w:color w:val="auto"/>
        </w:rPr>
        <w:t>c</w:t>
      </w:r>
      <w:r w:rsidR="00E970F6" w:rsidRPr="00E970F6">
        <w:rPr>
          <w:color w:val="auto"/>
        </w:rPr>
        <w:t xml:space="preserve">orrection </w:t>
      </w:r>
      <w:r w:rsidR="00743E67">
        <w:rPr>
          <w:color w:val="auto"/>
        </w:rPr>
        <w:t xml:space="preserve">was made </w:t>
      </w:r>
      <w:r w:rsidR="00E970F6" w:rsidRPr="00E970F6">
        <w:rPr>
          <w:color w:val="auto"/>
        </w:rPr>
        <w:t>to reflect disabilit</w:t>
      </w:r>
      <w:r w:rsidR="00E970F6">
        <w:rPr>
          <w:color w:val="auto"/>
        </w:rPr>
        <w:t>y rating guidance IAW NDAA 2008, but there</w:t>
      </w:r>
      <w:r w:rsidR="00E970F6" w:rsidRPr="00E970F6">
        <w:rPr>
          <w:color w:val="auto"/>
        </w:rPr>
        <w:t xml:space="preserve"> was no change in </w:t>
      </w:r>
      <w:r w:rsidR="00E970F6">
        <w:rPr>
          <w:color w:val="auto"/>
        </w:rPr>
        <w:t>the adjudication</w:t>
      </w:r>
      <w:r w:rsidR="00E970F6" w:rsidRPr="00E970F6">
        <w:rPr>
          <w:color w:val="auto"/>
        </w:rPr>
        <w:t>.</w:t>
      </w:r>
      <w:r w:rsidR="00E970F6">
        <w:rPr>
          <w:color w:val="auto"/>
        </w:rPr>
        <w:t xml:space="preserve"> </w:t>
      </w:r>
      <w:r w:rsidR="00E970F6" w:rsidRPr="00E970F6">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4B5642">
        <w:rPr>
          <w:color w:val="auto"/>
        </w:rPr>
        <w:t xml:space="preserve">“The </w:t>
      </w:r>
      <w:r w:rsidR="004B5642" w:rsidRPr="00F27F07">
        <w:rPr>
          <w:color w:val="auto"/>
        </w:rPr>
        <w:t>knees</w:t>
      </w:r>
      <w:r w:rsidR="004B5642">
        <w:rPr>
          <w:color w:val="auto"/>
        </w:rPr>
        <w:t xml:space="preserve"> were rated incorrectly.  Also I have severe </w:t>
      </w:r>
      <w:r w:rsidR="004B5642" w:rsidRPr="00F27F07">
        <w:rPr>
          <w:color w:val="auto"/>
        </w:rPr>
        <w:t>Post Traumatic Stress Disorder.  While undergoing the Medical Evaluation Board and the Physical</w:t>
      </w:r>
      <w:r w:rsidR="004B5642">
        <w:rPr>
          <w:color w:val="auto"/>
        </w:rPr>
        <w:t xml:space="preserve"> Evaluation Board, I was told only one injury could be evaluated by the Boards.  As a result, I was released and my PTSD has become so severe that I cannot work and have received a 100%.  I understand the Boards policy of rating and request that PTSD and my knees be considered.”</w:t>
      </w:r>
      <w:r w:rsidR="00165C7B" w:rsidRPr="00F64312">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6742A8">
        <w:rPr>
          <w:color w:val="auto"/>
        </w:rPr>
        <w:t>”</w:t>
      </w:r>
      <w:r>
        <w:rPr>
          <w:color w:val="auto"/>
        </w:rPr>
        <w:t xml:space="preserve">  </w:t>
      </w:r>
      <w:r w:rsidRPr="009239C0">
        <w:rPr>
          <w:color w:val="auto"/>
        </w:rPr>
        <w:t xml:space="preserve">The ratings for unfitting conditions will be reviewed in all cases.  </w:t>
      </w:r>
      <w:r w:rsidRPr="00164913">
        <w:rPr>
          <w:color w:val="auto"/>
        </w:rPr>
        <w:t xml:space="preserve">The </w:t>
      </w:r>
      <w:r w:rsidR="00164913" w:rsidRPr="00F27F07">
        <w:rPr>
          <w:color w:val="auto"/>
        </w:rPr>
        <w:t xml:space="preserve">unfitting </w:t>
      </w:r>
      <w:r w:rsidR="00BF6D07" w:rsidRPr="00F27F07">
        <w:rPr>
          <w:color w:val="auto"/>
        </w:rPr>
        <w:t>bilateral knee</w:t>
      </w:r>
      <w:r w:rsidR="00164913" w:rsidRPr="00164913">
        <w:rPr>
          <w:color w:val="auto"/>
        </w:rPr>
        <w:t xml:space="preserve"> condition</w:t>
      </w:r>
      <w:r w:rsidRPr="00164913">
        <w:rPr>
          <w:color w:val="auto"/>
        </w:rPr>
        <w:t xml:space="preserve"> meet</w:t>
      </w:r>
      <w:r w:rsidR="00164913" w:rsidRPr="00164913">
        <w:rPr>
          <w:color w:val="auto"/>
        </w:rPr>
        <w:t>s</w:t>
      </w:r>
      <w:r w:rsidRPr="00164913">
        <w:rPr>
          <w:color w:val="auto"/>
        </w:rPr>
        <w:t xml:space="preserve"> the criteria prescribed in DoDI 6040.44 for Board purview, and </w:t>
      </w:r>
      <w:r w:rsidR="00164913" w:rsidRPr="00164913">
        <w:rPr>
          <w:color w:val="auto"/>
        </w:rPr>
        <w:t>is</w:t>
      </w:r>
      <w:r w:rsidRPr="00164913">
        <w:rPr>
          <w:color w:val="auto"/>
        </w:rPr>
        <w:t xml:space="preserve"> accordingly addressed below.  The requested </w:t>
      </w:r>
      <w:r w:rsidR="00B8692C">
        <w:rPr>
          <w:color w:val="auto"/>
        </w:rPr>
        <w:t>posttraumatic stress disorder (</w:t>
      </w:r>
      <w:r w:rsidR="00164913" w:rsidRPr="00F27F07">
        <w:rPr>
          <w:color w:val="auto"/>
        </w:rPr>
        <w:t>PTSD</w:t>
      </w:r>
      <w:r w:rsidR="00B8692C">
        <w:rPr>
          <w:color w:val="auto"/>
        </w:rPr>
        <w:t>)</w:t>
      </w:r>
      <w:r w:rsidR="00164913" w:rsidRPr="00164913">
        <w:rPr>
          <w:color w:val="auto"/>
        </w:rPr>
        <w:t xml:space="preserve"> </w:t>
      </w:r>
      <w:r w:rsidRPr="00164913">
        <w:rPr>
          <w:color w:val="auto"/>
        </w:rPr>
        <w:t>condition</w:t>
      </w:r>
      <w:r w:rsidR="00164913" w:rsidRPr="00164913">
        <w:rPr>
          <w:color w:val="auto"/>
        </w:rPr>
        <w:t xml:space="preserve"> is</w:t>
      </w:r>
      <w:r w:rsidRPr="00164913">
        <w:rPr>
          <w:color w:val="auto"/>
        </w:rPr>
        <w:t xml:space="preserve"> not within the Board’s purview.  Any conditions or contention not requested in this application, or otherwise outside the Board’s defined scope of review, remain eligible for future consideration by the Army Board for the Correction of Military Records (BCMR)</w:t>
      </w:r>
      <w:r w:rsidR="00164913">
        <w:rPr>
          <w:color w:val="auto"/>
        </w:rPr>
        <w:t>.</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F9095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90952" w:rsidRDefault="00F90376" w:rsidP="00F90376">
      <w:pPr>
        <w:jc w:val="both"/>
        <w:rPr>
          <w:color w:val="auto"/>
        </w:rPr>
      </w:pPr>
    </w:p>
    <w:tbl>
      <w:tblPr>
        <w:tblStyle w:val="TableGrid"/>
        <w:tblW w:w="9369" w:type="dxa"/>
        <w:jc w:val="center"/>
        <w:tblInd w:w="9" w:type="dxa"/>
        <w:tblLayout w:type="fixed"/>
        <w:tblLook w:val="00A0"/>
      </w:tblPr>
      <w:tblGrid>
        <w:gridCol w:w="2165"/>
        <w:gridCol w:w="1084"/>
        <w:gridCol w:w="720"/>
        <w:gridCol w:w="2610"/>
        <w:gridCol w:w="1080"/>
        <w:gridCol w:w="720"/>
        <w:gridCol w:w="990"/>
      </w:tblGrid>
      <w:tr w:rsidR="00F90376" w:rsidRPr="00F9095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90952" w:rsidRDefault="00272BA9" w:rsidP="00272BA9">
            <w:pPr>
              <w:spacing w:line="180" w:lineRule="exact"/>
              <w:contextualSpacing/>
              <w:rPr>
                <w:rFonts w:cs="Calibri"/>
                <w:b/>
                <w:color w:val="auto"/>
                <w:sz w:val="18"/>
              </w:rPr>
            </w:pPr>
            <w:r w:rsidRPr="00F90952">
              <w:rPr>
                <w:b/>
                <w:color w:val="auto"/>
                <w:sz w:val="18"/>
              </w:rPr>
              <w:t>USAPDA Admin Correction</w:t>
            </w:r>
            <w:r w:rsidR="00F90376" w:rsidRPr="00F90952">
              <w:rPr>
                <w:b/>
                <w:color w:val="auto"/>
                <w:sz w:val="18"/>
              </w:rPr>
              <w:t xml:space="preserve"> – Dated </w:t>
            </w:r>
            <w:r w:rsidRPr="00F90952">
              <w:rPr>
                <w:b/>
                <w:color w:val="auto"/>
                <w:sz w:val="18"/>
              </w:rPr>
              <w:t>20090218</w:t>
            </w:r>
          </w:p>
        </w:tc>
        <w:tc>
          <w:tcPr>
            <w:tcW w:w="5400" w:type="dxa"/>
            <w:gridSpan w:val="4"/>
            <w:tcBorders>
              <w:left w:val="thinThickThinSmallGap" w:sz="24" w:space="0" w:color="auto"/>
            </w:tcBorders>
            <w:shd w:val="clear" w:color="auto" w:fill="D9D9D9"/>
            <w:vAlign w:val="center"/>
          </w:tcPr>
          <w:p w:rsidR="00F90376" w:rsidRPr="00F90952" w:rsidRDefault="00F90376" w:rsidP="00742460">
            <w:pPr>
              <w:spacing w:line="180" w:lineRule="exact"/>
              <w:contextualSpacing/>
              <w:rPr>
                <w:rFonts w:cs="Calibri"/>
                <w:b/>
                <w:color w:val="auto"/>
                <w:sz w:val="18"/>
              </w:rPr>
            </w:pPr>
            <w:r w:rsidRPr="00F90952">
              <w:rPr>
                <w:b/>
                <w:color w:val="auto"/>
                <w:sz w:val="18"/>
              </w:rPr>
              <w:t>VA (</w:t>
            </w:r>
            <w:r w:rsidR="00742460" w:rsidRPr="00F90952">
              <w:rPr>
                <w:b/>
                <w:color w:val="auto"/>
                <w:sz w:val="18"/>
              </w:rPr>
              <w:t>3</w:t>
            </w:r>
            <w:r w:rsidRPr="00F90952">
              <w:rPr>
                <w:b/>
                <w:color w:val="auto"/>
                <w:sz w:val="18"/>
              </w:rPr>
              <w:t xml:space="preserve"> Mos. Post-Separation) – All Effective Date 200</w:t>
            </w:r>
            <w:r w:rsidR="00742460" w:rsidRPr="00F90952">
              <w:rPr>
                <w:b/>
                <w:color w:val="auto"/>
                <w:sz w:val="18"/>
              </w:rPr>
              <w:t>80216</w:t>
            </w:r>
          </w:p>
        </w:tc>
      </w:tr>
      <w:tr w:rsidR="00F90376" w:rsidRPr="00F90952" w:rsidTr="00742460">
        <w:trPr>
          <w:trHeight w:val="97"/>
          <w:jc w:val="center"/>
        </w:trPr>
        <w:tc>
          <w:tcPr>
            <w:tcW w:w="2165" w:type="dxa"/>
            <w:tcBorders>
              <w:bottom w:val="single" w:sz="4" w:space="0" w:color="000000"/>
              <w:right w:val="single" w:sz="4" w:space="0" w:color="auto"/>
            </w:tcBorders>
            <w:shd w:val="clear" w:color="auto" w:fill="D9D9D9"/>
            <w:vAlign w:val="center"/>
          </w:tcPr>
          <w:p w:rsidR="00F90376" w:rsidRPr="00F90952" w:rsidRDefault="00F90376" w:rsidP="006B690F">
            <w:pPr>
              <w:spacing w:line="180" w:lineRule="exact"/>
              <w:contextualSpacing/>
              <w:rPr>
                <w:rFonts w:cs="Calibri"/>
                <w:b/>
                <w:color w:val="auto"/>
                <w:sz w:val="18"/>
              </w:rPr>
            </w:pPr>
            <w:r w:rsidRPr="00F90952">
              <w:rPr>
                <w:b/>
                <w:color w:val="auto"/>
                <w:sz w:val="18"/>
              </w:rPr>
              <w:t>Condition</w:t>
            </w:r>
          </w:p>
        </w:tc>
        <w:tc>
          <w:tcPr>
            <w:tcW w:w="1084" w:type="dxa"/>
            <w:tcBorders>
              <w:left w:val="single" w:sz="4" w:space="0" w:color="auto"/>
              <w:bottom w:val="single" w:sz="4" w:space="0" w:color="000000"/>
            </w:tcBorders>
            <w:shd w:val="clear" w:color="auto" w:fill="D9D9D9"/>
            <w:vAlign w:val="center"/>
          </w:tcPr>
          <w:p w:rsidR="00F90376" w:rsidRPr="00F90952" w:rsidRDefault="00F90376" w:rsidP="006B690F">
            <w:pPr>
              <w:spacing w:line="180" w:lineRule="exact"/>
              <w:contextualSpacing/>
              <w:rPr>
                <w:rFonts w:cs="Calibri"/>
                <w:b/>
                <w:color w:val="auto"/>
                <w:sz w:val="18"/>
              </w:rPr>
            </w:pPr>
            <w:r w:rsidRPr="00F9095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90952" w:rsidRDefault="00F90376" w:rsidP="006B690F">
            <w:pPr>
              <w:spacing w:line="180" w:lineRule="exact"/>
              <w:contextualSpacing/>
              <w:rPr>
                <w:rFonts w:cs="Calibri"/>
                <w:b/>
                <w:color w:val="auto"/>
                <w:sz w:val="18"/>
              </w:rPr>
            </w:pPr>
            <w:r w:rsidRPr="00F9095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90952" w:rsidRDefault="00F90376" w:rsidP="006B690F">
            <w:pPr>
              <w:spacing w:line="180" w:lineRule="exact"/>
              <w:contextualSpacing/>
              <w:rPr>
                <w:rFonts w:cs="Calibri"/>
                <w:b/>
                <w:color w:val="auto"/>
                <w:sz w:val="18"/>
              </w:rPr>
            </w:pPr>
            <w:r w:rsidRPr="00F90952">
              <w:rPr>
                <w:b/>
                <w:color w:val="auto"/>
                <w:sz w:val="18"/>
              </w:rPr>
              <w:t>Condition</w:t>
            </w:r>
          </w:p>
        </w:tc>
        <w:tc>
          <w:tcPr>
            <w:tcW w:w="1080" w:type="dxa"/>
            <w:tcBorders>
              <w:bottom w:val="single" w:sz="4" w:space="0" w:color="000000"/>
            </w:tcBorders>
            <w:shd w:val="clear" w:color="auto" w:fill="D9D9D9"/>
            <w:vAlign w:val="center"/>
          </w:tcPr>
          <w:p w:rsidR="00F90376" w:rsidRPr="00F90952" w:rsidRDefault="00F90376" w:rsidP="006B690F">
            <w:pPr>
              <w:spacing w:line="180" w:lineRule="exact"/>
              <w:contextualSpacing/>
              <w:rPr>
                <w:rFonts w:cs="Calibri"/>
                <w:b/>
                <w:color w:val="auto"/>
                <w:sz w:val="18"/>
              </w:rPr>
            </w:pPr>
            <w:r w:rsidRPr="00F90952">
              <w:rPr>
                <w:b/>
                <w:color w:val="auto"/>
                <w:sz w:val="18"/>
              </w:rPr>
              <w:t>Code</w:t>
            </w:r>
          </w:p>
        </w:tc>
        <w:tc>
          <w:tcPr>
            <w:tcW w:w="720" w:type="dxa"/>
            <w:tcBorders>
              <w:bottom w:val="single" w:sz="4" w:space="0" w:color="000000"/>
            </w:tcBorders>
            <w:shd w:val="clear" w:color="auto" w:fill="D9D9D9"/>
            <w:vAlign w:val="center"/>
          </w:tcPr>
          <w:p w:rsidR="00F90376" w:rsidRPr="00F90952" w:rsidRDefault="00F90376" w:rsidP="006B690F">
            <w:pPr>
              <w:spacing w:line="180" w:lineRule="exact"/>
              <w:contextualSpacing/>
              <w:rPr>
                <w:rFonts w:cs="Calibri"/>
                <w:b/>
                <w:color w:val="auto"/>
                <w:sz w:val="18"/>
              </w:rPr>
            </w:pPr>
            <w:r w:rsidRPr="00F90952">
              <w:rPr>
                <w:b/>
                <w:color w:val="auto"/>
                <w:sz w:val="18"/>
              </w:rPr>
              <w:t>Rating</w:t>
            </w:r>
          </w:p>
        </w:tc>
        <w:tc>
          <w:tcPr>
            <w:tcW w:w="990" w:type="dxa"/>
            <w:tcBorders>
              <w:bottom w:val="single" w:sz="4" w:space="0" w:color="000000"/>
            </w:tcBorders>
            <w:shd w:val="clear" w:color="auto" w:fill="D9D9D9"/>
            <w:vAlign w:val="center"/>
          </w:tcPr>
          <w:p w:rsidR="00F90376" w:rsidRPr="00F90952" w:rsidRDefault="00F90376" w:rsidP="006B690F">
            <w:pPr>
              <w:spacing w:line="180" w:lineRule="exact"/>
              <w:contextualSpacing/>
              <w:rPr>
                <w:rFonts w:cs="Calibri"/>
                <w:b/>
                <w:color w:val="auto"/>
                <w:sz w:val="18"/>
              </w:rPr>
            </w:pPr>
            <w:r w:rsidRPr="00F90952">
              <w:rPr>
                <w:b/>
                <w:color w:val="auto"/>
                <w:sz w:val="18"/>
              </w:rPr>
              <w:t>Exam</w:t>
            </w:r>
          </w:p>
        </w:tc>
      </w:tr>
      <w:tr w:rsidR="00742460" w:rsidRPr="00F90952" w:rsidTr="00742460">
        <w:trPr>
          <w:trHeight w:val="118"/>
          <w:jc w:val="center"/>
        </w:trPr>
        <w:tc>
          <w:tcPr>
            <w:tcW w:w="2165" w:type="dxa"/>
            <w:vMerge w:val="restart"/>
            <w:tcBorders>
              <w:right w:val="single" w:sz="4" w:space="0" w:color="auto"/>
            </w:tcBorders>
            <w:shd w:val="clear" w:color="auto" w:fill="FFFFFF"/>
            <w:vAlign w:val="center"/>
          </w:tcPr>
          <w:p w:rsidR="00742460" w:rsidRPr="00F90952" w:rsidRDefault="00742460" w:rsidP="006B690F">
            <w:pPr>
              <w:spacing w:line="180" w:lineRule="exact"/>
              <w:contextualSpacing/>
              <w:jc w:val="left"/>
              <w:rPr>
                <w:rFonts w:cs="Calibri"/>
                <w:color w:val="auto"/>
                <w:sz w:val="18"/>
              </w:rPr>
            </w:pPr>
            <w:r w:rsidRPr="00F90952">
              <w:rPr>
                <w:rFonts w:cs="Calibri"/>
                <w:color w:val="auto"/>
                <w:sz w:val="18"/>
              </w:rPr>
              <w:t>Bilateral Patellofemoral Pain</w:t>
            </w:r>
          </w:p>
        </w:tc>
        <w:tc>
          <w:tcPr>
            <w:tcW w:w="1084" w:type="dxa"/>
            <w:vMerge w:val="restart"/>
            <w:tcBorders>
              <w:left w:val="single" w:sz="4" w:space="0" w:color="auto"/>
            </w:tcBorders>
            <w:shd w:val="clear" w:color="auto" w:fill="FFFFFF"/>
            <w:vAlign w:val="center"/>
          </w:tcPr>
          <w:p w:rsidR="00742460" w:rsidRPr="00F90952" w:rsidRDefault="00742460" w:rsidP="006B690F">
            <w:pPr>
              <w:spacing w:line="180" w:lineRule="exact"/>
              <w:contextualSpacing/>
              <w:rPr>
                <w:rFonts w:cs="Calibri"/>
                <w:color w:val="auto"/>
                <w:sz w:val="18"/>
              </w:rPr>
            </w:pPr>
            <w:r w:rsidRPr="00F90952">
              <w:rPr>
                <w:rFonts w:cs="Calibri"/>
                <w:color w:val="auto"/>
                <w:sz w:val="18"/>
              </w:rPr>
              <w:t>5099-5003</w:t>
            </w:r>
          </w:p>
        </w:tc>
        <w:tc>
          <w:tcPr>
            <w:tcW w:w="720" w:type="dxa"/>
            <w:vMerge w:val="restart"/>
            <w:tcBorders>
              <w:right w:val="thinThickThinSmallGap" w:sz="24" w:space="0" w:color="auto"/>
            </w:tcBorders>
            <w:shd w:val="clear" w:color="auto" w:fill="FFFFFF"/>
            <w:vAlign w:val="center"/>
          </w:tcPr>
          <w:p w:rsidR="00742460" w:rsidRPr="00F90952" w:rsidRDefault="00742460" w:rsidP="006B690F">
            <w:pPr>
              <w:spacing w:line="180" w:lineRule="exact"/>
              <w:rPr>
                <w:rFonts w:cs="Calibri"/>
                <w:color w:val="auto"/>
                <w:sz w:val="18"/>
              </w:rPr>
            </w:pPr>
            <w:r w:rsidRPr="00F90952">
              <w:rPr>
                <w:rFonts w:cs="Calibri"/>
                <w:color w:val="auto"/>
                <w:sz w:val="18"/>
              </w:rPr>
              <w:t>10%</w:t>
            </w:r>
          </w:p>
        </w:tc>
        <w:tc>
          <w:tcPr>
            <w:tcW w:w="2610" w:type="dxa"/>
            <w:tcBorders>
              <w:left w:val="thinThickThinSmallGap" w:sz="24" w:space="0" w:color="auto"/>
            </w:tcBorders>
            <w:shd w:val="clear" w:color="auto" w:fill="FFFFFF"/>
            <w:vAlign w:val="center"/>
          </w:tcPr>
          <w:p w:rsidR="00742460" w:rsidRPr="00F90952" w:rsidRDefault="00742460" w:rsidP="0017172C">
            <w:pPr>
              <w:spacing w:line="180" w:lineRule="exact"/>
              <w:contextualSpacing/>
              <w:jc w:val="left"/>
              <w:rPr>
                <w:rFonts w:cs="Calibri"/>
                <w:color w:val="auto"/>
                <w:sz w:val="18"/>
              </w:rPr>
            </w:pPr>
            <w:r w:rsidRPr="00F90952">
              <w:rPr>
                <w:rFonts w:cs="Calibri"/>
                <w:color w:val="auto"/>
                <w:sz w:val="18"/>
              </w:rPr>
              <w:t>Right Patellofemoral Syndrome</w:t>
            </w:r>
          </w:p>
        </w:tc>
        <w:tc>
          <w:tcPr>
            <w:tcW w:w="1080" w:type="dxa"/>
            <w:shd w:val="clear" w:color="auto" w:fill="FFFFFF"/>
            <w:vAlign w:val="center"/>
          </w:tcPr>
          <w:p w:rsidR="00742460" w:rsidRPr="00F90952" w:rsidRDefault="00742460" w:rsidP="0017172C">
            <w:pPr>
              <w:spacing w:line="180" w:lineRule="exact"/>
              <w:contextualSpacing/>
              <w:rPr>
                <w:rFonts w:cs="Calibri"/>
                <w:color w:val="auto"/>
                <w:sz w:val="18"/>
              </w:rPr>
            </w:pPr>
            <w:r w:rsidRPr="00F90952">
              <w:rPr>
                <w:rFonts w:cs="Calibri"/>
                <w:color w:val="auto"/>
                <w:sz w:val="18"/>
              </w:rPr>
              <w:t>5099-5014</w:t>
            </w:r>
          </w:p>
        </w:tc>
        <w:tc>
          <w:tcPr>
            <w:tcW w:w="720" w:type="dxa"/>
            <w:shd w:val="clear" w:color="auto" w:fill="FFFFFF"/>
            <w:vAlign w:val="center"/>
          </w:tcPr>
          <w:p w:rsidR="00742460" w:rsidRPr="00F90952" w:rsidRDefault="00742460" w:rsidP="0017172C">
            <w:pPr>
              <w:spacing w:line="180" w:lineRule="exact"/>
              <w:contextualSpacing/>
              <w:rPr>
                <w:rFonts w:cs="Calibri"/>
                <w:color w:val="auto"/>
                <w:sz w:val="18"/>
              </w:rPr>
            </w:pPr>
            <w:r w:rsidRPr="00F90952">
              <w:rPr>
                <w:rFonts w:cs="Calibri"/>
                <w:color w:val="auto"/>
                <w:sz w:val="18"/>
              </w:rPr>
              <w:t>0%</w:t>
            </w:r>
            <w:r w:rsidR="006A4162" w:rsidRPr="00F90952">
              <w:rPr>
                <w:rFonts w:cs="Calibri"/>
                <w:color w:val="auto"/>
                <w:sz w:val="18"/>
              </w:rPr>
              <w:t>*</w:t>
            </w:r>
          </w:p>
        </w:tc>
        <w:tc>
          <w:tcPr>
            <w:tcW w:w="990" w:type="dxa"/>
            <w:shd w:val="clear" w:color="auto" w:fill="FFFFFF"/>
            <w:vAlign w:val="center"/>
          </w:tcPr>
          <w:p w:rsidR="00742460" w:rsidRPr="00F90952" w:rsidRDefault="00742460" w:rsidP="0017172C">
            <w:pPr>
              <w:spacing w:line="180" w:lineRule="exact"/>
              <w:contextualSpacing/>
              <w:rPr>
                <w:rFonts w:cs="Calibri"/>
                <w:color w:val="auto"/>
                <w:sz w:val="18"/>
              </w:rPr>
            </w:pPr>
            <w:r w:rsidRPr="00F90952">
              <w:rPr>
                <w:rFonts w:cs="Calibri"/>
                <w:color w:val="auto"/>
                <w:sz w:val="18"/>
              </w:rPr>
              <w:t>20080512</w:t>
            </w:r>
          </w:p>
        </w:tc>
      </w:tr>
      <w:tr w:rsidR="00742460" w:rsidRPr="00F90952" w:rsidTr="00742460">
        <w:trPr>
          <w:trHeight w:val="118"/>
          <w:jc w:val="center"/>
        </w:trPr>
        <w:tc>
          <w:tcPr>
            <w:tcW w:w="2165" w:type="dxa"/>
            <w:vMerge/>
            <w:tcBorders>
              <w:right w:val="single" w:sz="4" w:space="0" w:color="auto"/>
            </w:tcBorders>
            <w:shd w:val="clear" w:color="auto" w:fill="FFFFFF"/>
            <w:vAlign w:val="center"/>
          </w:tcPr>
          <w:p w:rsidR="00742460" w:rsidRPr="00F90952" w:rsidRDefault="00742460" w:rsidP="006B690F">
            <w:pPr>
              <w:spacing w:line="180" w:lineRule="exact"/>
              <w:contextualSpacing/>
              <w:jc w:val="left"/>
              <w:rPr>
                <w:color w:val="auto"/>
                <w:sz w:val="18"/>
              </w:rPr>
            </w:pPr>
          </w:p>
        </w:tc>
        <w:tc>
          <w:tcPr>
            <w:tcW w:w="1084" w:type="dxa"/>
            <w:vMerge/>
            <w:tcBorders>
              <w:left w:val="single" w:sz="4" w:space="0" w:color="auto"/>
            </w:tcBorders>
            <w:shd w:val="clear" w:color="auto" w:fill="FFFFFF"/>
            <w:vAlign w:val="center"/>
          </w:tcPr>
          <w:p w:rsidR="00742460" w:rsidRPr="00F90952" w:rsidRDefault="00742460"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742460" w:rsidRPr="00F90952" w:rsidRDefault="00742460"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742460" w:rsidRPr="00F90952" w:rsidRDefault="00742460" w:rsidP="0017172C">
            <w:pPr>
              <w:spacing w:line="180" w:lineRule="exact"/>
              <w:contextualSpacing/>
              <w:jc w:val="left"/>
              <w:rPr>
                <w:color w:val="auto"/>
                <w:sz w:val="18"/>
              </w:rPr>
            </w:pPr>
            <w:r w:rsidRPr="00F90952">
              <w:rPr>
                <w:color w:val="auto"/>
                <w:sz w:val="18"/>
              </w:rPr>
              <w:t>Left Patellofemoral Syndrome</w:t>
            </w:r>
          </w:p>
        </w:tc>
        <w:tc>
          <w:tcPr>
            <w:tcW w:w="1080" w:type="dxa"/>
            <w:shd w:val="clear" w:color="auto" w:fill="FFFFFF"/>
            <w:vAlign w:val="center"/>
          </w:tcPr>
          <w:p w:rsidR="00742460" w:rsidRPr="00F90952" w:rsidRDefault="00742460" w:rsidP="0017172C">
            <w:pPr>
              <w:spacing w:line="180" w:lineRule="exact"/>
              <w:contextualSpacing/>
              <w:rPr>
                <w:color w:val="auto"/>
                <w:sz w:val="18"/>
              </w:rPr>
            </w:pPr>
            <w:r w:rsidRPr="00F90952">
              <w:rPr>
                <w:color w:val="auto"/>
                <w:sz w:val="18"/>
              </w:rPr>
              <w:t>5099-5014</w:t>
            </w:r>
          </w:p>
        </w:tc>
        <w:tc>
          <w:tcPr>
            <w:tcW w:w="720" w:type="dxa"/>
            <w:shd w:val="clear" w:color="auto" w:fill="FFFFFF"/>
            <w:vAlign w:val="center"/>
          </w:tcPr>
          <w:p w:rsidR="00742460" w:rsidRPr="00F90952" w:rsidRDefault="00742460" w:rsidP="0017172C">
            <w:pPr>
              <w:spacing w:line="180" w:lineRule="exact"/>
              <w:contextualSpacing/>
              <w:rPr>
                <w:color w:val="auto"/>
                <w:sz w:val="18"/>
              </w:rPr>
            </w:pPr>
            <w:r w:rsidRPr="00F90952">
              <w:rPr>
                <w:color w:val="auto"/>
                <w:sz w:val="18"/>
              </w:rPr>
              <w:t>0%</w:t>
            </w:r>
            <w:r w:rsidR="006A4162" w:rsidRPr="00F90952">
              <w:rPr>
                <w:color w:val="auto"/>
                <w:sz w:val="18"/>
              </w:rPr>
              <w:t>*</w:t>
            </w:r>
          </w:p>
        </w:tc>
        <w:tc>
          <w:tcPr>
            <w:tcW w:w="990" w:type="dxa"/>
            <w:shd w:val="clear" w:color="auto" w:fill="FFFFFF"/>
            <w:vAlign w:val="center"/>
          </w:tcPr>
          <w:p w:rsidR="00742460" w:rsidRPr="00F90952" w:rsidRDefault="00742460" w:rsidP="0017172C">
            <w:pPr>
              <w:spacing w:line="180" w:lineRule="exact"/>
              <w:contextualSpacing/>
              <w:rPr>
                <w:color w:val="auto"/>
                <w:sz w:val="18"/>
                <w:highlight w:val="yellow"/>
              </w:rPr>
            </w:pPr>
            <w:r w:rsidRPr="00F90952">
              <w:rPr>
                <w:rFonts w:cs="Calibri"/>
                <w:color w:val="auto"/>
                <w:sz w:val="18"/>
              </w:rPr>
              <w:t>20080512</w:t>
            </w:r>
          </w:p>
        </w:tc>
      </w:tr>
      <w:tr w:rsidR="00742460" w:rsidRPr="00F90952" w:rsidTr="00C838C5">
        <w:trPr>
          <w:trHeight w:val="118"/>
          <w:jc w:val="center"/>
        </w:trPr>
        <w:tc>
          <w:tcPr>
            <w:tcW w:w="3969" w:type="dxa"/>
            <w:gridSpan w:val="3"/>
            <w:vMerge w:val="restart"/>
            <w:tcBorders>
              <w:right w:val="thinThickThinSmallGap" w:sz="24" w:space="0" w:color="auto"/>
            </w:tcBorders>
            <w:shd w:val="clear" w:color="auto" w:fill="FFFFFF"/>
            <w:vAlign w:val="center"/>
          </w:tcPr>
          <w:p w:rsidR="00742460" w:rsidRPr="00F90952" w:rsidRDefault="00742460" w:rsidP="006B690F">
            <w:pPr>
              <w:spacing w:line="180" w:lineRule="exact"/>
              <w:contextualSpacing/>
              <w:rPr>
                <w:color w:val="auto"/>
                <w:sz w:val="18"/>
              </w:rPr>
            </w:pPr>
            <w:r w:rsidRPr="00F90952">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742460" w:rsidRPr="00F90952" w:rsidRDefault="00742460" w:rsidP="0017172C">
            <w:pPr>
              <w:spacing w:line="180" w:lineRule="exact"/>
              <w:contextualSpacing/>
              <w:jc w:val="left"/>
              <w:rPr>
                <w:color w:val="auto"/>
                <w:sz w:val="18"/>
              </w:rPr>
            </w:pPr>
            <w:r w:rsidRPr="00F90952">
              <w:rPr>
                <w:color w:val="auto"/>
                <w:sz w:val="18"/>
              </w:rPr>
              <w:t>Post Traumatic Stress Disorder</w:t>
            </w:r>
          </w:p>
        </w:tc>
        <w:tc>
          <w:tcPr>
            <w:tcW w:w="1080" w:type="dxa"/>
            <w:shd w:val="clear" w:color="auto" w:fill="FFFFFF"/>
            <w:vAlign w:val="center"/>
          </w:tcPr>
          <w:p w:rsidR="00742460" w:rsidRPr="00F90952" w:rsidRDefault="00742460" w:rsidP="0017172C">
            <w:pPr>
              <w:spacing w:line="180" w:lineRule="exact"/>
              <w:contextualSpacing/>
              <w:rPr>
                <w:color w:val="auto"/>
                <w:sz w:val="18"/>
              </w:rPr>
            </w:pPr>
            <w:r w:rsidRPr="00F90952">
              <w:rPr>
                <w:color w:val="auto"/>
                <w:sz w:val="18"/>
              </w:rPr>
              <w:t>9411</w:t>
            </w:r>
          </w:p>
        </w:tc>
        <w:tc>
          <w:tcPr>
            <w:tcW w:w="720" w:type="dxa"/>
            <w:shd w:val="clear" w:color="auto" w:fill="FFFFFF"/>
            <w:vAlign w:val="center"/>
          </w:tcPr>
          <w:p w:rsidR="00742460" w:rsidRPr="00F90952" w:rsidRDefault="00742460" w:rsidP="00F27F07">
            <w:pPr>
              <w:spacing w:line="180" w:lineRule="exact"/>
              <w:contextualSpacing/>
              <w:rPr>
                <w:color w:val="auto"/>
                <w:sz w:val="18"/>
              </w:rPr>
            </w:pPr>
            <w:r w:rsidRPr="00F90952">
              <w:rPr>
                <w:color w:val="auto"/>
                <w:sz w:val="18"/>
              </w:rPr>
              <w:t>30%</w:t>
            </w:r>
            <w:r w:rsidR="006A4162" w:rsidRPr="00F90952">
              <w:rPr>
                <w:color w:val="auto"/>
                <w:sz w:val="18"/>
              </w:rPr>
              <w:t>*</w:t>
            </w:r>
          </w:p>
        </w:tc>
        <w:tc>
          <w:tcPr>
            <w:tcW w:w="990" w:type="dxa"/>
            <w:shd w:val="clear" w:color="auto" w:fill="FFFFFF"/>
            <w:vAlign w:val="center"/>
          </w:tcPr>
          <w:p w:rsidR="00742460" w:rsidRPr="00F90952" w:rsidRDefault="00742460" w:rsidP="0017172C">
            <w:pPr>
              <w:spacing w:line="180" w:lineRule="exact"/>
              <w:contextualSpacing/>
              <w:rPr>
                <w:color w:val="auto"/>
                <w:sz w:val="18"/>
                <w:highlight w:val="yellow"/>
              </w:rPr>
            </w:pPr>
            <w:r w:rsidRPr="00F90952">
              <w:rPr>
                <w:color w:val="auto"/>
                <w:sz w:val="18"/>
              </w:rPr>
              <w:t>20080521</w:t>
            </w:r>
          </w:p>
        </w:tc>
      </w:tr>
      <w:tr w:rsidR="00742460" w:rsidRPr="00F90952" w:rsidTr="0017172C">
        <w:trPr>
          <w:trHeight w:val="172"/>
          <w:jc w:val="center"/>
        </w:trPr>
        <w:tc>
          <w:tcPr>
            <w:tcW w:w="3969" w:type="dxa"/>
            <w:gridSpan w:val="3"/>
            <w:vMerge/>
            <w:tcBorders>
              <w:right w:val="thinThickThinSmallGap" w:sz="24" w:space="0" w:color="auto"/>
            </w:tcBorders>
            <w:shd w:val="clear" w:color="auto" w:fill="FFFFFF"/>
            <w:vAlign w:val="center"/>
          </w:tcPr>
          <w:p w:rsidR="00742460" w:rsidRPr="00F90952" w:rsidRDefault="00742460"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742460" w:rsidRPr="00F90952" w:rsidRDefault="00742460" w:rsidP="00742460">
            <w:pPr>
              <w:spacing w:line="180" w:lineRule="exact"/>
              <w:contextualSpacing/>
              <w:rPr>
                <w:rFonts w:cs="Calibri"/>
                <w:color w:val="auto"/>
                <w:sz w:val="18"/>
              </w:rPr>
            </w:pPr>
            <w:r w:rsidRPr="00F90952">
              <w:rPr>
                <w:color w:val="auto"/>
                <w:sz w:val="18"/>
              </w:rPr>
              <w:t>Not Service-Connected x 1</w:t>
            </w:r>
          </w:p>
        </w:tc>
        <w:tc>
          <w:tcPr>
            <w:tcW w:w="990" w:type="dxa"/>
            <w:shd w:val="clear" w:color="auto" w:fill="FFFFFF"/>
            <w:vAlign w:val="center"/>
          </w:tcPr>
          <w:p w:rsidR="00742460" w:rsidRPr="00F90952" w:rsidRDefault="00742460" w:rsidP="0017172C">
            <w:pPr>
              <w:spacing w:line="180" w:lineRule="exact"/>
              <w:contextualSpacing/>
              <w:rPr>
                <w:rFonts w:cs="Calibri"/>
                <w:color w:val="auto"/>
                <w:sz w:val="18"/>
              </w:rPr>
            </w:pPr>
            <w:r w:rsidRPr="00F90952">
              <w:rPr>
                <w:rFonts w:cs="Calibri"/>
                <w:color w:val="auto"/>
                <w:sz w:val="18"/>
              </w:rPr>
              <w:t>20080512</w:t>
            </w:r>
          </w:p>
        </w:tc>
      </w:tr>
      <w:tr w:rsidR="00F90376" w:rsidRPr="00F90952" w:rsidTr="00AC5522">
        <w:trPr>
          <w:trHeight w:val="124"/>
          <w:jc w:val="center"/>
        </w:trPr>
        <w:tc>
          <w:tcPr>
            <w:tcW w:w="3969" w:type="dxa"/>
            <w:gridSpan w:val="3"/>
            <w:tcBorders>
              <w:right w:val="thinThickThinSmallGap" w:sz="24" w:space="0" w:color="auto"/>
            </w:tcBorders>
            <w:shd w:val="clear" w:color="auto" w:fill="D9D9D9"/>
          </w:tcPr>
          <w:p w:rsidR="00F90376" w:rsidRPr="00F90952" w:rsidRDefault="00F90376" w:rsidP="006B690F">
            <w:pPr>
              <w:spacing w:line="180" w:lineRule="exact"/>
              <w:contextualSpacing/>
              <w:rPr>
                <w:rFonts w:cs="Calibri"/>
                <w:b/>
                <w:color w:val="auto"/>
                <w:sz w:val="18"/>
              </w:rPr>
            </w:pPr>
            <w:r w:rsidRPr="00F90952">
              <w:rPr>
                <w:b/>
                <w:color w:val="auto"/>
                <w:sz w:val="18"/>
              </w:rPr>
              <w:t xml:space="preserve">Combined:  </w:t>
            </w:r>
            <w:r w:rsidR="00742460" w:rsidRPr="00F90952">
              <w:rPr>
                <w:b/>
                <w:color w:val="auto"/>
                <w:sz w:val="18"/>
              </w:rPr>
              <w:t>10</w:t>
            </w:r>
            <w:r w:rsidRPr="00F90952">
              <w:rPr>
                <w:b/>
                <w:color w:val="auto"/>
                <w:sz w:val="18"/>
              </w:rPr>
              <w:t>%</w:t>
            </w:r>
          </w:p>
        </w:tc>
        <w:tc>
          <w:tcPr>
            <w:tcW w:w="5400" w:type="dxa"/>
            <w:gridSpan w:val="4"/>
            <w:tcBorders>
              <w:left w:val="thinThickThinSmallGap" w:sz="24" w:space="0" w:color="auto"/>
            </w:tcBorders>
            <w:shd w:val="clear" w:color="auto" w:fill="D9D9D9"/>
          </w:tcPr>
          <w:p w:rsidR="00F90376" w:rsidRPr="00F90952" w:rsidRDefault="00F90376" w:rsidP="00F27F07">
            <w:pPr>
              <w:spacing w:line="180" w:lineRule="exact"/>
              <w:contextualSpacing/>
              <w:rPr>
                <w:rFonts w:cs="Calibri"/>
                <w:b/>
                <w:color w:val="auto"/>
                <w:sz w:val="18"/>
              </w:rPr>
            </w:pPr>
            <w:r w:rsidRPr="00F90952">
              <w:rPr>
                <w:b/>
                <w:color w:val="auto"/>
                <w:sz w:val="18"/>
              </w:rPr>
              <w:t xml:space="preserve">Combined:  </w:t>
            </w:r>
            <w:r w:rsidR="00742460" w:rsidRPr="00F90952">
              <w:rPr>
                <w:b/>
                <w:color w:val="auto"/>
                <w:sz w:val="18"/>
              </w:rPr>
              <w:t>30</w:t>
            </w:r>
            <w:r w:rsidRPr="00F90952">
              <w:rPr>
                <w:b/>
                <w:color w:val="auto"/>
                <w:sz w:val="18"/>
              </w:rPr>
              <w:t>%</w:t>
            </w:r>
            <w:r w:rsidR="006A4162" w:rsidRPr="00F90952">
              <w:rPr>
                <w:b/>
                <w:color w:val="auto"/>
                <w:sz w:val="18"/>
              </w:rPr>
              <w:t>*</w:t>
            </w:r>
          </w:p>
        </w:tc>
      </w:tr>
    </w:tbl>
    <w:p w:rsidR="00F90376" w:rsidRPr="00F90952" w:rsidRDefault="00F90376" w:rsidP="00165C7B">
      <w:pPr>
        <w:pBdr>
          <w:bottom w:val="single" w:sz="12" w:space="1" w:color="auto"/>
        </w:pBdr>
        <w:tabs>
          <w:tab w:val="left" w:pos="288"/>
          <w:tab w:val="left" w:pos="4752"/>
        </w:tabs>
        <w:spacing w:line="180" w:lineRule="exact"/>
        <w:jc w:val="both"/>
        <w:rPr>
          <w:color w:val="auto"/>
          <w:sz w:val="18"/>
          <w:szCs w:val="18"/>
        </w:rPr>
      </w:pPr>
      <w:r w:rsidRPr="00F90952">
        <w:rPr>
          <w:color w:val="auto"/>
          <w:sz w:val="18"/>
          <w:szCs w:val="18"/>
        </w:rPr>
        <w:t>*</w:t>
      </w:r>
      <w:r w:rsidR="00511B27" w:rsidRPr="00F90952">
        <w:rPr>
          <w:color w:val="auto"/>
          <w:sz w:val="18"/>
          <w:szCs w:val="18"/>
        </w:rPr>
        <w:t xml:space="preserve">Each knee </w:t>
      </w:r>
      <w:r w:rsidR="006A4162" w:rsidRPr="00F90952">
        <w:rPr>
          <w:color w:val="auto"/>
          <w:sz w:val="18"/>
          <w:szCs w:val="18"/>
        </w:rPr>
        <w:t xml:space="preserve">increased to 10% </w:t>
      </w:r>
      <w:r w:rsidR="00511B27" w:rsidRPr="00F90952">
        <w:rPr>
          <w:color w:val="auto"/>
          <w:sz w:val="18"/>
          <w:szCs w:val="18"/>
        </w:rPr>
        <w:t xml:space="preserve">and PTSD increased to 100% </w:t>
      </w:r>
      <w:r w:rsidR="006A4162" w:rsidRPr="00F90952">
        <w:rPr>
          <w:color w:val="auto"/>
          <w:sz w:val="18"/>
          <w:szCs w:val="18"/>
        </w:rPr>
        <w:t xml:space="preserve">based on exam </w:t>
      </w:r>
      <w:r w:rsidR="00511B27" w:rsidRPr="00F90952">
        <w:rPr>
          <w:color w:val="auto"/>
          <w:sz w:val="18"/>
          <w:szCs w:val="18"/>
        </w:rPr>
        <w:t>of 20090513</w:t>
      </w:r>
      <w:r w:rsidR="006A4162" w:rsidRPr="00F90952">
        <w:rPr>
          <w:color w:val="auto"/>
          <w:sz w:val="18"/>
          <w:szCs w:val="18"/>
        </w:rPr>
        <w:t>; effective 20090211</w:t>
      </w:r>
      <w:r w:rsidR="00511B27" w:rsidRPr="00F90952">
        <w:rPr>
          <w:color w:val="auto"/>
          <w:sz w:val="18"/>
          <w:szCs w:val="18"/>
        </w:rPr>
        <w:t xml:space="preserve"> (combined 100%)</w:t>
      </w:r>
    </w:p>
    <w:p w:rsidR="00F90376" w:rsidRPr="00F9095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2146C7" w:rsidRPr="002146C7" w:rsidRDefault="00AD2379" w:rsidP="002146C7">
      <w:pPr>
        <w:tabs>
          <w:tab w:val="left" w:pos="288"/>
          <w:tab w:val="left" w:pos="4752"/>
        </w:tabs>
        <w:jc w:val="both"/>
        <w:rPr>
          <w:color w:val="auto"/>
          <w:szCs w:val="24"/>
        </w:rPr>
      </w:pPr>
      <w:r w:rsidRPr="00A142B5">
        <w:rPr>
          <w:color w:val="auto"/>
          <w:u w:val="single"/>
        </w:rPr>
        <w:t>ANALYSIS SUMMARY</w:t>
      </w:r>
      <w:r w:rsidRPr="00A142B5">
        <w:rPr>
          <w:color w:val="auto"/>
        </w:rPr>
        <w:t>:</w:t>
      </w:r>
      <w:r w:rsidR="00F27F07">
        <w:rPr>
          <w:color w:val="auto"/>
        </w:rPr>
        <w:t xml:space="preserve"> </w:t>
      </w:r>
      <w:r w:rsidR="00896C01" w:rsidRPr="00F64312">
        <w:rPr>
          <w:color w:val="auto"/>
        </w:rPr>
        <w:t xml:space="preserve"> </w:t>
      </w:r>
      <w:r w:rsidR="00D714C5" w:rsidRPr="00956199">
        <w:rPr>
          <w:color w:val="auto"/>
          <w:szCs w:val="24"/>
        </w:rPr>
        <w:t xml:space="preserve">The Board acknowledges the CI’s assertions that </w:t>
      </w:r>
      <w:r w:rsidR="00F27F07" w:rsidRPr="00956199">
        <w:rPr>
          <w:color w:val="auto"/>
          <w:szCs w:val="24"/>
        </w:rPr>
        <w:t xml:space="preserve">he was told only one injury could be evaluated by the </w:t>
      </w:r>
      <w:r w:rsidR="00743E67">
        <w:rPr>
          <w:color w:val="auto"/>
          <w:szCs w:val="24"/>
        </w:rPr>
        <w:t>b</w:t>
      </w:r>
      <w:r w:rsidR="00F27F07" w:rsidRPr="00956199">
        <w:rPr>
          <w:color w:val="auto"/>
          <w:szCs w:val="24"/>
        </w:rPr>
        <w:t>oards</w:t>
      </w:r>
      <w:r w:rsidR="00D714C5" w:rsidRPr="00956199">
        <w:rPr>
          <w:color w:val="auto"/>
          <w:szCs w:val="24"/>
        </w:rPr>
        <w:t>.</w:t>
      </w:r>
      <w:r w:rsidR="00F27F07" w:rsidRPr="00956199">
        <w:rPr>
          <w:color w:val="auto"/>
          <w:szCs w:val="24"/>
        </w:rPr>
        <w:t xml:space="preserve"> </w:t>
      </w:r>
      <w:r w:rsidR="00D714C5" w:rsidRPr="00956199">
        <w:rPr>
          <w:color w:val="auto"/>
          <w:szCs w:val="24"/>
        </w:rPr>
        <w:t xml:space="preserve"> It is noted for the record that the Board has neither the jurisdiction nor authority to scrutinize or render opinions in reference to the CI’s statements in the application regarding suspected </w:t>
      </w:r>
      <w:r w:rsidR="00B8692C">
        <w:rPr>
          <w:color w:val="auto"/>
          <w:szCs w:val="24"/>
        </w:rPr>
        <w:t>service-</w:t>
      </w:r>
      <w:r w:rsidR="00D714C5" w:rsidRPr="00956199">
        <w:rPr>
          <w:color w:val="auto"/>
          <w:szCs w:val="24"/>
        </w:rPr>
        <w:t>improprieties in the processing of his case</w:t>
      </w:r>
      <w:r w:rsidR="00956199" w:rsidRPr="00956199">
        <w:rPr>
          <w:color w:val="auto"/>
          <w:szCs w:val="24"/>
        </w:rPr>
        <w:t xml:space="preserve">.  </w:t>
      </w:r>
      <w:r w:rsidR="00956199" w:rsidRPr="00956199">
        <w:rPr>
          <w:rFonts w:cs="Times New Roman"/>
          <w:color w:val="auto"/>
          <w:szCs w:val="24"/>
        </w:rPr>
        <w:t xml:space="preserve">The Board’s authority, as defined in DoDI 6044.40, resides in evaluating the fairness of </w:t>
      </w:r>
      <w:r w:rsidR="00B8692C">
        <w:rPr>
          <w:rFonts w:cs="Times New Roman"/>
          <w:color w:val="auto"/>
          <w:szCs w:val="24"/>
        </w:rPr>
        <w:t>Disability Evaluation System (</w:t>
      </w:r>
      <w:r w:rsidR="00956199" w:rsidRPr="00956199">
        <w:rPr>
          <w:rFonts w:cs="Times New Roman"/>
          <w:color w:val="auto"/>
          <w:szCs w:val="24"/>
        </w:rPr>
        <w:t>DES</w:t>
      </w:r>
      <w:r w:rsidR="00B8692C">
        <w:rPr>
          <w:rFonts w:cs="Times New Roman"/>
          <w:color w:val="auto"/>
          <w:szCs w:val="24"/>
        </w:rPr>
        <w:t>)</w:t>
      </w:r>
      <w:r w:rsidR="00956199" w:rsidRPr="00956199">
        <w:rPr>
          <w:rFonts w:cs="Times New Roman"/>
          <w:color w:val="auto"/>
          <w:szCs w:val="24"/>
        </w:rPr>
        <w:t xml:space="preserve"> fitness determinations and rating decisions for disability at the time of separation.</w:t>
      </w:r>
      <w:r w:rsidR="00956199">
        <w:rPr>
          <w:rFonts w:cs="Times New Roman"/>
          <w:szCs w:val="24"/>
        </w:rPr>
        <w:t xml:space="preserve"> </w:t>
      </w:r>
      <w:r w:rsidR="00956199">
        <w:rPr>
          <w:color w:val="auto"/>
        </w:rPr>
        <w:t xml:space="preserve"> T</w:t>
      </w:r>
      <w:r w:rsidR="002146C7" w:rsidRPr="002146C7">
        <w:rPr>
          <w:color w:val="auto"/>
          <w:szCs w:val="24"/>
        </w:rPr>
        <w:t>he DES has neither the role nor the authority to compensate service members for anticipated future severity or potential complications of conditions resulting in medical separation.  This role and authority is granted by Congress to the Department of Veteran</w:t>
      </w:r>
      <w:r w:rsidR="00B8692C">
        <w:rPr>
          <w:color w:val="auto"/>
          <w:szCs w:val="24"/>
        </w:rPr>
        <w:t>s’</w:t>
      </w:r>
      <w:r w:rsidR="002146C7" w:rsidRPr="002146C7">
        <w:rPr>
          <w:color w:val="auto"/>
          <w:szCs w:val="24"/>
        </w:rPr>
        <w:t xml:space="preserve"> Affairs (DVA).  The DVA, operating under a different set of laws (Title 38, United States Code), is </w:t>
      </w:r>
      <w:r w:rsidR="00B8692C">
        <w:rPr>
          <w:color w:val="auto"/>
          <w:szCs w:val="24"/>
        </w:rPr>
        <w:t>empowered to compensate service-</w:t>
      </w:r>
      <w:r w:rsidR="002146C7" w:rsidRPr="002146C7">
        <w:rPr>
          <w:color w:val="auto"/>
          <w:szCs w:val="24"/>
        </w:rPr>
        <w:t xml:space="preserve">connected conditions and to periodically re-evaluate said conditions for the purpose of adjusting the </w:t>
      </w:r>
      <w:r w:rsidR="00B8692C">
        <w:rPr>
          <w:color w:val="auto"/>
          <w:szCs w:val="24"/>
        </w:rPr>
        <w:t>V</w:t>
      </w:r>
      <w:r w:rsidR="002146C7" w:rsidRPr="002146C7">
        <w:rPr>
          <w:color w:val="auto"/>
          <w:szCs w:val="24"/>
        </w:rPr>
        <w:t xml:space="preserve">eteran’s disability rating should </w:t>
      </w:r>
      <w:r w:rsidR="00B8692C">
        <w:rPr>
          <w:color w:val="auto"/>
          <w:szCs w:val="24"/>
        </w:rPr>
        <w:t>the</w:t>
      </w:r>
      <w:r w:rsidR="002146C7" w:rsidRPr="002146C7">
        <w:rPr>
          <w:color w:val="auto"/>
          <w:szCs w:val="24"/>
        </w:rPr>
        <w:t xml:space="preserve"> degree of impairment vary over time.  The Board utilizes </w:t>
      </w:r>
      <w:r w:rsidR="00B8692C">
        <w:rPr>
          <w:color w:val="auto"/>
          <w:szCs w:val="24"/>
        </w:rPr>
        <w:t>D</w:t>
      </w:r>
      <w:r w:rsidR="002146C7" w:rsidRPr="002146C7">
        <w:rPr>
          <w:color w:val="auto"/>
          <w:szCs w:val="24"/>
        </w:rPr>
        <w:t>VA evidence proximal to separation in arriving at its recommendations;</w:t>
      </w:r>
      <w:r w:rsidR="00B8692C">
        <w:rPr>
          <w:color w:val="auto"/>
          <w:szCs w:val="24"/>
        </w:rPr>
        <w:t xml:space="preserve"> and, DoDI 6040.44 defines a 12-</w:t>
      </w:r>
      <w:r w:rsidR="002146C7" w:rsidRPr="002146C7">
        <w:rPr>
          <w:color w:val="auto"/>
          <w:szCs w:val="24"/>
        </w:rPr>
        <w:t>month interval for special consideration to post-separation evidence.  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r w:rsidR="00F90952">
        <w:rPr>
          <w:color w:val="auto"/>
          <w:szCs w:val="24"/>
        </w:rPr>
        <w:t xml:space="preserve">  </w:t>
      </w:r>
    </w:p>
    <w:p w:rsidR="00AD2379" w:rsidRPr="00F64312" w:rsidRDefault="00AD2379" w:rsidP="00B22D42">
      <w:pPr>
        <w:jc w:val="both"/>
        <w:rPr>
          <w:color w:val="auto"/>
          <w:highlight w:val="yellow"/>
        </w:rPr>
      </w:pPr>
    </w:p>
    <w:p w:rsidR="00AB6332" w:rsidRDefault="00102EFA" w:rsidP="0069687C">
      <w:pPr>
        <w:jc w:val="both"/>
        <w:rPr>
          <w:color w:val="auto"/>
          <w:szCs w:val="24"/>
        </w:rPr>
      </w:pPr>
      <w:r w:rsidRPr="00E82091">
        <w:rPr>
          <w:color w:val="auto"/>
          <w:u w:val="single"/>
        </w:rPr>
        <w:t>Bilateral Knee</w:t>
      </w:r>
      <w:r w:rsidR="00AD2379" w:rsidRPr="00E82091">
        <w:rPr>
          <w:color w:val="auto"/>
          <w:u w:val="single"/>
        </w:rPr>
        <w:t xml:space="preserve"> Condition</w:t>
      </w:r>
      <w:r w:rsidR="00AD2379" w:rsidRPr="00F64312">
        <w:rPr>
          <w:color w:val="auto"/>
        </w:rPr>
        <w:t xml:space="preserve">. </w:t>
      </w:r>
      <w:r w:rsidR="00385708" w:rsidRPr="00F64312">
        <w:rPr>
          <w:color w:val="auto"/>
        </w:rPr>
        <w:t xml:space="preserve"> </w:t>
      </w:r>
      <w:r w:rsidR="00687FFB">
        <w:rPr>
          <w:color w:val="auto"/>
        </w:rPr>
        <w:t xml:space="preserve">The </w:t>
      </w:r>
      <w:r w:rsidR="00CD4C5C">
        <w:rPr>
          <w:color w:val="auto"/>
        </w:rPr>
        <w:t xml:space="preserve">bilateral knee pain </w:t>
      </w:r>
      <w:r w:rsidR="009C5272">
        <w:rPr>
          <w:color w:val="auto"/>
        </w:rPr>
        <w:t>presented as a significant issue</w:t>
      </w:r>
      <w:r w:rsidR="00687FFB">
        <w:rPr>
          <w:color w:val="auto"/>
        </w:rPr>
        <w:t xml:space="preserve"> in June 2007</w:t>
      </w:r>
      <w:r w:rsidR="009C5272">
        <w:rPr>
          <w:color w:val="auto"/>
        </w:rPr>
        <w:t>, but according to the record had been a problem for the preceding one or two years</w:t>
      </w:r>
      <w:r w:rsidR="00CD4C5C">
        <w:rPr>
          <w:color w:val="auto"/>
        </w:rPr>
        <w:t xml:space="preserve">.  </w:t>
      </w:r>
      <w:r w:rsidR="009C5272">
        <w:rPr>
          <w:color w:val="auto"/>
        </w:rPr>
        <w:t xml:space="preserve">Per the </w:t>
      </w:r>
      <w:r w:rsidR="00B8692C">
        <w:rPr>
          <w:color w:val="auto"/>
        </w:rPr>
        <w:t>narrative summary (</w:t>
      </w:r>
      <w:r w:rsidR="009C5272">
        <w:rPr>
          <w:color w:val="auto"/>
        </w:rPr>
        <w:t>NARSUM</w:t>
      </w:r>
      <w:r w:rsidR="00743E67">
        <w:rPr>
          <w:color w:val="auto"/>
        </w:rPr>
        <w:t>)</w:t>
      </w:r>
      <w:r w:rsidR="00B8692C">
        <w:rPr>
          <w:color w:val="auto"/>
        </w:rPr>
        <w:t xml:space="preserve">, </w:t>
      </w:r>
      <w:r w:rsidR="00743E67">
        <w:rPr>
          <w:color w:val="auto"/>
        </w:rPr>
        <w:t>completed</w:t>
      </w:r>
      <w:r w:rsidR="00B8692C">
        <w:rPr>
          <w:color w:val="auto"/>
        </w:rPr>
        <w:t xml:space="preserve"> 4 </w:t>
      </w:r>
      <w:r w:rsidR="009C5272">
        <w:rPr>
          <w:color w:val="auto"/>
        </w:rPr>
        <w:t>months prior to separation</w:t>
      </w:r>
      <w:r w:rsidR="00B8692C">
        <w:rPr>
          <w:color w:val="auto"/>
        </w:rPr>
        <w:t>,</w:t>
      </w:r>
      <w:r w:rsidR="009C5272">
        <w:rPr>
          <w:color w:val="auto"/>
        </w:rPr>
        <w:t xml:space="preserve"> the</w:t>
      </w:r>
      <w:r w:rsidR="00CD4C5C">
        <w:rPr>
          <w:color w:val="auto"/>
        </w:rPr>
        <w:t xml:space="preserve"> pain was intermittent and localized anteriorly and behind the kneecaps.  Running, jumping and climbing stairs caused pain.  He denied knee locking.  </w:t>
      </w:r>
      <w:r w:rsidR="000115ED">
        <w:rPr>
          <w:color w:val="auto"/>
        </w:rPr>
        <w:t xml:space="preserve">Although the CI </w:t>
      </w:r>
      <w:r w:rsidR="000115ED" w:rsidRPr="00956199">
        <w:rPr>
          <w:color w:val="auto"/>
        </w:rPr>
        <w:t xml:space="preserve">was wearing </w:t>
      </w:r>
      <w:r w:rsidR="00066784">
        <w:rPr>
          <w:color w:val="auto"/>
        </w:rPr>
        <w:t xml:space="preserve">prescribed </w:t>
      </w:r>
      <w:r w:rsidR="000115ED" w:rsidRPr="00956199">
        <w:rPr>
          <w:color w:val="auto"/>
        </w:rPr>
        <w:t xml:space="preserve">knee braces, they were said to not be significantly helpful.  </w:t>
      </w:r>
      <w:r w:rsidR="00687FFB" w:rsidRPr="00956199">
        <w:rPr>
          <w:color w:val="auto"/>
        </w:rPr>
        <w:t xml:space="preserve">The examination revealed “full range of motion by goniometer,” but specific measurements were not in evidence.  </w:t>
      </w:r>
      <w:r w:rsidR="007B00D0" w:rsidRPr="00956199">
        <w:rPr>
          <w:color w:val="auto"/>
        </w:rPr>
        <w:t>Gait was normal</w:t>
      </w:r>
      <w:r w:rsidR="000115ED" w:rsidRPr="00956199">
        <w:rPr>
          <w:color w:val="auto"/>
        </w:rPr>
        <w:t xml:space="preserve"> and there</w:t>
      </w:r>
      <w:r w:rsidR="00BB1A7F" w:rsidRPr="00956199">
        <w:rPr>
          <w:color w:val="auto"/>
        </w:rPr>
        <w:t xml:space="preserve"> was no effusion and no sign</w:t>
      </w:r>
      <w:r w:rsidR="007B00D0" w:rsidRPr="00956199">
        <w:rPr>
          <w:color w:val="auto"/>
        </w:rPr>
        <w:t xml:space="preserve"> of instability.  </w:t>
      </w:r>
      <w:r w:rsidR="00687FFB" w:rsidRPr="00956199">
        <w:rPr>
          <w:color w:val="auto"/>
        </w:rPr>
        <w:t>Mild patellar crepitus and retropatellar and trochlear tenderness</w:t>
      </w:r>
      <w:r w:rsidR="00687FFB">
        <w:rPr>
          <w:color w:val="auto"/>
        </w:rPr>
        <w:t xml:space="preserve"> were present.</w:t>
      </w:r>
      <w:r w:rsidR="00066784">
        <w:rPr>
          <w:color w:val="auto"/>
        </w:rPr>
        <w:t xml:space="preserve">  X-rays were normal, but magnetic resonance imaging (MRI) was not performed.</w:t>
      </w:r>
      <w:r w:rsidR="00956199">
        <w:rPr>
          <w:color w:val="auto"/>
        </w:rPr>
        <w:t xml:space="preserve">  </w:t>
      </w:r>
      <w:r w:rsidR="00E82091">
        <w:rPr>
          <w:color w:val="auto"/>
        </w:rPr>
        <w:t>The MEB examiner</w:t>
      </w:r>
      <w:r w:rsidR="00B8692C">
        <w:rPr>
          <w:color w:val="auto"/>
        </w:rPr>
        <w:t xml:space="preserve">, 2 </w:t>
      </w:r>
      <w:r w:rsidR="00956199">
        <w:rPr>
          <w:color w:val="auto"/>
        </w:rPr>
        <w:t>months prior to separation</w:t>
      </w:r>
      <w:r w:rsidR="00B8692C">
        <w:rPr>
          <w:color w:val="auto"/>
        </w:rPr>
        <w:t xml:space="preserve">, </w:t>
      </w:r>
      <w:r w:rsidR="00E82091">
        <w:rPr>
          <w:color w:val="auto"/>
        </w:rPr>
        <w:t>reported the CI wearing bilateral knee braces.  Tenderness of the kneecaps and the medial knees was present.</w:t>
      </w:r>
      <w:r w:rsidR="000A2654">
        <w:rPr>
          <w:color w:val="auto"/>
        </w:rPr>
        <w:t xml:space="preserve">  The commander’s statement confirmed that the CI </w:t>
      </w:r>
      <w:r w:rsidR="000A2654" w:rsidRPr="00956199">
        <w:rPr>
          <w:color w:val="auto"/>
        </w:rPr>
        <w:t>was only capable of performing limited duties due to his knee condition.</w:t>
      </w:r>
      <w:r w:rsidR="00956199">
        <w:rPr>
          <w:color w:val="auto"/>
        </w:rPr>
        <w:t xml:space="preserve">  </w:t>
      </w:r>
      <w:r w:rsidR="00E82091">
        <w:rPr>
          <w:color w:val="auto"/>
          <w:szCs w:val="24"/>
        </w:rPr>
        <w:t xml:space="preserve">The Compensation and Pension (C&amp;P) examiner </w:t>
      </w:r>
      <w:r w:rsidR="00B8692C">
        <w:rPr>
          <w:color w:val="auto"/>
          <w:szCs w:val="24"/>
        </w:rPr>
        <w:t>on 12 May 2008, 3</w:t>
      </w:r>
      <w:r w:rsidR="00E409A2">
        <w:rPr>
          <w:color w:val="auto"/>
          <w:szCs w:val="24"/>
        </w:rPr>
        <w:t xml:space="preserve"> months after separation</w:t>
      </w:r>
      <w:r w:rsidR="00B8692C">
        <w:rPr>
          <w:color w:val="auto"/>
          <w:szCs w:val="24"/>
        </w:rPr>
        <w:t>,</w:t>
      </w:r>
      <w:r w:rsidR="00E409A2">
        <w:rPr>
          <w:color w:val="auto"/>
          <w:szCs w:val="24"/>
        </w:rPr>
        <w:t xml:space="preserve"> </w:t>
      </w:r>
      <w:r w:rsidR="00E82091">
        <w:rPr>
          <w:color w:val="auto"/>
          <w:szCs w:val="24"/>
        </w:rPr>
        <w:t xml:space="preserve">reported the onset of knee pain </w:t>
      </w:r>
      <w:r w:rsidR="00E409A2">
        <w:rPr>
          <w:color w:val="auto"/>
          <w:szCs w:val="24"/>
        </w:rPr>
        <w:t xml:space="preserve">was </w:t>
      </w:r>
      <w:r w:rsidR="00E82091">
        <w:rPr>
          <w:color w:val="auto"/>
          <w:szCs w:val="24"/>
        </w:rPr>
        <w:t xml:space="preserve">in 2004, but without a history of injury.  The pain was intermittent, but caused difficulty running and jumping and was worse with prolonged standing.  </w:t>
      </w:r>
      <w:r w:rsidR="00E409A2">
        <w:rPr>
          <w:color w:val="auto"/>
          <w:szCs w:val="24"/>
        </w:rPr>
        <w:t xml:space="preserve">Pain flare-ups occurred weekly and lasted </w:t>
      </w:r>
      <w:r w:rsidR="00B8692C">
        <w:rPr>
          <w:color w:val="auto"/>
          <w:szCs w:val="24"/>
        </w:rPr>
        <w:t>1</w:t>
      </w:r>
      <w:r w:rsidR="00E409A2">
        <w:rPr>
          <w:color w:val="auto"/>
          <w:szCs w:val="24"/>
        </w:rPr>
        <w:t xml:space="preserve"> to </w:t>
      </w:r>
      <w:r w:rsidR="00B8692C">
        <w:rPr>
          <w:color w:val="auto"/>
          <w:szCs w:val="24"/>
        </w:rPr>
        <w:t>2</w:t>
      </w:r>
      <w:r w:rsidR="00E409A2">
        <w:rPr>
          <w:color w:val="auto"/>
          <w:szCs w:val="24"/>
        </w:rPr>
        <w:t xml:space="preserve"> days.  Examination revealed a normal gait.  Bilateral retropatellar tenderness was present.  There wa</w:t>
      </w:r>
      <w:r w:rsidR="00B8692C">
        <w:rPr>
          <w:color w:val="auto"/>
          <w:szCs w:val="24"/>
        </w:rPr>
        <w:t>s no swelling or laxity.  Range-of-</w:t>
      </w:r>
      <w:r w:rsidR="00E409A2">
        <w:rPr>
          <w:color w:val="auto"/>
          <w:szCs w:val="24"/>
        </w:rPr>
        <w:t>motion (ROM) measurements of each knee showed flexion of 140</w:t>
      </w:r>
      <w:r w:rsidR="00E409A2" w:rsidRPr="00E409A2">
        <w:rPr>
          <w:color w:val="auto"/>
          <w:szCs w:val="24"/>
        </w:rPr>
        <w:t>⁰</w:t>
      </w:r>
      <w:r w:rsidR="00E409A2">
        <w:rPr>
          <w:color w:val="auto"/>
          <w:szCs w:val="24"/>
        </w:rPr>
        <w:t xml:space="preserve"> (normal 140</w:t>
      </w:r>
      <w:r w:rsidR="00E409A2" w:rsidRPr="00E409A2">
        <w:rPr>
          <w:color w:val="auto"/>
          <w:szCs w:val="24"/>
        </w:rPr>
        <w:t>⁰</w:t>
      </w:r>
      <w:r w:rsidR="00E409A2">
        <w:rPr>
          <w:color w:val="auto"/>
          <w:szCs w:val="24"/>
        </w:rPr>
        <w:t>) extension of 0</w:t>
      </w:r>
      <w:r w:rsidR="00E409A2" w:rsidRPr="00E409A2">
        <w:rPr>
          <w:color w:val="auto"/>
          <w:szCs w:val="24"/>
        </w:rPr>
        <w:t>⁰</w:t>
      </w:r>
      <w:r w:rsidR="00E409A2">
        <w:rPr>
          <w:color w:val="auto"/>
          <w:szCs w:val="24"/>
        </w:rPr>
        <w:t xml:space="preserve"> (normal 0</w:t>
      </w:r>
      <w:r w:rsidR="00E409A2" w:rsidRPr="00E409A2">
        <w:rPr>
          <w:color w:val="auto"/>
          <w:szCs w:val="24"/>
        </w:rPr>
        <w:t>⁰</w:t>
      </w:r>
      <w:r w:rsidR="00E409A2">
        <w:rPr>
          <w:color w:val="auto"/>
          <w:szCs w:val="24"/>
        </w:rPr>
        <w:t>).  There was no pain with motion of either knee and no limited motion after repetition.</w:t>
      </w:r>
      <w:r w:rsidR="00956199">
        <w:rPr>
          <w:color w:val="auto"/>
          <w:szCs w:val="24"/>
        </w:rPr>
        <w:t xml:space="preserve">  </w:t>
      </w:r>
      <w:r w:rsidR="00B8692C">
        <w:rPr>
          <w:color w:val="auto"/>
          <w:szCs w:val="24"/>
        </w:rPr>
        <w:t xml:space="preserve">A psychologist C&amp;P examiner, 3 </w:t>
      </w:r>
      <w:r w:rsidR="00956199">
        <w:rPr>
          <w:color w:val="auto"/>
          <w:szCs w:val="24"/>
        </w:rPr>
        <w:t>months after separation</w:t>
      </w:r>
      <w:r w:rsidR="00B8692C">
        <w:rPr>
          <w:color w:val="auto"/>
          <w:szCs w:val="24"/>
        </w:rPr>
        <w:t>,</w:t>
      </w:r>
      <w:r w:rsidR="00F97874">
        <w:rPr>
          <w:color w:val="auto"/>
          <w:szCs w:val="24"/>
        </w:rPr>
        <w:t xml:space="preserve"> recorded that the CI experienced “pain and difficulty when he has to stand for a long time or has to walk a long distance.”</w:t>
      </w:r>
      <w:r w:rsidR="00E409A2">
        <w:rPr>
          <w:color w:val="auto"/>
          <w:szCs w:val="24"/>
        </w:rPr>
        <w:t xml:space="preserve">  </w:t>
      </w:r>
    </w:p>
    <w:p w:rsidR="00AB6332" w:rsidRDefault="00AB6332" w:rsidP="0069687C">
      <w:pPr>
        <w:jc w:val="both"/>
        <w:rPr>
          <w:color w:val="auto"/>
          <w:szCs w:val="24"/>
        </w:rPr>
      </w:pPr>
    </w:p>
    <w:p w:rsidR="00C13A38" w:rsidRDefault="00AD2379" w:rsidP="009F1B6B">
      <w:pPr>
        <w:tabs>
          <w:tab w:val="left" w:pos="288"/>
          <w:tab w:val="left" w:pos="4752"/>
        </w:tabs>
        <w:jc w:val="both"/>
        <w:rPr>
          <w:rFonts w:eastAsia="Calibri" w:cs="Times New Roman"/>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C006B0">
        <w:rPr>
          <w:rFonts w:cs="Times New Roman"/>
          <w:color w:val="auto"/>
        </w:rPr>
        <w:t xml:space="preserve">  </w:t>
      </w:r>
      <w:r w:rsidR="00D65489" w:rsidRPr="00D65489">
        <w:rPr>
          <w:color w:val="auto"/>
          <w:szCs w:val="24"/>
        </w:rPr>
        <w:t xml:space="preserve">The PEB combined patellofemoral pain of each knee as the single unfitting and solely rated condition, coded analogously to 5003.  </w:t>
      </w:r>
      <w:r w:rsidR="005F7741">
        <w:rPr>
          <w:color w:val="auto"/>
          <w:szCs w:val="24"/>
        </w:rPr>
        <w:t>T</w:t>
      </w:r>
      <w:r w:rsidR="00D65489" w:rsidRPr="00D65489">
        <w:rPr>
          <w:color w:val="auto"/>
          <w:szCs w:val="24"/>
        </w:rPr>
        <w:t>he Board must apply separate codes and</w:t>
      </w:r>
      <w:r w:rsidR="00F8443B">
        <w:rPr>
          <w:color w:val="auto"/>
          <w:szCs w:val="24"/>
        </w:rPr>
        <w:t xml:space="preserve"> ratings in its recommendations</w:t>
      </w:r>
      <w:r w:rsidR="00D65489" w:rsidRPr="00D65489">
        <w:rPr>
          <w:color w:val="auto"/>
          <w:szCs w:val="24"/>
        </w:rPr>
        <w:t xml:space="preserve"> if compensable ratings for each condition are achieved IAW VASRD §4.71a.  If the Board judges that two or more separate ratings are warranted in such cases, however, it </w:t>
      </w:r>
      <w:r w:rsidR="00D65489" w:rsidRPr="00D65489">
        <w:rPr>
          <w:color w:val="auto"/>
          <w:szCs w:val="24"/>
        </w:rPr>
        <w:lastRenderedPageBreak/>
        <w:t xml:space="preserve">must satisfy the requirement that each </w:t>
      </w:r>
      <w:r w:rsidR="00B8692C">
        <w:rPr>
          <w:color w:val="auto"/>
          <w:szCs w:val="24"/>
        </w:rPr>
        <w:t>“</w:t>
      </w:r>
      <w:r w:rsidR="00D65489" w:rsidRPr="00D65489">
        <w:rPr>
          <w:color w:val="auto"/>
          <w:szCs w:val="24"/>
        </w:rPr>
        <w:t>unbundled</w:t>
      </w:r>
      <w:r w:rsidR="00B8692C">
        <w:rPr>
          <w:color w:val="auto"/>
          <w:szCs w:val="24"/>
        </w:rPr>
        <w:t>”</w:t>
      </w:r>
      <w:r w:rsidR="00D65489" w:rsidRPr="00D65489">
        <w:rPr>
          <w:color w:val="auto"/>
          <w:szCs w:val="24"/>
        </w:rPr>
        <w:t xml:space="preserve"> condition was unfitting in and of itself.  Not uncommonly this approach by the PEB reflects its judgment that the constellation of conditions was unfitting; and, that there was no need for separate fitness adjudications, not a judgment that each condition was independently unfitting. </w:t>
      </w:r>
      <w:r w:rsidR="00D714C5">
        <w:rPr>
          <w:color w:val="auto"/>
          <w:szCs w:val="24"/>
        </w:rPr>
        <w:t xml:space="preserve"> </w:t>
      </w:r>
      <w:r w:rsidR="00D65489" w:rsidRPr="00D65489">
        <w:rPr>
          <w:color w:val="auto"/>
          <w:szCs w:val="24"/>
        </w:rPr>
        <w:t xml:space="preserve">Thus the Board must exercise the prerogative of separate fitness recommendations in this circumstance, with the caveat that its recommendations may not produce a lower combined rating than that of the PEB.  </w:t>
      </w:r>
      <w:r w:rsidR="00AB7C5B" w:rsidRPr="001424C5">
        <w:rPr>
          <w:rFonts w:cs="Times New Roman"/>
          <w:color w:val="auto"/>
        </w:rPr>
        <w:t>Under the analogous code 5014 code (“osteomalacia”), the VA adjudicated a 0% rating</w:t>
      </w:r>
      <w:r w:rsidR="007463A0" w:rsidRPr="001424C5">
        <w:rPr>
          <w:rFonts w:cs="Times New Roman"/>
          <w:color w:val="auto"/>
        </w:rPr>
        <w:t xml:space="preserve"> for each knee</w:t>
      </w:r>
      <w:r w:rsidR="00AB7C5B" w:rsidRPr="001424C5">
        <w:rPr>
          <w:rFonts w:cs="Times New Roman"/>
          <w:color w:val="auto"/>
        </w:rPr>
        <w:t>.  Under this code</w:t>
      </w:r>
      <w:r w:rsidR="00D614B1">
        <w:rPr>
          <w:rFonts w:cs="Times New Roman"/>
          <w:color w:val="auto"/>
        </w:rPr>
        <w:t>,</w:t>
      </w:r>
      <w:r w:rsidR="00AB7C5B" w:rsidRPr="001424C5">
        <w:rPr>
          <w:rFonts w:cs="Times New Roman"/>
          <w:color w:val="auto"/>
        </w:rPr>
        <w:t xml:space="preserve"> </w:t>
      </w:r>
      <w:r w:rsidR="00D614B1">
        <w:rPr>
          <w:rFonts w:cs="Times New Roman"/>
          <w:color w:val="auto"/>
        </w:rPr>
        <w:t xml:space="preserve">a </w:t>
      </w:r>
      <w:r w:rsidR="00AB7C5B" w:rsidRPr="001424C5">
        <w:rPr>
          <w:rFonts w:cs="Times New Roman"/>
          <w:color w:val="auto"/>
        </w:rPr>
        <w:t>rating is based on limitation of motion.  In this case ROM was completely normal, and the VA also concluded there was no objective evidence of pain on motion</w:t>
      </w:r>
      <w:r w:rsidR="007463A0" w:rsidRPr="001424C5">
        <w:rPr>
          <w:rFonts w:cs="Times New Roman"/>
          <w:color w:val="auto"/>
        </w:rPr>
        <w:t xml:space="preserve"> to warrant a 10% rating.</w:t>
      </w:r>
      <w:r w:rsidR="00AB7C5B" w:rsidRPr="001424C5">
        <w:rPr>
          <w:rFonts w:cs="Times New Roman"/>
          <w:color w:val="auto"/>
        </w:rPr>
        <w:t xml:space="preserve">  </w:t>
      </w:r>
      <w:r w:rsidR="007463A0" w:rsidRPr="001424C5">
        <w:rPr>
          <w:rFonts w:cs="Times New Roman"/>
          <w:color w:val="auto"/>
        </w:rPr>
        <w:t xml:space="preserve">While the Board is aware that a second VA examination </w:t>
      </w:r>
      <w:r w:rsidR="00B8692C">
        <w:rPr>
          <w:rFonts w:cs="Times New Roman"/>
          <w:color w:val="auto"/>
        </w:rPr>
        <w:t xml:space="preserve">on </w:t>
      </w:r>
      <w:r w:rsidR="007463A0" w:rsidRPr="001424C5">
        <w:rPr>
          <w:rFonts w:cs="Times New Roman"/>
          <w:color w:val="auto"/>
        </w:rPr>
        <w:t>13 May 2009</w:t>
      </w:r>
      <w:r w:rsidR="00B8692C">
        <w:rPr>
          <w:rFonts w:cs="Times New Roman"/>
          <w:color w:val="auto"/>
        </w:rPr>
        <w:t>,</w:t>
      </w:r>
      <w:r w:rsidR="007463A0" w:rsidRPr="001424C5">
        <w:rPr>
          <w:rFonts w:cs="Times New Roman"/>
          <w:color w:val="auto"/>
        </w:rPr>
        <w:t xml:space="preserve"> </w:t>
      </w:r>
      <w:r w:rsidR="00B8692C">
        <w:rPr>
          <w:rFonts w:cs="Times New Roman"/>
          <w:color w:val="auto"/>
        </w:rPr>
        <w:t xml:space="preserve">performed 15 months after </w:t>
      </w:r>
      <w:r w:rsidR="00D714C5" w:rsidRPr="00956199">
        <w:rPr>
          <w:rFonts w:cs="Times New Roman"/>
          <w:color w:val="auto"/>
        </w:rPr>
        <w:t>separation</w:t>
      </w:r>
      <w:r w:rsidR="00B8692C">
        <w:rPr>
          <w:rFonts w:cs="Times New Roman"/>
          <w:color w:val="auto"/>
        </w:rPr>
        <w:t>,</w:t>
      </w:r>
      <w:r w:rsidR="00D714C5">
        <w:rPr>
          <w:rFonts w:cs="Times New Roman"/>
          <w:color w:val="auto"/>
        </w:rPr>
        <w:t xml:space="preserve"> </w:t>
      </w:r>
      <w:r w:rsidR="007463A0" w:rsidRPr="001424C5">
        <w:rPr>
          <w:rFonts w:cs="Times New Roman"/>
          <w:color w:val="auto"/>
        </w:rPr>
        <w:t xml:space="preserve">was the basis for a subsequent rating increase by the VA, findings from this exam </w:t>
      </w:r>
      <w:r w:rsidR="00D714C5" w:rsidRPr="00956199">
        <w:rPr>
          <w:rFonts w:cs="Times New Roman"/>
          <w:color w:val="auto"/>
          <w:szCs w:val="24"/>
        </w:rPr>
        <w:t>had decreased probative value</w:t>
      </w:r>
      <w:r w:rsidR="00D714C5">
        <w:rPr>
          <w:rFonts w:cs="Times New Roman"/>
          <w:color w:val="auto"/>
          <w:sz w:val="20"/>
        </w:rPr>
        <w:t xml:space="preserve"> </w:t>
      </w:r>
      <w:r w:rsidR="007463A0" w:rsidRPr="001424C5">
        <w:rPr>
          <w:rFonts w:cs="Times New Roman"/>
          <w:color w:val="auto"/>
        </w:rPr>
        <w:t>to its deliberation</w:t>
      </w:r>
      <w:r w:rsidR="00956199">
        <w:rPr>
          <w:rFonts w:cs="Times New Roman"/>
          <w:color w:val="auto"/>
        </w:rPr>
        <w:t>,</w:t>
      </w:r>
      <w:r w:rsidR="007463A0" w:rsidRPr="001424C5">
        <w:rPr>
          <w:rFonts w:cs="Times New Roman"/>
          <w:color w:val="auto"/>
        </w:rPr>
        <w:t xml:space="preserve"> since the exam fall</w:t>
      </w:r>
      <w:r w:rsidR="00B8692C">
        <w:rPr>
          <w:rFonts w:cs="Times New Roman"/>
          <w:color w:val="auto"/>
        </w:rPr>
        <w:t>s outside the 12-</w:t>
      </w:r>
      <w:r w:rsidR="007463A0" w:rsidRPr="001424C5">
        <w:rPr>
          <w:rFonts w:cs="Times New Roman"/>
          <w:color w:val="auto"/>
        </w:rPr>
        <w:t>month interval for special consideration.</w:t>
      </w:r>
      <w:r w:rsidR="00882A69">
        <w:rPr>
          <w:rFonts w:cs="Times New Roman"/>
          <w:color w:val="auto"/>
        </w:rPr>
        <w:t xml:space="preserve">  </w:t>
      </w:r>
      <w:r w:rsidR="00C006B0">
        <w:rPr>
          <w:rFonts w:cs="Times New Roman"/>
          <w:color w:val="auto"/>
        </w:rPr>
        <w:t xml:space="preserve"> </w:t>
      </w:r>
      <w:r w:rsidR="001424C5" w:rsidRPr="00C006B0">
        <w:rPr>
          <w:rFonts w:cs="Times New Roman"/>
          <w:color w:val="auto"/>
        </w:rPr>
        <w:t>The Board considered that there was no compensable limitation of motion, no radiographic evidence of degenerative changes, and no painful motion supporting application of §4.59 (painful motion)</w:t>
      </w:r>
      <w:r w:rsidR="00C006B0">
        <w:rPr>
          <w:rFonts w:cs="Times New Roman"/>
          <w:color w:val="auto"/>
        </w:rPr>
        <w:t>.</w:t>
      </w:r>
      <w:r w:rsidR="001424C5" w:rsidRPr="00C006B0">
        <w:rPr>
          <w:rFonts w:cs="Times New Roman"/>
          <w:color w:val="auto"/>
        </w:rPr>
        <w:t xml:space="preserve">  The Board debated whether the CI’s symptoms were severe enough to warrant application of §4.40 (functional loss) which states that “a part which becomes painful on use must be r</w:t>
      </w:r>
      <w:r w:rsidR="00186CD3" w:rsidRPr="00C006B0">
        <w:rPr>
          <w:rFonts w:cs="Times New Roman"/>
          <w:color w:val="auto"/>
        </w:rPr>
        <w:t>egarded as seriously disabled.”</w:t>
      </w:r>
      <w:r w:rsidR="00B449E5" w:rsidRPr="00C006B0">
        <w:rPr>
          <w:rFonts w:cs="Times New Roman"/>
          <w:color w:val="auto"/>
        </w:rPr>
        <w:t xml:space="preserve"> </w:t>
      </w:r>
      <w:r w:rsidR="001424C5" w:rsidRPr="00C006B0">
        <w:rPr>
          <w:rFonts w:cs="Times New Roman"/>
          <w:color w:val="auto"/>
        </w:rPr>
        <w:t xml:space="preserve"> </w:t>
      </w:r>
      <w:r w:rsidR="00186CD3" w:rsidRPr="00C006B0">
        <w:rPr>
          <w:rFonts w:cs="Times New Roman"/>
          <w:color w:val="auto"/>
        </w:rPr>
        <w:t>In this regard, the</w:t>
      </w:r>
      <w:r w:rsidR="00AB7C5B" w:rsidRPr="00C006B0">
        <w:rPr>
          <w:rFonts w:cs="Times New Roman"/>
          <w:color w:val="auto"/>
        </w:rPr>
        <w:t xml:space="preserve"> Board </w:t>
      </w:r>
      <w:r w:rsidR="00186CD3" w:rsidRPr="00C006B0">
        <w:rPr>
          <w:rFonts w:cs="Times New Roman"/>
          <w:color w:val="auto"/>
        </w:rPr>
        <w:t>considered the</w:t>
      </w:r>
      <w:r w:rsidR="00AB7C5B" w:rsidRPr="00C006B0">
        <w:rPr>
          <w:rFonts w:cs="Times New Roman"/>
          <w:color w:val="auto"/>
        </w:rPr>
        <w:t xml:space="preserve"> CI’s reported history of intermittent pain</w:t>
      </w:r>
      <w:r w:rsidR="00186CD3" w:rsidRPr="00C006B0">
        <w:rPr>
          <w:rFonts w:cs="Times New Roman"/>
          <w:color w:val="auto"/>
        </w:rPr>
        <w:t xml:space="preserve">, </w:t>
      </w:r>
      <w:r w:rsidR="00D614B1" w:rsidRPr="00C006B0">
        <w:rPr>
          <w:rFonts w:cs="Times New Roman"/>
          <w:color w:val="auto"/>
        </w:rPr>
        <w:t>the clear interference with his MOS duties</w:t>
      </w:r>
      <w:r w:rsidR="00B449E5" w:rsidRPr="00C006B0">
        <w:rPr>
          <w:rFonts w:cs="Times New Roman"/>
          <w:color w:val="auto"/>
        </w:rPr>
        <w:t xml:space="preserve"> as evidenced by the commander’s statement and a</w:t>
      </w:r>
      <w:r w:rsidR="00C006B0" w:rsidRPr="00C006B0">
        <w:rPr>
          <w:rFonts w:cs="Times New Roman"/>
          <w:color w:val="auto"/>
        </w:rPr>
        <w:t>n activity-limiting</w:t>
      </w:r>
      <w:r w:rsidR="00B449E5" w:rsidRPr="00C006B0">
        <w:rPr>
          <w:rFonts w:cs="Times New Roman"/>
          <w:color w:val="auto"/>
        </w:rPr>
        <w:t xml:space="preserve"> permanent profile,</w:t>
      </w:r>
      <w:r w:rsidR="00D614B1" w:rsidRPr="00C006B0">
        <w:rPr>
          <w:rFonts w:cs="Times New Roman"/>
          <w:color w:val="auto"/>
        </w:rPr>
        <w:t xml:space="preserve"> </w:t>
      </w:r>
      <w:r w:rsidR="001424C5" w:rsidRPr="00C006B0">
        <w:rPr>
          <w:rFonts w:cs="Times New Roman"/>
          <w:color w:val="auto"/>
        </w:rPr>
        <w:t>physical examination finding</w:t>
      </w:r>
      <w:r w:rsidR="00186CD3" w:rsidRPr="00C006B0">
        <w:rPr>
          <w:rFonts w:cs="Times New Roman"/>
          <w:color w:val="auto"/>
        </w:rPr>
        <w:t>s</w:t>
      </w:r>
      <w:r w:rsidR="001424C5" w:rsidRPr="00C006B0">
        <w:rPr>
          <w:rFonts w:cs="Times New Roman"/>
          <w:color w:val="auto"/>
        </w:rPr>
        <w:t xml:space="preserve"> of </w:t>
      </w:r>
      <w:r w:rsidR="00C006B0">
        <w:rPr>
          <w:rFonts w:cs="Times New Roman"/>
          <w:color w:val="auto"/>
        </w:rPr>
        <w:t xml:space="preserve">bilateral knee </w:t>
      </w:r>
      <w:r w:rsidR="001424C5" w:rsidRPr="00C006B0">
        <w:rPr>
          <w:rFonts w:cs="Times New Roman"/>
          <w:color w:val="auto"/>
        </w:rPr>
        <w:t>tenderness</w:t>
      </w:r>
      <w:r w:rsidR="00186CD3" w:rsidRPr="00C006B0">
        <w:rPr>
          <w:rFonts w:cs="Times New Roman"/>
          <w:color w:val="auto"/>
        </w:rPr>
        <w:t xml:space="preserve"> and</w:t>
      </w:r>
      <w:r w:rsidR="001424C5" w:rsidRPr="00C006B0">
        <w:rPr>
          <w:rFonts w:cs="Times New Roman"/>
          <w:color w:val="auto"/>
        </w:rPr>
        <w:t xml:space="preserve"> the fact that the CI wore knee braces</w:t>
      </w:r>
      <w:r w:rsidR="00186CD3" w:rsidRPr="00C006B0">
        <w:rPr>
          <w:rFonts w:cs="Times New Roman"/>
          <w:color w:val="auto"/>
        </w:rPr>
        <w:t>.</w:t>
      </w:r>
      <w:r w:rsidR="00AB7C5B" w:rsidRPr="00C006B0">
        <w:rPr>
          <w:rFonts w:cs="Times New Roman"/>
          <w:color w:val="auto"/>
        </w:rPr>
        <w:t xml:space="preserve">  </w:t>
      </w:r>
      <w:r w:rsidR="00C006B0" w:rsidRPr="00F64312">
        <w:rPr>
          <w:rFonts w:eastAsia="Calibri" w:cs="Times New Roman"/>
          <w:color w:val="auto"/>
          <w:szCs w:val="24"/>
        </w:rPr>
        <w:t xml:space="preserve">After due deliberation, considering all of the evidence and mindful of VASRD §4.3 (reasonable doubt), the Board recommends a disability rating of </w:t>
      </w:r>
      <w:r w:rsidR="00C006B0">
        <w:rPr>
          <w:rFonts w:eastAsia="Calibri" w:cs="Times New Roman"/>
          <w:color w:val="auto"/>
          <w:szCs w:val="24"/>
        </w:rPr>
        <w:t>10% for the right patellofemoral pain</w:t>
      </w:r>
      <w:r w:rsidR="000C7322">
        <w:rPr>
          <w:rFonts w:eastAsia="Calibri" w:cs="Times New Roman"/>
          <w:color w:val="auto"/>
          <w:szCs w:val="24"/>
        </w:rPr>
        <w:t xml:space="preserve"> syndrome</w:t>
      </w:r>
      <w:r w:rsidR="00C006B0" w:rsidRPr="00F64312">
        <w:rPr>
          <w:rFonts w:eastAsia="Calibri" w:cs="Times New Roman"/>
          <w:color w:val="auto"/>
          <w:szCs w:val="24"/>
        </w:rPr>
        <w:t xml:space="preserve"> condition</w:t>
      </w:r>
      <w:r w:rsidR="00C006B0">
        <w:rPr>
          <w:rFonts w:eastAsia="Calibri" w:cs="Times New Roman"/>
          <w:color w:val="auto"/>
          <w:szCs w:val="24"/>
        </w:rPr>
        <w:t xml:space="preserve"> and 10% for the left patellofemoral pain </w:t>
      </w:r>
      <w:r w:rsidR="000C7322">
        <w:rPr>
          <w:rFonts w:eastAsia="Calibri" w:cs="Times New Roman"/>
          <w:color w:val="auto"/>
          <w:szCs w:val="24"/>
        </w:rPr>
        <w:t xml:space="preserve">syndrome </w:t>
      </w:r>
      <w:r w:rsidR="00D85219">
        <w:rPr>
          <w:rFonts w:eastAsia="Calibri" w:cs="Times New Roman"/>
          <w:color w:val="auto"/>
          <w:szCs w:val="24"/>
        </w:rPr>
        <w:t>condition, coded 5099-5003.</w:t>
      </w:r>
      <w:r w:rsidR="005F7741">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5F7741">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6B690F" w:rsidRPr="00F64312">
        <w:rPr>
          <w:rFonts w:cs="Times New Roman"/>
          <w:color w:val="auto"/>
        </w:rPr>
        <w:t xml:space="preserve">  </w:t>
      </w:r>
      <w:r w:rsidR="00656717">
        <w:rPr>
          <w:rFonts w:cs="Times New Roman"/>
          <w:color w:val="auto"/>
        </w:rPr>
        <w:t>In the matter of the bilateral patellofemoral p</w:t>
      </w:r>
      <w:r w:rsidR="00956199">
        <w:rPr>
          <w:rFonts w:cs="Times New Roman"/>
          <w:color w:val="auto"/>
        </w:rPr>
        <w:t xml:space="preserve">ain </w:t>
      </w:r>
      <w:r w:rsidR="00656717">
        <w:rPr>
          <w:rFonts w:cs="Times New Roman"/>
          <w:color w:val="auto"/>
        </w:rPr>
        <w:t xml:space="preserve">syndrome </w:t>
      </w:r>
      <w:r w:rsidR="00956199">
        <w:rPr>
          <w:rFonts w:cs="Times New Roman"/>
          <w:color w:val="auto"/>
        </w:rPr>
        <w:t xml:space="preserve">condition, the Board unanimously recommends that it be rated for two separate unfitting conditions as follows:  right patellofemoral pain </w:t>
      </w:r>
      <w:r w:rsidR="000646B8">
        <w:rPr>
          <w:rFonts w:cs="Times New Roman"/>
          <w:color w:val="auto"/>
        </w:rPr>
        <w:t xml:space="preserve">syndrome </w:t>
      </w:r>
      <w:r w:rsidR="00956199">
        <w:rPr>
          <w:rFonts w:cs="Times New Roman"/>
          <w:color w:val="auto"/>
        </w:rPr>
        <w:t>condition coded</w:t>
      </w:r>
      <w:r w:rsidR="000646B8">
        <w:rPr>
          <w:rFonts w:cs="Times New Roman"/>
          <w:color w:val="auto"/>
        </w:rPr>
        <w:t xml:space="preserve"> 5099-5003 and rated 10%, and left patellofemoral pain syndrome condition coded 5099-5003 and rated 10%; both IAW VASRD </w:t>
      </w:r>
      <w:r w:rsidR="000646B8" w:rsidRPr="000646B8">
        <w:rPr>
          <w:color w:val="auto"/>
          <w:szCs w:val="24"/>
        </w:rPr>
        <w:t>§4.71a</w:t>
      </w:r>
      <w:r w:rsidR="000646B8">
        <w:rPr>
          <w:color w:val="auto"/>
          <w:szCs w:val="24"/>
        </w:rPr>
        <w:t>.</w:t>
      </w:r>
      <w:r w:rsidR="000646B8">
        <w:rPr>
          <w:rFonts w:cs="Times New Roman"/>
          <w:color w:val="auto"/>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bookmarkStart w:id="0" w:name="_GoBack"/>
      <w:bookmarkEnd w:id="0"/>
    </w:p>
    <w:p w:rsidR="00AD2379" w:rsidRPr="00F64312" w:rsidRDefault="00AD2379" w:rsidP="006364ED">
      <w:pPr>
        <w:jc w:val="left"/>
        <w:rPr>
          <w:color w:val="auto"/>
          <w:highlight w:val="magenta"/>
        </w:rPr>
      </w:pPr>
    </w:p>
    <w:p w:rsidR="00565636" w:rsidRPr="00F90952" w:rsidRDefault="00AD2379" w:rsidP="00921160">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determination be modified as follows, effective as of the date of his prior medical </w:t>
      </w:r>
      <w:r w:rsidR="00417BED" w:rsidRPr="00F64312">
        <w:rPr>
          <w:rFonts w:eastAsia="Calibri" w:cs="Times New Roman"/>
          <w:color w:val="auto"/>
          <w:szCs w:val="24"/>
        </w:rPr>
        <w:t>separation:</w:t>
      </w:r>
      <w:r w:rsidR="006B690F" w:rsidRPr="00F64312">
        <w:rPr>
          <w:rFonts w:eastAsia="Calibri" w:cs="Times New Roman"/>
          <w:color w:val="auto"/>
          <w:szCs w:val="24"/>
        </w:rPr>
        <w:t xml:space="preserve">  </w:t>
      </w:r>
    </w:p>
    <w:p w:rsidR="00AD2379" w:rsidRPr="00F90952" w:rsidRDefault="00AD2379" w:rsidP="00BF0E94">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48"/>
        <w:gridCol w:w="720"/>
        <w:gridCol w:w="1530"/>
        <w:gridCol w:w="1026"/>
      </w:tblGrid>
      <w:tr w:rsidR="00071071" w:rsidRPr="00F90952" w:rsidTr="006B690F">
        <w:trPr>
          <w:trHeight w:val="233"/>
          <w:jc w:val="center"/>
        </w:trPr>
        <w:tc>
          <w:tcPr>
            <w:tcW w:w="6768" w:type="dxa"/>
            <w:gridSpan w:val="2"/>
            <w:tcBorders>
              <w:right w:val="single" w:sz="4" w:space="0" w:color="auto"/>
            </w:tcBorders>
            <w:shd w:val="clear" w:color="auto" w:fill="D9D9D9"/>
            <w:vAlign w:val="center"/>
          </w:tcPr>
          <w:p w:rsidR="00071071" w:rsidRPr="00F90952" w:rsidRDefault="00071071" w:rsidP="006B690F">
            <w:pPr>
              <w:tabs>
                <w:tab w:val="left" w:pos="288"/>
                <w:tab w:val="left" w:pos="4752"/>
              </w:tabs>
              <w:rPr>
                <w:b/>
                <w:color w:val="auto"/>
              </w:rPr>
            </w:pPr>
            <w:r w:rsidRPr="00F90952">
              <w:rPr>
                <w:b/>
                <w:color w:val="auto"/>
              </w:rPr>
              <w:t>UNFITTING CONDITION</w:t>
            </w:r>
          </w:p>
        </w:tc>
        <w:tc>
          <w:tcPr>
            <w:tcW w:w="1530" w:type="dxa"/>
            <w:tcBorders>
              <w:left w:val="single" w:sz="4" w:space="0" w:color="auto"/>
            </w:tcBorders>
            <w:shd w:val="clear" w:color="auto" w:fill="D9D9D9"/>
            <w:vAlign w:val="center"/>
          </w:tcPr>
          <w:p w:rsidR="00071071" w:rsidRPr="00F90952" w:rsidRDefault="00071071" w:rsidP="006B690F">
            <w:pPr>
              <w:tabs>
                <w:tab w:val="left" w:pos="288"/>
                <w:tab w:val="left" w:pos="4752"/>
              </w:tabs>
              <w:rPr>
                <w:b/>
                <w:color w:val="auto"/>
              </w:rPr>
            </w:pPr>
            <w:r w:rsidRPr="00F90952">
              <w:rPr>
                <w:b/>
                <w:color w:val="auto"/>
              </w:rPr>
              <w:t>VASRD CODE</w:t>
            </w:r>
          </w:p>
        </w:tc>
        <w:tc>
          <w:tcPr>
            <w:tcW w:w="1026" w:type="dxa"/>
            <w:shd w:val="clear" w:color="auto" w:fill="D9D9D9"/>
            <w:vAlign w:val="center"/>
          </w:tcPr>
          <w:p w:rsidR="00071071" w:rsidRPr="00F90952" w:rsidRDefault="00071071" w:rsidP="006B690F">
            <w:pPr>
              <w:tabs>
                <w:tab w:val="left" w:pos="288"/>
                <w:tab w:val="left" w:pos="4752"/>
              </w:tabs>
              <w:rPr>
                <w:b/>
                <w:color w:val="auto"/>
              </w:rPr>
            </w:pPr>
            <w:r w:rsidRPr="00F90952">
              <w:rPr>
                <w:b/>
                <w:color w:val="auto"/>
              </w:rPr>
              <w:t>RATING</w:t>
            </w:r>
          </w:p>
        </w:tc>
      </w:tr>
      <w:tr w:rsidR="00071071" w:rsidRPr="00F90952" w:rsidTr="006B690F">
        <w:trPr>
          <w:jc w:val="center"/>
        </w:trPr>
        <w:tc>
          <w:tcPr>
            <w:tcW w:w="6768" w:type="dxa"/>
            <w:gridSpan w:val="2"/>
            <w:tcBorders>
              <w:right w:val="single" w:sz="4" w:space="0" w:color="auto"/>
            </w:tcBorders>
            <w:vAlign w:val="center"/>
          </w:tcPr>
          <w:p w:rsidR="00071071" w:rsidRPr="00F90952" w:rsidRDefault="000C7322" w:rsidP="006B690F">
            <w:pPr>
              <w:tabs>
                <w:tab w:val="left" w:pos="288"/>
                <w:tab w:val="left" w:pos="4752"/>
              </w:tabs>
              <w:jc w:val="left"/>
              <w:rPr>
                <w:color w:val="auto"/>
              </w:rPr>
            </w:pPr>
            <w:r w:rsidRPr="00F90952">
              <w:rPr>
                <w:color w:val="auto"/>
              </w:rPr>
              <w:t>Right Patellofemoral Pain Syndrome</w:t>
            </w:r>
          </w:p>
        </w:tc>
        <w:tc>
          <w:tcPr>
            <w:tcW w:w="1530" w:type="dxa"/>
            <w:tcBorders>
              <w:left w:val="single" w:sz="4" w:space="0" w:color="auto"/>
            </w:tcBorders>
            <w:vAlign w:val="center"/>
          </w:tcPr>
          <w:p w:rsidR="00071071" w:rsidRPr="00F90952" w:rsidRDefault="000C7322" w:rsidP="00D85219">
            <w:pPr>
              <w:tabs>
                <w:tab w:val="left" w:pos="288"/>
                <w:tab w:val="left" w:pos="4752"/>
              </w:tabs>
              <w:rPr>
                <w:color w:val="auto"/>
              </w:rPr>
            </w:pPr>
            <w:r w:rsidRPr="00F90952">
              <w:rPr>
                <w:color w:val="auto"/>
              </w:rPr>
              <w:t>5</w:t>
            </w:r>
            <w:r w:rsidR="00D85219" w:rsidRPr="00F90952">
              <w:rPr>
                <w:color w:val="auto"/>
              </w:rPr>
              <w:t>0</w:t>
            </w:r>
            <w:r w:rsidRPr="00F90952">
              <w:rPr>
                <w:color w:val="auto"/>
              </w:rPr>
              <w:t>99-5</w:t>
            </w:r>
            <w:r w:rsidR="00D85219" w:rsidRPr="00F90952">
              <w:rPr>
                <w:color w:val="auto"/>
              </w:rPr>
              <w:t>003</w:t>
            </w:r>
          </w:p>
        </w:tc>
        <w:tc>
          <w:tcPr>
            <w:tcW w:w="1026" w:type="dxa"/>
            <w:vAlign w:val="center"/>
          </w:tcPr>
          <w:p w:rsidR="00071071" w:rsidRPr="00F90952" w:rsidRDefault="000C7322" w:rsidP="006B690F">
            <w:pPr>
              <w:tabs>
                <w:tab w:val="left" w:pos="288"/>
                <w:tab w:val="left" w:pos="4752"/>
              </w:tabs>
              <w:rPr>
                <w:color w:val="auto"/>
              </w:rPr>
            </w:pPr>
            <w:r w:rsidRPr="00F90952">
              <w:rPr>
                <w:color w:val="auto"/>
              </w:rPr>
              <w:t>1</w:t>
            </w:r>
            <w:r w:rsidR="00071071" w:rsidRPr="00F90952">
              <w:rPr>
                <w:color w:val="auto"/>
              </w:rPr>
              <w:t>0%</w:t>
            </w:r>
          </w:p>
        </w:tc>
      </w:tr>
      <w:tr w:rsidR="000C7322" w:rsidRPr="00F90952" w:rsidTr="006B690F">
        <w:trPr>
          <w:jc w:val="center"/>
        </w:trPr>
        <w:tc>
          <w:tcPr>
            <w:tcW w:w="6768" w:type="dxa"/>
            <w:gridSpan w:val="2"/>
            <w:tcBorders>
              <w:right w:val="single" w:sz="4" w:space="0" w:color="auto"/>
            </w:tcBorders>
            <w:vAlign w:val="center"/>
          </w:tcPr>
          <w:p w:rsidR="000C7322" w:rsidRPr="00F90952" w:rsidRDefault="000C7322" w:rsidP="006B690F">
            <w:pPr>
              <w:tabs>
                <w:tab w:val="left" w:pos="288"/>
                <w:tab w:val="left" w:pos="4752"/>
              </w:tabs>
              <w:jc w:val="left"/>
              <w:rPr>
                <w:color w:val="auto"/>
              </w:rPr>
            </w:pPr>
            <w:r w:rsidRPr="00F90952">
              <w:rPr>
                <w:color w:val="auto"/>
              </w:rPr>
              <w:t>Left Patellofemoral Pain Syndrome</w:t>
            </w:r>
          </w:p>
        </w:tc>
        <w:tc>
          <w:tcPr>
            <w:tcW w:w="1530" w:type="dxa"/>
            <w:tcBorders>
              <w:left w:val="single" w:sz="4" w:space="0" w:color="auto"/>
            </w:tcBorders>
            <w:vAlign w:val="center"/>
          </w:tcPr>
          <w:p w:rsidR="000C7322" w:rsidRPr="00F90952" w:rsidRDefault="000C7322" w:rsidP="00D85219">
            <w:pPr>
              <w:tabs>
                <w:tab w:val="left" w:pos="288"/>
                <w:tab w:val="left" w:pos="4752"/>
              </w:tabs>
              <w:rPr>
                <w:color w:val="auto"/>
              </w:rPr>
            </w:pPr>
            <w:r w:rsidRPr="00F90952">
              <w:rPr>
                <w:color w:val="auto"/>
              </w:rPr>
              <w:t>5</w:t>
            </w:r>
            <w:r w:rsidR="00D85219" w:rsidRPr="00F90952">
              <w:rPr>
                <w:color w:val="auto"/>
              </w:rPr>
              <w:t>0</w:t>
            </w:r>
            <w:r w:rsidRPr="00F90952">
              <w:rPr>
                <w:color w:val="auto"/>
              </w:rPr>
              <w:t>99-5</w:t>
            </w:r>
            <w:r w:rsidR="00D85219" w:rsidRPr="00F90952">
              <w:rPr>
                <w:color w:val="auto"/>
              </w:rPr>
              <w:t>003</w:t>
            </w:r>
          </w:p>
        </w:tc>
        <w:tc>
          <w:tcPr>
            <w:tcW w:w="1026" w:type="dxa"/>
            <w:vAlign w:val="center"/>
          </w:tcPr>
          <w:p w:rsidR="000C7322" w:rsidRPr="00F90952" w:rsidRDefault="000C7322" w:rsidP="006B690F">
            <w:pPr>
              <w:tabs>
                <w:tab w:val="left" w:pos="288"/>
                <w:tab w:val="left" w:pos="4752"/>
              </w:tabs>
              <w:rPr>
                <w:color w:val="auto"/>
              </w:rPr>
            </w:pPr>
            <w:r w:rsidRPr="00F90952">
              <w:rPr>
                <w:color w:val="auto"/>
              </w:rPr>
              <w:t>10%</w:t>
            </w:r>
          </w:p>
        </w:tc>
      </w:tr>
      <w:tr w:rsidR="00071071" w:rsidRPr="00F90952" w:rsidTr="006B690F">
        <w:tblPrEx>
          <w:tblLook w:val="0000"/>
        </w:tblPrEx>
        <w:trPr>
          <w:gridBefore w:val="1"/>
          <w:wBefore w:w="6048" w:type="dxa"/>
          <w:trHeight w:val="152"/>
          <w:jc w:val="center"/>
        </w:trPr>
        <w:tc>
          <w:tcPr>
            <w:tcW w:w="2250" w:type="dxa"/>
            <w:gridSpan w:val="2"/>
            <w:tcBorders>
              <w:left w:val="single" w:sz="4" w:space="0" w:color="auto"/>
            </w:tcBorders>
            <w:shd w:val="clear" w:color="auto" w:fill="D9D9D9"/>
            <w:vAlign w:val="center"/>
          </w:tcPr>
          <w:p w:rsidR="00071071" w:rsidRPr="00F90952" w:rsidRDefault="00071071" w:rsidP="006B690F">
            <w:pPr>
              <w:tabs>
                <w:tab w:val="left" w:pos="288"/>
                <w:tab w:val="left" w:pos="4752"/>
              </w:tabs>
              <w:rPr>
                <w:b/>
                <w:color w:val="auto"/>
              </w:rPr>
            </w:pPr>
            <w:r w:rsidRPr="00F90952">
              <w:rPr>
                <w:b/>
                <w:color w:val="auto"/>
              </w:rPr>
              <w:t>COMBINED (w/ BLF)</w:t>
            </w:r>
          </w:p>
        </w:tc>
        <w:tc>
          <w:tcPr>
            <w:tcW w:w="1026" w:type="dxa"/>
            <w:shd w:val="clear" w:color="auto" w:fill="D9D9D9"/>
            <w:vAlign w:val="center"/>
          </w:tcPr>
          <w:p w:rsidR="00071071" w:rsidRPr="00F90952" w:rsidRDefault="000C7322" w:rsidP="006B690F">
            <w:pPr>
              <w:tabs>
                <w:tab w:val="left" w:pos="288"/>
                <w:tab w:val="left" w:pos="4752"/>
              </w:tabs>
              <w:rPr>
                <w:b/>
                <w:color w:val="auto"/>
              </w:rPr>
            </w:pPr>
            <w:r w:rsidRPr="00F90952">
              <w:rPr>
                <w:b/>
                <w:color w:val="auto"/>
              </w:rPr>
              <w:t>2</w:t>
            </w:r>
            <w:r w:rsidR="00071071" w:rsidRPr="00F90952">
              <w:rPr>
                <w:b/>
                <w:color w:val="auto"/>
              </w:rPr>
              <w:t>0%</w:t>
            </w:r>
          </w:p>
        </w:tc>
      </w:tr>
    </w:tbl>
    <w:p w:rsidR="00AD2379" w:rsidRPr="00F90952" w:rsidRDefault="00AD2379" w:rsidP="006B690F">
      <w:pPr>
        <w:pBdr>
          <w:bottom w:val="single" w:sz="12" w:space="1" w:color="auto"/>
        </w:pBdr>
        <w:tabs>
          <w:tab w:val="left" w:pos="288"/>
          <w:tab w:val="left" w:pos="4752"/>
        </w:tabs>
        <w:jc w:val="both"/>
        <w:rPr>
          <w:color w:val="auto"/>
        </w:rPr>
      </w:pPr>
    </w:p>
    <w:p w:rsidR="00AD2379" w:rsidRPr="00F90952" w:rsidRDefault="00AD2379" w:rsidP="006B690F">
      <w:pPr>
        <w:jc w:val="both"/>
        <w:rPr>
          <w:color w:val="auto"/>
        </w:rPr>
      </w:pPr>
    </w:p>
    <w:p w:rsidR="00AD2379" w:rsidRPr="00F90952" w:rsidRDefault="00AD2379" w:rsidP="006B690F">
      <w:pPr>
        <w:tabs>
          <w:tab w:val="left" w:pos="288"/>
          <w:tab w:val="left" w:pos="4752"/>
        </w:tabs>
        <w:jc w:val="both"/>
        <w:rPr>
          <w:color w:val="auto"/>
        </w:rPr>
      </w:pPr>
      <w:r w:rsidRPr="00F9095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AB6332">
        <w:rPr>
          <w:color w:val="auto"/>
        </w:rPr>
        <w:t>20</w:t>
      </w:r>
      <w:r w:rsidR="00AB6332" w:rsidRPr="00AB6332">
        <w:rPr>
          <w:color w:val="auto"/>
        </w:rPr>
        <w:t>12</w:t>
      </w:r>
      <w:r w:rsidR="00AB6332">
        <w:rPr>
          <w:color w:val="auto"/>
        </w:rPr>
        <w:t>0126</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lastRenderedPageBreak/>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07752E">
        <w:rPr>
          <w:color w:val="auto"/>
        </w:rPr>
        <w:t>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07752E" w:rsidRDefault="00AD2379" w:rsidP="00BF0E94">
      <w:pPr>
        <w:tabs>
          <w:tab w:val="left" w:pos="0"/>
          <w:tab w:val="left" w:pos="4320"/>
        </w:tabs>
        <w:jc w:val="both"/>
        <w:rPr>
          <w:color w:val="auto"/>
        </w:rPr>
      </w:pPr>
      <w:r w:rsidRPr="00F64312">
        <w:rPr>
          <w:color w:val="auto"/>
        </w:rPr>
        <w:tab/>
        <w:t xml:space="preserve">           Physical Disability Board of Review</w:t>
      </w:r>
    </w:p>
    <w:p w:rsidR="0007752E" w:rsidRDefault="0007752E" w:rsidP="0007752E">
      <w:pPr>
        <w:sectPr w:rsidR="0007752E">
          <w:pgSz w:w="12240" w:h="15840"/>
          <w:pgMar w:top="2160" w:right="1440" w:bottom="1440" w:left="1440" w:header="720" w:footer="720" w:gutter="0"/>
          <w:cols w:space="720"/>
        </w:sectPr>
      </w:pPr>
    </w:p>
    <w:p w:rsidR="0007752E" w:rsidRDefault="0007752E" w:rsidP="0007752E">
      <w:pPr>
        <w:pStyle w:val="Header"/>
        <w:tabs>
          <w:tab w:val="left" w:pos="720"/>
        </w:tabs>
        <w:jc w:val="left"/>
      </w:pPr>
      <w:r>
        <w:lastRenderedPageBreak/>
        <w:t>SFMR-RB</w:t>
      </w:r>
      <w:r>
        <w:tab/>
      </w:r>
      <w:r>
        <w:tab/>
      </w:r>
      <w:r>
        <w:tab/>
      </w:r>
      <w:r>
        <w:tab/>
      </w:r>
      <w:r>
        <w:tab/>
      </w:r>
      <w:r>
        <w:tab/>
      </w:r>
      <w:r>
        <w:tab/>
      </w:r>
      <w:r>
        <w:tab/>
      </w:r>
      <w:r>
        <w:tab/>
      </w:r>
    </w:p>
    <w:p w:rsidR="0007752E" w:rsidRDefault="0007752E" w:rsidP="0007752E">
      <w:pPr>
        <w:pStyle w:val="Header"/>
        <w:tabs>
          <w:tab w:val="left" w:pos="720"/>
        </w:tabs>
        <w:jc w:val="left"/>
      </w:pPr>
    </w:p>
    <w:p w:rsidR="0007752E" w:rsidRDefault="0007752E" w:rsidP="0007752E">
      <w:pPr>
        <w:jc w:val="left"/>
      </w:pPr>
    </w:p>
    <w:p w:rsidR="0007752E" w:rsidRDefault="0007752E" w:rsidP="0007752E">
      <w:pPr>
        <w:jc w:val="left"/>
      </w:pPr>
      <w:r>
        <w:t xml:space="preserve">MEMORANDUM FOR Commander, US Army Physical Disability Agency </w:t>
      </w:r>
    </w:p>
    <w:p w:rsidR="0007752E" w:rsidRDefault="0007752E" w:rsidP="0007752E">
      <w:pPr>
        <w:jc w:val="left"/>
      </w:pPr>
      <w:r>
        <w:t xml:space="preserve">(TAPD-ZB </w:t>
      </w:r>
      <w:proofErr w:type="gramStart"/>
      <w:r>
        <w:t>/  )</w:t>
      </w:r>
      <w:proofErr w:type="gramEnd"/>
      <w:r>
        <w:t>, 2900 Crystal Drive, Suite 300, Arlington, VA  22202</w:t>
      </w:r>
    </w:p>
    <w:p w:rsidR="0007752E" w:rsidRDefault="0007752E" w:rsidP="0007752E">
      <w:pPr>
        <w:jc w:val="left"/>
      </w:pPr>
    </w:p>
    <w:p w:rsidR="0007752E" w:rsidRDefault="0007752E" w:rsidP="0007752E">
      <w:pPr>
        <w:ind w:right="-180"/>
        <w:jc w:val="left"/>
      </w:pPr>
      <w:r>
        <w:t xml:space="preserve">SUBJECT:  Department of Defense Physical Disability Board of Review Recommendation </w:t>
      </w:r>
    </w:p>
    <w:p w:rsidR="0007752E" w:rsidRDefault="0007752E" w:rsidP="0007752E">
      <w:pPr>
        <w:pStyle w:val="Header"/>
        <w:tabs>
          <w:tab w:val="left" w:pos="720"/>
        </w:tabs>
        <w:jc w:val="left"/>
      </w:pPr>
      <w:proofErr w:type="gramStart"/>
      <w:r>
        <w:t>for</w:t>
      </w:r>
      <w:proofErr w:type="gramEnd"/>
      <w:r>
        <w:t xml:space="preserve"> XXXXXXXXXXXXXXXXXXXX, AR20120015239 (PD201200093)</w:t>
      </w:r>
    </w:p>
    <w:p w:rsidR="0007752E" w:rsidRDefault="0007752E" w:rsidP="0007752E">
      <w:pPr>
        <w:pStyle w:val="Header"/>
        <w:tabs>
          <w:tab w:val="left" w:pos="720"/>
        </w:tabs>
        <w:jc w:val="left"/>
      </w:pPr>
    </w:p>
    <w:p w:rsidR="0007752E" w:rsidRDefault="0007752E" w:rsidP="0007752E">
      <w:pPr>
        <w:jc w:val="left"/>
      </w:pPr>
    </w:p>
    <w:p w:rsidR="0007752E" w:rsidRDefault="0007752E" w:rsidP="0007752E">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07752E" w:rsidRDefault="0007752E" w:rsidP="0007752E">
      <w:pPr>
        <w:jc w:val="left"/>
      </w:pPr>
    </w:p>
    <w:p w:rsidR="0007752E" w:rsidRDefault="0007752E" w:rsidP="0007752E">
      <w:pPr>
        <w:jc w:val="left"/>
      </w:pPr>
      <w:r>
        <w:t xml:space="preserve">2.  I direct that all the Department of the Army records of the individual concerned be corrected accordingly no later than 120 days from the date of this memorandum.   </w:t>
      </w:r>
    </w:p>
    <w:p w:rsidR="0007752E" w:rsidRDefault="0007752E" w:rsidP="0007752E">
      <w:pPr>
        <w:jc w:val="left"/>
      </w:pPr>
    </w:p>
    <w:p w:rsidR="0007752E" w:rsidRDefault="0007752E" w:rsidP="0007752E">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07752E" w:rsidRDefault="0007752E" w:rsidP="0007752E">
      <w:pPr>
        <w:jc w:val="left"/>
      </w:pPr>
    </w:p>
    <w:p w:rsidR="0007752E" w:rsidRDefault="0007752E" w:rsidP="0007752E">
      <w:pPr>
        <w:jc w:val="left"/>
      </w:pPr>
      <w:r>
        <w:t xml:space="preserve"> BY ORDER OF THE SECRETARY OF THE ARMY:</w:t>
      </w:r>
    </w:p>
    <w:p w:rsidR="0007752E" w:rsidRDefault="0007752E" w:rsidP="0007752E">
      <w:pPr>
        <w:jc w:val="left"/>
      </w:pPr>
    </w:p>
    <w:p w:rsidR="0007752E" w:rsidRDefault="0007752E" w:rsidP="0007752E">
      <w:pPr>
        <w:jc w:val="left"/>
      </w:pPr>
    </w:p>
    <w:p w:rsidR="0007752E" w:rsidRDefault="0007752E" w:rsidP="0007752E">
      <w:pPr>
        <w:pStyle w:val="Header"/>
        <w:tabs>
          <w:tab w:val="left" w:pos="720"/>
        </w:tabs>
        <w:jc w:val="left"/>
      </w:pPr>
    </w:p>
    <w:p w:rsidR="0007752E" w:rsidRDefault="0007752E" w:rsidP="0007752E">
      <w:pPr>
        <w:jc w:val="left"/>
      </w:pPr>
    </w:p>
    <w:p w:rsidR="0007752E" w:rsidRDefault="0007752E" w:rsidP="0007752E">
      <w:pPr>
        <w:jc w:val="left"/>
      </w:pPr>
      <w:bookmarkStart w:id="1" w:name="OLE_LINK4"/>
      <w:bookmarkStart w:id="2" w:name="OLE_LINK3"/>
      <w:r>
        <w:t>Encl</w:t>
      </w:r>
      <w:r>
        <w:tab/>
      </w:r>
      <w:r>
        <w:tab/>
      </w:r>
      <w:r>
        <w:tab/>
      </w:r>
      <w:r>
        <w:tab/>
      </w:r>
      <w:r>
        <w:tab/>
      </w:r>
      <w:r>
        <w:tab/>
        <w:t xml:space="preserve">     XXXXXXXXXXXXXXXXXXXXXXX</w:t>
      </w:r>
    </w:p>
    <w:p w:rsidR="0007752E" w:rsidRDefault="0007752E" w:rsidP="0007752E">
      <w:pPr>
        <w:jc w:val="left"/>
      </w:pPr>
      <w:r>
        <w:tab/>
      </w:r>
      <w:r>
        <w:tab/>
      </w:r>
      <w:r>
        <w:tab/>
      </w:r>
      <w:r>
        <w:tab/>
      </w:r>
      <w:r>
        <w:tab/>
      </w:r>
      <w:r>
        <w:tab/>
        <w:t xml:space="preserve">     Deputy Assistant Secretary</w:t>
      </w:r>
    </w:p>
    <w:p w:rsidR="0007752E" w:rsidRDefault="0007752E" w:rsidP="0007752E">
      <w:pPr>
        <w:jc w:val="left"/>
      </w:pPr>
      <w:r>
        <w:tab/>
      </w:r>
      <w:r>
        <w:tab/>
      </w:r>
      <w:r>
        <w:tab/>
      </w:r>
      <w:r>
        <w:tab/>
      </w:r>
      <w:r>
        <w:tab/>
      </w:r>
      <w:r>
        <w:tab/>
        <w:t xml:space="preserve">         (Army Review Boards)</w:t>
      </w:r>
      <w:bookmarkEnd w:id="1"/>
      <w:bookmarkEnd w:id="2"/>
    </w:p>
    <w:p w:rsidR="0007752E" w:rsidRDefault="0007752E" w:rsidP="0007752E">
      <w:pPr>
        <w:jc w:val="left"/>
      </w:pPr>
    </w:p>
    <w:p w:rsidR="0007752E" w:rsidRDefault="0007752E" w:rsidP="0007752E">
      <w:pPr>
        <w:jc w:val="left"/>
      </w:pPr>
      <w:r>
        <w:t xml:space="preserve">CF: </w:t>
      </w:r>
    </w:p>
    <w:p w:rsidR="0007752E" w:rsidRDefault="0007752E" w:rsidP="0007752E">
      <w:pPr>
        <w:jc w:val="left"/>
      </w:pPr>
      <w:r>
        <w:t xml:space="preserve">(  ) </w:t>
      </w:r>
      <w:proofErr w:type="spellStart"/>
      <w:proofErr w:type="gramStart"/>
      <w:r>
        <w:t>DoD</w:t>
      </w:r>
      <w:proofErr w:type="spellEnd"/>
      <w:proofErr w:type="gramEnd"/>
      <w:r>
        <w:t xml:space="preserve"> PDBR</w:t>
      </w:r>
    </w:p>
    <w:p w:rsidR="0007752E" w:rsidRDefault="0007752E" w:rsidP="0007752E">
      <w:pPr>
        <w:jc w:val="left"/>
      </w:pPr>
      <w:r>
        <w:t>(  ) DVA</w:t>
      </w:r>
    </w:p>
    <w:p w:rsidR="0007752E" w:rsidRDefault="0007752E">
      <w:pPr>
        <w:spacing w:line="240" w:lineRule="auto"/>
        <w:jc w:val="left"/>
        <w:rPr>
          <w:color w:val="auto"/>
        </w:rPr>
      </w:pPr>
    </w:p>
    <w:p w:rsidR="00AD2379" w:rsidRDefault="00AD2379" w:rsidP="00BF0E94">
      <w:pPr>
        <w:tabs>
          <w:tab w:val="left" w:pos="0"/>
          <w:tab w:val="left" w:pos="4320"/>
        </w:tabs>
        <w:jc w:val="both"/>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E51" w:rsidRDefault="00C20E51">
      <w:r>
        <w:separator/>
      </w:r>
    </w:p>
  </w:endnote>
  <w:endnote w:type="continuationSeparator" w:id="0">
    <w:p w:rsidR="00C20E51" w:rsidRDefault="00C20E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07" w:rsidRPr="00374247" w:rsidRDefault="00BF6D07" w:rsidP="00726F84">
    <w:pPr>
      <w:pStyle w:val="Footer"/>
      <w:ind w:firstLine="4320"/>
      <w:rPr>
        <w:color w:val="auto"/>
      </w:rPr>
    </w:pPr>
    <w:r w:rsidRPr="00374247">
      <w:rPr>
        <w:color w:val="auto"/>
      </w:rPr>
      <w:t xml:space="preserve">   </w:t>
    </w:r>
    <w:r w:rsidR="004E62D9" w:rsidRPr="004E62D9">
      <w:fldChar w:fldCharType="begin"/>
    </w:r>
    <w:r w:rsidR="00C20E51">
      <w:instrText xml:space="preserve"> PAGE   \* MERGEFORMAT </w:instrText>
    </w:r>
    <w:r w:rsidR="004E62D9" w:rsidRPr="004E62D9">
      <w:fldChar w:fldCharType="separate"/>
    </w:r>
    <w:r w:rsidR="0007752E" w:rsidRPr="0007752E">
      <w:rPr>
        <w:noProof/>
        <w:color w:val="auto"/>
      </w:rPr>
      <w:t>2</w:t>
    </w:r>
    <w:r w:rsidR="004E62D9">
      <w:rPr>
        <w:noProof/>
        <w:color w:val="auto"/>
      </w:rPr>
      <w:fldChar w:fldCharType="end"/>
    </w:r>
    <w:r w:rsidRPr="00374247">
      <w:rPr>
        <w:color w:val="auto"/>
      </w:rPr>
      <w:t xml:space="preserve">                                                           </w:t>
    </w:r>
    <w:r w:rsidR="00066784">
      <w:rPr>
        <w:color w:val="auto"/>
      </w:rPr>
      <w:t>PD12</w:t>
    </w:r>
    <w:r w:rsidRPr="00AB6332">
      <w:rPr>
        <w:color w:val="auto"/>
      </w:rPr>
      <w:t>00</w:t>
    </w:r>
    <w:r w:rsidR="00AB6332" w:rsidRPr="00AB6332">
      <w:rPr>
        <w:color w:val="auto"/>
      </w:rPr>
      <w:t>093</w:t>
    </w:r>
  </w:p>
  <w:p w:rsidR="00BF6D07" w:rsidRPr="00684CE6" w:rsidRDefault="00BF6D0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E51" w:rsidRDefault="00C20E51">
      <w:r>
        <w:separator/>
      </w:r>
    </w:p>
  </w:footnote>
  <w:footnote w:type="continuationSeparator" w:id="0">
    <w:p w:rsidR="00C20E51" w:rsidRDefault="00C20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49C7"/>
    <w:rsid w:val="000059FA"/>
    <w:rsid w:val="00006186"/>
    <w:rsid w:val="00006F87"/>
    <w:rsid w:val="00007107"/>
    <w:rsid w:val="00007BCC"/>
    <w:rsid w:val="00010ABA"/>
    <w:rsid w:val="00010AF0"/>
    <w:rsid w:val="00010B0F"/>
    <w:rsid w:val="000115ED"/>
    <w:rsid w:val="00012428"/>
    <w:rsid w:val="00012733"/>
    <w:rsid w:val="0001281C"/>
    <w:rsid w:val="000132F8"/>
    <w:rsid w:val="00013417"/>
    <w:rsid w:val="000145C2"/>
    <w:rsid w:val="0001473F"/>
    <w:rsid w:val="00014A47"/>
    <w:rsid w:val="00014A9E"/>
    <w:rsid w:val="00014B4B"/>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C08"/>
    <w:rsid w:val="00040FC4"/>
    <w:rsid w:val="000416F8"/>
    <w:rsid w:val="00042978"/>
    <w:rsid w:val="00042C26"/>
    <w:rsid w:val="00043382"/>
    <w:rsid w:val="00044623"/>
    <w:rsid w:val="000452D7"/>
    <w:rsid w:val="000458FD"/>
    <w:rsid w:val="00046203"/>
    <w:rsid w:val="00051622"/>
    <w:rsid w:val="00051A11"/>
    <w:rsid w:val="00051F89"/>
    <w:rsid w:val="00052234"/>
    <w:rsid w:val="00053D7C"/>
    <w:rsid w:val="000575C5"/>
    <w:rsid w:val="000577C9"/>
    <w:rsid w:val="00060C18"/>
    <w:rsid w:val="00060FFD"/>
    <w:rsid w:val="00061D69"/>
    <w:rsid w:val="00063BE5"/>
    <w:rsid w:val="0006431E"/>
    <w:rsid w:val="000646B8"/>
    <w:rsid w:val="000647B0"/>
    <w:rsid w:val="000652EA"/>
    <w:rsid w:val="00065E21"/>
    <w:rsid w:val="00066784"/>
    <w:rsid w:val="000673ED"/>
    <w:rsid w:val="00067854"/>
    <w:rsid w:val="00070DED"/>
    <w:rsid w:val="00071071"/>
    <w:rsid w:val="00071F0D"/>
    <w:rsid w:val="00072433"/>
    <w:rsid w:val="00072B3E"/>
    <w:rsid w:val="0007488B"/>
    <w:rsid w:val="00075702"/>
    <w:rsid w:val="00075A0C"/>
    <w:rsid w:val="0007752E"/>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654"/>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322"/>
    <w:rsid w:val="000C75CF"/>
    <w:rsid w:val="000C7B83"/>
    <w:rsid w:val="000C7DE4"/>
    <w:rsid w:val="000D0471"/>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2EFA"/>
    <w:rsid w:val="001031F4"/>
    <w:rsid w:val="00103948"/>
    <w:rsid w:val="00103CCF"/>
    <w:rsid w:val="0010417F"/>
    <w:rsid w:val="001042D2"/>
    <w:rsid w:val="0010530E"/>
    <w:rsid w:val="001058BF"/>
    <w:rsid w:val="00105C07"/>
    <w:rsid w:val="00106920"/>
    <w:rsid w:val="00106AD8"/>
    <w:rsid w:val="001072AF"/>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4C5"/>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57BEC"/>
    <w:rsid w:val="00161642"/>
    <w:rsid w:val="00161761"/>
    <w:rsid w:val="00164413"/>
    <w:rsid w:val="001649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1F42"/>
    <w:rsid w:val="0018208F"/>
    <w:rsid w:val="00182A4C"/>
    <w:rsid w:val="00183F77"/>
    <w:rsid w:val="00183FB3"/>
    <w:rsid w:val="001844D8"/>
    <w:rsid w:val="00185DA8"/>
    <w:rsid w:val="00185ECB"/>
    <w:rsid w:val="001865E0"/>
    <w:rsid w:val="00186CD3"/>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1AD5"/>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6C7"/>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5C56"/>
    <w:rsid w:val="00236018"/>
    <w:rsid w:val="002374C9"/>
    <w:rsid w:val="0024162D"/>
    <w:rsid w:val="0024174E"/>
    <w:rsid w:val="00241B01"/>
    <w:rsid w:val="00241ECD"/>
    <w:rsid w:val="00242238"/>
    <w:rsid w:val="0024227D"/>
    <w:rsid w:val="002424D6"/>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2BA9"/>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1D"/>
    <w:rsid w:val="002A5943"/>
    <w:rsid w:val="002A5C3C"/>
    <w:rsid w:val="002A685E"/>
    <w:rsid w:val="002A72C7"/>
    <w:rsid w:val="002B0204"/>
    <w:rsid w:val="002B03B2"/>
    <w:rsid w:val="002B0749"/>
    <w:rsid w:val="002B0763"/>
    <w:rsid w:val="002B1308"/>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49F3"/>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2818"/>
    <w:rsid w:val="00323A90"/>
    <w:rsid w:val="00323E70"/>
    <w:rsid w:val="003258A7"/>
    <w:rsid w:val="00325BA2"/>
    <w:rsid w:val="003262BD"/>
    <w:rsid w:val="00326798"/>
    <w:rsid w:val="00326B1C"/>
    <w:rsid w:val="00326C08"/>
    <w:rsid w:val="00326F7F"/>
    <w:rsid w:val="003270CA"/>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057A"/>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904"/>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330D"/>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27FFB"/>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3E48"/>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884"/>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5642"/>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2D9"/>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07D27"/>
    <w:rsid w:val="00510588"/>
    <w:rsid w:val="00510F9C"/>
    <w:rsid w:val="0051146C"/>
    <w:rsid w:val="00511881"/>
    <w:rsid w:val="00511B27"/>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1DA9"/>
    <w:rsid w:val="00593043"/>
    <w:rsid w:val="00595B60"/>
    <w:rsid w:val="00595B63"/>
    <w:rsid w:val="00595BF0"/>
    <w:rsid w:val="00597083"/>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3430"/>
    <w:rsid w:val="005B45F7"/>
    <w:rsid w:val="005B56E0"/>
    <w:rsid w:val="005B5B3D"/>
    <w:rsid w:val="005B5E8F"/>
    <w:rsid w:val="005B64CF"/>
    <w:rsid w:val="005B72DA"/>
    <w:rsid w:val="005C0E87"/>
    <w:rsid w:val="005C1398"/>
    <w:rsid w:val="005C16F3"/>
    <w:rsid w:val="005C3758"/>
    <w:rsid w:val="005C4D72"/>
    <w:rsid w:val="005C4E29"/>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5F7741"/>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5C3F"/>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717"/>
    <w:rsid w:val="0065689C"/>
    <w:rsid w:val="0065726D"/>
    <w:rsid w:val="006573F2"/>
    <w:rsid w:val="0066011F"/>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2A8"/>
    <w:rsid w:val="0067443B"/>
    <w:rsid w:val="006770AA"/>
    <w:rsid w:val="00680450"/>
    <w:rsid w:val="0068098E"/>
    <w:rsid w:val="006810BD"/>
    <w:rsid w:val="00681350"/>
    <w:rsid w:val="0068160C"/>
    <w:rsid w:val="00681A55"/>
    <w:rsid w:val="00682486"/>
    <w:rsid w:val="006833A7"/>
    <w:rsid w:val="00684CE6"/>
    <w:rsid w:val="00684E2B"/>
    <w:rsid w:val="006857A0"/>
    <w:rsid w:val="006870CE"/>
    <w:rsid w:val="00687C7E"/>
    <w:rsid w:val="00687D3D"/>
    <w:rsid w:val="00687FFB"/>
    <w:rsid w:val="00690569"/>
    <w:rsid w:val="00690FDA"/>
    <w:rsid w:val="00691E61"/>
    <w:rsid w:val="00692180"/>
    <w:rsid w:val="006937C6"/>
    <w:rsid w:val="00693C5E"/>
    <w:rsid w:val="00693CEE"/>
    <w:rsid w:val="00694EEA"/>
    <w:rsid w:val="006955B4"/>
    <w:rsid w:val="00695DEF"/>
    <w:rsid w:val="00696476"/>
    <w:rsid w:val="0069687C"/>
    <w:rsid w:val="00696C74"/>
    <w:rsid w:val="00697B1A"/>
    <w:rsid w:val="00697C9B"/>
    <w:rsid w:val="006A0909"/>
    <w:rsid w:val="006A10FA"/>
    <w:rsid w:val="006A12E0"/>
    <w:rsid w:val="006A3D6C"/>
    <w:rsid w:val="006A40E6"/>
    <w:rsid w:val="006A4162"/>
    <w:rsid w:val="006A516B"/>
    <w:rsid w:val="006A5362"/>
    <w:rsid w:val="006A543A"/>
    <w:rsid w:val="006A5C07"/>
    <w:rsid w:val="006A75FA"/>
    <w:rsid w:val="006B07D5"/>
    <w:rsid w:val="006B1309"/>
    <w:rsid w:val="006B31E6"/>
    <w:rsid w:val="006B3923"/>
    <w:rsid w:val="006B3F3E"/>
    <w:rsid w:val="006B4AA2"/>
    <w:rsid w:val="006B4C4D"/>
    <w:rsid w:val="006B5253"/>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5D69"/>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2460"/>
    <w:rsid w:val="00743B71"/>
    <w:rsid w:val="00743C2D"/>
    <w:rsid w:val="00743C3A"/>
    <w:rsid w:val="00743E36"/>
    <w:rsid w:val="00743E67"/>
    <w:rsid w:val="00743F05"/>
    <w:rsid w:val="007441C1"/>
    <w:rsid w:val="007446F7"/>
    <w:rsid w:val="00744C68"/>
    <w:rsid w:val="00744EBB"/>
    <w:rsid w:val="00745B0A"/>
    <w:rsid w:val="00745DBE"/>
    <w:rsid w:val="007463A0"/>
    <w:rsid w:val="007468AC"/>
    <w:rsid w:val="00746AE2"/>
    <w:rsid w:val="00750C82"/>
    <w:rsid w:val="00750E3A"/>
    <w:rsid w:val="00752035"/>
    <w:rsid w:val="007529D9"/>
    <w:rsid w:val="0076100C"/>
    <w:rsid w:val="00761127"/>
    <w:rsid w:val="007612A5"/>
    <w:rsid w:val="007635A8"/>
    <w:rsid w:val="00763CAE"/>
    <w:rsid w:val="00763F95"/>
    <w:rsid w:val="007651ED"/>
    <w:rsid w:val="00765790"/>
    <w:rsid w:val="00766C87"/>
    <w:rsid w:val="00771043"/>
    <w:rsid w:val="0077272B"/>
    <w:rsid w:val="00773AF7"/>
    <w:rsid w:val="00773C45"/>
    <w:rsid w:val="00774FFD"/>
    <w:rsid w:val="00780378"/>
    <w:rsid w:val="0078085E"/>
    <w:rsid w:val="00781BD4"/>
    <w:rsid w:val="00782562"/>
    <w:rsid w:val="007828B4"/>
    <w:rsid w:val="00782CC1"/>
    <w:rsid w:val="007843E4"/>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E77"/>
    <w:rsid w:val="007A5AD1"/>
    <w:rsid w:val="007A5B7B"/>
    <w:rsid w:val="007A65A9"/>
    <w:rsid w:val="007A7FD8"/>
    <w:rsid w:val="007B00D0"/>
    <w:rsid w:val="007B0128"/>
    <w:rsid w:val="007B0635"/>
    <w:rsid w:val="007B0A06"/>
    <w:rsid w:val="007B0B24"/>
    <w:rsid w:val="007B0F8B"/>
    <w:rsid w:val="007B1C83"/>
    <w:rsid w:val="007B35E1"/>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5B0"/>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28"/>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A69"/>
    <w:rsid w:val="00882CC2"/>
    <w:rsid w:val="00883103"/>
    <w:rsid w:val="0088325A"/>
    <w:rsid w:val="00883930"/>
    <w:rsid w:val="00884535"/>
    <w:rsid w:val="00885574"/>
    <w:rsid w:val="008902BE"/>
    <w:rsid w:val="0089038F"/>
    <w:rsid w:val="00890919"/>
    <w:rsid w:val="00890CDA"/>
    <w:rsid w:val="00891BBA"/>
    <w:rsid w:val="00891BD9"/>
    <w:rsid w:val="00892079"/>
    <w:rsid w:val="00892B90"/>
    <w:rsid w:val="00895FCB"/>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3EB9"/>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160"/>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B3C"/>
    <w:rsid w:val="00952C0C"/>
    <w:rsid w:val="00952CC5"/>
    <w:rsid w:val="0095340A"/>
    <w:rsid w:val="00953AF6"/>
    <w:rsid w:val="0095423E"/>
    <w:rsid w:val="00954581"/>
    <w:rsid w:val="0095466C"/>
    <w:rsid w:val="00954E5B"/>
    <w:rsid w:val="00955100"/>
    <w:rsid w:val="00955316"/>
    <w:rsid w:val="00955E45"/>
    <w:rsid w:val="00956199"/>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0EED"/>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27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1B6B"/>
    <w:rsid w:val="009F3B63"/>
    <w:rsid w:val="009F43E2"/>
    <w:rsid w:val="009F44A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42B5"/>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136"/>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B6332"/>
    <w:rsid w:val="00AB6F4E"/>
    <w:rsid w:val="00AB7C5B"/>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4E9"/>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505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5"/>
    <w:rsid w:val="00B449EE"/>
    <w:rsid w:val="00B454AE"/>
    <w:rsid w:val="00B46089"/>
    <w:rsid w:val="00B4635D"/>
    <w:rsid w:val="00B47D60"/>
    <w:rsid w:val="00B501F5"/>
    <w:rsid w:val="00B50227"/>
    <w:rsid w:val="00B50510"/>
    <w:rsid w:val="00B505E9"/>
    <w:rsid w:val="00B522CD"/>
    <w:rsid w:val="00B55143"/>
    <w:rsid w:val="00B553B2"/>
    <w:rsid w:val="00B555C8"/>
    <w:rsid w:val="00B55917"/>
    <w:rsid w:val="00B55D87"/>
    <w:rsid w:val="00B5646A"/>
    <w:rsid w:val="00B56F3D"/>
    <w:rsid w:val="00B56FAA"/>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692C"/>
    <w:rsid w:val="00B91676"/>
    <w:rsid w:val="00B9322B"/>
    <w:rsid w:val="00B93640"/>
    <w:rsid w:val="00B94023"/>
    <w:rsid w:val="00B95136"/>
    <w:rsid w:val="00B95281"/>
    <w:rsid w:val="00B955D5"/>
    <w:rsid w:val="00B95833"/>
    <w:rsid w:val="00BA1824"/>
    <w:rsid w:val="00BA1D57"/>
    <w:rsid w:val="00BA2D98"/>
    <w:rsid w:val="00BA2F0C"/>
    <w:rsid w:val="00BA30D1"/>
    <w:rsid w:val="00BA30E1"/>
    <w:rsid w:val="00BA4609"/>
    <w:rsid w:val="00BA5BE2"/>
    <w:rsid w:val="00BA60FC"/>
    <w:rsid w:val="00BA6A9C"/>
    <w:rsid w:val="00BA7AA0"/>
    <w:rsid w:val="00BA7F46"/>
    <w:rsid w:val="00BB0388"/>
    <w:rsid w:val="00BB0A0A"/>
    <w:rsid w:val="00BB0A4A"/>
    <w:rsid w:val="00BB133C"/>
    <w:rsid w:val="00BB1A7F"/>
    <w:rsid w:val="00BB1F04"/>
    <w:rsid w:val="00BB45B5"/>
    <w:rsid w:val="00BB4DDE"/>
    <w:rsid w:val="00BB51A9"/>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463E"/>
    <w:rsid w:val="00BE5D55"/>
    <w:rsid w:val="00BE6365"/>
    <w:rsid w:val="00BF01B7"/>
    <w:rsid w:val="00BF0B7F"/>
    <w:rsid w:val="00BF0E94"/>
    <w:rsid w:val="00BF2988"/>
    <w:rsid w:val="00BF3FB9"/>
    <w:rsid w:val="00BF4012"/>
    <w:rsid w:val="00BF4225"/>
    <w:rsid w:val="00BF4720"/>
    <w:rsid w:val="00BF4F49"/>
    <w:rsid w:val="00BF6759"/>
    <w:rsid w:val="00BF6D07"/>
    <w:rsid w:val="00BF70A6"/>
    <w:rsid w:val="00BF72CA"/>
    <w:rsid w:val="00BF7B4F"/>
    <w:rsid w:val="00BF7B63"/>
    <w:rsid w:val="00BF7F3C"/>
    <w:rsid w:val="00C005D4"/>
    <w:rsid w:val="00C00671"/>
    <w:rsid w:val="00C006B0"/>
    <w:rsid w:val="00C02B77"/>
    <w:rsid w:val="00C0359D"/>
    <w:rsid w:val="00C038EC"/>
    <w:rsid w:val="00C03C21"/>
    <w:rsid w:val="00C05C6D"/>
    <w:rsid w:val="00C0671A"/>
    <w:rsid w:val="00C072D7"/>
    <w:rsid w:val="00C10302"/>
    <w:rsid w:val="00C104DB"/>
    <w:rsid w:val="00C10702"/>
    <w:rsid w:val="00C10A22"/>
    <w:rsid w:val="00C10F5B"/>
    <w:rsid w:val="00C1122B"/>
    <w:rsid w:val="00C127F2"/>
    <w:rsid w:val="00C13A38"/>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0E51"/>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2FEE"/>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279"/>
    <w:rsid w:val="00CC55D6"/>
    <w:rsid w:val="00CC5815"/>
    <w:rsid w:val="00CC59B4"/>
    <w:rsid w:val="00CC61D0"/>
    <w:rsid w:val="00CC69EC"/>
    <w:rsid w:val="00CC78A2"/>
    <w:rsid w:val="00CC7DF8"/>
    <w:rsid w:val="00CD15BE"/>
    <w:rsid w:val="00CD1EF2"/>
    <w:rsid w:val="00CD32BD"/>
    <w:rsid w:val="00CD34C7"/>
    <w:rsid w:val="00CD4C5C"/>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8CD"/>
    <w:rsid w:val="00CF5C12"/>
    <w:rsid w:val="00CF7B72"/>
    <w:rsid w:val="00CF7FC0"/>
    <w:rsid w:val="00D000A9"/>
    <w:rsid w:val="00D00384"/>
    <w:rsid w:val="00D005DB"/>
    <w:rsid w:val="00D0064E"/>
    <w:rsid w:val="00D006D7"/>
    <w:rsid w:val="00D00981"/>
    <w:rsid w:val="00D02596"/>
    <w:rsid w:val="00D0280D"/>
    <w:rsid w:val="00D02AEF"/>
    <w:rsid w:val="00D03EC9"/>
    <w:rsid w:val="00D05669"/>
    <w:rsid w:val="00D061EB"/>
    <w:rsid w:val="00D06952"/>
    <w:rsid w:val="00D07A72"/>
    <w:rsid w:val="00D10577"/>
    <w:rsid w:val="00D12405"/>
    <w:rsid w:val="00D12A4E"/>
    <w:rsid w:val="00D1323B"/>
    <w:rsid w:val="00D136B6"/>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4B1"/>
    <w:rsid w:val="00D61ABB"/>
    <w:rsid w:val="00D62D5C"/>
    <w:rsid w:val="00D63577"/>
    <w:rsid w:val="00D65489"/>
    <w:rsid w:val="00D67128"/>
    <w:rsid w:val="00D67FD7"/>
    <w:rsid w:val="00D704E4"/>
    <w:rsid w:val="00D714C5"/>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19"/>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D7B"/>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01D"/>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70"/>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09A2"/>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5F6F"/>
    <w:rsid w:val="00E670F8"/>
    <w:rsid w:val="00E6741B"/>
    <w:rsid w:val="00E67FAC"/>
    <w:rsid w:val="00E70164"/>
    <w:rsid w:val="00E71485"/>
    <w:rsid w:val="00E7200B"/>
    <w:rsid w:val="00E738CB"/>
    <w:rsid w:val="00E73C88"/>
    <w:rsid w:val="00E73E21"/>
    <w:rsid w:val="00E74437"/>
    <w:rsid w:val="00E7443D"/>
    <w:rsid w:val="00E75ACE"/>
    <w:rsid w:val="00E76BFA"/>
    <w:rsid w:val="00E771AF"/>
    <w:rsid w:val="00E80386"/>
    <w:rsid w:val="00E807F1"/>
    <w:rsid w:val="00E809C3"/>
    <w:rsid w:val="00E814D4"/>
    <w:rsid w:val="00E81A1A"/>
    <w:rsid w:val="00E81C3E"/>
    <w:rsid w:val="00E82091"/>
    <w:rsid w:val="00E82359"/>
    <w:rsid w:val="00E823F9"/>
    <w:rsid w:val="00E82B6D"/>
    <w:rsid w:val="00E83187"/>
    <w:rsid w:val="00E831E9"/>
    <w:rsid w:val="00E84DDA"/>
    <w:rsid w:val="00E8608F"/>
    <w:rsid w:val="00E86C1D"/>
    <w:rsid w:val="00E90703"/>
    <w:rsid w:val="00E90A62"/>
    <w:rsid w:val="00E9265E"/>
    <w:rsid w:val="00E956DB"/>
    <w:rsid w:val="00E957D7"/>
    <w:rsid w:val="00E970F6"/>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B7EEA"/>
    <w:rsid w:val="00EC0E65"/>
    <w:rsid w:val="00EC1251"/>
    <w:rsid w:val="00EC1E0A"/>
    <w:rsid w:val="00EC2938"/>
    <w:rsid w:val="00EC337D"/>
    <w:rsid w:val="00EC38EF"/>
    <w:rsid w:val="00EC476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2A3B"/>
    <w:rsid w:val="00EE48BB"/>
    <w:rsid w:val="00EE6FE0"/>
    <w:rsid w:val="00EE704A"/>
    <w:rsid w:val="00EE7840"/>
    <w:rsid w:val="00EF2346"/>
    <w:rsid w:val="00EF2E75"/>
    <w:rsid w:val="00EF4C74"/>
    <w:rsid w:val="00EF5268"/>
    <w:rsid w:val="00EF608E"/>
    <w:rsid w:val="00EF6C4A"/>
    <w:rsid w:val="00F00069"/>
    <w:rsid w:val="00F0044B"/>
    <w:rsid w:val="00F00E60"/>
    <w:rsid w:val="00F020E5"/>
    <w:rsid w:val="00F02F9F"/>
    <w:rsid w:val="00F03525"/>
    <w:rsid w:val="00F039A8"/>
    <w:rsid w:val="00F0424D"/>
    <w:rsid w:val="00F04957"/>
    <w:rsid w:val="00F053F0"/>
    <w:rsid w:val="00F05807"/>
    <w:rsid w:val="00F06451"/>
    <w:rsid w:val="00F07052"/>
    <w:rsid w:val="00F0706C"/>
    <w:rsid w:val="00F07803"/>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27F07"/>
    <w:rsid w:val="00F3197A"/>
    <w:rsid w:val="00F32139"/>
    <w:rsid w:val="00F33CF0"/>
    <w:rsid w:val="00F33D56"/>
    <w:rsid w:val="00F34E08"/>
    <w:rsid w:val="00F37584"/>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2F55"/>
    <w:rsid w:val="00F531D9"/>
    <w:rsid w:val="00F547EF"/>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2B0"/>
    <w:rsid w:val="00F764AF"/>
    <w:rsid w:val="00F76D01"/>
    <w:rsid w:val="00F80B43"/>
    <w:rsid w:val="00F80C97"/>
    <w:rsid w:val="00F81C35"/>
    <w:rsid w:val="00F82981"/>
    <w:rsid w:val="00F8311F"/>
    <w:rsid w:val="00F83248"/>
    <w:rsid w:val="00F83376"/>
    <w:rsid w:val="00F8443B"/>
    <w:rsid w:val="00F853AE"/>
    <w:rsid w:val="00F90376"/>
    <w:rsid w:val="00F908D5"/>
    <w:rsid w:val="00F90952"/>
    <w:rsid w:val="00F912A0"/>
    <w:rsid w:val="00F913B9"/>
    <w:rsid w:val="00F91B14"/>
    <w:rsid w:val="00F93C74"/>
    <w:rsid w:val="00F93DCC"/>
    <w:rsid w:val="00F93EA6"/>
    <w:rsid w:val="00F9435D"/>
    <w:rsid w:val="00F966F9"/>
    <w:rsid w:val="00F96F61"/>
    <w:rsid w:val="00F97740"/>
    <w:rsid w:val="00F97874"/>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3ED"/>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40808">
      <w:bodyDiv w:val="1"/>
      <w:marLeft w:val="0"/>
      <w:marRight w:val="0"/>
      <w:marTop w:val="0"/>
      <w:marBottom w:val="0"/>
      <w:divBdr>
        <w:top w:val="none" w:sz="0" w:space="0" w:color="auto"/>
        <w:left w:val="none" w:sz="0" w:space="0" w:color="auto"/>
        <w:bottom w:val="none" w:sz="0" w:space="0" w:color="auto"/>
        <w:right w:val="none" w:sz="0" w:space="0" w:color="auto"/>
      </w:divBdr>
      <w:divsChild>
        <w:div w:id="4094204">
          <w:marLeft w:val="0"/>
          <w:marRight w:val="0"/>
          <w:marTop w:val="0"/>
          <w:marBottom w:val="0"/>
          <w:divBdr>
            <w:top w:val="none" w:sz="0" w:space="0" w:color="auto"/>
            <w:left w:val="none" w:sz="0" w:space="0" w:color="auto"/>
            <w:bottom w:val="none" w:sz="0" w:space="0" w:color="auto"/>
            <w:right w:val="none" w:sz="0" w:space="0" w:color="auto"/>
          </w:divBdr>
          <w:divsChild>
            <w:div w:id="52429450">
              <w:marLeft w:val="206"/>
              <w:marRight w:val="411"/>
              <w:marTop w:val="206"/>
              <w:marBottom w:val="206"/>
              <w:divBdr>
                <w:top w:val="none" w:sz="0" w:space="0" w:color="auto"/>
                <w:left w:val="none" w:sz="0" w:space="0" w:color="auto"/>
                <w:bottom w:val="none" w:sz="0" w:space="0" w:color="auto"/>
                <w:right w:val="none" w:sz="0" w:space="0" w:color="auto"/>
              </w:divBdr>
              <w:divsChild>
                <w:div w:id="10609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73744">
      <w:bodyDiv w:val="1"/>
      <w:marLeft w:val="0"/>
      <w:marRight w:val="0"/>
      <w:marTop w:val="0"/>
      <w:marBottom w:val="0"/>
      <w:divBdr>
        <w:top w:val="none" w:sz="0" w:space="0" w:color="auto"/>
        <w:left w:val="none" w:sz="0" w:space="0" w:color="auto"/>
        <w:bottom w:val="none" w:sz="0" w:space="0" w:color="auto"/>
        <w:right w:val="none" w:sz="0" w:space="0" w:color="auto"/>
      </w:divBdr>
      <w:divsChild>
        <w:div w:id="22749166">
          <w:marLeft w:val="0"/>
          <w:marRight w:val="0"/>
          <w:marTop w:val="0"/>
          <w:marBottom w:val="0"/>
          <w:divBdr>
            <w:top w:val="none" w:sz="0" w:space="0" w:color="auto"/>
            <w:left w:val="none" w:sz="0" w:space="0" w:color="auto"/>
            <w:bottom w:val="none" w:sz="0" w:space="0" w:color="auto"/>
            <w:right w:val="none" w:sz="0" w:space="0" w:color="auto"/>
          </w:divBdr>
          <w:divsChild>
            <w:div w:id="1441799020">
              <w:marLeft w:val="206"/>
              <w:marRight w:val="411"/>
              <w:marTop w:val="206"/>
              <w:marBottom w:val="206"/>
              <w:divBdr>
                <w:top w:val="none" w:sz="0" w:space="0" w:color="auto"/>
                <w:left w:val="none" w:sz="0" w:space="0" w:color="auto"/>
                <w:bottom w:val="none" w:sz="0" w:space="0" w:color="auto"/>
                <w:right w:val="none" w:sz="0" w:space="0" w:color="auto"/>
              </w:divBdr>
              <w:divsChild>
                <w:div w:id="11992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0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2012-09-13T16:05:00Z</dcterms:created>
  <dcterms:modified xsi:type="dcterms:W3CDTF">2012-09-13T16:05:00Z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