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F64312" w:rsidRDefault="00AD2379" w:rsidP="000D4AF7">
      <w:pPr>
        <w:tabs>
          <w:tab w:val="left" w:pos="288"/>
          <w:tab w:val="left" w:pos="4770"/>
        </w:tabs>
        <w:rPr>
          <w:color w:val="auto"/>
        </w:rPr>
      </w:pPr>
      <w:r w:rsidRPr="00F64312">
        <w:rPr>
          <w:color w:val="auto"/>
        </w:rPr>
        <w:t>RECORD OF PROCEEDINGS</w:t>
      </w:r>
    </w:p>
    <w:p w:rsidR="00AD2379" w:rsidRPr="00F64312" w:rsidRDefault="00AD2379" w:rsidP="00BF0E94">
      <w:pPr>
        <w:tabs>
          <w:tab w:val="left" w:pos="288"/>
          <w:tab w:val="left" w:pos="4752"/>
        </w:tabs>
        <w:rPr>
          <w:color w:val="auto"/>
        </w:rPr>
      </w:pPr>
      <w:r w:rsidRPr="00F64312">
        <w:rPr>
          <w:color w:val="auto"/>
        </w:rPr>
        <w:t>PHYSICAL DISABILITY BOARD OF REVIEW</w:t>
      </w:r>
    </w:p>
    <w:p w:rsidR="00AD2379" w:rsidRPr="00F64312" w:rsidRDefault="00AD2379" w:rsidP="00BF0E94">
      <w:pPr>
        <w:tabs>
          <w:tab w:val="left" w:pos="288"/>
          <w:tab w:val="left" w:pos="4752"/>
        </w:tabs>
        <w:jc w:val="both"/>
        <w:rPr>
          <w:caps/>
          <w:color w:val="auto"/>
        </w:rPr>
      </w:pPr>
    </w:p>
    <w:p w:rsidR="0095270D" w:rsidRPr="00772CCC" w:rsidRDefault="0095270D" w:rsidP="00DD5558">
      <w:pPr>
        <w:tabs>
          <w:tab w:val="right" w:pos="9360"/>
        </w:tabs>
        <w:jc w:val="both"/>
        <w:rPr>
          <w:caps/>
          <w:color w:val="auto"/>
        </w:rPr>
      </w:pPr>
      <w:r w:rsidRPr="00F64312">
        <w:rPr>
          <w:caps/>
          <w:color w:val="auto"/>
        </w:rPr>
        <w:t xml:space="preserve">NAME:  </w:t>
      </w:r>
      <w:r w:rsidR="009E37E0">
        <w:rPr>
          <w:caps/>
          <w:color w:val="auto"/>
        </w:rPr>
        <w:t>XXXXXXXXXXXXXXX</w:t>
      </w:r>
      <w:r w:rsidR="005536D8">
        <w:rPr>
          <w:caps/>
          <w:color w:val="auto"/>
        </w:rPr>
        <w:t xml:space="preserve">                                                              </w:t>
      </w:r>
      <w:r w:rsidR="00384C77">
        <w:rPr>
          <w:caps/>
          <w:color w:val="auto"/>
        </w:rPr>
        <w:t xml:space="preserve">        </w:t>
      </w:r>
      <w:r w:rsidRPr="00772CCC">
        <w:rPr>
          <w:caps/>
          <w:color w:val="auto"/>
        </w:rPr>
        <w:t xml:space="preserve">BRANCH OF SERVICE:  </w:t>
      </w:r>
      <w:r w:rsidR="00DF70F4" w:rsidRPr="00772CCC">
        <w:rPr>
          <w:caps/>
          <w:color w:val="auto"/>
        </w:rPr>
        <w:t>Army</w:t>
      </w:r>
    </w:p>
    <w:p w:rsidR="0095270D" w:rsidRPr="00772CCC" w:rsidRDefault="0095270D" w:rsidP="00DD5558">
      <w:pPr>
        <w:tabs>
          <w:tab w:val="right" w:pos="9360"/>
        </w:tabs>
        <w:jc w:val="both"/>
        <w:rPr>
          <w:color w:val="auto"/>
        </w:rPr>
      </w:pPr>
      <w:r w:rsidRPr="00772CCC">
        <w:rPr>
          <w:caps/>
          <w:color w:val="auto"/>
        </w:rPr>
        <w:t>CASE NUMBER:  PD</w:t>
      </w:r>
      <w:r w:rsidR="001657BE" w:rsidRPr="00772CCC">
        <w:rPr>
          <w:caps/>
          <w:color w:val="auto"/>
        </w:rPr>
        <w:t>12</w:t>
      </w:r>
      <w:r w:rsidRPr="00772CCC">
        <w:rPr>
          <w:caps/>
          <w:color w:val="auto"/>
        </w:rPr>
        <w:t>00</w:t>
      </w:r>
      <w:r w:rsidR="00856763" w:rsidRPr="00772CCC">
        <w:rPr>
          <w:caps/>
          <w:color w:val="auto"/>
        </w:rPr>
        <w:t>073</w:t>
      </w:r>
      <w:r w:rsidR="00DD5558" w:rsidRPr="00772CCC">
        <w:rPr>
          <w:color w:val="auto"/>
        </w:rPr>
        <w:tab/>
      </w:r>
      <w:r w:rsidR="0018208F" w:rsidRPr="00772CCC">
        <w:rPr>
          <w:color w:val="auto"/>
        </w:rPr>
        <w:t>SE</w:t>
      </w:r>
      <w:r w:rsidRPr="00772CCC">
        <w:rPr>
          <w:color w:val="auto"/>
        </w:rPr>
        <w:t>PARATION DATE:  200</w:t>
      </w:r>
      <w:r w:rsidR="00856763" w:rsidRPr="00772CCC">
        <w:rPr>
          <w:color w:val="auto"/>
        </w:rPr>
        <w:t>80622</w:t>
      </w:r>
    </w:p>
    <w:p w:rsidR="00AD2379" w:rsidRPr="00F64312" w:rsidRDefault="0095270D" w:rsidP="0095270D">
      <w:pPr>
        <w:pBdr>
          <w:bottom w:val="single" w:sz="12" w:space="1" w:color="auto"/>
        </w:pBdr>
        <w:tabs>
          <w:tab w:val="left" w:pos="288"/>
          <w:tab w:val="left" w:pos="4752"/>
        </w:tabs>
        <w:jc w:val="both"/>
        <w:rPr>
          <w:rFonts w:cs="Times New Roman"/>
          <w:caps/>
          <w:color w:val="auto"/>
        </w:rPr>
      </w:pPr>
      <w:r w:rsidRPr="00772CCC">
        <w:rPr>
          <w:caps/>
          <w:color w:val="auto"/>
        </w:rPr>
        <w:t>BOARD DATE:  2012</w:t>
      </w:r>
      <w:r w:rsidR="00A0418C" w:rsidRPr="00A0418C">
        <w:rPr>
          <w:caps/>
          <w:color w:val="auto"/>
        </w:rPr>
        <w:t>0730</w:t>
      </w:r>
      <w:r w:rsidR="00552B5A">
        <w:rPr>
          <w:caps/>
          <w:color w:val="auto"/>
        </w:rPr>
        <w:t xml:space="preserve">  </w:t>
      </w:r>
    </w:p>
    <w:p w:rsidR="0095270D" w:rsidRPr="00F64312" w:rsidRDefault="0095270D" w:rsidP="0095270D">
      <w:pPr>
        <w:pBdr>
          <w:bottom w:val="single" w:sz="12" w:space="1" w:color="auto"/>
        </w:pBdr>
        <w:tabs>
          <w:tab w:val="left" w:pos="288"/>
          <w:tab w:val="left" w:pos="4752"/>
        </w:tabs>
        <w:jc w:val="both"/>
        <w:rPr>
          <w:color w:val="auto"/>
        </w:rPr>
      </w:pPr>
    </w:p>
    <w:p w:rsidR="00AD2379" w:rsidRPr="00F64312" w:rsidRDefault="00AD2379" w:rsidP="00BF0E94">
      <w:pPr>
        <w:tabs>
          <w:tab w:val="left" w:pos="288"/>
          <w:tab w:val="left" w:pos="4752"/>
        </w:tabs>
        <w:jc w:val="both"/>
        <w:rPr>
          <w:color w:val="auto"/>
        </w:rPr>
      </w:pPr>
    </w:p>
    <w:p w:rsidR="000B1C9E" w:rsidRPr="00772CCC" w:rsidRDefault="00AD2379" w:rsidP="00BF0E94">
      <w:pPr>
        <w:tabs>
          <w:tab w:val="left" w:pos="288"/>
          <w:tab w:val="left" w:pos="4752"/>
        </w:tabs>
        <w:jc w:val="both"/>
        <w:rPr>
          <w:color w:val="auto"/>
        </w:rPr>
      </w:pPr>
      <w:r w:rsidRPr="00F64312">
        <w:rPr>
          <w:color w:val="auto"/>
          <w:u w:val="single"/>
        </w:rPr>
        <w:t>SUMMARY OF CASE</w:t>
      </w:r>
      <w:r w:rsidRPr="00F64312">
        <w:rPr>
          <w:color w:val="auto"/>
        </w:rPr>
        <w:t>:</w:t>
      </w:r>
      <w:r w:rsidR="00532B33" w:rsidRPr="00F64312">
        <w:rPr>
          <w:color w:val="auto"/>
        </w:rPr>
        <w:t xml:space="preserve"> </w:t>
      </w:r>
      <w:r w:rsidRPr="00F64312">
        <w:rPr>
          <w:color w:val="auto"/>
        </w:rPr>
        <w:t xml:space="preserve"> Data extracted from the available evidence of record reflects that this covered individual (CI) was </w:t>
      </w:r>
      <w:r w:rsidR="00A70270" w:rsidRPr="00F64312">
        <w:rPr>
          <w:color w:val="auto"/>
        </w:rPr>
        <w:t xml:space="preserve">an </w:t>
      </w:r>
      <w:r w:rsidR="00A70270" w:rsidRPr="00772CCC">
        <w:rPr>
          <w:color w:val="auto"/>
        </w:rPr>
        <w:t>active duty</w:t>
      </w:r>
      <w:r w:rsidRPr="00772CCC">
        <w:rPr>
          <w:color w:val="auto"/>
        </w:rPr>
        <w:t xml:space="preserve"> </w:t>
      </w:r>
      <w:r w:rsidR="00856763" w:rsidRPr="00772CCC">
        <w:rPr>
          <w:color w:val="auto"/>
        </w:rPr>
        <w:t>PFC</w:t>
      </w:r>
      <w:r w:rsidR="0017172C" w:rsidRPr="00772CCC">
        <w:rPr>
          <w:color w:val="auto"/>
        </w:rPr>
        <w:t>/E-</w:t>
      </w:r>
      <w:r w:rsidR="00856763" w:rsidRPr="00772CCC">
        <w:rPr>
          <w:color w:val="auto"/>
        </w:rPr>
        <w:t>3</w:t>
      </w:r>
      <w:r w:rsidRPr="00772CCC">
        <w:rPr>
          <w:color w:val="auto"/>
        </w:rPr>
        <w:t xml:space="preserve"> (</w:t>
      </w:r>
      <w:r w:rsidR="00856763" w:rsidRPr="00772CCC">
        <w:rPr>
          <w:color w:val="auto"/>
        </w:rPr>
        <w:t>31B</w:t>
      </w:r>
      <w:r w:rsidR="00112F44" w:rsidRPr="00772CCC">
        <w:rPr>
          <w:color w:val="auto"/>
        </w:rPr>
        <w:t>/</w:t>
      </w:r>
      <w:r w:rsidR="00856763" w:rsidRPr="00772CCC">
        <w:rPr>
          <w:color w:val="auto"/>
        </w:rPr>
        <w:t>Military Police</w:t>
      </w:r>
      <w:r w:rsidR="00A70270" w:rsidRPr="00F64312">
        <w:rPr>
          <w:color w:val="auto"/>
        </w:rPr>
        <w:t>)</w:t>
      </w:r>
      <w:r w:rsidR="00565636" w:rsidRPr="00F64312">
        <w:rPr>
          <w:color w:val="auto"/>
        </w:rPr>
        <w:t>,</w:t>
      </w:r>
      <w:r w:rsidR="00A70270" w:rsidRPr="00F64312">
        <w:rPr>
          <w:color w:val="auto"/>
        </w:rPr>
        <w:t xml:space="preserve"> </w:t>
      </w:r>
      <w:r w:rsidRPr="00F64312">
        <w:rPr>
          <w:color w:val="auto"/>
        </w:rPr>
        <w:t xml:space="preserve">medically separated for </w:t>
      </w:r>
      <w:r w:rsidR="00856763">
        <w:rPr>
          <w:color w:val="auto"/>
        </w:rPr>
        <w:t xml:space="preserve">left </w:t>
      </w:r>
      <w:r w:rsidR="005705CE">
        <w:rPr>
          <w:color w:val="auto"/>
        </w:rPr>
        <w:t>h</w:t>
      </w:r>
      <w:r w:rsidR="00856763">
        <w:rPr>
          <w:color w:val="auto"/>
        </w:rPr>
        <w:t>ip/</w:t>
      </w:r>
      <w:r w:rsidR="005705CE">
        <w:rPr>
          <w:color w:val="auto"/>
        </w:rPr>
        <w:t>p</w:t>
      </w:r>
      <w:r w:rsidR="00856763">
        <w:rPr>
          <w:color w:val="auto"/>
        </w:rPr>
        <w:t>elvic pain</w:t>
      </w:r>
      <w:r w:rsidR="0021565F" w:rsidRPr="00F64312">
        <w:rPr>
          <w:color w:val="auto"/>
          <w:szCs w:val="24"/>
        </w:rPr>
        <w:t>.</w:t>
      </w:r>
      <w:r w:rsidR="006D5E1E" w:rsidRPr="00F64312">
        <w:rPr>
          <w:color w:val="auto"/>
          <w:szCs w:val="24"/>
        </w:rPr>
        <w:t xml:space="preserve">  </w:t>
      </w:r>
      <w:r w:rsidR="001F74BE">
        <w:rPr>
          <w:color w:val="auto"/>
          <w:szCs w:val="24"/>
        </w:rPr>
        <w:t xml:space="preserve">The CI developed left hip (pubic ramus) pain in </w:t>
      </w:r>
      <w:r w:rsidR="00384C77">
        <w:rPr>
          <w:color w:val="auto"/>
          <w:szCs w:val="24"/>
        </w:rPr>
        <w:t>b</w:t>
      </w:r>
      <w:r w:rsidR="001F74BE">
        <w:rPr>
          <w:color w:val="auto"/>
          <w:szCs w:val="24"/>
        </w:rPr>
        <w:t xml:space="preserve">asic </w:t>
      </w:r>
      <w:r w:rsidR="00384C77">
        <w:rPr>
          <w:color w:val="auto"/>
          <w:szCs w:val="24"/>
        </w:rPr>
        <w:t>t</w:t>
      </w:r>
      <w:r w:rsidR="001F74BE">
        <w:rPr>
          <w:color w:val="auto"/>
          <w:szCs w:val="24"/>
        </w:rPr>
        <w:t xml:space="preserve">raining in January 2007.  Bone scans </w:t>
      </w:r>
      <w:r w:rsidR="00C628DB">
        <w:rPr>
          <w:color w:val="auto"/>
          <w:szCs w:val="24"/>
        </w:rPr>
        <w:t xml:space="preserve">and </w:t>
      </w:r>
      <w:r w:rsidR="00384C77">
        <w:rPr>
          <w:color w:val="auto"/>
          <w:szCs w:val="24"/>
        </w:rPr>
        <w:t>magnetic resonance imaging (</w:t>
      </w:r>
      <w:r w:rsidR="00C628DB">
        <w:rPr>
          <w:color w:val="auto"/>
          <w:szCs w:val="24"/>
        </w:rPr>
        <w:t>MRI</w:t>
      </w:r>
      <w:r w:rsidR="00384C77">
        <w:rPr>
          <w:color w:val="auto"/>
          <w:szCs w:val="24"/>
        </w:rPr>
        <w:t>)</w:t>
      </w:r>
      <w:r w:rsidR="00C628DB">
        <w:rPr>
          <w:color w:val="auto"/>
          <w:szCs w:val="24"/>
        </w:rPr>
        <w:t xml:space="preserve"> </w:t>
      </w:r>
      <w:r w:rsidR="001F74BE">
        <w:rPr>
          <w:color w:val="auto"/>
          <w:szCs w:val="24"/>
        </w:rPr>
        <w:t xml:space="preserve">indicated stress fracture of the left pubic ramus (pelvis) that did not adequately respond to </w:t>
      </w:r>
      <w:r w:rsidR="001F74BE" w:rsidRPr="001F74BE">
        <w:rPr>
          <w:color w:val="auto"/>
          <w:szCs w:val="24"/>
        </w:rPr>
        <w:t xml:space="preserve">conservative treatment including </w:t>
      </w:r>
      <w:r w:rsidR="00C628DB">
        <w:rPr>
          <w:color w:val="auto"/>
          <w:szCs w:val="24"/>
        </w:rPr>
        <w:t xml:space="preserve">pain medications and </w:t>
      </w:r>
      <w:r w:rsidR="001F74BE" w:rsidRPr="001F74BE">
        <w:rPr>
          <w:color w:val="auto"/>
          <w:szCs w:val="24"/>
        </w:rPr>
        <w:t xml:space="preserve">periods of decreased activity.  </w:t>
      </w:r>
      <w:r w:rsidR="00C628DB">
        <w:rPr>
          <w:color w:val="auto"/>
          <w:szCs w:val="24"/>
        </w:rPr>
        <w:t>The l</w:t>
      </w:r>
      <w:r w:rsidR="00856763" w:rsidRPr="001F74BE">
        <w:rPr>
          <w:color w:val="auto"/>
        </w:rPr>
        <w:t xml:space="preserve">eft </w:t>
      </w:r>
      <w:r w:rsidR="00C628DB">
        <w:rPr>
          <w:color w:val="auto"/>
        </w:rPr>
        <w:t>h</w:t>
      </w:r>
      <w:r w:rsidR="00856763" w:rsidRPr="001F74BE">
        <w:rPr>
          <w:color w:val="auto"/>
        </w:rPr>
        <w:t>ip/</w:t>
      </w:r>
      <w:r w:rsidR="00C628DB">
        <w:rPr>
          <w:color w:val="auto"/>
        </w:rPr>
        <w:t>p</w:t>
      </w:r>
      <w:r w:rsidR="00856763" w:rsidRPr="001F74BE">
        <w:rPr>
          <w:color w:val="auto"/>
        </w:rPr>
        <w:t>elvic pain c</w:t>
      </w:r>
      <w:r w:rsidR="002143E5" w:rsidRPr="001F74BE">
        <w:rPr>
          <w:color w:val="auto"/>
        </w:rPr>
        <w:t>ondition</w:t>
      </w:r>
      <w:r w:rsidR="00F566B7" w:rsidRPr="001F74BE">
        <w:rPr>
          <w:color w:val="auto"/>
        </w:rPr>
        <w:t xml:space="preserve"> could </w:t>
      </w:r>
      <w:r w:rsidR="00F15483" w:rsidRPr="001F74BE">
        <w:rPr>
          <w:color w:val="auto"/>
        </w:rPr>
        <w:t>not be adequately rehabilitated</w:t>
      </w:r>
      <w:r w:rsidR="001F74BE" w:rsidRPr="001F74BE">
        <w:rPr>
          <w:color w:val="auto"/>
        </w:rPr>
        <w:t xml:space="preserve"> </w:t>
      </w:r>
      <w:r w:rsidR="00F566B7" w:rsidRPr="001F74BE">
        <w:rPr>
          <w:color w:val="auto"/>
        </w:rPr>
        <w:t>to meet</w:t>
      </w:r>
      <w:r w:rsidR="00F566B7" w:rsidRPr="00F64312">
        <w:rPr>
          <w:color w:val="auto"/>
        </w:rPr>
        <w:t xml:space="preserve"> the physical requirements of </w:t>
      </w:r>
      <w:r w:rsidR="0021565F" w:rsidRPr="00772CCC">
        <w:rPr>
          <w:color w:val="auto"/>
        </w:rPr>
        <w:t>her</w:t>
      </w:r>
      <w:r w:rsidR="00F566B7" w:rsidRPr="00772CCC">
        <w:rPr>
          <w:color w:val="auto"/>
        </w:rPr>
        <w:t xml:space="preserve"> Military Occupational Specialty (MOS)</w:t>
      </w:r>
      <w:r w:rsidR="0021565F" w:rsidRPr="00772CCC">
        <w:rPr>
          <w:color w:val="auto"/>
        </w:rPr>
        <w:t xml:space="preserve"> </w:t>
      </w:r>
      <w:r w:rsidR="00F566B7" w:rsidRPr="00772CCC">
        <w:rPr>
          <w:color w:val="auto"/>
        </w:rPr>
        <w:t>or satis</w:t>
      </w:r>
      <w:r w:rsidR="009C12A1" w:rsidRPr="00772CCC">
        <w:rPr>
          <w:color w:val="auto"/>
        </w:rPr>
        <w:t>fy physical fitness standards.</w:t>
      </w:r>
      <w:r w:rsidR="00F566B7" w:rsidRPr="00772CCC">
        <w:rPr>
          <w:color w:val="auto"/>
        </w:rPr>
        <w:t xml:space="preserve"> </w:t>
      </w:r>
      <w:r w:rsidR="009C12A1" w:rsidRPr="00772CCC">
        <w:rPr>
          <w:color w:val="auto"/>
        </w:rPr>
        <w:t xml:space="preserve"> </w:t>
      </w:r>
      <w:r w:rsidR="006A0909" w:rsidRPr="00772CCC">
        <w:rPr>
          <w:color w:val="auto"/>
        </w:rPr>
        <w:t>She</w:t>
      </w:r>
      <w:r w:rsidR="009C12A1" w:rsidRPr="00772CCC">
        <w:rPr>
          <w:color w:val="auto"/>
        </w:rPr>
        <w:t xml:space="preserve"> </w:t>
      </w:r>
      <w:r w:rsidR="00F566B7" w:rsidRPr="00772CCC">
        <w:rPr>
          <w:color w:val="auto"/>
        </w:rPr>
        <w:t>was issued a</w:t>
      </w:r>
      <w:r w:rsidR="00582885">
        <w:rPr>
          <w:color w:val="auto"/>
        </w:rPr>
        <w:t>n</w:t>
      </w:r>
      <w:r w:rsidR="00F566B7" w:rsidRPr="00772CCC">
        <w:rPr>
          <w:color w:val="auto"/>
        </w:rPr>
        <w:t xml:space="preserve"> L3 profile and</w:t>
      </w:r>
      <w:r w:rsidR="009C12A1" w:rsidRPr="00772CCC">
        <w:rPr>
          <w:color w:val="auto"/>
        </w:rPr>
        <w:t xml:space="preserve"> </w:t>
      </w:r>
      <w:r w:rsidR="00F566B7" w:rsidRPr="00772CCC">
        <w:rPr>
          <w:color w:val="auto"/>
        </w:rPr>
        <w:t>referred for a Medical Evaluation Board (MEB).</w:t>
      </w:r>
      <w:r w:rsidR="006D5E1E" w:rsidRPr="00772CCC">
        <w:rPr>
          <w:color w:val="auto"/>
        </w:rPr>
        <w:t xml:space="preserve">  </w:t>
      </w:r>
      <w:r w:rsidR="00F15483" w:rsidRPr="00772CCC">
        <w:rPr>
          <w:color w:val="auto"/>
        </w:rPr>
        <w:t xml:space="preserve">The MEB </w:t>
      </w:r>
      <w:r w:rsidR="00F15483" w:rsidRPr="00582885">
        <w:rPr>
          <w:color w:val="auto"/>
        </w:rPr>
        <w:t xml:space="preserve">forwarded </w:t>
      </w:r>
      <w:r w:rsidR="00582885" w:rsidRPr="00582885">
        <w:rPr>
          <w:color w:val="auto"/>
        </w:rPr>
        <w:t>“</w:t>
      </w:r>
      <w:r w:rsidR="00582885" w:rsidRPr="00552B5A">
        <w:rPr>
          <w:color w:val="auto"/>
        </w:rPr>
        <w:t xml:space="preserve">joint pain both hips” as medically unacceptable and </w:t>
      </w:r>
      <w:r w:rsidR="00F15483" w:rsidRPr="00552B5A">
        <w:rPr>
          <w:color w:val="auto"/>
        </w:rPr>
        <w:t>no</w:t>
      </w:r>
      <w:r w:rsidR="00E53312" w:rsidRPr="00552B5A">
        <w:rPr>
          <w:color w:val="auto"/>
        </w:rPr>
        <w:t>rmal</w:t>
      </w:r>
      <w:r w:rsidR="00F15483" w:rsidRPr="00552B5A">
        <w:rPr>
          <w:color w:val="auto"/>
        </w:rPr>
        <w:t xml:space="preserve"> </w:t>
      </w:r>
      <w:r w:rsidR="00E53312" w:rsidRPr="00552B5A">
        <w:rPr>
          <w:color w:val="auto"/>
        </w:rPr>
        <w:t xml:space="preserve">pregnancy as a </w:t>
      </w:r>
      <w:r w:rsidR="005705CE" w:rsidRPr="00552B5A">
        <w:rPr>
          <w:color w:val="auto"/>
        </w:rPr>
        <w:t xml:space="preserve">medically acceptable </w:t>
      </w:r>
      <w:r w:rsidR="00E53312" w:rsidRPr="00552B5A">
        <w:rPr>
          <w:color w:val="auto"/>
        </w:rPr>
        <w:t xml:space="preserve">condition to the </w:t>
      </w:r>
      <w:r w:rsidR="00F15483" w:rsidRPr="00552B5A">
        <w:rPr>
          <w:color w:val="auto"/>
        </w:rPr>
        <w:t>PEB.</w:t>
      </w:r>
      <w:r w:rsidR="006D5E1E" w:rsidRPr="00552B5A">
        <w:rPr>
          <w:color w:val="auto"/>
        </w:rPr>
        <w:t xml:space="preserve">  </w:t>
      </w:r>
      <w:r w:rsidRPr="00552B5A">
        <w:rPr>
          <w:color w:val="auto"/>
        </w:rPr>
        <w:t xml:space="preserve">The PEB adjudicated the </w:t>
      </w:r>
      <w:r w:rsidR="00856763" w:rsidRPr="00552B5A">
        <w:rPr>
          <w:color w:val="auto"/>
        </w:rPr>
        <w:t xml:space="preserve">left </w:t>
      </w:r>
      <w:r w:rsidR="005705CE" w:rsidRPr="00552B5A">
        <w:rPr>
          <w:color w:val="auto"/>
        </w:rPr>
        <w:t>h</w:t>
      </w:r>
      <w:r w:rsidR="00856763" w:rsidRPr="00552B5A">
        <w:rPr>
          <w:color w:val="auto"/>
        </w:rPr>
        <w:t>ip/</w:t>
      </w:r>
      <w:r w:rsidR="005705CE" w:rsidRPr="00552B5A">
        <w:rPr>
          <w:color w:val="auto"/>
        </w:rPr>
        <w:t>p</w:t>
      </w:r>
      <w:r w:rsidR="00856763" w:rsidRPr="00552B5A">
        <w:rPr>
          <w:color w:val="auto"/>
        </w:rPr>
        <w:t xml:space="preserve">elvic pain </w:t>
      </w:r>
      <w:r w:rsidR="008530E3" w:rsidRPr="00552B5A">
        <w:rPr>
          <w:color w:val="auto"/>
        </w:rPr>
        <w:t xml:space="preserve">condition as unfitting, rated </w:t>
      </w:r>
      <w:r w:rsidR="00856763" w:rsidRPr="00552B5A">
        <w:rPr>
          <w:color w:val="auto"/>
        </w:rPr>
        <w:t>10</w:t>
      </w:r>
      <w:r w:rsidRPr="00552B5A">
        <w:rPr>
          <w:color w:val="auto"/>
        </w:rPr>
        <w:t xml:space="preserve">%, </w:t>
      </w:r>
      <w:r w:rsidR="00E53312" w:rsidRPr="00552B5A">
        <w:rPr>
          <w:color w:val="auto"/>
        </w:rPr>
        <w:t>with application of the Veteran’s Affairs Schedule for Rating Disabilities (VASRD)</w:t>
      </w:r>
      <w:r w:rsidR="00BF72CA" w:rsidRPr="00552B5A">
        <w:rPr>
          <w:color w:val="auto"/>
        </w:rPr>
        <w:t>.</w:t>
      </w:r>
      <w:r w:rsidR="00165C7B" w:rsidRPr="00552B5A">
        <w:rPr>
          <w:color w:val="auto"/>
        </w:rPr>
        <w:t xml:space="preserve">  </w:t>
      </w:r>
      <w:r w:rsidR="00582885" w:rsidRPr="00552B5A">
        <w:rPr>
          <w:color w:val="auto"/>
        </w:rPr>
        <w:t xml:space="preserve">The Army issued a Revised PEB DA Form 18 with no change in the rating.  </w:t>
      </w:r>
      <w:r w:rsidRPr="00552B5A">
        <w:rPr>
          <w:color w:val="auto"/>
        </w:rPr>
        <w:t xml:space="preserve">The CI made no appeals, and was medically separated with </w:t>
      </w:r>
      <w:r w:rsidR="0066684A" w:rsidRPr="00552B5A">
        <w:rPr>
          <w:color w:val="auto"/>
        </w:rPr>
        <w:t>a</w:t>
      </w:r>
      <w:r w:rsidR="0066684A" w:rsidRPr="00772CCC">
        <w:rPr>
          <w:color w:val="auto"/>
        </w:rPr>
        <w:t xml:space="preserve"> </w:t>
      </w:r>
      <w:r w:rsidR="00136EDC" w:rsidRPr="00772CCC">
        <w:rPr>
          <w:color w:val="auto"/>
        </w:rPr>
        <w:t>10</w:t>
      </w:r>
      <w:r w:rsidR="0066684A" w:rsidRPr="00772CCC">
        <w:rPr>
          <w:color w:val="auto"/>
        </w:rPr>
        <w:t xml:space="preserve">% </w:t>
      </w:r>
      <w:r w:rsidRPr="00772CCC">
        <w:rPr>
          <w:color w:val="auto"/>
        </w:rPr>
        <w:t>disability rating.</w:t>
      </w:r>
      <w:r w:rsidR="00165C7B" w:rsidRPr="00772CCC">
        <w:rPr>
          <w:color w:val="auto"/>
        </w:rPr>
        <w:t xml:space="preserve">  </w:t>
      </w:r>
    </w:p>
    <w:p w:rsidR="00042978" w:rsidRPr="00772CCC" w:rsidRDefault="00042978" w:rsidP="00042978">
      <w:pPr>
        <w:pBdr>
          <w:bottom w:val="single" w:sz="12" w:space="1" w:color="auto"/>
        </w:pBdr>
        <w:tabs>
          <w:tab w:val="left" w:pos="288"/>
          <w:tab w:val="left" w:pos="4752"/>
        </w:tabs>
        <w:jc w:val="both"/>
        <w:rPr>
          <w:color w:val="auto"/>
        </w:rPr>
      </w:pPr>
    </w:p>
    <w:p w:rsidR="00042978" w:rsidRPr="00772CCC" w:rsidRDefault="00042978" w:rsidP="00042978">
      <w:pPr>
        <w:jc w:val="left"/>
        <w:rPr>
          <w:color w:val="auto"/>
          <w:u w:val="single"/>
        </w:rPr>
      </w:pPr>
    </w:p>
    <w:p w:rsidR="00855E73" w:rsidRPr="00772CCC" w:rsidRDefault="00AD2379" w:rsidP="00855E73">
      <w:pPr>
        <w:tabs>
          <w:tab w:val="left" w:pos="288"/>
          <w:tab w:val="left" w:pos="4752"/>
        </w:tabs>
        <w:jc w:val="both"/>
        <w:rPr>
          <w:rFonts w:eastAsia="Cambria"/>
          <w:color w:val="auto"/>
          <w:szCs w:val="24"/>
        </w:rPr>
      </w:pPr>
      <w:r w:rsidRPr="00772CCC">
        <w:rPr>
          <w:color w:val="auto"/>
          <w:u w:val="single"/>
        </w:rPr>
        <w:t>CI CONTENTION</w:t>
      </w:r>
      <w:r w:rsidRPr="00772CCC">
        <w:rPr>
          <w:color w:val="auto"/>
        </w:rPr>
        <w:t>:</w:t>
      </w:r>
      <w:r w:rsidR="0066684A" w:rsidRPr="00772CCC">
        <w:rPr>
          <w:color w:val="auto"/>
        </w:rPr>
        <w:t xml:space="preserve"> </w:t>
      </w:r>
      <w:r w:rsidR="006F674E" w:rsidRPr="00772CCC">
        <w:rPr>
          <w:color w:val="auto"/>
        </w:rPr>
        <w:t xml:space="preserve"> </w:t>
      </w:r>
      <w:r w:rsidR="00855E73" w:rsidRPr="00772CCC">
        <w:rPr>
          <w:rFonts w:eastAsia="Cambria"/>
          <w:color w:val="auto"/>
          <w:szCs w:val="24"/>
        </w:rPr>
        <w:t>The CI elaborated no specific contention in her application.</w:t>
      </w:r>
      <w:r w:rsidR="006D5E1E" w:rsidRPr="00772CCC">
        <w:rPr>
          <w:rFonts w:eastAsia="Cambria"/>
          <w:color w:val="auto"/>
          <w:szCs w:val="24"/>
        </w:rPr>
        <w:t xml:space="preserve">  </w:t>
      </w:r>
    </w:p>
    <w:p w:rsidR="004306E0" w:rsidRPr="00772CCC" w:rsidRDefault="004306E0" w:rsidP="00BF0E94">
      <w:pPr>
        <w:pBdr>
          <w:bottom w:val="single" w:sz="12" w:space="1" w:color="auto"/>
        </w:pBdr>
        <w:tabs>
          <w:tab w:val="left" w:pos="288"/>
          <w:tab w:val="left" w:pos="4752"/>
        </w:tabs>
        <w:jc w:val="both"/>
        <w:rPr>
          <w:color w:val="auto"/>
        </w:rPr>
      </w:pPr>
    </w:p>
    <w:p w:rsidR="007635A8" w:rsidRPr="00772CCC" w:rsidRDefault="007635A8" w:rsidP="007635A8">
      <w:pPr>
        <w:jc w:val="both"/>
        <w:rPr>
          <w:color w:val="auto"/>
          <w:u w:val="single"/>
        </w:rPr>
      </w:pPr>
    </w:p>
    <w:p w:rsidR="009239C0" w:rsidRPr="00772CCC" w:rsidRDefault="009239C0" w:rsidP="009239C0">
      <w:pPr>
        <w:jc w:val="both"/>
        <w:rPr>
          <w:color w:val="auto"/>
        </w:rPr>
      </w:pPr>
      <w:r w:rsidRPr="00772CCC">
        <w:rPr>
          <w:color w:val="auto"/>
          <w:u w:val="single"/>
        </w:rPr>
        <w:t>SCOPE OF REVIEW</w:t>
      </w:r>
      <w:r w:rsidRPr="00772CCC">
        <w:rPr>
          <w:color w:val="auto"/>
        </w:rPr>
        <w:t>:  The Board wishes to clarify that the scope of its re</w:t>
      </w:r>
      <w:r w:rsidR="00AE2B85" w:rsidRPr="00772CCC">
        <w:rPr>
          <w:color w:val="auto"/>
        </w:rPr>
        <w:t>view as defined in DoDI 6040.44, Enclosure 3, paragraph 5.e</w:t>
      </w:r>
      <w:proofErr w:type="gramStart"/>
      <w:r w:rsidR="00AE2B85" w:rsidRPr="00772CCC">
        <w:rPr>
          <w:color w:val="auto"/>
        </w:rPr>
        <w:t>.(</w:t>
      </w:r>
      <w:proofErr w:type="gramEnd"/>
      <w:r w:rsidR="00AE2B85" w:rsidRPr="00772CCC">
        <w:rPr>
          <w:color w:val="auto"/>
        </w:rPr>
        <w:t>2)</w:t>
      </w:r>
      <w:r w:rsidRPr="00772CCC">
        <w:rPr>
          <w:color w:val="auto"/>
        </w:rPr>
        <w:t xml:space="preserve"> is limited to those conditions which were determined by the PEB to be specifically unfitting for continued military service; or, when requested by the CI, those condition(s) “identified but not determined to be unfitting by the PEB</w:t>
      </w:r>
      <w:r w:rsidR="00582885">
        <w:rPr>
          <w:color w:val="auto"/>
        </w:rPr>
        <w:t>.</w:t>
      </w:r>
      <w:r w:rsidRPr="00772CCC">
        <w:rPr>
          <w:color w:val="auto"/>
        </w:rPr>
        <w:t xml:space="preserve">”  The ratings for unfitting conditions will be reviewed in all cases.  Any conditions or contention not requested in this application, or otherwise outside the Board’s defined scope of review, remain eligible for future consideration by the Army Board for the Correction of Military Records (BCMR).  </w:t>
      </w:r>
    </w:p>
    <w:p w:rsidR="000B63CF" w:rsidRPr="00772CCC" w:rsidRDefault="000B63CF" w:rsidP="000B63CF">
      <w:pPr>
        <w:pBdr>
          <w:bottom w:val="single" w:sz="12" w:space="1" w:color="auto"/>
        </w:pBdr>
        <w:tabs>
          <w:tab w:val="left" w:pos="288"/>
          <w:tab w:val="left" w:pos="4752"/>
        </w:tabs>
        <w:jc w:val="both"/>
        <w:rPr>
          <w:color w:val="auto"/>
        </w:rPr>
      </w:pPr>
    </w:p>
    <w:p w:rsidR="00921F7F" w:rsidRPr="00772CCC" w:rsidRDefault="00921F7F" w:rsidP="00BF0E94">
      <w:pPr>
        <w:tabs>
          <w:tab w:val="left" w:pos="288"/>
          <w:tab w:val="left" w:pos="4752"/>
        </w:tabs>
        <w:jc w:val="both"/>
        <w:rPr>
          <w:color w:val="auto"/>
        </w:rPr>
      </w:pPr>
    </w:p>
    <w:p w:rsidR="00AD2379" w:rsidRPr="005536D8" w:rsidRDefault="00AD2379" w:rsidP="00BF0E94">
      <w:pPr>
        <w:jc w:val="left"/>
        <w:rPr>
          <w:color w:val="auto"/>
        </w:rPr>
      </w:pPr>
      <w:r w:rsidRPr="00772CCC">
        <w:rPr>
          <w:color w:val="auto"/>
          <w:u w:val="single"/>
        </w:rPr>
        <w:t>RATING COMPARISON</w:t>
      </w:r>
      <w:r w:rsidRPr="00772CCC">
        <w:rPr>
          <w:color w:val="auto"/>
        </w:rPr>
        <w:t xml:space="preserve">: </w:t>
      </w:r>
      <w:r w:rsidR="00855E73" w:rsidRPr="00772CCC">
        <w:rPr>
          <w:color w:val="auto"/>
        </w:rPr>
        <w:t xml:space="preserve"> </w:t>
      </w:r>
    </w:p>
    <w:p w:rsidR="00F90376" w:rsidRPr="005536D8" w:rsidRDefault="00F90376" w:rsidP="00F90376">
      <w:pPr>
        <w:jc w:val="both"/>
        <w:rPr>
          <w:color w:val="auto"/>
        </w:rPr>
      </w:pPr>
    </w:p>
    <w:tbl>
      <w:tblPr>
        <w:tblStyle w:val="TableGrid"/>
        <w:tblW w:w="9369" w:type="dxa"/>
        <w:jc w:val="center"/>
        <w:tblInd w:w="9" w:type="dxa"/>
        <w:tblLayout w:type="fixed"/>
        <w:tblLook w:val="00A0"/>
      </w:tblPr>
      <w:tblGrid>
        <w:gridCol w:w="2169"/>
        <w:gridCol w:w="1080"/>
        <w:gridCol w:w="720"/>
        <w:gridCol w:w="2610"/>
        <w:gridCol w:w="1080"/>
        <w:gridCol w:w="720"/>
        <w:gridCol w:w="990"/>
      </w:tblGrid>
      <w:tr w:rsidR="00F90376" w:rsidRPr="005536D8" w:rsidTr="00AC5522">
        <w:trPr>
          <w:trHeight w:val="170"/>
          <w:jc w:val="center"/>
        </w:trPr>
        <w:tc>
          <w:tcPr>
            <w:tcW w:w="3969" w:type="dxa"/>
            <w:gridSpan w:val="3"/>
            <w:tcBorders>
              <w:right w:val="thinThickThinSmallGap" w:sz="24" w:space="0" w:color="auto"/>
            </w:tcBorders>
            <w:shd w:val="clear" w:color="auto" w:fill="D9D9D9"/>
            <w:vAlign w:val="center"/>
          </w:tcPr>
          <w:p w:rsidR="00F90376" w:rsidRPr="005536D8" w:rsidRDefault="00582885" w:rsidP="00856763">
            <w:pPr>
              <w:spacing w:line="180" w:lineRule="exact"/>
              <w:contextualSpacing/>
              <w:rPr>
                <w:rFonts w:cs="Calibri"/>
                <w:b/>
                <w:color w:val="auto"/>
                <w:sz w:val="18"/>
              </w:rPr>
            </w:pPr>
            <w:r w:rsidRPr="005536D8">
              <w:rPr>
                <w:b/>
                <w:color w:val="auto"/>
                <w:sz w:val="18"/>
              </w:rPr>
              <w:t xml:space="preserve">Revised </w:t>
            </w:r>
            <w:r w:rsidR="00F90376" w:rsidRPr="005536D8">
              <w:rPr>
                <w:b/>
                <w:color w:val="auto"/>
                <w:sz w:val="18"/>
              </w:rPr>
              <w:t>PEB – Dated 200</w:t>
            </w:r>
            <w:r w:rsidR="00856763" w:rsidRPr="005536D8">
              <w:rPr>
                <w:b/>
                <w:color w:val="auto"/>
                <w:sz w:val="18"/>
              </w:rPr>
              <w:t>80514</w:t>
            </w:r>
          </w:p>
        </w:tc>
        <w:tc>
          <w:tcPr>
            <w:tcW w:w="5400" w:type="dxa"/>
            <w:gridSpan w:val="4"/>
            <w:tcBorders>
              <w:left w:val="thinThickThinSmallGap" w:sz="24" w:space="0" w:color="auto"/>
            </w:tcBorders>
            <w:shd w:val="clear" w:color="auto" w:fill="D9D9D9"/>
            <w:vAlign w:val="center"/>
          </w:tcPr>
          <w:p w:rsidR="00F90376" w:rsidRPr="005536D8" w:rsidRDefault="00F90376" w:rsidP="00772CCC">
            <w:pPr>
              <w:spacing w:line="180" w:lineRule="exact"/>
              <w:contextualSpacing/>
              <w:rPr>
                <w:rFonts w:cs="Calibri"/>
                <w:b/>
                <w:color w:val="auto"/>
                <w:sz w:val="18"/>
              </w:rPr>
            </w:pPr>
            <w:r w:rsidRPr="005536D8">
              <w:rPr>
                <w:b/>
                <w:color w:val="auto"/>
                <w:sz w:val="18"/>
              </w:rPr>
              <w:t xml:space="preserve">VA </w:t>
            </w:r>
            <w:r w:rsidR="00772CCC" w:rsidRPr="005536D8">
              <w:rPr>
                <w:b/>
                <w:color w:val="auto"/>
                <w:sz w:val="18"/>
              </w:rPr>
              <w:t>(NO SHOW</w:t>
            </w:r>
            <w:r w:rsidRPr="005536D8">
              <w:rPr>
                <w:b/>
                <w:color w:val="auto"/>
                <w:sz w:val="18"/>
              </w:rPr>
              <w:t>) – All Effective Date 200</w:t>
            </w:r>
            <w:r w:rsidR="00772CCC" w:rsidRPr="005536D8">
              <w:rPr>
                <w:b/>
                <w:color w:val="auto"/>
                <w:sz w:val="18"/>
              </w:rPr>
              <w:t>80623</w:t>
            </w:r>
          </w:p>
        </w:tc>
      </w:tr>
      <w:tr w:rsidR="00F90376" w:rsidRPr="005536D8" w:rsidTr="00AC5522">
        <w:trPr>
          <w:trHeight w:val="97"/>
          <w:jc w:val="center"/>
        </w:trPr>
        <w:tc>
          <w:tcPr>
            <w:tcW w:w="2169" w:type="dxa"/>
            <w:tcBorders>
              <w:bottom w:val="single" w:sz="4" w:space="0" w:color="000000"/>
              <w:right w:val="single" w:sz="4" w:space="0" w:color="auto"/>
            </w:tcBorders>
            <w:shd w:val="clear" w:color="auto" w:fill="D9D9D9"/>
            <w:vAlign w:val="center"/>
          </w:tcPr>
          <w:p w:rsidR="00F90376" w:rsidRPr="005536D8" w:rsidRDefault="00F90376" w:rsidP="006B690F">
            <w:pPr>
              <w:spacing w:line="180" w:lineRule="exact"/>
              <w:contextualSpacing/>
              <w:rPr>
                <w:rFonts w:cs="Calibri"/>
                <w:b/>
                <w:color w:val="auto"/>
                <w:sz w:val="18"/>
              </w:rPr>
            </w:pPr>
            <w:r w:rsidRPr="005536D8">
              <w:rPr>
                <w:b/>
                <w:color w:val="auto"/>
                <w:sz w:val="18"/>
              </w:rPr>
              <w:t>Condition</w:t>
            </w:r>
          </w:p>
        </w:tc>
        <w:tc>
          <w:tcPr>
            <w:tcW w:w="1080" w:type="dxa"/>
            <w:tcBorders>
              <w:left w:val="single" w:sz="4" w:space="0" w:color="auto"/>
              <w:bottom w:val="single" w:sz="4" w:space="0" w:color="000000"/>
            </w:tcBorders>
            <w:shd w:val="clear" w:color="auto" w:fill="D9D9D9"/>
            <w:vAlign w:val="center"/>
          </w:tcPr>
          <w:p w:rsidR="00F90376" w:rsidRPr="005536D8" w:rsidRDefault="00F90376" w:rsidP="006B690F">
            <w:pPr>
              <w:spacing w:line="180" w:lineRule="exact"/>
              <w:contextualSpacing/>
              <w:rPr>
                <w:rFonts w:cs="Calibri"/>
                <w:b/>
                <w:color w:val="auto"/>
                <w:sz w:val="18"/>
              </w:rPr>
            </w:pPr>
            <w:r w:rsidRPr="005536D8">
              <w:rPr>
                <w:b/>
                <w:color w:val="auto"/>
                <w:sz w:val="18"/>
              </w:rPr>
              <w:t>Code</w:t>
            </w:r>
          </w:p>
        </w:tc>
        <w:tc>
          <w:tcPr>
            <w:tcW w:w="720" w:type="dxa"/>
            <w:tcBorders>
              <w:bottom w:val="single" w:sz="4" w:space="0" w:color="000000"/>
              <w:right w:val="thinThickThinSmallGap" w:sz="24" w:space="0" w:color="auto"/>
            </w:tcBorders>
            <w:shd w:val="clear" w:color="auto" w:fill="D9D9D9"/>
            <w:vAlign w:val="center"/>
          </w:tcPr>
          <w:p w:rsidR="00F90376" w:rsidRPr="005536D8" w:rsidRDefault="00F90376" w:rsidP="006B690F">
            <w:pPr>
              <w:spacing w:line="180" w:lineRule="exact"/>
              <w:contextualSpacing/>
              <w:rPr>
                <w:rFonts w:cs="Calibri"/>
                <w:b/>
                <w:color w:val="auto"/>
                <w:sz w:val="18"/>
              </w:rPr>
            </w:pPr>
            <w:r w:rsidRPr="005536D8">
              <w:rPr>
                <w:b/>
                <w:color w:val="auto"/>
                <w:sz w:val="18"/>
              </w:rPr>
              <w:t>Rating</w:t>
            </w:r>
          </w:p>
        </w:tc>
        <w:tc>
          <w:tcPr>
            <w:tcW w:w="2610" w:type="dxa"/>
            <w:tcBorders>
              <w:left w:val="thinThickThinSmallGap" w:sz="24" w:space="0" w:color="auto"/>
              <w:bottom w:val="single" w:sz="4" w:space="0" w:color="000000"/>
            </w:tcBorders>
            <w:shd w:val="clear" w:color="auto" w:fill="D9D9D9"/>
            <w:vAlign w:val="center"/>
          </w:tcPr>
          <w:p w:rsidR="00F90376" w:rsidRPr="005536D8" w:rsidRDefault="00F90376" w:rsidP="006B690F">
            <w:pPr>
              <w:spacing w:line="180" w:lineRule="exact"/>
              <w:contextualSpacing/>
              <w:rPr>
                <w:rFonts w:cs="Calibri"/>
                <w:b/>
                <w:color w:val="auto"/>
                <w:sz w:val="18"/>
              </w:rPr>
            </w:pPr>
            <w:r w:rsidRPr="005536D8">
              <w:rPr>
                <w:b/>
                <w:color w:val="auto"/>
                <w:sz w:val="18"/>
              </w:rPr>
              <w:t>Condition</w:t>
            </w:r>
          </w:p>
        </w:tc>
        <w:tc>
          <w:tcPr>
            <w:tcW w:w="1080" w:type="dxa"/>
            <w:tcBorders>
              <w:bottom w:val="single" w:sz="4" w:space="0" w:color="000000"/>
            </w:tcBorders>
            <w:shd w:val="clear" w:color="auto" w:fill="D9D9D9"/>
            <w:vAlign w:val="center"/>
          </w:tcPr>
          <w:p w:rsidR="00F90376" w:rsidRPr="005536D8" w:rsidRDefault="00F90376" w:rsidP="006B690F">
            <w:pPr>
              <w:spacing w:line="180" w:lineRule="exact"/>
              <w:contextualSpacing/>
              <w:rPr>
                <w:rFonts w:cs="Calibri"/>
                <w:b/>
                <w:color w:val="auto"/>
                <w:sz w:val="18"/>
              </w:rPr>
            </w:pPr>
            <w:r w:rsidRPr="005536D8">
              <w:rPr>
                <w:b/>
                <w:color w:val="auto"/>
                <w:sz w:val="18"/>
              </w:rPr>
              <w:t>Code</w:t>
            </w:r>
          </w:p>
        </w:tc>
        <w:tc>
          <w:tcPr>
            <w:tcW w:w="720" w:type="dxa"/>
            <w:tcBorders>
              <w:bottom w:val="single" w:sz="4" w:space="0" w:color="000000"/>
            </w:tcBorders>
            <w:shd w:val="clear" w:color="auto" w:fill="D9D9D9"/>
            <w:vAlign w:val="center"/>
          </w:tcPr>
          <w:p w:rsidR="00F90376" w:rsidRPr="005536D8" w:rsidRDefault="00F90376" w:rsidP="006B690F">
            <w:pPr>
              <w:spacing w:line="180" w:lineRule="exact"/>
              <w:contextualSpacing/>
              <w:rPr>
                <w:rFonts w:cs="Calibri"/>
                <w:b/>
                <w:color w:val="auto"/>
                <w:sz w:val="18"/>
              </w:rPr>
            </w:pPr>
            <w:r w:rsidRPr="005536D8">
              <w:rPr>
                <w:b/>
                <w:color w:val="auto"/>
                <w:sz w:val="18"/>
              </w:rPr>
              <w:t>Rating</w:t>
            </w:r>
          </w:p>
        </w:tc>
        <w:tc>
          <w:tcPr>
            <w:tcW w:w="990" w:type="dxa"/>
            <w:tcBorders>
              <w:bottom w:val="single" w:sz="4" w:space="0" w:color="000000"/>
            </w:tcBorders>
            <w:shd w:val="clear" w:color="auto" w:fill="D9D9D9"/>
            <w:vAlign w:val="center"/>
          </w:tcPr>
          <w:p w:rsidR="00F90376" w:rsidRPr="005536D8" w:rsidRDefault="00F90376" w:rsidP="006B690F">
            <w:pPr>
              <w:spacing w:line="180" w:lineRule="exact"/>
              <w:contextualSpacing/>
              <w:rPr>
                <w:rFonts w:cs="Calibri"/>
                <w:b/>
                <w:color w:val="auto"/>
                <w:sz w:val="18"/>
              </w:rPr>
            </w:pPr>
            <w:r w:rsidRPr="005536D8">
              <w:rPr>
                <w:b/>
                <w:color w:val="auto"/>
                <w:sz w:val="18"/>
              </w:rPr>
              <w:t>Exam</w:t>
            </w:r>
          </w:p>
        </w:tc>
      </w:tr>
      <w:tr w:rsidR="00F90376" w:rsidRPr="005536D8" w:rsidTr="0017172C">
        <w:trPr>
          <w:trHeight w:val="118"/>
          <w:jc w:val="center"/>
        </w:trPr>
        <w:tc>
          <w:tcPr>
            <w:tcW w:w="2169" w:type="dxa"/>
            <w:tcBorders>
              <w:right w:val="single" w:sz="4" w:space="0" w:color="auto"/>
            </w:tcBorders>
            <w:shd w:val="clear" w:color="auto" w:fill="FFFFFF"/>
            <w:vAlign w:val="center"/>
          </w:tcPr>
          <w:p w:rsidR="00F90376" w:rsidRPr="005536D8" w:rsidRDefault="00856763" w:rsidP="006B690F">
            <w:pPr>
              <w:spacing w:line="180" w:lineRule="exact"/>
              <w:contextualSpacing/>
              <w:jc w:val="left"/>
              <w:rPr>
                <w:rFonts w:cs="Calibri"/>
                <w:color w:val="auto"/>
                <w:sz w:val="18"/>
              </w:rPr>
            </w:pPr>
            <w:r w:rsidRPr="005536D8">
              <w:rPr>
                <w:rFonts w:cs="Calibri"/>
                <w:color w:val="auto"/>
                <w:sz w:val="18"/>
              </w:rPr>
              <w:t>Left Hip/Pelvic Pain</w:t>
            </w:r>
          </w:p>
        </w:tc>
        <w:tc>
          <w:tcPr>
            <w:tcW w:w="1080" w:type="dxa"/>
            <w:tcBorders>
              <w:left w:val="single" w:sz="4" w:space="0" w:color="auto"/>
            </w:tcBorders>
            <w:shd w:val="clear" w:color="auto" w:fill="FFFFFF"/>
            <w:vAlign w:val="center"/>
          </w:tcPr>
          <w:p w:rsidR="00F90376" w:rsidRPr="005536D8" w:rsidRDefault="00856763" w:rsidP="006B690F">
            <w:pPr>
              <w:spacing w:line="180" w:lineRule="exact"/>
              <w:contextualSpacing/>
              <w:rPr>
                <w:rFonts w:cs="Calibri"/>
                <w:color w:val="auto"/>
                <w:sz w:val="18"/>
              </w:rPr>
            </w:pPr>
            <w:r w:rsidRPr="005536D8">
              <w:rPr>
                <w:rFonts w:cs="Calibri"/>
                <w:color w:val="auto"/>
                <w:sz w:val="18"/>
              </w:rPr>
              <w:t>5299-5255</w:t>
            </w:r>
          </w:p>
        </w:tc>
        <w:tc>
          <w:tcPr>
            <w:tcW w:w="720" w:type="dxa"/>
            <w:tcBorders>
              <w:right w:val="thinThickThinSmallGap" w:sz="24" w:space="0" w:color="auto"/>
            </w:tcBorders>
            <w:shd w:val="clear" w:color="auto" w:fill="FFFFFF"/>
            <w:vAlign w:val="center"/>
          </w:tcPr>
          <w:p w:rsidR="00F90376" w:rsidRPr="005536D8" w:rsidRDefault="00856763" w:rsidP="006B690F">
            <w:pPr>
              <w:spacing w:line="180" w:lineRule="exact"/>
              <w:rPr>
                <w:rFonts w:cs="Calibri"/>
                <w:color w:val="auto"/>
                <w:sz w:val="18"/>
              </w:rPr>
            </w:pPr>
            <w:r w:rsidRPr="005536D8">
              <w:rPr>
                <w:rFonts w:cs="Calibri"/>
                <w:color w:val="auto"/>
                <w:sz w:val="18"/>
              </w:rPr>
              <w:t>10%</w:t>
            </w:r>
          </w:p>
        </w:tc>
        <w:tc>
          <w:tcPr>
            <w:tcW w:w="2610" w:type="dxa"/>
            <w:tcBorders>
              <w:left w:val="thinThickThinSmallGap" w:sz="24" w:space="0" w:color="auto"/>
            </w:tcBorders>
            <w:shd w:val="clear" w:color="auto" w:fill="FFFFFF"/>
            <w:vAlign w:val="center"/>
          </w:tcPr>
          <w:p w:rsidR="00F90376" w:rsidRPr="005536D8" w:rsidRDefault="00772CCC" w:rsidP="0017172C">
            <w:pPr>
              <w:spacing w:line="180" w:lineRule="exact"/>
              <w:contextualSpacing/>
              <w:jc w:val="left"/>
              <w:rPr>
                <w:rFonts w:cs="Calibri"/>
                <w:color w:val="auto"/>
                <w:sz w:val="18"/>
              </w:rPr>
            </w:pPr>
            <w:r w:rsidRPr="005536D8">
              <w:rPr>
                <w:rFonts w:cs="Calibri"/>
                <w:color w:val="auto"/>
                <w:sz w:val="18"/>
              </w:rPr>
              <w:t>Left Inferior Pubic Ramus Fracture claimed as Hip Fracture</w:t>
            </w:r>
          </w:p>
        </w:tc>
        <w:tc>
          <w:tcPr>
            <w:tcW w:w="1080" w:type="dxa"/>
            <w:shd w:val="clear" w:color="auto" w:fill="FFFFFF"/>
            <w:vAlign w:val="center"/>
          </w:tcPr>
          <w:p w:rsidR="00F90376" w:rsidRPr="005536D8" w:rsidRDefault="00772CCC" w:rsidP="0017172C">
            <w:pPr>
              <w:spacing w:line="180" w:lineRule="exact"/>
              <w:contextualSpacing/>
              <w:rPr>
                <w:rFonts w:cs="Calibri"/>
                <w:color w:val="auto"/>
                <w:sz w:val="18"/>
              </w:rPr>
            </w:pPr>
            <w:r w:rsidRPr="005536D8">
              <w:rPr>
                <w:rFonts w:cs="Calibri"/>
                <w:color w:val="auto"/>
                <w:sz w:val="18"/>
              </w:rPr>
              <w:t>5252</w:t>
            </w:r>
          </w:p>
        </w:tc>
        <w:tc>
          <w:tcPr>
            <w:tcW w:w="720" w:type="dxa"/>
            <w:shd w:val="clear" w:color="auto" w:fill="FFFFFF"/>
            <w:vAlign w:val="center"/>
          </w:tcPr>
          <w:p w:rsidR="00F90376" w:rsidRPr="005536D8" w:rsidRDefault="00772CCC" w:rsidP="0017172C">
            <w:pPr>
              <w:spacing w:line="180" w:lineRule="exact"/>
              <w:contextualSpacing/>
              <w:rPr>
                <w:rFonts w:cs="Calibri"/>
                <w:color w:val="auto"/>
                <w:sz w:val="18"/>
              </w:rPr>
            </w:pPr>
            <w:r w:rsidRPr="005536D8">
              <w:rPr>
                <w:rFonts w:cs="Calibri"/>
                <w:color w:val="auto"/>
                <w:sz w:val="18"/>
              </w:rPr>
              <w:t>0%</w:t>
            </w:r>
          </w:p>
        </w:tc>
        <w:tc>
          <w:tcPr>
            <w:tcW w:w="990" w:type="dxa"/>
            <w:shd w:val="clear" w:color="auto" w:fill="FFFFFF"/>
            <w:vAlign w:val="center"/>
          </w:tcPr>
          <w:p w:rsidR="00F90376" w:rsidRPr="005536D8" w:rsidRDefault="00772CCC" w:rsidP="0017172C">
            <w:pPr>
              <w:spacing w:line="180" w:lineRule="exact"/>
              <w:contextualSpacing/>
              <w:rPr>
                <w:color w:val="auto"/>
                <w:sz w:val="18"/>
              </w:rPr>
            </w:pPr>
            <w:r w:rsidRPr="005536D8">
              <w:rPr>
                <w:color w:val="auto"/>
                <w:sz w:val="18"/>
              </w:rPr>
              <w:t>No Show</w:t>
            </w:r>
          </w:p>
          <w:p w:rsidR="00E776A5" w:rsidRPr="005536D8" w:rsidRDefault="00E776A5" w:rsidP="0017172C">
            <w:pPr>
              <w:spacing w:line="180" w:lineRule="exact"/>
              <w:contextualSpacing/>
              <w:rPr>
                <w:rFonts w:cs="Calibri"/>
                <w:color w:val="auto"/>
                <w:sz w:val="18"/>
              </w:rPr>
            </w:pPr>
            <w:r w:rsidRPr="005536D8">
              <w:rPr>
                <w:color w:val="auto"/>
                <w:sz w:val="18"/>
              </w:rPr>
              <w:t>STR</w:t>
            </w:r>
          </w:p>
        </w:tc>
      </w:tr>
      <w:tr w:rsidR="00E776A5" w:rsidRPr="005536D8" w:rsidTr="00510CCF">
        <w:trPr>
          <w:trHeight w:val="118"/>
          <w:jc w:val="center"/>
        </w:trPr>
        <w:tc>
          <w:tcPr>
            <w:tcW w:w="2169" w:type="dxa"/>
            <w:tcBorders>
              <w:right w:val="single" w:sz="4" w:space="0" w:color="auto"/>
            </w:tcBorders>
            <w:shd w:val="clear" w:color="auto" w:fill="FFFFFF"/>
            <w:vAlign w:val="center"/>
          </w:tcPr>
          <w:p w:rsidR="00E776A5" w:rsidRPr="005536D8" w:rsidRDefault="00E776A5" w:rsidP="006B690F">
            <w:pPr>
              <w:spacing w:line="180" w:lineRule="exact"/>
              <w:contextualSpacing/>
              <w:jc w:val="left"/>
              <w:rPr>
                <w:color w:val="auto"/>
                <w:sz w:val="18"/>
              </w:rPr>
            </w:pPr>
            <w:r w:rsidRPr="005536D8">
              <w:rPr>
                <w:color w:val="auto"/>
                <w:sz w:val="18"/>
              </w:rPr>
              <w:t>Normal Pregnancy</w:t>
            </w:r>
          </w:p>
        </w:tc>
        <w:tc>
          <w:tcPr>
            <w:tcW w:w="1800" w:type="dxa"/>
            <w:gridSpan w:val="2"/>
            <w:tcBorders>
              <w:left w:val="single" w:sz="4" w:space="0" w:color="auto"/>
              <w:right w:val="thinThickThinSmallGap" w:sz="24" w:space="0" w:color="auto"/>
            </w:tcBorders>
            <w:shd w:val="clear" w:color="auto" w:fill="FFFFFF"/>
            <w:vAlign w:val="center"/>
          </w:tcPr>
          <w:p w:rsidR="00E776A5" w:rsidRPr="005536D8" w:rsidRDefault="00E776A5" w:rsidP="006B690F">
            <w:pPr>
              <w:spacing w:line="180" w:lineRule="exact"/>
              <w:rPr>
                <w:color w:val="auto"/>
                <w:sz w:val="18"/>
              </w:rPr>
            </w:pPr>
            <w:r w:rsidRPr="005536D8">
              <w:rPr>
                <w:color w:val="auto"/>
                <w:sz w:val="18"/>
              </w:rPr>
              <w:t>Not Unfitting</w:t>
            </w:r>
          </w:p>
        </w:tc>
        <w:tc>
          <w:tcPr>
            <w:tcW w:w="5400" w:type="dxa"/>
            <w:gridSpan w:val="4"/>
            <w:tcBorders>
              <w:left w:val="thinThickThinSmallGap" w:sz="24" w:space="0" w:color="auto"/>
            </w:tcBorders>
            <w:shd w:val="clear" w:color="auto" w:fill="FFFFFF"/>
            <w:vAlign w:val="center"/>
          </w:tcPr>
          <w:p w:rsidR="00E776A5" w:rsidRPr="005536D8" w:rsidRDefault="00E776A5" w:rsidP="0017172C">
            <w:pPr>
              <w:spacing w:line="180" w:lineRule="exact"/>
              <w:contextualSpacing/>
              <w:rPr>
                <w:color w:val="auto"/>
                <w:sz w:val="18"/>
              </w:rPr>
            </w:pPr>
            <w:r w:rsidRPr="005536D8">
              <w:rPr>
                <w:color w:val="auto"/>
                <w:sz w:val="18"/>
              </w:rPr>
              <w:t>No VA Entry (Noted under 5252)</w:t>
            </w:r>
          </w:p>
        </w:tc>
      </w:tr>
      <w:tr w:rsidR="00F90376" w:rsidRPr="005536D8" w:rsidTr="0017172C">
        <w:trPr>
          <w:trHeight w:val="172"/>
          <w:jc w:val="center"/>
        </w:trPr>
        <w:tc>
          <w:tcPr>
            <w:tcW w:w="3969" w:type="dxa"/>
            <w:gridSpan w:val="3"/>
            <w:tcBorders>
              <w:right w:val="thinThickThinSmallGap" w:sz="24" w:space="0" w:color="auto"/>
            </w:tcBorders>
            <w:shd w:val="clear" w:color="auto" w:fill="FFFFFF"/>
            <w:vAlign w:val="center"/>
          </w:tcPr>
          <w:p w:rsidR="00F90376" w:rsidRPr="005536D8" w:rsidRDefault="00905EA6" w:rsidP="006B690F">
            <w:pPr>
              <w:spacing w:line="180" w:lineRule="exact"/>
              <w:contextualSpacing/>
              <w:rPr>
                <w:rFonts w:cs="Calibri"/>
                <w:color w:val="auto"/>
                <w:sz w:val="18"/>
              </w:rPr>
            </w:pPr>
            <w:r w:rsidRPr="005536D8">
              <w:rPr>
                <w:rFonts w:cs="Calibri"/>
                <w:color w:val="auto"/>
                <w:sz w:val="18"/>
                <w:szCs w:val="18"/>
              </w:rPr>
              <w:t>↓No Additional MEB/PEB Entries↓</w:t>
            </w:r>
          </w:p>
        </w:tc>
        <w:tc>
          <w:tcPr>
            <w:tcW w:w="4410" w:type="dxa"/>
            <w:gridSpan w:val="3"/>
            <w:tcBorders>
              <w:left w:val="thinThickThinSmallGap" w:sz="24" w:space="0" w:color="auto"/>
            </w:tcBorders>
            <w:shd w:val="clear" w:color="auto" w:fill="FFFFFF"/>
            <w:vAlign w:val="center"/>
          </w:tcPr>
          <w:p w:rsidR="00F90376" w:rsidRPr="005536D8" w:rsidRDefault="00671E4D" w:rsidP="00E776A5">
            <w:pPr>
              <w:spacing w:line="180" w:lineRule="exact"/>
              <w:contextualSpacing/>
              <w:rPr>
                <w:rFonts w:cs="Calibri"/>
                <w:color w:val="auto"/>
                <w:sz w:val="18"/>
              </w:rPr>
            </w:pPr>
            <w:r w:rsidRPr="005536D8">
              <w:rPr>
                <w:color w:val="auto"/>
                <w:sz w:val="18"/>
              </w:rPr>
              <w:t xml:space="preserve">0% X </w:t>
            </w:r>
            <w:r w:rsidR="00E776A5" w:rsidRPr="005536D8">
              <w:rPr>
                <w:color w:val="auto"/>
                <w:sz w:val="18"/>
              </w:rPr>
              <w:t>0</w:t>
            </w:r>
            <w:r w:rsidRPr="005536D8">
              <w:rPr>
                <w:color w:val="auto"/>
                <w:sz w:val="18"/>
              </w:rPr>
              <w:t xml:space="preserve"> / Not Service-Connected x </w:t>
            </w:r>
            <w:r w:rsidR="00E776A5" w:rsidRPr="005536D8">
              <w:rPr>
                <w:color w:val="auto"/>
                <w:sz w:val="18"/>
              </w:rPr>
              <w:t>0</w:t>
            </w:r>
          </w:p>
        </w:tc>
        <w:tc>
          <w:tcPr>
            <w:tcW w:w="990" w:type="dxa"/>
            <w:shd w:val="clear" w:color="auto" w:fill="FFFFFF"/>
            <w:vAlign w:val="center"/>
          </w:tcPr>
          <w:p w:rsidR="00F90376" w:rsidRPr="005536D8" w:rsidRDefault="00E776A5" w:rsidP="0017172C">
            <w:pPr>
              <w:spacing w:line="180" w:lineRule="exact"/>
              <w:contextualSpacing/>
              <w:rPr>
                <w:rFonts w:cs="Calibri"/>
                <w:color w:val="auto"/>
                <w:sz w:val="18"/>
              </w:rPr>
            </w:pPr>
            <w:r w:rsidRPr="005536D8">
              <w:rPr>
                <w:rFonts w:cs="Calibri"/>
                <w:color w:val="auto"/>
                <w:sz w:val="18"/>
              </w:rPr>
              <w:t>No Exam</w:t>
            </w:r>
          </w:p>
        </w:tc>
      </w:tr>
      <w:tr w:rsidR="00F90376" w:rsidRPr="005536D8" w:rsidTr="00772CCC">
        <w:trPr>
          <w:trHeight w:val="37"/>
          <w:jc w:val="center"/>
        </w:trPr>
        <w:tc>
          <w:tcPr>
            <w:tcW w:w="3969" w:type="dxa"/>
            <w:gridSpan w:val="3"/>
            <w:tcBorders>
              <w:right w:val="thinThickThinSmallGap" w:sz="24" w:space="0" w:color="auto"/>
            </w:tcBorders>
            <w:shd w:val="clear" w:color="auto" w:fill="D9D9D9"/>
          </w:tcPr>
          <w:p w:rsidR="00F90376" w:rsidRPr="005536D8" w:rsidRDefault="00F90376" w:rsidP="00856763">
            <w:pPr>
              <w:spacing w:line="180" w:lineRule="exact"/>
              <w:contextualSpacing/>
              <w:rPr>
                <w:rFonts w:cs="Calibri"/>
                <w:b/>
                <w:color w:val="auto"/>
                <w:sz w:val="18"/>
              </w:rPr>
            </w:pPr>
            <w:r w:rsidRPr="005536D8">
              <w:rPr>
                <w:b/>
                <w:color w:val="auto"/>
                <w:sz w:val="18"/>
              </w:rPr>
              <w:t xml:space="preserve">Combined:  </w:t>
            </w:r>
            <w:r w:rsidR="00856763" w:rsidRPr="005536D8">
              <w:rPr>
                <w:b/>
                <w:color w:val="auto"/>
                <w:sz w:val="18"/>
              </w:rPr>
              <w:t>10</w:t>
            </w:r>
            <w:r w:rsidRPr="005536D8">
              <w:rPr>
                <w:b/>
                <w:color w:val="auto"/>
                <w:sz w:val="18"/>
              </w:rPr>
              <w:t>%</w:t>
            </w:r>
          </w:p>
        </w:tc>
        <w:tc>
          <w:tcPr>
            <w:tcW w:w="5400" w:type="dxa"/>
            <w:gridSpan w:val="4"/>
            <w:tcBorders>
              <w:left w:val="thinThickThinSmallGap" w:sz="24" w:space="0" w:color="auto"/>
            </w:tcBorders>
            <w:shd w:val="clear" w:color="auto" w:fill="D9D9D9"/>
          </w:tcPr>
          <w:p w:rsidR="00F90376" w:rsidRPr="005536D8" w:rsidRDefault="00F90376" w:rsidP="00772CCC">
            <w:pPr>
              <w:spacing w:line="180" w:lineRule="exact"/>
              <w:contextualSpacing/>
              <w:rPr>
                <w:rFonts w:cs="Calibri"/>
                <w:b/>
                <w:color w:val="auto"/>
                <w:sz w:val="18"/>
              </w:rPr>
            </w:pPr>
            <w:r w:rsidRPr="005536D8">
              <w:rPr>
                <w:b/>
                <w:color w:val="auto"/>
                <w:sz w:val="18"/>
              </w:rPr>
              <w:t xml:space="preserve">Combined:  </w:t>
            </w:r>
            <w:r w:rsidR="00772CCC" w:rsidRPr="005536D8">
              <w:rPr>
                <w:b/>
                <w:color w:val="auto"/>
                <w:sz w:val="18"/>
              </w:rPr>
              <w:t>0</w:t>
            </w:r>
            <w:r w:rsidRPr="005536D8">
              <w:rPr>
                <w:b/>
                <w:color w:val="auto"/>
                <w:sz w:val="18"/>
              </w:rPr>
              <w:t>%</w:t>
            </w:r>
            <w:r w:rsidR="00E776A5" w:rsidRPr="005536D8">
              <w:rPr>
                <w:b/>
                <w:color w:val="auto"/>
                <w:sz w:val="18"/>
              </w:rPr>
              <w:t>*</w:t>
            </w:r>
          </w:p>
        </w:tc>
      </w:tr>
    </w:tbl>
    <w:p w:rsidR="00F90376" w:rsidRPr="00552B5A" w:rsidRDefault="00E776A5" w:rsidP="00772CCC">
      <w:pPr>
        <w:pBdr>
          <w:bottom w:val="single" w:sz="12" w:space="1" w:color="auto"/>
        </w:pBdr>
        <w:tabs>
          <w:tab w:val="left" w:pos="288"/>
          <w:tab w:val="left" w:pos="4752"/>
        </w:tabs>
        <w:spacing w:line="180" w:lineRule="exact"/>
        <w:jc w:val="both"/>
        <w:rPr>
          <w:color w:val="auto"/>
          <w:sz w:val="18"/>
        </w:rPr>
      </w:pPr>
      <w:r w:rsidRPr="005536D8">
        <w:rPr>
          <w:color w:val="auto"/>
          <w:sz w:val="18"/>
        </w:rPr>
        <w:t>* VARD dated 20081121 provided a noncompensable 5252 rating (0%) based on service records</w:t>
      </w:r>
      <w:r w:rsidR="00C628DB" w:rsidRPr="005536D8">
        <w:rPr>
          <w:color w:val="auto"/>
          <w:sz w:val="18"/>
        </w:rPr>
        <w:t xml:space="preserve"> (STR)</w:t>
      </w:r>
      <w:r w:rsidRPr="005536D8">
        <w:rPr>
          <w:color w:val="auto"/>
          <w:sz w:val="18"/>
        </w:rPr>
        <w:t>.</w:t>
      </w:r>
    </w:p>
    <w:p w:rsidR="00E776A5" w:rsidRPr="00552B5A" w:rsidRDefault="00E776A5" w:rsidP="00772CCC">
      <w:pPr>
        <w:pBdr>
          <w:bottom w:val="single" w:sz="12" w:space="1" w:color="auto"/>
        </w:pBdr>
        <w:tabs>
          <w:tab w:val="left" w:pos="288"/>
          <w:tab w:val="left" w:pos="4752"/>
        </w:tabs>
        <w:spacing w:line="180" w:lineRule="exact"/>
        <w:jc w:val="both"/>
        <w:rPr>
          <w:color w:val="auto"/>
        </w:rPr>
      </w:pPr>
    </w:p>
    <w:p w:rsidR="00AD2379" w:rsidRPr="00F64312" w:rsidRDefault="00AD2379" w:rsidP="00165C7B">
      <w:pPr>
        <w:jc w:val="both"/>
        <w:rPr>
          <w:color w:val="auto"/>
        </w:rPr>
      </w:pPr>
    </w:p>
    <w:p w:rsidR="00552B5A" w:rsidRDefault="00552B5A">
      <w:pPr>
        <w:spacing w:line="240" w:lineRule="auto"/>
        <w:jc w:val="left"/>
        <w:rPr>
          <w:color w:val="auto"/>
          <w:u w:val="single"/>
        </w:rPr>
      </w:pPr>
      <w:r>
        <w:rPr>
          <w:color w:val="auto"/>
          <w:u w:val="single"/>
        </w:rPr>
        <w:br w:type="page"/>
      </w:r>
    </w:p>
    <w:p w:rsidR="00AD2379" w:rsidRPr="00F64312" w:rsidRDefault="00AD2379" w:rsidP="00726F84">
      <w:pPr>
        <w:jc w:val="both"/>
        <w:rPr>
          <w:color w:val="auto"/>
        </w:rPr>
      </w:pPr>
      <w:r w:rsidRPr="00F64312">
        <w:rPr>
          <w:color w:val="auto"/>
          <w:u w:val="single"/>
        </w:rPr>
        <w:lastRenderedPageBreak/>
        <w:t>ANALYSIS SUMMARY</w:t>
      </w:r>
      <w:r w:rsidRPr="00F64312">
        <w:rPr>
          <w:color w:val="auto"/>
        </w:rPr>
        <w:t>:</w:t>
      </w:r>
      <w:r w:rsidR="00896C01" w:rsidRPr="00F64312">
        <w:rPr>
          <w:color w:val="auto"/>
        </w:rPr>
        <w:t xml:space="preserve"> </w:t>
      </w:r>
      <w:r w:rsidRPr="00F64312">
        <w:rPr>
          <w:color w:val="auto"/>
        </w:rPr>
        <w:t xml:space="preserve"> </w:t>
      </w:r>
    </w:p>
    <w:p w:rsidR="00AD2379" w:rsidRPr="00F64312" w:rsidRDefault="00AD2379" w:rsidP="00B22D42">
      <w:pPr>
        <w:jc w:val="both"/>
        <w:rPr>
          <w:color w:val="auto"/>
          <w:highlight w:val="yellow"/>
        </w:rPr>
      </w:pPr>
    </w:p>
    <w:p w:rsidR="0069687C" w:rsidRPr="005536D8" w:rsidRDefault="00136EDC" w:rsidP="0069687C">
      <w:pPr>
        <w:jc w:val="both"/>
        <w:rPr>
          <w:color w:val="auto"/>
          <w:szCs w:val="24"/>
        </w:rPr>
      </w:pPr>
      <w:proofErr w:type="gramStart"/>
      <w:r w:rsidRPr="00136EDC">
        <w:rPr>
          <w:color w:val="auto"/>
          <w:szCs w:val="24"/>
          <w:u w:val="single"/>
        </w:rPr>
        <w:t>Left Hip/Pelvic Pain</w:t>
      </w:r>
      <w:r w:rsidRPr="00772CCC">
        <w:rPr>
          <w:color w:val="auto"/>
          <w:szCs w:val="24"/>
          <w:u w:val="single"/>
        </w:rPr>
        <w:t xml:space="preserve"> </w:t>
      </w:r>
      <w:r w:rsidR="00AD2379" w:rsidRPr="00772CCC">
        <w:rPr>
          <w:color w:val="auto"/>
          <w:u w:val="single"/>
        </w:rPr>
        <w:t>Condition</w:t>
      </w:r>
      <w:r w:rsidR="00AD2379" w:rsidRPr="00F64312">
        <w:rPr>
          <w:color w:val="auto"/>
        </w:rPr>
        <w:t>.</w:t>
      </w:r>
      <w:proofErr w:type="gramEnd"/>
      <w:r w:rsidR="00AD2379" w:rsidRPr="00F64312">
        <w:rPr>
          <w:color w:val="auto"/>
        </w:rPr>
        <w:t xml:space="preserve"> </w:t>
      </w:r>
      <w:r w:rsidR="00385708" w:rsidRPr="00F64312">
        <w:rPr>
          <w:color w:val="auto"/>
        </w:rPr>
        <w:t xml:space="preserve"> </w:t>
      </w:r>
      <w:r w:rsidR="00385708" w:rsidRPr="00C628DB">
        <w:rPr>
          <w:color w:val="auto"/>
        </w:rPr>
        <w:t>The narrative summary (NARSUM) notes</w:t>
      </w:r>
      <w:r w:rsidR="00385708" w:rsidRPr="00F64312">
        <w:rPr>
          <w:color w:val="auto"/>
        </w:rPr>
        <w:t xml:space="preserve"> </w:t>
      </w:r>
      <w:r w:rsidR="00FC392B">
        <w:rPr>
          <w:color w:val="auto"/>
        </w:rPr>
        <w:t>a history of a left pubic ramus stress fracture during basic training and successful completion of advanced training including fitness testing (APFT).  Pain resolved with rest and recurred on resuming activities.  Bone scan indicated stress fractures “in the hip and shins</w:t>
      </w:r>
      <w:r w:rsidR="00384C77">
        <w:rPr>
          <w:color w:val="auto"/>
        </w:rPr>
        <w:t>,</w:t>
      </w:r>
      <w:r w:rsidR="00FC392B">
        <w:rPr>
          <w:color w:val="auto"/>
        </w:rPr>
        <w:t>”</w:t>
      </w:r>
      <w:r w:rsidR="008028B1">
        <w:rPr>
          <w:color w:val="auto"/>
        </w:rPr>
        <w:t xml:space="preserve"> and MRI indicated healing</w:t>
      </w:r>
      <w:r w:rsidR="00FC392B">
        <w:rPr>
          <w:color w:val="auto"/>
        </w:rPr>
        <w:t xml:space="preserve"> </w:t>
      </w:r>
      <w:r w:rsidR="008028B1">
        <w:rPr>
          <w:color w:val="auto"/>
        </w:rPr>
        <w:t xml:space="preserve">of in the area of the left inferior pubic ramus with no other hip or pelvic pathology noted, and no acute processes. </w:t>
      </w:r>
      <w:r w:rsidR="00FC392B">
        <w:rPr>
          <w:color w:val="auto"/>
        </w:rPr>
        <w:t xml:space="preserve"> The CI was pregnant during the MEB exam.  </w:t>
      </w:r>
      <w:r w:rsidR="0069687C" w:rsidRPr="00F64312">
        <w:rPr>
          <w:color w:val="auto"/>
          <w:szCs w:val="24"/>
        </w:rPr>
        <w:t xml:space="preserve">There were </w:t>
      </w:r>
      <w:r w:rsidR="008028B1">
        <w:rPr>
          <w:color w:val="auto"/>
          <w:szCs w:val="24"/>
        </w:rPr>
        <w:t xml:space="preserve">two </w:t>
      </w:r>
      <w:r w:rsidR="00384C77">
        <w:rPr>
          <w:color w:val="auto"/>
          <w:szCs w:val="24"/>
        </w:rPr>
        <w:t>goniometric range-of-</w:t>
      </w:r>
      <w:r w:rsidR="0069687C" w:rsidRPr="00F64312">
        <w:rPr>
          <w:color w:val="auto"/>
          <w:szCs w:val="24"/>
        </w:rPr>
        <w:t xml:space="preserve">motion (ROM) evaluations in evidence, with documentation of additional ratable criteria, which the Board weighed in </w:t>
      </w:r>
      <w:r w:rsidR="0069687C" w:rsidRPr="00552B5A">
        <w:rPr>
          <w:color w:val="auto"/>
          <w:szCs w:val="24"/>
        </w:rPr>
        <w:t xml:space="preserve">arriving at its rating recommendation; as summarized in </w:t>
      </w:r>
      <w:r w:rsidR="0069687C" w:rsidRPr="005536D8">
        <w:rPr>
          <w:color w:val="auto"/>
          <w:szCs w:val="24"/>
        </w:rPr>
        <w:t>the chart below.</w:t>
      </w:r>
      <w:r w:rsidR="00165C7B" w:rsidRPr="005536D8">
        <w:rPr>
          <w:color w:val="auto"/>
          <w:szCs w:val="24"/>
        </w:rPr>
        <w:t xml:space="preserve">  </w:t>
      </w:r>
    </w:p>
    <w:p w:rsidR="00836B7B" w:rsidRPr="005536D8" w:rsidRDefault="00836B7B" w:rsidP="0069687C">
      <w:pPr>
        <w:jc w:val="both"/>
        <w:rPr>
          <w:color w:val="auto"/>
          <w:szCs w:val="24"/>
        </w:rPr>
      </w:pPr>
    </w:p>
    <w:tbl>
      <w:tblPr>
        <w:tblW w:w="65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81"/>
        <w:gridCol w:w="2250"/>
        <w:gridCol w:w="2250"/>
      </w:tblGrid>
      <w:tr w:rsidR="004F2FC6" w:rsidRPr="005536D8" w:rsidTr="004F2FC6">
        <w:trPr>
          <w:jc w:val="center"/>
        </w:trPr>
        <w:tc>
          <w:tcPr>
            <w:tcW w:w="2081" w:type="dxa"/>
            <w:shd w:val="clear" w:color="auto" w:fill="D9D9D9" w:themeFill="background1" w:themeFillShade="D9"/>
            <w:vAlign w:val="center"/>
          </w:tcPr>
          <w:p w:rsidR="004F2FC6" w:rsidRPr="005536D8" w:rsidRDefault="004F2FC6" w:rsidP="00671E4D">
            <w:pPr>
              <w:spacing w:line="200" w:lineRule="exact"/>
              <w:contextualSpacing/>
              <w:rPr>
                <w:rFonts w:asciiTheme="majorHAnsi" w:eastAsia="Calibri" w:hAnsiTheme="majorHAnsi" w:cstheme="majorHAnsi"/>
                <w:color w:val="auto"/>
                <w:sz w:val="20"/>
                <w:szCs w:val="18"/>
              </w:rPr>
            </w:pPr>
            <w:r w:rsidRPr="005536D8">
              <w:rPr>
                <w:rFonts w:asciiTheme="majorHAnsi" w:eastAsia="Calibri" w:hAnsiTheme="majorHAnsi" w:cstheme="majorHAnsi"/>
                <w:color w:val="auto"/>
                <w:sz w:val="20"/>
                <w:szCs w:val="18"/>
              </w:rPr>
              <w:t>Left/Right Hip (Thigh) ROM</w:t>
            </w:r>
          </w:p>
        </w:tc>
        <w:tc>
          <w:tcPr>
            <w:tcW w:w="2250" w:type="dxa"/>
            <w:shd w:val="clear" w:color="auto" w:fill="D9D9D9" w:themeFill="background1" w:themeFillShade="D9"/>
            <w:vAlign w:val="center"/>
          </w:tcPr>
          <w:p w:rsidR="004F2FC6" w:rsidRPr="005536D8" w:rsidRDefault="004F2FC6" w:rsidP="00552B5A">
            <w:pPr>
              <w:spacing w:line="200" w:lineRule="exact"/>
              <w:contextualSpacing/>
              <w:rPr>
                <w:rFonts w:asciiTheme="majorHAnsi" w:hAnsiTheme="majorHAnsi" w:cstheme="majorHAnsi"/>
                <w:color w:val="auto"/>
                <w:sz w:val="20"/>
                <w:szCs w:val="18"/>
              </w:rPr>
            </w:pPr>
            <w:r w:rsidRPr="005536D8">
              <w:rPr>
                <w:rFonts w:asciiTheme="majorHAnsi" w:hAnsiTheme="majorHAnsi" w:cstheme="majorHAnsi"/>
                <w:color w:val="auto"/>
                <w:sz w:val="20"/>
                <w:szCs w:val="18"/>
              </w:rPr>
              <w:t>PT ~3 Mo. Pre-Sep</w:t>
            </w:r>
          </w:p>
        </w:tc>
        <w:tc>
          <w:tcPr>
            <w:tcW w:w="2250" w:type="dxa"/>
            <w:shd w:val="clear" w:color="auto" w:fill="D9D9D9" w:themeFill="background1" w:themeFillShade="D9"/>
            <w:vAlign w:val="center"/>
          </w:tcPr>
          <w:p w:rsidR="004F2FC6" w:rsidRPr="005536D8" w:rsidRDefault="004F2FC6" w:rsidP="00552B5A">
            <w:pPr>
              <w:spacing w:line="200" w:lineRule="exact"/>
              <w:contextualSpacing/>
              <w:rPr>
                <w:rFonts w:asciiTheme="majorHAnsi" w:hAnsiTheme="majorHAnsi" w:cstheme="majorHAnsi"/>
                <w:color w:val="auto"/>
                <w:sz w:val="20"/>
                <w:szCs w:val="18"/>
              </w:rPr>
            </w:pPr>
            <w:r w:rsidRPr="005536D8">
              <w:rPr>
                <w:rFonts w:asciiTheme="majorHAnsi" w:hAnsiTheme="majorHAnsi" w:cstheme="majorHAnsi"/>
                <w:color w:val="auto"/>
                <w:sz w:val="20"/>
                <w:szCs w:val="18"/>
              </w:rPr>
              <w:t>MEB ~3 Mo. Pre-Sep</w:t>
            </w:r>
          </w:p>
        </w:tc>
      </w:tr>
      <w:tr w:rsidR="004F2FC6" w:rsidRPr="005536D8" w:rsidTr="004F2FC6">
        <w:trPr>
          <w:jc w:val="center"/>
        </w:trPr>
        <w:tc>
          <w:tcPr>
            <w:tcW w:w="2081" w:type="dxa"/>
            <w:vAlign w:val="center"/>
          </w:tcPr>
          <w:p w:rsidR="004F2FC6" w:rsidRPr="005536D8" w:rsidRDefault="004F2FC6" w:rsidP="00671E4D">
            <w:pPr>
              <w:spacing w:line="200" w:lineRule="exact"/>
              <w:contextualSpacing/>
              <w:rPr>
                <w:rFonts w:asciiTheme="majorHAnsi" w:eastAsia="Calibri" w:hAnsiTheme="majorHAnsi" w:cstheme="majorHAnsi"/>
                <w:color w:val="auto"/>
                <w:sz w:val="20"/>
                <w:szCs w:val="18"/>
              </w:rPr>
            </w:pPr>
            <w:r w:rsidRPr="005536D8">
              <w:rPr>
                <w:rFonts w:asciiTheme="majorHAnsi" w:eastAsia="Calibri" w:hAnsiTheme="majorHAnsi" w:cstheme="majorHAnsi"/>
                <w:color w:val="auto"/>
                <w:sz w:val="20"/>
                <w:szCs w:val="18"/>
              </w:rPr>
              <w:t>Flexion (0-125⁰)</w:t>
            </w:r>
          </w:p>
        </w:tc>
        <w:tc>
          <w:tcPr>
            <w:tcW w:w="2250" w:type="dxa"/>
            <w:vAlign w:val="center"/>
          </w:tcPr>
          <w:p w:rsidR="004F2FC6" w:rsidRPr="005536D8" w:rsidRDefault="004F2FC6" w:rsidP="004F2FC6">
            <w:pPr>
              <w:spacing w:line="200" w:lineRule="exact"/>
              <w:contextualSpacing/>
              <w:rPr>
                <w:rFonts w:asciiTheme="majorHAnsi" w:eastAsia="Calibri" w:hAnsiTheme="majorHAnsi" w:cstheme="majorHAnsi"/>
                <w:color w:val="auto"/>
                <w:sz w:val="20"/>
                <w:szCs w:val="18"/>
              </w:rPr>
            </w:pPr>
            <w:r w:rsidRPr="005536D8">
              <w:rPr>
                <w:rFonts w:asciiTheme="majorHAnsi" w:eastAsia="Calibri" w:hAnsiTheme="majorHAnsi" w:cstheme="majorHAnsi"/>
                <w:color w:val="auto"/>
                <w:sz w:val="20"/>
                <w:szCs w:val="18"/>
              </w:rPr>
              <w:t>99⁰/105⁰ [-5⁰]*</w:t>
            </w:r>
          </w:p>
        </w:tc>
        <w:tc>
          <w:tcPr>
            <w:tcW w:w="2250" w:type="dxa"/>
            <w:vAlign w:val="center"/>
          </w:tcPr>
          <w:p w:rsidR="004F2FC6" w:rsidRPr="005536D8" w:rsidRDefault="004F2FC6" w:rsidP="009B65B6">
            <w:pPr>
              <w:spacing w:line="200" w:lineRule="exact"/>
              <w:contextualSpacing/>
              <w:rPr>
                <w:rFonts w:asciiTheme="majorHAnsi" w:eastAsia="Calibri" w:hAnsiTheme="majorHAnsi" w:cstheme="majorHAnsi"/>
                <w:color w:val="auto"/>
                <w:sz w:val="20"/>
                <w:szCs w:val="18"/>
              </w:rPr>
            </w:pPr>
            <w:r w:rsidRPr="005536D8">
              <w:rPr>
                <w:rFonts w:asciiTheme="majorHAnsi" w:eastAsia="Calibri" w:hAnsiTheme="majorHAnsi" w:cstheme="majorHAnsi"/>
                <w:color w:val="auto"/>
                <w:sz w:val="20"/>
                <w:szCs w:val="18"/>
              </w:rPr>
              <w:t>25⁰/20⁰</w:t>
            </w:r>
            <w:r w:rsidR="00552B5A" w:rsidRPr="005536D8">
              <w:rPr>
                <w:rFonts w:asciiTheme="majorHAnsi" w:eastAsia="Calibri" w:hAnsiTheme="majorHAnsi" w:cstheme="majorHAnsi"/>
                <w:color w:val="auto"/>
                <w:sz w:val="20"/>
                <w:szCs w:val="18"/>
              </w:rPr>
              <w:t>*</w:t>
            </w:r>
          </w:p>
        </w:tc>
      </w:tr>
      <w:tr w:rsidR="00E21647" w:rsidRPr="005536D8" w:rsidTr="004F2FC6">
        <w:trPr>
          <w:jc w:val="center"/>
        </w:trPr>
        <w:tc>
          <w:tcPr>
            <w:tcW w:w="2081" w:type="dxa"/>
            <w:vAlign w:val="center"/>
          </w:tcPr>
          <w:p w:rsidR="00E21647" w:rsidRPr="005536D8" w:rsidRDefault="00E21647" w:rsidP="00671E4D">
            <w:pPr>
              <w:spacing w:line="200" w:lineRule="exact"/>
              <w:contextualSpacing/>
              <w:rPr>
                <w:rFonts w:asciiTheme="majorHAnsi" w:eastAsia="Calibri" w:hAnsiTheme="majorHAnsi" w:cstheme="majorHAnsi"/>
                <w:color w:val="auto"/>
                <w:sz w:val="20"/>
                <w:szCs w:val="18"/>
              </w:rPr>
            </w:pPr>
            <w:r w:rsidRPr="005536D8">
              <w:rPr>
                <w:rFonts w:asciiTheme="majorHAnsi" w:eastAsia="Calibri" w:hAnsiTheme="majorHAnsi" w:cstheme="majorHAnsi"/>
                <w:color w:val="auto"/>
                <w:sz w:val="20"/>
                <w:szCs w:val="18"/>
              </w:rPr>
              <w:t>Extension (0-20⁰)</w:t>
            </w:r>
          </w:p>
        </w:tc>
        <w:tc>
          <w:tcPr>
            <w:tcW w:w="2250" w:type="dxa"/>
            <w:vAlign w:val="center"/>
          </w:tcPr>
          <w:p w:rsidR="00E21647" w:rsidRPr="005536D8" w:rsidRDefault="00E21647" w:rsidP="00671E4D">
            <w:pPr>
              <w:spacing w:line="200" w:lineRule="exact"/>
              <w:contextualSpacing/>
              <w:rPr>
                <w:rFonts w:asciiTheme="majorHAnsi" w:eastAsia="Calibri" w:hAnsiTheme="majorHAnsi" w:cstheme="majorHAnsi"/>
                <w:color w:val="auto"/>
                <w:sz w:val="20"/>
                <w:szCs w:val="18"/>
              </w:rPr>
            </w:pPr>
            <w:r w:rsidRPr="005536D8">
              <w:rPr>
                <w:rFonts w:asciiTheme="majorHAnsi" w:eastAsia="Calibri" w:hAnsiTheme="majorHAnsi" w:cstheme="majorHAnsi"/>
                <w:color w:val="auto"/>
                <w:sz w:val="20"/>
                <w:szCs w:val="18"/>
              </w:rPr>
              <w:t>0⁰/12⁰</w:t>
            </w:r>
          </w:p>
        </w:tc>
        <w:tc>
          <w:tcPr>
            <w:tcW w:w="2250" w:type="dxa"/>
            <w:vMerge w:val="restart"/>
            <w:vAlign w:val="center"/>
          </w:tcPr>
          <w:p w:rsidR="00E21647" w:rsidRPr="005536D8" w:rsidRDefault="00E21647" w:rsidP="009B65B6">
            <w:pPr>
              <w:spacing w:line="200" w:lineRule="exact"/>
              <w:contextualSpacing/>
              <w:rPr>
                <w:rFonts w:asciiTheme="majorHAnsi" w:eastAsia="Calibri" w:hAnsiTheme="majorHAnsi" w:cstheme="majorHAnsi"/>
                <w:color w:val="auto"/>
                <w:sz w:val="20"/>
                <w:szCs w:val="18"/>
              </w:rPr>
            </w:pPr>
            <w:r w:rsidRPr="005536D8">
              <w:rPr>
                <w:rFonts w:asciiTheme="majorHAnsi" w:eastAsia="Calibri" w:hAnsiTheme="majorHAnsi" w:cstheme="majorHAnsi"/>
                <w:color w:val="auto"/>
                <w:sz w:val="20"/>
                <w:szCs w:val="18"/>
              </w:rPr>
              <w:t>See text</w:t>
            </w:r>
            <w:r w:rsidR="00552B5A" w:rsidRPr="005536D8">
              <w:rPr>
                <w:rFonts w:asciiTheme="majorHAnsi" w:eastAsia="Calibri" w:hAnsiTheme="majorHAnsi" w:cstheme="majorHAnsi"/>
                <w:color w:val="auto"/>
                <w:sz w:val="20"/>
                <w:szCs w:val="18"/>
              </w:rPr>
              <w:t>*</w:t>
            </w:r>
          </w:p>
        </w:tc>
      </w:tr>
      <w:tr w:rsidR="00E21647" w:rsidRPr="005536D8" w:rsidTr="004F2FC6">
        <w:trPr>
          <w:jc w:val="center"/>
        </w:trPr>
        <w:tc>
          <w:tcPr>
            <w:tcW w:w="2081" w:type="dxa"/>
            <w:vAlign w:val="center"/>
          </w:tcPr>
          <w:p w:rsidR="00E21647" w:rsidRPr="005536D8" w:rsidRDefault="00E21647" w:rsidP="00671E4D">
            <w:pPr>
              <w:spacing w:line="200" w:lineRule="exact"/>
              <w:contextualSpacing/>
              <w:rPr>
                <w:rFonts w:asciiTheme="majorHAnsi" w:eastAsia="Calibri" w:hAnsiTheme="majorHAnsi" w:cstheme="majorHAnsi"/>
                <w:color w:val="auto"/>
                <w:sz w:val="20"/>
                <w:szCs w:val="18"/>
              </w:rPr>
            </w:pPr>
            <w:r w:rsidRPr="005536D8">
              <w:rPr>
                <w:rFonts w:asciiTheme="majorHAnsi" w:eastAsia="Calibri" w:hAnsiTheme="majorHAnsi" w:cstheme="majorHAnsi"/>
                <w:color w:val="auto"/>
                <w:sz w:val="20"/>
                <w:szCs w:val="18"/>
              </w:rPr>
              <w:t>Abduction (0-45⁰)</w:t>
            </w:r>
          </w:p>
        </w:tc>
        <w:tc>
          <w:tcPr>
            <w:tcW w:w="2250" w:type="dxa"/>
            <w:vAlign w:val="center"/>
          </w:tcPr>
          <w:p w:rsidR="00E21647" w:rsidRPr="005536D8" w:rsidRDefault="00E21647" w:rsidP="004F2FC6">
            <w:pPr>
              <w:spacing w:line="200" w:lineRule="exact"/>
              <w:contextualSpacing/>
              <w:rPr>
                <w:rFonts w:asciiTheme="majorHAnsi" w:eastAsia="Calibri" w:hAnsiTheme="majorHAnsi" w:cstheme="majorHAnsi"/>
                <w:color w:val="auto"/>
                <w:sz w:val="20"/>
                <w:szCs w:val="18"/>
              </w:rPr>
            </w:pPr>
            <w:r w:rsidRPr="005536D8">
              <w:rPr>
                <w:rFonts w:asciiTheme="majorHAnsi" w:eastAsia="Calibri" w:hAnsiTheme="majorHAnsi" w:cstheme="majorHAnsi"/>
                <w:color w:val="auto"/>
                <w:sz w:val="20"/>
                <w:szCs w:val="18"/>
              </w:rPr>
              <w:t>32⁰/62⁰ [-1⁰]*</w:t>
            </w:r>
          </w:p>
        </w:tc>
        <w:tc>
          <w:tcPr>
            <w:tcW w:w="2250" w:type="dxa"/>
            <w:vMerge/>
            <w:vAlign w:val="center"/>
          </w:tcPr>
          <w:p w:rsidR="00E21647" w:rsidRPr="005536D8" w:rsidRDefault="00E21647" w:rsidP="009B65B6">
            <w:pPr>
              <w:spacing w:line="200" w:lineRule="exact"/>
              <w:contextualSpacing/>
              <w:rPr>
                <w:rFonts w:asciiTheme="majorHAnsi" w:eastAsia="Calibri" w:hAnsiTheme="majorHAnsi" w:cstheme="majorHAnsi"/>
                <w:color w:val="auto"/>
                <w:sz w:val="20"/>
                <w:szCs w:val="18"/>
              </w:rPr>
            </w:pPr>
          </w:p>
        </w:tc>
      </w:tr>
      <w:tr w:rsidR="004F2FC6" w:rsidRPr="005536D8" w:rsidTr="004F2FC6">
        <w:trPr>
          <w:jc w:val="center"/>
        </w:trPr>
        <w:tc>
          <w:tcPr>
            <w:tcW w:w="2081" w:type="dxa"/>
            <w:vAlign w:val="center"/>
          </w:tcPr>
          <w:p w:rsidR="004F2FC6" w:rsidRPr="005536D8" w:rsidRDefault="004F2FC6" w:rsidP="00671E4D">
            <w:pPr>
              <w:tabs>
                <w:tab w:val="left" w:pos="288"/>
                <w:tab w:val="left" w:pos="4752"/>
              </w:tabs>
              <w:spacing w:line="200" w:lineRule="exact"/>
              <w:rPr>
                <w:rFonts w:asciiTheme="majorHAnsi" w:eastAsiaTheme="minorHAnsi" w:hAnsiTheme="majorHAnsi" w:cstheme="majorHAnsi"/>
                <w:color w:val="auto"/>
                <w:sz w:val="20"/>
                <w:szCs w:val="18"/>
              </w:rPr>
            </w:pPr>
            <w:r w:rsidRPr="005536D8">
              <w:rPr>
                <w:rFonts w:asciiTheme="majorHAnsi" w:eastAsiaTheme="minorHAnsi" w:hAnsiTheme="majorHAnsi" w:cstheme="majorHAnsi"/>
                <w:color w:val="auto"/>
                <w:sz w:val="20"/>
                <w:szCs w:val="18"/>
              </w:rPr>
              <w:t>Comment</w:t>
            </w:r>
          </w:p>
        </w:tc>
        <w:tc>
          <w:tcPr>
            <w:tcW w:w="2250" w:type="dxa"/>
            <w:vAlign w:val="center"/>
          </w:tcPr>
          <w:p w:rsidR="004F2FC6" w:rsidRPr="005536D8" w:rsidRDefault="004F2FC6" w:rsidP="004F2FC6">
            <w:pPr>
              <w:pStyle w:val="ListParagraph"/>
              <w:spacing w:after="0" w:line="200" w:lineRule="exact"/>
              <w:ind w:left="0"/>
              <w:rPr>
                <w:rFonts w:asciiTheme="majorHAnsi" w:eastAsia="Calibri" w:hAnsiTheme="majorHAnsi" w:cstheme="majorHAnsi"/>
                <w:sz w:val="20"/>
                <w:szCs w:val="18"/>
              </w:rPr>
            </w:pPr>
            <w:r w:rsidRPr="005536D8">
              <w:rPr>
                <w:rFonts w:asciiTheme="majorHAnsi" w:eastAsia="Calibri" w:hAnsiTheme="majorHAnsi" w:cstheme="majorHAnsi"/>
                <w:sz w:val="20"/>
                <w:szCs w:val="18"/>
              </w:rPr>
              <w:t>Flexion 5⁰ and abduction 1⁰ decrease after repetition</w:t>
            </w:r>
          </w:p>
        </w:tc>
        <w:tc>
          <w:tcPr>
            <w:tcW w:w="2250" w:type="dxa"/>
            <w:vAlign w:val="center"/>
          </w:tcPr>
          <w:p w:rsidR="004F2FC6" w:rsidRPr="005536D8" w:rsidRDefault="004F2FC6" w:rsidP="004F2FC6">
            <w:pPr>
              <w:pStyle w:val="ListParagraph"/>
              <w:spacing w:after="0" w:line="200" w:lineRule="exact"/>
              <w:ind w:left="0"/>
              <w:rPr>
                <w:rFonts w:asciiTheme="majorHAnsi" w:eastAsia="Calibri" w:hAnsiTheme="majorHAnsi" w:cstheme="majorHAnsi"/>
                <w:sz w:val="20"/>
                <w:szCs w:val="18"/>
              </w:rPr>
            </w:pPr>
            <w:r w:rsidRPr="005536D8">
              <w:rPr>
                <w:rFonts w:asciiTheme="majorHAnsi" w:eastAsia="Calibri" w:hAnsiTheme="majorHAnsi" w:cstheme="majorHAnsi"/>
                <w:sz w:val="20"/>
                <w:szCs w:val="18"/>
              </w:rPr>
              <w:t>Pregnancy limits bilateral hip ROMs; +tender</w:t>
            </w:r>
            <w:r w:rsidR="00E21647" w:rsidRPr="005536D8">
              <w:rPr>
                <w:rFonts w:asciiTheme="majorHAnsi" w:eastAsia="Calibri" w:hAnsiTheme="majorHAnsi" w:cstheme="majorHAnsi"/>
                <w:sz w:val="20"/>
                <w:szCs w:val="18"/>
              </w:rPr>
              <w:t xml:space="preserve"> </w:t>
            </w:r>
            <w:proofErr w:type="spellStart"/>
            <w:r w:rsidR="00E21647" w:rsidRPr="005536D8">
              <w:rPr>
                <w:rFonts w:asciiTheme="majorHAnsi" w:eastAsia="Calibri" w:hAnsiTheme="majorHAnsi" w:cstheme="majorHAnsi"/>
                <w:sz w:val="20"/>
                <w:szCs w:val="18"/>
              </w:rPr>
              <w:t>bilat</w:t>
            </w:r>
            <w:proofErr w:type="spellEnd"/>
            <w:r w:rsidR="00E21647" w:rsidRPr="005536D8">
              <w:rPr>
                <w:rFonts w:asciiTheme="majorHAnsi" w:eastAsia="Calibri" w:hAnsiTheme="majorHAnsi" w:cstheme="majorHAnsi"/>
                <w:sz w:val="20"/>
                <w:szCs w:val="18"/>
              </w:rPr>
              <w:t>.</w:t>
            </w:r>
            <w:r w:rsidRPr="005536D8">
              <w:rPr>
                <w:rFonts w:asciiTheme="majorHAnsi" w:eastAsia="Calibri" w:hAnsiTheme="majorHAnsi" w:cstheme="majorHAnsi"/>
                <w:sz w:val="20"/>
                <w:szCs w:val="18"/>
              </w:rPr>
              <w:t>; Left hip pain limited; Right without pain; negative DeLuca</w:t>
            </w:r>
          </w:p>
        </w:tc>
      </w:tr>
      <w:tr w:rsidR="004F2FC6" w:rsidRPr="005536D8" w:rsidTr="004F2FC6">
        <w:trPr>
          <w:jc w:val="center"/>
        </w:trPr>
        <w:tc>
          <w:tcPr>
            <w:tcW w:w="2081" w:type="dxa"/>
            <w:vAlign w:val="center"/>
          </w:tcPr>
          <w:p w:rsidR="004F2FC6" w:rsidRPr="005536D8" w:rsidRDefault="004F2FC6" w:rsidP="00671E4D">
            <w:pPr>
              <w:tabs>
                <w:tab w:val="left" w:pos="288"/>
                <w:tab w:val="left" w:pos="4752"/>
              </w:tabs>
              <w:spacing w:line="200" w:lineRule="exact"/>
              <w:rPr>
                <w:rFonts w:asciiTheme="majorHAnsi" w:eastAsiaTheme="minorHAnsi" w:hAnsiTheme="majorHAnsi" w:cstheme="majorHAnsi"/>
                <w:color w:val="auto"/>
                <w:sz w:val="20"/>
                <w:szCs w:val="18"/>
              </w:rPr>
            </w:pPr>
            <w:r w:rsidRPr="005536D8">
              <w:rPr>
                <w:rFonts w:asciiTheme="majorHAnsi" w:eastAsiaTheme="minorHAnsi" w:hAnsiTheme="majorHAnsi" w:cstheme="majorHAnsi"/>
                <w:color w:val="auto"/>
                <w:sz w:val="20"/>
                <w:szCs w:val="18"/>
              </w:rPr>
              <w:t>§4.71a Rating</w:t>
            </w:r>
          </w:p>
        </w:tc>
        <w:tc>
          <w:tcPr>
            <w:tcW w:w="2250" w:type="dxa"/>
            <w:vAlign w:val="center"/>
          </w:tcPr>
          <w:p w:rsidR="004F2FC6" w:rsidRPr="005536D8" w:rsidRDefault="008D6056" w:rsidP="008D6056">
            <w:pPr>
              <w:pStyle w:val="ListParagraph"/>
              <w:spacing w:after="0" w:line="200" w:lineRule="exact"/>
              <w:ind w:left="0"/>
              <w:rPr>
                <w:rFonts w:asciiTheme="majorHAnsi" w:eastAsia="Calibri" w:hAnsiTheme="majorHAnsi" w:cstheme="majorHAnsi"/>
                <w:sz w:val="20"/>
                <w:szCs w:val="18"/>
              </w:rPr>
            </w:pPr>
            <w:r w:rsidRPr="005536D8">
              <w:rPr>
                <w:rFonts w:asciiTheme="majorHAnsi" w:eastAsia="Calibri" w:hAnsiTheme="majorHAnsi" w:cstheme="majorHAnsi"/>
                <w:sz w:val="20"/>
                <w:szCs w:val="18"/>
              </w:rPr>
              <w:t>10%</w:t>
            </w:r>
            <w:r w:rsidR="00951303" w:rsidRPr="005536D8">
              <w:rPr>
                <w:rFonts w:asciiTheme="majorHAnsi" w:eastAsia="Calibri" w:hAnsiTheme="majorHAnsi" w:cstheme="majorHAnsi"/>
                <w:sz w:val="20"/>
                <w:szCs w:val="18"/>
              </w:rPr>
              <w:t>*</w:t>
            </w:r>
          </w:p>
        </w:tc>
        <w:tc>
          <w:tcPr>
            <w:tcW w:w="2250" w:type="dxa"/>
            <w:vAlign w:val="center"/>
          </w:tcPr>
          <w:p w:rsidR="004F2FC6" w:rsidRPr="005536D8" w:rsidRDefault="008D6056" w:rsidP="008D6056">
            <w:pPr>
              <w:pStyle w:val="ListParagraph"/>
              <w:spacing w:after="0" w:line="200" w:lineRule="exact"/>
              <w:ind w:left="0"/>
              <w:rPr>
                <w:rFonts w:asciiTheme="majorHAnsi" w:eastAsia="Calibri" w:hAnsiTheme="majorHAnsi" w:cstheme="majorHAnsi"/>
                <w:sz w:val="20"/>
                <w:szCs w:val="18"/>
              </w:rPr>
            </w:pPr>
            <w:r w:rsidRPr="005536D8">
              <w:rPr>
                <w:rFonts w:asciiTheme="majorHAnsi" w:eastAsia="Calibri" w:hAnsiTheme="majorHAnsi" w:cstheme="majorHAnsi"/>
                <w:sz w:val="20"/>
                <w:szCs w:val="18"/>
              </w:rPr>
              <w:t>10%</w:t>
            </w:r>
            <w:r w:rsidR="00552B5A" w:rsidRPr="005536D8">
              <w:rPr>
                <w:rFonts w:asciiTheme="majorHAnsi" w:eastAsia="Calibri" w:hAnsiTheme="majorHAnsi" w:cstheme="majorHAnsi"/>
                <w:sz w:val="20"/>
                <w:szCs w:val="18"/>
              </w:rPr>
              <w:t>*</w:t>
            </w:r>
          </w:p>
        </w:tc>
      </w:tr>
    </w:tbl>
    <w:p w:rsidR="00AF154D" w:rsidRPr="005536D8" w:rsidRDefault="00951303" w:rsidP="00552B5A">
      <w:pPr>
        <w:jc w:val="both"/>
        <w:rPr>
          <w:rFonts w:ascii="Janson Text" w:hAnsi="Janson Text" w:cs="Times New Roman"/>
          <w:color w:val="auto"/>
          <w:sz w:val="14"/>
          <w:szCs w:val="24"/>
        </w:rPr>
      </w:pPr>
      <w:r w:rsidRPr="005536D8">
        <w:rPr>
          <w:color w:val="auto"/>
          <w:szCs w:val="24"/>
        </w:rPr>
        <w:tab/>
      </w:r>
      <w:r w:rsidR="00552B5A" w:rsidRPr="005536D8">
        <w:rPr>
          <w:color w:val="auto"/>
          <w:szCs w:val="24"/>
        </w:rPr>
        <w:tab/>
        <w:t>* see text</w:t>
      </w:r>
    </w:p>
    <w:p w:rsidR="00951303" w:rsidRPr="00552B5A" w:rsidRDefault="00951303" w:rsidP="0069687C">
      <w:pPr>
        <w:jc w:val="both"/>
        <w:rPr>
          <w:color w:val="auto"/>
          <w:szCs w:val="24"/>
        </w:rPr>
      </w:pPr>
    </w:p>
    <w:p w:rsidR="00D80129" w:rsidRDefault="00CF0280" w:rsidP="004F2FC6">
      <w:pPr>
        <w:jc w:val="both"/>
        <w:rPr>
          <w:color w:val="auto"/>
          <w:szCs w:val="24"/>
        </w:rPr>
      </w:pPr>
      <w:r w:rsidRPr="00552B5A">
        <w:rPr>
          <w:color w:val="auto"/>
          <w:szCs w:val="24"/>
        </w:rPr>
        <w:t>At the MEB exam, the CI reported</w:t>
      </w:r>
      <w:r w:rsidR="00E21647" w:rsidRPr="00552B5A">
        <w:rPr>
          <w:color w:val="auto"/>
          <w:szCs w:val="24"/>
        </w:rPr>
        <w:t xml:space="preserve"> left hip area pain that was usually tolerable unless exacerbated by activity.  Pain on walking</w:t>
      </w:r>
      <w:r w:rsidR="00E21647">
        <w:rPr>
          <w:color w:val="auto"/>
          <w:szCs w:val="24"/>
        </w:rPr>
        <w:t xml:space="preserve"> from the hospital to her car required rest, and pain sometimes </w:t>
      </w:r>
      <w:r w:rsidR="008028B1">
        <w:rPr>
          <w:color w:val="auto"/>
          <w:szCs w:val="24"/>
        </w:rPr>
        <w:t xml:space="preserve">interfered </w:t>
      </w:r>
      <w:r w:rsidR="00E21647">
        <w:rPr>
          <w:color w:val="auto"/>
          <w:szCs w:val="24"/>
        </w:rPr>
        <w:t xml:space="preserve">with sleep.  The CI indicated </w:t>
      </w:r>
      <w:r w:rsidR="008028B1">
        <w:rPr>
          <w:color w:val="auto"/>
          <w:szCs w:val="24"/>
        </w:rPr>
        <w:t xml:space="preserve">pain </w:t>
      </w:r>
      <w:r w:rsidR="00E21647">
        <w:rPr>
          <w:color w:val="auto"/>
          <w:szCs w:val="24"/>
        </w:rPr>
        <w:t>flare</w:t>
      </w:r>
      <w:r w:rsidR="008028B1">
        <w:rPr>
          <w:color w:val="auto"/>
          <w:szCs w:val="24"/>
        </w:rPr>
        <w:t>-</w:t>
      </w:r>
      <w:r w:rsidR="00E21647">
        <w:rPr>
          <w:color w:val="auto"/>
          <w:szCs w:val="24"/>
        </w:rPr>
        <w:t xml:space="preserve">up with virtually any use.  There did not appear to be complaints of fatigue, weakness, lack of endurance or instability separate from pain.  </w:t>
      </w:r>
      <w:r w:rsidRPr="00F64312">
        <w:rPr>
          <w:color w:val="auto"/>
          <w:szCs w:val="24"/>
        </w:rPr>
        <w:t>The MEB physical exam noted</w:t>
      </w:r>
      <w:r w:rsidR="00E21647">
        <w:rPr>
          <w:color w:val="auto"/>
          <w:szCs w:val="24"/>
        </w:rPr>
        <w:t xml:space="preserve"> bilateral tenderness at the </w:t>
      </w:r>
      <w:r w:rsidR="008028B1">
        <w:rPr>
          <w:color w:val="auto"/>
          <w:szCs w:val="24"/>
        </w:rPr>
        <w:t xml:space="preserve">lateral </w:t>
      </w:r>
      <w:r w:rsidR="00E21647">
        <w:rPr>
          <w:color w:val="auto"/>
          <w:szCs w:val="24"/>
        </w:rPr>
        <w:t>inguinal folds.  There was no instability.  The e</w:t>
      </w:r>
      <w:r w:rsidR="00E21647" w:rsidRPr="00E21647">
        <w:rPr>
          <w:color w:val="auto"/>
          <w:szCs w:val="24"/>
        </w:rPr>
        <w:t>xam</w:t>
      </w:r>
      <w:r w:rsidR="00E21647">
        <w:rPr>
          <w:color w:val="auto"/>
          <w:szCs w:val="24"/>
        </w:rPr>
        <w:t xml:space="preserve"> indicated that </w:t>
      </w:r>
      <w:r w:rsidR="00D80129">
        <w:rPr>
          <w:color w:val="auto"/>
          <w:szCs w:val="24"/>
        </w:rPr>
        <w:t xml:space="preserve">hip </w:t>
      </w:r>
      <w:r w:rsidR="00E21647" w:rsidRPr="00E21647">
        <w:rPr>
          <w:color w:val="auto"/>
          <w:szCs w:val="24"/>
        </w:rPr>
        <w:t>flexion wa</w:t>
      </w:r>
      <w:r w:rsidR="00E21647">
        <w:rPr>
          <w:color w:val="auto"/>
          <w:szCs w:val="24"/>
        </w:rPr>
        <w:t>s</w:t>
      </w:r>
      <w:r w:rsidR="00E21647" w:rsidRPr="00E21647">
        <w:rPr>
          <w:color w:val="auto"/>
          <w:szCs w:val="24"/>
        </w:rPr>
        <w:t xml:space="preserve"> limited by pain </w:t>
      </w:r>
      <w:r w:rsidR="00D80129">
        <w:rPr>
          <w:color w:val="auto"/>
          <w:szCs w:val="24"/>
        </w:rPr>
        <w:t xml:space="preserve">to 25⁰ on the left, with </w:t>
      </w:r>
      <w:r w:rsidR="00FC392B" w:rsidRPr="00E21647">
        <w:rPr>
          <w:color w:val="auto"/>
          <w:szCs w:val="24"/>
        </w:rPr>
        <w:t>20</w:t>
      </w:r>
      <w:r w:rsidR="00FC392B">
        <w:rPr>
          <w:color w:val="auto"/>
          <w:szCs w:val="24"/>
        </w:rPr>
        <w:t xml:space="preserve">⁰ </w:t>
      </w:r>
      <w:r w:rsidR="00D80129">
        <w:rPr>
          <w:color w:val="auto"/>
          <w:szCs w:val="24"/>
        </w:rPr>
        <w:t>on the right which</w:t>
      </w:r>
      <w:r w:rsidR="00E21647" w:rsidRPr="00E21647">
        <w:rPr>
          <w:color w:val="auto"/>
          <w:szCs w:val="24"/>
        </w:rPr>
        <w:t xml:space="preserve"> did not worsen with repetition.</w:t>
      </w:r>
      <w:r w:rsidR="00D80129">
        <w:rPr>
          <w:color w:val="auto"/>
          <w:szCs w:val="24"/>
        </w:rPr>
        <w:t xml:space="preserve">  The CI </w:t>
      </w:r>
      <w:r w:rsidR="00D80129" w:rsidRPr="004F2FC6">
        <w:rPr>
          <w:color w:val="auto"/>
          <w:szCs w:val="24"/>
        </w:rPr>
        <w:t>c</w:t>
      </w:r>
      <w:r w:rsidR="00D80129">
        <w:rPr>
          <w:color w:val="auto"/>
          <w:szCs w:val="24"/>
        </w:rPr>
        <w:t xml:space="preserve">ould </w:t>
      </w:r>
      <w:r w:rsidR="00D80129" w:rsidRPr="004F2FC6">
        <w:rPr>
          <w:color w:val="auto"/>
          <w:szCs w:val="24"/>
        </w:rPr>
        <w:t>cross legs and toe out to 15</w:t>
      </w:r>
      <w:r w:rsidR="00FC392B">
        <w:rPr>
          <w:color w:val="auto"/>
          <w:szCs w:val="24"/>
        </w:rPr>
        <w:t>⁰</w:t>
      </w:r>
      <w:r w:rsidR="00D80129">
        <w:rPr>
          <w:color w:val="auto"/>
          <w:szCs w:val="24"/>
        </w:rPr>
        <w:t xml:space="preserve">.  There was </w:t>
      </w:r>
      <w:r w:rsidR="00D80129" w:rsidRPr="004F2FC6">
        <w:rPr>
          <w:color w:val="auto"/>
          <w:szCs w:val="24"/>
        </w:rPr>
        <w:t>obvious discomfort at 45</w:t>
      </w:r>
      <w:r w:rsidR="00D80129">
        <w:rPr>
          <w:color w:val="auto"/>
          <w:szCs w:val="24"/>
        </w:rPr>
        <w:t>⁰</w:t>
      </w:r>
      <w:r w:rsidR="00D80129" w:rsidRPr="004F2FC6">
        <w:rPr>
          <w:color w:val="auto"/>
          <w:szCs w:val="24"/>
        </w:rPr>
        <w:t xml:space="preserve"> passive abduction with both legs</w:t>
      </w:r>
      <w:r w:rsidR="00D80129">
        <w:rPr>
          <w:color w:val="auto"/>
          <w:szCs w:val="24"/>
        </w:rPr>
        <w:t xml:space="preserve">.  </w:t>
      </w:r>
      <w:r w:rsidR="008D6056">
        <w:rPr>
          <w:color w:val="auto"/>
          <w:szCs w:val="24"/>
        </w:rPr>
        <w:t xml:space="preserve">Treatment notes were mixed on indicating normal gait or a slight limp.  There was no evidence of lower extremity sensory or motor focal deficit.  </w:t>
      </w:r>
    </w:p>
    <w:p w:rsidR="00D80129" w:rsidRDefault="00D80129" w:rsidP="004F2FC6">
      <w:pPr>
        <w:jc w:val="both"/>
        <w:rPr>
          <w:color w:val="auto"/>
          <w:szCs w:val="24"/>
        </w:rPr>
      </w:pPr>
    </w:p>
    <w:p w:rsidR="004F2FC6" w:rsidRDefault="00D80129" w:rsidP="004F2FC6">
      <w:pPr>
        <w:jc w:val="both"/>
        <w:rPr>
          <w:color w:val="auto"/>
          <w:szCs w:val="24"/>
        </w:rPr>
      </w:pPr>
      <w:r>
        <w:rPr>
          <w:color w:val="auto"/>
          <w:szCs w:val="24"/>
        </w:rPr>
        <w:t>The e</w:t>
      </w:r>
      <w:r w:rsidR="00E21647" w:rsidRPr="00E21647">
        <w:rPr>
          <w:color w:val="auto"/>
          <w:szCs w:val="24"/>
        </w:rPr>
        <w:t xml:space="preserve">xaminer </w:t>
      </w:r>
      <w:r>
        <w:rPr>
          <w:color w:val="auto"/>
          <w:szCs w:val="24"/>
        </w:rPr>
        <w:t>stated “f</w:t>
      </w:r>
      <w:r w:rsidRPr="004F2FC6">
        <w:rPr>
          <w:color w:val="auto"/>
          <w:szCs w:val="24"/>
        </w:rPr>
        <w:t>lexion of right hip not really painful, limitation appears due</w:t>
      </w:r>
      <w:r>
        <w:rPr>
          <w:color w:val="auto"/>
          <w:szCs w:val="24"/>
        </w:rPr>
        <w:t xml:space="preserve"> </w:t>
      </w:r>
      <w:r w:rsidRPr="004F2FC6">
        <w:rPr>
          <w:color w:val="auto"/>
          <w:szCs w:val="24"/>
        </w:rPr>
        <w:t>more to presence of intrauterine pregnancy</w:t>
      </w:r>
      <w:r>
        <w:rPr>
          <w:color w:val="auto"/>
          <w:szCs w:val="24"/>
        </w:rPr>
        <w:t xml:space="preserve">.  </w:t>
      </w:r>
      <w:proofErr w:type="gramStart"/>
      <w:r w:rsidR="004F2FC6" w:rsidRPr="004F2FC6">
        <w:rPr>
          <w:color w:val="auto"/>
          <w:szCs w:val="24"/>
        </w:rPr>
        <w:t>Flexion of left hip limitation due more to pain than to pregnancy</w:t>
      </w:r>
      <w:r>
        <w:rPr>
          <w:color w:val="auto"/>
          <w:szCs w:val="24"/>
        </w:rPr>
        <w:t>.</w:t>
      </w:r>
      <w:proofErr w:type="gramEnd"/>
      <w:r>
        <w:rPr>
          <w:color w:val="auto"/>
          <w:szCs w:val="24"/>
        </w:rPr>
        <w:t xml:space="preserve"> </w:t>
      </w:r>
      <w:r w:rsidR="00E21647">
        <w:rPr>
          <w:color w:val="auto"/>
          <w:szCs w:val="24"/>
        </w:rPr>
        <w:t xml:space="preserve"> </w:t>
      </w:r>
      <w:r>
        <w:rPr>
          <w:color w:val="auto"/>
          <w:szCs w:val="24"/>
        </w:rPr>
        <w:t xml:space="preserve">The examiner specifically noted the significant </w:t>
      </w:r>
      <w:r w:rsidR="004F2FC6" w:rsidRPr="004F2FC6">
        <w:rPr>
          <w:color w:val="auto"/>
          <w:szCs w:val="24"/>
        </w:rPr>
        <w:t>differ</w:t>
      </w:r>
      <w:r>
        <w:rPr>
          <w:color w:val="auto"/>
          <w:szCs w:val="24"/>
        </w:rPr>
        <w:t xml:space="preserve">ence in his exam ROMs </w:t>
      </w:r>
      <w:r w:rsidR="004F2FC6" w:rsidRPr="004F2FC6">
        <w:rPr>
          <w:color w:val="auto"/>
          <w:szCs w:val="24"/>
        </w:rPr>
        <w:t xml:space="preserve">from </w:t>
      </w:r>
      <w:r>
        <w:rPr>
          <w:color w:val="auto"/>
          <w:szCs w:val="24"/>
        </w:rPr>
        <w:t xml:space="preserve">the </w:t>
      </w:r>
      <w:r w:rsidR="004F2FC6" w:rsidRPr="004F2FC6">
        <w:rPr>
          <w:color w:val="auto"/>
          <w:szCs w:val="24"/>
        </w:rPr>
        <w:t>PT</w:t>
      </w:r>
      <w:r w:rsidR="00E21647">
        <w:rPr>
          <w:color w:val="auto"/>
          <w:szCs w:val="24"/>
        </w:rPr>
        <w:t xml:space="preserve"> </w:t>
      </w:r>
      <w:r w:rsidR="004F2FC6" w:rsidRPr="004F2FC6">
        <w:rPr>
          <w:color w:val="auto"/>
          <w:szCs w:val="24"/>
        </w:rPr>
        <w:t>measurements</w:t>
      </w:r>
      <w:r>
        <w:rPr>
          <w:color w:val="auto"/>
          <w:szCs w:val="24"/>
        </w:rPr>
        <w:t xml:space="preserve"> and </w:t>
      </w:r>
      <w:r w:rsidR="004F2FC6" w:rsidRPr="004F2FC6">
        <w:rPr>
          <w:color w:val="auto"/>
          <w:szCs w:val="24"/>
        </w:rPr>
        <w:t>attribute</w:t>
      </w:r>
      <w:r>
        <w:rPr>
          <w:color w:val="auto"/>
          <w:szCs w:val="24"/>
        </w:rPr>
        <w:t>d</w:t>
      </w:r>
      <w:r w:rsidR="004F2FC6" w:rsidRPr="004F2FC6">
        <w:rPr>
          <w:color w:val="auto"/>
          <w:szCs w:val="24"/>
        </w:rPr>
        <w:t xml:space="preserve"> th</w:t>
      </w:r>
      <w:r>
        <w:rPr>
          <w:color w:val="auto"/>
          <w:szCs w:val="24"/>
        </w:rPr>
        <w:t xml:space="preserve">e </w:t>
      </w:r>
      <w:r w:rsidR="004F2FC6" w:rsidRPr="004F2FC6">
        <w:rPr>
          <w:color w:val="auto"/>
          <w:szCs w:val="24"/>
        </w:rPr>
        <w:t>difference to advancing pregnancy and normal variation in pain level with time</w:t>
      </w:r>
      <w:r>
        <w:rPr>
          <w:color w:val="auto"/>
          <w:szCs w:val="24"/>
        </w:rPr>
        <w:t>.</w:t>
      </w:r>
      <w:r w:rsidR="00E21647">
        <w:rPr>
          <w:color w:val="auto"/>
          <w:szCs w:val="24"/>
        </w:rPr>
        <w:t xml:space="preserve"> </w:t>
      </w:r>
      <w:r>
        <w:rPr>
          <w:color w:val="auto"/>
          <w:szCs w:val="24"/>
        </w:rPr>
        <w:t xml:space="preserve"> </w:t>
      </w:r>
      <w:r w:rsidR="004F2FC6" w:rsidRPr="004F2FC6">
        <w:rPr>
          <w:color w:val="auto"/>
          <w:szCs w:val="24"/>
        </w:rPr>
        <w:t>Fatigue, weakness, lack of endurance, and incoordination d</w:t>
      </w:r>
      <w:r>
        <w:rPr>
          <w:color w:val="auto"/>
          <w:szCs w:val="24"/>
        </w:rPr>
        <w:t>id</w:t>
      </w:r>
      <w:r w:rsidR="00E21647">
        <w:rPr>
          <w:color w:val="auto"/>
          <w:szCs w:val="24"/>
        </w:rPr>
        <w:t xml:space="preserve"> </w:t>
      </w:r>
      <w:r w:rsidR="004F2FC6" w:rsidRPr="004F2FC6">
        <w:rPr>
          <w:color w:val="auto"/>
          <w:szCs w:val="24"/>
        </w:rPr>
        <w:t>not appear to significantly limit functional ability</w:t>
      </w:r>
      <w:r>
        <w:rPr>
          <w:color w:val="auto"/>
          <w:szCs w:val="24"/>
        </w:rPr>
        <w:t xml:space="preserve">.  </w:t>
      </w:r>
    </w:p>
    <w:p w:rsidR="008D6056" w:rsidRDefault="008D6056" w:rsidP="004F2FC6">
      <w:pPr>
        <w:jc w:val="both"/>
        <w:rPr>
          <w:color w:val="auto"/>
          <w:szCs w:val="24"/>
        </w:rPr>
      </w:pPr>
    </w:p>
    <w:p w:rsidR="008D6056" w:rsidRDefault="008D6056" w:rsidP="004F2FC6">
      <w:pPr>
        <w:jc w:val="both"/>
        <w:rPr>
          <w:color w:val="auto"/>
          <w:szCs w:val="24"/>
        </w:rPr>
      </w:pPr>
      <w:r>
        <w:rPr>
          <w:color w:val="auto"/>
          <w:szCs w:val="24"/>
        </w:rPr>
        <w:t>The PEB rated this condition as 5299-5255 at 10% stat</w:t>
      </w:r>
      <w:r w:rsidR="00FC392B">
        <w:rPr>
          <w:color w:val="auto"/>
          <w:szCs w:val="24"/>
        </w:rPr>
        <w:t>ed</w:t>
      </w:r>
      <w:r>
        <w:rPr>
          <w:color w:val="auto"/>
          <w:szCs w:val="24"/>
        </w:rPr>
        <w:t>:</w:t>
      </w:r>
      <w:r w:rsidR="00FC588D">
        <w:rPr>
          <w:color w:val="auto"/>
          <w:szCs w:val="24"/>
        </w:rPr>
        <w:t xml:space="preserve">  </w:t>
      </w:r>
    </w:p>
    <w:p w:rsidR="00FC588D" w:rsidRDefault="00FC588D" w:rsidP="00FC588D">
      <w:pPr>
        <w:ind w:left="288" w:right="288"/>
        <w:jc w:val="both"/>
        <w:rPr>
          <w:color w:val="auto"/>
          <w:sz w:val="20"/>
          <w:szCs w:val="24"/>
        </w:rPr>
      </w:pPr>
    </w:p>
    <w:p w:rsidR="008D6056" w:rsidRDefault="00FC588D" w:rsidP="00951303">
      <w:pPr>
        <w:spacing w:line="200" w:lineRule="exact"/>
        <w:ind w:left="288" w:right="288"/>
        <w:jc w:val="both"/>
        <w:rPr>
          <w:color w:val="auto"/>
          <w:sz w:val="20"/>
          <w:szCs w:val="24"/>
        </w:rPr>
      </w:pPr>
      <w:proofErr w:type="gramStart"/>
      <w:r w:rsidRPr="00FC588D">
        <w:rPr>
          <w:color w:val="auto"/>
          <w:sz w:val="20"/>
          <w:szCs w:val="24"/>
        </w:rPr>
        <w:t>“Left hip/pelvic pain following healing of a left pubic ramus stress fracture.</w:t>
      </w:r>
      <w:proofErr w:type="gramEnd"/>
      <w:r w:rsidRPr="00FC588D">
        <w:rPr>
          <w:color w:val="auto"/>
          <w:sz w:val="20"/>
          <w:szCs w:val="24"/>
        </w:rPr>
        <w:t xml:space="preserve"> </w:t>
      </w:r>
      <w:r w:rsidR="00951303">
        <w:rPr>
          <w:color w:val="auto"/>
          <w:sz w:val="20"/>
          <w:szCs w:val="24"/>
        </w:rPr>
        <w:t xml:space="preserve"> </w:t>
      </w:r>
      <w:r w:rsidRPr="00FC588D">
        <w:rPr>
          <w:color w:val="auto"/>
          <w:sz w:val="20"/>
          <w:szCs w:val="24"/>
        </w:rPr>
        <w:t xml:space="preserve">This interferes with her weight bearing activities as well as wearing a pistol belt.  Left hip flexion is 99 degrees (105 degrees on right), extension is 0 degrees (12 degrees on right), abduction is 32 degrees (62 degrees on right, left knee is 0-130 degrees (right is 0-138 degrees). </w:t>
      </w:r>
      <w:r w:rsidR="00FC392B">
        <w:rPr>
          <w:color w:val="auto"/>
          <w:sz w:val="20"/>
          <w:szCs w:val="24"/>
        </w:rPr>
        <w:t xml:space="preserve"> </w:t>
      </w:r>
      <w:r w:rsidRPr="00FC588D">
        <w:rPr>
          <w:color w:val="auto"/>
          <w:sz w:val="20"/>
          <w:szCs w:val="24"/>
        </w:rPr>
        <w:t xml:space="preserve">Rated by analogy (VASRD 4.20) to impairment of the femur and even though there is no malunion, this most accurately reflects her functional loss (VASRD 4.40).  </w:t>
      </w:r>
      <w:proofErr w:type="gramStart"/>
      <w:r w:rsidRPr="00FC588D">
        <w:rPr>
          <w:color w:val="auto"/>
          <w:sz w:val="20"/>
          <w:szCs w:val="24"/>
        </w:rPr>
        <w:t>Rated as having slight knee or hip disability</w:t>
      </w:r>
      <w:r w:rsidR="008D6056" w:rsidRPr="00FC588D">
        <w:rPr>
          <w:color w:val="auto"/>
          <w:sz w:val="20"/>
          <w:szCs w:val="24"/>
        </w:rPr>
        <w:t>.</w:t>
      </w:r>
      <w:r w:rsidRPr="00FC588D">
        <w:rPr>
          <w:color w:val="auto"/>
          <w:sz w:val="20"/>
          <w:szCs w:val="24"/>
        </w:rPr>
        <w:t>”</w:t>
      </w:r>
      <w:proofErr w:type="gramEnd"/>
      <w:r w:rsidR="008D6056" w:rsidRPr="00FC588D">
        <w:rPr>
          <w:color w:val="auto"/>
          <w:sz w:val="20"/>
          <w:szCs w:val="24"/>
        </w:rPr>
        <w:t xml:space="preserve">  </w:t>
      </w:r>
    </w:p>
    <w:p w:rsidR="00FC588D" w:rsidRPr="00FC588D" w:rsidRDefault="00FC588D" w:rsidP="00FC588D">
      <w:pPr>
        <w:ind w:left="288" w:right="288"/>
        <w:jc w:val="both"/>
        <w:rPr>
          <w:color w:val="auto"/>
          <w:sz w:val="20"/>
          <w:szCs w:val="24"/>
        </w:rPr>
      </w:pPr>
    </w:p>
    <w:p w:rsidR="00CF0280" w:rsidRPr="00F64312" w:rsidRDefault="004F2FC6" w:rsidP="00CF0280">
      <w:pPr>
        <w:jc w:val="both"/>
        <w:rPr>
          <w:color w:val="auto"/>
          <w:szCs w:val="24"/>
        </w:rPr>
      </w:pPr>
      <w:r>
        <w:rPr>
          <w:color w:val="auto"/>
          <w:szCs w:val="24"/>
        </w:rPr>
        <w:lastRenderedPageBreak/>
        <w:t>T</w:t>
      </w:r>
      <w:r w:rsidR="00CF0280" w:rsidRPr="00F64312">
        <w:rPr>
          <w:color w:val="auto"/>
          <w:szCs w:val="24"/>
        </w:rPr>
        <w:t xml:space="preserve">he </w:t>
      </w:r>
      <w:r>
        <w:rPr>
          <w:color w:val="auto"/>
          <w:szCs w:val="24"/>
        </w:rPr>
        <w:t xml:space="preserve">CI failed to show for a scheduled </w:t>
      </w:r>
      <w:r w:rsidR="00CF0280" w:rsidRPr="00F64312">
        <w:rPr>
          <w:color w:val="auto"/>
          <w:szCs w:val="24"/>
        </w:rPr>
        <w:t>VA Compensation and Pension (C&amp;P) exam</w:t>
      </w:r>
      <w:r>
        <w:rPr>
          <w:color w:val="auto"/>
          <w:szCs w:val="24"/>
        </w:rPr>
        <w:t>, and there w</w:t>
      </w:r>
      <w:r w:rsidR="00582885">
        <w:rPr>
          <w:color w:val="auto"/>
          <w:szCs w:val="24"/>
        </w:rPr>
        <w:t>ere</w:t>
      </w:r>
      <w:r>
        <w:rPr>
          <w:color w:val="auto"/>
          <w:szCs w:val="24"/>
        </w:rPr>
        <w:t xml:space="preserve"> no VA C&amp;P exam</w:t>
      </w:r>
      <w:r w:rsidR="00582885">
        <w:rPr>
          <w:color w:val="auto"/>
          <w:szCs w:val="24"/>
        </w:rPr>
        <w:t>s</w:t>
      </w:r>
      <w:r>
        <w:rPr>
          <w:color w:val="auto"/>
          <w:szCs w:val="24"/>
        </w:rPr>
        <w:t xml:space="preserve"> or treatment notes in evidence.  </w:t>
      </w:r>
      <w:r w:rsidR="00384C77">
        <w:rPr>
          <w:color w:val="auto"/>
          <w:szCs w:val="24"/>
        </w:rPr>
        <w:t xml:space="preserve">The </w:t>
      </w:r>
      <w:r w:rsidRPr="004F2FC6">
        <w:rPr>
          <w:color w:val="auto"/>
          <w:szCs w:val="24"/>
        </w:rPr>
        <w:t>VARD</w:t>
      </w:r>
      <w:r w:rsidR="00384C77">
        <w:rPr>
          <w:color w:val="auto"/>
          <w:szCs w:val="24"/>
        </w:rPr>
        <w:t>,</w:t>
      </w:r>
      <w:r w:rsidRPr="004F2FC6">
        <w:rPr>
          <w:color w:val="auto"/>
          <w:szCs w:val="24"/>
        </w:rPr>
        <w:t xml:space="preserve"> dated </w:t>
      </w:r>
      <w:r w:rsidR="00384C77">
        <w:rPr>
          <w:color w:val="auto"/>
          <w:szCs w:val="24"/>
        </w:rPr>
        <w:t xml:space="preserve">21 November </w:t>
      </w:r>
      <w:r w:rsidRPr="004F2FC6">
        <w:rPr>
          <w:color w:val="auto"/>
          <w:szCs w:val="24"/>
        </w:rPr>
        <w:t>2008</w:t>
      </w:r>
      <w:r w:rsidR="00384C77">
        <w:rPr>
          <w:color w:val="auto"/>
          <w:szCs w:val="24"/>
        </w:rPr>
        <w:t>,</w:t>
      </w:r>
      <w:r w:rsidRPr="004F2FC6">
        <w:rPr>
          <w:color w:val="auto"/>
          <w:szCs w:val="24"/>
        </w:rPr>
        <w:t xml:space="preserve"> provided a non</w:t>
      </w:r>
      <w:r w:rsidR="00384C77">
        <w:rPr>
          <w:color w:val="auto"/>
          <w:szCs w:val="24"/>
        </w:rPr>
        <w:t>-</w:t>
      </w:r>
      <w:r w:rsidRPr="004F2FC6">
        <w:rPr>
          <w:color w:val="auto"/>
          <w:szCs w:val="24"/>
        </w:rPr>
        <w:t xml:space="preserve">compensable 5252 rating (0%) </w:t>
      </w:r>
      <w:r>
        <w:rPr>
          <w:color w:val="auto"/>
          <w:szCs w:val="24"/>
        </w:rPr>
        <w:t>for “</w:t>
      </w:r>
      <w:r w:rsidR="00384C77">
        <w:rPr>
          <w:color w:val="auto"/>
          <w:szCs w:val="24"/>
        </w:rPr>
        <w:t>l</w:t>
      </w:r>
      <w:r w:rsidRPr="004F2FC6">
        <w:rPr>
          <w:color w:val="auto"/>
          <w:szCs w:val="24"/>
        </w:rPr>
        <w:t xml:space="preserve">eft </w:t>
      </w:r>
      <w:r w:rsidR="00384C77">
        <w:rPr>
          <w:color w:val="auto"/>
          <w:szCs w:val="24"/>
        </w:rPr>
        <w:t>i</w:t>
      </w:r>
      <w:r w:rsidRPr="004F2FC6">
        <w:rPr>
          <w:color w:val="auto"/>
          <w:szCs w:val="24"/>
        </w:rPr>
        <w:t xml:space="preserve">nferior </w:t>
      </w:r>
      <w:r w:rsidR="00384C77">
        <w:rPr>
          <w:color w:val="auto"/>
          <w:szCs w:val="24"/>
        </w:rPr>
        <w:t>p</w:t>
      </w:r>
      <w:r w:rsidRPr="004F2FC6">
        <w:rPr>
          <w:color w:val="auto"/>
          <w:szCs w:val="24"/>
        </w:rPr>
        <w:t xml:space="preserve">ubic </w:t>
      </w:r>
      <w:r w:rsidR="00384C77">
        <w:rPr>
          <w:color w:val="auto"/>
          <w:szCs w:val="24"/>
        </w:rPr>
        <w:t>r</w:t>
      </w:r>
      <w:r w:rsidRPr="004F2FC6">
        <w:rPr>
          <w:color w:val="auto"/>
          <w:szCs w:val="24"/>
        </w:rPr>
        <w:t xml:space="preserve">amus </w:t>
      </w:r>
      <w:r w:rsidR="00384C77">
        <w:rPr>
          <w:color w:val="auto"/>
          <w:szCs w:val="24"/>
        </w:rPr>
        <w:t>f</w:t>
      </w:r>
      <w:r w:rsidRPr="004F2FC6">
        <w:rPr>
          <w:color w:val="auto"/>
          <w:szCs w:val="24"/>
        </w:rPr>
        <w:t xml:space="preserve">racture claimed as </w:t>
      </w:r>
      <w:r w:rsidR="00384C77">
        <w:rPr>
          <w:color w:val="auto"/>
          <w:szCs w:val="24"/>
        </w:rPr>
        <w:t>h</w:t>
      </w:r>
      <w:r w:rsidRPr="004F2FC6">
        <w:rPr>
          <w:color w:val="auto"/>
          <w:szCs w:val="24"/>
        </w:rPr>
        <w:t xml:space="preserve">ip </w:t>
      </w:r>
      <w:r w:rsidR="00384C77">
        <w:rPr>
          <w:color w:val="auto"/>
          <w:szCs w:val="24"/>
        </w:rPr>
        <w:t>f</w:t>
      </w:r>
      <w:r w:rsidRPr="004F2FC6">
        <w:rPr>
          <w:color w:val="auto"/>
          <w:szCs w:val="24"/>
        </w:rPr>
        <w:t>racture</w:t>
      </w:r>
      <w:r>
        <w:rPr>
          <w:color w:val="auto"/>
          <w:szCs w:val="24"/>
        </w:rPr>
        <w:t xml:space="preserve">” </w:t>
      </w:r>
      <w:r w:rsidRPr="004F2FC6">
        <w:rPr>
          <w:color w:val="auto"/>
          <w:szCs w:val="24"/>
        </w:rPr>
        <w:t xml:space="preserve">based on </w:t>
      </w:r>
      <w:r>
        <w:rPr>
          <w:color w:val="auto"/>
          <w:szCs w:val="24"/>
        </w:rPr>
        <w:t xml:space="preserve">the </w:t>
      </w:r>
      <w:r w:rsidR="001253E4">
        <w:rPr>
          <w:color w:val="auto"/>
          <w:szCs w:val="24"/>
        </w:rPr>
        <w:t>service treatment record</w:t>
      </w:r>
      <w:bookmarkStart w:id="0" w:name="_GoBack"/>
      <w:bookmarkEnd w:id="0"/>
      <w:r>
        <w:rPr>
          <w:color w:val="auto"/>
          <w:szCs w:val="24"/>
        </w:rPr>
        <w:t xml:space="preserve">.  </w:t>
      </w:r>
    </w:p>
    <w:p w:rsidR="00CF0280" w:rsidRPr="00F64312" w:rsidRDefault="00CF0280" w:rsidP="0069687C">
      <w:pPr>
        <w:jc w:val="both"/>
        <w:rPr>
          <w:color w:val="auto"/>
          <w:szCs w:val="24"/>
        </w:rPr>
      </w:pPr>
    </w:p>
    <w:p w:rsidR="00FC588D" w:rsidRPr="00552B5A" w:rsidRDefault="00AD2379" w:rsidP="00951303">
      <w:pPr>
        <w:tabs>
          <w:tab w:val="left" w:pos="288"/>
          <w:tab w:val="left" w:pos="4752"/>
        </w:tabs>
        <w:jc w:val="both"/>
        <w:rPr>
          <w:rFonts w:cs="Times New Roman"/>
          <w:color w:val="auto"/>
        </w:rPr>
      </w:pPr>
      <w:r w:rsidRPr="00F64312">
        <w:rPr>
          <w:rFonts w:cs="Times New Roman"/>
          <w:color w:val="auto"/>
        </w:rPr>
        <w:t>The Board directs attenti</w:t>
      </w:r>
      <w:r w:rsidR="00782CC1" w:rsidRPr="00F64312">
        <w:rPr>
          <w:rFonts w:cs="Times New Roman"/>
          <w:color w:val="auto"/>
        </w:rPr>
        <w:t>on to its rating recommendation</w:t>
      </w:r>
      <w:r w:rsidRPr="00F64312">
        <w:rPr>
          <w:rFonts w:cs="Times New Roman"/>
          <w:color w:val="auto"/>
        </w:rPr>
        <w:t xml:space="preserve"> </w:t>
      </w:r>
      <w:r w:rsidR="00B13A51" w:rsidRPr="00552B5A">
        <w:rPr>
          <w:rFonts w:cs="Times New Roman"/>
          <w:color w:val="auto"/>
        </w:rPr>
        <w:t>based on the above evidence</w:t>
      </w:r>
      <w:r w:rsidRPr="00552B5A">
        <w:rPr>
          <w:rFonts w:cs="Times New Roman"/>
          <w:color w:val="auto"/>
        </w:rPr>
        <w:t>.</w:t>
      </w:r>
      <w:r w:rsidR="00165C7B" w:rsidRPr="00552B5A">
        <w:rPr>
          <w:rFonts w:cs="Times New Roman"/>
          <w:color w:val="auto"/>
        </w:rPr>
        <w:t xml:space="preserve">  </w:t>
      </w:r>
      <w:r w:rsidR="00FC588D" w:rsidRPr="00552B5A">
        <w:rPr>
          <w:rFonts w:cs="Times New Roman"/>
          <w:color w:val="auto"/>
        </w:rPr>
        <w:t xml:space="preserve">The PT ROM would rate no higher than 10% with application of §4.59 painful motion.  Although the stated NARSUM ROMs indicated thigh flexion limited to 25⁰ due to pain, this limitation was less than the </w:t>
      </w:r>
      <w:r w:rsidR="008028B1" w:rsidRPr="00552B5A">
        <w:rPr>
          <w:rFonts w:cs="Times New Roman"/>
          <w:color w:val="auto"/>
        </w:rPr>
        <w:t xml:space="preserve">non-involved </w:t>
      </w:r>
      <w:r w:rsidR="00FC588D" w:rsidRPr="00552B5A">
        <w:rPr>
          <w:rFonts w:cs="Times New Roman"/>
          <w:color w:val="auto"/>
        </w:rPr>
        <w:t xml:space="preserve">opposite side which was limited due to pregnancy.  This was considered a special case where other factors not the result of disease or injury (pregnancy) led to the CI’s normal ROM not being the VASRD normal ROM of the thigh IAW </w:t>
      </w:r>
      <w:r w:rsidR="00384C77">
        <w:rPr>
          <w:rFonts w:cs="Times New Roman"/>
          <w:color w:val="auto"/>
        </w:rPr>
        <w:t>VASRD p</w:t>
      </w:r>
      <w:r w:rsidR="00951303" w:rsidRPr="00552B5A">
        <w:rPr>
          <w:rFonts w:cs="Times New Roman"/>
          <w:color w:val="auto"/>
        </w:rPr>
        <w:t xml:space="preserve">late II.  </w:t>
      </w:r>
      <w:r w:rsidR="00FC588D" w:rsidRPr="00552B5A">
        <w:rPr>
          <w:rFonts w:cs="Times New Roman"/>
          <w:color w:val="auto"/>
        </w:rPr>
        <w:t xml:space="preserve">The Board </w:t>
      </w:r>
      <w:r w:rsidR="00951303" w:rsidRPr="00552B5A">
        <w:rPr>
          <w:rFonts w:cs="Times New Roman"/>
          <w:color w:val="auto"/>
        </w:rPr>
        <w:t xml:space="preserve">considered alternate coding under 5252, thigh limitation of flexion, at 10% with application of VASRD §4.59, but agreed that the PEB’s analogous coding of </w:t>
      </w:r>
      <w:r w:rsidR="00951303" w:rsidRPr="00552B5A">
        <w:rPr>
          <w:color w:val="auto"/>
          <w:szCs w:val="24"/>
        </w:rPr>
        <w:t xml:space="preserve">5299-5255 at 10% was equivalent.  </w:t>
      </w:r>
    </w:p>
    <w:p w:rsidR="00FC588D" w:rsidRPr="00552B5A" w:rsidRDefault="00FC588D" w:rsidP="0069687C">
      <w:pPr>
        <w:tabs>
          <w:tab w:val="left" w:pos="288"/>
          <w:tab w:val="left" w:pos="4752"/>
        </w:tabs>
        <w:jc w:val="left"/>
        <w:rPr>
          <w:rFonts w:cs="Times New Roman"/>
          <w:color w:val="auto"/>
        </w:rPr>
      </w:pPr>
    </w:p>
    <w:p w:rsidR="00626902" w:rsidRPr="00F64312" w:rsidRDefault="00626902" w:rsidP="00241B01">
      <w:pPr>
        <w:jc w:val="both"/>
        <w:rPr>
          <w:rFonts w:eastAsia="Calibri" w:cs="Times New Roman"/>
          <w:color w:val="auto"/>
          <w:szCs w:val="24"/>
        </w:rPr>
      </w:pPr>
      <w:r w:rsidRPr="00552B5A">
        <w:rPr>
          <w:rFonts w:eastAsia="Calibri" w:cs="Times New Roman"/>
          <w:color w:val="auto"/>
          <w:szCs w:val="24"/>
        </w:rPr>
        <w:t xml:space="preserve">After due deliberation, considering all of the evidence and mindful of VASRD §4.3 (reasonable doubt), the Board concluded that there was insufficient cause to recommend a change in the PEB adjudication for the </w:t>
      </w:r>
      <w:r w:rsidR="004F2FC6" w:rsidRPr="00552B5A">
        <w:rPr>
          <w:color w:val="auto"/>
        </w:rPr>
        <w:t>left hip/pelvic pain</w:t>
      </w:r>
      <w:r w:rsidRPr="00552B5A">
        <w:rPr>
          <w:rFonts w:eastAsia="Calibri" w:cs="Times New Roman"/>
          <w:color w:val="auto"/>
          <w:szCs w:val="24"/>
        </w:rPr>
        <w:t xml:space="preserve"> c</w:t>
      </w:r>
      <w:r w:rsidRPr="00F64312">
        <w:rPr>
          <w:rFonts w:eastAsia="Calibri" w:cs="Times New Roman"/>
          <w:color w:val="auto"/>
          <w:szCs w:val="24"/>
        </w:rPr>
        <w:t>ondition.</w:t>
      </w:r>
      <w:r w:rsidR="00165C7B" w:rsidRPr="00F64312">
        <w:rPr>
          <w:rFonts w:eastAsia="Calibri" w:cs="Times New Roman"/>
          <w:color w:val="auto"/>
          <w:szCs w:val="24"/>
        </w:rPr>
        <w:t xml:space="preserve">  </w:t>
      </w:r>
    </w:p>
    <w:p w:rsidR="003863E9" w:rsidRPr="00F64312" w:rsidRDefault="003863E9" w:rsidP="003863E9">
      <w:pPr>
        <w:pBdr>
          <w:bottom w:val="single" w:sz="12" w:space="1" w:color="auto"/>
        </w:pBdr>
        <w:tabs>
          <w:tab w:val="left" w:pos="288"/>
          <w:tab w:val="left" w:pos="4752"/>
        </w:tabs>
        <w:jc w:val="both"/>
        <w:rPr>
          <w:color w:val="auto"/>
        </w:rPr>
      </w:pPr>
    </w:p>
    <w:p w:rsidR="00AD2379" w:rsidRPr="00F64312" w:rsidRDefault="00AD2379" w:rsidP="006364ED">
      <w:pPr>
        <w:jc w:val="left"/>
        <w:rPr>
          <w:color w:val="auto"/>
          <w:highlight w:val="magenta"/>
        </w:rPr>
      </w:pPr>
    </w:p>
    <w:p w:rsidR="00417BED" w:rsidRPr="00F64312" w:rsidRDefault="00AD2379" w:rsidP="00417BED">
      <w:pPr>
        <w:jc w:val="both"/>
        <w:rPr>
          <w:rFonts w:eastAsia="Calibri" w:cs="Times New Roman"/>
          <w:color w:val="auto"/>
          <w:szCs w:val="24"/>
        </w:rPr>
      </w:pPr>
      <w:r w:rsidRPr="00F64312">
        <w:rPr>
          <w:color w:val="auto"/>
          <w:u w:val="single"/>
        </w:rPr>
        <w:t>BOARD FINDINGS</w:t>
      </w:r>
      <w:r w:rsidRPr="00F64312">
        <w:rPr>
          <w:color w:val="auto"/>
        </w:rPr>
        <w:t xml:space="preserve">:  IAW DoDI 6040.44, provisions of DoD or Military Department regulations or guidelines relied upon by the PEB will not be considered by the Board to the extent they were inconsistent </w:t>
      </w:r>
      <w:r w:rsidRPr="00552B5A">
        <w:rPr>
          <w:color w:val="auto"/>
        </w:rPr>
        <w:t>with the VASRD in effect at the time of the adjudication</w:t>
      </w:r>
      <w:r w:rsidRPr="00552B5A">
        <w:rPr>
          <w:rFonts w:cs="Times New Roman"/>
          <w:color w:val="auto"/>
        </w:rPr>
        <w:t>.</w:t>
      </w:r>
      <w:r w:rsidR="006B690F" w:rsidRPr="00552B5A">
        <w:rPr>
          <w:rFonts w:cs="Times New Roman"/>
          <w:color w:val="auto"/>
        </w:rPr>
        <w:t xml:space="preserve">  </w:t>
      </w:r>
      <w:r w:rsidRPr="00552B5A">
        <w:rPr>
          <w:rFonts w:cs="Times New Roman"/>
          <w:color w:val="auto"/>
        </w:rPr>
        <w:t>The Board did not surmise from the record or PEB ruling in this case that any prerogatives outside the VASRD were exercised.</w:t>
      </w:r>
      <w:r w:rsidR="006B690F" w:rsidRPr="00552B5A">
        <w:rPr>
          <w:rFonts w:cs="Times New Roman"/>
          <w:color w:val="auto"/>
        </w:rPr>
        <w:t xml:space="preserve">  </w:t>
      </w:r>
      <w:r w:rsidR="00560F12" w:rsidRPr="00552B5A">
        <w:rPr>
          <w:rFonts w:eastAsia="Calibri" w:cs="Times New Roman"/>
          <w:color w:val="auto"/>
          <w:szCs w:val="24"/>
        </w:rPr>
        <w:t xml:space="preserve">In the matter of the </w:t>
      </w:r>
      <w:r w:rsidR="00384C77">
        <w:rPr>
          <w:rFonts w:eastAsia="Calibri" w:cs="Times New Roman"/>
          <w:color w:val="auto"/>
          <w:szCs w:val="24"/>
        </w:rPr>
        <w:t>l</w:t>
      </w:r>
      <w:r w:rsidR="00951303" w:rsidRPr="00552B5A">
        <w:rPr>
          <w:rFonts w:eastAsia="Calibri" w:cs="Times New Roman"/>
          <w:color w:val="auto"/>
          <w:szCs w:val="24"/>
        </w:rPr>
        <w:t>eft hip/pelvic pain</w:t>
      </w:r>
      <w:r w:rsidR="00560F12" w:rsidRPr="00552B5A">
        <w:rPr>
          <w:rFonts w:eastAsia="Calibri" w:cs="Times New Roman"/>
          <w:color w:val="auto"/>
          <w:szCs w:val="24"/>
        </w:rPr>
        <w:t xml:space="preserve"> condition and IAW VASRD §4.71a, the Board unanimously recommends</w:t>
      </w:r>
      <w:r w:rsidR="00560F12" w:rsidRPr="00F64312">
        <w:rPr>
          <w:rFonts w:eastAsia="Calibri" w:cs="Times New Roman"/>
          <w:color w:val="auto"/>
          <w:szCs w:val="24"/>
        </w:rPr>
        <w:t xml:space="preserve"> no change in the PEB adjudication.</w:t>
      </w:r>
      <w:r w:rsidR="006B690F" w:rsidRPr="00F64312">
        <w:rPr>
          <w:rFonts w:eastAsia="Calibri" w:cs="Times New Roman"/>
          <w:color w:val="auto"/>
          <w:szCs w:val="24"/>
        </w:rPr>
        <w:t xml:space="preserve">  </w:t>
      </w:r>
      <w:r w:rsidR="00417BED" w:rsidRPr="00F64312">
        <w:rPr>
          <w:rFonts w:eastAsia="Calibri" w:cs="Times New Roman"/>
          <w:color w:val="auto"/>
          <w:szCs w:val="24"/>
        </w:rPr>
        <w:t>There were no other conditions within the Board’s scope of review for consideration.</w:t>
      </w:r>
      <w:r w:rsidR="00165C7B" w:rsidRPr="00F64312">
        <w:rPr>
          <w:rFonts w:eastAsia="Calibri" w:cs="Times New Roman"/>
          <w:color w:val="auto"/>
          <w:szCs w:val="24"/>
        </w:rPr>
        <w:t xml:space="preserve">  </w:t>
      </w:r>
    </w:p>
    <w:p w:rsidR="00AD2379" w:rsidRPr="00F64312" w:rsidRDefault="00AD2379" w:rsidP="00BF0E94">
      <w:pPr>
        <w:pBdr>
          <w:bottom w:val="single" w:sz="12" w:space="1" w:color="auto"/>
        </w:pBdr>
        <w:tabs>
          <w:tab w:val="left" w:pos="288"/>
          <w:tab w:val="left" w:pos="4752"/>
        </w:tabs>
        <w:jc w:val="both"/>
        <w:rPr>
          <w:color w:val="auto"/>
          <w:highlight w:val="magenta"/>
        </w:rPr>
      </w:pPr>
    </w:p>
    <w:p w:rsidR="00AD2379" w:rsidRPr="00F64312" w:rsidRDefault="00AD2379" w:rsidP="006364ED">
      <w:pPr>
        <w:jc w:val="left"/>
        <w:rPr>
          <w:color w:val="auto"/>
          <w:highlight w:val="magenta"/>
        </w:rPr>
      </w:pPr>
    </w:p>
    <w:p w:rsidR="00AD2379" w:rsidRPr="005536D8" w:rsidRDefault="00AD2379" w:rsidP="00573D9B">
      <w:pPr>
        <w:jc w:val="both"/>
        <w:rPr>
          <w:color w:val="auto"/>
        </w:rPr>
      </w:pPr>
      <w:r w:rsidRPr="00F64312">
        <w:rPr>
          <w:color w:val="auto"/>
          <w:u w:val="single"/>
        </w:rPr>
        <w:t>RECOMMENDATION</w:t>
      </w:r>
      <w:r w:rsidRPr="00F64312">
        <w:rPr>
          <w:color w:val="auto"/>
        </w:rPr>
        <w:t xml:space="preserve">: </w:t>
      </w:r>
      <w:r w:rsidR="006B690F" w:rsidRPr="00F64312">
        <w:rPr>
          <w:color w:val="auto"/>
        </w:rPr>
        <w:t xml:space="preserve"> </w:t>
      </w:r>
      <w:r w:rsidRPr="00F64312">
        <w:rPr>
          <w:color w:val="auto"/>
        </w:rPr>
        <w:t xml:space="preserve">The Board, therefore, recommends that </w:t>
      </w:r>
      <w:r w:rsidRPr="00552B5A">
        <w:rPr>
          <w:color w:val="auto"/>
        </w:rPr>
        <w:t xml:space="preserve">there be no </w:t>
      </w:r>
      <w:r w:rsidRPr="005536D8">
        <w:rPr>
          <w:color w:val="auto"/>
        </w:rPr>
        <w:t>recharacterization of the CI’s disability and separation determination, as follows:</w:t>
      </w:r>
      <w:r w:rsidR="006B690F" w:rsidRPr="005536D8">
        <w:rPr>
          <w:color w:val="auto"/>
        </w:rPr>
        <w:t xml:space="preserve">  </w:t>
      </w:r>
    </w:p>
    <w:p w:rsidR="00671E4D" w:rsidRPr="005536D8" w:rsidRDefault="00671E4D" w:rsidP="00B22D42">
      <w:pPr>
        <w:jc w:val="both"/>
        <w:rPr>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68"/>
        <w:gridCol w:w="1530"/>
        <w:gridCol w:w="1026"/>
      </w:tblGrid>
      <w:tr w:rsidR="00AD2379" w:rsidRPr="005536D8" w:rsidTr="006B690F">
        <w:trPr>
          <w:trHeight w:val="233"/>
          <w:jc w:val="center"/>
        </w:trPr>
        <w:tc>
          <w:tcPr>
            <w:tcW w:w="6768" w:type="dxa"/>
            <w:shd w:val="clear" w:color="auto" w:fill="D9D9D9"/>
            <w:vAlign w:val="center"/>
          </w:tcPr>
          <w:p w:rsidR="00AD2379" w:rsidRPr="005536D8" w:rsidRDefault="00AD2379" w:rsidP="006B690F">
            <w:pPr>
              <w:tabs>
                <w:tab w:val="left" w:pos="288"/>
                <w:tab w:val="left" w:pos="4752"/>
              </w:tabs>
              <w:rPr>
                <w:b/>
                <w:color w:val="auto"/>
              </w:rPr>
            </w:pPr>
            <w:r w:rsidRPr="005536D8">
              <w:rPr>
                <w:b/>
                <w:color w:val="auto"/>
              </w:rPr>
              <w:t>UNFITTING CONDITION</w:t>
            </w:r>
          </w:p>
        </w:tc>
        <w:tc>
          <w:tcPr>
            <w:tcW w:w="1530" w:type="dxa"/>
            <w:shd w:val="clear" w:color="auto" w:fill="D9D9D9"/>
            <w:vAlign w:val="center"/>
          </w:tcPr>
          <w:p w:rsidR="00AD2379" w:rsidRPr="005536D8" w:rsidRDefault="00AD2379" w:rsidP="006B690F">
            <w:pPr>
              <w:tabs>
                <w:tab w:val="left" w:pos="288"/>
                <w:tab w:val="left" w:pos="4752"/>
              </w:tabs>
              <w:rPr>
                <w:b/>
                <w:color w:val="auto"/>
              </w:rPr>
            </w:pPr>
            <w:r w:rsidRPr="005536D8">
              <w:rPr>
                <w:b/>
                <w:color w:val="auto"/>
              </w:rPr>
              <w:t>VASRD CODE</w:t>
            </w:r>
          </w:p>
        </w:tc>
        <w:tc>
          <w:tcPr>
            <w:tcW w:w="1026" w:type="dxa"/>
            <w:shd w:val="clear" w:color="auto" w:fill="D9D9D9"/>
            <w:vAlign w:val="center"/>
          </w:tcPr>
          <w:p w:rsidR="00AD2379" w:rsidRPr="005536D8" w:rsidRDefault="00AD2379" w:rsidP="006B690F">
            <w:pPr>
              <w:tabs>
                <w:tab w:val="left" w:pos="288"/>
                <w:tab w:val="left" w:pos="4752"/>
              </w:tabs>
              <w:rPr>
                <w:b/>
                <w:color w:val="auto"/>
              </w:rPr>
            </w:pPr>
            <w:r w:rsidRPr="005536D8">
              <w:rPr>
                <w:b/>
                <w:color w:val="auto"/>
              </w:rPr>
              <w:t>RATING</w:t>
            </w:r>
          </w:p>
        </w:tc>
      </w:tr>
      <w:tr w:rsidR="00671E4D" w:rsidRPr="005536D8" w:rsidTr="006B690F">
        <w:trPr>
          <w:jc w:val="center"/>
        </w:trPr>
        <w:tc>
          <w:tcPr>
            <w:tcW w:w="6768" w:type="dxa"/>
            <w:vAlign w:val="center"/>
          </w:tcPr>
          <w:p w:rsidR="00671E4D" w:rsidRPr="005536D8" w:rsidRDefault="00671E4D" w:rsidP="006B690F">
            <w:pPr>
              <w:tabs>
                <w:tab w:val="left" w:pos="288"/>
                <w:tab w:val="left" w:pos="4752"/>
              </w:tabs>
              <w:jc w:val="left"/>
              <w:rPr>
                <w:color w:val="auto"/>
              </w:rPr>
            </w:pPr>
            <w:r w:rsidRPr="005536D8">
              <w:rPr>
                <w:color w:val="auto"/>
              </w:rPr>
              <w:t>Left Hip/Pelvic Pain</w:t>
            </w:r>
          </w:p>
        </w:tc>
        <w:tc>
          <w:tcPr>
            <w:tcW w:w="1530" w:type="dxa"/>
            <w:vAlign w:val="center"/>
          </w:tcPr>
          <w:p w:rsidR="00671E4D" w:rsidRPr="005536D8" w:rsidRDefault="00671E4D" w:rsidP="00671E4D">
            <w:pPr>
              <w:tabs>
                <w:tab w:val="left" w:pos="288"/>
                <w:tab w:val="left" w:pos="4752"/>
              </w:tabs>
              <w:rPr>
                <w:color w:val="auto"/>
              </w:rPr>
            </w:pPr>
            <w:r w:rsidRPr="005536D8">
              <w:rPr>
                <w:color w:val="auto"/>
              </w:rPr>
              <w:t>5299-5255</w:t>
            </w:r>
          </w:p>
        </w:tc>
        <w:tc>
          <w:tcPr>
            <w:tcW w:w="1026" w:type="dxa"/>
            <w:vAlign w:val="center"/>
          </w:tcPr>
          <w:p w:rsidR="00671E4D" w:rsidRPr="005536D8" w:rsidRDefault="00671E4D" w:rsidP="00671E4D">
            <w:pPr>
              <w:tabs>
                <w:tab w:val="left" w:pos="288"/>
                <w:tab w:val="left" w:pos="4752"/>
              </w:tabs>
              <w:rPr>
                <w:color w:val="auto"/>
              </w:rPr>
            </w:pPr>
            <w:r w:rsidRPr="005536D8">
              <w:rPr>
                <w:color w:val="auto"/>
              </w:rPr>
              <w:t>10%</w:t>
            </w:r>
          </w:p>
        </w:tc>
      </w:tr>
      <w:tr w:rsidR="00AD2379" w:rsidRPr="005536D8" w:rsidTr="006B690F">
        <w:tblPrEx>
          <w:tblLook w:val="0000"/>
        </w:tblPrEx>
        <w:trPr>
          <w:gridBefore w:val="1"/>
          <w:wBefore w:w="6768" w:type="dxa"/>
          <w:trHeight w:val="152"/>
          <w:jc w:val="center"/>
        </w:trPr>
        <w:tc>
          <w:tcPr>
            <w:tcW w:w="1530" w:type="dxa"/>
            <w:tcBorders>
              <w:left w:val="single" w:sz="4" w:space="0" w:color="auto"/>
            </w:tcBorders>
            <w:shd w:val="clear" w:color="auto" w:fill="D9D9D9"/>
            <w:vAlign w:val="center"/>
          </w:tcPr>
          <w:p w:rsidR="00AD2379" w:rsidRPr="005536D8" w:rsidRDefault="00AD2379" w:rsidP="006B690F">
            <w:pPr>
              <w:tabs>
                <w:tab w:val="left" w:pos="288"/>
                <w:tab w:val="left" w:pos="4752"/>
              </w:tabs>
              <w:rPr>
                <w:b/>
                <w:color w:val="auto"/>
              </w:rPr>
            </w:pPr>
            <w:r w:rsidRPr="005536D8">
              <w:rPr>
                <w:b/>
                <w:color w:val="auto"/>
              </w:rPr>
              <w:t>COMBINED</w:t>
            </w:r>
          </w:p>
        </w:tc>
        <w:tc>
          <w:tcPr>
            <w:tcW w:w="1026" w:type="dxa"/>
            <w:shd w:val="clear" w:color="auto" w:fill="D9D9D9"/>
            <w:vAlign w:val="center"/>
          </w:tcPr>
          <w:p w:rsidR="00AD2379" w:rsidRPr="005536D8" w:rsidRDefault="00671E4D" w:rsidP="006B690F">
            <w:pPr>
              <w:tabs>
                <w:tab w:val="left" w:pos="288"/>
                <w:tab w:val="left" w:pos="4752"/>
              </w:tabs>
              <w:rPr>
                <w:b/>
                <w:color w:val="auto"/>
              </w:rPr>
            </w:pPr>
            <w:r w:rsidRPr="005536D8">
              <w:rPr>
                <w:b/>
                <w:color w:val="auto"/>
              </w:rPr>
              <w:t>1</w:t>
            </w:r>
            <w:r w:rsidR="00AD2379" w:rsidRPr="005536D8">
              <w:rPr>
                <w:b/>
                <w:color w:val="auto"/>
              </w:rPr>
              <w:t>0%</w:t>
            </w:r>
          </w:p>
        </w:tc>
      </w:tr>
    </w:tbl>
    <w:p w:rsidR="00AD2379" w:rsidRPr="005536D8" w:rsidRDefault="00AD2379" w:rsidP="006B690F">
      <w:pPr>
        <w:pBdr>
          <w:bottom w:val="single" w:sz="12" w:space="1" w:color="auto"/>
        </w:pBdr>
        <w:tabs>
          <w:tab w:val="left" w:pos="288"/>
          <w:tab w:val="left" w:pos="4752"/>
        </w:tabs>
        <w:jc w:val="both"/>
        <w:rPr>
          <w:color w:val="auto"/>
        </w:rPr>
      </w:pPr>
    </w:p>
    <w:p w:rsidR="00AD2379" w:rsidRPr="005536D8" w:rsidRDefault="00AD2379" w:rsidP="006B690F">
      <w:pPr>
        <w:jc w:val="both"/>
        <w:rPr>
          <w:color w:val="auto"/>
        </w:rPr>
      </w:pPr>
    </w:p>
    <w:p w:rsidR="00AD2379" w:rsidRPr="005536D8" w:rsidRDefault="00AD2379" w:rsidP="006B690F">
      <w:pPr>
        <w:tabs>
          <w:tab w:val="left" w:pos="288"/>
          <w:tab w:val="left" w:pos="4752"/>
        </w:tabs>
        <w:jc w:val="both"/>
        <w:rPr>
          <w:color w:val="auto"/>
        </w:rPr>
      </w:pPr>
      <w:r w:rsidRPr="005536D8">
        <w:rPr>
          <w:color w:val="auto"/>
        </w:rPr>
        <w:t>The following documentary evidence was considered:</w:t>
      </w:r>
    </w:p>
    <w:p w:rsidR="005144A7" w:rsidRPr="00552B5A" w:rsidRDefault="005144A7" w:rsidP="006B690F">
      <w:pPr>
        <w:tabs>
          <w:tab w:val="left" w:pos="288"/>
          <w:tab w:val="left" w:pos="4752"/>
        </w:tabs>
        <w:jc w:val="both"/>
        <w:rPr>
          <w:color w:val="auto"/>
        </w:rPr>
      </w:pPr>
    </w:p>
    <w:p w:rsidR="00AD2379" w:rsidRPr="00552B5A" w:rsidRDefault="00AD2379" w:rsidP="006B690F">
      <w:pPr>
        <w:tabs>
          <w:tab w:val="left" w:pos="288"/>
          <w:tab w:val="left" w:pos="4752"/>
        </w:tabs>
        <w:jc w:val="both"/>
        <w:rPr>
          <w:color w:val="auto"/>
        </w:rPr>
      </w:pPr>
      <w:r w:rsidRPr="00552B5A">
        <w:rPr>
          <w:color w:val="auto"/>
        </w:rPr>
        <w:t>Exhibit A.  DD Form 294, dated 20</w:t>
      </w:r>
      <w:r w:rsidR="00856763" w:rsidRPr="00552B5A">
        <w:rPr>
          <w:color w:val="auto"/>
        </w:rPr>
        <w:t>120117</w:t>
      </w:r>
      <w:r w:rsidR="00ED7820" w:rsidRPr="00552B5A">
        <w:rPr>
          <w:color w:val="auto"/>
        </w:rPr>
        <w:t>, w/atchs</w:t>
      </w:r>
    </w:p>
    <w:p w:rsidR="00AD2379" w:rsidRPr="00F64312" w:rsidRDefault="00AD2379" w:rsidP="006B690F">
      <w:pPr>
        <w:tabs>
          <w:tab w:val="left" w:pos="288"/>
          <w:tab w:val="left" w:pos="4752"/>
        </w:tabs>
        <w:jc w:val="both"/>
        <w:rPr>
          <w:color w:val="auto"/>
        </w:rPr>
      </w:pPr>
      <w:r w:rsidRPr="00F64312">
        <w:rPr>
          <w:color w:val="auto"/>
        </w:rPr>
        <w:t>Exhib</w:t>
      </w:r>
      <w:r w:rsidR="00ED7820">
        <w:rPr>
          <w:color w:val="auto"/>
        </w:rPr>
        <w:t>it B.  Service Treatment Record</w:t>
      </w:r>
    </w:p>
    <w:p w:rsidR="00AD2379" w:rsidRPr="00F64312" w:rsidRDefault="00AD2379" w:rsidP="006B690F">
      <w:pPr>
        <w:tabs>
          <w:tab w:val="left" w:pos="288"/>
          <w:tab w:val="left" w:pos="4752"/>
        </w:tabs>
        <w:jc w:val="both"/>
        <w:rPr>
          <w:color w:val="auto"/>
        </w:rPr>
      </w:pPr>
      <w:r w:rsidRPr="00F64312">
        <w:rPr>
          <w:color w:val="auto"/>
        </w:rPr>
        <w:t>Exhibit C.  Department of Veterans</w:t>
      </w:r>
      <w:r w:rsidR="00ED7820">
        <w:rPr>
          <w:color w:val="auto"/>
        </w:rPr>
        <w:t>’ Affairs Treatment Record</w:t>
      </w: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288"/>
          <w:tab w:val="left" w:pos="4752"/>
        </w:tabs>
        <w:jc w:val="both"/>
        <w:rPr>
          <w:color w:val="auto"/>
        </w:rPr>
      </w:pPr>
    </w:p>
    <w:p w:rsidR="00AD2379" w:rsidRPr="00F64312" w:rsidRDefault="00AD2379" w:rsidP="006B690F">
      <w:pPr>
        <w:tabs>
          <w:tab w:val="left" w:pos="0"/>
          <w:tab w:val="left" w:pos="4320"/>
        </w:tabs>
        <w:jc w:val="both"/>
        <w:rPr>
          <w:color w:val="auto"/>
        </w:rPr>
      </w:pPr>
      <w:r w:rsidRPr="00F64312">
        <w:rPr>
          <w:color w:val="auto"/>
        </w:rPr>
        <w:tab/>
        <w:t xml:space="preserve">           </w:t>
      </w:r>
      <w:r w:rsidR="00F83FC8">
        <w:rPr>
          <w:color w:val="auto"/>
        </w:rPr>
        <w:t>XXXXXXXXXXXXXXXXXXXXXXXXX</w:t>
      </w:r>
    </w:p>
    <w:p w:rsidR="00AD2379" w:rsidRPr="00F64312" w:rsidRDefault="00AD2379" w:rsidP="006B690F">
      <w:pPr>
        <w:tabs>
          <w:tab w:val="left" w:pos="0"/>
          <w:tab w:val="left" w:pos="4320"/>
        </w:tabs>
        <w:jc w:val="both"/>
        <w:rPr>
          <w:color w:val="auto"/>
        </w:rPr>
      </w:pPr>
      <w:r w:rsidRPr="00F64312">
        <w:rPr>
          <w:color w:val="auto"/>
        </w:rPr>
        <w:tab/>
        <w:t xml:space="preserve">           President</w:t>
      </w:r>
    </w:p>
    <w:p w:rsidR="009E37E0" w:rsidRDefault="00AD2379" w:rsidP="00BF0E94">
      <w:pPr>
        <w:tabs>
          <w:tab w:val="left" w:pos="0"/>
          <w:tab w:val="left" w:pos="4320"/>
        </w:tabs>
        <w:jc w:val="both"/>
        <w:rPr>
          <w:color w:val="auto"/>
        </w:rPr>
      </w:pPr>
      <w:r w:rsidRPr="00F64312">
        <w:rPr>
          <w:color w:val="auto"/>
        </w:rPr>
        <w:tab/>
        <w:t xml:space="preserve">           Physical Disability Board of Review</w:t>
      </w:r>
    </w:p>
    <w:p w:rsidR="009E37E0" w:rsidRDefault="009E37E0">
      <w:pPr>
        <w:spacing w:line="240" w:lineRule="auto"/>
        <w:jc w:val="left"/>
        <w:rPr>
          <w:color w:val="auto"/>
        </w:rPr>
      </w:pPr>
      <w:r>
        <w:rPr>
          <w:color w:val="auto"/>
        </w:rPr>
        <w:br w:type="page"/>
      </w:r>
    </w:p>
    <w:p w:rsidR="009E37E0" w:rsidRDefault="009E37E0" w:rsidP="009E37E0">
      <w:pPr>
        <w:sectPr w:rsidR="009E37E0">
          <w:pgSz w:w="12240" w:h="15840"/>
          <w:pgMar w:top="2160" w:right="1440" w:bottom="1440" w:left="1440" w:header="720" w:footer="720" w:gutter="0"/>
          <w:cols w:space="720"/>
        </w:sectPr>
      </w:pPr>
    </w:p>
    <w:p w:rsidR="009E37E0" w:rsidRDefault="009E37E0" w:rsidP="009E37E0">
      <w:pPr>
        <w:pStyle w:val="Header"/>
        <w:tabs>
          <w:tab w:val="left" w:pos="720"/>
        </w:tabs>
        <w:jc w:val="left"/>
      </w:pPr>
      <w:r>
        <w:lastRenderedPageBreak/>
        <w:t>SFMR-RB</w:t>
      </w:r>
      <w:r>
        <w:tab/>
      </w:r>
      <w:r>
        <w:tab/>
      </w:r>
      <w:r>
        <w:tab/>
      </w:r>
      <w:r>
        <w:tab/>
      </w:r>
      <w:r>
        <w:tab/>
      </w:r>
      <w:r>
        <w:tab/>
      </w:r>
      <w:r>
        <w:tab/>
      </w:r>
      <w:r>
        <w:tab/>
      </w:r>
      <w:r>
        <w:tab/>
      </w:r>
    </w:p>
    <w:p w:rsidR="009E37E0" w:rsidRDefault="009E37E0" w:rsidP="009E37E0">
      <w:pPr>
        <w:pStyle w:val="Header"/>
        <w:tabs>
          <w:tab w:val="left" w:pos="720"/>
        </w:tabs>
        <w:jc w:val="left"/>
      </w:pPr>
    </w:p>
    <w:p w:rsidR="009E37E0" w:rsidRDefault="009E37E0" w:rsidP="009E37E0">
      <w:pPr>
        <w:jc w:val="left"/>
      </w:pPr>
    </w:p>
    <w:p w:rsidR="009E37E0" w:rsidRDefault="009E37E0" w:rsidP="009E37E0">
      <w:pPr>
        <w:jc w:val="left"/>
      </w:pPr>
      <w:r>
        <w:t xml:space="preserve">MEMORANDUM FOR Commander, US Army Physical Disability Agency </w:t>
      </w:r>
    </w:p>
    <w:p w:rsidR="009E37E0" w:rsidRDefault="009E37E0" w:rsidP="009E37E0">
      <w:pPr>
        <w:jc w:val="left"/>
      </w:pPr>
      <w:r>
        <w:t xml:space="preserve">(TAPD-ZB </w:t>
      </w:r>
      <w:proofErr w:type="gramStart"/>
      <w:r>
        <w:t xml:space="preserve">/ </w:t>
      </w:r>
      <w:r w:rsidR="00F83FC8">
        <w:t xml:space="preserve"> </w:t>
      </w:r>
      <w:r>
        <w:t>)</w:t>
      </w:r>
      <w:proofErr w:type="gramEnd"/>
      <w:r>
        <w:t>, 2900 Crystal Drive, Suite 300, Arlington, VA  22202</w:t>
      </w:r>
    </w:p>
    <w:p w:rsidR="009E37E0" w:rsidRDefault="009E37E0" w:rsidP="009E37E0">
      <w:pPr>
        <w:jc w:val="left"/>
      </w:pPr>
    </w:p>
    <w:p w:rsidR="009E37E0" w:rsidRDefault="009E37E0" w:rsidP="009E37E0">
      <w:pPr>
        <w:ind w:right="-180"/>
        <w:jc w:val="left"/>
      </w:pPr>
      <w:r>
        <w:t xml:space="preserve">SUBJECT:  Department of Defense Physical Disability Board of Review Recommendation for </w:t>
      </w:r>
      <w:r w:rsidR="00F83FC8">
        <w:t>XXXXXXXXXXXXXXXXXXXXXXXX</w:t>
      </w:r>
      <w:r>
        <w:t>, AR20120015216 (PD201200073)</w:t>
      </w:r>
    </w:p>
    <w:p w:rsidR="009E37E0" w:rsidRDefault="009E37E0" w:rsidP="009E37E0">
      <w:pPr>
        <w:pStyle w:val="Header"/>
        <w:tabs>
          <w:tab w:val="left" w:pos="720"/>
        </w:tabs>
        <w:jc w:val="left"/>
      </w:pPr>
    </w:p>
    <w:p w:rsidR="009E37E0" w:rsidRDefault="009E37E0" w:rsidP="009E37E0">
      <w:pPr>
        <w:jc w:val="left"/>
      </w:pPr>
    </w:p>
    <w:p w:rsidR="009E37E0" w:rsidRDefault="009E37E0" w:rsidP="009E37E0">
      <w:pPr>
        <w:jc w:val="left"/>
      </w:pPr>
      <w:r>
        <w:t>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and hereby deny the individual’s application.  </w:t>
      </w:r>
    </w:p>
    <w:p w:rsidR="009E37E0" w:rsidRDefault="009E37E0" w:rsidP="009E37E0">
      <w:pPr>
        <w:jc w:val="left"/>
      </w:pPr>
      <w:r>
        <w:t>This decision is final.  The individual concerned, counsel (if any), and any Members of Congress who have shown interest in this application have been notified of this decision by mail.</w:t>
      </w:r>
    </w:p>
    <w:p w:rsidR="009E37E0" w:rsidRDefault="009E37E0" w:rsidP="009E37E0">
      <w:pPr>
        <w:jc w:val="left"/>
      </w:pPr>
    </w:p>
    <w:p w:rsidR="009E37E0" w:rsidRDefault="009E37E0" w:rsidP="009E37E0">
      <w:pPr>
        <w:jc w:val="left"/>
      </w:pPr>
      <w:r>
        <w:t>BY ORDER OF THE SECRETARY OF THE ARMY:</w:t>
      </w:r>
    </w:p>
    <w:p w:rsidR="009E37E0" w:rsidRDefault="009E37E0" w:rsidP="009E37E0">
      <w:pPr>
        <w:jc w:val="left"/>
      </w:pPr>
    </w:p>
    <w:p w:rsidR="009E37E0" w:rsidRDefault="009E37E0" w:rsidP="009E37E0">
      <w:pPr>
        <w:jc w:val="left"/>
      </w:pPr>
    </w:p>
    <w:p w:rsidR="009E37E0" w:rsidRDefault="009E37E0" w:rsidP="009E37E0">
      <w:pPr>
        <w:pStyle w:val="Header"/>
        <w:tabs>
          <w:tab w:val="left" w:pos="720"/>
        </w:tabs>
        <w:jc w:val="left"/>
      </w:pPr>
    </w:p>
    <w:p w:rsidR="009E37E0" w:rsidRDefault="009E37E0" w:rsidP="009E37E0">
      <w:pPr>
        <w:jc w:val="left"/>
      </w:pPr>
    </w:p>
    <w:p w:rsidR="009E37E0" w:rsidRDefault="009E37E0" w:rsidP="009E37E0">
      <w:pPr>
        <w:jc w:val="left"/>
      </w:pPr>
      <w:bookmarkStart w:id="1" w:name="OLE_LINK4"/>
      <w:bookmarkStart w:id="2" w:name="OLE_LINK3"/>
      <w:r>
        <w:t>Encl</w:t>
      </w:r>
      <w:r>
        <w:tab/>
      </w:r>
      <w:r>
        <w:tab/>
      </w:r>
      <w:r>
        <w:tab/>
      </w:r>
      <w:r>
        <w:tab/>
      </w:r>
      <w:r>
        <w:tab/>
      </w:r>
      <w:r>
        <w:tab/>
        <w:t xml:space="preserve">     </w:t>
      </w:r>
      <w:r w:rsidR="00F83FC8">
        <w:t>XXXXXXXXXXXXXXXXXXXXXX</w:t>
      </w:r>
    </w:p>
    <w:p w:rsidR="009E37E0" w:rsidRDefault="009E37E0" w:rsidP="009E37E0">
      <w:pPr>
        <w:jc w:val="left"/>
      </w:pPr>
      <w:r>
        <w:tab/>
      </w:r>
      <w:r>
        <w:tab/>
      </w:r>
      <w:r>
        <w:tab/>
      </w:r>
      <w:r>
        <w:tab/>
      </w:r>
      <w:r>
        <w:tab/>
      </w:r>
      <w:r>
        <w:tab/>
        <w:t xml:space="preserve">     Deputy Assistant Secretary</w:t>
      </w:r>
    </w:p>
    <w:p w:rsidR="009E37E0" w:rsidRDefault="009E37E0" w:rsidP="009E37E0">
      <w:pPr>
        <w:jc w:val="left"/>
      </w:pPr>
      <w:r>
        <w:tab/>
      </w:r>
      <w:r>
        <w:tab/>
      </w:r>
      <w:r>
        <w:tab/>
      </w:r>
      <w:r>
        <w:tab/>
      </w:r>
      <w:r>
        <w:tab/>
      </w:r>
      <w:r>
        <w:tab/>
        <w:t xml:space="preserve">         (Army Review Boards)</w:t>
      </w:r>
      <w:bookmarkEnd w:id="1"/>
      <w:bookmarkEnd w:id="2"/>
    </w:p>
    <w:p w:rsidR="009E37E0" w:rsidRDefault="009E37E0" w:rsidP="009E37E0">
      <w:pPr>
        <w:jc w:val="left"/>
      </w:pPr>
    </w:p>
    <w:p w:rsidR="009E37E0" w:rsidRDefault="009E37E0" w:rsidP="009E37E0">
      <w:pPr>
        <w:jc w:val="left"/>
      </w:pPr>
      <w:r>
        <w:t xml:space="preserve">CF: </w:t>
      </w:r>
    </w:p>
    <w:p w:rsidR="009E37E0" w:rsidRDefault="009E37E0" w:rsidP="009E37E0">
      <w:pPr>
        <w:jc w:val="left"/>
      </w:pPr>
      <w:r>
        <w:t xml:space="preserve">(  ) </w:t>
      </w:r>
      <w:proofErr w:type="spellStart"/>
      <w:proofErr w:type="gramStart"/>
      <w:r>
        <w:t>DoD</w:t>
      </w:r>
      <w:proofErr w:type="spellEnd"/>
      <w:proofErr w:type="gramEnd"/>
      <w:r>
        <w:t xml:space="preserve"> PDBR</w:t>
      </w:r>
    </w:p>
    <w:p w:rsidR="009E37E0" w:rsidRDefault="009E37E0" w:rsidP="009E37E0">
      <w:pPr>
        <w:jc w:val="left"/>
      </w:pPr>
      <w:r>
        <w:t>(  ) DVA</w:t>
      </w:r>
    </w:p>
    <w:p w:rsidR="009E37E0" w:rsidRDefault="009E37E0" w:rsidP="009E37E0">
      <w:pPr>
        <w:jc w:val="left"/>
      </w:pPr>
    </w:p>
    <w:p w:rsidR="00AD2379" w:rsidRDefault="00AD2379" w:rsidP="009E37E0">
      <w:pPr>
        <w:tabs>
          <w:tab w:val="left" w:pos="0"/>
          <w:tab w:val="left" w:pos="4320"/>
        </w:tabs>
        <w:jc w:val="left"/>
        <w:rPr>
          <w:color w:val="auto"/>
        </w:rPr>
      </w:pPr>
    </w:p>
    <w:sectPr w:rsidR="00AD2379" w:rsidSect="00726F84">
      <w:footerReference w:type="default" r:id="rId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7A6" w:rsidRDefault="00F427A6">
      <w:r>
        <w:separator/>
      </w:r>
    </w:p>
  </w:endnote>
  <w:endnote w:type="continuationSeparator" w:id="0">
    <w:p w:rsidR="00F427A6" w:rsidRDefault="00F427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Janson Tex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763" w:rsidRPr="00374247" w:rsidRDefault="00856763" w:rsidP="00726F84">
    <w:pPr>
      <w:pStyle w:val="Footer"/>
      <w:ind w:firstLine="4320"/>
      <w:rPr>
        <w:color w:val="auto"/>
      </w:rPr>
    </w:pPr>
    <w:r w:rsidRPr="00374247">
      <w:rPr>
        <w:color w:val="auto"/>
      </w:rPr>
      <w:t xml:space="preserve">   </w:t>
    </w:r>
    <w:r w:rsidR="00DF2240" w:rsidRPr="00DF2240">
      <w:fldChar w:fldCharType="begin"/>
    </w:r>
    <w:r w:rsidR="00F427A6">
      <w:instrText xml:space="preserve"> PAGE   \* MERGEFORMAT </w:instrText>
    </w:r>
    <w:r w:rsidR="00DF2240" w:rsidRPr="00DF2240">
      <w:fldChar w:fldCharType="separate"/>
    </w:r>
    <w:r w:rsidR="009E37E0" w:rsidRPr="009E37E0">
      <w:rPr>
        <w:noProof/>
        <w:color w:val="auto"/>
      </w:rPr>
      <w:t>4</w:t>
    </w:r>
    <w:r w:rsidR="00DF2240">
      <w:rPr>
        <w:noProof/>
        <w:color w:val="auto"/>
      </w:rPr>
      <w:fldChar w:fldCharType="end"/>
    </w:r>
    <w:r w:rsidRPr="00E53312">
      <w:rPr>
        <w:color w:val="auto"/>
      </w:rPr>
      <w:t xml:space="preserve">                                                           PD1200073</w:t>
    </w:r>
  </w:p>
  <w:p w:rsidR="00856763" w:rsidRPr="00684CE6" w:rsidRDefault="0085676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7A6" w:rsidRDefault="00F427A6">
      <w:r>
        <w:separator/>
      </w:r>
    </w:p>
  </w:footnote>
  <w:footnote w:type="continuationSeparator" w:id="0">
    <w:p w:rsidR="00F427A6" w:rsidRDefault="00F427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1EFC"/>
    <w:rsid w:val="000024F5"/>
    <w:rsid w:val="00003070"/>
    <w:rsid w:val="000059FA"/>
    <w:rsid w:val="00006186"/>
    <w:rsid w:val="00006F87"/>
    <w:rsid w:val="00007107"/>
    <w:rsid w:val="00007BCC"/>
    <w:rsid w:val="00010ABA"/>
    <w:rsid w:val="00010AF0"/>
    <w:rsid w:val="00010B0F"/>
    <w:rsid w:val="00012428"/>
    <w:rsid w:val="00012733"/>
    <w:rsid w:val="0001281C"/>
    <w:rsid w:val="00013417"/>
    <w:rsid w:val="000145C2"/>
    <w:rsid w:val="0001473F"/>
    <w:rsid w:val="00014A47"/>
    <w:rsid w:val="00014A9E"/>
    <w:rsid w:val="00017778"/>
    <w:rsid w:val="00020941"/>
    <w:rsid w:val="00021361"/>
    <w:rsid w:val="00022CF3"/>
    <w:rsid w:val="00023562"/>
    <w:rsid w:val="00023913"/>
    <w:rsid w:val="00023D43"/>
    <w:rsid w:val="00024002"/>
    <w:rsid w:val="000240A0"/>
    <w:rsid w:val="00024DE7"/>
    <w:rsid w:val="00026092"/>
    <w:rsid w:val="00027C24"/>
    <w:rsid w:val="00030776"/>
    <w:rsid w:val="00031AF4"/>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978"/>
    <w:rsid w:val="00042C26"/>
    <w:rsid w:val="00043382"/>
    <w:rsid w:val="00044623"/>
    <w:rsid w:val="000452D7"/>
    <w:rsid w:val="00046203"/>
    <w:rsid w:val="00051622"/>
    <w:rsid w:val="00051A11"/>
    <w:rsid w:val="00051F89"/>
    <w:rsid w:val="00052234"/>
    <w:rsid w:val="00053D7C"/>
    <w:rsid w:val="000575C5"/>
    <w:rsid w:val="000577C9"/>
    <w:rsid w:val="00060C18"/>
    <w:rsid w:val="00060FFD"/>
    <w:rsid w:val="00061D69"/>
    <w:rsid w:val="00063BE5"/>
    <w:rsid w:val="0006431E"/>
    <w:rsid w:val="000647B0"/>
    <w:rsid w:val="000652EA"/>
    <w:rsid w:val="00065E21"/>
    <w:rsid w:val="000673ED"/>
    <w:rsid w:val="00067854"/>
    <w:rsid w:val="00070DED"/>
    <w:rsid w:val="00071071"/>
    <w:rsid w:val="00071F0D"/>
    <w:rsid w:val="00072433"/>
    <w:rsid w:val="00072B3E"/>
    <w:rsid w:val="0007488B"/>
    <w:rsid w:val="00075702"/>
    <w:rsid w:val="00075A0C"/>
    <w:rsid w:val="000775C2"/>
    <w:rsid w:val="00077835"/>
    <w:rsid w:val="000801EF"/>
    <w:rsid w:val="000806AD"/>
    <w:rsid w:val="00080BDF"/>
    <w:rsid w:val="00080C57"/>
    <w:rsid w:val="00082482"/>
    <w:rsid w:val="00082CA0"/>
    <w:rsid w:val="00084CF2"/>
    <w:rsid w:val="00084FE5"/>
    <w:rsid w:val="00085D7B"/>
    <w:rsid w:val="0008708B"/>
    <w:rsid w:val="00092619"/>
    <w:rsid w:val="00092C66"/>
    <w:rsid w:val="00092CC9"/>
    <w:rsid w:val="000949DD"/>
    <w:rsid w:val="00094E4F"/>
    <w:rsid w:val="000A2BCE"/>
    <w:rsid w:val="000A31E2"/>
    <w:rsid w:val="000A33C8"/>
    <w:rsid w:val="000A41E3"/>
    <w:rsid w:val="000A4AB4"/>
    <w:rsid w:val="000A4BBA"/>
    <w:rsid w:val="000A5071"/>
    <w:rsid w:val="000B0AD2"/>
    <w:rsid w:val="000B1022"/>
    <w:rsid w:val="000B1C9E"/>
    <w:rsid w:val="000B1DD1"/>
    <w:rsid w:val="000B2FB8"/>
    <w:rsid w:val="000B3927"/>
    <w:rsid w:val="000B471C"/>
    <w:rsid w:val="000B4C99"/>
    <w:rsid w:val="000B63CF"/>
    <w:rsid w:val="000C06F6"/>
    <w:rsid w:val="000C15F8"/>
    <w:rsid w:val="000C1D34"/>
    <w:rsid w:val="000C2362"/>
    <w:rsid w:val="000C2FA8"/>
    <w:rsid w:val="000C3C13"/>
    <w:rsid w:val="000C4D5F"/>
    <w:rsid w:val="000C53F9"/>
    <w:rsid w:val="000C5813"/>
    <w:rsid w:val="000C647D"/>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4AF7"/>
    <w:rsid w:val="000D5DBE"/>
    <w:rsid w:val="000D6457"/>
    <w:rsid w:val="000D7D55"/>
    <w:rsid w:val="000E0993"/>
    <w:rsid w:val="000E2A19"/>
    <w:rsid w:val="000E2E50"/>
    <w:rsid w:val="000E32DB"/>
    <w:rsid w:val="000E37E0"/>
    <w:rsid w:val="000E3BD6"/>
    <w:rsid w:val="000E3F20"/>
    <w:rsid w:val="000E4C25"/>
    <w:rsid w:val="000E4CBF"/>
    <w:rsid w:val="000E5302"/>
    <w:rsid w:val="000E5577"/>
    <w:rsid w:val="000E7034"/>
    <w:rsid w:val="000F02BE"/>
    <w:rsid w:val="000F0928"/>
    <w:rsid w:val="000F0B3D"/>
    <w:rsid w:val="000F1E65"/>
    <w:rsid w:val="000F2F2B"/>
    <w:rsid w:val="000F427B"/>
    <w:rsid w:val="000F43D0"/>
    <w:rsid w:val="000F4F18"/>
    <w:rsid w:val="000F688E"/>
    <w:rsid w:val="000F7181"/>
    <w:rsid w:val="000F7581"/>
    <w:rsid w:val="001007CE"/>
    <w:rsid w:val="001008C1"/>
    <w:rsid w:val="00100BC8"/>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B3B"/>
    <w:rsid w:val="00107EC5"/>
    <w:rsid w:val="001103CD"/>
    <w:rsid w:val="00111D3F"/>
    <w:rsid w:val="00112F44"/>
    <w:rsid w:val="00113D2A"/>
    <w:rsid w:val="00114457"/>
    <w:rsid w:val="00114F20"/>
    <w:rsid w:val="00115078"/>
    <w:rsid w:val="0011590B"/>
    <w:rsid w:val="001209BA"/>
    <w:rsid w:val="001211AF"/>
    <w:rsid w:val="001215BE"/>
    <w:rsid w:val="001215DF"/>
    <w:rsid w:val="001219DF"/>
    <w:rsid w:val="0012220B"/>
    <w:rsid w:val="00122ABE"/>
    <w:rsid w:val="00122FC5"/>
    <w:rsid w:val="001231DC"/>
    <w:rsid w:val="0012453A"/>
    <w:rsid w:val="0012489B"/>
    <w:rsid w:val="001253E4"/>
    <w:rsid w:val="001272AE"/>
    <w:rsid w:val="00130756"/>
    <w:rsid w:val="001315DD"/>
    <w:rsid w:val="00134E0B"/>
    <w:rsid w:val="0013525F"/>
    <w:rsid w:val="00135385"/>
    <w:rsid w:val="00136204"/>
    <w:rsid w:val="001364D1"/>
    <w:rsid w:val="00136EDC"/>
    <w:rsid w:val="001374C7"/>
    <w:rsid w:val="00140FA4"/>
    <w:rsid w:val="00141BC9"/>
    <w:rsid w:val="001421FD"/>
    <w:rsid w:val="001425C8"/>
    <w:rsid w:val="00142EBA"/>
    <w:rsid w:val="00143AC7"/>
    <w:rsid w:val="00143B79"/>
    <w:rsid w:val="00145965"/>
    <w:rsid w:val="0014767E"/>
    <w:rsid w:val="00150B8A"/>
    <w:rsid w:val="00150DCB"/>
    <w:rsid w:val="00151906"/>
    <w:rsid w:val="00151912"/>
    <w:rsid w:val="00153740"/>
    <w:rsid w:val="001537D8"/>
    <w:rsid w:val="00153D88"/>
    <w:rsid w:val="001541C5"/>
    <w:rsid w:val="001554E4"/>
    <w:rsid w:val="0015623F"/>
    <w:rsid w:val="00156585"/>
    <w:rsid w:val="00156BA9"/>
    <w:rsid w:val="00161642"/>
    <w:rsid w:val="00161761"/>
    <w:rsid w:val="00164413"/>
    <w:rsid w:val="001657BE"/>
    <w:rsid w:val="001658EE"/>
    <w:rsid w:val="00165C7B"/>
    <w:rsid w:val="00166182"/>
    <w:rsid w:val="0017038B"/>
    <w:rsid w:val="00170C94"/>
    <w:rsid w:val="0017139A"/>
    <w:rsid w:val="0017172C"/>
    <w:rsid w:val="001724C8"/>
    <w:rsid w:val="001726BA"/>
    <w:rsid w:val="001732C4"/>
    <w:rsid w:val="001745DD"/>
    <w:rsid w:val="00174FDE"/>
    <w:rsid w:val="00174FE3"/>
    <w:rsid w:val="00176D63"/>
    <w:rsid w:val="00177659"/>
    <w:rsid w:val="001779E5"/>
    <w:rsid w:val="00180826"/>
    <w:rsid w:val="00181240"/>
    <w:rsid w:val="0018208F"/>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45A"/>
    <w:rsid w:val="001C5BDA"/>
    <w:rsid w:val="001C5CFC"/>
    <w:rsid w:val="001C68B2"/>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0291"/>
    <w:rsid w:val="001E054F"/>
    <w:rsid w:val="001E15C0"/>
    <w:rsid w:val="001E18E0"/>
    <w:rsid w:val="001E18E2"/>
    <w:rsid w:val="001E19D0"/>
    <w:rsid w:val="001E2A30"/>
    <w:rsid w:val="001E2FF1"/>
    <w:rsid w:val="001E3FE1"/>
    <w:rsid w:val="001E41FE"/>
    <w:rsid w:val="001E4989"/>
    <w:rsid w:val="001E635C"/>
    <w:rsid w:val="001F0297"/>
    <w:rsid w:val="001F29F9"/>
    <w:rsid w:val="001F6E0B"/>
    <w:rsid w:val="001F74BE"/>
    <w:rsid w:val="001F7AC0"/>
    <w:rsid w:val="00200AA0"/>
    <w:rsid w:val="00200F21"/>
    <w:rsid w:val="00202325"/>
    <w:rsid w:val="00202736"/>
    <w:rsid w:val="00203652"/>
    <w:rsid w:val="00204562"/>
    <w:rsid w:val="00205B4F"/>
    <w:rsid w:val="002060B6"/>
    <w:rsid w:val="002066B5"/>
    <w:rsid w:val="00210EAC"/>
    <w:rsid w:val="00211612"/>
    <w:rsid w:val="002119B6"/>
    <w:rsid w:val="00212389"/>
    <w:rsid w:val="002129C1"/>
    <w:rsid w:val="00212B40"/>
    <w:rsid w:val="00213BD0"/>
    <w:rsid w:val="002143E5"/>
    <w:rsid w:val="00214DBA"/>
    <w:rsid w:val="002151AB"/>
    <w:rsid w:val="0021548C"/>
    <w:rsid w:val="0021565F"/>
    <w:rsid w:val="00215C4C"/>
    <w:rsid w:val="00215ED6"/>
    <w:rsid w:val="00216049"/>
    <w:rsid w:val="002163FA"/>
    <w:rsid w:val="00216FCB"/>
    <w:rsid w:val="00217606"/>
    <w:rsid w:val="00217C09"/>
    <w:rsid w:val="00220F5C"/>
    <w:rsid w:val="00220FA9"/>
    <w:rsid w:val="002216BF"/>
    <w:rsid w:val="00221B9B"/>
    <w:rsid w:val="00222268"/>
    <w:rsid w:val="00225080"/>
    <w:rsid w:val="00225196"/>
    <w:rsid w:val="002258C8"/>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501A"/>
    <w:rsid w:val="00246860"/>
    <w:rsid w:val="002468D9"/>
    <w:rsid w:val="00246995"/>
    <w:rsid w:val="00246DFF"/>
    <w:rsid w:val="00246E89"/>
    <w:rsid w:val="0025183C"/>
    <w:rsid w:val="00251FED"/>
    <w:rsid w:val="00252351"/>
    <w:rsid w:val="002528EC"/>
    <w:rsid w:val="00252A84"/>
    <w:rsid w:val="00253EAA"/>
    <w:rsid w:val="00255049"/>
    <w:rsid w:val="00257538"/>
    <w:rsid w:val="00257AFF"/>
    <w:rsid w:val="00257DE5"/>
    <w:rsid w:val="00260531"/>
    <w:rsid w:val="00260B9A"/>
    <w:rsid w:val="00261B7E"/>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54EB"/>
    <w:rsid w:val="00287006"/>
    <w:rsid w:val="0029030A"/>
    <w:rsid w:val="00291A69"/>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763"/>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6DB2"/>
    <w:rsid w:val="002D73D4"/>
    <w:rsid w:val="002D7787"/>
    <w:rsid w:val="002E058C"/>
    <w:rsid w:val="002E1877"/>
    <w:rsid w:val="002E1C31"/>
    <w:rsid w:val="002E1EFD"/>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1A64"/>
    <w:rsid w:val="002F287E"/>
    <w:rsid w:val="002F2981"/>
    <w:rsid w:val="002F2D63"/>
    <w:rsid w:val="002F478B"/>
    <w:rsid w:val="002F6AD8"/>
    <w:rsid w:val="002F7C06"/>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2136A"/>
    <w:rsid w:val="003219E5"/>
    <w:rsid w:val="003224D8"/>
    <w:rsid w:val="00323A90"/>
    <w:rsid w:val="00323E70"/>
    <w:rsid w:val="003258A7"/>
    <w:rsid w:val="00325BA2"/>
    <w:rsid w:val="00325C2C"/>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D0D"/>
    <w:rsid w:val="00351498"/>
    <w:rsid w:val="00352B22"/>
    <w:rsid w:val="00352CBF"/>
    <w:rsid w:val="003534DC"/>
    <w:rsid w:val="00354547"/>
    <w:rsid w:val="003549F5"/>
    <w:rsid w:val="00355ACB"/>
    <w:rsid w:val="003567DE"/>
    <w:rsid w:val="003574F3"/>
    <w:rsid w:val="00357831"/>
    <w:rsid w:val="003604A5"/>
    <w:rsid w:val="0036114B"/>
    <w:rsid w:val="003618B6"/>
    <w:rsid w:val="0036199A"/>
    <w:rsid w:val="003620C8"/>
    <w:rsid w:val="00363087"/>
    <w:rsid w:val="0036319E"/>
    <w:rsid w:val="003632A4"/>
    <w:rsid w:val="00363362"/>
    <w:rsid w:val="0036392A"/>
    <w:rsid w:val="00364CAB"/>
    <w:rsid w:val="00365767"/>
    <w:rsid w:val="003659C0"/>
    <w:rsid w:val="003660DF"/>
    <w:rsid w:val="003674A9"/>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4C77"/>
    <w:rsid w:val="003851BA"/>
    <w:rsid w:val="00385708"/>
    <w:rsid w:val="003857D4"/>
    <w:rsid w:val="00385D6F"/>
    <w:rsid w:val="003861F7"/>
    <w:rsid w:val="003863E9"/>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3F3D"/>
    <w:rsid w:val="003A40B4"/>
    <w:rsid w:val="003A41BA"/>
    <w:rsid w:val="003A4FA3"/>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34DF"/>
    <w:rsid w:val="003C5046"/>
    <w:rsid w:val="003C53E8"/>
    <w:rsid w:val="003C5B54"/>
    <w:rsid w:val="003C6068"/>
    <w:rsid w:val="003C7AEC"/>
    <w:rsid w:val="003D03B5"/>
    <w:rsid w:val="003D2BA3"/>
    <w:rsid w:val="003D316B"/>
    <w:rsid w:val="003D3C22"/>
    <w:rsid w:val="003D56A0"/>
    <w:rsid w:val="003D609F"/>
    <w:rsid w:val="003D69F5"/>
    <w:rsid w:val="003D7084"/>
    <w:rsid w:val="003D7089"/>
    <w:rsid w:val="003D7DDB"/>
    <w:rsid w:val="003E024F"/>
    <w:rsid w:val="003E02C7"/>
    <w:rsid w:val="003E0543"/>
    <w:rsid w:val="003E061D"/>
    <w:rsid w:val="003E0B5A"/>
    <w:rsid w:val="003E1682"/>
    <w:rsid w:val="003E31E3"/>
    <w:rsid w:val="003E3E93"/>
    <w:rsid w:val="003E46D1"/>
    <w:rsid w:val="003E5165"/>
    <w:rsid w:val="003E6214"/>
    <w:rsid w:val="003F070E"/>
    <w:rsid w:val="003F1206"/>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17999"/>
    <w:rsid w:val="00417BED"/>
    <w:rsid w:val="00420A1D"/>
    <w:rsid w:val="00420B1E"/>
    <w:rsid w:val="004211FD"/>
    <w:rsid w:val="00421485"/>
    <w:rsid w:val="004216DA"/>
    <w:rsid w:val="00421DEA"/>
    <w:rsid w:val="00422B75"/>
    <w:rsid w:val="00424458"/>
    <w:rsid w:val="00424612"/>
    <w:rsid w:val="0042528C"/>
    <w:rsid w:val="00425672"/>
    <w:rsid w:val="00425A6A"/>
    <w:rsid w:val="00426A23"/>
    <w:rsid w:val="00427C7F"/>
    <w:rsid w:val="00427F54"/>
    <w:rsid w:val="004306E0"/>
    <w:rsid w:val="004316FD"/>
    <w:rsid w:val="00433F36"/>
    <w:rsid w:val="00434694"/>
    <w:rsid w:val="00434860"/>
    <w:rsid w:val="00434BBD"/>
    <w:rsid w:val="0043503A"/>
    <w:rsid w:val="00437B8A"/>
    <w:rsid w:val="00437D18"/>
    <w:rsid w:val="00437D77"/>
    <w:rsid w:val="00441D99"/>
    <w:rsid w:val="00442609"/>
    <w:rsid w:val="004429D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5D67"/>
    <w:rsid w:val="0045645D"/>
    <w:rsid w:val="0045707D"/>
    <w:rsid w:val="004574C6"/>
    <w:rsid w:val="00457743"/>
    <w:rsid w:val="00457BCF"/>
    <w:rsid w:val="00457DCE"/>
    <w:rsid w:val="00460E3F"/>
    <w:rsid w:val="0046111A"/>
    <w:rsid w:val="004613A3"/>
    <w:rsid w:val="00462F68"/>
    <w:rsid w:val="00463478"/>
    <w:rsid w:val="0046369B"/>
    <w:rsid w:val="00463781"/>
    <w:rsid w:val="004640E9"/>
    <w:rsid w:val="00464744"/>
    <w:rsid w:val="004647EB"/>
    <w:rsid w:val="00465230"/>
    <w:rsid w:val="00466CED"/>
    <w:rsid w:val="00466EB5"/>
    <w:rsid w:val="00467592"/>
    <w:rsid w:val="00467690"/>
    <w:rsid w:val="00467A14"/>
    <w:rsid w:val="004718E7"/>
    <w:rsid w:val="00472289"/>
    <w:rsid w:val="00472535"/>
    <w:rsid w:val="00472C97"/>
    <w:rsid w:val="0047570F"/>
    <w:rsid w:val="004761CC"/>
    <w:rsid w:val="00476229"/>
    <w:rsid w:val="004766C9"/>
    <w:rsid w:val="00480D4A"/>
    <w:rsid w:val="004815C2"/>
    <w:rsid w:val="00481DA1"/>
    <w:rsid w:val="00483A2B"/>
    <w:rsid w:val="00484212"/>
    <w:rsid w:val="004848C3"/>
    <w:rsid w:val="00484BA9"/>
    <w:rsid w:val="0048599A"/>
    <w:rsid w:val="00486818"/>
    <w:rsid w:val="0049255F"/>
    <w:rsid w:val="00493B5B"/>
    <w:rsid w:val="0049445D"/>
    <w:rsid w:val="00494D39"/>
    <w:rsid w:val="00495350"/>
    <w:rsid w:val="00495E3C"/>
    <w:rsid w:val="00496041"/>
    <w:rsid w:val="00497156"/>
    <w:rsid w:val="004A0C79"/>
    <w:rsid w:val="004A1FE0"/>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362B"/>
    <w:rsid w:val="004D3C7F"/>
    <w:rsid w:val="004D42CB"/>
    <w:rsid w:val="004D4A0C"/>
    <w:rsid w:val="004D6E90"/>
    <w:rsid w:val="004D6F2B"/>
    <w:rsid w:val="004E0248"/>
    <w:rsid w:val="004E21A3"/>
    <w:rsid w:val="004E32EA"/>
    <w:rsid w:val="004E3517"/>
    <w:rsid w:val="004E6866"/>
    <w:rsid w:val="004F0C58"/>
    <w:rsid w:val="004F10EB"/>
    <w:rsid w:val="004F2FC6"/>
    <w:rsid w:val="004F3222"/>
    <w:rsid w:val="004F3639"/>
    <w:rsid w:val="004F3BFA"/>
    <w:rsid w:val="004F4E3C"/>
    <w:rsid w:val="004F5A1A"/>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1881"/>
    <w:rsid w:val="0051220B"/>
    <w:rsid w:val="00512253"/>
    <w:rsid w:val="00512484"/>
    <w:rsid w:val="00514449"/>
    <w:rsid w:val="005144A7"/>
    <w:rsid w:val="00515419"/>
    <w:rsid w:val="005157BD"/>
    <w:rsid w:val="0051594B"/>
    <w:rsid w:val="005214A3"/>
    <w:rsid w:val="005222E7"/>
    <w:rsid w:val="00523488"/>
    <w:rsid w:val="00523A8B"/>
    <w:rsid w:val="00523E04"/>
    <w:rsid w:val="00524D3A"/>
    <w:rsid w:val="00524ED7"/>
    <w:rsid w:val="00525003"/>
    <w:rsid w:val="0052590B"/>
    <w:rsid w:val="0052592B"/>
    <w:rsid w:val="00526503"/>
    <w:rsid w:val="00526591"/>
    <w:rsid w:val="00527178"/>
    <w:rsid w:val="00527618"/>
    <w:rsid w:val="005278CB"/>
    <w:rsid w:val="00530388"/>
    <w:rsid w:val="00531DA0"/>
    <w:rsid w:val="00532B33"/>
    <w:rsid w:val="00532E9D"/>
    <w:rsid w:val="00533075"/>
    <w:rsid w:val="005334B4"/>
    <w:rsid w:val="00534D42"/>
    <w:rsid w:val="005350A5"/>
    <w:rsid w:val="00536044"/>
    <w:rsid w:val="00536379"/>
    <w:rsid w:val="00537238"/>
    <w:rsid w:val="005400C5"/>
    <w:rsid w:val="005404CD"/>
    <w:rsid w:val="00540BE0"/>
    <w:rsid w:val="00540BEF"/>
    <w:rsid w:val="00542022"/>
    <w:rsid w:val="00542B34"/>
    <w:rsid w:val="00542C9A"/>
    <w:rsid w:val="005436C2"/>
    <w:rsid w:val="005442D4"/>
    <w:rsid w:val="0054586A"/>
    <w:rsid w:val="0054631F"/>
    <w:rsid w:val="00546C24"/>
    <w:rsid w:val="005471BA"/>
    <w:rsid w:val="00547BDA"/>
    <w:rsid w:val="00547BE6"/>
    <w:rsid w:val="0055034F"/>
    <w:rsid w:val="00550476"/>
    <w:rsid w:val="0055288D"/>
    <w:rsid w:val="00552B5A"/>
    <w:rsid w:val="005533DE"/>
    <w:rsid w:val="005536D8"/>
    <w:rsid w:val="00555259"/>
    <w:rsid w:val="00555C66"/>
    <w:rsid w:val="005569EF"/>
    <w:rsid w:val="00556BDE"/>
    <w:rsid w:val="0056056C"/>
    <w:rsid w:val="00560D57"/>
    <w:rsid w:val="00560F12"/>
    <w:rsid w:val="00562922"/>
    <w:rsid w:val="00562A94"/>
    <w:rsid w:val="00563FAD"/>
    <w:rsid w:val="00565636"/>
    <w:rsid w:val="005701C1"/>
    <w:rsid w:val="005703BF"/>
    <w:rsid w:val="005705CE"/>
    <w:rsid w:val="00570754"/>
    <w:rsid w:val="005709F7"/>
    <w:rsid w:val="00570EAA"/>
    <w:rsid w:val="005710A9"/>
    <w:rsid w:val="005716B0"/>
    <w:rsid w:val="00571B11"/>
    <w:rsid w:val="00571D1B"/>
    <w:rsid w:val="00571DA3"/>
    <w:rsid w:val="005738F5"/>
    <w:rsid w:val="00573D34"/>
    <w:rsid w:val="00573D9B"/>
    <w:rsid w:val="00574A1B"/>
    <w:rsid w:val="00575963"/>
    <w:rsid w:val="00575EBE"/>
    <w:rsid w:val="0058039C"/>
    <w:rsid w:val="00580A63"/>
    <w:rsid w:val="00582885"/>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3E54"/>
    <w:rsid w:val="005A464E"/>
    <w:rsid w:val="005A62FC"/>
    <w:rsid w:val="005A6C99"/>
    <w:rsid w:val="005A792B"/>
    <w:rsid w:val="005A7D5D"/>
    <w:rsid w:val="005B0040"/>
    <w:rsid w:val="005B011A"/>
    <w:rsid w:val="005B0283"/>
    <w:rsid w:val="005B1ADA"/>
    <w:rsid w:val="005B1D09"/>
    <w:rsid w:val="005B1D8F"/>
    <w:rsid w:val="005B1E94"/>
    <w:rsid w:val="005B45F7"/>
    <w:rsid w:val="005B56E0"/>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342"/>
    <w:rsid w:val="005F55F5"/>
    <w:rsid w:val="005F5B74"/>
    <w:rsid w:val="005F5EC1"/>
    <w:rsid w:val="005F67A9"/>
    <w:rsid w:val="005F6B6D"/>
    <w:rsid w:val="005F73CA"/>
    <w:rsid w:val="006002FE"/>
    <w:rsid w:val="006008F8"/>
    <w:rsid w:val="006036C2"/>
    <w:rsid w:val="00605AAB"/>
    <w:rsid w:val="00606BEB"/>
    <w:rsid w:val="00607AC8"/>
    <w:rsid w:val="0061010C"/>
    <w:rsid w:val="0061014A"/>
    <w:rsid w:val="0061054B"/>
    <w:rsid w:val="006110FB"/>
    <w:rsid w:val="006114BB"/>
    <w:rsid w:val="00612625"/>
    <w:rsid w:val="00612FB0"/>
    <w:rsid w:val="0061356D"/>
    <w:rsid w:val="00613E26"/>
    <w:rsid w:val="00615641"/>
    <w:rsid w:val="00615A66"/>
    <w:rsid w:val="00616959"/>
    <w:rsid w:val="0062036E"/>
    <w:rsid w:val="006211D0"/>
    <w:rsid w:val="00621595"/>
    <w:rsid w:val="0062359D"/>
    <w:rsid w:val="006235F5"/>
    <w:rsid w:val="00623634"/>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6684A"/>
    <w:rsid w:val="006708E3"/>
    <w:rsid w:val="00670DDC"/>
    <w:rsid w:val="00671389"/>
    <w:rsid w:val="00671E4D"/>
    <w:rsid w:val="00671EB4"/>
    <w:rsid w:val="00673CDC"/>
    <w:rsid w:val="0067443B"/>
    <w:rsid w:val="006770AA"/>
    <w:rsid w:val="00680450"/>
    <w:rsid w:val="0068098E"/>
    <w:rsid w:val="006810BD"/>
    <w:rsid w:val="00681350"/>
    <w:rsid w:val="0068160C"/>
    <w:rsid w:val="00682486"/>
    <w:rsid w:val="006833A7"/>
    <w:rsid w:val="00684CE6"/>
    <w:rsid w:val="00684E2B"/>
    <w:rsid w:val="006857A0"/>
    <w:rsid w:val="006870CE"/>
    <w:rsid w:val="00687C7E"/>
    <w:rsid w:val="00687D3D"/>
    <w:rsid w:val="00690569"/>
    <w:rsid w:val="00690FDA"/>
    <w:rsid w:val="00691E61"/>
    <w:rsid w:val="00692180"/>
    <w:rsid w:val="006937C6"/>
    <w:rsid w:val="00693C5E"/>
    <w:rsid w:val="00693CEE"/>
    <w:rsid w:val="00694EEA"/>
    <w:rsid w:val="006955B4"/>
    <w:rsid w:val="00695DEF"/>
    <w:rsid w:val="00696476"/>
    <w:rsid w:val="0069687C"/>
    <w:rsid w:val="00696C74"/>
    <w:rsid w:val="00697C9B"/>
    <w:rsid w:val="006A0909"/>
    <w:rsid w:val="006A10FA"/>
    <w:rsid w:val="006A12E0"/>
    <w:rsid w:val="006A3D6C"/>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90F"/>
    <w:rsid w:val="006B6C14"/>
    <w:rsid w:val="006B7159"/>
    <w:rsid w:val="006B715E"/>
    <w:rsid w:val="006B7BE0"/>
    <w:rsid w:val="006C1D6E"/>
    <w:rsid w:val="006C2EF6"/>
    <w:rsid w:val="006C3A68"/>
    <w:rsid w:val="006C3B08"/>
    <w:rsid w:val="006C6AB1"/>
    <w:rsid w:val="006C6E6B"/>
    <w:rsid w:val="006C714C"/>
    <w:rsid w:val="006C73D4"/>
    <w:rsid w:val="006D145F"/>
    <w:rsid w:val="006D2000"/>
    <w:rsid w:val="006D2D39"/>
    <w:rsid w:val="006D2F31"/>
    <w:rsid w:val="006D4250"/>
    <w:rsid w:val="006D4E0E"/>
    <w:rsid w:val="006D5861"/>
    <w:rsid w:val="006D5CE2"/>
    <w:rsid w:val="006D5E1E"/>
    <w:rsid w:val="006D7854"/>
    <w:rsid w:val="006E06D1"/>
    <w:rsid w:val="006E122E"/>
    <w:rsid w:val="006E1313"/>
    <w:rsid w:val="006E154E"/>
    <w:rsid w:val="006E25A9"/>
    <w:rsid w:val="006E2DC8"/>
    <w:rsid w:val="006E58CB"/>
    <w:rsid w:val="006E6B68"/>
    <w:rsid w:val="006E7089"/>
    <w:rsid w:val="006E7356"/>
    <w:rsid w:val="006E77C8"/>
    <w:rsid w:val="006F0F9C"/>
    <w:rsid w:val="006F149D"/>
    <w:rsid w:val="006F1A46"/>
    <w:rsid w:val="006F2B5B"/>
    <w:rsid w:val="006F45A0"/>
    <w:rsid w:val="006F4F06"/>
    <w:rsid w:val="006F5A4E"/>
    <w:rsid w:val="006F5D37"/>
    <w:rsid w:val="006F6005"/>
    <w:rsid w:val="006F674E"/>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3DA0"/>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5A8"/>
    <w:rsid w:val="00763CAE"/>
    <w:rsid w:val="00763F95"/>
    <w:rsid w:val="007651ED"/>
    <w:rsid w:val="00766C87"/>
    <w:rsid w:val="00771043"/>
    <w:rsid w:val="0077272B"/>
    <w:rsid w:val="00772CCC"/>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2A"/>
    <w:rsid w:val="007C11E9"/>
    <w:rsid w:val="007C190A"/>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28B1"/>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18FF"/>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6B7B"/>
    <w:rsid w:val="00837465"/>
    <w:rsid w:val="0084002E"/>
    <w:rsid w:val="00840159"/>
    <w:rsid w:val="00840621"/>
    <w:rsid w:val="00841243"/>
    <w:rsid w:val="00841457"/>
    <w:rsid w:val="0084297D"/>
    <w:rsid w:val="00842BAA"/>
    <w:rsid w:val="00842D8F"/>
    <w:rsid w:val="0084374E"/>
    <w:rsid w:val="008440D3"/>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5E73"/>
    <w:rsid w:val="00856428"/>
    <w:rsid w:val="00856763"/>
    <w:rsid w:val="00856AC7"/>
    <w:rsid w:val="00856FA4"/>
    <w:rsid w:val="00860869"/>
    <w:rsid w:val="00860E60"/>
    <w:rsid w:val="0086102A"/>
    <w:rsid w:val="0086162B"/>
    <w:rsid w:val="00861710"/>
    <w:rsid w:val="00861D5C"/>
    <w:rsid w:val="00861E7C"/>
    <w:rsid w:val="008626C2"/>
    <w:rsid w:val="0086429C"/>
    <w:rsid w:val="00865207"/>
    <w:rsid w:val="008656A7"/>
    <w:rsid w:val="00865FA3"/>
    <w:rsid w:val="00866231"/>
    <w:rsid w:val="00871262"/>
    <w:rsid w:val="0087170E"/>
    <w:rsid w:val="00871D4E"/>
    <w:rsid w:val="00871E7B"/>
    <w:rsid w:val="008721BB"/>
    <w:rsid w:val="008734E7"/>
    <w:rsid w:val="0087566D"/>
    <w:rsid w:val="00875B50"/>
    <w:rsid w:val="00875B51"/>
    <w:rsid w:val="00875F2D"/>
    <w:rsid w:val="008762E7"/>
    <w:rsid w:val="008764DC"/>
    <w:rsid w:val="00881C17"/>
    <w:rsid w:val="00881D10"/>
    <w:rsid w:val="00882CC2"/>
    <w:rsid w:val="00883103"/>
    <w:rsid w:val="0088325A"/>
    <w:rsid w:val="00883930"/>
    <w:rsid w:val="00884535"/>
    <w:rsid w:val="008902BE"/>
    <w:rsid w:val="0089038F"/>
    <w:rsid w:val="00890CDA"/>
    <w:rsid w:val="00891BBA"/>
    <w:rsid w:val="00891BD9"/>
    <w:rsid w:val="00892079"/>
    <w:rsid w:val="00892B90"/>
    <w:rsid w:val="00896535"/>
    <w:rsid w:val="00896683"/>
    <w:rsid w:val="00896C01"/>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E89"/>
    <w:rsid w:val="008B2FDB"/>
    <w:rsid w:val="008B3AF2"/>
    <w:rsid w:val="008B446D"/>
    <w:rsid w:val="008B4E2C"/>
    <w:rsid w:val="008B515D"/>
    <w:rsid w:val="008B5D31"/>
    <w:rsid w:val="008B6705"/>
    <w:rsid w:val="008C1C8A"/>
    <w:rsid w:val="008C22F3"/>
    <w:rsid w:val="008C3223"/>
    <w:rsid w:val="008C3FD0"/>
    <w:rsid w:val="008C4F01"/>
    <w:rsid w:val="008C5152"/>
    <w:rsid w:val="008C710E"/>
    <w:rsid w:val="008D1484"/>
    <w:rsid w:val="008D29E7"/>
    <w:rsid w:val="008D5104"/>
    <w:rsid w:val="008D6056"/>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1FA"/>
    <w:rsid w:val="0090045D"/>
    <w:rsid w:val="00900906"/>
    <w:rsid w:val="00900D8F"/>
    <w:rsid w:val="00901229"/>
    <w:rsid w:val="009014E3"/>
    <w:rsid w:val="009020ED"/>
    <w:rsid w:val="009026E8"/>
    <w:rsid w:val="00902FDD"/>
    <w:rsid w:val="00905EA6"/>
    <w:rsid w:val="00905EEF"/>
    <w:rsid w:val="00906919"/>
    <w:rsid w:val="00906EB7"/>
    <w:rsid w:val="00907FE6"/>
    <w:rsid w:val="009102BF"/>
    <w:rsid w:val="00911490"/>
    <w:rsid w:val="009115F2"/>
    <w:rsid w:val="00911B11"/>
    <w:rsid w:val="00914ADB"/>
    <w:rsid w:val="00915196"/>
    <w:rsid w:val="00917182"/>
    <w:rsid w:val="00920251"/>
    <w:rsid w:val="00920259"/>
    <w:rsid w:val="00920436"/>
    <w:rsid w:val="00921CFD"/>
    <w:rsid w:val="00921F7F"/>
    <w:rsid w:val="009239C0"/>
    <w:rsid w:val="00923B25"/>
    <w:rsid w:val="0092402E"/>
    <w:rsid w:val="009259BA"/>
    <w:rsid w:val="00926451"/>
    <w:rsid w:val="00926C0A"/>
    <w:rsid w:val="00926FCB"/>
    <w:rsid w:val="009303BB"/>
    <w:rsid w:val="0093108A"/>
    <w:rsid w:val="009319EF"/>
    <w:rsid w:val="00931B6D"/>
    <w:rsid w:val="0093311A"/>
    <w:rsid w:val="009346D0"/>
    <w:rsid w:val="009369A6"/>
    <w:rsid w:val="00936E38"/>
    <w:rsid w:val="00937433"/>
    <w:rsid w:val="00937F57"/>
    <w:rsid w:val="0094031E"/>
    <w:rsid w:val="009419B4"/>
    <w:rsid w:val="00941A4C"/>
    <w:rsid w:val="00942645"/>
    <w:rsid w:val="009461E6"/>
    <w:rsid w:val="00950A3A"/>
    <w:rsid w:val="00951303"/>
    <w:rsid w:val="0095270D"/>
    <w:rsid w:val="00952C0C"/>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266"/>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B1A"/>
    <w:rsid w:val="00984EBF"/>
    <w:rsid w:val="00985099"/>
    <w:rsid w:val="00985D32"/>
    <w:rsid w:val="00986514"/>
    <w:rsid w:val="00986FCC"/>
    <w:rsid w:val="00990FD6"/>
    <w:rsid w:val="00992BF4"/>
    <w:rsid w:val="009935C3"/>
    <w:rsid w:val="0099421F"/>
    <w:rsid w:val="00994D33"/>
    <w:rsid w:val="00994FC8"/>
    <w:rsid w:val="009A0346"/>
    <w:rsid w:val="009A0DE3"/>
    <w:rsid w:val="009A1643"/>
    <w:rsid w:val="009A215A"/>
    <w:rsid w:val="009A26B9"/>
    <w:rsid w:val="009A49D3"/>
    <w:rsid w:val="009A4F1B"/>
    <w:rsid w:val="009A66C5"/>
    <w:rsid w:val="009A66E7"/>
    <w:rsid w:val="009A7578"/>
    <w:rsid w:val="009A79BA"/>
    <w:rsid w:val="009B10F9"/>
    <w:rsid w:val="009B14D1"/>
    <w:rsid w:val="009B1534"/>
    <w:rsid w:val="009B4963"/>
    <w:rsid w:val="009B4A3B"/>
    <w:rsid w:val="009B5902"/>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666"/>
    <w:rsid w:val="009D297C"/>
    <w:rsid w:val="009D3652"/>
    <w:rsid w:val="009D37CA"/>
    <w:rsid w:val="009D4229"/>
    <w:rsid w:val="009D4268"/>
    <w:rsid w:val="009D5DE9"/>
    <w:rsid w:val="009E09D0"/>
    <w:rsid w:val="009E0C9F"/>
    <w:rsid w:val="009E1181"/>
    <w:rsid w:val="009E1283"/>
    <w:rsid w:val="009E37E0"/>
    <w:rsid w:val="009E3A7F"/>
    <w:rsid w:val="009E4C9B"/>
    <w:rsid w:val="009E4DFC"/>
    <w:rsid w:val="009E5789"/>
    <w:rsid w:val="009E57B1"/>
    <w:rsid w:val="009E6379"/>
    <w:rsid w:val="009F020F"/>
    <w:rsid w:val="009F077E"/>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418C"/>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27FB8"/>
    <w:rsid w:val="00A305AD"/>
    <w:rsid w:val="00A314B6"/>
    <w:rsid w:val="00A31DE7"/>
    <w:rsid w:val="00A31FE2"/>
    <w:rsid w:val="00A32743"/>
    <w:rsid w:val="00A361A2"/>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58A5"/>
    <w:rsid w:val="00A56D26"/>
    <w:rsid w:val="00A571A7"/>
    <w:rsid w:val="00A5749A"/>
    <w:rsid w:val="00A575E1"/>
    <w:rsid w:val="00A57BA8"/>
    <w:rsid w:val="00A57C35"/>
    <w:rsid w:val="00A608FB"/>
    <w:rsid w:val="00A60D83"/>
    <w:rsid w:val="00A60F68"/>
    <w:rsid w:val="00A61A0A"/>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530"/>
    <w:rsid w:val="00A86CB6"/>
    <w:rsid w:val="00A90D55"/>
    <w:rsid w:val="00A91E6C"/>
    <w:rsid w:val="00A9225E"/>
    <w:rsid w:val="00A93F59"/>
    <w:rsid w:val="00A944D8"/>
    <w:rsid w:val="00A959E7"/>
    <w:rsid w:val="00A95BBA"/>
    <w:rsid w:val="00A961EE"/>
    <w:rsid w:val="00A96559"/>
    <w:rsid w:val="00A96D10"/>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8F5"/>
    <w:rsid w:val="00AB0A8A"/>
    <w:rsid w:val="00AB1754"/>
    <w:rsid w:val="00AB1F8D"/>
    <w:rsid w:val="00AB27DD"/>
    <w:rsid w:val="00AB3383"/>
    <w:rsid w:val="00AB4BA4"/>
    <w:rsid w:val="00AB592E"/>
    <w:rsid w:val="00AC0C1C"/>
    <w:rsid w:val="00AC1305"/>
    <w:rsid w:val="00AC37BE"/>
    <w:rsid w:val="00AC439D"/>
    <w:rsid w:val="00AC4BA1"/>
    <w:rsid w:val="00AC5522"/>
    <w:rsid w:val="00AC62CC"/>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7F8F"/>
    <w:rsid w:val="00AE0BF9"/>
    <w:rsid w:val="00AE1273"/>
    <w:rsid w:val="00AE18C5"/>
    <w:rsid w:val="00AE22CE"/>
    <w:rsid w:val="00AE2540"/>
    <w:rsid w:val="00AE2B85"/>
    <w:rsid w:val="00AE2CF4"/>
    <w:rsid w:val="00AE2D29"/>
    <w:rsid w:val="00AE2F15"/>
    <w:rsid w:val="00AE3367"/>
    <w:rsid w:val="00AE4624"/>
    <w:rsid w:val="00AE4B3E"/>
    <w:rsid w:val="00AE4B90"/>
    <w:rsid w:val="00AE5E14"/>
    <w:rsid w:val="00AE6115"/>
    <w:rsid w:val="00AE625B"/>
    <w:rsid w:val="00AF01B2"/>
    <w:rsid w:val="00AF1103"/>
    <w:rsid w:val="00AF154D"/>
    <w:rsid w:val="00AF1668"/>
    <w:rsid w:val="00AF1DBB"/>
    <w:rsid w:val="00AF25B2"/>
    <w:rsid w:val="00AF28DE"/>
    <w:rsid w:val="00AF41EE"/>
    <w:rsid w:val="00AF4A87"/>
    <w:rsid w:val="00AF4FA5"/>
    <w:rsid w:val="00AF5BB4"/>
    <w:rsid w:val="00AF6ECC"/>
    <w:rsid w:val="00B02145"/>
    <w:rsid w:val="00B022DC"/>
    <w:rsid w:val="00B039DD"/>
    <w:rsid w:val="00B04562"/>
    <w:rsid w:val="00B0472F"/>
    <w:rsid w:val="00B06930"/>
    <w:rsid w:val="00B076B6"/>
    <w:rsid w:val="00B0773A"/>
    <w:rsid w:val="00B07955"/>
    <w:rsid w:val="00B1176B"/>
    <w:rsid w:val="00B11858"/>
    <w:rsid w:val="00B13A51"/>
    <w:rsid w:val="00B140B8"/>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12DB"/>
    <w:rsid w:val="00B427BB"/>
    <w:rsid w:val="00B43BA2"/>
    <w:rsid w:val="00B449EE"/>
    <w:rsid w:val="00B454AE"/>
    <w:rsid w:val="00B46089"/>
    <w:rsid w:val="00B47D60"/>
    <w:rsid w:val="00B501F5"/>
    <w:rsid w:val="00B50227"/>
    <w:rsid w:val="00B50510"/>
    <w:rsid w:val="00B505E9"/>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4F78"/>
    <w:rsid w:val="00B66505"/>
    <w:rsid w:val="00B6710C"/>
    <w:rsid w:val="00B67E84"/>
    <w:rsid w:val="00B72076"/>
    <w:rsid w:val="00B72303"/>
    <w:rsid w:val="00B727A9"/>
    <w:rsid w:val="00B72C72"/>
    <w:rsid w:val="00B72D6F"/>
    <w:rsid w:val="00B72ED9"/>
    <w:rsid w:val="00B731E4"/>
    <w:rsid w:val="00B751CE"/>
    <w:rsid w:val="00B75A8B"/>
    <w:rsid w:val="00B75B61"/>
    <w:rsid w:val="00B76796"/>
    <w:rsid w:val="00B771E0"/>
    <w:rsid w:val="00B77828"/>
    <w:rsid w:val="00B7793B"/>
    <w:rsid w:val="00B77EE7"/>
    <w:rsid w:val="00B80EDD"/>
    <w:rsid w:val="00B812BD"/>
    <w:rsid w:val="00B81964"/>
    <w:rsid w:val="00B82114"/>
    <w:rsid w:val="00B82277"/>
    <w:rsid w:val="00B83F87"/>
    <w:rsid w:val="00B843DD"/>
    <w:rsid w:val="00B8478F"/>
    <w:rsid w:val="00B84F93"/>
    <w:rsid w:val="00B91676"/>
    <w:rsid w:val="00B9322B"/>
    <w:rsid w:val="00B93640"/>
    <w:rsid w:val="00B94023"/>
    <w:rsid w:val="00B955D5"/>
    <w:rsid w:val="00B95833"/>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DDE"/>
    <w:rsid w:val="00BB6064"/>
    <w:rsid w:val="00BB65CE"/>
    <w:rsid w:val="00BB7012"/>
    <w:rsid w:val="00BC08E4"/>
    <w:rsid w:val="00BC09D1"/>
    <w:rsid w:val="00BC1CF3"/>
    <w:rsid w:val="00BC2BE0"/>
    <w:rsid w:val="00BC3573"/>
    <w:rsid w:val="00BC5860"/>
    <w:rsid w:val="00BC60A5"/>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570"/>
    <w:rsid w:val="00BE5D55"/>
    <w:rsid w:val="00BE6365"/>
    <w:rsid w:val="00BF01B7"/>
    <w:rsid w:val="00BF0B7F"/>
    <w:rsid w:val="00BF0E94"/>
    <w:rsid w:val="00BF2988"/>
    <w:rsid w:val="00BF3FB9"/>
    <w:rsid w:val="00BF4012"/>
    <w:rsid w:val="00BF4225"/>
    <w:rsid w:val="00BF4720"/>
    <w:rsid w:val="00BF4F49"/>
    <w:rsid w:val="00BF5655"/>
    <w:rsid w:val="00BF6759"/>
    <w:rsid w:val="00BF70A6"/>
    <w:rsid w:val="00BF72CA"/>
    <w:rsid w:val="00BF7B4F"/>
    <w:rsid w:val="00BF7B63"/>
    <w:rsid w:val="00BF7F3C"/>
    <w:rsid w:val="00C005D4"/>
    <w:rsid w:val="00C00671"/>
    <w:rsid w:val="00C0359D"/>
    <w:rsid w:val="00C038EC"/>
    <w:rsid w:val="00C03C21"/>
    <w:rsid w:val="00C05C6D"/>
    <w:rsid w:val="00C0671A"/>
    <w:rsid w:val="00C072D7"/>
    <w:rsid w:val="00C10302"/>
    <w:rsid w:val="00C104DB"/>
    <w:rsid w:val="00C10702"/>
    <w:rsid w:val="00C10A22"/>
    <w:rsid w:val="00C10F5B"/>
    <w:rsid w:val="00C1122B"/>
    <w:rsid w:val="00C127F2"/>
    <w:rsid w:val="00C13B34"/>
    <w:rsid w:val="00C13F26"/>
    <w:rsid w:val="00C144D7"/>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3570"/>
    <w:rsid w:val="00C24AD9"/>
    <w:rsid w:val="00C25978"/>
    <w:rsid w:val="00C261C6"/>
    <w:rsid w:val="00C26621"/>
    <w:rsid w:val="00C2662E"/>
    <w:rsid w:val="00C26B27"/>
    <w:rsid w:val="00C26E7C"/>
    <w:rsid w:val="00C276CD"/>
    <w:rsid w:val="00C27827"/>
    <w:rsid w:val="00C30A97"/>
    <w:rsid w:val="00C31BDD"/>
    <w:rsid w:val="00C31DDC"/>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6C9"/>
    <w:rsid w:val="00C56FC8"/>
    <w:rsid w:val="00C60F23"/>
    <w:rsid w:val="00C6170B"/>
    <w:rsid w:val="00C628DB"/>
    <w:rsid w:val="00C62EB2"/>
    <w:rsid w:val="00C63431"/>
    <w:rsid w:val="00C64C87"/>
    <w:rsid w:val="00C65414"/>
    <w:rsid w:val="00C6590A"/>
    <w:rsid w:val="00C65BE0"/>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758D"/>
    <w:rsid w:val="00CB7A3E"/>
    <w:rsid w:val="00CB7FF7"/>
    <w:rsid w:val="00CC0D0E"/>
    <w:rsid w:val="00CC1253"/>
    <w:rsid w:val="00CC19B3"/>
    <w:rsid w:val="00CC2044"/>
    <w:rsid w:val="00CC39D2"/>
    <w:rsid w:val="00CC55D6"/>
    <w:rsid w:val="00CC59B4"/>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14F"/>
    <w:rsid w:val="00CE2B1F"/>
    <w:rsid w:val="00CE2CC2"/>
    <w:rsid w:val="00CE3722"/>
    <w:rsid w:val="00CE449C"/>
    <w:rsid w:val="00CF0280"/>
    <w:rsid w:val="00CF095C"/>
    <w:rsid w:val="00CF158D"/>
    <w:rsid w:val="00CF2166"/>
    <w:rsid w:val="00CF4340"/>
    <w:rsid w:val="00CF4394"/>
    <w:rsid w:val="00CF48B4"/>
    <w:rsid w:val="00CF5C12"/>
    <w:rsid w:val="00CF7B72"/>
    <w:rsid w:val="00CF7FC0"/>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5062C"/>
    <w:rsid w:val="00D50AB9"/>
    <w:rsid w:val="00D50C8C"/>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77"/>
    <w:rsid w:val="00D67FD7"/>
    <w:rsid w:val="00D704E4"/>
    <w:rsid w:val="00D71A04"/>
    <w:rsid w:val="00D72410"/>
    <w:rsid w:val="00D73D53"/>
    <w:rsid w:val="00D7402C"/>
    <w:rsid w:val="00D7408A"/>
    <w:rsid w:val="00D74261"/>
    <w:rsid w:val="00D7441B"/>
    <w:rsid w:val="00D74D38"/>
    <w:rsid w:val="00D75589"/>
    <w:rsid w:val="00D76AB2"/>
    <w:rsid w:val="00D80129"/>
    <w:rsid w:val="00D80490"/>
    <w:rsid w:val="00D80503"/>
    <w:rsid w:val="00D828F9"/>
    <w:rsid w:val="00D829AD"/>
    <w:rsid w:val="00D82EE2"/>
    <w:rsid w:val="00D8352E"/>
    <w:rsid w:val="00D83746"/>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4F76"/>
    <w:rsid w:val="00D95984"/>
    <w:rsid w:val="00D95C64"/>
    <w:rsid w:val="00D9706F"/>
    <w:rsid w:val="00D972D4"/>
    <w:rsid w:val="00DA0614"/>
    <w:rsid w:val="00DA0FE3"/>
    <w:rsid w:val="00DA195B"/>
    <w:rsid w:val="00DA27F3"/>
    <w:rsid w:val="00DA2D1E"/>
    <w:rsid w:val="00DA3EC8"/>
    <w:rsid w:val="00DA40C1"/>
    <w:rsid w:val="00DA5564"/>
    <w:rsid w:val="00DA6B55"/>
    <w:rsid w:val="00DA6B97"/>
    <w:rsid w:val="00DA6CEE"/>
    <w:rsid w:val="00DA7997"/>
    <w:rsid w:val="00DB0015"/>
    <w:rsid w:val="00DB022E"/>
    <w:rsid w:val="00DB0359"/>
    <w:rsid w:val="00DB0ABB"/>
    <w:rsid w:val="00DB1D01"/>
    <w:rsid w:val="00DB2AAD"/>
    <w:rsid w:val="00DB44E2"/>
    <w:rsid w:val="00DB4A6D"/>
    <w:rsid w:val="00DB5941"/>
    <w:rsid w:val="00DB626D"/>
    <w:rsid w:val="00DB6365"/>
    <w:rsid w:val="00DB756C"/>
    <w:rsid w:val="00DC07B7"/>
    <w:rsid w:val="00DC0BF1"/>
    <w:rsid w:val="00DC11B7"/>
    <w:rsid w:val="00DC1607"/>
    <w:rsid w:val="00DC17F2"/>
    <w:rsid w:val="00DC4001"/>
    <w:rsid w:val="00DC41C3"/>
    <w:rsid w:val="00DC4842"/>
    <w:rsid w:val="00DC4A3C"/>
    <w:rsid w:val="00DC4FA4"/>
    <w:rsid w:val="00DC5028"/>
    <w:rsid w:val="00DC5B37"/>
    <w:rsid w:val="00DC6049"/>
    <w:rsid w:val="00DD286D"/>
    <w:rsid w:val="00DD2CAF"/>
    <w:rsid w:val="00DD3593"/>
    <w:rsid w:val="00DD462A"/>
    <w:rsid w:val="00DD5558"/>
    <w:rsid w:val="00DD6465"/>
    <w:rsid w:val="00DD64E0"/>
    <w:rsid w:val="00DD775C"/>
    <w:rsid w:val="00DD7BE0"/>
    <w:rsid w:val="00DE0C67"/>
    <w:rsid w:val="00DE1551"/>
    <w:rsid w:val="00DE3555"/>
    <w:rsid w:val="00DE3AAD"/>
    <w:rsid w:val="00DE598A"/>
    <w:rsid w:val="00DE5A80"/>
    <w:rsid w:val="00DE5EB5"/>
    <w:rsid w:val="00DE6952"/>
    <w:rsid w:val="00DE6FBE"/>
    <w:rsid w:val="00DE7A7D"/>
    <w:rsid w:val="00DE7E74"/>
    <w:rsid w:val="00DF071B"/>
    <w:rsid w:val="00DF2240"/>
    <w:rsid w:val="00DF3B06"/>
    <w:rsid w:val="00DF5C84"/>
    <w:rsid w:val="00DF5D3A"/>
    <w:rsid w:val="00DF5EC0"/>
    <w:rsid w:val="00DF650A"/>
    <w:rsid w:val="00DF6EF8"/>
    <w:rsid w:val="00DF6EFE"/>
    <w:rsid w:val="00DF70F4"/>
    <w:rsid w:val="00E00A69"/>
    <w:rsid w:val="00E017BC"/>
    <w:rsid w:val="00E017F0"/>
    <w:rsid w:val="00E01A0E"/>
    <w:rsid w:val="00E025FE"/>
    <w:rsid w:val="00E0346A"/>
    <w:rsid w:val="00E041E4"/>
    <w:rsid w:val="00E04AEE"/>
    <w:rsid w:val="00E06BBD"/>
    <w:rsid w:val="00E100E3"/>
    <w:rsid w:val="00E1012B"/>
    <w:rsid w:val="00E103C8"/>
    <w:rsid w:val="00E1085B"/>
    <w:rsid w:val="00E10FA5"/>
    <w:rsid w:val="00E1308B"/>
    <w:rsid w:val="00E14581"/>
    <w:rsid w:val="00E14623"/>
    <w:rsid w:val="00E15539"/>
    <w:rsid w:val="00E16541"/>
    <w:rsid w:val="00E17EC9"/>
    <w:rsid w:val="00E202F4"/>
    <w:rsid w:val="00E207C3"/>
    <w:rsid w:val="00E20C7C"/>
    <w:rsid w:val="00E212DF"/>
    <w:rsid w:val="00E21386"/>
    <w:rsid w:val="00E21647"/>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8A4"/>
    <w:rsid w:val="00E43F59"/>
    <w:rsid w:val="00E44B45"/>
    <w:rsid w:val="00E464F0"/>
    <w:rsid w:val="00E46D90"/>
    <w:rsid w:val="00E46EF3"/>
    <w:rsid w:val="00E47370"/>
    <w:rsid w:val="00E473B7"/>
    <w:rsid w:val="00E473E9"/>
    <w:rsid w:val="00E47B47"/>
    <w:rsid w:val="00E50BEB"/>
    <w:rsid w:val="00E523FB"/>
    <w:rsid w:val="00E53312"/>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437"/>
    <w:rsid w:val="00E7443D"/>
    <w:rsid w:val="00E75ACE"/>
    <w:rsid w:val="00E771AF"/>
    <w:rsid w:val="00E776A5"/>
    <w:rsid w:val="00E80386"/>
    <w:rsid w:val="00E807F1"/>
    <w:rsid w:val="00E809C3"/>
    <w:rsid w:val="00E814D4"/>
    <w:rsid w:val="00E81A1A"/>
    <w:rsid w:val="00E81C3E"/>
    <w:rsid w:val="00E82359"/>
    <w:rsid w:val="00E823F9"/>
    <w:rsid w:val="00E82B6D"/>
    <w:rsid w:val="00E83187"/>
    <w:rsid w:val="00E831E9"/>
    <w:rsid w:val="00E84DDA"/>
    <w:rsid w:val="00E8608F"/>
    <w:rsid w:val="00E86C1D"/>
    <w:rsid w:val="00E90703"/>
    <w:rsid w:val="00E90A62"/>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B77B1"/>
    <w:rsid w:val="00EC0E65"/>
    <w:rsid w:val="00EC1251"/>
    <w:rsid w:val="00EC1E0A"/>
    <w:rsid w:val="00EC2938"/>
    <w:rsid w:val="00EC337D"/>
    <w:rsid w:val="00EC38EF"/>
    <w:rsid w:val="00EC4849"/>
    <w:rsid w:val="00EC50C9"/>
    <w:rsid w:val="00EC58B4"/>
    <w:rsid w:val="00EC5BB2"/>
    <w:rsid w:val="00EC75AF"/>
    <w:rsid w:val="00ED05B1"/>
    <w:rsid w:val="00ED12F0"/>
    <w:rsid w:val="00ED2874"/>
    <w:rsid w:val="00ED290C"/>
    <w:rsid w:val="00ED2A6C"/>
    <w:rsid w:val="00ED4773"/>
    <w:rsid w:val="00ED4FF0"/>
    <w:rsid w:val="00ED5284"/>
    <w:rsid w:val="00ED664B"/>
    <w:rsid w:val="00ED6A61"/>
    <w:rsid w:val="00ED768E"/>
    <w:rsid w:val="00ED7820"/>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6451"/>
    <w:rsid w:val="00F07052"/>
    <w:rsid w:val="00F0706C"/>
    <w:rsid w:val="00F111B6"/>
    <w:rsid w:val="00F11EBE"/>
    <w:rsid w:val="00F12293"/>
    <w:rsid w:val="00F12BA8"/>
    <w:rsid w:val="00F12D7A"/>
    <w:rsid w:val="00F130D0"/>
    <w:rsid w:val="00F13AC6"/>
    <w:rsid w:val="00F14933"/>
    <w:rsid w:val="00F1516A"/>
    <w:rsid w:val="00F15483"/>
    <w:rsid w:val="00F15EE5"/>
    <w:rsid w:val="00F171F9"/>
    <w:rsid w:val="00F1737C"/>
    <w:rsid w:val="00F173AA"/>
    <w:rsid w:val="00F20DA4"/>
    <w:rsid w:val="00F22A26"/>
    <w:rsid w:val="00F2361E"/>
    <w:rsid w:val="00F24072"/>
    <w:rsid w:val="00F26432"/>
    <w:rsid w:val="00F3197A"/>
    <w:rsid w:val="00F32139"/>
    <w:rsid w:val="00F33CF0"/>
    <w:rsid w:val="00F33D56"/>
    <w:rsid w:val="00F34E08"/>
    <w:rsid w:val="00F41D6D"/>
    <w:rsid w:val="00F41D91"/>
    <w:rsid w:val="00F41F52"/>
    <w:rsid w:val="00F41FA1"/>
    <w:rsid w:val="00F42363"/>
    <w:rsid w:val="00F427A6"/>
    <w:rsid w:val="00F427C4"/>
    <w:rsid w:val="00F43AD6"/>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4312"/>
    <w:rsid w:val="00F65E1F"/>
    <w:rsid w:val="00F65ED5"/>
    <w:rsid w:val="00F6608B"/>
    <w:rsid w:val="00F6636A"/>
    <w:rsid w:val="00F667C5"/>
    <w:rsid w:val="00F67E31"/>
    <w:rsid w:val="00F70B44"/>
    <w:rsid w:val="00F71436"/>
    <w:rsid w:val="00F718A8"/>
    <w:rsid w:val="00F7207E"/>
    <w:rsid w:val="00F72183"/>
    <w:rsid w:val="00F75C12"/>
    <w:rsid w:val="00F764AF"/>
    <w:rsid w:val="00F76D01"/>
    <w:rsid w:val="00F80B43"/>
    <w:rsid w:val="00F80C97"/>
    <w:rsid w:val="00F81C35"/>
    <w:rsid w:val="00F82981"/>
    <w:rsid w:val="00F8311F"/>
    <w:rsid w:val="00F83248"/>
    <w:rsid w:val="00F83376"/>
    <w:rsid w:val="00F83FC8"/>
    <w:rsid w:val="00F853AE"/>
    <w:rsid w:val="00F90376"/>
    <w:rsid w:val="00F908D5"/>
    <w:rsid w:val="00F912A0"/>
    <w:rsid w:val="00F913B9"/>
    <w:rsid w:val="00F91B14"/>
    <w:rsid w:val="00F93C74"/>
    <w:rsid w:val="00F93DCC"/>
    <w:rsid w:val="00F93EA6"/>
    <w:rsid w:val="00F9435D"/>
    <w:rsid w:val="00F966F9"/>
    <w:rsid w:val="00F96F61"/>
    <w:rsid w:val="00F97740"/>
    <w:rsid w:val="00FA0C8F"/>
    <w:rsid w:val="00FA24F2"/>
    <w:rsid w:val="00FA2DEF"/>
    <w:rsid w:val="00FA2F7B"/>
    <w:rsid w:val="00FA3C90"/>
    <w:rsid w:val="00FA3C97"/>
    <w:rsid w:val="00FA3D30"/>
    <w:rsid w:val="00FA4B49"/>
    <w:rsid w:val="00FA54F8"/>
    <w:rsid w:val="00FA6CA9"/>
    <w:rsid w:val="00FA78C8"/>
    <w:rsid w:val="00FA7A2F"/>
    <w:rsid w:val="00FB00AD"/>
    <w:rsid w:val="00FB09FE"/>
    <w:rsid w:val="00FB0E80"/>
    <w:rsid w:val="00FB101D"/>
    <w:rsid w:val="00FB1725"/>
    <w:rsid w:val="00FB2493"/>
    <w:rsid w:val="00FB3573"/>
    <w:rsid w:val="00FB42B7"/>
    <w:rsid w:val="00FB4484"/>
    <w:rsid w:val="00FB593A"/>
    <w:rsid w:val="00FB6410"/>
    <w:rsid w:val="00FB6E82"/>
    <w:rsid w:val="00FB792E"/>
    <w:rsid w:val="00FB7CF0"/>
    <w:rsid w:val="00FC0042"/>
    <w:rsid w:val="00FC1E67"/>
    <w:rsid w:val="00FC2A13"/>
    <w:rsid w:val="00FC392B"/>
    <w:rsid w:val="00FC4284"/>
    <w:rsid w:val="00FC4576"/>
    <w:rsid w:val="00FC494C"/>
    <w:rsid w:val="00FC588D"/>
    <w:rsid w:val="00FC5FF5"/>
    <w:rsid w:val="00FC6285"/>
    <w:rsid w:val="00FC78FB"/>
    <w:rsid w:val="00FC7DBC"/>
    <w:rsid w:val="00FD06C4"/>
    <w:rsid w:val="00FD076A"/>
    <w:rsid w:val="00FD0AA0"/>
    <w:rsid w:val="00FD1D5A"/>
    <w:rsid w:val="00FD4B85"/>
    <w:rsid w:val="00FD5059"/>
    <w:rsid w:val="00FD554D"/>
    <w:rsid w:val="00FD5BCC"/>
    <w:rsid w:val="00FD5EB4"/>
    <w:rsid w:val="00FD5EB8"/>
    <w:rsid w:val="00FD6C2D"/>
    <w:rsid w:val="00FD7B23"/>
    <w:rsid w:val="00FE2A48"/>
    <w:rsid w:val="00FE2DEF"/>
    <w:rsid w:val="00FE323C"/>
    <w:rsid w:val="00FE3A27"/>
    <w:rsid w:val="00FE48A6"/>
    <w:rsid w:val="00FE5D0A"/>
    <w:rsid w:val="00FE6469"/>
    <w:rsid w:val="00FE7C22"/>
    <w:rsid w:val="00FE7C6D"/>
    <w:rsid w:val="00FE7EB9"/>
    <w:rsid w:val="00FF05D0"/>
    <w:rsid w:val="00FF06CE"/>
    <w:rsid w:val="00FF0D57"/>
    <w:rsid w:val="00FF0DC2"/>
    <w:rsid w:val="00FF0FF7"/>
    <w:rsid w:val="00FF1022"/>
    <w:rsid w:val="00FF10A2"/>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9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541748">
      <w:bodyDiv w:val="1"/>
      <w:marLeft w:val="0"/>
      <w:marRight w:val="0"/>
      <w:marTop w:val="0"/>
      <w:marBottom w:val="0"/>
      <w:divBdr>
        <w:top w:val="none" w:sz="0" w:space="0" w:color="auto"/>
        <w:left w:val="none" w:sz="0" w:space="0" w:color="auto"/>
        <w:bottom w:val="none" w:sz="0" w:space="0" w:color="auto"/>
        <w:right w:val="none" w:sz="0" w:space="0" w:color="auto"/>
      </w:divBdr>
    </w:div>
    <w:div w:id="771168789">
      <w:bodyDiv w:val="1"/>
      <w:marLeft w:val="0"/>
      <w:marRight w:val="0"/>
      <w:marTop w:val="0"/>
      <w:marBottom w:val="0"/>
      <w:divBdr>
        <w:top w:val="none" w:sz="0" w:space="0" w:color="auto"/>
        <w:left w:val="none" w:sz="0" w:space="0" w:color="auto"/>
        <w:bottom w:val="none" w:sz="0" w:space="0" w:color="auto"/>
        <w:right w:val="none" w:sz="0" w:space="0" w:color="auto"/>
      </w:divBdr>
    </w:div>
    <w:div w:id="1415592527">
      <w:bodyDiv w:val="1"/>
      <w:marLeft w:val="0"/>
      <w:marRight w:val="0"/>
      <w:marTop w:val="0"/>
      <w:marBottom w:val="0"/>
      <w:divBdr>
        <w:top w:val="none" w:sz="0" w:space="0" w:color="auto"/>
        <w:left w:val="none" w:sz="0" w:space="0" w:color="auto"/>
        <w:bottom w:val="none" w:sz="0" w:space="0" w:color="auto"/>
        <w:right w:val="none" w:sz="0" w:space="0" w:color="auto"/>
      </w:divBdr>
    </w:div>
    <w:div w:id="1647515348">
      <w:bodyDiv w:val="1"/>
      <w:marLeft w:val="0"/>
      <w:marRight w:val="0"/>
      <w:marTop w:val="0"/>
      <w:marBottom w:val="0"/>
      <w:divBdr>
        <w:top w:val="none" w:sz="0" w:space="0" w:color="auto"/>
        <w:left w:val="none" w:sz="0" w:space="0" w:color="auto"/>
        <w:bottom w:val="none" w:sz="0" w:space="0" w:color="auto"/>
        <w:right w:val="none" w:sz="0" w:space="0" w:color="auto"/>
      </w:divBdr>
    </w:div>
    <w:div w:id="2140881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2012-08-08T16:27:00Z</cp:lastPrinted>
  <dcterms:created xsi:type="dcterms:W3CDTF">2012-10-05T18:05:00Z</dcterms:created>
  <dcterms:modified xsi:type="dcterms:W3CDTF">2012-10-05T18:05:00Z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