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8608F1" w:rsidRDefault="00AD2379" w:rsidP="008608F1">
      <w:pPr>
        <w:tabs>
          <w:tab w:val="left" w:pos="288"/>
          <w:tab w:val="left" w:pos="4770"/>
        </w:tabs>
        <w:rPr>
          <w:color w:val="auto"/>
        </w:rPr>
      </w:pPr>
      <w:r w:rsidRPr="008608F1">
        <w:rPr>
          <w:color w:val="auto"/>
        </w:rPr>
        <w:t>RECORD OF PROCEEDINGS</w:t>
      </w:r>
    </w:p>
    <w:p w:rsidR="00AD2379" w:rsidRPr="008608F1" w:rsidRDefault="00AD2379" w:rsidP="008608F1">
      <w:pPr>
        <w:tabs>
          <w:tab w:val="left" w:pos="288"/>
          <w:tab w:val="left" w:pos="4752"/>
        </w:tabs>
        <w:rPr>
          <w:color w:val="auto"/>
        </w:rPr>
      </w:pPr>
      <w:r w:rsidRPr="008608F1">
        <w:rPr>
          <w:color w:val="auto"/>
        </w:rPr>
        <w:t>PHYSICAL DISABILITY BOARD OF REVIEW</w:t>
      </w:r>
    </w:p>
    <w:p w:rsidR="00AD2379" w:rsidRPr="008608F1" w:rsidRDefault="00AD2379" w:rsidP="008608F1">
      <w:pPr>
        <w:tabs>
          <w:tab w:val="left" w:pos="288"/>
          <w:tab w:val="left" w:pos="4752"/>
        </w:tabs>
        <w:jc w:val="both"/>
        <w:rPr>
          <w:caps/>
          <w:color w:val="auto"/>
        </w:rPr>
      </w:pPr>
    </w:p>
    <w:p w:rsidR="0095270D" w:rsidRPr="008608F1" w:rsidRDefault="0095270D" w:rsidP="00346691">
      <w:pPr>
        <w:tabs>
          <w:tab w:val="left" w:pos="6300"/>
          <w:tab w:val="right" w:pos="9360"/>
        </w:tabs>
        <w:jc w:val="both"/>
        <w:rPr>
          <w:caps/>
          <w:color w:val="auto"/>
        </w:rPr>
      </w:pPr>
      <w:r w:rsidRPr="008608F1">
        <w:rPr>
          <w:caps/>
          <w:color w:val="auto"/>
        </w:rPr>
        <w:t xml:space="preserve">NAME:  </w:t>
      </w:r>
      <w:r w:rsidR="0075455A">
        <w:rPr>
          <w:caps/>
          <w:color w:val="auto"/>
        </w:rPr>
        <w:t>XXXXXXXXXXXXXXXXX</w:t>
      </w:r>
      <w:r w:rsidR="00E82929" w:rsidRPr="008608F1">
        <w:rPr>
          <w:caps/>
          <w:color w:val="auto"/>
        </w:rPr>
        <w:t xml:space="preserve">                        </w:t>
      </w:r>
      <w:r w:rsidR="00346691">
        <w:rPr>
          <w:caps/>
          <w:color w:val="auto"/>
        </w:rPr>
        <w:t xml:space="preserve">                         </w:t>
      </w:r>
      <w:r w:rsidR="00346691">
        <w:rPr>
          <w:caps/>
          <w:color w:val="auto"/>
        </w:rPr>
        <w:tab/>
      </w:r>
      <w:r w:rsidR="00EE3CFB" w:rsidRPr="008608F1">
        <w:rPr>
          <w:caps/>
          <w:color w:val="auto"/>
        </w:rPr>
        <w:t xml:space="preserve">BRANCH OF SERVICE: </w:t>
      </w:r>
      <w:r w:rsidR="0018208F" w:rsidRPr="008608F1">
        <w:rPr>
          <w:caps/>
          <w:color w:val="auto"/>
        </w:rPr>
        <w:t xml:space="preserve"> </w:t>
      </w:r>
      <w:r w:rsidR="00DF70F4" w:rsidRPr="008608F1">
        <w:rPr>
          <w:caps/>
          <w:color w:val="auto"/>
        </w:rPr>
        <w:t xml:space="preserve">Army </w:t>
      </w:r>
    </w:p>
    <w:p w:rsidR="0095270D" w:rsidRPr="008608F1" w:rsidRDefault="0095270D" w:rsidP="00346691">
      <w:pPr>
        <w:tabs>
          <w:tab w:val="left" w:pos="6300"/>
          <w:tab w:val="right" w:pos="9360"/>
        </w:tabs>
        <w:jc w:val="both"/>
        <w:rPr>
          <w:color w:val="auto"/>
        </w:rPr>
      </w:pPr>
      <w:r w:rsidRPr="008608F1">
        <w:rPr>
          <w:caps/>
          <w:color w:val="auto"/>
        </w:rPr>
        <w:t>CASE NUMBER:  PD</w:t>
      </w:r>
      <w:r w:rsidR="00E82929" w:rsidRPr="008608F1">
        <w:rPr>
          <w:caps/>
          <w:color w:val="auto"/>
        </w:rPr>
        <w:t>1200065</w:t>
      </w:r>
      <w:r w:rsidR="00DD5558" w:rsidRPr="008608F1">
        <w:rPr>
          <w:color w:val="auto"/>
        </w:rPr>
        <w:tab/>
      </w:r>
      <w:r w:rsidR="0018208F" w:rsidRPr="008608F1">
        <w:rPr>
          <w:color w:val="auto"/>
        </w:rPr>
        <w:t>SE</w:t>
      </w:r>
      <w:r w:rsidRPr="008608F1">
        <w:rPr>
          <w:color w:val="auto"/>
        </w:rPr>
        <w:t>PARATION DATE:  200</w:t>
      </w:r>
      <w:r w:rsidR="00E82929" w:rsidRPr="008608F1">
        <w:rPr>
          <w:color w:val="auto"/>
        </w:rPr>
        <w:t>50413</w:t>
      </w:r>
    </w:p>
    <w:p w:rsidR="00AD2379" w:rsidRPr="008608F1" w:rsidRDefault="0095270D" w:rsidP="008608F1">
      <w:pPr>
        <w:pBdr>
          <w:bottom w:val="single" w:sz="12" w:space="1" w:color="auto"/>
        </w:pBdr>
        <w:tabs>
          <w:tab w:val="left" w:pos="288"/>
          <w:tab w:val="left" w:pos="4752"/>
        </w:tabs>
        <w:jc w:val="both"/>
        <w:rPr>
          <w:rFonts w:cs="Times New Roman"/>
          <w:caps/>
          <w:color w:val="auto"/>
        </w:rPr>
      </w:pPr>
      <w:r w:rsidRPr="008608F1">
        <w:rPr>
          <w:caps/>
          <w:color w:val="auto"/>
        </w:rPr>
        <w:t>BOARD DATE:  2012</w:t>
      </w:r>
      <w:r w:rsidR="0048591E" w:rsidRPr="008608F1">
        <w:rPr>
          <w:caps/>
          <w:color w:val="auto"/>
        </w:rPr>
        <w:t>1030</w:t>
      </w:r>
      <w:r w:rsidR="00532B33" w:rsidRPr="008608F1">
        <w:rPr>
          <w:caps/>
          <w:color w:val="auto"/>
        </w:rPr>
        <w:t xml:space="preserve">  </w:t>
      </w:r>
    </w:p>
    <w:p w:rsidR="0095270D" w:rsidRPr="008608F1" w:rsidRDefault="0095270D" w:rsidP="008608F1">
      <w:pPr>
        <w:pBdr>
          <w:bottom w:val="single" w:sz="12" w:space="1" w:color="auto"/>
        </w:pBdr>
        <w:tabs>
          <w:tab w:val="left" w:pos="288"/>
          <w:tab w:val="left" w:pos="4752"/>
        </w:tabs>
        <w:jc w:val="both"/>
        <w:rPr>
          <w:color w:val="auto"/>
        </w:rPr>
      </w:pPr>
    </w:p>
    <w:p w:rsidR="00AD2379" w:rsidRPr="008608F1" w:rsidRDefault="00AD2379" w:rsidP="008608F1">
      <w:pPr>
        <w:tabs>
          <w:tab w:val="left" w:pos="288"/>
          <w:tab w:val="left" w:pos="4752"/>
        </w:tabs>
        <w:jc w:val="both"/>
        <w:rPr>
          <w:color w:val="auto"/>
        </w:rPr>
      </w:pPr>
    </w:p>
    <w:p w:rsidR="00E82929" w:rsidRPr="008608F1" w:rsidRDefault="00AD2379" w:rsidP="008608F1">
      <w:pPr>
        <w:tabs>
          <w:tab w:val="left" w:pos="288"/>
          <w:tab w:val="left" w:pos="4752"/>
        </w:tabs>
        <w:jc w:val="both"/>
        <w:rPr>
          <w:color w:val="auto"/>
          <w:szCs w:val="24"/>
        </w:rPr>
      </w:pPr>
      <w:r w:rsidRPr="008608F1">
        <w:rPr>
          <w:color w:val="auto"/>
          <w:u w:val="single"/>
        </w:rPr>
        <w:t>SUMMARY OF CASE</w:t>
      </w:r>
      <w:r w:rsidRPr="008608F1">
        <w:rPr>
          <w:color w:val="auto"/>
        </w:rPr>
        <w:t>:</w:t>
      </w:r>
      <w:r w:rsidR="00532B33" w:rsidRPr="008608F1">
        <w:rPr>
          <w:color w:val="auto"/>
        </w:rPr>
        <w:t xml:space="preserve"> </w:t>
      </w:r>
      <w:r w:rsidR="008608F1">
        <w:rPr>
          <w:color w:val="auto"/>
        </w:rPr>
        <w:t xml:space="preserve"> </w:t>
      </w:r>
      <w:r w:rsidR="00E82929" w:rsidRPr="008608F1">
        <w:rPr>
          <w:color w:val="auto"/>
        </w:rPr>
        <w:t xml:space="preserve">Data extracted from the available evidence of record reflects that this covered individual (CI) was an active duty SSG/E-6 (31R30/Multi-Channel Signal Systems Operator/Maintainer), medically separated for </w:t>
      </w:r>
      <w:r w:rsidR="00D75F91">
        <w:rPr>
          <w:color w:val="auto"/>
        </w:rPr>
        <w:t>c</w:t>
      </w:r>
      <w:r w:rsidR="00097D70" w:rsidRPr="008608F1">
        <w:rPr>
          <w:color w:val="auto"/>
          <w:szCs w:val="24"/>
        </w:rPr>
        <w:t xml:space="preserve">hronic </w:t>
      </w:r>
      <w:r w:rsidR="00D75F91">
        <w:rPr>
          <w:color w:val="auto"/>
          <w:szCs w:val="24"/>
        </w:rPr>
        <w:t>l</w:t>
      </w:r>
      <w:r w:rsidR="00097D70" w:rsidRPr="008608F1">
        <w:rPr>
          <w:color w:val="auto"/>
          <w:szCs w:val="24"/>
        </w:rPr>
        <w:t xml:space="preserve">eft </w:t>
      </w:r>
      <w:r w:rsidR="00D75F91">
        <w:rPr>
          <w:color w:val="auto"/>
          <w:szCs w:val="24"/>
        </w:rPr>
        <w:t>k</w:t>
      </w:r>
      <w:r w:rsidR="00097D70" w:rsidRPr="008608F1">
        <w:rPr>
          <w:color w:val="auto"/>
          <w:szCs w:val="24"/>
        </w:rPr>
        <w:t xml:space="preserve">nee </w:t>
      </w:r>
      <w:r w:rsidR="00D75F91">
        <w:rPr>
          <w:color w:val="auto"/>
          <w:szCs w:val="24"/>
        </w:rPr>
        <w:t>p</w:t>
      </w:r>
      <w:r w:rsidR="00097D70" w:rsidRPr="008608F1">
        <w:rPr>
          <w:color w:val="auto"/>
          <w:szCs w:val="24"/>
        </w:rPr>
        <w:t xml:space="preserve">ain, </w:t>
      </w:r>
      <w:r w:rsidR="00D75F91">
        <w:rPr>
          <w:color w:val="auto"/>
          <w:szCs w:val="24"/>
        </w:rPr>
        <w:t>s</w:t>
      </w:r>
      <w:r w:rsidR="00097D70" w:rsidRPr="008608F1">
        <w:rPr>
          <w:color w:val="auto"/>
          <w:szCs w:val="24"/>
        </w:rPr>
        <w:t xml:space="preserve">tatus </w:t>
      </w:r>
      <w:r w:rsidR="00D75F91">
        <w:rPr>
          <w:color w:val="auto"/>
          <w:szCs w:val="24"/>
        </w:rPr>
        <w:t>p</w:t>
      </w:r>
      <w:r w:rsidR="00097D70" w:rsidRPr="008608F1">
        <w:rPr>
          <w:color w:val="auto"/>
          <w:szCs w:val="24"/>
        </w:rPr>
        <w:t>ost</w:t>
      </w:r>
      <w:r w:rsidR="00D75F91">
        <w:rPr>
          <w:color w:val="auto"/>
          <w:szCs w:val="24"/>
        </w:rPr>
        <w:t xml:space="preserve"> </w:t>
      </w:r>
      <w:r w:rsidR="00097D70" w:rsidRPr="008608F1">
        <w:rPr>
          <w:color w:val="auto"/>
          <w:szCs w:val="24"/>
        </w:rPr>
        <w:t xml:space="preserve">(S/P) </w:t>
      </w:r>
      <w:r w:rsidR="00D75F91">
        <w:rPr>
          <w:color w:val="auto"/>
          <w:szCs w:val="24"/>
        </w:rPr>
        <w:t>m</w:t>
      </w:r>
      <w:r w:rsidR="00097D70" w:rsidRPr="008608F1">
        <w:rPr>
          <w:color w:val="auto"/>
          <w:szCs w:val="24"/>
        </w:rPr>
        <w:t xml:space="preserve">eniscal </w:t>
      </w:r>
      <w:r w:rsidR="00D75F91">
        <w:rPr>
          <w:color w:val="auto"/>
          <w:szCs w:val="24"/>
        </w:rPr>
        <w:t>r</w:t>
      </w:r>
      <w:r w:rsidR="00097D70" w:rsidRPr="008608F1">
        <w:rPr>
          <w:color w:val="auto"/>
          <w:szCs w:val="24"/>
        </w:rPr>
        <w:t xml:space="preserve">epair and </w:t>
      </w:r>
      <w:r w:rsidR="00D75F91">
        <w:rPr>
          <w:color w:val="auto"/>
          <w:szCs w:val="24"/>
        </w:rPr>
        <w:t>r</w:t>
      </w:r>
      <w:r w:rsidR="00097D70" w:rsidRPr="008608F1">
        <w:rPr>
          <w:color w:val="auto"/>
          <w:szCs w:val="24"/>
        </w:rPr>
        <w:t xml:space="preserve">epair of </w:t>
      </w:r>
      <w:r w:rsidR="00D75F91">
        <w:rPr>
          <w:color w:val="auto"/>
          <w:szCs w:val="24"/>
        </w:rPr>
        <w:t>p</w:t>
      </w:r>
      <w:r w:rsidR="00097D70" w:rsidRPr="008608F1">
        <w:rPr>
          <w:color w:val="auto"/>
          <w:szCs w:val="24"/>
        </w:rPr>
        <w:t xml:space="preserve">artial </w:t>
      </w:r>
      <w:r w:rsidR="00D75F91">
        <w:rPr>
          <w:color w:val="auto"/>
          <w:szCs w:val="24"/>
        </w:rPr>
        <w:t>te</w:t>
      </w:r>
      <w:r w:rsidR="00097D70" w:rsidRPr="008608F1">
        <w:rPr>
          <w:color w:val="auto"/>
          <w:szCs w:val="24"/>
        </w:rPr>
        <w:t xml:space="preserve">ar of </w:t>
      </w:r>
      <w:r w:rsidR="00D75F91">
        <w:rPr>
          <w:color w:val="auto"/>
          <w:szCs w:val="24"/>
        </w:rPr>
        <w:t>p</w:t>
      </w:r>
      <w:r w:rsidR="00097D70" w:rsidRPr="008608F1">
        <w:rPr>
          <w:color w:val="auto"/>
          <w:szCs w:val="24"/>
        </w:rPr>
        <w:t xml:space="preserve">atellar </w:t>
      </w:r>
      <w:r w:rsidR="00D75F91">
        <w:rPr>
          <w:color w:val="auto"/>
          <w:szCs w:val="24"/>
        </w:rPr>
        <w:t>t</w:t>
      </w:r>
      <w:r w:rsidR="00097D70" w:rsidRPr="008608F1">
        <w:rPr>
          <w:color w:val="auto"/>
          <w:szCs w:val="24"/>
        </w:rPr>
        <w:t>endon</w:t>
      </w:r>
      <w:r w:rsidR="00E82929" w:rsidRPr="008608F1">
        <w:rPr>
          <w:color w:val="auto"/>
          <w:szCs w:val="24"/>
        </w:rPr>
        <w:t xml:space="preserve">.  </w:t>
      </w:r>
      <w:r w:rsidR="007818E0" w:rsidRPr="008608F1">
        <w:rPr>
          <w:color w:val="auto"/>
          <w:szCs w:val="24"/>
        </w:rPr>
        <w:t>The CI injured his left knee while on a platoon run at F</w:t>
      </w:r>
      <w:r w:rsidR="00827310">
        <w:rPr>
          <w:color w:val="auto"/>
          <w:szCs w:val="24"/>
        </w:rPr>
        <w:t>t.</w:t>
      </w:r>
      <w:r w:rsidR="007818E0" w:rsidRPr="008608F1">
        <w:rPr>
          <w:color w:val="auto"/>
          <w:szCs w:val="24"/>
        </w:rPr>
        <w:t xml:space="preserve"> Gordon</w:t>
      </w:r>
      <w:r w:rsidR="00827310">
        <w:rPr>
          <w:color w:val="auto"/>
          <w:szCs w:val="24"/>
        </w:rPr>
        <w:t>, GA</w:t>
      </w:r>
      <w:r w:rsidR="007818E0" w:rsidRPr="008608F1">
        <w:rPr>
          <w:color w:val="auto"/>
          <w:szCs w:val="24"/>
        </w:rPr>
        <w:t xml:space="preserve"> and continued with swelling and aching. </w:t>
      </w:r>
      <w:r w:rsidR="005E5693" w:rsidRPr="008608F1">
        <w:rPr>
          <w:color w:val="auto"/>
          <w:szCs w:val="24"/>
        </w:rPr>
        <w:t xml:space="preserve"> </w:t>
      </w:r>
      <w:r w:rsidR="009D2134" w:rsidRPr="008608F1">
        <w:rPr>
          <w:color w:val="auto"/>
          <w:szCs w:val="24"/>
        </w:rPr>
        <w:t xml:space="preserve">Despite undergoing two left knee diagnostic arthroscopies, </w:t>
      </w:r>
      <w:r w:rsidR="00D75F91">
        <w:rPr>
          <w:color w:val="auto"/>
          <w:szCs w:val="24"/>
        </w:rPr>
        <w:t>p</w:t>
      </w:r>
      <w:r w:rsidR="009D2134" w:rsidRPr="008608F1">
        <w:rPr>
          <w:color w:val="auto"/>
          <w:szCs w:val="24"/>
        </w:rPr>
        <w:t xml:space="preserve">hysical </w:t>
      </w:r>
      <w:r w:rsidR="00D75F91">
        <w:rPr>
          <w:color w:val="auto"/>
          <w:szCs w:val="24"/>
        </w:rPr>
        <w:t>t</w:t>
      </w:r>
      <w:r w:rsidR="009D2134" w:rsidRPr="008608F1">
        <w:rPr>
          <w:color w:val="auto"/>
          <w:szCs w:val="24"/>
        </w:rPr>
        <w:t>herapy (PT), using crutches, wearing a hinged knee brace</w:t>
      </w:r>
      <w:r w:rsidR="00F5317B" w:rsidRPr="008608F1">
        <w:rPr>
          <w:color w:val="auto"/>
          <w:szCs w:val="24"/>
        </w:rPr>
        <w:t>; a</w:t>
      </w:r>
      <w:r w:rsidR="004E5414" w:rsidRPr="008608F1">
        <w:rPr>
          <w:color w:val="auto"/>
          <w:szCs w:val="24"/>
        </w:rPr>
        <w:t xml:space="preserve"> series of four steroid injections and </w:t>
      </w:r>
      <w:r w:rsidR="009D2134" w:rsidRPr="008608F1">
        <w:rPr>
          <w:color w:val="auto"/>
          <w:szCs w:val="24"/>
        </w:rPr>
        <w:t xml:space="preserve">taking medications, the CI failed </w:t>
      </w:r>
      <w:r w:rsidR="009D2134" w:rsidRPr="008608F1">
        <w:rPr>
          <w:color w:val="auto"/>
        </w:rPr>
        <w:t xml:space="preserve">to </w:t>
      </w:r>
      <w:r w:rsidR="00E82929" w:rsidRPr="008608F1">
        <w:rPr>
          <w:color w:val="auto"/>
        </w:rPr>
        <w:t xml:space="preserve">meet the physical requirements of his Military Occupational Specialty (MOS) or satisfy physical fitness standards. </w:t>
      </w:r>
      <w:r w:rsidR="005E5693" w:rsidRPr="008608F1">
        <w:rPr>
          <w:color w:val="auto"/>
        </w:rPr>
        <w:t xml:space="preserve"> </w:t>
      </w:r>
      <w:r w:rsidR="009D2134" w:rsidRPr="008608F1">
        <w:rPr>
          <w:color w:val="auto"/>
        </w:rPr>
        <w:t>The</w:t>
      </w:r>
      <w:r w:rsidR="00E82929" w:rsidRPr="008608F1">
        <w:rPr>
          <w:color w:val="auto"/>
        </w:rPr>
        <w:t xml:space="preserve"> </w:t>
      </w:r>
      <w:r w:rsidR="009D2134" w:rsidRPr="008608F1">
        <w:rPr>
          <w:color w:val="auto"/>
        </w:rPr>
        <w:t xml:space="preserve">CI </w:t>
      </w:r>
      <w:r w:rsidR="00D64A18" w:rsidRPr="008608F1">
        <w:rPr>
          <w:color w:val="auto"/>
        </w:rPr>
        <w:t>was issued a permanent U2/</w:t>
      </w:r>
      <w:r w:rsidR="00E82929" w:rsidRPr="008608F1">
        <w:rPr>
          <w:color w:val="auto"/>
        </w:rPr>
        <w:t>L3 profile and referred for a M</w:t>
      </w:r>
      <w:r w:rsidR="00346691">
        <w:rPr>
          <w:color w:val="auto"/>
        </w:rPr>
        <w:t xml:space="preserve">edical Evaluation Board (MEB).  </w:t>
      </w:r>
      <w:r w:rsidR="00097D70" w:rsidRPr="008608F1">
        <w:rPr>
          <w:color w:val="auto"/>
        </w:rPr>
        <w:t xml:space="preserve">Chronic </w:t>
      </w:r>
      <w:r w:rsidR="00D75F91">
        <w:rPr>
          <w:color w:val="auto"/>
        </w:rPr>
        <w:t>p</w:t>
      </w:r>
      <w:r w:rsidR="00097D70" w:rsidRPr="008608F1">
        <w:rPr>
          <w:color w:val="auto"/>
        </w:rPr>
        <w:t xml:space="preserve">ain in the </w:t>
      </w:r>
      <w:r w:rsidR="00D75F91">
        <w:rPr>
          <w:color w:val="auto"/>
        </w:rPr>
        <w:t>l</w:t>
      </w:r>
      <w:r w:rsidR="00097D70" w:rsidRPr="008608F1">
        <w:rPr>
          <w:color w:val="auto"/>
        </w:rPr>
        <w:t xml:space="preserve">eft </w:t>
      </w:r>
      <w:r w:rsidR="00D75F91">
        <w:rPr>
          <w:color w:val="auto"/>
        </w:rPr>
        <w:t>h</w:t>
      </w:r>
      <w:r w:rsidR="00097D70" w:rsidRPr="008608F1">
        <w:rPr>
          <w:color w:val="auto"/>
        </w:rPr>
        <w:t xml:space="preserve">and and </w:t>
      </w:r>
      <w:r w:rsidR="00D75F91">
        <w:rPr>
          <w:color w:val="auto"/>
        </w:rPr>
        <w:t>l</w:t>
      </w:r>
      <w:r w:rsidR="00097D70" w:rsidRPr="008608F1">
        <w:rPr>
          <w:color w:val="auto"/>
        </w:rPr>
        <w:t xml:space="preserve">eft </w:t>
      </w:r>
      <w:r w:rsidR="00D75F91">
        <w:rPr>
          <w:color w:val="auto"/>
        </w:rPr>
        <w:t>w</w:t>
      </w:r>
      <w:r w:rsidR="00097D70" w:rsidRPr="008608F1">
        <w:rPr>
          <w:color w:val="auto"/>
        </w:rPr>
        <w:t xml:space="preserve">rist S/P </w:t>
      </w:r>
      <w:r w:rsidR="00D75F91">
        <w:rPr>
          <w:color w:val="auto"/>
        </w:rPr>
        <w:t>i</w:t>
      </w:r>
      <w:r w:rsidR="009D2134" w:rsidRPr="008608F1">
        <w:rPr>
          <w:color w:val="auto"/>
        </w:rPr>
        <w:t>ncision</w:t>
      </w:r>
      <w:r w:rsidR="00E82929" w:rsidRPr="008608F1">
        <w:rPr>
          <w:color w:val="auto"/>
        </w:rPr>
        <w:t xml:space="preserve"> and </w:t>
      </w:r>
      <w:r w:rsidR="00D75F91">
        <w:rPr>
          <w:color w:val="auto"/>
        </w:rPr>
        <w:t>d</w:t>
      </w:r>
      <w:r w:rsidR="009D2134" w:rsidRPr="008608F1">
        <w:rPr>
          <w:color w:val="auto"/>
        </w:rPr>
        <w:t>rainage (I and D)</w:t>
      </w:r>
      <w:r w:rsidR="00E82929" w:rsidRPr="008608F1">
        <w:rPr>
          <w:color w:val="auto"/>
        </w:rPr>
        <w:t xml:space="preserve"> of infection of the left wrist and hand and fractures of left wrist bones </w:t>
      </w:r>
      <w:r w:rsidR="00346691">
        <w:rPr>
          <w:color w:val="auto"/>
        </w:rPr>
        <w:t xml:space="preserve">were also identified and forwarded by the MEB </w:t>
      </w:r>
      <w:r w:rsidR="00DE69B5" w:rsidRPr="008608F1">
        <w:rPr>
          <w:color w:val="auto"/>
        </w:rPr>
        <w:t xml:space="preserve">as a single medically acceptable </w:t>
      </w:r>
      <w:r w:rsidR="00E82929" w:rsidRPr="008608F1">
        <w:rPr>
          <w:color w:val="auto"/>
        </w:rPr>
        <w:t>condition</w:t>
      </w:r>
      <w:r w:rsidR="009D2134" w:rsidRPr="008608F1">
        <w:rPr>
          <w:color w:val="auto"/>
        </w:rPr>
        <w:t xml:space="preserve"> to the Physical Evaluation Board</w:t>
      </w:r>
      <w:r w:rsidR="007818E0" w:rsidRPr="008608F1">
        <w:rPr>
          <w:color w:val="auto"/>
        </w:rPr>
        <w:t xml:space="preserve"> </w:t>
      </w:r>
      <w:r w:rsidR="009D2134" w:rsidRPr="008608F1">
        <w:rPr>
          <w:color w:val="auto"/>
        </w:rPr>
        <w:t>(PEB).</w:t>
      </w:r>
      <w:r w:rsidR="00E82929" w:rsidRPr="008608F1">
        <w:rPr>
          <w:color w:val="auto"/>
        </w:rPr>
        <w:t xml:space="preserve"> </w:t>
      </w:r>
      <w:r w:rsidR="005E5693" w:rsidRPr="008608F1">
        <w:rPr>
          <w:color w:val="auto"/>
          <w:szCs w:val="24"/>
        </w:rPr>
        <w:t xml:space="preserve"> </w:t>
      </w:r>
      <w:r w:rsidR="00E82929" w:rsidRPr="008608F1">
        <w:rPr>
          <w:color w:val="auto"/>
        </w:rPr>
        <w:t xml:space="preserve">The PEB adjudicated the </w:t>
      </w:r>
      <w:r w:rsidR="00D75F91" w:rsidRPr="00D75F91">
        <w:rPr>
          <w:color w:val="auto"/>
          <w:szCs w:val="24"/>
        </w:rPr>
        <w:t>chronic left knee pain</w:t>
      </w:r>
      <w:r w:rsidR="00D75F91">
        <w:rPr>
          <w:color w:val="auto"/>
          <w:szCs w:val="24"/>
        </w:rPr>
        <w:t xml:space="preserve"> </w:t>
      </w:r>
      <w:r w:rsidR="00D75F91" w:rsidRPr="00D75F91">
        <w:rPr>
          <w:color w:val="auto"/>
          <w:szCs w:val="24"/>
        </w:rPr>
        <w:t>S/P meniscal repair and repair of partial tear of patellar tendon</w:t>
      </w:r>
      <w:r w:rsidR="00E82929" w:rsidRPr="008608F1">
        <w:rPr>
          <w:color w:val="auto"/>
        </w:rPr>
        <w:t xml:space="preserve"> condition as unfitting, rated 10%, with </w:t>
      </w:r>
      <w:r w:rsidR="002452CF" w:rsidRPr="008608F1">
        <w:rPr>
          <w:color w:val="auto"/>
        </w:rPr>
        <w:t>specified</w:t>
      </w:r>
      <w:r w:rsidR="00F13E2E" w:rsidRPr="008608F1">
        <w:rPr>
          <w:color w:val="auto"/>
        </w:rPr>
        <w:t xml:space="preserve"> </w:t>
      </w:r>
      <w:r w:rsidR="00E82929" w:rsidRPr="008608F1">
        <w:rPr>
          <w:color w:val="auto"/>
        </w:rPr>
        <w:t xml:space="preserve">application of the </w:t>
      </w:r>
      <w:r w:rsidR="00E82929" w:rsidRPr="008608F1">
        <w:rPr>
          <w:color w:val="auto"/>
          <w:szCs w:val="24"/>
        </w:rPr>
        <w:t>US Army Physical Disability Agency (USAPDA) pain policy</w:t>
      </w:r>
      <w:r w:rsidR="00A15EA6" w:rsidRPr="008608F1">
        <w:rPr>
          <w:color w:val="auto"/>
          <w:szCs w:val="24"/>
        </w:rPr>
        <w:t>.</w:t>
      </w:r>
      <w:r w:rsidR="00E82929" w:rsidRPr="008608F1">
        <w:rPr>
          <w:color w:val="auto"/>
        </w:rPr>
        <w:t xml:space="preserve"> </w:t>
      </w:r>
      <w:r w:rsidR="008608F1">
        <w:rPr>
          <w:color w:val="auto"/>
        </w:rPr>
        <w:t xml:space="preserve"> </w:t>
      </w:r>
      <w:r w:rsidR="00E82929" w:rsidRPr="008608F1">
        <w:rPr>
          <w:color w:val="auto"/>
        </w:rPr>
        <w:t xml:space="preserve">The remaining </w:t>
      </w:r>
      <w:r w:rsidR="009D2134" w:rsidRPr="008608F1">
        <w:rPr>
          <w:color w:val="auto"/>
        </w:rPr>
        <w:t xml:space="preserve">left wrist and hand and </w:t>
      </w:r>
      <w:r w:rsidR="00F5317B" w:rsidRPr="008608F1">
        <w:rPr>
          <w:color w:val="auto"/>
        </w:rPr>
        <w:t>fracture of left wrist bones condition was</w:t>
      </w:r>
      <w:r w:rsidR="00E82929" w:rsidRPr="008608F1">
        <w:rPr>
          <w:color w:val="auto"/>
        </w:rPr>
        <w:t xml:space="preserve"> determined to be not unfitting and not rat</w:t>
      </w:r>
      <w:r w:rsidR="00346691">
        <w:rPr>
          <w:color w:val="auto"/>
        </w:rPr>
        <w:t>able</w:t>
      </w:r>
      <w:r w:rsidR="00E82929" w:rsidRPr="008608F1">
        <w:rPr>
          <w:color w:val="auto"/>
        </w:rPr>
        <w:t xml:space="preserve">.  The CI made no appeals and was medically separated with a 10% disability rating.  </w:t>
      </w:r>
    </w:p>
    <w:p w:rsidR="00E82929" w:rsidRPr="008608F1" w:rsidRDefault="00E82929" w:rsidP="008608F1">
      <w:pPr>
        <w:pBdr>
          <w:bottom w:val="single" w:sz="12" w:space="1" w:color="auto"/>
        </w:pBdr>
        <w:tabs>
          <w:tab w:val="left" w:pos="288"/>
          <w:tab w:val="left" w:pos="4752"/>
        </w:tabs>
        <w:jc w:val="both"/>
        <w:rPr>
          <w:color w:val="auto"/>
        </w:rPr>
      </w:pPr>
    </w:p>
    <w:p w:rsidR="00042978" w:rsidRPr="008608F1" w:rsidRDefault="00042978" w:rsidP="008608F1">
      <w:pPr>
        <w:tabs>
          <w:tab w:val="left" w:pos="288"/>
          <w:tab w:val="left" w:pos="4752"/>
        </w:tabs>
        <w:jc w:val="both"/>
        <w:rPr>
          <w:color w:val="auto"/>
        </w:rPr>
      </w:pPr>
    </w:p>
    <w:p w:rsidR="00E82929" w:rsidRPr="008608F1" w:rsidRDefault="00AD2379" w:rsidP="008608F1">
      <w:pPr>
        <w:tabs>
          <w:tab w:val="left" w:pos="288"/>
          <w:tab w:val="left" w:pos="4752"/>
        </w:tabs>
        <w:jc w:val="both"/>
        <w:rPr>
          <w:rFonts w:eastAsia="Cambria"/>
          <w:color w:val="auto"/>
          <w:szCs w:val="24"/>
        </w:rPr>
      </w:pPr>
      <w:r w:rsidRPr="008608F1">
        <w:rPr>
          <w:color w:val="auto"/>
          <w:u w:val="single"/>
        </w:rPr>
        <w:t>CI CONTENTION</w:t>
      </w:r>
      <w:r w:rsidRPr="008608F1">
        <w:rPr>
          <w:color w:val="auto"/>
        </w:rPr>
        <w:t>:</w:t>
      </w:r>
      <w:r w:rsidR="0066684A" w:rsidRPr="008608F1">
        <w:rPr>
          <w:color w:val="auto"/>
        </w:rPr>
        <w:t xml:space="preserve"> </w:t>
      </w:r>
      <w:r w:rsidR="006F674E" w:rsidRPr="008608F1">
        <w:rPr>
          <w:color w:val="auto"/>
        </w:rPr>
        <w:t xml:space="preserve"> </w:t>
      </w:r>
      <w:r w:rsidR="00E82929" w:rsidRPr="008608F1">
        <w:rPr>
          <w:color w:val="auto"/>
        </w:rPr>
        <w:t>“Since being released from the military with a 10% rating for my left knee other conditions that had happened on Active Duty have caused me to have further surgery’s</w:t>
      </w:r>
      <w:r w:rsidR="00346691">
        <w:rPr>
          <w:color w:val="auto"/>
        </w:rPr>
        <w:t xml:space="preserve"> (sic)</w:t>
      </w:r>
      <w:r w:rsidR="00E82929" w:rsidRPr="008608F1">
        <w:rPr>
          <w:color w:val="auto"/>
        </w:rPr>
        <w:t xml:space="preserve"> and placed on pain medications and Psych medication.  At the time of my medical discharge their (sic) was no such thing as the </w:t>
      </w:r>
      <w:r w:rsidR="00E82929" w:rsidRPr="008608F1">
        <w:rPr>
          <w:color w:val="auto"/>
          <w:u w:val="single"/>
        </w:rPr>
        <w:t>WTU.</w:t>
      </w:r>
      <w:r w:rsidR="00E82929" w:rsidRPr="008608F1">
        <w:rPr>
          <w:color w:val="auto"/>
        </w:rPr>
        <w:t xml:space="preserve">  I was only evaluated for my left knee nothing else was taken into consideration.  I have been granted the full 100% from the VA and I am also 100% through Social Security.  Social Security also used my medical records fro</w:t>
      </w:r>
      <w:r w:rsidR="002E498A">
        <w:rPr>
          <w:color w:val="auto"/>
        </w:rPr>
        <w:t xml:space="preserve">m the VA for their findings.”  </w:t>
      </w:r>
    </w:p>
    <w:p w:rsidR="004306E0" w:rsidRPr="008608F1" w:rsidRDefault="004306E0" w:rsidP="008608F1">
      <w:pPr>
        <w:pBdr>
          <w:bottom w:val="single" w:sz="12" w:space="1" w:color="auto"/>
        </w:pBdr>
        <w:tabs>
          <w:tab w:val="left" w:pos="288"/>
          <w:tab w:val="left" w:pos="4752"/>
        </w:tabs>
        <w:jc w:val="both"/>
        <w:rPr>
          <w:color w:val="auto"/>
        </w:rPr>
      </w:pPr>
    </w:p>
    <w:p w:rsidR="007635A8" w:rsidRPr="008608F1" w:rsidRDefault="007635A8" w:rsidP="008608F1">
      <w:pPr>
        <w:jc w:val="both"/>
        <w:rPr>
          <w:color w:val="auto"/>
          <w:u w:val="single"/>
        </w:rPr>
      </w:pPr>
    </w:p>
    <w:p w:rsidR="000B63CF" w:rsidRPr="008608F1" w:rsidRDefault="009239C0" w:rsidP="008608F1">
      <w:pPr>
        <w:jc w:val="both"/>
        <w:rPr>
          <w:color w:val="auto"/>
        </w:rPr>
      </w:pPr>
      <w:r w:rsidRPr="008608F1">
        <w:rPr>
          <w:color w:val="auto"/>
          <w:u w:val="single"/>
        </w:rPr>
        <w:t>SCOPE OF REVIEW</w:t>
      </w:r>
      <w:r w:rsidRPr="008608F1">
        <w:rPr>
          <w:color w:val="auto"/>
        </w:rPr>
        <w:t xml:space="preserve">:  </w:t>
      </w:r>
      <w:r w:rsidR="00E82929" w:rsidRPr="008608F1">
        <w:rPr>
          <w:color w:val="auto"/>
        </w:rPr>
        <w:t xml:space="preserve">The Board wishes to clarify that the scope of its review as defined in </w:t>
      </w:r>
      <w:r w:rsidR="00D75F91">
        <w:rPr>
          <w:color w:val="auto"/>
        </w:rPr>
        <w:t>the Department of Defense Instruction (</w:t>
      </w:r>
      <w:r w:rsidR="00E82929" w:rsidRPr="008608F1">
        <w:rPr>
          <w:color w:val="auto"/>
        </w:rPr>
        <w:t>DoDI</w:t>
      </w:r>
      <w:r w:rsidR="00D75F91">
        <w:rPr>
          <w:color w:val="auto"/>
        </w:rPr>
        <w:t>)</w:t>
      </w:r>
      <w:r w:rsidR="00E82929" w:rsidRPr="008608F1">
        <w:rPr>
          <w:color w:val="auto"/>
        </w:rPr>
        <w:t xml:space="preserve"> 6040.44, Enclosure 3, paragraph 5.e</w:t>
      </w:r>
      <w:r w:rsidR="00F5317B" w:rsidRPr="008608F1">
        <w:rPr>
          <w:color w:val="auto"/>
        </w:rPr>
        <w:t>. (</w:t>
      </w:r>
      <w:r w:rsidR="00E82929" w:rsidRPr="008608F1">
        <w:rPr>
          <w:color w:val="auto"/>
        </w:rPr>
        <w:t xml:space="preserve">2) is limited to those conditions which were determined by the PEB to be specifically unfitting for continued military service; or, when requested by the CI, those condition(s) “identified but not determined to be unfitting by the PEB.”  The ratings for unfitting conditions will be reviewed in all cases.  The chronic pain in the left hand and left wrist condition requested for consideration and the unfitting </w:t>
      </w:r>
      <w:r w:rsidR="00E82929" w:rsidRPr="008608F1">
        <w:rPr>
          <w:color w:val="auto"/>
          <w:szCs w:val="24"/>
        </w:rPr>
        <w:t>chronic left knee pain, status post meniscal repair and repair of partial tear of patellar tendon</w:t>
      </w:r>
      <w:r w:rsidR="00E82929" w:rsidRPr="008608F1">
        <w:rPr>
          <w:color w:val="auto"/>
        </w:rPr>
        <w:t xml:space="preserve"> condition meet the criteria prescribed in DoDI 6040.44 for Board purview, and are accordingly addressed below. </w:t>
      </w:r>
      <w:r w:rsidR="00D75F91">
        <w:rPr>
          <w:color w:val="auto"/>
        </w:rPr>
        <w:t xml:space="preserve"> </w:t>
      </w:r>
      <w:r w:rsidR="00346691">
        <w:rPr>
          <w:color w:val="auto"/>
        </w:rPr>
        <w:t>The other requested conditions (</w:t>
      </w:r>
      <w:r w:rsidR="00E82929" w:rsidRPr="008608F1">
        <w:rPr>
          <w:color w:val="auto"/>
        </w:rPr>
        <w:t>the remaining conditions rated by the VA at separation</w:t>
      </w:r>
      <w:r w:rsidR="00346691">
        <w:rPr>
          <w:color w:val="auto"/>
        </w:rPr>
        <w:t>)</w:t>
      </w:r>
      <w:r w:rsidR="00E82929" w:rsidRPr="008608F1">
        <w:rPr>
          <w:color w:val="auto"/>
        </w:rPr>
        <w:t xml:space="preserve"> are not within the Board’s purview.  Any conditions or contention not requested in this application, or otherwise outside the Board’s defined scope of review, remain eligible for future consideration by the Army Board for Correction of Military </w:t>
      </w:r>
      <w:r w:rsidR="00D75F91">
        <w:rPr>
          <w:color w:val="auto"/>
        </w:rPr>
        <w:t>Records</w:t>
      </w:r>
      <w:r w:rsidR="00E82929" w:rsidRPr="008608F1">
        <w:rPr>
          <w:color w:val="auto"/>
        </w:rPr>
        <w:t xml:space="preserve">. </w:t>
      </w:r>
      <w:r w:rsidR="002E498A">
        <w:rPr>
          <w:color w:val="auto"/>
        </w:rPr>
        <w:t xml:space="preserve"> </w:t>
      </w:r>
    </w:p>
    <w:p w:rsidR="00E82929" w:rsidRPr="008608F1" w:rsidRDefault="00E82929" w:rsidP="008608F1">
      <w:pPr>
        <w:jc w:val="both"/>
        <w:rPr>
          <w:color w:val="auto"/>
        </w:rPr>
      </w:pPr>
      <w:r w:rsidRPr="008608F1">
        <w:rPr>
          <w:color w:val="auto"/>
        </w:rPr>
        <w:t>______________________________________________________________________________</w:t>
      </w:r>
    </w:p>
    <w:p w:rsidR="000B63CF" w:rsidRPr="008608F1" w:rsidRDefault="000B63CF" w:rsidP="005E5693">
      <w:pPr>
        <w:spacing w:line="240" w:lineRule="auto"/>
        <w:jc w:val="left"/>
        <w:rPr>
          <w:color w:val="auto"/>
          <w:u w:val="single"/>
        </w:rPr>
      </w:pPr>
    </w:p>
    <w:p w:rsidR="00AD2379" w:rsidRPr="008608F1" w:rsidRDefault="00AD2379" w:rsidP="00BF0E94">
      <w:pPr>
        <w:jc w:val="left"/>
        <w:rPr>
          <w:color w:val="auto"/>
        </w:rPr>
      </w:pPr>
      <w:r w:rsidRPr="008608F1">
        <w:rPr>
          <w:color w:val="auto"/>
          <w:u w:val="single"/>
        </w:rPr>
        <w:t>RATING COMPARISON</w:t>
      </w:r>
      <w:r w:rsidRPr="008608F1">
        <w:rPr>
          <w:color w:val="auto"/>
        </w:rPr>
        <w:t xml:space="preserve">: </w:t>
      </w:r>
      <w:r w:rsidR="00855E73" w:rsidRPr="008608F1">
        <w:rPr>
          <w:color w:val="auto"/>
        </w:rPr>
        <w:t xml:space="preserve"> </w:t>
      </w:r>
    </w:p>
    <w:p w:rsidR="00DE69B5" w:rsidRPr="008608F1" w:rsidRDefault="00DE69B5" w:rsidP="00BF0E94">
      <w:pPr>
        <w:jc w:val="left"/>
        <w:rPr>
          <w:color w:val="auto"/>
        </w:rPr>
      </w:pPr>
    </w:p>
    <w:tbl>
      <w:tblPr>
        <w:tblStyle w:val="TableGrid"/>
        <w:tblW w:w="9369" w:type="dxa"/>
        <w:jc w:val="center"/>
        <w:tblInd w:w="9" w:type="dxa"/>
        <w:tblLayout w:type="fixed"/>
        <w:tblLook w:val="00A0"/>
      </w:tblPr>
      <w:tblGrid>
        <w:gridCol w:w="2169"/>
        <w:gridCol w:w="1080"/>
        <w:gridCol w:w="720"/>
        <w:gridCol w:w="2610"/>
        <w:gridCol w:w="1080"/>
        <w:gridCol w:w="720"/>
        <w:gridCol w:w="990"/>
      </w:tblGrid>
      <w:tr w:rsidR="00E82929" w:rsidRPr="008608F1" w:rsidTr="00E82929">
        <w:trPr>
          <w:trHeight w:val="170"/>
          <w:jc w:val="center"/>
        </w:trPr>
        <w:tc>
          <w:tcPr>
            <w:tcW w:w="3969" w:type="dxa"/>
            <w:gridSpan w:val="3"/>
            <w:tcBorders>
              <w:right w:val="thinThickThinSmallGap" w:sz="24" w:space="0" w:color="auto"/>
            </w:tcBorders>
            <w:shd w:val="clear" w:color="auto" w:fill="D9D9D9"/>
            <w:vAlign w:val="center"/>
          </w:tcPr>
          <w:p w:rsidR="00E82929" w:rsidRPr="008608F1" w:rsidRDefault="00E82929" w:rsidP="00E82929">
            <w:pPr>
              <w:spacing w:line="180" w:lineRule="exact"/>
              <w:contextualSpacing/>
              <w:rPr>
                <w:rFonts w:cs="Calibri"/>
                <w:b/>
                <w:color w:val="auto"/>
                <w:sz w:val="18"/>
              </w:rPr>
            </w:pPr>
            <w:r w:rsidRPr="008608F1">
              <w:rPr>
                <w:b/>
                <w:color w:val="auto"/>
                <w:sz w:val="18"/>
              </w:rPr>
              <w:t>Service IPEB – Dated 20050113</w:t>
            </w:r>
          </w:p>
        </w:tc>
        <w:tc>
          <w:tcPr>
            <w:tcW w:w="5400" w:type="dxa"/>
            <w:gridSpan w:val="4"/>
            <w:tcBorders>
              <w:left w:val="thinThickThinSmallGap" w:sz="24" w:space="0" w:color="auto"/>
            </w:tcBorders>
            <w:shd w:val="clear" w:color="auto" w:fill="D9D9D9"/>
            <w:vAlign w:val="center"/>
          </w:tcPr>
          <w:p w:rsidR="00E82929" w:rsidRPr="008608F1" w:rsidRDefault="00E82929" w:rsidP="00E82929">
            <w:pPr>
              <w:spacing w:line="180" w:lineRule="exact"/>
              <w:contextualSpacing/>
              <w:rPr>
                <w:rFonts w:cs="Calibri"/>
                <w:b/>
                <w:color w:val="auto"/>
                <w:sz w:val="18"/>
              </w:rPr>
            </w:pPr>
            <w:r w:rsidRPr="008608F1">
              <w:rPr>
                <w:b/>
                <w:color w:val="auto"/>
                <w:sz w:val="18"/>
              </w:rPr>
              <w:t>VA (~4 Mos. Post-Separation) – All Effective Date 20050414</w:t>
            </w:r>
          </w:p>
        </w:tc>
      </w:tr>
      <w:tr w:rsidR="00E82929" w:rsidRPr="008608F1" w:rsidTr="00E82929">
        <w:trPr>
          <w:trHeight w:val="97"/>
          <w:jc w:val="center"/>
        </w:trPr>
        <w:tc>
          <w:tcPr>
            <w:tcW w:w="2169" w:type="dxa"/>
            <w:tcBorders>
              <w:bottom w:val="single" w:sz="4" w:space="0" w:color="000000"/>
              <w:right w:val="single" w:sz="4" w:space="0" w:color="auto"/>
            </w:tcBorders>
            <w:shd w:val="clear" w:color="auto" w:fill="D9D9D9"/>
            <w:vAlign w:val="center"/>
          </w:tcPr>
          <w:p w:rsidR="00E82929" w:rsidRPr="008608F1" w:rsidRDefault="00E82929" w:rsidP="00E82929">
            <w:pPr>
              <w:spacing w:line="180" w:lineRule="exact"/>
              <w:contextualSpacing/>
              <w:rPr>
                <w:rFonts w:cs="Calibri"/>
                <w:b/>
                <w:color w:val="auto"/>
                <w:sz w:val="18"/>
              </w:rPr>
            </w:pPr>
            <w:r w:rsidRPr="008608F1">
              <w:rPr>
                <w:b/>
                <w:color w:val="auto"/>
                <w:sz w:val="18"/>
              </w:rPr>
              <w:t>Condition</w:t>
            </w:r>
          </w:p>
        </w:tc>
        <w:tc>
          <w:tcPr>
            <w:tcW w:w="1080" w:type="dxa"/>
            <w:tcBorders>
              <w:left w:val="single" w:sz="4" w:space="0" w:color="auto"/>
              <w:bottom w:val="single" w:sz="4" w:space="0" w:color="000000"/>
            </w:tcBorders>
            <w:shd w:val="clear" w:color="auto" w:fill="D9D9D9"/>
            <w:vAlign w:val="center"/>
          </w:tcPr>
          <w:p w:rsidR="00E82929" w:rsidRPr="008608F1" w:rsidRDefault="00E82929" w:rsidP="00E82929">
            <w:pPr>
              <w:spacing w:line="180" w:lineRule="exact"/>
              <w:contextualSpacing/>
              <w:rPr>
                <w:rFonts w:cs="Calibri"/>
                <w:b/>
                <w:color w:val="auto"/>
                <w:sz w:val="18"/>
              </w:rPr>
            </w:pPr>
            <w:r w:rsidRPr="008608F1">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E82929" w:rsidRPr="008608F1" w:rsidRDefault="00E82929" w:rsidP="00E82929">
            <w:pPr>
              <w:spacing w:line="180" w:lineRule="exact"/>
              <w:contextualSpacing/>
              <w:rPr>
                <w:rFonts w:cs="Calibri"/>
                <w:b/>
                <w:color w:val="auto"/>
                <w:sz w:val="18"/>
              </w:rPr>
            </w:pPr>
            <w:r w:rsidRPr="008608F1">
              <w:rPr>
                <w:b/>
                <w:color w:val="auto"/>
                <w:sz w:val="18"/>
              </w:rPr>
              <w:t>Rating</w:t>
            </w:r>
          </w:p>
        </w:tc>
        <w:tc>
          <w:tcPr>
            <w:tcW w:w="2610" w:type="dxa"/>
            <w:tcBorders>
              <w:left w:val="thinThickThinSmallGap" w:sz="24" w:space="0" w:color="auto"/>
              <w:bottom w:val="single" w:sz="4" w:space="0" w:color="000000"/>
            </w:tcBorders>
            <w:shd w:val="clear" w:color="auto" w:fill="D9D9D9"/>
            <w:vAlign w:val="center"/>
          </w:tcPr>
          <w:p w:rsidR="00E82929" w:rsidRPr="008608F1" w:rsidRDefault="00E82929" w:rsidP="00E82929">
            <w:pPr>
              <w:spacing w:line="180" w:lineRule="exact"/>
              <w:contextualSpacing/>
              <w:rPr>
                <w:rFonts w:cs="Calibri"/>
                <w:b/>
                <w:color w:val="auto"/>
                <w:sz w:val="18"/>
              </w:rPr>
            </w:pPr>
            <w:r w:rsidRPr="008608F1">
              <w:rPr>
                <w:b/>
                <w:color w:val="auto"/>
                <w:sz w:val="18"/>
              </w:rPr>
              <w:t>Condition</w:t>
            </w:r>
          </w:p>
        </w:tc>
        <w:tc>
          <w:tcPr>
            <w:tcW w:w="1080" w:type="dxa"/>
            <w:tcBorders>
              <w:bottom w:val="single" w:sz="4" w:space="0" w:color="000000"/>
            </w:tcBorders>
            <w:shd w:val="clear" w:color="auto" w:fill="D9D9D9"/>
            <w:vAlign w:val="center"/>
          </w:tcPr>
          <w:p w:rsidR="00E82929" w:rsidRPr="008608F1" w:rsidRDefault="00E82929" w:rsidP="00E82929">
            <w:pPr>
              <w:spacing w:line="180" w:lineRule="exact"/>
              <w:contextualSpacing/>
              <w:rPr>
                <w:rFonts w:cs="Calibri"/>
                <w:b/>
                <w:color w:val="auto"/>
                <w:sz w:val="18"/>
              </w:rPr>
            </w:pPr>
            <w:r w:rsidRPr="008608F1">
              <w:rPr>
                <w:b/>
                <w:color w:val="auto"/>
                <w:sz w:val="18"/>
              </w:rPr>
              <w:t>Code</w:t>
            </w:r>
          </w:p>
        </w:tc>
        <w:tc>
          <w:tcPr>
            <w:tcW w:w="720" w:type="dxa"/>
            <w:tcBorders>
              <w:bottom w:val="single" w:sz="4" w:space="0" w:color="000000"/>
            </w:tcBorders>
            <w:shd w:val="clear" w:color="auto" w:fill="D9D9D9"/>
            <w:vAlign w:val="center"/>
          </w:tcPr>
          <w:p w:rsidR="00E82929" w:rsidRPr="008608F1" w:rsidRDefault="00E82929" w:rsidP="00E82929">
            <w:pPr>
              <w:spacing w:line="180" w:lineRule="exact"/>
              <w:contextualSpacing/>
              <w:rPr>
                <w:rFonts w:cs="Calibri"/>
                <w:b/>
                <w:color w:val="auto"/>
                <w:sz w:val="18"/>
              </w:rPr>
            </w:pPr>
            <w:r w:rsidRPr="008608F1">
              <w:rPr>
                <w:b/>
                <w:color w:val="auto"/>
                <w:sz w:val="18"/>
              </w:rPr>
              <w:t>Rating</w:t>
            </w:r>
          </w:p>
        </w:tc>
        <w:tc>
          <w:tcPr>
            <w:tcW w:w="990" w:type="dxa"/>
            <w:tcBorders>
              <w:bottom w:val="single" w:sz="4" w:space="0" w:color="000000"/>
            </w:tcBorders>
            <w:shd w:val="clear" w:color="auto" w:fill="D9D9D9"/>
            <w:vAlign w:val="center"/>
          </w:tcPr>
          <w:p w:rsidR="00E82929" w:rsidRPr="008608F1" w:rsidRDefault="00E82929" w:rsidP="00E82929">
            <w:pPr>
              <w:spacing w:line="180" w:lineRule="exact"/>
              <w:contextualSpacing/>
              <w:rPr>
                <w:rFonts w:cs="Calibri"/>
                <w:b/>
                <w:color w:val="auto"/>
                <w:sz w:val="18"/>
              </w:rPr>
            </w:pPr>
            <w:r w:rsidRPr="008608F1">
              <w:rPr>
                <w:b/>
                <w:color w:val="auto"/>
                <w:sz w:val="18"/>
              </w:rPr>
              <w:t>Exam</w:t>
            </w:r>
          </w:p>
        </w:tc>
      </w:tr>
      <w:tr w:rsidR="00E82929" w:rsidRPr="008608F1" w:rsidTr="00E82929">
        <w:trPr>
          <w:trHeight w:val="118"/>
          <w:jc w:val="center"/>
        </w:trPr>
        <w:tc>
          <w:tcPr>
            <w:tcW w:w="2169" w:type="dxa"/>
            <w:tcBorders>
              <w:right w:val="single" w:sz="4" w:space="0" w:color="auto"/>
            </w:tcBorders>
            <w:shd w:val="clear" w:color="auto" w:fill="FFFFFF"/>
            <w:vAlign w:val="center"/>
          </w:tcPr>
          <w:p w:rsidR="00E82929" w:rsidRPr="008608F1" w:rsidRDefault="00E82929" w:rsidP="00E82929">
            <w:pPr>
              <w:spacing w:line="180" w:lineRule="exact"/>
              <w:contextualSpacing/>
              <w:jc w:val="left"/>
              <w:rPr>
                <w:rFonts w:cs="Calibri"/>
                <w:color w:val="auto"/>
                <w:sz w:val="18"/>
              </w:rPr>
            </w:pPr>
            <w:r w:rsidRPr="008608F1">
              <w:rPr>
                <w:rFonts w:cs="Calibri"/>
                <w:color w:val="auto"/>
                <w:sz w:val="18"/>
              </w:rPr>
              <w:t>Chronic L</w:t>
            </w:r>
            <w:r w:rsidR="00F13E2E" w:rsidRPr="008608F1">
              <w:rPr>
                <w:rFonts w:cs="Calibri"/>
                <w:color w:val="auto"/>
                <w:sz w:val="18"/>
              </w:rPr>
              <w:t>ef</w:t>
            </w:r>
            <w:r w:rsidRPr="008608F1">
              <w:rPr>
                <w:rFonts w:cs="Calibri"/>
                <w:color w:val="auto"/>
                <w:sz w:val="18"/>
              </w:rPr>
              <w:t>t Knee Pain . . . . .</w:t>
            </w:r>
          </w:p>
        </w:tc>
        <w:tc>
          <w:tcPr>
            <w:tcW w:w="1080" w:type="dxa"/>
            <w:tcBorders>
              <w:left w:val="single" w:sz="4" w:space="0" w:color="auto"/>
            </w:tcBorders>
            <w:shd w:val="clear" w:color="auto" w:fill="FFFFFF"/>
            <w:vAlign w:val="center"/>
          </w:tcPr>
          <w:p w:rsidR="00E82929" w:rsidRPr="008608F1" w:rsidRDefault="00E82929" w:rsidP="00E82929">
            <w:pPr>
              <w:spacing w:line="180" w:lineRule="exact"/>
              <w:contextualSpacing/>
              <w:rPr>
                <w:rFonts w:cs="Calibri"/>
                <w:color w:val="auto"/>
                <w:sz w:val="18"/>
              </w:rPr>
            </w:pPr>
            <w:r w:rsidRPr="008608F1">
              <w:rPr>
                <w:rFonts w:cs="Calibri"/>
                <w:color w:val="auto"/>
                <w:sz w:val="18"/>
              </w:rPr>
              <w:t>5099-5003</w:t>
            </w:r>
          </w:p>
        </w:tc>
        <w:tc>
          <w:tcPr>
            <w:tcW w:w="720" w:type="dxa"/>
            <w:tcBorders>
              <w:right w:val="thinThickThinSmallGap" w:sz="24" w:space="0" w:color="auto"/>
            </w:tcBorders>
            <w:shd w:val="clear" w:color="auto" w:fill="FFFFFF"/>
            <w:vAlign w:val="center"/>
          </w:tcPr>
          <w:p w:rsidR="00E82929" w:rsidRPr="008608F1" w:rsidRDefault="00E82929" w:rsidP="00E82929">
            <w:pPr>
              <w:spacing w:line="180" w:lineRule="exact"/>
              <w:rPr>
                <w:rFonts w:cs="Calibri"/>
                <w:color w:val="auto"/>
                <w:sz w:val="18"/>
              </w:rPr>
            </w:pPr>
            <w:r w:rsidRPr="008608F1">
              <w:rPr>
                <w:rFonts w:cs="Calibri"/>
                <w:color w:val="auto"/>
                <w:sz w:val="18"/>
              </w:rPr>
              <w:t>10%</w:t>
            </w:r>
          </w:p>
        </w:tc>
        <w:tc>
          <w:tcPr>
            <w:tcW w:w="2610" w:type="dxa"/>
            <w:tcBorders>
              <w:left w:val="thinThickThinSmallGap" w:sz="24" w:space="0" w:color="auto"/>
            </w:tcBorders>
            <w:shd w:val="clear" w:color="auto" w:fill="FFFFFF"/>
            <w:vAlign w:val="center"/>
          </w:tcPr>
          <w:p w:rsidR="00E82929" w:rsidRPr="008608F1" w:rsidRDefault="00E82929" w:rsidP="00E82929">
            <w:pPr>
              <w:spacing w:line="180" w:lineRule="exact"/>
              <w:contextualSpacing/>
              <w:jc w:val="left"/>
              <w:rPr>
                <w:rFonts w:cs="Calibri"/>
                <w:color w:val="auto"/>
                <w:sz w:val="18"/>
              </w:rPr>
            </w:pPr>
            <w:r w:rsidRPr="008608F1">
              <w:rPr>
                <w:rFonts w:cs="Calibri"/>
                <w:color w:val="auto"/>
                <w:sz w:val="18"/>
              </w:rPr>
              <w:t>Residuals of Arthroscopic Surgery, L</w:t>
            </w:r>
            <w:r w:rsidR="00F13E2E" w:rsidRPr="008608F1">
              <w:rPr>
                <w:rFonts w:cs="Calibri"/>
                <w:color w:val="auto"/>
                <w:sz w:val="18"/>
              </w:rPr>
              <w:t>ef</w:t>
            </w:r>
            <w:r w:rsidRPr="008608F1">
              <w:rPr>
                <w:rFonts w:cs="Calibri"/>
                <w:color w:val="auto"/>
                <w:sz w:val="18"/>
              </w:rPr>
              <w:t>t Knee</w:t>
            </w:r>
          </w:p>
        </w:tc>
        <w:tc>
          <w:tcPr>
            <w:tcW w:w="1080" w:type="dxa"/>
            <w:shd w:val="clear" w:color="auto" w:fill="FFFFFF"/>
            <w:vAlign w:val="center"/>
          </w:tcPr>
          <w:p w:rsidR="00E82929" w:rsidRPr="008608F1" w:rsidRDefault="00E82929" w:rsidP="00E82929">
            <w:pPr>
              <w:spacing w:line="180" w:lineRule="exact"/>
              <w:contextualSpacing/>
              <w:rPr>
                <w:rFonts w:cs="Calibri"/>
                <w:color w:val="auto"/>
                <w:sz w:val="18"/>
              </w:rPr>
            </w:pPr>
            <w:r w:rsidRPr="008608F1">
              <w:rPr>
                <w:rFonts w:cs="Calibri"/>
                <w:color w:val="auto"/>
                <w:sz w:val="18"/>
              </w:rPr>
              <w:t>5299-5261</w:t>
            </w:r>
          </w:p>
        </w:tc>
        <w:tc>
          <w:tcPr>
            <w:tcW w:w="720" w:type="dxa"/>
            <w:shd w:val="clear" w:color="auto" w:fill="FFFFFF"/>
            <w:vAlign w:val="center"/>
          </w:tcPr>
          <w:p w:rsidR="00E82929" w:rsidRPr="008608F1" w:rsidRDefault="00E82929" w:rsidP="00E82929">
            <w:pPr>
              <w:spacing w:line="180" w:lineRule="exact"/>
              <w:contextualSpacing/>
              <w:rPr>
                <w:rFonts w:cs="Calibri"/>
                <w:color w:val="auto"/>
                <w:sz w:val="18"/>
              </w:rPr>
            </w:pPr>
            <w:r w:rsidRPr="008608F1">
              <w:rPr>
                <w:rFonts w:cs="Calibri"/>
                <w:color w:val="auto"/>
                <w:sz w:val="18"/>
              </w:rPr>
              <w:t>10%</w:t>
            </w:r>
          </w:p>
        </w:tc>
        <w:tc>
          <w:tcPr>
            <w:tcW w:w="990" w:type="dxa"/>
            <w:shd w:val="clear" w:color="auto" w:fill="FFFFFF"/>
            <w:vAlign w:val="center"/>
          </w:tcPr>
          <w:p w:rsidR="00E82929" w:rsidRPr="008608F1" w:rsidRDefault="00E82929" w:rsidP="00E82929">
            <w:pPr>
              <w:spacing w:line="180" w:lineRule="exact"/>
              <w:contextualSpacing/>
              <w:rPr>
                <w:rFonts w:cs="Calibri"/>
                <w:color w:val="auto"/>
                <w:sz w:val="18"/>
              </w:rPr>
            </w:pPr>
            <w:r w:rsidRPr="008608F1">
              <w:rPr>
                <w:color w:val="auto"/>
                <w:sz w:val="18"/>
              </w:rPr>
              <w:t>20050803</w:t>
            </w:r>
          </w:p>
        </w:tc>
      </w:tr>
      <w:tr w:rsidR="00DE69B5" w:rsidRPr="008608F1" w:rsidTr="00E82929">
        <w:trPr>
          <w:trHeight w:val="118"/>
          <w:jc w:val="center"/>
        </w:trPr>
        <w:tc>
          <w:tcPr>
            <w:tcW w:w="2169" w:type="dxa"/>
            <w:vMerge w:val="restart"/>
            <w:tcBorders>
              <w:right w:val="single" w:sz="4" w:space="0" w:color="auto"/>
            </w:tcBorders>
            <w:shd w:val="clear" w:color="auto" w:fill="FFFFFF"/>
            <w:vAlign w:val="center"/>
          </w:tcPr>
          <w:p w:rsidR="00DE69B5" w:rsidRPr="008608F1" w:rsidRDefault="00DE69B5" w:rsidP="00E82929">
            <w:pPr>
              <w:spacing w:line="180" w:lineRule="exact"/>
              <w:contextualSpacing/>
              <w:jc w:val="left"/>
              <w:rPr>
                <w:color w:val="auto"/>
                <w:sz w:val="18"/>
              </w:rPr>
            </w:pPr>
            <w:r w:rsidRPr="008608F1">
              <w:rPr>
                <w:color w:val="auto"/>
                <w:sz w:val="18"/>
              </w:rPr>
              <w:t>Chronic Pain Left Hand &amp; Left Wrist . . . . .</w:t>
            </w:r>
          </w:p>
        </w:tc>
        <w:tc>
          <w:tcPr>
            <w:tcW w:w="1800" w:type="dxa"/>
            <w:gridSpan w:val="2"/>
            <w:vMerge w:val="restart"/>
            <w:tcBorders>
              <w:left w:val="single" w:sz="4" w:space="0" w:color="auto"/>
              <w:right w:val="thinThickThinSmallGap" w:sz="24" w:space="0" w:color="auto"/>
            </w:tcBorders>
            <w:shd w:val="clear" w:color="auto" w:fill="FFFFFF"/>
            <w:vAlign w:val="center"/>
          </w:tcPr>
          <w:p w:rsidR="00DE69B5" w:rsidRPr="008608F1" w:rsidRDefault="00DE69B5" w:rsidP="00E82929">
            <w:pPr>
              <w:spacing w:line="180" w:lineRule="exact"/>
              <w:rPr>
                <w:color w:val="auto"/>
                <w:sz w:val="18"/>
              </w:rPr>
            </w:pPr>
            <w:r w:rsidRPr="008608F1">
              <w:rPr>
                <w:color w:val="auto"/>
                <w:sz w:val="18"/>
              </w:rPr>
              <w:t>Not Unfitting</w:t>
            </w:r>
          </w:p>
        </w:tc>
        <w:tc>
          <w:tcPr>
            <w:tcW w:w="2610" w:type="dxa"/>
            <w:tcBorders>
              <w:left w:val="thinThickThinSmallGap" w:sz="24" w:space="0" w:color="auto"/>
            </w:tcBorders>
            <w:shd w:val="clear" w:color="auto" w:fill="FFFFFF"/>
            <w:vAlign w:val="center"/>
          </w:tcPr>
          <w:p w:rsidR="00DE69B5" w:rsidRPr="008608F1" w:rsidRDefault="00DE69B5" w:rsidP="00E82929">
            <w:pPr>
              <w:spacing w:line="180" w:lineRule="exact"/>
              <w:contextualSpacing/>
              <w:jc w:val="left"/>
              <w:rPr>
                <w:color w:val="auto"/>
                <w:sz w:val="18"/>
              </w:rPr>
            </w:pPr>
            <w:r w:rsidRPr="008608F1">
              <w:rPr>
                <w:color w:val="auto"/>
                <w:sz w:val="18"/>
              </w:rPr>
              <w:t>DJD Left Wrist &amp; Residuals of Left Hand &amp; Wrist Surgeries</w:t>
            </w:r>
          </w:p>
        </w:tc>
        <w:tc>
          <w:tcPr>
            <w:tcW w:w="1080" w:type="dxa"/>
            <w:shd w:val="clear" w:color="auto" w:fill="FFFFFF"/>
            <w:vAlign w:val="center"/>
          </w:tcPr>
          <w:p w:rsidR="00DE69B5" w:rsidRPr="008608F1" w:rsidRDefault="00DE69B5" w:rsidP="00E82929">
            <w:pPr>
              <w:spacing w:line="180" w:lineRule="exact"/>
              <w:contextualSpacing/>
              <w:rPr>
                <w:color w:val="auto"/>
                <w:sz w:val="18"/>
              </w:rPr>
            </w:pPr>
            <w:r w:rsidRPr="008608F1">
              <w:rPr>
                <w:color w:val="auto"/>
                <w:sz w:val="18"/>
              </w:rPr>
              <w:t>5010-5215</w:t>
            </w:r>
          </w:p>
        </w:tc>
        <w:tc>
          <w:tcPr>
            <w:tcW w:w="720" w:type="dxa"/>
            <w:shd w:val="clear" w:color="auto" w:fill="FFFFFF"/>
            <w:vAlign w:val="center"/>
          </w:tcPr>
          <w:p w:rsidR="00DE69B5" w:rsidRPr="008608F1" w:rsidRDefault="00DE69B5" w:rsidP="00E82929">
            <w:pPr>
              <w:spacing w:line="180" w:lineRule="exact"/>
              <w:contextualSpacing/>
              <w:rPr>
                <w:color w:val="auto"/>
                <w:sz w:val="18"/>
              </w:rPr>
            </w:pPr>
            <w:r w:rsidRPr="008608F1">
              <w:rPr>
                <w:color w:val="auto"/>
                <w:sz w:val="18"/>
              </w:rPr>
              <w:t>10%</w:t>
            </w:r>
          </w:p>
        </w:tc>
        <w:tc>
          <w:tcPr>
            <w:tcW w:w="990" w:type="dxa"/>
            <w:shd w:val="clear" w:color="auto" w:fill="FFFFFF"/>
            <w:vAlign w:val="center"/>
          </w:tcPr>
          <w:p w:rsidR="00DE69B5" w:rsidRPr="008608F1" w:rsidRDefault="00DE69B5" w:rsidP="00E82929">
            <w:pPr>
              <w:spacing w:line="180" w:lineRule="exact"/>
              <w:contextualSpacing/>
              <w:rPr>
                <w:color w:val="auto"/>
                <w:sz w:val="18"/>
              </w:rPr>
            </w:pPr>
            <w:r w:rsidRPr="008608F1">
              <w:rPr>
                <w:color w:val="auto"/>
                <w:sz w:val="18"/>
              </w:rPr>
              <w:t>20050803</w:t>
            </w:r>
          </w:p>
        </w:tc>
      </w:tr>
      <w:tr w:rsidR="00DE69B5" w:rsidRPr="008608F1" w:rsidTr="00E82929">
        <w:trPr>
          <w:trHeight w:val="118"/>
          <w:jc w:val="center"/>
        </w:trPr>
        <w:tc>
          <w:tcPr>
            <w:tcW w:w="2169" w:type="dxa"/>
            <w:vMerge/>
            <w:tcBorders>
              <w:right w:val="single" w:sz="4" w:space="0" w:color="auto"/>
            </w:tcBorders>
            <w:shd w:val="clear" w:color="auto" w:fill="FFFFFF"/>
            <w:vAlign w:val="center"/>
          </w:tcPr>
          <w:p w:rsidR="00DE69B5" w:rsidRPr="008608F1" w:rsidRDefault="00DE69B5" w:rsidP="00E82929">
            <w:pPr>
              <w:spacing w:line="180" w:lineRule="exact"/>
              <w:contextualSpacing/>
              <w:jc w:val="left"/>
              <w:rPr>
                <w:color w:val="auto"/>
                <w:sz w:val="18"/>
              </w:rPr>
            </w:pPr>
          </w:p>
        </w:tc>
        <w:tc>
          <w:tcPr>
            <w:tcW w:w="1800" w:type="dxa"/>
            <w:gridSpan w:val="2"/>
            <w:vMerge/>
            <w:tcBorders>
              <w:left w:val="single" w:sz="4" w:space="0" w:color="auto"/>
              <w:right w:val="thinThickThinSmallGap" w:sz="24" w:space="0" w:color="auto"/>
            </w:tcBorders>
            <w:shd w:val="clear" w:color="auto" w:fill="FFFFFF"/>
            <w:vAlign w:val="center"/>
          </w:tcPr>
          <w:p w:rsidR="00DE69B5" w:rsidRPr="008608F1" w:rsidRDefault="00DE69B5" w:rsidP="00E82929">
            <w:pPr>
              <w:spacing w:line="180" w:lineRule="exact"/>
              <w:rPr>
                <w:color w:val="auto"/>
                <w:sz w:val="18"/>
              </w:rPr>
            </w:pPr>
          </w:p>
        </w:tc>
        <w:tc>
          <w:tcPr>
            <w:tcW w:w="2610" w:type="dxa"/>
            <w:tcBorders>
              <w:left w:val="thinThickThinSmallGap" w:sz="24" w:space="0" w:color="auto"/>
            </w:tcBorders>
            <w:shd w:val="clear" w:color="auto" w:fill="FFFFFF"/>
            <w:vAlign w:val="center"/>
          </w:tcPr>
          <w:p w:rsidR="00DE69B5" w:rsidRPr="008608F1" w:rsidRDefault="00DE69B5" w:rsidP="00692AE6">
            <w:pPr>
              <w:spacing w:line="180" w:lineRule="exact"/>
              <w:contextualSpacing/>
              <w:jc w:val="left"/>
              <w:rPr>
                <w:color w:val="auto"/>
                <w:sz w:val="18"/>
              </w:rPr>
            </w:pPr>
            <w:r w:rsidRPr="008608F1">
              <w:rPr>
                <w:color w:val="auto"/>
                <w:sz w:val="18"/>
              </w:rPr>
              <w:t>Scar, Left Hand &amp; Wrist, Post-Op</w:t>
            </w:r>
          </w:p>
        </w:tc>
        <w:tc>
          <w:tcPr>
            <w:tcW w:w="1080" w:type="dxa"/>
            <w:shd w:val="clear" w:color="auto" w:fill="FFFFFF"/>
            <w:vAlign w:val="center"/>
          </w:tcPr>
          <w:p w:rsidR="00DE69B5" w:rsidRPr="008608F1" w:rsidRDefault="00DE69B5" w:rsidP="00692AE6">
            <w:pPr>
              <w:spacing w:line="180" w:lineRule="exact"/>
              <w:contextualSpacing/>
              <w:rPr>
                <w:color w:val="auto"/>
                <w:sz w:val="18"/>
              </w:rPr>
            </w:pPr>
            <w:r w:rsidRPr="008608F1">
              <w:rPr>
                <w:color w:val="auto"/>
                <w:sz w:val="18"/>
              </w:rPr>
              <w:t>7804</w:t>
            </w:r>
          </w:p>
        </w:tc>
        <w:tc>
          <w:tcPr>
            <w:tcW w:w="720" w:type="dxa"/>
            <w:shd w:val="clear" w:color="auto" w:fill="FFFFFF"/>
            <w:vAlign w:val="center"/>
          </w:tcPr>
          <w:p w:rsidR="00DE69B5" w:rsidRPr="008608F1" w:rsidRDefault="00DE69B5" w:rsidP="00692AE6">
            <w:pPr>
              <w:spacing w:line="180" w:lineRule="exact"/>
              <w:contextualSpacing/>
              <w:rPr>
                <w:color w:val="auto"/>
                <w:sz w:val="18"/>
              </w:rPr>
            </w:pPr>
            <w:r w:rsidRPr="008608F1">
              <w:rPr>
                <w:color w:val="auto"/>
                <w:sz w:val="18"/>
              </w:rPr>
              <w:t>10%</w:t>
            </w:r>
          </w:p>
        </w:tc>
        <w:tc>
          <w:tcPr>
            <w:tcW w:w="990" w:type="dxa"/>
            <w:shd w:val="clear" w:color="auto" w:fill="FFFFFF"/>
            <w:vAlign w:val="center"/>
          </w:tcPr>
          <w:p w:rsidR="00DE69B5" w:rsidRPr="008608F1" w:rsidRDefault="00DE69B5" w:rsidP="00692AE6">
            <w:pPr>
              <w:spacing w:line="180" w:lineRule="exact"/>
              <w:contextualSpacing/>
              <w:rPr>
                <w:color w:val="auto"/>
                <w:sz w:val="18"/>
              </w:rPr>
            </w:pPr>
            <w:r w:rsidRPr="008608F1">
              <w:rPr>
                <w:color w:val="auto"/>
                <w:sz w:val="18"/>
              </w:rPr>
              <w:t>20050803</w:t>
            </w:r>
          </w:p>
        </w:tc>
      </w:tr>
      <w:tr w:rsidR="00E82929" w:rsidRPr="008608F1" w:rsidTr="00E82929">
        <w:trPr>
          <w:trHeight w:val="118"/>
          <w:jc w:val="center"/>
        </w:trPr>
        <w:tc>
          <w:tcPr>
            <w:tcW w:w="3969" w:type="dxa"/>
            <w:gridSpan w:val="3"/>
            <w:vMerge w:val="restart"/>
            <w:tcBorders>
              <w:right w:val="thinThickThinSmallGap" w:sz="24" w:space="0" w:color="auto"/>
            </w:tcBorders>
            <w:shd w:val="clear" w:color="auto" w:fill="FFFFFF"/>
            <w:vAlign w:val="center"/>
          </w:tcPr>
          <w:p w:rsidR="00E82929" w:rsidRPr="008608F1" w:rsidRDefault="00E82929" w:rsidP="00E82929">
            <w:pPr>
              <w:spacing w:line="180" w:lineRule="exact"/>
              <w:contextualSpacing/>
              <w:rPr>
                <w:color w:val="auto"/>
                <w:sz w:val="18"/>
              </w:rPr>
            </w:pPr>
            <w:r w:rsidRPr="008608F1">
              <w:rPr>
                <w:rFonts w:cs="Calibri"/>
                <w:color w:val="auto"/>
                <w:sz w:val="18"/>
                <w:szCs w:val="18"/>
              </w:rPr>
              <w:t>↓No Additional MEB/PEB Entries↓</w:t>
            </w:r>
          </w:p>
        </w:tc>
        <w:tc>
          <w:tcPr>
            <w:tcW w:w="2610" w:type="dxa"/>
            <w:tcBorders>
              <w:left w:val="thinThickThinSmallGap" w:sz="24" w:space="0" w:color="auto"/>
            </w:tcBorders>
            <w:shd w:val="clear" w:color="auto" w:fill="FFFFFF"/>
            <w:vAlign w:val="center"/>
          </w:tcPr>
          <w:p w:rsidR="00E82929" w:rsidRPr="008608F1" w:rsidRDefault="00E82929" w:rsidP="00E82929">
            <w:pPr>
              <w:spacing w:line="180" w:lineRule="exact"/>
              <w:contextualSpacing/>
              <w:jc w:val="left"/>
              <w:rPr>
                <w:color w:val="auto"/>
                <w:sz w:val="18"/>
              </w:rPr>
            </w:pPr>
            <w:r w:rsidRPr="008608F1">
              <w:rPr>
                <w:color w:val="auto"/>
                <w:sz w:val="18"/>
              </w:rPr>
              <w:t>R</w:t>
            </w:r>
            <w:r w:rsidR="00F13E2E" w:rsidRPr="008608F1">
              <w:rPr>
                <w:color w:val="auto"/>
                <w:sz w:val="18"/>
              </w:rPr>
              <w:t>igh</w:t>
            </w:r>
            <w:r w:rsidRPr="008608F1">
              <w:rPr>
                <w:color w:val="auto"/>
                <w:sz w:val="18"/>
              </w:rPr>
              <w:t>t Shoulder Tendinitis</w:t>
            </w:r>
          </w:p>
        </w:tc>
        <w:tc>
          <w:tcPr>
            <w:tcW w:w="1080" w:type="dxa"/>
            <w:shd w:val="clear" w:color="auto" w:fill="FFFFFF"/>
            <w:vAlign w:val="center"/>
          </w:tcPr>
          <w:p w:rsidR="00E82929" w:rsidRPr="008608F1" w:rsidRDefault="00E82929" w:rsidP="00E82929">
            <w:pPr>
              <w:spacing w:line="180" w:lineRule="exact"/>
              <w:contextualSpacing/>
              <w:rPr>
                <w:color w:val="auto"/>
                <w:sz w:val="18"/>
              </w:rPr>
            </w:pPr>
            <w:r w:rsidRPr="008608F1">
              <w:rPr>
                <w:color w:val="auto"/>
                <w:sz w:val="18"/>
              </w:rPr>
              <w:t>5099-5019</w:t>
            </w:r>
          </w:p>
        </w:tc>
        <w:tc>
          <w:tcPr>
            <w:tcW w:w="720" w:type="dxa"/>
            <w:shd w:val="clear" w:color="auto" w:fill="FFFFFF"/>
            <w:vAlign w:val="center"/>
          </w:tcPr>
          <w:p w:rsidR="00E82929" w:rsidRPr="008608F1" w:rsidRDefault="00E82929" w:rsidP="00E82929">
            <w:pPr>
              <w:spacing w:line="180" w:lineRule="exact"/>
              <w:contextualSpacing/>
              <w:rPr>
                <w:color w:val="auto"/>
                <w:sz w:val="18"/>
              </w:rPr>
            </w:pPr>
            <w:r w:rsidRPr="008608F1">
              <w:rPr>
                <w:color w:val="auto"/>
                <w:sz w:val="18"/>
              </w:rPr>
              <w:t>10%</w:t>
            </w:r>
          </w:p>
        </w:tc>
        <w:tc>
          <w:tcPr>
            <w:tcW w:w="990" w:type="dxa"/>
            <w:shd w:val="clear" w:color="auto" w:fill="FFFFFF"/>
            <w:vAlign w:val="center"/>
          </w:tcPr>
          <w:p w:rsidR="00E82929" w:rsidRPr="008608F1" w:rsidRDefault="00E82929" w:rsidP="00E82929">
            <w:pPr>
              <w:spacing w:line="180" w:lineRule="exact"/>
              <w:contextualSpacing/>
              <w:rPr>
                <w:color w:val="auto"/>
                <w:sz w:val="18"/>
              </w:rPr>
            </w:pPr>
            <w:r w:rsidRPr="008608F1">
              <w:rPr>
                <w:color w:val="auto"/>
                <w:sz w:val="18"/>
              </w:rPr>
              <w:t>20050803</w:t>
            </w:r>
          </w:p>
        </w:tc>
      </w:tr>
      <w:tr w:rsidR="00E82929" w:rsidRPr="008608F1" w:rsidTr="00E82929">
        <w:trPr>
          <w:trHeight w:val="118"/>
          <w:jc w:val="center"/>
        </w:trPr>
        <w:tc>
          <w:tcPr>
            <w:tcW w:w="3969" w:type="dxa"/>
            <w:gridSpan w:val="3"/>
            <w:vMerge/>
            <w:tcBorders>
              <w:right w:val="thinThickThinSmallGap" w:sz="24" w:space="0" w:color="auto"/>
            </w:tcBorders>
            <w:shd w:val="clear" w:color="auto" w:fill="FFFFFF"/>
            <w:vAlign w:val="center"/>
          </w:tcPr>
          <w:p w:rsidR="00E82929" w:rsidRPr="008608F1" w:rsidRDefault="00E82929" w:rsidP="00E82929">
            <w:pPr>
              <w:spacing w:line="180" w:lineRule="exact"/>
              <w:contextualSpacing/>
              <w:rPr>
                <w:color w:val="auto"/>
                <w:sz w:val="18"/>
              </w:rPr>
            </w:pPr>
          </w:p>
        </w:tc>
        <w:tc>
          <w:tcPr>
            <w:tcW w:w="2610" w:type="dxa"/>
            <w:tcBorders>
              <w:left w:val="thinThickThinSmallGap" w:sz="24" w:space="0" w:color="auto"/>
            </w:tcBorders>
            <w:shd w:val="clear" w:color="auto" w:fill="FFFFFF"/>
            <w:vAlign w:val="center"/>
          </w:tcPr>
          <w:p w:rsidR="00E82929" w:rsidRPr="008608F1" w:rsidRDefault="00E82929" w:rsidP="00E82929">
            <w:pPr>
              <w:spacing w:line="180" w:lineRule="exact"/>
              <w:contextualSpacing/>
              <w:jc w:val="left"/>
              <w:rPr>
                <w:color w:val="auto"/>
                <w:sz w:val="18"/>
              </w:rPr>
            </w:pPr>
            <w:r w:rsidRPr="008608F1">
              <w:rPr>
                <w:color w:val="auto"/>
                <w:sz w:val="18"/>
              </w:rPr>
              <w:t>DJD L-Spine</w:t>
            </w:r>
          </w:p>
        </w:tc>
        <w:tc>
          <w:tcPr>
            <w:tcW w:w="1080" w:type="dxa"/>
            <w:shd w:val="clear" w:color="auto" w:fill="FFFFFF"/>
            <w:vAlign w:val="center"/>
          </w:tcPr>
          <w:p w:rsidR="00E82929" w:rsidRPr="008608F1" w:rsidRDefault="00E82929" w:rsidP="00E82929">
            <w:pPr>
              <w:spacing w:line="180" w:lineRule="exact"/>
              <w:contextualSpacing/>
              <w:rPr>
                <w:color w:val="auto"/>
                <w:sz w:val="18"/>
              </w:rPr>
            </w:pPr>
            <w:r w:rsidRPr="008608F1">
              <w:rPr>
                <w:color w:val="auto"/>
                <w:sz w:val="18"/>
              </w:rPr>
              <w:t>5003-5242</w:t>
            </w:r>
          </w:p>
        </w:tc>
        <w:tc>
          <w:tcPr>
            <w:tcW w:w="720" w:type="dxa"/>
            <w:shd w:val="clear" w:color="auto" w:fill="FFFFFF"/>
            <w:vAlign w:val="center"/>
          </w:tcPr>
          <w:p w:rsidR="00E82929" w:rsidRPr="008608F1" w:rsidRDefault="00E82929" w:rsidP="00E82929">
            <w:pPr>
              <w:spacing w:line="180" w:lineRule="exact"/>
              <w:contextualSpacing/>
              <w:rPr>
                <w:color w:val="auto"/>
                <w:sz w:val="18"/>
              </w:rPr>
            </w:pPr>
            <w:r w:rsidRPr="008608F1">
              <w:rPr>
                <w:color w:val="auto"/>
                <w:sz w:val="18"/>
              </w:rPr>
              <w:t>10%</w:t>
            </w:r>
          </w:p>
        </w:tc>
        <w:tc>
          <w:tcPr>
            <w:tcW w:w="990" w:type="dxa"/>
            <w:shd w:val="clear" w:color="auto" w:fill="FFFFFF"/>
            <w:vAlign w:val="center"/>
          </w:tcPr>
          <w:p w:rsidR="00E82929" w:rsidRPr="008608F1" w:rsidRDefault="00E82929" w:rsidP="00E82929">
            <w:pPr>
              <w:spacing w:line="180" w:lineRule="exact"/>
              <w:contextualSpacing/>
              <w:rPr>
                <w:color w:val="auto"/>
                <w:sz w:val="18"/>
              </w:rPr>
            </w:pPr>
            <w:r w:rsidRPr="008608F1">
              <w:rPr>
                <w:color w:val="auto"/>
                <w:sz w:val="18"/>
              </w:rPr>
              <w:t>20050803</w:t>
            </w:r>
          </w:p>
        </w:tc>
      </w:tr>
      <w:tr w:rsidR="00E82929" w:rsidRPr="008608F1" w:rsidTr="00E82929">
        <w:trPr>
          <w:trHeight w:val="97"/>
          <w:jc w:val="center"/>
        </w:trPr>
        <w:tc>
          <w:tcPr>
            <w:tcW w:w="3969" w:type="dxa"/>
            <w:gridSpan w:val="3"/>
            <w:vMerge/>
            <w:tcBorders>
              <w:right w:val="thinThickThinSmallGap" w:sz="24" w:space="0" w:color="auto"/>
            </w:tcBorders>
            <w:shd w:val="clear" w:color="auto" w:fill="FFFFFF"/>
            <w:vAlign w:val="center"/>
          </w:tcPr>
          <w:p w:rsidR="00E82929" w:rsidRPr="008608F1" w:rsidRDefault="00E82929" w:rsidP="00E82929">
            <w:pPr>
              <w:spacing w:line="180" w:lineRule="exact"/>
              <w:contextualSpacing/>
              <w:rPr>
                <w:color w:val="auto"/>
                <w:sz w:val="18"/>
              </w:rPr>
            </w:pPr>
          </w:p>
        </w:tc>
        <w:tc>
          <w:tcPr>
            <w:tcW w:w="2610" w:type="dxa"/>
            <w:tcBorders>
              <w:left w:val="thinThickThinSmallGap" w:sz="24" w:space="0" w:color="auto"/>
              <w:right w:val="single" w:sz="4" w:space="0" w:color="auto"/>
            </w:tcBorders>
            <w:shd w:val="clear" w:color="auto" w:fill="FFFFFF"/>
            <w:vAlign w:val="center"/>
          </w:tcPr>
          <w:p w:rsidR="00E82929" w:rsidRPr="008608F1" w:rsidRDefault="00E82929" w:rsidP="00E82929">
            <w:pPr>
              <w:spacing w:line="180" w:lineRule="exact"/>
              <w:contextualSpacing/>
              <w:jc w:val="left"/>
              <w:rPr>
                <w:color w:val="auto"/>
                <w:sz w:val="18"/>
              </w:rPr>
            </w:pPr>
            <w:r w:rsidRPr="008608F1">
              <w:rPr>
                <w:color w:val="auto"/>
                <w:sz w:val="18"/>
              </w:rPr>
              <w:t>Photophobia, L</w:t>
            </w:r>
            <w:r w:rsidR="00F13E2E" w:rsidRPr="008608F1">
              <w:rPr>
                <w:color w:val="auto"/>
                <w:sz w:val="18"/>
              </w:rPr>
              <w:t>ef</w:t>
            </w:r>
            <w:r w:rsidRPr="008608F1">
              <w:rPr>
                <w:color w:val="auto"/>
                <w:sz w:val="18"/>
              </w:rPr>
              <w:t>t Eye</w:t>
            </w:r>
          </w:p>
        </w:tc>
        <w:tc>
          <w:tcPr>
            <w:tcW w:w="1080" w:type="dxa"/>
            <w:tcBorders>
              <w:left w:val="single" w:sz="4" w:space="0" w:color="auto"/>
            </w:tcBorders>
            <w:shd w:val="clear" w:color="auto" w:fill="FFFFFF"/>
            <w:vAlign w:val="center"/>
          </w:tcPr>
          <w:p w:rsidR="00E82929" w:rsidRPr="008608F1" w:rsidRDefault="00E82929" w:rsidP="00E82929">
            <w:pPr>
              <w:spacing w:line="180" w:lineRule="exact"/>
              <w:contextualSpacing/>
              <w:rPr>
                <w:color w:val="auto"/>
                <w:sz w:val="18"/>
              </w:rPr>
            </w:pPr>
            <w:r w:rsidRPr="008608F1">
              <w:rPr>
                <w:color w:val="auto"/>
                <w:sz w:val="18"/>
              </w:rPr>
              <w:t>6099-6009</w:t>
            </w:r>
          </w:p>
        </w:tc>
        <w:tc>
          <w:tcPr>
            <w:tcW w:w="720" w:type="dxa"/>
            <w:shd w:val="clear" w:color="auto" w:fill="FFFFFF"/>
            <w:vAlign w:val="center"/>
          </w:tcPr>
          <w:p w:rsidR="00E82929" w:rsidRPr="008608F1" w:rsidRDefault="00E82929" w:rsidP="00E82929">
            <w:pPr>
              <w:spacing w:line="180" w:lineRule="exact"/>
              <w:contextualSpacing/>
              <w:rPr>
                <w:color w:val="auto"/>
                <w:sz w:val="18"/>
              </w:rPr>
            </w:pPr>
            <w:r w:rsidRPr="008608F1">
              <w:rPr>
                <w:color w:val="auto"/>
                <w:sz w:val="18"/>
              </w:rPr>
              <w:t>10%</w:t>
            </w:r>
          </w:p>
        </w:tc>
        <w:tc>
          <w:tcPr>
            <w:tcW w:w="990" w:type="dxa"/>
            <w:shd w:val="clear" w:color="auto" w:fill="FFFFFF"/>
            <w:vAlign w:val="center"/>
          </w:tcPr>
          <w:p w:rsidR="00E82929" w:rsidRPr="008608F1" w:rsidRDefault="00E82929" w:rsidP="00E82929">
            <w:pPr>
              <w:spacing w:line="180" w:lineRule="exact"/>
              <w:contextualSpacing/>
              <w:rPr>
                <w:color w:val="auto"/>
                <w:sz w:val="18"/>
              </w:rPr>
            </w:pPr>
            <w:r w:rsidRPr="008608F1">
              <w:rPr>
                <w:color w:val="auto"/>
                <w:sz w:val="18"/>
              </w:rPr>
              <w:t>20050803</w:t>
            </w:r>
          </w:p>
        </w:tc>
      </w:tr>
      <w:tr w:rsidR="00E82929" w:rsidRPr="008608F1" w:rsidTr="00E82929">
        <w:trPr>
          <w:trHeight w:val="97"/>
          <w:jc w:val="center"/>
        </w:trPr>
        <w:tc>
          <w:tcPr>
            <w:tcW w:w="3969" w:type="dxa"/>
            <w:gridSpan w:val="3"/>
            <w:vMerge/>
            <w:tcBorders>
              <w:right w:val="thinThickThinSmallGap" w:sz="24" w:space="0" w:color="auto"/>
            </w:tcBorders>
            <w:shd w:val="clear" w:color="auto" w:fill="FFFFFF"/>
            <w:vAlign w:val="center"/>
          </w:tcPr>
          <w:p w:rsidR="00E82929" w:rsidRPr="008608F1" w:rsidRDefault="00E82929" w:rsidP="00E82929">
            <w:pPr>
              <w:spacing w:line="180" w:lineRule="exact"/>
              <w:contextualSpacing/>
              <w:rPr>
                <w:color w:val="auto"/>
                <w:sz w:val="18"/>
              </w:rPr>
            </w:pPr>
          </w:p>
        </w:tc>
        <w:tc>
          <w:tcPr>
            <w:tcW w:w="2610" w:type="dxa"/>
            <w:tcBorders>
              <w:left w:val="thinThickThinSmallGap" w:sz="24" w:space="0" w:color="auto"/>
              <w:right w:val="single" w:sz="4" w:space="0" w:color="auto"/>
            </w:tcBorders>
            <w:shd w:val="clear" w:color="auto" w:fill="FFFFFF"/>
            <w:vAlign w:val="center"/>
          </w:tcPr>
          <w:p w:rsidR="00E82929" w:rsidRPr="008608F1" w:rsidRDefault="00E82929" w:rsidP="00E82929">
            <w:pPr>
              <w:spacing w:line="180" w:lineRule="exact"/>
              <w:contextualSpacing/>
              <w:jc w:val="left"/>
              <w:rPr>
                <w:color w:val="auto"/>
                <w:sz w:val="18"/>
              </w:rPr>
            </w:pPr>
            <w:r w:rsidRPr="008608F1">
              <w:rPr>
                <w:color w:val="auto"/>
                <w:sz w:val="18"/>
              </w:rPr>
              <w:t>Bronchial Asthma</w:t>
            </w:r>
          </w:p>
        </w:tc>
        <w:tc>
          <w:tcPr>
            <w:tcW w:w="1080" w:type="dxa"/>
            <w:tcBorders>
              <w:left w:val="single" w:sz="4" w:space="0" w:color="auto"/>
            </w:tcBorders>
            <w:shd w:val="clear" w:color="auto" w:fill="FFFFFF"/>
            <w:vAlign w:val="center"/>
          </w:tcPr>
          <w:p w:rsidR="00E82929" w:rsidRPr="008608F1" w:rsidRDefault="00E82929" w:rsidP="00E82929">
            <w:pPr>
              <w:spacing w:line="180" w:lineRule="exact"/>
              <w:contextualSpacing/>
              <w:rPr>
                <w:color w:val="auto"/>
                <w:sz w:val="18"/>
              </w:rPr>
            </w:pPr>
            <w:r w:rsidRPr="008608F1">
              <w:rPr>
                <w:color w:val="auto"/>
                <w:sz w:val="18"/>
              </w:rPr>
              <w:t>6602</w:t>
            </w:r>
          </w:p>
        </w:tc>
        <w:tc>
          <w:tcPr>
            <w:tcW w:w="720" w:type="dxa"/>
            <w:shd w:val="clear" w:color="auto" w:fill="FFFFFF"/>
            <w:vAlign w:val="center"/>
          </w:tcPr>
          <w:p w:rsidR="00E82929" w:rsidRPr="008608F1" w:rsidRDefault="00E82929" w:rsidP="00E82929">
            <w:pPr>
              <w:spacing w:line="180" w:lineRule="exact"/>
              <w:contextualSpacing/>
              <w:rPr>
                <w:color w:val="auto"/>
                <w:sz w:val="18"/>
              </w:rPr>
            </w:pPr>
            <w:r w:rsidRPr="008608F1">
              <w:rPr>
                <w:color w:val="auto"/>
                <w:sz w:val="18"/>
              </w:rPr>
              <w:t>10%</w:t>
            </w:r>
          </w:p>
        </w:tc>
        <w:tc>
          <w:tcPr>
            <w:tcW w:w="990" w:type="dxa"/>
            <w:shd w:val="clear" w:color="auto" w:fill="FFFFFF"/>
            <w:vAlign w:val="center"/>
          </w:tcPr>
          <w:p w:rsidR="00E82929" w:rsidRPr="008608F1" w:rsidRDefault="00E82929" w:rsidP="00E82929">
            <w:pPr>
              <w:spacing w:line="180" w:lineRule="exact"/>
              <w:contextualSpacing/>
              <w:rPr>
                <w:color w:val="auto"/>
                <w:sz w:val="18"/>
              </w:rPr>
            </w:pPr>
            <w:r w:rsidRPr="008608F1">
              <w:rPr>
                <w:color w:val="auto"/>
                <w:sz w:val="18"/>
              </w:rPr>
              <w:t>20050803</w:t>
            </w:r>
          </w:p>
        </w:tc>
      </w:tr>
      <w:tr w:rsidR="00E82929" w:rsidRPr="008608F1" w:rsidTr="00E82929">
        <w:trPr>
          <w:trHeight w:val="97"/>
          <w:jc w:val="center"/>
        </w:trPr>
        <w:tc>
          <w:tcPr>
            <w:tcW w:w="3969" w:type="dxa"/>
            <w:gridSpan w:val="3"/>
            <w:vMerge/>
            <w:tcBorders>
              <w:right w:val="thinThickThinSmallGap" w:sz="24" w:space="0" w:color="auto"/>
            </w:tcBorders>
            <w:shd w:val="clear" w:color="auto" w:fill="FFFFFF"/>
            <w:vAlign w:val="center"/>
          </w:tcPr>
          <w:p w:rsidR="00E82929" w:rsidRPr="008608F1" w:rsidRDefault="00E82929" w:rsidP="00E82929">
            <w:pPr>
              <w:spacing w:line="180" w:lineRule="exact"/>
              <w:contextualSpacing/>
              <w:rPr>
                <w:color w:val="auto"/>
                <w:sz w:val="18"/>
              </w:rPr>
            </w:pPr>
          </w:p>
        </w:tc>
        <w:tc>
          <w:tcPr>
            <w:tcW w:w="2610" w:type="dxa"/>
            <w:tcBorders>
              <w:left w:val="thinThickThinSmallGap" w:sz="24" w:space="0" w:color="auto"/>
              <w:right w:val="single" w:sz="4" w:space="0" w:color="auto"/>
            </w:tcBorders>
            <w:shd w:val="clear" w:color="auto" w:fill="FFFFFF"/>
            <w:vAlign w:val="center"/>
          </w:tcPr>
          <w:p w:rsidR="00E82929" w:rsidRPr="008608F1" w:rsidRDefault="00E82929" w:rsidP="00E82929">
            <w:pPr>
              <w:spacing w:line="180" w:lineRule="exact"/>
              <w:contextualSpacing/>
              <w:jc w:val="left"/>
              <w:rPr>
                <w:color w:val="auto"/>
                <w:sz w:val="18"/>
              </w:rPr>
            </w:pPr>
            <w:r w:rsidRPr="008608F1">
              <w:rPr>
                <w:color w:val="auto"/>
                <w:sz w:val="18"/>
              </w:rPr>
              <w:t>HTN</w:t>
            </w:r>
          </w:p>
        </w:tc>
        <w:tc>
          <w:tcPr>
            <w:tcW w:w="1080" w:type="dxa"/>
            <w:tcBorders>
              <w:left w:val="single" w:sz="4" w:space="0" w:color="auto"/>
            </w:tcBorders>
            <w:shd w:val="clear" w:color="auto" w:fill="FFFFFF"/>
            <w:vAlign w:val="center"/>
          </w:tcPr>
          <w:p w:rsidR="00E82929" w:rsidRPr="008608F1" w:rsidRDefault="00E82929" w:rsidP="00E82929">
            <w:pPr>
              <w:spacing w:line="180" w:lineRule="exact"/>
              <w:contextualSpacing/>
              <w:rPr>
                <w:color w:val="auto"/>
                <w:sz w:val="18"/>
              </w:rPr>
            </w:pPr>
            <w:r w:rsidRPr="008608F1">
              <w:rPr>
                <w:color w:val="auto"/>
                <w:sz w:val="18"/>
              </w:rPr>
              <w:t>7101</w:t>
            </w:r>
          </w:p>
        </w:tc>
        <w:tc>
          <w:tcPr>
            <w:tcW w:w="720" w:type="dxa"/>
            <w:shd w:val="clear" w:color="auto" w:fill="FFFFFF"/>
            <w:vAlign w:val="center"/>
          </w:tcPr>
          <w:p w:rsidR="00E82929" w:rsidRPr="008608F1" w:rsidRDefault="00E82929" w:rsidP="00E82929">
            <w:pPr>
              <w:spacing w:line="180" w:lineRule="exact"/>
              <w:contextualSpacing/>
              <w:rPr>
                <w:color w:val="auto"/>
                <w:sz w:val="18"/>
              </w:rPr>
            </w:pPr>
            <w:r w:rsidRPr="008608F1">
              <w:rPr>
                <w:color w:val="auto"/>
                <w:sz w:val="18"/>
              </w:rPr>
              <w:t>10%</w:t>
            </w:r>
          </w:p>
        </w:tc>
        <w:tc>
          <w:tcPr>
            <w:tcW w:w="990" w:type="dxa"/>
            <w:shd w:val="clear" w:color="auto" w:fill="FFFFFF"/>
            <w:vAlign w:val="center"/>
          </w:tcPr>
          <w:p w:rsidR="00E82929" w:rsidRPr="008608F1" w:rsidRDefault="00E82929" w:rsidP="00E82929">
            <w:pPr>
              <w:spacing w:line="180" w:lineRule="exact"/>
              <w:contextualSpacing/>
              <w:rPr>
                <w:color w:val="auto"/>
                <w:sz w:val="18"/>
              </w:rPr>
            </w:pPr>
            <w:r w:rsidRPr="008608F1">
              <w:rPr>
                <w:color w:val="auto"/>
                <w:sz w:val="18"/>
              </w:rPr>
              <w:t>20050803</w:t>
            </w:r>
          </w:p>
        </w:tc>
      </w:tr>
      <w:tr w:rsidR="00E82929" w:rsidRPr="008608F1" w:rsidTr="00E82929">
        <w:trPr>
          <w:trHeight w:val="172"/>
          <w:jc w:val="center"/>
        </w:trPr>
        <w:tc>
          <w:tcPr>
            <w:tcW w:w="3969" w:type="dxa"/>
            <w:gridSpan w:val="3"/>
            <w:vMerge/>
            <w:tcBorders>
              <w:right w:val="thinThickThinSmallGap" w:sz="24" w:space="0" w:color="auto"/>
            </w:tcBorders>
            <w:shd w:val="clear" w:color="auto" w:fill="FFFFFF"/>
            <w:vAlign w:val="center"/>
          </w:tcPr>
          <w:p w:rsidR="00E82929" w:rsidRPr="008608F1" w:rsidRDefault="00E82929" w:rsidP="00E82929">
            <w:pPr>
              <w:spacing w:line="180" w:lineRule="exact"/>
              <w:contextualSpacing/>
              <w:rPr>
                <w:rFonts w:cs="Calibri"/>
                <w:color w:val="auto"/>
                <w:sz w:val="18"/>
              </w:rPr>
            </w:pPr>
          </w:p>
        </w:tc>
        <w:tc>
          <w:tcPr>
            <w:tcW w:w="4410" w:type="dxa"/>
            <w:gridSpan w:val="3"/>
            <w:tcBorders>
              <w:left w:val="thinThickThinSmallGap" w:sz="24" w:space="0" w:color="auto"/>
            </w:tcBorders>
            <w:shd w:val="clear" w:color="auto" w:fill="FFFFFF"/>
            <w:vAlign w:val="center"/>
          </w:tcPr>
          <w:p w:rsidR="00E82929" w:rsidRPr="008608F1" w:rsidRDefault="00E82929" w:rsidP="00E82929">
            <w:pPr>
              <w:spacing w:line="180" w:lineRule="exact"/>
              <w:contextualSpacing/>
              <w:rPr>
                <w:rFonts w:cs="Calibri"/>
                <w:color w:val="auto"/>
                <w:sz w:val="18"/>
              </w:rPr>
            </w:pPr>
            <w:r w:rsidRPr="008608F1">
              <w:rPr>
                <w:color w:val="auto"/>
                <w:sz w:val="18"/>
              </w:rPr>
              <w:t>0% X 1 / Not Service-Connected x 0</w:t>
            </w:r>
          </w:p>
        </w:tc>
        <w:tc>
          <w:tcPr>
            <w:tcW w:w="990" w:type="dxa"/>
            <w:shd w:val="clear" w:color="auto" w:fill="FFFFFF"/>
            <w:vAlign w:val="center"/>
          </w:tcPr>
          <w:p w:rsidR="00E82929" w:rsidRPr="008608F1" w:rsidRDefault="00E82929" w:rsidP="00E82929">
            <w:pPr>
              <w:spacing w:line="180" w:lineRule="exact"/>
              <w:contextualSpacing/>
              <w:rPr>
                <w:rFonts w:cs="Calibri"/>
                <w:color w:val="auto"/>
                <w:sz w:val="18"/>
              </w:rPr>
            </w:pPr>
          </w:p>
        </w:tc>
      </w:tr>
      <w:tr w:rsidR="00E82929" w:rsidRPr="008608F1" w:rsidTr="00E82929">
        <w:trPr>
          <w:trHeight w:val="124"/>
          <w:jc w:val="center"/>
        </w:trPr>
        <w:tc>
          <w:tcPr>
            <w:tcW w:w="3969" w:type="dxa"/>
            <w:gridSpan w:val="3"/>
            <w:tcBorders>
              <w:right w:val="thinThickThinSmallGap" w:sz="24" w:space="0" w:color="auto"/>
            </w:tcBorders>
            <w:shd w:val="clear" w:color="auto" w:fill="D9D9D9"/>
          </w:tcPr>
          <w:p w:rsidR="00E82929" w:rsidRPr="008608F1" w:rsidRDefault="00E82929" w:rsidP="00E82929">
            <w:pPr>
              <w:spacing w:line="180" w:lineRule="exact"/>
              <w:contextualSpacing/>
              <w:rPr>
                <w:rFonts w:cs="Calibri"/>
                <w:b/>
                <w:color w:val="auto"/>
                <w:sz w:val="18"/>
              </w:rPr>
            </w:pPr>
            <w:r w:rsidRPr="008608F1">
              <w:rPr>
                <w:b/>
                <w:color w:val="auto"/>
                <w:sz w:val="18"/>
              </w:rPr>
              <w:t>Combined:  10%</w:t>
            </w:r>
          </w:p>
        </w:tc>
        <w:tc>
          <w:tcPr>
            <w:tcW w:w="5400" w:type="dxa"/>
            <w:gridSpan w:val="4"/>
            <w:tcBorders>
              <w:left w:val="thinThickThinSmallGap" w:sz="24" w:space="0" w:color="auto"/>
            </w:tcBorders>
            <w:shd w:val="clear" w:color="auto" w:fill="D9D9D9"/>
          </w:tcPr>
          <w:p w:rsidR="00E82929" w:rsidRPr="008608F1" w:rsidRDefault="00E82929" w:rsidP="00E82929">
            <w:pPr>
              <w:spacing w:line="180" w:lineRule="exact"/>
              <w:contextualSpacing/>
              <w:rPr>
                <w:rFonts w:cs="Calibri"/>
                <w:b/>
                <w:color w:val="auto"/>
                <w:sz w:val="18"/>
              </w:rPr>
            </w:pPr>
            <w:r w:rsidRPr="008608F1">
              <w:rPr>
                <w:b/>
                <w:color w:val="auto"/>
                <w:sz w:val="18"/>
              </w:rPr>
              <w:t>Combined:  60%**</w:t>
            </w:r>
          </w:p>
        </w:tc>
      </w:tr>
    </w:tbl>
    <w:p w:rsidR="00E82929" w:rsidRPr="008608F1" w:rsidRDefault="00E82929" w:rsidP="00E82929">
      <w:pPr>
        <w:pBdr>
          <w:bottom w:val="single" w:sz="12" w:space="1" w:color="auto"/>
        </w:pBdr>
        <w:tabs>
          <w:tab w:val="left" w:pos="288"/>
          <w:tab w:val="left" w:pos="4752"/>
        </w:tabs>
        <w:spacing w:line="180" w:lineRule="exact"/>
        <w:jc w:val="both"/>
        <w:rPr>
          <w:color w:val="auto"/>
          <w:sz w:val="18"/>
          <w:szCs w:val="18"/>
        </w:rPr>
      </w:pPr>
      <w:r w:rsidRPr="008608F1">
        <w:rPr>
          <w:color w:val="auto"/>
          <w:sz w:val="18"/>
          <w:szCs w:val="18"/>
        </w:rPr>
        <w:t>*VARD 20070202 added PTSD @ 10% &amp; OSA @ 0% effective 20060713.  Combined rating remained 60%.</w:t>
      </w:r>
    </w:p>
    <w:p w:rsidR="00E82929" w:rsidRPr="008608F1" w:rsidRDefault="00E82929" w:rsidP="00E82929">
      <w:pPr>
        <w:pBdr>
          <w:bottom w:val="single" w:sz="12" w:space="1" w:color="auto"/>
        </w:pBdr>
        <w:tabs>
          <w:tab w:val="left" w:pos="288"/>
          <w:tab w:val="left" w:pos="4752"/>
        </w:tabs>
        <w:spacing w:line="180" w:lineRule="exact"/>
        <w:jc w:val="both"/>
        <w:rPr>
          <w:color w:val="auto"/>
          <w:sz w:val="18"/>
          <w:szCs w:val="18"/>
        </w:rPr>
      </w:pPr>
      <w:r w:rsidRPr="008608F1">
        <w:rPr>
          <w:color w:val="auto"/>
          <w:sz w:val="18"/>
          <w:szCs w:val="18"/>
        </w:rPr>
        <w:t>**VARD 20080117 raised OSA to 50% retroactive to 20050414 and raised PTSD to 50% effective 20060713.  Combined rating was raised to 80% effective retroactive to 20050414, and to 90% effective 20060713.</w:t>
      </w:r>
    </w:p>
    <w:p w:rsidR="00E82929" w:rsidRPr="008608F1" w:rsidRDefault="00E82929" w:rsidP="00E82929">
      <w:pPr>
        <w:pBdr>
          <w:bottom w:val="single" w:sz="12" w:space="1" w:color="auto"/>
        </w:pBdr>
        <w:tabs>
          <w:tab w:val="left" w:pos="288"/>
          <w:tab w:val="left" w:pos="4752"/>
        </w:tabs>
        <w:spacing w:line="180" w:lineRule="exact"/>
        <w:jc w:val="both"/>
        <w:rPr>
          <w:color w:val="auto"/>
          <w:sz w:val="18"/>
          <w:szCs w:val="18"/>
        </w:rPr>
      </w:pPr>
      <w:r w:rsidRPr="008608F1">
        <w:rPr>
          <w:color w:val="auto"/>
          <w:sz w:val="18"/>
          <w:szCs w:val="18"/>
        </w:rPr>
        <w:t>*** VARD 20091015 awarded a temporary 100% rating based on surgical or other treatment necessitating convalescence, effective 20090916 to 20100101.  VARD 20100511 extended the 100% rating through 20100430.</w:t>
      </w:r>
    </w:p>
    <w:p w:rsidR="00E82929" w:rsidRPr="008608F1" w:rsidRDefault="00E82929" w:rsidP="00E82929">
      <w:pPr>
        <w:pBdr>
          <w:bottom w:val="single" w:sz="12" w:space="1" w:color="auto"/>
        </w:pBdr>
        <w:tabs>
          <w:tab w:val="left" w:pos="288"/>
          <w:tab w:val="left" w:pos="4752"/>
        </w:tabs>
        <w:spacing w:line="180" w:lineRule="exact"/>
        <w:jc w:val="both"/>
        <w:rPr>
          <w:color w:val="auto"/>
          <w:sz w:val="18"/>
          <w:szCs w:val="18"/>
        </w:rPr>
      </w:pPr>
      <w:r w:rsidRPr="008608F1">
        <w:rPr>
          <w:color w:val="auto"/>
          <w:sz w:val="18"/>
          <w:szCs w:val="18"/>
        </w:rPr>
        <w:t>****VARD 20110914 (DRO Decision) reinstated a temporary 100% rating, again for surgical or other treatment necessitating</w:t>
      </w:r>
    </w:p>
    <w:p w:rsidR="00F90376" w:rsidRPr="008608F1" w:rsidRDefault="00E82929" w:rsidP="00E82929">
      <w:pPr>
        <w:pBdr>
          <w:bottom w:val="single" w:sz="12" w:space="1" w:color="auto"/>
        </w:pBdr>
        <w:tabs>
          <w:tab w:val="left" w:pos="288"/>
          <w:tab w:val="left" w:pos="4752"/>
        </w:tabs>
        <w:spacing w:line="180" w:lineRule="exact"/>
        <w:jc w:val="both"/>
        <w:rPr>
          <w:color w:val="auto"/>
        </w:rPr>
      </w:pPr>
      <w:r w:rsidRPr="008608F1">
        <w:rPr>
          <w:color w:val="auto"/>
          <w:sz w:val="18"/>
          <w:szCs w:val="18"/>
        </w:rPr>
        <w:t xml:space="preserve"> convalescence, from 20100923 to 20101130.  This VARD also raised the rating for DJD L-Spine to 40% effective 20110831, and the permanent combined rating to 100% effective 20110831.</w:t>
      </w:r>
    </w:p>
    <w:p w:rsidR="00F90376" w:rsidRPr="008608F1" w:rsidRDefault="00F90376" w:rsidP="00F90376">
      <w:pPr>
        <w:pBdr>
          <w:bottom w:val="single" w:sz="12" w:space="1" w:color="auto"/>
        </w:pBdr>
        <w:tabs>
          <w:tab w:val="left" w:pos="288"/>
          <w:tab w:val="left" w:pos="4752"/>
        </w:tabs>
        <w:jc w:val="both"/>
        <w:rPr>
          <w:color w:val="auto"/>
        </w:rPr>
      </w:pPr>
    </w:p>
    <w:p w:rsidR="00AD2379" w:rsidRPr="008608F1" w:rsidRDefault="00AD2379" w:rsidP="00165C7B">
      <w:pPr>
        <w:jc w:val="both"/>
        <w:rPr>
          <w:color w:val="auto"/>
        </w:rPr>
      </w:pPr>
    </w:p>
    <w:p w:rsidR="00DC7447" w:rsidRPr="008608F1" w:rsidRDefault="00AD2379" w:rsidP="008608F1">
      <w:pPr>
        <w:jc w:val="both"/>
        <w:rPr>
          <w:color w:val="auto"/>
        </w:rPr>
      </w:pPr>
      <w:r w:rsidRPr="008608F1">
        <w:rPr>
          <w:color w:val="auto"/>
          <w:u w:val="single"/>
        </w:rPr>
        <w:t>ANALYSIS SUMMARY</w:t>
      </w:r>
      <w:r w:rsidRPr="008608F1">
        <w:rPr>
          <w:color w:val="auto"/>
        </w:rPr>
        <w:t>:</w:t>
      </w:r>
      <w:r w:rsidR="00896C01" w:rsidRPr="008608F1">
        <w:rPr>
          <w:color w:val="auto"/>
        </w:rPr>
        <w:t xml:space="preserve"> </w:t>
      </w:r>
      <w:r w:rsidRPr="008608F1">
        <w:rPr>
          <w:color w:val="auto"/>
        </w:rPr>
        <w:t xml:space="preserve"> </w:t>
      </w:r>
      <w:r w:rsidR="00DC7447" w:rsidRPr="008608F1">
        <w:rPr>
          <w:color w:val="auto"/>
        </w:rPr>
        <w:t xml:space="preserve">The Board acknowledges the CI’s assertions that he was only evaluated </w:t>
      </w:r>
      <w:r w:rsidR="00F5317B" w:rsidRPr="008608F1">
        <w:rPr>
          <w:color w:val="auto"/>
        </w:rPr>
        <w:t>for the</w:t>
      </w:r>
      <w:r w:rsidR="00DC7447" w:rsidRPr="008608F1">
        <w:rPr>
          <w:color w:val="auto"/>
        </w:rPr>
        <w:t xml:space="preserve"> left knee condition and that nothing else was taken into consideration.</w:t>
      </w:r>
      <w:r w:rsidR="005E5693" w:rsidRPr="008608F1">
        <w:rPr>
          <w:color w:val="auto"/>
        </w:rPr>
        <w:t xml:space="preserve"> </w:t>
      </w:r>
      <w:r w:rsidR="00DC7447" w:rsidRPr="008608F1">
        <w:rPr>
          <w:color w:val="auto"/>
        </w:rPr>
        <w:t xml:space="preserve"> It is noted for the record that the Board has neither the jurisdiction nor authority to scrutinize or render opinions in reference to the CI’s statements in the application regarding suspected improprieties in the processing of his case. </w:t>
      </w:r>
      <w:r w:rsidR="005E5693" w:rsidRPr="008608F1">
        <w:rPr>
          <w:color w:val="auto"/>
        </w:rPr>
        <w:t xml:space="preserve"> </w:t>
      </w:r>
      <w:r w:rsidR="00DC7447" w:rsidRPr="008608F1">
        <w:rPr>
          <w:color w:val="auto"/>
        </w:rPr>
        <w:t xml:space="preserve">The Board’s role is confined to the review of medical records and all evidence at hand to assess the fairness of PEB rating determinations, compared to VASRD standards, based on severity at the time of separation. </w:t>
      </w:r>
      <w:r w:rsidR="005E5693" w:rsidRPr="008608F1">
        <w:rPr>
          <w:color w:val="auto"/>
        </w:rPr>
        <w:t xml:space="preserve"> </w:t>
      </w:r>
      <w:r w:rsidR="00DC7447" w:rsidRPr="008608F1">
        <w:rPr>
          <w:color w:val="auto"/>
        </w:rPr>
        <w:t xml:space="preserve">It must also judge the fairness of PEB fitness adjudications based on the fitness consequences of conditions as they existed at the time of separation. </w:t>
      </w:r>
      <w:r w:rsidR="00DE69B5" w:rsidRPr="008608F1">
        <w:rPr>
          <w:color w:val="auto"/>
        </w:rPr>
        <w:t xml:space="preserve"> </w:t>
      </w:r>
      <w:r w:rsidR="00DC7447" w:rsidRPr="008608F1">
        <w:rPr>
          <w:color w:val="auto"/>
        </w:rPr>
        <w:t xml:space="preserve">The Disability Evaluation System (DES) is responsible for maintaining a fit and vital fighting force. </w:t>
      </w:r>
      <w:r w:rsidR="005E5693" w:rsidRPr="008608F1">
        <w:rPr>
          <w:color w:val="auto"/>
        </w:rPr>
        <w:t xml:space="preserve"> </w:t>
      </w:r>
      <w:r w:rsidR="00DC7447" w:rsidRPr="008608F1">
        <w:rPr>
          <w:color w:val="auto"/>
        </w:rPr>
        <w:t>While the DES considers all of the member's medical conditions, compensation can only be offered for those medical conditions that cut short a member’s career, and then only to the degree of severity present at the time of final disposition.</w:t>
      </w:r>
      <w:r w:rsidR="005E5693" w:rsidRPr="008608F1">
        <w:rPr>
          <w:color w:val="auto"/>
        </w:rPr>
        <w:t xml:space="preserve"> </w:t>
      </w:r>
      <w:r w:rsidR="00DC7447" w:rsidRPr="008608F1">
        <w:rPr>
          <w:color w:val="auto"/>
        </w:rPr>
        <w:t xml:space="preserve"> However the Department of Veteran</w:t>
      </w:r>
      <w:r w:rsidR="00D75F91">
        <w:rPr>
          <w:color w:val="auto"/>
        </w:rPr>
        <w:t>s’</w:t>
      </w:r>
      <w:r w:rsidR="00827310">
        <w:rPr>
          <w:color w:val="auto"/>
        </w:rPr>
        <w:t xml:space="preserve"> Affairs</w:t>
      </w:r>
      <w:r w:rsidR="00DC7447" w:rsidRPr="008608F1">
        <w:rPr>
          <w:color w:val="auto"/>
        </w:rPr>
        <w:t>, operating under a different set of laws (Title 38, United States Code), is empowered to compensate service</w:t>
      </w:r>
      <w:r w:rsidR="00D75F91">
        <w:rPr>
          <w:color w:val="auto"/>
        </w:rPr>
        <w:t>-</w:t>
      </w:r>
      <w:r w:rsidR="00DC7447" w:rsidRPr="008608F1">
        <w:rPr>
          <w:color w:val="auto"/>
        </w:rPr>
        <w:t xml:space="preserve">connected conditions and to periodically re-evaluate said conditions for the purpose of adjusting the </w:t>
      </w:r>
      <w:r w:rsidR="00D75F91">
        <w:rPr>
          <w:color w:val="auto"/>
        </w:rPr>
        <w:t>V</w:t>
      </w:r>
      <w:r w:rsidR="00DC7447" w:rsidRPr="008608F1">
        <w:rPr>
          <w:color w:val="auto"/>
        </w:rPr>
        <w:t xml:space="preserve">eteran’s disability rating should </w:t>
      </w:r>
      <w:r w:rsidR="00827310">
        <w:rPr>
          <w:color w:val="auto"/>
        </w:rPr>
        <w:t>the</w:t>
      </w:r>
      <w:r w:rsidR="00DC7447" w:rsidRPr="008608F1">
        <w:rPr>
          <w:color w:val="auto"/>
        </w:rPr>
        <w:t xml:space="preserve"> degree of impairment vary over time. </w:t>
      </w:r>
    </w:p>
    <w:p w:rsidR="00AD2379" w:rsidRPr="008608F1" w:rsidRDefault="00AD2379" w:rsidP="008608F1">
      <w:pPr>
        <w:jc w:val="both"/>
        <w:rPr>
          <w:color w:val="auto"/>
        </w:rPr>
      </w:pPr>
    </w:p>
    <w:p w:rsidR="00E82929" w:rsidRPr="002E498A" w:rsidRDefault="00E82929" w:rsidP="008608F1">
      <w:pPr>
        <w:jc w:val="both"/>
        <w:rPr>
          <w:color w:val="auto"/>
        </w:rPr>
      </w:pPr>
      <w:r w:rsidRPr="008608F1">
        <w:rPr>
          <w:color w:val="auto"/>
          <w:szCs w:val="24"/>
          <w:u w:val="single"/>
        </w:rPr>
        <w:t xml:space="preserve">Chronic Left Knee Pain, </w:t>
      </w:r>
      <w:r w:rsidR="00097D70" w:rsidRPr="008608F1">
        <w:rPr>
          <w:color w:val="auto"/>
          <w:szCs w:val="24"/>
          <w:u w:val="single"/>
        </w:rPr>
        <w:t>S/P</w:t>
      </w:r>
      <w:r w:rsidRPr="008608F1">
        <w:rPr>
          <w:color w:val="auto"/>
          <w:szCs w:val="24"/>
          <w:u w:val="single"/>
        </w:rPr>
        <w:t xml:space="preserve"> Meniscal Repair and Repair </w:t>
      </w:r>
      <w:r w:rsidR="00F5317B" w:rsidRPr="008608F1">
        <w:rPr>
          <w:color w:val="auto"/>
          <w:szCs w:val="24"/>
          <w:u w:val="single"/>
        </w:rPr>
        <w:t>of</w:t>
      </w:r>
      <w:r w:rsidRPr="008608F1">
        <w:rPr>
          <w:color w:val="auto"/>
          <w:szCs w:val="24"/>
          <w:u w:val="single"/>
        </w:rPr>
        <w:t xml:space="preserve"> Partial Tear </w:t>
      </w:r>
      <w:r w:rsidR="00F5317B" w:rsidRPr="008608F1">
        <w:rPr>
          <w:color w:val="auto"/>
          <w:szCs w:val="24"/>
          <w:u w:val="single"/>
        </w:rPr>
        <w:t>of</w:t>
      </w:r>
      <w:r w:rsidRPr="008608F1">
        <w:rPr>
          <w:color w:val="auto"/>
          <w:szCs w:val="24"/>
          <w:u w:val="single"/>
        </w:rPr>
        <w:t xml:space="preserve"> Patellar Tendon</w:t>
      </w:r>
      <w:r w:rsidRPr="008608F1">
        <w:rPr>
          <w:color w:val="auto"/>
          <w:u w:val="single"/>
        </w:rPr>
        <w:t xml:space="preserve"> Condition</w:t>
      </w:r>
      <w:r w:rsidRPr="008608F1">
        <w:rPr>
          <w:color w:val="auto"/>
        </w:rPr>
        <w:t xml:space="preserve">.  </w:t>
      </w:r>
      <w:r w:rsidRPr="008608F1">
        <w:rPr>
          <w:color w:val="auto"/>
          <w:szCs w:val="24"/>
        </w:rPr>
        <w:t>There were two range</w:t>
      </w:r>
      <w:r w:rsidR="00D75F91">
        <w:rPr>
          <w:color w:val="auto"/>
          <w:szCs w:val="24"/>
        </w:rPr>
        <w:t>-</w:t>
      </w:r>
      <w:r w:rsidRPr="008608F1">
        <w:rPr>
          <w:color w:val="auto"/>
          <w:szCs w:val="24"/>
        </w:rPr>
        <w:t>of</w:t>
      </w:r>
      <w:r w:rsidR="00D75F91">
        <w:rPr>
          <w:color w:val="auto"/>
          <w:szCs w:val="24"/>
        </w:rPr>
        <w:t>-</w:t>
      </w:r>
      <w:r w:rsidRPr="008608F1">
        <w:rPr>
          <w:color w:val="auto"/>
          <w:szCs w:val="24"/>
        </w:rPr>
        <w:t>motion (ROM) evaluations in evidence, with documentation of additional ratable criteria, which the Board weighed in arriving at its rating recommendation</w:t>
      </w:r>
      <w:r w:rsidR="00346691">
        <w:rPr>
          <w:color w:val="auto"/>
          <w:szCs w:val="24"/>
        </w:rPr>
        <w:t>,</w:t>
      </w:r>
      <w:r w:rsidRPr="008608F1">
        <w:rPr>
          <w:color w:val="auto"/>
          <w:szCs w:val="24"/>
        </w:rPr>
        <w:t xml:space="preserve"> as summarized in the chart below.  </w:t>
      </w:r>
    </w:p>
    <w:p w:rsidR="00E82929" w:rsidRPr="002E498A" w:rsidRDefault="00E82929" w:rsidP="00515DCF">
      <w:pPr>
        <w:jc w:val="left"/>
        <w:rPr>
          <w:rFonts w:asciiTheme="majorHAnsi" w:hAnsiTheme="majorHAnsi" w:cstheme="majorHAnsi"/>
          <w:color w:val="auto"/>
          <w:sz w:val="18"/>
          <w:szCs w:val="18"/>
        </w:rPr>
      </w:pPr>
    </w:p>
    <w:tbl>
      <w:tblPr>
        <w:tblW w:w="9246" w:type="dxa"/>
        <w:jc w:val="center"/>
        <w:tblInd w:w="-1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093"/>
        <w:gridCol w:w="3420"/>
        <w:gridCol w:w="2733"/>
      </w:tblGrid>
      <w:tr w:rsidR="00E82929" w:rsidRPr="002E498A" w:rsidTr="00863C3E">
        <w:trPr>
          <w:jc w:val="center"/>
        </w:trPr>
        <w:tc>
          <w:tcPr>
            <w:tcW w:w="3093" w:type="dxa"/>
            <w:shd w:val="clear" w:color="auto" w:fill="D9D9D9"/>
            <w:vAlign w:val="center"/>
          </w:tcPr>
          <w:p w:rsidR="00E82929" w:rsidRPr="002E498A" w:rsidRDefault="00E82929" w:rsidP="002E498A">
            <w:pPr>
              <w:spacing w:line="200" w:lineRule="exact"/>
              <w:contextualSpacing/>
              <w:rPr>
                <w:rFonts w:asciiTheme="majorHAnsi" w:hAnsiTheme="majorHAnsi" w:cstheme="majorHAnsi"/>
                <w:color w:val="auto"/>
                <w:sz w:val="18"/>
                <w:szCs w:val="18"/>
              </w:rPr>
            </w:pPr>
            <w:r w:rsidRPr="002E498A">
              <w:rPr>
                <w:rFonts w:asciiTheme="majorHAnsi" w:hAnsiTheme="majorHAnsi" w:cstheme="majorHAnsi"/>
                <w:color w:val="auto"/>
                <w:sz w:val="18"/>
                <w:szCs w:val="18"/>
              </w:rPr>
              <w:t>Left Knee ROM</w:t>
            </w:r>
          </w:p>
        </w:tc>
        <w:tc>
          <w:tcPr>
            <w:tcW w:w="3420" w:type="dxa"/>
            <w:shd w:val="clear" w:color="auto" w:fill="D9D9D9"/>
            <w:vAlign w:val="center"/>
          </w:tcPr>
          <w:p w:rsidR="00E82929" w:rsidRPr="002E498A" w:rsidRDefault="00E82929" w:rsidP="002E498A">
            <w:pPr>
              <w:spacing w:line="200" w:lineRule="exact"/>
              <w:contextualSpacing/>
              <w:rPr>
                <w:rFonts w:asciiTheme="majorHAnsi" w:hAnsiTheme="majorHAnsi" w:cstheme="majorHAnsi"/>
                <w:color w:val="auto"/>
                <w:sz w:val="18"/>
                <w:szCs w:val="18"/>
              </w:rPr>
            </w:pPr>
            <w:r w:rsidRPr="002E498A">
              <w:rPr>
                <w:rFonts w:asciiTheme="majorHAnsi" w:hAnsiTheme="majorHAnsi" w:cstheme="majorHAnsi"/>
                <w:color w:val="auto"/>
                <w:sz w:val="18"/>
                <w:szCs w:val="18"/>
              </w:rPr>
              <w:t>MEB ~5 Mo. Pre-Sep</w:t>
            </w:r>
          </w:p>
        </w:tc>
        <w:tc>
          <w:tcPr>
            <w:tcW w:w="2733" w:type="dxa"/>
            <w:shd w:val="clear" w:color="auto" w:fill="D9D9D9"/>
            <w:vAlign w:val="center"/>
          </w:tcPr>
          <w:p w:rsidR="00E82929" w:rsidRPr="002E498A" w:rsidRDefault="00E82929" w:rsidP="002E498A">
            <w:pPr>
              <w:spacing w:line="200" w:lineRule="exact"/>
              <w:contextualSpacing/>
              <w:rPr>
                <w:rFonts w:asciiTheme="majorHAnsi" w:hAnsiTheme="majorHAnsi" w:cstheme="majorHAnsi"/>
                <w:color w:val="auto"/>
                <w:sz w:val="18"/>
                <w:szCs w:val="18"/>
              </w:rPr>
            </w:pPr>
            <w:r w:rsidRPr="002E498A">
              <w:rPr>
                <w:rFonts w:asciiTheme="majorHAnsi" w:hAnsiTheme="majorHAnsi" w:cstheme="majorHAnsi"/>
                <w:color w:val="auto"/>
                <w:sz w:val="18"/>
                <w:szCs w:val="18"/>
              </w:rPr>
              <w:t>VA C&amp;P ~3.5 Mo. Post-Sep</w:t>
            </w:r>
          </w:p>
        </w:tc>
      </w:tr>
      <w:tr w:rsidR="00E82929" w:rsidRPr="002E498A" w:rsidTr="00863C3E">
        <w:trPr>
          <w:jc w:val="center"/>
        </w:trPr>
        <w:tc>
          <w:tcPr>
            <w:tcW w:w="3093" w:type="dxa"/>
            <w:vAlign w:val="center"/>
          </w:tcPr>
          <w:p w:rsidR="00E82929" w:rsidRPr="002E498A" w:rsidRDefault="00E82929" w:rsidP="002E498A">
            <w:pPr>
              <w:spacing w:line="200" w:lineRule="exact"/>
              <w:contextualSpacing/>
              <w:rPr>
                <w:rFonts w:asciiTheme="majorHAnsi" w:hAnsiTheme="majorHAnsi" w:cstheme="majorHAnsi"/>
                <w:color w:val="auto"/>
                <w:sz w:val="18"/>
                <w:szCs w:val="18"/>
              </w:rPr>
            </w:pPr>
            <w:r w:rsidRPr="002E498A">
              <w:rPr>
                <w:rFonts w:asciiTheme="majorHAnsi" w:hAnsiTheme="majorHAnsi" w:cstheme="majorHAnsi"/>
                <w:color w:val="auto"/>
                <w:sz w:val="18"/>
                <w:szCs w:val="18"/>
              </w:rPr>
              <w:t>Flexion (140⁰ Normal)</w:t>
            </w:r>
          </w:p>
        </w:tc>
        <w:tc>
          <w:tcPr>
            <w:tcW w:w="3420" w:type="dxa"/>
            <w:vAlign w:val="center"/>
          </w:tcPr>
          <w:p w:rsidR="00E82929" w:rsidRPr="002E498A" w:rsidRDefault="00E82929" w:rsidP="002E498A">
            <w:pPr>
              <w:spacing w:line="200" w:lineRule="exact"/>
              <w:contextualSpacing/>
              <w:rPr>
                <w:rFonts w:asciiTheme="majorHAnsi" w:hAnsiTheme="majorHAnsi" w:cstheme="majorHAnsi"/>
                <w:color w:val="auto"/>
                <w:sz w:val="18"/>
                <w:szCs w:val="18"/>
              </w:rPr>
            </w:pPr>
            <w:r w:rsidRPr="002E498A">
              <w:rPr>
                <w:rFonts w:asciiTheme="majorHAnsi" w:hAnsiTheme="majorHAnsi" w:cstheme="majorHAnsi"/>
                <w:color w:val="auto"/>
                <w:sz w:val="18"/>
                <w:szCs w:val="18"/>
              </w:rPr>
              <w:t>80⁰</w:t>
            </w:r>
          </w:p>
        </w:tc>
        <w:tc>
          <w:tcPr>
            <w:tcW w:w="2733" w:type="dxa"/>
            <w:vAlign w:val="center"/>
          </w:tcPr>
          <w:p w:rsidR="00E82929" w:rsidRPr="002E498A" w:rsidRDefault="00E82929" w:rsidP="002E498A">
            <w:pPr>
              <w:spacing w:line="200" w:lineRule="exact"/>
              <w:contextualSpacing/>
              <w:rPr>
                <w:rFonts w:asciiTheme="majorHAnsi" w:hAnsiTheme="majorHAnsi" w:cstheme="majorHAnsi"/>
                <w:color w:val="auto"/>
                <w:sz w:val="18"/>
                <w:szCs w:val="18"/>
              </w:rPr>
            </w:pPr>
            <w:r w:rsidRPr="002E498A">
              <w:rPr>
                <w:rFonts w:asciiTheme="majorHAnsi" w:hAnsiTheme="majorHAnsi" w:cstheme="majorHAnsi"/>
                <w:color w:val="auto"/>
                <w:sz w:val="18"/>
                <w:szCs w:val="18"/>
              </w:rPr>
              <w:t>“normal”</w:t>
            </w:r>
          </w:p>
        </w:tc>
      </w:tr>
      <w:tr w:rsidR="00E82929" w:rsidRPr="002E498A" w:rsidTr="00863C3E">
        <w:trPr>
          <w:jc w:val="center"/>
        </w:trPr>
        <w:tc>
          <w:tcPr>
            <w:tcW w:w="3093" w:type="dxa"/>
            <w:tcBorders>
              <w:bottom w:val="single" w:sz="4" w:space="0" w:color="auto"/>
            </w:tcBorders>
            <w:vAlign w:val="center"/>
          </w:tcPr>
          <w:p w:rsidR="00E82929" w:rsidRPr="002E498A" w:rsidRDefault="00E82929" w:rsidP="002E498A">
            <w:pPr>
              <w:spacing w:line="200" w:lineRule="exact"/>
              <w:contextualSpacing/>
              <w:rPr>
                <w:rFonts w:asciiTheme="majorHAnsi" w:hAnsiTheme="majorHAnsi" w:cstheme="majorHAnsi"/>
                <w:color w:val="auto"/>
                <w:sz w:val="18"/>
                <w:szCs w:val="18"/>
              </w:rPr>
            </w:pPr>
            <w:r w:rsidRPr="002E498A">
              <w:rPr>
                <w:rFonts w:asciiTheme="majorHAnsi" w:hAnsiTheme="majorHAnsi" w:cstheme="majorHAnsi"/>
                <w:color w:val="auto"/>
                <w:sz w:val="18"/>
                <w:szCs w:val="18"/>
              </w:rPr>
              <w:t>Extension (0⁰ Normal)</w:t>
            </w:r>
          </w:p>
        </w:tc>
        <w:tc>
          <w:tcPr>
            <w:tcW w:w="3420" w:type="dxa"/>
            <w:tcBorders>
              <w:bottom w:val="single" w:sz="4" w:space="0" w:color="auto"/>
            </w:tcBorders>
            <w:vAlign w:val="center"/>
          </w:tcPr>
          <w:p w:rsidR="00E82929" w:rsidRPr="002E498A" w:rsidRDefault="00E82929" w:rsidP="002E498A">
            <w:pPr>
              <w:spacing w:line="200" w:lineRule="exact"/>
              <w:contextualSpacing/>
              <w:rPr>
                <w:rFonts w:asciiTheme="majorHAnsi" w:hAnsiTheme="majorHAnsi" w:cstheme="majorHAnsi"/>
                <w:color w:val="auto"/>
                <w:sz w:val="18"/>
                <w:szCs w:val="18"/>
              </w:rPr>
            </w:pPr>
            <w:r w:rsidRPr="002E498A">
              <w:rPr>
                <w:rFonts w:asciiTheme="majorHAnsi" w:hAnsiTheme="majorHAnsi" w:cstheme="majorHAnsi"/>
                <w:color w:val="auto"/>
                <w:sz w:val="18"/>
                <w:szCs w:val="18"/>
              </w:rPr>
              <w:t>3⁰</w:t>
            </w:r>
          </w:p>
        </w:tc>
        <w:tc>
          <w:tcPr>
            <w:tcW w:w="2733" w:type="dxa"/>
            <w:tcBorders>
              <w:bottom w:val="single" w:sz="4" w:space="0" w:color="auto"/>
            </w:tcBorders>
            <w:vAlign w:val="center"/>
          </w:tcPr>
          <w:p w:rsidR="00E82929" w:rsidRPr="002E498A" w:rsidRDefault="00E82929" w:rsidP="002E498A">
            <w:pPr>
              <w:spacing w:line="200" w:lineRule="exact"/>
              <w:contextualSpacing/>
              <w:rPr>
                <w:rFonts w:asciiTheme="majorHAnsi" w:hAnsiTheme="majorHAnsi" w:cstheme="majorHAnsi"/>
                <w:color w:val="auto"/>
                <w:sz w:val="18"/>
                <w:szCs w:val="18"/>
              </w:rPr>
            </w:pPr>
            <w:r w:rsidRPr="002E498A">
              <w:rPr>
                <w:rFonts w:asciiTheme="majorHAnsi" w:hAnsiTheme="majorHAnsi" w:cstheme="majorHAnsi"/>
                <w:color w:val="auto"/>
                <w:sz w:val="18"/>
                <w:szCs w:val="18"/>
              </w:rPr>
              <w:t>“lacking 10⁰”</w:t>
            </w:r>
          </w:p>
        </w:tc>
      </w:tr>
      <w:tr w:rsidR="00E82929" w:rsidRPr="002E498A" w:rsidTr="00863C3E">
        <w:trPr>
          <w:jc w:val="center"/>
        </w:trPr>
        <w:tc>
          <w:tcPr>
            <w:tcW w:w="3093" w:type="dxa"/>
            <w:tcBorders>
              <w:top w:val="single" w:sz="4" w:space="0" w:color="auto"/>
              <w:left w:val="single" w:sz="4" w:space="0" w:color="auto"/>
              <w:bottom w:val="single" w:sz="4" w:space="0" w:color="auto"/>
              <w:right w:val="single" w:sz="4" w:space="0" w:color="auto"/>
            </w:tcBorders>
            <w:vAlign w:val="center"/>
          </w:tcPr>
          <w:p w:rsidR="00E82929" w:rsidRPr="002E498A" w:rsidRDefault="00E82929" w:rsidP="002E498A">
            <w:pPr>
              <w:tabs>
                <w:tab w:val="left" w:pos="288"/>
                <w:tab w:val="left" w:pos="4752"/>
              </w:tabs>
              <w:spacing w:line="200" w:lineRule="exact"/>
              <w:rPr>
                <w:rFonts w:asciiTheme="majorHAnsi" w:hAnsiTheme="majorHAnsi" w:cstheme="majorHAnsi"/>
                <w:color w:val="auto"/>
                <w:sz w:val="18"/>
                <w:szCs w:val="18"/>
              </w:rPr>
            </w:pPr>
            <w:r w:rsidRPr="002E498A">
              <w:rPr>
                <w:rFonts w:asciiTheme="majorHAnsi" w:hAnsiTheme="majorHAnsi" w:cstheme="majorHAnsi"/>
                <w:color w:val="auto"/>
                <w:sz w:val="18"/>
                <w:szCs w:val="18"/>
              </w:rPr>
              <w:t>Comment</w:t>
            </w:r>
            <w:r w:rsidR="002E498A">
              <w:rPr>
                <w:rFonts w:asciiTheme="majorHAnsi" w:hAnsiTheme="majorHAnsi" w:cstheme="majorHAnsi"/>
                <w:color w:val="auto"/>
                <w:sz w:val="18"/>
                <w:szCs w:val="18"/>
              </w:rPr>
              <w:t xml:space="preserve">:  </w:t>
            </w:r>
          </w:p>
          <w:p w:rsidR="007F12AF" w:rsidRPr="002E498A" w:rsidRDefault="007F12AF" w:rsidP="002E498A">
            <w:pPr>
              <w:tabs>
                <w:tab w:val="left" w:pos="288"/>
                <w:tab w:val="left" w:pos="4752"/>
              </w:tabs>
              <w:spacing w:line="200" w:lineRule="exact"/>
              <w:rPr>
                <w:rFonts w:asciiTheme="majorHAnsi" w:hAnsiTheme="majorHAnsi" w:cstheme="majorHAnsi"/>
                <w:color w:val="auto"/>
                <w:sz w:val="18"/>
                <w:szCs w:val="18"/>
              </w:rPr>
            </w:pPr>
            <w:r w:rsidRPr="002E498A">
              <w:rPr>
                <w:rFonts w:asciiTheme="majorHAnsi" w:hAnsiTheme="majorHAnsi" w:cstheme="majorHAnsi"/>
                <w:color w:val="auto"/>
                <w:sz w:val="18"/>
                <w:szCs w:val="18"/>
              </w:rPr>
              <w:t xml:space="preserve">2001 </w:t>
            </w:r>
            <w:r w:rsidR="00827310" w:rsidRPr="002E498A">
              <w:rPr>
                <w:rFonts w:asciiTheme="majorHAnsi" w:hAnsiTheme="majorHAnsi" w:cstheme="majorHAnsi"/>
                <w:color w:val="auto"/>
                <w:sz w:val="18"/>
                <w:szCs w:val="18"/>
              </w:rPr>
              <w:t>x-ray</w:t>
            </w:r>
            <w:r w:rsidRPr="002E498A">
              <w:rPr>
                <w:rFonts w:asciiTheme="majorHAnsi" w:hAnsiTheme="majorHAnsi" w:cstheme="majorHAnsi"/>
                <w:color w:val="auto"/>
                <w:sz w:val="18"/>
                <w:szCs w:val="18"/>
              </w:rPr>
              <w:t xml:space="preserve"> bone spur on patella</w:t>
            </w:r>
          </w:p>
          <w:p w:rsidR="004C02E9" w:rsidRPr="002E498A" w:rsidRDefault="004C02E9" w:rsidP="002E498A">
            <w:pPr>
              <w:tabs>
                <w:tab w:val="left" w:pos="288"/>
                <w:tab w:val="left" w:pos="4752"/>
              </w:tabs>
              <w:spacing w:line="200" w:lineRule="exact"/>
              <w:rPr>
                <w:rFonts w:asciiTheme="majorHAnsi" w:hAnsiTheme="majorHAnsi" w:cstheme="majorHAnsi"/>
                <w:color w:val="auto"/>
                <w:sz w:val="18"/>
                <w:szCs w:val="18"/>
              </w:rPr>
            </w:pPr>
            <w:r w:rsidRPr="002E498A">
              <w:rPr>
                <w:rFonts w:asciiTheme="majorHAnsi" w:hAnsiTheme="majorHAnsi" w:cstheme="majorHAnsi"/>
                <w:color w:val="auto"/>
                <w:sz w:val="18"/>
                <w:szCs w:val="18"/>
              </w:rPr>
              <w:t>2005-MRI-tear medial meniscus posterior horn</w:t>
            </w:r>
          </w:p>
        </w:tc>
        <w:tc>
          <w:tcPr>
            <w:tcW w:w="3420" w:type="dxa"/>
            <w:tcBorders>
              <w:top w:val="single" w:sz="4" w:space="0" w:color="auto"/>
              <w:left w:val="single" w:sz="4" w:space="0" w:color="auto"/>
              <w:bottom w:val="single" w:sz="4" w:space="0" w:color="auto"/>
              <w:right w:val="single" w:sz="4" w:space="0" w:color="auto"/>
            </w:tcBorders>
            <w:vAlign w:val="center"/>
          </w:tcPr>
          <w:p w:rsidR="00E82929" w:rsidRPr="002E498A" w:rsidRDefault="00DB55FB" w:rsidP="002E498A">
            <w:pPr>
              <w:tabs>
                <w:tab w:val="left" w:pos="288"/>
                <w:tab w:val="left" w:pos="4752"/>
              </w:tabs>
              <w:spacing w:line="200" w:lineRule="exact"/>
              <w:rPr>
                <w:rFonts w:asciiTheme="majorHAnsi" w:hAnsiTheme="majorHAnsi" w:cstheme="majorHAnsi"/>
                <w:color w:val="auto"/>
                <w:sz w:val="18"/>
                <w:szCs w:val="18"/>
              </w:rPr>
            </w:pPr>
            <w:r w:rsidRPr="002E498A">
              <w:rPr>
                <w:rFonts w:asciiTheme="majorHAnsi" w:hAnsiTheme="majorHAnsi" w:cstheme="majorHAnsi"/>
                <w:color w:val="auto"/>
                <w:sz w:val="18"/>
                <w:szCs w:val="18"/>
              </w:rPr>
              <w:t>Normal gait; p</w:t>
            </w:r>
            <w:r w:rsidR="00233AA3" w:rsidRPr="002E498A">
              <w:rPr>
                <w:rFonts w:asciiTheme="majorHAnsi" w:hAnsiTheme="majorHAnsi" w:cstheme="majorHAnsi"/>
                <w:color w:val="auto"/>
                <w:sz w:val="18"/>
                <w:szCs w:val="18"/>
              </w:rPr>
              <w:t>assive flexion 11</w:t>
            </w:r>
            <w:r w:rsidRPr="002E498A">
              <w:rPr>
                <w:rFonts w:asciiTheme="majorHAnsi" w:hAnsiTheme="majorHAnsi" w:cstheme="majorHAnsi"/>
                <w:color w:val="auto"/>
                <w:sz w:val="18"/>
                <w:szCs w:val="18"/>
              </w:rPr>
              <w:t>0⁰</w:t>
            </w:r>
            <w:r w:rsidR="00233AA3" w:rsidRPr="002E498A">
              <w:rPr>
                <w:rFonts w:asciiTheme="majorHAnsi" w:hAnsiTheme="majorHAnsi" w:cstheme="majorHAnsi"/>
                <w:color w:val="auto"/>
                <w:sz w:val="18"/>
                <w:szCs w:val="18"/>
              </w:rPr>
              <w:t xml:space="preserve">; painful </w:t>
            </w:r>
            <w:r w:rsidRPr="002E498A">
              <w:rPr>
                <w:rFonts w:asciiTheme="majorHAnsi" w:hAnsiTheme="majorHAnsi" w:cstheme="majorHAnsi"/>
                <w:color w:val="auto"/>
                <w:sz w:val="18"/>
                <w:szCs w:val="18"/>
              </w:rPr>
              <w:t>motion</w:t>
            </w:r>
            <w:r w:rsidR="00233AA3" w:rsidRPr="002E498A">
              <w:rPr>
                <w:rFonts w:asciiTheme="majorHAnsi" w:hAnsiTheme="majorHAnsi" w:cstheme="majorHAnsi"/>
                <w:color w:val="auto"/>
                <w:sz w:val="18"/>
                <w:szCs w:val="18"/>
              </w:rPr>
              <w:t>;</w:t>
            </w:r>
            <w:r w:rsidRPr="002E498A">
              <w:rPr>
                <w:rFonts w:asciiTheme="majorHAnsi" w:hAnsiTheme="majorHAnsi" w:cstheme="majorHAnsi"/>
                <w:color w:val="auto"/>
                <w:sz w:val="18"/>
                <w:szCs w:val="18"/>
              </w:rPr>
              <w:t xml:space="preserve"> Positive</w:t>
            </w:r>
            <w:r w:rsidR="00233AA3" w:rsidRPr="002E498A">
              <w:rPr>
                <w:rFonts w:asciiTheme="majorHAnsi" w:hAnsiTheme="majorHAnsi" w:cstheme="majorHAnsi"/>
                <w:color w:val="auto"/>
                <w:sz w:val="18"/>
                <w:szCs w:val="18"/>
              </w:rPr>
              <w:t xml:space="preserve"> McMurrays</w:t>
            </w:r>
            <w:r w:rsidR="008608F1" w:rsidRPr="002E498A">
              <w:rPr>
                <w:rFonts w:asciiTheme="majorHAnsi" w:hAnsiTheme="majorHAnsi" w:cstheme="majorHAnsi"/>
                <w:color w:val="auto"/>
                <w:sz w:val="18"/>
                <w:szCs w:val="18"/>
              </w:rPr>
              <w:t xml:space="preserve"> </w:t>
            </w:r>
            <w:r w:rsidRPr="002E498A">
              <w:rPr>
                <w:rFonts w:asciiTheme="majorHAnsi" w:hAnsiTheme="majorHAnsi" w:cstheme="majorHAnsi"/>
                <w:color w:val="auto"/>
                <w:sz w:val="18"/>
                <w:szCs w:val="18"/>
              </w:rPr>
              <w:t xml:space="preserve">and </w:t>
            </w:r>
            <w:r w:rsidR="00233AA3" w:rsidRPr="002E498A">
              <w:rPr>
                <w:rFonts w:asciiTheme="majorHAnsi" w:hAnsiTheme="majorHAnsi" w:cstheme="majorHAnsi"/>
                <w:color w:val="auto"/>
                <w:sz w:val="18"/>
                <w:szCs w:val="18"/>
              </w:rPr>
              <w:t>Apley</w:t>
            </w:r>
            <w:r w:rsidR="007343F9" w:rsidRPr="002E498A">
              <w:rPr>
                <w:rFonts w:asciiTheme="majorHAnsi" w:hAnsiTheme="majorHAnsi" w:cstheme="majorHAnsi"/>
                <w:color w:val="auto"/>
                <w:sz w:val="18"/>
                <w:szCs w:val="18"/>
              </w:rPr>
              <w:t>’</w:t>
            </w:r>
            <w:r w:rsidR="00233AA3" w:rsidRPr="002E498A">
              <w:rPr>
                <w:rFonts w:asciiTheme="majorHAnsi" w:hAnsiTheme="majorHAnsi" w:cstheme="majorHAnsi"/>
                <w:color w:val="auto"/>
                <w:sz w:val="18"/>
                <w:szCs w:val="18"/>
              </w:rPr>
              <w:t>s</w:t>
            </w:r>
            <w:r w:rsidR="00F55EBD" w:rsidRPr="002E498A">
              <w:rPr>
                <w:rFonts w:asciiTheme="majorHAnsi" w:hAnsiTheme="majorHAnsi" w:cstheme="majorHAnsi"/>
                <w:color w:val="auto"/>
                <w:sz w:val="18"/>
                <w:szCs w:val="18"/>
              </w:rPr>
              <w:t xml:space="preserve"> signs</w:t>
            </w:r>
            <w:r w:rsidR="008608F1" w:rsidRPr="002E498A">
              <w:rPr>
                <w:rFonts w:asciiTheme="majorHAnsi" w:hAnsiTheme="majorHAnsi" w:cstheme="majorHAnsi"/>
                <w:color w:val="auto"/>
                <w:sz w:val="18"/>
                <w:szCs w:val="18"/>
              </w:rPr>
              <w:t xml:space="preserve">; </w:t>
            </w:r>
            <w:r w:rsidR="00F55EBD" w:rsidRPr="002E498A">
              <w:rPr>
                <w:rFonts w:asciiTheme="majorHAnsi" w:hAnsiTheme="majorHAnsi" w:cstheme="majorHAnsi"/>
                <w:color w:val="auto"/>
                <w:sz w:val="18"/>
                <w:szCs w:val="18"/>
              </w:rPr>
              <w:t>tenderness on palpation (TTP)</w:t>
            </w:r>
            <w:r w:rsidRPr="002E498A">
              <w:rPr>
                <w:rFonts w:asciiTheme="majorHAnsi" w:hAnsiTheme="majorHAnsi" w:cstheme="majorHAnsi"/>
                <w:color w:val="auto"/>
                <w:sz w:val="18"/>
                <w:szCs w:val="18"/>
              </w:rPr>
              <w:t xml:space="preserve"> </w:t>
            </w:r>
            <w:r w:rsidR="00F55EBD" w:rsidRPr="002E498A">
              <w:rPr>
                <w:rFonts w:asciiTheme="majorHAnsi" w:hAnsiTheme="majorHAnsi" w:cstheme="majorHAnsi"/>
                <w:color w:val="auto"/>
                <w:sz w:val="18"/>
                <w:szCs w:val="18"/>
              </w:rPr>
              <w:t xml:space="preserve">marked </w:t>
            </w:r>
            <w:r w:rsidR="007343F9" w:rsidRPr="002E498A">
              <w:rPr>
                <w:rFonts w:asciiTheme="majorHAnsi" w:hAnsiTheme="majorHAnsi" w:cstheme="majorHAnsi"/>
                <w:color w:val="auto"/>
                <w:sz w:val="18"/>
                <w:szCs w:val="18"/>
              </w:rPr>
              <w:t>along</w:t>
            </w:r>
            <w:r w:rsidR="00F55EBD" w:rsidRPr="002E498A">
              <w:rPr>
                <w:rFonts w:asciiTheme="majorHAnsi" w:hAnsiTheme="majorHAnsi" w:cstheme="majorHAnsi"/>
                <w:color w:val="auto"/>
                <w:sz w:val="18"/>
                <w:szCs w:val="18"/>
              </w:rPr>
              <w:t xml:space="preserve"> left patellar tendon</w:t>
            </w:r>
            <w:r w:rsidR="007343F9" w:rsidRPr="002E498A">
              <w:rPr>
                <w:rFonts w:asciiTheme="majorHAnsi" w:hAnsiTheme="majorHAnsi" w:cstheme="majorHAnsi"/>
                <w:color w:val="auto"/>
                <w:sz w:val="18"/>
                <w:szCs w:val="18"/>
              </w:rPr>
              <w:t xml:space="preserve">; </w:t>
            </w:r>
            <w:r w:rsidR="00F55EBD" w:rsidRPr="002E498A">
              <w:rPr>
                <w:rFonts w:asciiTheme="majorHAnsi" w:hAnsiTheme="majorHAnsi" w:cstheme="majorHAnsi"/>
                <w:color w:val="auto"/>
                <w:sz w:val="18"/>
                <w:szCs w:val="18"/>
              </w:rPr>
              <w:t xml:space="preserve">Velcro </w:t>
            </w:r>
            <w:r w:rsidR="00F55EBD" w:rsidRPr="002E498A">
              <w:rPr>
                <w:rFonts w:asciiTheme="majorHAnsi" w:hAnsiTheme="majorHAnsi" w:cstheme="majorHAnsi"/>
                <w:color w:val="auto"/>
                <w:sz w:val="18"/>
                <w:szCs w:val="18"/>
              </w:rPr>
              <w:lastRenderedPageBreak/>
              <w:t>knee splint</w:t>
            </w:r>
            <w:r w:rsidR="00233AA3" w:rsidRPr="002E498A">
              <w:rPr>
                <w:rFonts w:asciiTheme="majorHAnsi" w:hAnsiTheme="majorHAnsi" w:cstheme="majorHAnsi"/>
                <w:color w:val="auto"/>
                <w:sz w:val="18"/>
                <w:szCs w:val="18"/>
              </w:rPr>
              <w:t xml:space="preserve">  </w:t>
            </w:r>
          </w:p>
        </w:tc>
        <w:tc>
          <w:tcPr>
            <w:tcW w:w="2733" w:type="dxa"/>
            <w:tcBorders>
              <w:top w:val="single" w:sz="4" w:space="0" w:color="auto"/>
              <w:left w:val="single" w:sz="4" w:space="0" w:color="auto"/>
              <w:bottom w:val="single" w:sz="4" w:space="0" w:color="auto"/>
              <w:right w:val="single" w:sz="4" w:space="0" w:color="auto"/>
            </w:tcBorders>
            <w:vAlign w:val="center"/>
          </w:tcPr>
          <w:p w:rsidR="00E82929" w:rsidRPr="002E498A" w:rsidRDefault="0009109A" w:rsidP="002E498A">
            <w:pPr>
              <w:tabs>
                <w:tab w:val="left" w:pos="288"/>
                <w:tab w:val="left" w:pos="4752"/>
              </w:tabs>
              <w:spacing w:line="200" w:lineRule="exact"/>
              <w:rPr>
                <w:rFonts w:asciiTheme="majorHAnsi" w:hAnsiTheme="majorHAnsi" w:cstheme="majorHAnsi"/>
                <w:color w:val="auto"/>
                <w:sz w:val="18"/>
                <w:szCs w:val="18"/>
              </w:rPr>
            </w:pPr>
            <w:r w:rsidRPr="002E498A">
              <w:rPr>
                <w:rFonts w:asciiTheme="majorHAnsi" w:hAnsiTheme="majorHAnsi" w:cstheme="majorHAnsi"/>
                <w:color w:val="auto"/>
                <w:sz w:val="18"/>
                <w:szCs w:val="18"/>
              </w:rPr>
              <w:lastRenderedPageBreak/>
              <w:t>Tenderness medial/inferior aspect left knee; antalgic gait</w:t>
            </w:r>
            <w:r w:rsidR="00AF7A04" w:rsidRPr="002E498A">
              <w:rPr>
                <w:rFonts w:asciiTheme="majorHAnsi" w:hAnsiTheme="majorHAnsi" w:cstheme="majorHAnsi"/>
                <w:color w:val="auto"/>
                <w:sz w:val="18"/>
                <w:szCs w:val="18"/>
              </w:rPr>
              <w:t>; no instability</w:t>
            </w:r>
            <w:r w:rsidR="00910DFA" w:rsidRPr="002E498A">
              <w:rPr>
                <w:rFonts w:asciiTheme="majorHAnsi" w:hAnsiTheme="majorHAnsi" w:cstheme="majorHAnsi"/>
                <w:color w:val="auto"/>
                <w:sz w:val="18"/>
                <w:szCs w:val="18"/>
              </w:rPr>
              <w:t>; “pain 10/10”</w:t>
            </w:r>
          </w:p>
        </w:tc>
      </w:tr>
      <w:tr w:rsidR="00E82929" w:rsidRPr="002E498A" w:rsidTr="00863C3E">
        <w:trPr>
          <w:jc w:val="center"/>
        </w:trPr>
        <w:tc>
          <w:tcPr>
            <w:tcW w:w="3093" w:type="dxa"/>
            <w:tcBorders>
              <w:top w:val="single" w:sz="4" w:space="0" w:color="auto"/>
              <w:left w:val="single" w:sz="4" w:space="0" w:color="auto"/>
              <w:bottom w:val="single" w:sz="4" w:space="0" w:color="auto"/>
              <w:right w:val="single" w:sz="4" w:space="0" w:color="auto"/>
            </w:tcBorders>
            <w:vAlign w:val="center"/>
          </w:tcPr>
          <w:p w:rsidR="00E82929" w:rsidRPr="002E498A" w:rsidRDefault="00E82929" w:rsidP="002E498A">
            <w:pPr>
              <w:tabs>
                <w:tab w:val="left" w:pos="288"/>
                <w:tab w:val="left" w:pos="4752"/>
              </w:tabs>
              <w:spacing w:line="200" w:lineRule="exact"/>
              <w:rPr>
                <w:rFonts w:asciiTheme="majorHAnsi" w:hAnsiTheme="majorHAnsi" w:cstheme="majorHAnsi"/>
                <w:color w:val="auto"/>
                <w:sz w:val="18"/>
                <w:szCs w:val="18"/>
              </w:rPr>
            </w:pPr>
            <w:r w:rsidRPr="002E498A">
              <w:rPr>
                <w:rFonts w:asciiTheme="majorHAnsi" w:hAnsiTheme="majorHAnsi" w:cstheme="majorHAnsi"/>
                <w:color w:val="auto"/>
                <w:sz w:val="18"/>
                <w:szCs w:val="18"/>
              </w:rPr>
              <w:lastRenderedPageBreak/>
              <w:t>§4.71a Rating</w:t>
            </w:r>
          </w:p>
        </w:tc>
        <w:tc>
          <w:tcPr>
            <w:tcW w:w="3420" w:type="dxa"/>
            <w:tcBorders>
              <w:top w:val="single" w:sz="4" w:space="0" w:color="auto"/>
              <w:left w:val="single" w:sz="4" w:space="0" w:color="auto"/>
              <w:bottom w:val="single" w:sz="4" w:space="0" w:color="auto"/>
              <w:right w:val="single" w:sz="4" w:space="0" w:color="auto"/>
            </w:tcBorders>
          </w:tcPr>
          <w:p w:rsidR="00E82929" w:rsidRPr="002E498A" w:rsidRDefault="00F55EBD" w:rsidP="002E498A">
            <w:pPr>
              <w:tabs>
                <w:tab w:val="left" w:pos="288"/>
                <w:tab w:val="left" w:pos="4752"/>
              </w:tabs>
              <w:spacing w:line="200" w:lineRule="exact"/>
              <w:rPr>
                <w:rFonts w:asciiTheme="majorHAnsi" w:hAnsiTheme="majorHAnsi" w:cstheme="majorHAnsi"/>
                <w:color w:val="auto"/>
                <w:sz w:val="18"/>
                <w:szCs w:val="18"/>
              </w:rPr>
            </w:pPr>
            <w:r w:rsidRPr="002E498A">
              <w:rPr>
                <w:rFonts w:asciiTheme="majorHAnsi" w:hAnsiTheme="majorHAnsi" w:cstheme="majorHAnsi"/>
                <w:color w:val="auto"/>
                <w:sz w:val="18"/>
                <w:szCs w:val="18"/>
              </w:rPr>
              <w:t>10</w:t>
            </w:r>
            <w:r w:rsidR="00E82929" w:rsidRPr="002E498A">
              <w:rPr>
                <w:rFonts w:asciiTheme="majorHAnsi" w:hAnsiTheme="majorHAnsi" w:cstheme="majorHAnsi"/>
                <w:color w:val="auto"/>
                <w:sz w:val="18"/>
                <w:szCs w:val="18"/>
              </w:rPr>
              <w:t>%</w:t>
            </w:r>
          </w:p>
        </w:tc>
        <w:tc>
          <w:tcPr>
            <w:tcW w:w="2733" w:type="dxa"/>
            <w:tcBorders>
              <w:top w:val="single" w:sz="4" w:space="0" w:color="auto"/>
              <w:left w:val="single" w:sz="4" w:space="0" w:color="auto"/>
              <w:bottom w:val="single" w:sz="4" w:space="0" w:color="auto"/>
              <w:right w:val="single" w:sz="4" w:space="0" w:color="auto"/>
            </w:tcBorders>
          </w:tcPr>
          <w:p w:rsidR="00E82929" w:rsidRPr="002E498A" w:rsidRDefault="00AF7A04" w:rsidP="002E498A">
            <w:pPr>
              <w:tabs>
                <w:tab w:val="left" w:pos="288"/>
                <w:tab w:val="left" w:pos="4752"/>
              </w:tabs>
              <w:spacing w:line="200" w:lineRule="exact"/>
              <w:rPr>
                <w:rFonts w:asciiTheme="majorHAnsi" w:hAnsiTheme="majorHAnsi" w:cstheme="majorHAnsi"/>
                <w:color w:val="auto"/>
                <w:sz w:val="18"/>
                <w:szCs w:val="18"/>
              </w:rPr>
            </w:pPr>
            <w:r w:rsidRPr="002E498A">
              <w:rPr>
                <w:rFonts w:asciiTheme="majorHAnsi" w:hAnsiTheme="majorHAnsi" w:cstheme="majorHAnsi"/>
                <w:color w:val="auto"/>
                <w:sz w:val="18"/>
                <w:szCs w:val="18"/>
              </w:rPr>
              <w:t>10</w:t>
            </w:r>
            <w:r w:rsidR="00E82929" w:rsidRPr="002E498A">
              <w:rPr>
                <w:rFonts w:asciiTheme="majorHAnsi" w:hAnsiTheme="majorHAnsi" w:cstheme="majorHAnsi"/>
                <w:color w:val="auto"/>
                <w:sz w:val="18"/>
                <w:szCs w:val="18"/>
              </w:rPr>
              <w:t>%</w:t>
            </w:r>
          </w:p>
        </w:tc>
      </w:tr>
    </w:tbl>
    <w:p w:rsidR="00E82929" w:rsidRPr="008608F1" w:rsidRDefault="00E82929" w:rsidP="00E82929">
      <w:pPr>
        <w:jc w:val="both"/>
        <w:rPr>
          <w:color w:val="auto"/>
          <w:szCs w:val="24"/>
        </w:rPr>
      </w:pPr>
    </w:p>
    <w:p w:rsidR="00E82929" w:rsidRPr="008608F1" w:rsidRDefault="00D64A18" w:rsidP="008608F1">
      <w:pPr>
        <w:jc w:val="both"/>
        <w:rPr>
          <w:color w:val="auto"/>
          <w:szCs w:val="24"/>
        </w:rPr>
      </w:pPr>
      <w:r w:rsidRPr="008608F1">
        <w:rPr>
          <w:color w:val="auto"/>
        </w:rPr>
        <w:t xml:space="preserve">The left knee condition is well documented in the numerous notes in the </w:t>
      </w:r>
      <w:r w:rsidR="00D75F91">
        <w:rPr>
          <w:color w:val="auto"/>
        </w:rPr>
        <w:t>s</w:t>
      </w:r>
      <w:r w:rsidRPr="008608F1">
        <w:rPr>
          <w:color w:val="auto"/>
        </w:rPr>
        <w:t xml:space="preserve">ervice </w:t>
      </w:r>
      <w:r w:rsidR="00D75F91">
        <w:rPr>
          <w:color w:val="auto"/>
        </w:rPr>
        <w:t>t</w:t>
      </w:r>
      <w:r w:rsidRPr="008608F1">
        <w:rPr>
          <w:color w:val="auto"/>
        </w:rPr>
        <w:t xml:space="preserve">reatment </w:t>
      </w:r>
      <w:r w:rsidR="00D75F91">
        <w:rPr>
          <w:color w:val="auto"/>
        </w:rPr>
        <w:t>r</w:t>
      </w:r>
      <w:r w:rsidR="00F5317B" w:rsidRPr="008608F1">
        <w:rPr>
          <w:color w:val="auto"/>
        </w:rPr>
        <w:t>ecord (</w:t>
      </w:r>
      <w:r w:rsidRPr="008608F1">
        <w:rPr>
          <w:color w:val="auto"/>
        </w:rPr>
        <w:t xml:space="preserve">STR) from October 2000 to February 2005.  </w:t>
      </w:r>
      <w:r w:rsidR="00910DFA" w:rsidRPr="008608F1">
        <w:rPr>
          <w:color w:val="auto"/>
        </w:rPr>
        <w:t>The CI underwent a left knee arthroscopy with a partial medial meniscectomy in January 2002</w:t>
      </w:r>
      <w:r w:rsidR="003D115B" w:rsidRPr="008608F1">
        <w:rPr>
          <w:color w:val="auto"/>
        </w:rPr>
        <w:t xml:space="preserve">; </w:t>
      </w:r>
      <w:r w:rsidR="00910DFA" w:rsidRPr="008608F1">
        <w:rPr>
          <w:color w:val="auto"/>
          <w:szCs w:val="24"/>
        </w:rPr>
        <w:t>however</w:t>
      </w:r>
      <w:r w:rsidR="00DB55FB" w:rsidRPr="008608F1">
        <w:rPr>
          <w:color w:val="auto"/>
          <w:szCs w:val="24"/>
        </w:rPr>
        <w:t>,</w:t>
      </w:r>
      <w:r w:rsidR="00910DFA" w:rsidRPr="008608F1">
        <w:rPr>
          <w:color w:val="auto"/>
          <w:szCs w:val="24"/>
        </w:rPr>
        <w:t xml:space="preserve"> the pain continued and a second arthroscopy was performed </w:t>
      </w:r>
      <w:r w:rsidR="00827310">
        <w:rPr>
          <w:color w:val="auto"/>
          <w:szCs w:val="24"/>
        </w:rPr>
        <w:t>a</w:t>
      </w:r>
      <w:r w:rsidR="00910DFA" w:rsidRPr="008608F1">
        <w:rPr>
          <w:color w:val="auto"/>
          <w:szCs w:val="24"/>
        </w:rPr>
        <w:t xml:space="preserve"> month later.  </w:t>
      </w:r>
      <w:r w:rsidRPr="008608F1">
        <w:rPr>
          <w:color w:val="auto"/>
        </w:rPr>
        <w:t xml:space="preserve">The MEB examination </w:t>
      </w:r>
      <w:r w:rsidR="00827310">
        <w:rPr>
          <w:color w:val="auto"/>
        </w:rPr>
        <w:t xml:space="preserve">performed </w:t>
      </w:r>
      <w:r w:rsidR="00D75F91">
        <w:rPr>
          <w:rFonts w:asciiTheme="majorHAnsi" w:eastAsia="Calibri" w:hAnsiTheme="majorHAnsi" w:cstheme="majorHAnsi"/>
          <w:color w:val="auto"/>
          <w:szCs w:val="24"/>
        </w:rPr>
        <w:t>5</w:t>
      </w:r>
      <w:r w:rsidR="004E5414" w:rsidRPr="008608F1">
        <w:rPr>
          <w:rFonts w:asciiTheme="majorHAnsi" w:eastAsia="Calibri" w:hAnsiTheme="majorHAnsi" w:cstheme="majorHAnsi"/>
          <w:color w:val="auto"/>
          <w:szCs w:val="24"/>
        </w:rPr>
        <w:t xml:space="preserve"> </w:t>
      </w:r>
      <w:r w:rsidR="00F5317B" w:rsidRPr="008608F1">
        <w:rPr>
          <w:rFonts w:asciiTheme="majorHAnsi" w:eastAsia="Calibri" w:hAnsiTheme="majorHAnsi" w:cstheme="majorHAnsi"/>
          <w:color w:val="auto"/>
          <w:szCs w:val="24"/>
        </w:rPr>
        <w:t>months prior</w:t>
      </w:r>
      <w:r w:rsidR="004E5414" w:rsidRPr="008608F1">
        <w:rPr>
          <w:rFonts w:asciiTheme="majorHAnsi" w:eastAsia="Calibri" w:hAnsiTheme="majorHAnsi" w:cstheme="majorHAnsi"/>
          <w:color w:val="auto"/>
          <w:szCs w:val="24"/>
        </w:rPr>
        <w:t xml:space="preserve"> to separation indicated chronic left knee swelling and tenderness. </w:t>
      </w:r>
      <w:r w:rsidR="00DB55FB" w:rsidRPr="008608F1">
        <w:rPr>
          <w:rFonts w:asciiTheme="majorHAnsi" w:eastAsia="Calibri" w:hAnsiTheme="majorHAnsi" w:cstheme="majorHAnsi"/>
          <w:color w:val="auto"/>
          <w:szCs w:val="24"/>
        </w:rPr>
        <w:t xml:space="preserve"> </w:t>
      </w:r>
      <w:r w:rsidR="004E5414" w:rsidRPr="008608F1">
        <w:rPr>
          <w:rFonts w:asciiTheme="majorHAnsi" w:eastAsia="Calibri" w:hAnsiTheme="majorHAnsi" w:cstheme="majorHAnsi"/>
          <w:color w:val="auto"/>
          <w:szCs w:val="24"/>
        </w:rPr>
        <w:t xml:space="preserve">The MEB exam findings are </w:t>
      </w:r>
      <w:r w:rsidR="00DB55FB" w:rsidRPr="008608F1">
        <w:rPr>
          <w:rFonts w:asciiTheme="majorHAnsi" w:eastAsia="Calibri" w:hAnsiTheme="majorHAnsi" w:cstheme="majorHAnsi"/>
          <w:color w:val="auto"/>
          <w:szCs w:val="24"/>
        </w:rPr>
        <w:t xml:space="preserve">summarized </w:t>
      </w:r>
      <w:r w:rsidR="004E5414" w:rsidRPr="008608F1">
        <w:rPr>
          <w:rFonts w:asciiTheme="majorHAnsi" w:eastAsia="Calibri" w:hAnsiTheme="majorHAnsi" w:cstheme="majorHAnsi"/>
          <w:color w:val="auto"/>
          <w:szCs w:val="24"/>
        </w:rPr>
        <w:t>in the chart above.</w:t>
      </w:r>
      <w:r w:rsidR="00B619D2" w:rsidRPr="008608F1">
        <w:rPr>
          <w:rFonts w:asciiTheme="majorHAnsi" w:eastAsia="Calibri" w:hAnsiTheme="majorHAnsi" w:cstheme="majorHAnsi"/>
          <w:color w:val="auto"/>
          <w:szCs w:val="24"/>
        </w:rPr>
        <w:t xml:space="preserve">  The </w:t>
      </w:r>
      <w:r w:rsidR="00D75F91">
        <w:rPr>
          <w:rFonts w:asciiTheme="majorHAnsi" w:eastAsia="Calibri" w:hAnsiTheme="majorHAnsi" w:cstheme="majorHAnsi"/>
          <w:color w:val="auto"/>
          <w:szCs w:val="24"/>
        </w:rPr>
        <w:t>c</w:t>
      </w:r>
      <w:r w:rsidR="00B619D2" w:rsidRPr="008608F1">
        <w:rPr>
          <w:rFonts w:asciiTheme="majorHAnsi" w:eastAsia="Calibri" w:hAnsiTheme="majorHAnsi" w:cstheme="majorHAnsi"/>
          <w:color w:val="auto"/>
          <w:szCs w:val="24"/>
        </w:rPr>
        <w:t xml:space="preserve">ommander </w:t>
      </w:r>
      <w:r w:rsidR="00D75F91">
        <w:rPr>
          <w:rFonts w:asciiTheme="majorHAnsi" w:eastAsia="Calibri" w:hAnsiTheme="majorHAnsi" w:cstheme="majorHAnsi"/>
          <w:color w:val="auto"/>
          <w:szCs w:val="24"/>
        </w:rPr>
        <w:t>s</w:t>
      </w:r>
      <w:r w:rsidR="00B619D2" w:rsidRPr="008608F1">
        <w:rPr>
          <w:rFonts w:asciiTheme="majorHAnsi" w:eastAsia="Calibri" w:hAnsiTheme="majorHAnsi" w:cstheme="majorHAnsi"/>
          <w:color w:val="auto"/>
          <w:szCs w:val="24"/>
        </w:rPr>
        <w:t xml:space="preserve">tatements in both August and November 2004 indicated that the CI’s movements were “very slow and deliberate” and that the CI was “physically incapable of performing his duties” within his MOS.  The </w:t>
      </w:r>
      <w:r w:rsidR="00910DFA" w:rsidRPr="008608F1">
        <w:rPr>
          <w:rFonts w:asciiTheme="majorHAnsi" w:eastAsia="Calibri" w:hAnsiTheme="majorHAnsi" w:cstheme="majorHAnsi"/>
          <w:color w:val="auto"/>
          <w:szCs w:val="24"/>
        </w:rPr>
        <w:t xml:space="preserve">VA Compensation &amp; Pension (C&amp;P) </w:t>
      </w:r>
      <w:r w:rsidR="00F5317B" w:rsidRPr="008608F1">
        <w:rPr>
          <w:rFonts w:asciiTheme="majorHAnsi" w:eastAsia="Calibri" w:hAnsiTheme="majorHAnsi" w:cstheme="majorHAnsi"/>
          <w:color w:val="auto"/>
          <w:szCs w:val="24"/>
        </w:rPr>
        <w:t>examination</w:t>
      </w:r>
      <w:r w:rsidR="00F5317B" w:rsidRPr="008608F1">
        <w:rPr>
          <w:rFonts w:asciiTheme="majorHAnsi" w:eastAsia="Calibri" w:hAnsiTheme="majorHAnsi" w:cstheme="majorHAnsi"/>
          <w:color w:val="auto"/>
          <w:sz w:val="18"/>
          <w:szCs w:val="18"/>
        </w:rPr>
        <w:t xml:space="preserve"> </w:t>
      </w:r>
      <w:r w:rsidR="00827310">
        <w:rPr>
          <w:rFonts w:asciiTheme="majorHAnsi" w:eastAsia="Calibri" w:hAnsiTheme="majorHAnsi" w:cstheme="majorHAnsi"/>
          <w:color w:val="auto"/>
          <w:sz w:val="18"/>
          <w:szCs w:val="18"/>
        </w:rPr>
        <w:t xml:space="preserve">performed </w:t>
      </w:r>
      <w:r w:rsidR="00827310">
        <w:rPr>
          <w:rFonts w:asciiTheme="majorHAnsi" w:eastAsia="Calibri" w:hAnsiTheme="majorHAnsi" w:cstheme="majorHAnsi"/>
          <w:color w:val="auto"/>
          <w:szCs w:val="24"/>
        </w:rPr>
        <w:t xml:space="preserve">3 </w:t>
      </w:r>
      <w:r w:rsidR="00910DFA" w:rsidRPr="008608F1">
        <w:rPr>
          <w:rFonts w:asciiTheme="majorHAnsi" w:eastAsia="Calibri" w:hAnsiTheme="majorHAnsi" w:cstheme="majorHAnsi"/>
          <w:color w:val="auto"/>
          <w:szCs w:val="24"/>
        </w:rPr>
        <w:t>months after separation noted intermittent swelling, pain and increased weakness with repetitive activity.  The C&amp;P exam findings</w:t>
      </w:r>
      <w:r w:rsidR="00097D70" w:rsidRPr="008608F1">
        <w:rPr>
          <w:rFonts w:asciiTheme="majorHAnsi" w:eastAsia="Calibri" w:hAnsiTheme="majorHAnsi" w:cstheme="majorHAnsi"/>
          <w:color w:val="auto"/>
          <w:szCs w:val="24"/>
        </w:rPr>
        <w:t xml:space="preserve"> are</w:t>
      </w:r>
      <w:r w:rsidR="00910DFA" w:rsidRPr="008608F1">
        <w:rPr>
          <w:rFonts w:asciiTheme="majorHAnsi" w:eastAsia="Calibri" w:hAnsiTheme="majorHAnsi" w:cstheme="majorHAnsi"/>
          <w:color w:val="auto"/>
          <w:szCs w:val="24"/>
        </w:rPr>
        <w:t xml:space="preserve"> </w:t>
      </w:r>
      <w:r w:rsidR="00097D70" w:rsidRPr="008608F1">
        <w:rPr>
          <w:rFonts w:asciiTheme="majorHAnsi" w:eastAsia="Calibri" w:hAnsiTheme="majorHAnsi" w:cstheme="majorHAnsi"/>
          <w:color w:val="auto"/>
          <w:szCs w:val="24"/>
        </w:rPr>
        <w:t xml:space="preserve">noted in the chart above.  </w:t>
      </w:r>
    </w:p>
    <w:p w:rsidR="00097D70" w:rsidRPr="008608F1" w:rsidRDefault="00097D70" w:rsidP="008608F1">
      <w:pPr>
        <w:tabs>
          <w:tab w:val="left" w:pos="288"/>
          <w:tab w:val="left" w:pos="4752"/>
        </w:tabs>
        <w:jc w:val="both"/>
        <w:rPr>
          <w:color w:val="auto"/>
          <w:u w:val="single"/>
        </w:rPr>
      </w:pPr>
    </w:p>
    <w:p w:rsidR="00DB55FB" w:rsidRPr="008608F1" w:rsidRDefault="00AD2379" w:rsidP="008608F1">
      <w:pPr>
        <w:jc w:val="both"/>
        <w:rPr>
          <w:rFonts w:asciiTheme="majorHAnsi" w:eastAsia="Calibri" w:hAnsiTheme="majorHAnsi" w:cstheme="majorHAnsi"/>
          <w:color w:val="auto"/>
          <w:szCs w:val="24"/>
        </w:rPr>
      </w:pPr>
      <w:r w:rsidRPr="008608F1">
        <w:rPr>
          <w:rFonts w:cs="Times New Roman"/>
          <w:color w:val="auto"/>
        </w:rPr>
        <w:t>The Board directs attenti</w:t>
      </w:r>
      <w:r w:rsidR="00782CC1" w:rsidRPr="008608F1">
        <w:rPr>
          <w:rFonts w:cs="Times New Roman"/>
          <w:color w:val="auto"/>
        </w:rPr>
        <w:t>on to its rating recommendation</w:t>
      </w:r>
      <w:r w:rsidRPr="008608F1">
        <w:rPr>
          <w:rFonts w:cs="Times New Roman"/>
          <w:color w:val="auto"/>
        </w:rPr>
        <w:t xml:space="preserve"> </w:t>
      </w:r>
      <w:r w:rsidR="00B13A51" w:rsidRPr="008608F1">
        <w:rPr>
          <w:rFonts w:cs="Times New Roman"/>
          <w:color w:val="auto"/>
        </w:rPr>
        <w:t>based on the above evidence</w:t>
      </w:r>
      <w:r w:rsidRPr="008608F1">
        <w:rPr>
          <w:rFonts w:cs="Times New Roman"/>
          <w:color w:val="auto"/>
        </w:rPr>
        <w:t>.</w:t>
      </w:r>
      <w:r w:rsidR="00165C7B" w:rsidRPr="008608F1">
        <w:rPr>
          <w:rFonts w:cs="Times New Roman"/>
          <w:color w:val="auto"/>
        </w:rPr>
        <w:t xml:space="preserve">  </w:t>
      </w:r>
      <w:r w:rsidR="00097D70" w:rsidRPr="008608F1">
        <w:rPr>
          <w:rFonts w:cs="Times New Roman"/>
          <w:color w:val="auto"/>
        </w:rPr>
        <w:t>The PEB determination for the left knee condition was coded analogously to arthritis (5299-5003) at 10%.  The VA coded the left knee condition as 5261</w:t>
      </w:r>
      <w:r w:rsidR="005855DF" w:rsidRPr="008608F1">
        <w:rPr>
          <w:rFonts w:cs="Times New Roman"/>
          <w:color w:val="auto"/>
        </w:rPr>
        <w:t xml:space="preserve"> (Leg, limitation of extension </w:t>
      </w:r>
      <w:r w:rsidR="00F844E7" w:rsidRPr="008608F1">
        <w:rPr>
          <w:rFonts w:cs="Times New Roman"/>
          <w:color w:val="auto"/>
        </w:rPr>
        <w:t>of)</w:t>
      </w:r>
      <w:r w:rsidR="005855DF" w:rsidRPr="008608F1">
        <w:rPr>
          <w:rFonts w:cs="Times New Roman"/>
          <w:color w:val="auto"/>
        </w:rPr>
        <w:t xml:space="preserve"> at 10% (lacking </w:t>
      </w:r>
      <w:r w:rsidR="005855DF" w:rsidRPr="008608F1">
        <w:rPr>
          <w:rFonts w:cs="Times New Roman"/>
          <w:color w:val="auto"/>
          <w:szCs w:val="24"/>
        </w:rPr>
        <w:t>10</w:t>
      </w:r>
      <w:r w:rsidR="005855DF" w:rsidRPr="008608F1">
        <w:rPr>
          <w:rFonts w:asciiTheme="majorHAnsi" w:hAnsiTheme="majorHAnsi" w:cstheme="majorHAnsi"/>
          <w:color w:val="auto"/>
          <w:szCs w:val="24"/>
        </w:rPr>
        <w:t xml:space="preserve"> degrees).</w:t>
      </w:r>
      <w:r w:rsidR="005855DF" w:rsidRPr="008608F1">
        <w:rPr>
          <w:rFonts w:cs="Times New Roman"/>
          <w:color w:val="auto"/>
        </w:rPr>
        <w:t xml:space="preserve"> </w:t>
      </w:r>
      <w:r w:rsidR="005E5693" w:rsidRPr="008608F1">
        <w:rPr>
          <w:rFonts w:cs="Times New Roman"/>
          <w:color w:val="auto"/>
        </w:rPr>
        <w:t xml:space="preserve"> </w:t>
      </w:r>
      <w:r w:rsidR="00F844E7" w:rsidRPr="008608F1">
        <w:rPr>
          <w:rFonts w:cs="Times New Roman"/>
          <w:color w:val="auto"/>
        </w:rPr>
        <w:t>The PEB and the VA chose different coding options but this did not bear on rating.</w:t>
      </w:r>
      <w:r w:rsidR="005E5693" w:rsidRPr="008608F1">
        <w:rPr>
          <w:rFonts w:cs="Times New Roman"/>
          <w:color w:val="auto"/>
        </w:rPr>
        <w:t xml:space="preserve"> </w:t>
      </w:r>
      <w:r w:rsidR="00F844E7" w:rsidRPr="008608F1">
        <w:rPr>
          <w:rFonts w:asciiTheme="majorHAnsi" w:eastAsia="Calibri" w:hAnsiTheme="majorHAnsi" w:cstheme="majorHAnsi"/>
          <w:color w:val="auto"/>
          <w:szCs w:val="24"/>
        </w:rPr>
        <w:t xml:space="preserve"> </w:t>
      </w:r>
      <w:r w:rsidR="00DB55FB" w:rsidRPr="008608F1">
        <w:rPr>
          <w:rFonts w:asciiTheme="majorHAnsi" w:eastAsia="Calibri" w:hAnsiTheme="majorHAnsi" w:cstheme="majorHAnsi"/>
          <w:color w:val="auto"/>
          <w:szCs w:val="24"/>
        </w:rPr>
        <w:t xml:space="preserve">The VA exam had ratable limitation of extension which was not present at the MEB exam, and meniscal signs present at the MEB exam were not noted at the VA exam.  The PEB exam abnormal meniscus testing led the Board to explore alternate coding under semilunar cartilage (meniscus) codes of 5258 or 5259.  The evidence did not indicate sufficient episodes of “locking,” pain, and effusion into the joint to support alternative 20% coding under 5285 (meniscus code), and alternative coding at 10% under code 5259 did not provide any higher benefit to the CI as it includes painful motion.  There was insufficient evidence of instability for rating under code 5257.  </w:t>
      </w:r>
    </w:p>
    <w:p w:rsidR="00DB55FB" w:rsidRPr="008608F1" w:rsidRDefault="00DB55FB" w:rsidP="008608F1">
      <w:pPr>
        <w:jc w:val="both"/>
        <w:rPr>
          <w:rFonts w:asciiTheme="majorHAnsi" w:eastAsia="Calibri" w:hAnsiTheme="majorHAnsi" w:cstheme="majorHAnsi"/>
          <w:color w:val="auto"/>
          <w:szCs w:val="24"/>
        </w:rPr>
      </w:pPr>
    </w:p>
    <w:p w:rsidR="00626902" w:rsidRPr="008608F1" w:rsidRDefault="00F844E7" w:rsidP="008608F1">
      <w:pPr>
        <w:jc w:val="both"/>
        <w:rPr>
          <w:color w:val="auto"/>
          <w:szCs w:val="24"/>
        </w:rPr>
      </w:pPr>
      <w:r w:rsidRPr="008608F1">
        <w:rPr>
          <w:rFonts w:asciiTheme="majorHAnsi" w:eastAsia="Calibri" w:hAnsiTheme="majorHAnsi" w:cstheme="majorHAnsi"/>
          <w:color w:val="auto"/>
          <w:szCs w:val="24"/>
        </w:rPr>
        <w:t>The knee was tender and both exams demonstrated painful motion.  The knee could not be reasonably rated higher than 10% using any exam proximate to separation or any alternate coding schema.</w:t>
      </w:r>
      <w:r w:rsidRPr="008608F1">
        <w:rPr>
          <w:color w:val="auto"/>
          <w:szCs w:val="24"/>
        </w:rPr>
        <w:t xml:space="preserve">  </w:t>
      </w:r>
      <w:r w:rsidR="00626902" w:rsidRPr="008608F1">
        <w:rPr>
          <w:rFonts w:eastAsia="Calibri" w:cs="Times New Roman"/>
          <w:color w:val="auto"/>
          <w:szCs w:val="24"/>
        </w:rPr>
        <w:t>After due deliberation, considering all of the evidence and mindful of VASRD §4.3 (reasonable doubt), the Board concluded that there was insufficient cause to recommend a change in the PEB adjudication for the</w:t>
      </w:r>
      <w:r w:rsidR="00D64A18" w:rsidRPr="008608F1">
        <w:rPr>
          <w:rFonts w:eastAsia="Calibri" w:cs="Times New Roman"/>
          <w:color w:val="auto"/>
          <w:szCs w:val="24"/>
        </w:rPr>
        <w:t xml:space="preserve"> </w:t>
      </w:r>
      <w:r w:rsidR="00827310" w:rsidRPr="008608F1">
        <w:rPr>
          <w:color w:val="auto"/>
          <w:szCs w:val="24"/>
        </w:rPr>
        <w:t>chronic left knee pain, s/p menisc</w:t>
      </w:r>
      <w:bookmarkStart w:id="0" w:name="_GoBack"/>
      <w:bookmarkEnd w:id="0"/>
      <w:r w:rsidR="00827310" w:rsidRPr="008608F1">
        <w:rPr>
          <w:color w:val="auto"/>
          <w:szCs w:val="24"/>
        </w:rPr>
        <w:t>al repair and repair of partial tear of patellar tendon</w:t>
      </w:r>
      <w:r w:rsidR="00827310" w:rsidRPr="008608F1">
        <w:rPr>
          <w:color w:val="auto"/>
        </w:rPr>
        <w:t xml:space="preserve"> condition.</w:t>
      </w:r>
      <w:r w:rsidR="00827310" w:rsidRPr="008608F1">
        <w:rPr>
          <w:rFonts w:eastAsia="Calibri" w:cs="Times New Roman"/>
          <w:color w:val="auto"/>
          <w:szCs w:val="24"/>
        </w:rPr>
        <w:t xml:space="preserve"> </w:t>
      </w:r>
      <w:r w:rsidR="00827310">
        <w:rPr>
          <w:rFonts w:eastAsia="Calibri" w:cs="Times New Roman"/>
          <w:color w:val="auto"/>
          <w:szCs w:val="24"/>
        </w:rPr>
        <w:t xml:space="preserve"> </w:t>
      </w:r>
    </w:p>
    <w:p w:rsidR="00241B01" w:rsidRPr="008608F1" w:rsidRDefault="00241B01" w:rsidP="008608F1">
      <w:pPr>
        <w:tabs>
          <w:tab w:val="left" w:pos="288"/>
          <w:tab w:val="left" w:pos="4752"/>
        </w:tabs>
        <w:jc w:val="both"/>
        <w:rPr>
          <w:rFonts w:cs="Times New Roman"/>
          <w:color w:val="auto"/>
        </w:rPr>
      </w:pPr>
    </w:p>
    <w:p w:rsidR="00E82929" w:rsidRPr="002E498A" w:rsidRDefault="006B690F" w:rsidP="008608F1">
      <w:pPr>
        <w:jc w:val="both"/>
        <w:rPr>
          <w:rFonts w:eastAsia="Calibri" w:cs="Times New Roman"/>
          <w:color w:val="auto"/>
          <w:szCs w:val="24"/>
        </w:rPr>
      </w:pPr>
      <w:r w:rsidRPr="008608F1">
        <w:rPr>
          <w:rFonts w:eastAsia="HiddenHorzOCR"/>
          <w:color w:val="auto"/>
          <w:u w:val="single"/>
        </w:rPr>
        <w:t xml:space="preserve">Contended </w:t>
      </w:r>
      <w:r w:rsidR="00AD2379" w:rsidRPr="008608F1">
        <w:rPr>
          <w:rFonts w:eastAsia="HiddenHorzOCR"/>
          <w:color w:val="auto"/>
          <w:u w:val="single"/>
        </w:rPr>
        <w:t>PEB Conditions</w:t>
      </w:r>
      <w:r w:rsidR="00AD2379" w:rsidRPr="008608F1">
        <w:rPr>
          <w:rFonts w:eastAsia="HiddenHorzOCR"/>
          <w:color w:val="auto"/>
        </w:rPr>
        <w:t>.</w:t>
      </w:r>
      <w:r w:rsidR="0001281C" w:rsidRPr="008608F1">
        <w:rPr>
          <w:rFonts w:eastAsia="HiddenHorzOCR"/>
          <w:color w:val="auto"/>
        </w:rPr>
        <w:t xml:space="preserve"> </w:t>
      </w:r>
      <w:r w:rsidR="00DB55FB" w:rsidRPr="008608F1">
        <w:rPr>
          <w:rFonts w:eastAsia="HiddenHorzOCR"/>
          <w:color w:val="auto"/>
        </w:rPr>
        <w:t xml:space="preserve"> </w:t>
      </w:r>
      <w:r w:rsidR="00E82929" w:rsidRPr="008608F1">
        <w:rPr>
          <w:rFonts w:eastAsia="Calibri" w:cs="Times New Roman"/>
          <w:color w:val="auto"/>
          <w:szCs w:val="24"/>
        </w:rPr>
        <w:t xml:space="preserve">The contended condition adjudicated as not unfitting by the PEB was </w:t>
      </w:r>
      <w:r w:rsidR="00D75F91">
        <w:rPr>
          <w:rFonts w:eastAsia="Calibri" w:cs="Times New Roman"/>
          <w:color w:val="auto"/>
          <w:szCs w:val="24"/>
        </w:rPr>
        <w:t>c</w:t>
      </w:r>
      <w:r w:rsidR="00D64A18" w:rsidRPr="008608F1">
        <w:rPr>
          <w:color w:val="auto"/>
        </w:rPr>
        <w:t xml:space="preserve">hronic </w:t>
      </w:r>
      <w:r w:rsidR="00D75F91">
        <w:rPr>
          <w:color w:val="auto"/>
        </w:rPr>
        <w:t>p</w:t>
      </w:r>
      <w:r w:rsidR="00D64A18" w:rsidRPr="008608F1">
        <w:rPr>
          <w:color w:val="auto"/>
        </w:rPr>
        <w:t xml:space="preserve">ain in the </w:t>
      </w:r>
      <w:r w:rsidR="00D75F91">
        <w:rPr>
          <w:color w:val="auto"/>
        </w:rPr>
        <w:t>l</w:t>
      </w:r>
      <w:r w:rsidR="00D64A18" w:rsidRPr="008608F1">
        <w:rPr>
          <w:color w:val="auto"/>
        </w:rPr>
        <w:t xml:space="preserve">eft </w:t>
      </w:r>
      <w:r w:rsidR="00D75F91">
        <w:rPr>
          <w:color w:val="auto"/>
        </w:rPr>
        <w:t>h</w:t>
      </w:r>
      <w:r w:rsidR="00D64A18" w:rsidRPr="008608F1">
        <w:rPr>
          <w:color w:val="auto"/>
        </w:rPr>
        <w:t xml:space="preserve">and and </w:t>
      </w:r>
      <w:r w:rsidR="00D75F91">
        <w:rPr>
          <w:color w:val="auto"/>
        </w:rPr>
        <w:t>l</w:t>
      </w:r>
      <w:r w:rsidR="00D64A18" w:rsidRPr="008608F1">
        <w:rPr>
          <w:color w:val="auto"/>
        </w:rPr>
        <w:t xml:space="preserve">eft </w:t>
      </w:r>
      <w:r w:rsidR="00D75F91">
        <w:rPr>
          <w:color w:val="auto"/>
        </w:rPr>
        <w:t>w</w:t>
      </w:r>
      <w:r w:rsidR="00D64A18" w:rsidRPr="008608F1">
        <w:rPr>
          <w:color w:val="auto"/>
        </w:rPr>
        <w:t xml:space="preserve">rist </w:t>
      </w:r>
      <w:r w:rsidR="00D75F91">
        <w:rPr>
          <w:color w:val="auto"/>
        </w:rPr>
        <w:t>s/p</w:t>
      </w:r>
      <w:r w:rsidR="00D64A18" w:rsidRPr="008608F1">
        <w:rPr>
          <w:color w:val="auto"/>
        </w:rPr>
        <w:t xml:space="preserve"> </w:t>
      </w:r>
      <w:r w:rsidR="00E82929" w:rsidRPr="008608F1">
        <w:rPr>
          <w:color w:val="auto"/>
        </w:rPr>
        <w:t xml:space="preserve">I </w:t>
      </w:r>
      <w:r w:rsidR="00D64A18" w:rsidRPr="008608F1">
        <w:rPr>
          <w:color w:val="auto"/>
        </w:rPr>
        <w:t xml:space="preserve">and </w:t>
      </w:r>
      <w:r w:rsidR="00E82929" w:rsidRPr="008608F1">
        <w:rPr>
          <w:color w:val="auto"/>
        </w:rPr>
        <w:t xml:space="preserve">D </w:t>
      </w:r>
      <w:r w:rsidR="00D64A18" w:rsidRPr="008608F1">
        <w:rPr>
          <w:color w:val="auto"/>
        </w:rPr>
        <w:t xml:space="preserve">of </w:t>
      </w:r>
      <w:r w:rsidR="00D75F91">
        <w:rPr>
          <w:color w:val="auto"/>
        </w:rPr>
        <w:t>i</w:t>
      </w:r>
      <w:r w:rsidR="00D64A18" w:rsidRPr="008608F1">
        <w:rPr>
          <w:color w:val="auto"/>
        </w:rPr>
        <w:t xml:space="preserve">nfection of the </w:t>
      </w:r>
      <w:r w:rsidR="00D75F91">
        <w:rPr>
          <w:color w:val="auto"/>
        </w:rPr>
        <w:t>l</w:t>
      </w:r>
      <w:r w:rsidR="00D64A18" w:rsidRPr="008608F1">
        <w:rPr>
          <w:color w:val="auto"/>
        </w:rPr>
        <w:t xml:space="preserve">eft </w:t>
      </w:r>
      <w:r w:rsidR="00D75F91">
        <w:rPr>
          <w:color w:val="auto"/>
        </w:rPr>
        <w:t>w</w:t>
      </w:r>
      <w:r w:rsidR="00D64A18" w:rsidRPr="008608F1">
        <w:rPr>
          <w:color w:val="auto"/>
        </w:rPr>
        <w:t xml:space="preserve">rist and </w:t>
      </w:r>
      <w:r w:rsidR="00D75F91">
        <w:rPr>
          <w:color w:val="auto"/>
        </w:rPr>
        <w:t>h</w:t>
      </w:r>
      <w:r w:rsidR="00D64A18" w:rsidRPr="008608F1">
        <w:rPr>
          <w:color w:val="auto"/>
        </w:rPr>
        <w:t xml:space="preserve">and and </w:t>
      </w:r>
      <w:r w:rsidR="00D75F91">
        <w:rPr>
          <w:color w:val="auto"/>
        </w:rPr>
        <w:t>f</w:t>
      </w:r>
      <w:r w:rsidR="00D64A18" w:rsidRPr="008608F1">
        <w:rPr>
          <w:color w:val="auto"/>
        </w:rPr>
        <w:t xml:space="preserve">ractures of </w:t>
      </w:r>
      <w:r w:rsidR="00D75F91">
        <w:rPr>
          <w:color w:val="auto"/>
        </w:rPr>
        <w:t>l</w:t>
      </w:r>
      <w:r w:rsidR="00D64A18" w:rsidRPr="008608F1">
        <w:rPr>
          <w:color w:val="auto"/>
        </w:rPr>
        <w:t xml:space="preserve">eft </w:t>
      </w:r>
      <w:r w:rsidR="00D75F91">
        <w:rPr>
          <w:color w:val="auto"/>
        </w:rPr>
        <w:t>w</w:t>
      </w:r>
      <w:r w:rsidR="00D64A18" w:rsidRPr="008608F1">
        <w:rPr>
          <w:color w:val="auto"/>
        </w:rPr>
        <w:t xml:space="preserve">rist </w:t>
      </w:r>
      <w:r w:rsidR="00D75F91">
        <w:rPr>
          <w:color w:val="auto"/>
        </w:rPr>
        <w:t>b</w:t>
      </w:r>
      <w:r w:rsidR="00D64A18" w:rsidRPr="008608F1">
        <w:rPr>
          <w:color w:val="auto"/>
        </w:rPr>
        <w:t>ones</w:t>
      </w:r>
      <w:r w:rsidR="005E5693" w:rsidRPr="008608F1">
        <w:rPr>
          <w:rFonts w:eastAsia="Calibri" w:cs="Times New Roman"/>
          <w:color w:val="auto"/>
          <w:szCs w:val="24"/>
        </w:rPr>
        <w:t xml:space="preserve">.  </w:t>
      </w:r>
      <w:r w:rsidR="00E82929" w:rsidRPr="008608F1">
        <w:rPr>
          <w:rFonts w:eastAsia="Calibri" w:cs="Times New Roman"/>
          <w:color w:val="auto"/>
          <w:szCs w:val="24"/>
        </w:rPr>
        <w:t xml:space="preserve">The Board’s first charge with respect to these conditions is an assessment of the appropriateness of the PEB’s fitness adjudications.  The Board’s threshold for countering fitness determinations is higher than the VASRD §4.3 (reasonable doubt) standard used for </w:t>
      </w:r>
      <w:r w:rsidR="00E82929" w:rsidRPr="002E498A">
        <w:rPr>
          <w:rFonts w:eastAsia="Calibri" w:cs="Times New Roman"/>
          <w:color w:val="auto"/>
          <w:szCs w:val="24"/>
        </w:rPr>
        <w:t xml:space="preserve">its rating recommendations, but remains adherent to the DoDI 6040.44 “fair and equitable” standard.  </w:t>
      </w:r>
    </w:p>
    <w:p w:rsidR="00E82929" w:rsidRPr="002E498A" w:rsidRDefault="00E82929" w:rsidP="008608F1">
      <w:pPr>
        <w:jc w:val="both"/>
        <w:rPr>
          <w:rFonts w:eastAsia="Calibri" w:cs="Times New Roman"/>
          <w:color w:val="auto"/>
          <w:szCs w:val="24"/>
        </w:rPr>
      </w:pPr>
    </w:p>
    <w:p w:rsidR="008608F1" w:rsidRPr="008608F1" w:rsidRDefault="004C5516" w:rsidP="008608F1">
      <w:pPr>
        <w:jc w:val="both"/>
        <w:rPr>
          <w:rFonts w:eastAsia="Calibri" w:cs="Times New Roman"/>
          <w:color w:val="auto"/>
          <w:szCs w:val="24"/>
        </w:rPr>
      </w:pPr>
      <w:r w:rsidRPr="002E498A">
        <w:rPr>
          <w:color w:val="auto"/>
        </w:rPr>
        <w:t xml:space="preserve">The Board discussed the findings </w:t>
      </w:r>
      <w:r w:rsidR="002E498A">
        <w:rPr>
          <w:color w:val="auto"/>
        </w:rPr>
        <w:t xml:space="preserve">of the </w:t>
      </w:r>
      <w:r w:rsidRPr="002E498A">
        <w:rPr>
          <w:color w:val="auto"/>
        </w:rPr>
        <w:t>left hand</w:t>
      </w:r>
      <w:r w:rsidR="008608F1" w:rsidRPr="002E498A">
        <w:rPr>
          <w:color w:val="auto"/>
        </w:rPr>
        <w:t>/wrist</w:t>
      </w:r>
      <w:r w:rsidR="002E498A">
        <w:rPr>
          <w:color w:val="auto"/>
        </w:rPr>
        <w:t xml:space="preserve"> including the post-separation VA examinations</w:t>
      </w:r>
      <w:r w:rsidRPr="002E498A">
        <w:rPr>
          <w:color w:val="auto"/>
        </w:rPr>
        <w:t>.</w:t>
      </w:r>
      <w:r w:rsidR="008608F1" w:rsidRPr="002E498A">
        <w:rPr>
          <w:color w:val="auto"/>
        </w:rPr>
        <w:t xml:space="preserve"> </w:t>
      </w:r>
      <w:r w:rsidR="002E498A" w:rsidRPr="002E498A">
        <w:rPr>
          <w:color w:val="auto"/>
        </w:rPr>
        <w:t xml:space="preserve"> </w:t>
      </w:r>
      <w:r w:rsidR="008608F1" w:rsidRPr="002E498A">
        <w:rPr>
          <w:color w:val="auto"/>
        </w:rPr>
        <w:t xml:space="preserve">The CI was right hand dominant. </w:t>
      </w:r>
      <w:r w:rsidR="002E498A" w:rsidRPr="002E498A">
        <w:rPr>
          <w:color w:val="auto"/>
        </w:rPr>
        <w:t xml:space="preserve"> </w:t>
      </w:r>
      <w:r w:rsidR="008608F1" w:rsidRPr="002E498A">
        <w:rPr>
          <w:color w:val="auto"/>
        </w:rPr>
        <w:t>T</w:t>
      </w:r>
      <w:r w:rsidRPr="002E498A">
        <w:rPr>
          <w:color w:val="auto"/>
        </w:rPr>
        <w:t>he</w:t>
      </w:r>
      <w:r w:rsidR="008608F1" w:rsidRPr="002E498A">
        <w:rPr>
          <w:color w:val="auto"/>
        </w:rPr>
        <w:t xml:space="preserve"> </w:t>
      </w:r>
      <w:r w:rsidR="002E498A" w:rsidRPr="002E498A">
        <w:rPr>
          <w:color w:val="auto"/>
        </w:rPr>
        <w:t>permanent</w:t>
      </w:r>
      <w:r w:rsidR="008608F1" w:rsidRPr="002E498A">
        <w:rPr>
          <w:color w:val="auto"/>
        </w:rPr>
        <w:t xml:space="preserve"> U2 </w:t>
      </w:r>
      <w:r w:rsidR="00D75F91">
        <w:rPr>
          <w:color w:val="auto"/>
        </w:rPr>
        <w:t>p</w:t>
      </w:r>
      <w:r w:rsidR="008608F1" w:rsidRPr="002E498A">
        <w:rPr>
          <w:color w:val="auto"/>
        </w:rPr>
        <w:t xml:space="preserve">rofile </w:t>
      </w:r>
      <w:r w:rsidRPr="002E498A">
        <w:rPr>
          <w:color w:val="auto"/>
        </w:rPr>
        <w:t xml:space="preserve">was granted in 1995 and the CI was able to continue </w:t>
      </w:r>
      <w:r w:rsidR="002E498A" w:rsidRPr="002E498A">
        <w:rPr>
          <w:color w:val="auto"/>
        </w:rPr>
        <w:t xml:space="preserve">to perform </w:t>
      </w:r>
      <w:r w:rsidRPr="002E498A">
        <w:rPr>
          <w:color w:val="auto"/>
        </w:rPr>
        <w:t>his duties.  There were no further medical visits for the wrist condition</w:t>
      </w:r>
      <w:r w:rsidR="00346691">
        <w:rPr>
          <w:color w:val="auto"/>
        </w:rPr>
        <w:t xml:space="preserve"> in 6 years prior to separation</w:t>
      </w:r>
      <w:r w:rsidRPr="002E498A">
        <w:rPr>
          <w:color w:val="auto"/>
        </w:rPr>
        <w:t xml:space="preserve">. </w:t>
      </w:r>
      <w:r w:rsidR="002E498A" w:rsidRPr="002E498A">
        <w:rPr>
          <w:color w:val="auto"/>
        </w:rPr>
        <w:t xml:space="preserve"> </w:t>
      </w:r>
      <w:r w:rsidR="008608F1" w:rsidRPr="002E498A">
        <w:rPr>
          <w:color w:val="000000"/>
        </w:rPr>
        <w:t xml:space="preserve">This condition was reviewed by the </w:t>
      </w:r>
      <w:r w:rsidR="00D75F91">
        <w:rPr>
          <w:color w:val="000000"/>
        </w:rPr>
        <w:t>a</w:t>
      </w:r>
      <w:r w:rsidR="008608F1" w:rsidRPr="002E498A">
        <w:rPr>
          <w:color w:val="000000"/>
        </w:rPr>
        <w:t xml:space="preserve">ction </w:t>
      </w:r>
      <w:r w:rsidR="00D75F91">
        <w:rPr>
          <w:color w:val="000000"/>
        </w:rPr>
        <w:t>o</w:t>
      </w:r>
      <w:r w:rsidR="008608F1" w:rsidRPr="002E498A">
        <w:rPr>
          <w:color w:val="000000"/>
        </w:rPr>
        <w:t xml:space="preserve">fficer and considered by the Board.  There was no indication from the record that </w:t>
      </w:r>
      <w:r w:rsidR="002E498A" w:rsidRPr="002E498A">
        <w:rPr>
          <w:color w:val="000000"/>
        </w:rPr>
        <w:t>the left hand/wrist</w:t>
      </w:r>
      <w:r w:rsidR="008608F1" w:rsidRPr="002E498A">
        <w:rPr>
          <w:color w:val="000000"/>
        </w:rPr>
        <w:t xml:space="preserve"> condition significantly interfered with satisfactory duty performance.</w:t>
      </w:r>
      <w:r w:rsidR="008608F1" w:rsidRPr="002E498A">
        <w:rPr>
          <w:rFonts w:eastAsia="Calibri" w:cs="Times New Roman"/>
          <w:color w:val="auto"/>
          <w:szCs w:val="24"/>
        </w:rPr>
        <w:t xml:space="preserve"> </w:t>
      </w:r>
      <w:r w:rsidR="002E498A" w:rsidRPr="002E498A">
        <w:rPr>
          <w:rFonts w:eastAsia="Calibri" w:cs="Times New Roman"/>
          <w:color w:val="auto"/>
          <w:szCs w:val="24"/>
        </w:rPr>
        <w:t xml:space="preserve"> </w:t>
      </w:r>
      <w:r w:rsidR="008608F1" w:rsidRPr="002E498A">
        <w:rPr>
          <w:rFonts w:eastAsia="Calibri" w:cs="Times New Roman"/>
          <w:color w:val="auto"/>
          <w:szCs w:val="24"/>
        </w:rPr>
        <w:t xml:space="preserve">After due deliberation in consideration of the preponderance of the evidence, the Board concluded that </w:t>
      </w:r>
      <w:r w:rsidR="008608F1" w:rsidRPr="002E498A">
        <w:rPr>
          <w:rFonts w:eastAsia="Calibri" w:cs="Times New Roman"/>
          <w:color w:val="auto"/>
          <w:szCs w:val="24"/>
        </w:rPr>
        <w:lastRenderedPageBreak/>
        <w:t xml:space="preserve">there was insufficient cause to recommend a change in the PEB fitness determination for the </w:t>
      </w:r>
      <w:r w:rsidR="002E498A" w:rsidRPr="002E498A">
        <w:rPr>
          <w:rFonts w:eastAsia="Calibri" w:cs="Times New Roman"/>
          <w:color w:val="auto"/>
          <w:szCs w:val="24"/>
        </w:rPr>
        <w:t>l</w:t>
      </w:r>
      <w:r w:rsidR="008608F1" w:rsidRPr="002E498A">
        <w:rPr>
          <w:color w:val="auto"/>
        </w:rPr>
        <w:t xml:space="preserve">eft </w:t>
      </w:r>
      <w:r w:rsidR="002E498A" w:rsidRPr="002E498A">
        <w:rPr>
          <w:color w:val="auto"/>
        </w:rPr>
        <w:t>h</w:t>
      </w:r>
      <w:r w:rsidR="008608F1" w:rsidRPr="002E498A">
        <w:rPr>
          <w:color w:val="auto"/>
        </w:rPr>
        <w:t>and</w:t>
      </w:r>
      <w:r w:rsidR="002E498A" w:rsidRPr="002E498A">
        <w:rPr>
          <w:color w:val="auto"/>
        </w:rPr>
        <w:t>/wrist condition</w:t>
      </w:r>
      <w:r w:rsidR="00C862E7">
        <w:rPr>
          <w:color w:val="auto"/>
        </w:rPr>
        <w:t>,</w:t>
      </w:r>
      <w:r w:rsidR="008608F1" w:rsidRPr="002E498A">
        <w:rPr>
          <w:rFonts w:eastAsia="Calibri" w:cs="Times New Roman"/>
          <w:color w:val="auto"/>
          <w:szCs w:val="24"/>
        </w:rPr>
        <w:t xml:space="preserve"> therefore, no additional disability ratings can be recommended.</w:t>
      </w:r>
      <w:r w:rsidR="002E498A">
        <w:rPr>
          <w:rFonts w:eastAsia="Calibri" w:cs="Times New Roman"/>
          <w:color w:val="auto"/>
          <w:szCs w:val="24"/>
        </w:rPr>
        <w:t xml:space="preserve">  </w:t>
      </w:r>
    </w:p>
    <w:p w:rsidR="008608F1" w:rsidRPr="008608F1" w:rsidRDefault="008608F1" w:rsidP="008608F1">
      <w:pPr>
        <w:pBdr>
          <w:bottom w:val="single" w:sz="12" w:space="1" w:color="auto"/>
        </w:pBdr>
        <w:tabs>
          <w:tab w:val="left" w:pos="288"/>
          <w:tab w:val="left" w:pos="4752"/>
        </w:tabs>
        <w:jc w:val="both"/>
        <w:rPr>
          <w:color w:val="auto"/>
        </w:rPr>
      </w:pPr>
    </w:p>
    <w:p w:rsidR="00AD2379" w:rsidRPr="008608F1" w:rsidRDefault="00AD2379" w:rsidP="008608F1">
      <w:pPr>
        <w:jc w:val="both"/>
        <w:rPr>
          <w:color w:val="auto"/>
        </w:rPr>
      </w:pPr>
    </w:p>
    <w:p w:rsidR="00417BED" w:rsidRPr="008608F1" w:rsidRDefault="00AD2379" w:rsidP="008608F1">
      <w:pPr>
        <w:jc w:val="both"/>
        <w:rPr>
          <w:rFonts w:cs="Times New Roman"/>
          <w:color w:val="auto"/>
        </w:rPr>
      </w:pPr>
      <w:r w:rsidRPr="008608F1">
        <w:rPr>
          <w:color w:val="auto"/>
          <w:u w:val="single"/>
        </w:rPr>
        <w:t>BOARD FINDINGS</w:t>
      </w:r>
      <w:r w:rsidRPr="008608F1">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8608F1">
        <w:rPr>
          <w:rFonts w:cs="Times New Roman"/>
          <w:color w:val="auto"/>
        </w:rPr>
        <w:t>.</w:t>
      </w:r>
      <w:r w:rsidR="006B690F" w:rsidRPr="008608F1">
        <w:rPr>
          <w:rFonts w:cs="Times New Roman"/>
          <w:color w:val="auto"/>
        </w:rPr>
        <w:t xml:space="preserve">  </w:t>
      </w:r>
      <w:r w:rsidR="00241B01" w:rsidRPr="008608F1">
        <w:rPr>
          <w:rFonts w:eastAsia="Calibri" w:cs="Times New Roman"/>
          <w:color w:val="auto"/>
          <w:szCs w:val="24"/>
        </w:rPr>
        <w:t xml:space="preserve">As discussed above, PEB reliance on the USAPDA pain policy for rating </w:t>
      </w:r>
      <w:r w:rsidR="00264DED">
        <w:rPr>
          <w:rFonts w:eastAsia="Calibri" w:cs="Times New Roman"/>
          <w:color w:val="auto"/>
          <w:szCs w:val="24"/>
        </w:rPr>
        <w:t>c</w:t>
      </w:r>
      <w:r w:rsidR="00D64A18" w:rsidRPr="008608F1">
        <w:rPr>
          <w:rFonts w:eastAsia="Calibri" w:cs="Times New Roman"/>
          <w:color w:val="auto"/>
          <w:szCs w:val="24"/>
        </w:rPr>
        <w:t xml:space="preserve">hronic </w:t>
      </w:r>
      <w:r w:rsidR="00264DED">
        <w:rPr>
          <w:rFonts w:eastAsia="Calibri" w:cs="Times New Roman"/>
          <w:color w:val="auto"/>
          <w:szCs w:val="24"/>
        </w:rPr>
        <w:t>l</w:t>
      </w:r>
      <w:r w:rsidR="00D64A18" w:rsidRPr="008608F1">
        <w:rPr>
          <w:rFonts w:eastAsia="Calibri" w:cs="Times New Roman"/>
          <w:color w:val="auto"/>
          <w:szCs w:val="24"/>
        </w:rPr>
        <w:t xml:space="preserve">eft </w:t>
      </w:r>
      <w:r w:rsidR="00264DED">
        <w:rPr>
          <w:rFonts w:eastAsia="Calibri" w:cs="Times New Roman"/>
          <w:color w:val="auto"/>
          <w:szCs w:val="24"/>
        </w:rPr>
        <w:t>k</w:t>
      </w:r>
      <w:r w:rsidR="00D64A18" w:rsidRPr="008608F1">
        <w:rPr>
          <w:rFonts w:eastAsia="Calibri" w:cs="Times New Roman"/>
          <w:color w:val="auto"/>
          <w:szCs w:val="24"/>
        </w:rPr>
        <w:t xml:space="preserve">nee condition </w:t>
      </w:r>
      <w:r w:rsidR="00241B01" w:rsidRPr="008608F1">
        <w:rPr>
          <w:rFonts w:eastAsia="Calibri" w:cs="Times New Roman"/>
          <w:color w:val="auto"/>
          <w:szCs w:val="24"/>
        </w:rPr>
        <w:t>was operant in this case and the condition was adjudicated independently of that policy by the Board.</w:t>
      </w:r>
      <w:r w:rsidR="006B690F" w:rsidRPr="008608F1">
        <w:rPr>
          <w:rFonts w:eastAsia="Calibri" w:cs="Times New Roman"/>
          <w:color w:val="auto"/>
          <w:szCs w:val="24"/>
        </w:rPr>
        <w:t xml:space="preserve">  </w:t>
      </w:r>
      <w:r w:rsidR="00560F12" w:rsidRPr="008608F1">
        <w:rPr>
          <w:rFonts w:eastAsia="Calibri" w:cs="Times New Roman"/>
          <w:color w:val="auto"/>
          <w:szCs w:val="24"/>
        </w:rPr>
        <w:t>In the matter of the</w:t>
      </w:r>
      <w:r w:rsidR="00A403AC" w:rsidRPr="008608F1">
        <w:rPr>
          <w:rFonts w:eastAsia="Calibri" w:cs="Times New Roman"/>
          <w:color w:val="auto"/>
          <w:szCs w:val="24"/>
        </w:rPr>
        <w:t xml:space="preserve"> </w:t>
      </w:r>
      <w:r w:rsidR="00264DED">
        <w:rPr>
          <w:rFonts w:eastAsia="Calibri" w:cs="Times New Roman"/>
          <w:color w:val="auto"/>
          <w:szCs w:val="24"/>
        </w:rPr>
        <w:t>c</w:t>
      </w:r>
      <w:r w:rsidR="00A403AC" w:rsidRPr="008608F1">
        <w:rPr>
          <w:rFonts w:eastAsia="Calibri" w:cs="Times New Roman"/>
          <w:color w:val="auto"/>
          <w:szCs w:val="24"/>
        </w:rPr>
        <w:t xml:space="preserve">hronic </w:t>
      </w:r>
      <w:r w:rsidR="00264DED">
        <w:rPr>
          <w:rFonts w:eastAsia="Calibri" w:cs="Times New Roman"/>
          <w:color w:val="auto"/>
          <w:szCs w:val="24"/>
        </w:rPr>
        <w:t>l</w:t>
      </w:r>
      <w:r w:rsidR="00A403AC" w:rsidRPr="008608F1">
        <w:rPr>
          <w:rFonts w:eastAsia="Calibri" w:cs="Times New Roman"/>
          <w:color w:val="auto"/>
          <w:szCs w:val="24"/>
        </w:rPr>
        <w:t xml:space="preserve">eft </w:t>
      </w:r>
      <w:r w:rsidR="00264DED">
        <w:rPr>
          <w:rFonts w:eastAsia="Calibri" w:cs="Times New Roman"/>
          <w:color w:val="auto"/>
          <w:szCs w:val="24"/>
        </w:rPr>
        <w:t>k</w:t>
      </w:r>
      <w:r w:rsidR="00A403AC" w:rsidRPr="008608F1">
        <w:rPr>
          <w:rFonts w:eastAsia="Calibri" w:cs="Times New Roman"/>
          <w:color w:val="auto"/>
          <w:szCs w:val="24"/>
        </w:rPr>
        <w:t>nee</w:t>
      </w:r>
      <w:r w:rsidR="00560F12" w:rsidRPr="008608F1">
        <w:rPr>
          <w:rFonts w:eastAsia="Calibri" w:cs="Times New Roman"/>
          <w:color w:val="auto"/>
          <w:szCs w:val="24"/>
        </w:rPr>
        <w:t xml:space="preserve"> condition and IAW VASRD §4.71a, the Board unanimously recommends no change in the PEB adjudication.</w:t>
      </w:r>
      <w:r w:rsidR="006B690F" w:rsidRPr="008608F1">
        <w:rPr>
          <w:rFonts w:eastAsia="Calibri" w:cs="Times New Roman"/>
          <w:color w:val="auto"/>
          <w:szCs w:val="24"/>
        </w:rPr>
        <w:t xml:space="preserve">  </w:t>
      </w:r>
      <w:r w:rsidR="008608F1" w:rsidRPr="008608F1">
        <w:rPr>
          <w:rFonts w:eastAsia="Calibri" w:cs="Times New Roman"/>
          <w:color w:val="auto"/>
          <w:szCs w:val="24"/>
        </w:rPr>
        <w:t xml:space="preserve">In the matter of the </w:t>
      </w:r>
      <w:r w:rsidR="00264DED">
        <w:rPr>
          <w:rFonts w:eastAsia="Calibri" w:cs="Times New Roman"/>
          <w:color w:val="auto"/>
          <w:szCs w:val="24"/>
        </w:rPr>
        <w:t>c</w:t>
      </w:r>
      <w:r w:rsidR="008608F1" w:rsidRPr="008608F1">
        <w:rPr>
          <w:color w:val="auto"/>
        </w:rPr>
        <w:t xml:space="preserve">hronic </w:t>
      </w:r>
      <w:r w:rsidR="00264DED">
        <w:rPr>
          <w:color w:val="auto"/>
        </w:rPr>
        <w:t>p</w:t>
      </w:r>
      <w:r w:rsidR="008608F1" w:rsidRPr="008608F1">
        <w:rPr>
          <w:color w:val="auto"/>
        </w:rPr>
        <w:t xml:space="preserve">ain in the </w:t>
      </w:r>
      <w:r w:rsidR="00264DED">
        <w:rPr>
          <w:color w:val="auto"/>
        </w:rPr>
        <w:t>l</w:t>
      </w:r>
      <w:r w:rsidR="008608F1" w:rsidRPr="008608F1">
        <w:rPr>
          <w:color w:val="auto"/>
        </w:rPr>
        <w:t xml:space="preserve">eft </w:t>
      </w:r>
      <w:r w:rsidR="00264DED">
        <w:rPr>
          <w:color w:val="auto"/>
        </w:rPr>
        <w:t>h</w:t>
      </w:r>
      <w:r w:rsidR="008608F1" w:rsidRPr="008608F1">
        <w:rPr>
          <w:color w:val="auto"/>
        </w:rPr>
        <w:t xml:space="preserve">and and </w:t>
      </w:r>
      <w:r w:rsidR="00264DED">
        <w:rPr>
          <w:color w:val="auto"/>
        </w:rPr>
        <w:t>l</w:t>
      </w:r>
      <w:r w:rsidR="008608F1" w:rsidRPr="008608F1">
        <w:rPr>
          <w:color w:val="auto"/>
        </w:rPr>
        <w:t xml:space="preserve">eft </w:t>
      </w:r>
      <w:r w:rsidR="00264DED">
        <w:rPr>
          <w:color w:val="auto"/>
        </w:rPr>
        <w:t>w</w:t>
      </w:r>
      <w:r w:rsidR="008608F1" w:rsidRPr="008608F1">
        <w:rPr>
          <w:color w:val="auto"/>
        </w:rPr>
        <w:t xml:space="preserve">rist </w:t>
      </w:r>
      <w:r w:rsidR="00264DED">
        <w:rPr>
          <w:color w:val="auto"/>
        </w:rPr>
        <w:t>s/p</w:t>
      </w:r>
      <w:r w:rsidR="008608F1" w:rsidRPr="008608F1">
        <w:rPr>
          <w:color w:val="auto"/>
        </w:rPr>
        <w:t xml:space="preserve"> I and D of </w:t>
      </w:r>
      <w:r w:rsidR="00264DED">
        <w:rPr>
          <w:color w:val="auto"/>
        </w:rPr>
        <w:t>i</w:t>
      </w:r>
      <w:r w:rsidR="008608F1" w:rsidRPr="008608F1">
        <w:rPr>
          <w:color w:val="auto"/>
        </w:rPr>
        <w:t xml:space="preserve">nfection of the </w:t>
      </w:r>
      <w:r w:rsidR="00264DED">
        <w:rPr>
          <w:color w:val="auto"/>
        </w:rPr>
        <w:t>l</w:t>
      </w:r>
      <w:r w:rsidR="008608F1" w:rsidRPr="008608F1">
        <w:rPr>
          <w:color w:val="auto"/>
        </w:rPr>
        <w:t xml:space="preserve">eft </w:t>
      </w:r>
      <w:r w:rsidR="00264DED">
        <w:rPr>
          <w:color w:val="auto"/>
        </w:rPr>
        <w:t>w</w:t>
      </w:r>
      <w:r w:rsidR="008608F1" w:rsidRPr="008608F1">
        <w:rPr>
          <w:color w:val="auto"/>
        </w:rPr>
        <w:t xml:space="preserve">rist and </w:t>
      </w:r>
      <w:r w:rsidR="00264DED">
        <w:rPr>
          <w:color w:val="auto"/>
        </w:rPr>
        <w:t>h</w:t>
      </w:r>
      <w:r w:rsidR="008608F1" w:rsidRPr="008608F1">
        <w:rPr>
          <w:color w:val="auto"/>
        </w:rPr>
        <w:t xml:space="preserve">and and </w:t>
      </w:r>
      <w:r w:rsidR="00264DED">
        <w:rPr>
          <w:color w:val="auto"/>
        </w:rPr>
        <w:t>f</w:t>
      </w:r>
      <w:r w:rsidR="008608F1" w:rsidRPr="008608F1">
        <w:rPr>
          <w:color w:val="auto"/>
        </w:rPr>
        <w:t xml:space="preserve">ractures of </w:t>
      </w:r>
      <w:r w:rsidR="00264DED">
        <w:rPr>
          <w:color w:val="auto"/>
        </w:rPr>
        <w:t>l</w:t>
      </w:r>
      <w:r w:rsidR="008608F1" w:rsidRPr="008608F1">
        <w:rPr>
          <w:color w:val="auto"/>
        </w:rPr>
        <w:t xml:space="preserve">eft </w:t>
      </w:r>
      <w:r w:rsidR="00264DED">
        <w:rPr>
          <w:color w:val="auto"/>
        </w:rPr>
        <w:t>w</w:t>
      </w:r>
      <w:r w:rsidR="008608F1" w:rsidRPr="008608F1">
        <w:rPr>
          <w:color w:val="auto"/>
        </w:rPr>
        <w:t xml:space="preserve">rist </w:t>
      </w:r>
      <w:r w:rsidR="00264DED">
        <w:rPr>
          <w:color w:val="auto"/>
        </w:rPr>
        <w:t>b</w:t>
      </w:r>
      <w:r w:rsidR="008608F1" w:rsidRPr="008608F1">
        <w:rPr>
          <w:color w:val="auto"/>
        </w:rPr>
        <w:t>ones</w:t>
      </w:r>
      <w:r w:rsidR="008608F1" w:rsidRPr="008608F1">
        <w:rPr>
          <w:rFonts w:eastAsia="Calibri" w:cs="Times New Roman"/>
          <w:color w:val="auto"/>
          <w:szCs w:val="24"/>
        </w:rPr>
        <w:t xml:space="preserve"> contended condition, the Board unanimously recommends no change from the PEB determinations as not unfitting.  </w:t>
      </w:r>
      <w:r w:rsidR="00417BED" w:rsidRPr="008608F1">
        <w:rPr>
          <w:rFonts w:eastAsia="Calibri" w:cs="Times New Roman"/>
          <w:color w:val="auto"/>
          <w:szCs w:val="24"/>
        </w:rPr>
        <w:t>There were no other conditions within the Board’s scope of review for consideration.</w:t>
      </w:r>
      <w:r w:rsidR="00165C7B" w:rsidRPr="008608F1">
        <w:rPr>
          <w:rFonts w:eastAsia="Calibri" w:cs="Times New Roman"/>
          <w:color w:val="auto"/>
          <w:szCs w:val="24"/>
        </w:rPr>
        <w:t xml:space="preserve">  </w:t>
      </w:r>
    </w:p>
    <w:p w:rsidR="00AD2379" w:rsidRPr="008608F1" w:rsidRDefault="00AD2379" w:rsidP="008608F1">
      <w:pPr>
        <w:pBdr>
          <w:bottom w:val="single" w:sz="12" w:space="1" w:color="auto"/>
        </w:pBdr>
        <w:tabs>
          <w:tab w:val="left" w:pos="288"/>
          <w:tab w:val="left" w:pos="4752"/>
        </w:tabs>
        <w:jc w:val="both"/>
        <w:rPr>
          <w:color w:val="auto"/>
        </w:rPr>
      </w:pPr>
    </w:p>
    <w:p w:rsidR="00AD2379" w:rsidRPr="008608F1" w:rsidRDefault="00AD2379" w:rsidP="008608F1">
      <w:pPr>
        <w:jc w:val="both"/>
        <w:rPr>
          <w:color w:val="auto"/>
        </w:rPr>
      </w:pPr>
    </w:p>
    <w:p w:rsidR="002E498A" w:rsidRDefault="00AD2379" w:rsidP="002E498A">
      <w:pPr>
        <w:jc w:val="both"/>
        <w:rPr>
          <w:color w:val="auto"/>
        </w:rPr>
      </w:pPr>
      <w:r w:rsidRPr="008608F1">
        <w:rPr>
          <w:color w:val="auto"/>
          <w:u w:val="single"/>
        </w:rPr>
        <w:t>RECOMMENDATION</w:t>
      </w:r>
      <w:r w:rsidRPr="008608F1">
        <w:rPr>
          <w:color w:val="auto"/>
        </w:rPr>
        <w:t xml:space="preserve">: </w:t>
      </w:r>
      <w:r w:rsidR="006B690F" w:rsidRPr="008608F1">
        <w:rPr>
          <w:color w:val="auto"/>
        </w:rPr>
        <w:t xml:space="preserve"> </w:t>
      </w:r>
      <w:r w:rsidR="002E498A">
        <w:rPr>
          <w:color w:val="auto"/>
        </w:rPr>
        <w:t xml:space="preserve">The Board, therefore, recommends that there be no recharacterization of the CI’s disability and separation determination, as follows:  </w:t>
      </w:r>
    </w:p>
    <w:p w:rsidR="00AD2379" w:rsidRPr="002E498A"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2E498A" w:rsidTr="006B690F">
        <w:trPr>
          <w:trHeight w:val="233"/>
          <w:jc w:val="center"/>
        </w:trPr>
        <w:tc>
          <w:tcPr>
            <w:tcW w:w="6768" w:type="dxa"/>
            <w:shd w:val="clear" w:color="auto" w:fill="D9D9D9"/>
            <w:vAlign w:val="center"/>
          </w:tcPr>
          <w:p w:rsidR="00AD2379" w:rsidRPr="002E498A" w:rsidRDefault="00AD2379" w:rsidP="006B690F">
            <w:pPr>
              <w:tabs>
                <w:tab w:val="left" w:pos="288"/>
                <w:tab w:val="left" w:pos="4752"/>
              </w:tabs>
              <w:rPr>
                <w:b/>
                <w:color w:val="auto"/>
              </w:rPr>
            </w:pPr>
            <w:r w:rsidRPr="002E498A">
              <w:rPr>
                <w:b/>
                <w:color w:val="auto"/>
              </w:rPr>
              <w:t>UNFITTING CONDITION</w:t>
            </w:r>
          </w:p>
        </w:tc>
        <w:tc>
          <w:tcPr>
            <w:tcW w:w="1530" w:type="dxa"/>
            <w:shd w:val="clear" w:color="auto" w:fill="D9D9D9"/>
            <w:vAlign w:val="center"/>
          </w:tcPr>
          <w:p w:rsidR="00AD2379" w:rsidRPr="002E498A" w:rsidRDefault="00AD2379" w:rsidP="006B690F">
            <w:pPr>
              <w:tabs>
                <w:tab w:val="left" w:pos="288"/>
                <w:tab w:val="left" w:pos="4752"/>
              </w:tabs>
              <w:rPr>
                <w:b/>
                <w:color w:val="auto"/>
              </w:rPr>
            </w:pPr>
            <w:r w:rsidRPr="002E498A">
              <w:rPr>
                <w:b/>
                <w:color w:val="auto"/>
              </w:rPr>
              <w:t>VASRD CODE</w:t>
            </w:r>
          </w:p>
        </w:tc>
        <w:tc>
          <w:tcPr>
            <w:tcW w:w="1026" w:type="dxa"/>
            <w:shd w:val="clear" w:color="auto" w:fill="D9D9D9"/>
            <w:vAlign w:val="center"/>
          </w:tcPr>
          <w:p w:rsidR="00AD2379" w:rsidRPr="002E498A" w:rsidRDefault="00AD2379" w:rsidP="006B690F">
            <w:pPr>
              <w:tabs>
                <w:tab w:val="left" w:pos="288"/>
                <w:tab w:val="left" w:pos="4752"/>
              </w:tabs>
              <w:rPr>
                <w:b/>
                <w:color w:val="auto"/>
              </w:rPr>
            </w:pPr>
            <w:r w:rsidRPr="002E498A">
              <w:rPr>
                <w:b/>
                <w:color w:val="auto"/>
              </w:rPr>
              <w:t>RATING</w:t>
            </w:r>
          </w:p>
        </w:tc>
      </w:tr>
      <w:tr w:rsidR="00AD2379" w:rsidRPr="002E498A" w:rsidTr="006B690F">
        <w:trPr>
          <w:jc w:val="center"/>
        </w:trPr>
        <w:tc>
          <w:tcPr>
            <w:tcW w:w="6768" w:type="dxa"/>
            <w:vAlign w:val="center"/>
          </w:tcPr>
          <w:p w:rsidR="00AD2379" w:rsidRPr="002E498A" w:rsidRDefault="00E82929" w:rsidP="006B690F">
            <w:pPr>
              <w:tabs>
                <w:tab w:val="left" w:pos="288"/>
                <w:tab w:val="left" w:pos="4752"/>
              </w:tabs>
              <w:jc w:val="left"/>
              <w:rPr>
                <w:color w:val="auto"/>
              </w:rPr>
            </w:pPr>
            <w:r w:rsidRPr="002E498A">
              <w:rPr>
                <w:color w:val="auto"/>
              </w:rPr>
              <w:t>Chronic Left Knee Pain</w:t>
            </w:r>
          </w:p>
        </w:tc>
        <w:tc>
          <w:tcPr>
            <w:tcW w:w="1530" w:type="dxa"/>
            <w:vAlign w:val="center"/>
          </w:tcPr>
          <w:p w:rsidR="00AD2379" w:rsidRPr="002E498A" w:rsidRDefault="00E82929" w:rsidP="006B690F">
            <w:pPr>
              <w:tabs>
                <w:tab w:val="left" w:pos="288"/>
                <w:tab w:val="left" w:pos="4752"/>
              </w:tabs>
              <w:rPr>
                <w:color w:val="auto"/>
              </w:rPr>
            </w:pPr>
            <w:r w:rsidRPr="002E498A">
              <w:rPr>
                <w:color w:val="auto"/>
              </w:rPr>
              <w:t>5099-5003</w:t>
            </w:r>
          </w:p>
        </w:tc>
        <w:tc>
          <w:tcPr>
            <w:tcW w:w="1026" w:type="dxa"/>
            <w:vAlign w:val="center"/>
          </w:tcPr>
          <w:p w:rsidR="00AD2379" w:rsidRPr="002E498A" w:rsidRDefault="00A403AC" w:rsidP="006B690F">
            <w:pPr>
              <w:tabs>
                <w:tab w:val="left" w:pos="288"/>
                <w:tab w:val="left" w:pos="4752"/>
              </w:tabs>
              <w:rPr>
                <w:color w:val="auto"/>
              </w:rPr>
            </w:pPr>
            <w:r w:rsidRPr="002E498A">
              <w:rPr>
                <w:color w:val="auto"/>
              </w:rPr>
              <w:t>1</w:t>
            </w:r>
            <w:r w:rsidR="00AD2379" w:rsidRPr="002E498A">
              <w:rPr>
                <w:color w:val="auto"/>
              </w:rPr>
              <w:t>0%</w:t>
            </w:r>
          </w:p>
        </w:tc>
      </w:tr>
      <w:tr w:rsidR="00AD2379" w:rsidRPr="002E498A"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2E498A" w:rsidRDefault="00AD2379" w:rsidP="006B690F">
            <w:pPr>
              <w:tabs>
                <w:tab w:val="left" w:pos="288"/>
                <w:tab w:val="left" w:pos="4752"/>
              </w:tabs>
              <w:rPr>
                <w:b/>
                <w:color w:val="auto"/>
              </w:rPr>
            </w:pPr>
            <w:r w:rsidRPr="002E498A">
              <w:rPr>
                <w:b/>
                <w:color w:val="auto"/>
              </w:rPr>
              <w:t>COMBINED</w:t>
            </w:r>
          </w:p>
        </w:tc>
        <w:tc>
          <w:tcPr>
            <w:tcW w:w="1026" w:type="dxa"/>
            <w:shd w:val="clear" w:color="auto" w:fill="D9D9D9"/>
            <w:vAlign w:val="center"/>
          </w:tcPr>
          <w:p w:rsidR="00AD2379" w:rsidRPr="002E498A" w:rsidRDefault="003D115B" w:rsidP="006B690F">
            <w:pPr>
              <w:tabs>
                <w:tab w:val="left" w:pos="288"/>
                <w:tab w:val="left" w:pos="4752"/>
              </w:tabs>
              <w:rPr>
                <w:b/>
                <w:color w:val="auto"/>
              </w:rPr>
            </w:pPr>
            <w:r w:rsidRPr="002E498A">
              <w:rPr>
                <w:b/>
                <w:color w:val="auto"/>
              </w:rPr>
              <w:t>1</w:t>
            </w:r>
            <w:r w:rsidR="00AD2379" w:rsidRPr="002E498A">
              <w:rPr>
                <w:b/>
                <w:color w:val="auto"/>
              </w:rPr>
              <w:t>0%</w:t>
            </w:r>
          </w:p>
        </w:tc>
      </w:tr>
    </w:tbl>
    <w:p w:rsidR="00AD2379" w:rsidRPr="002E498A" w:rsidRDefault="00AD2379" w:rsidP="006B690F">
      <w:pPr>
        <w:pBdr>
          <w:bottom w:val="single" w:sz="12" w:space="1" w:color="auto"/>
        </w:pBdr>
        <w:tabs>
          <w:tab w:val="left" w:pos="288"/>
          <w:tab w:val="left" w:pos="4752"/>
        </w:tabs>
        <w:jc w:val="both"/>
        <w:rPr>
          <w:color w:val="auto"/>
        </w:rPr>
      </w:pPr>
    </w:p>
    <w:p w:rsidR="00AD2379" w:rsidRPr="002E498A" w:rsidRDefault="00AD2379" w:rsidP="006B690F">
      <w:pPr>
        <w:jc w:val="both"/>
        <w:rPr>
          <w:color w:val="auto"/>
        </w:rPr>
      </w:pPr>
    </w:p>
    <w:p w:rsidR="00AD2379" w:rsidRPr="008608F1" w:rsidRDefault="00AD2379" w:rsidP="006B690F">
      <w:pPr>
        <w:tabs>
          <w:tab w:val="left" w:pos="288"/>
          <w:tab w:val="left" w:pos="4752"/>
        </w:tabs>
        <w:jc w:val="both"/>
        <w:rPr>
          <w:color w:val="auto"/>
        </w:rPr>
      </w:pPr>
      <w:r w:rsidRPr="008608F1">
        <w:rPr>
          <w:color w:val="auto"/>
        </w:rPr>
        <w:t>The following documentary evidence was considered:</w:t>
      </w:r>
    </w:p>
    <w:p w:rsidR="005144A7" w:rsidRPr="008608F1" w:rsidRDefault="005144A7" w:rsidP="006B690F">
      <w:pPr>
        <w:tabs>
          <w:tab w:val="left" w:pos="288"/>
          <w:tab w:val="left" w:pos="4752"/>
        </w:tabs>
        <w:jc w:val="both"/>
        <w:rPr>
          <w:color w:val="auto"/>
        </w:rPr>
      </w:pPr>
    </w:p>
    <w:p w:rsidR="00AD2379" w:rsidRPr="008608F1" w:rsidRDefault="00AD2379" w:rsidP="006B690F">
      <w:pPr>
        <w:tabs>
          <w:tab w:val="left" w:pos="288"/>
          <w:tab w:val="left" w:pos="4752"/>
        </w:tabs>
        <w:jc w:val="both"/>
        <w:rPr>
          <w:color w:val="auto"/>
        </w:rPr>
      </w:pPr>
      <w:r w:rsidRPr="008608F1">
        <w:rPr>
          <w:color w:val="auto"/>
        </w:rPr>
        <w:t xml:space="preserve">Exhibit A.  DD Form 294, dated </w:t>
      </w:r>
      <w:r w:rsidR="002C0298" w:rsidRPr="008608F1">
        <w:rPr>
          <w:color w:val="auto"/>
        </w:rPr>
        <w:t>20120110</w:t>
      </w:r>
      <w:r w:rsidR="00ED7820" w:rsidRPr="008608F1">
        <w:rPr>
          <w:color w:val="auto"/>
        </w:rPr>
        <w:t>, w/atchs</w:t>
      </w:r>
    </w:p>
    <w:p w:rsidR="00AD2379" w:rsidRPr="008608F1" w:rsidRDefault="00AD2379" w:rsidP="006B690F">
      <w:pPr>
        <w:tabs>
          <w:tab w:val="left" w:pos="288"/>
          <w:tab w:val="left" w:pos="4752"/>
        </w:tabs>
        <w:jc w:val="both"/>
        <w:rPr>
          <w:color w:val="auto"/>
        </w:rPr>
      </w:pPr>
      <w:r w:rsidRPr="008608F1">
        <w:rPr>
          <w:color w:val="auto"/>
        </w:rPr>
        <w:t>Exhib</w:t>
      </w:r>
      <w:r w:rsidR="00ED7820" w:rsidRPr="008608F1">
        <w:rPr>
          <w:color w:val="auto"/>
        </w:rPr>
        <w:t>it B.  Service Treatment Record</w:t>
      </w:r>
    </w:p>
    <w:p w:rsidR="00AD2379" w:rsidRPr="008608F1" w:rsidRDefault="00AD2379" w:rsidP="006B690F">
      <w:pPr>
        <w:tabs>
          <w:tab w:val="left" w:pos="288"/>
          <w:tab w:val="left" w:pos="4752"/>
        </w:tabs>
        <w:jc w:val="both"/>
        <w:rPr>
          <w:color w:val="auto"/>
        </w:rPr>
      </w:pPr>
      <w:r w:rsidRPr="008608F1">
        <w:rPr>
          <w:color w:val="auto"/>
        </w:rPr>
        <w:t>Exhibit C.  Department of Veterans</w:t>
      </w:r>
      <w:r w:rsidR="00ED7820" w:rsidRPr="008608F1">
        <w:rPr>
          <w:color w:val="auto"/>
        </w:rPr>
        <w:t>’ Affairs Treatment Record</w:t>
      </w:r>
    </w:p>
    <w:p w:rsidR="00AD2379" w:rsidRPr="008608F1" w:rsidRDefault="00AD2379" w:rsidP="006B690F">
      <w:pPr>
        <w:tabs>
          <w:tab w:val="left" w:pos="288"/>
          <w:tab w:val="left" w:pos="4752"/>
        </w:tabs>
        <w:jc w:val="both"/>
        <w:rPr>
          <w:color w:val="auto"/>
        </w:rPr>
      </w:pPr>
    </w:p>
    <w:p w:rsidR="00AD2379" w:rsidRPr="008608F1" w:rsidRDefault="00AD2379" w:rsidP="006B690F">
      <w:pPr>
        <w:tabs>
          <w:tab w:val="left" w:pos="288"/>
          <w:tab w:val="left" w:pos="4752"/>
        </w:tabs>
        <w:jc w:val="both"/>
        <w:rPr>
          <w:color w:val="auto"/>
        </w:rPr>
      </w:pPr>
    </w:p>
    <w:p w:rsidR="00AD2379" w:rsidRPr="008608F1" w:rsidRDefault="00AD2379" w:rsidP="006B690F">
      <w:pPr>
        <w:tabs>
          <w:tab w:val="left" w:pos="288"/>
          <w:tab w:val="left" w:pos="4752"/>
        </w:tabs>
        <w:jc w:val="both"/>
        <w:rPr>
          <w:color w:val="auto"/>
        </w:rPr>
      </w:pPr>
    </w:p>
    <w:p w:rsidR="00AD2379" w:rsidRPr="008608F1" w:rsidRDefault="00AD2379" w:rsidP="006B690F">
      <w:pPr>
        <w:tabs>
          <w:tab w:val="left" w:pos="288"/>
          <w:tab w:val="left" w:pos="4752"/>
        </w:tabs>
        <w:jc w:val="both"/>
        <w:rPr>
          <w:color w:val="auto"/>
        </w:rPr>
      </w:pPr>
    </w:p>
    <w:p w:rsidR="00AD2379" w:rsidRPr="008608F1" w:rsidRDefault="00AD2379" w:rsidP="006B690F">
      <w:pPr>
        <w:tabs>
          <w:tab w:val="left" w:pos="0"/>
          <w:tab w:val="left" w:pos="4320"/>
        </w:tabs>
        <w:jc w:val="both"/>
        <w:rPr>
          <w:color w:val="auto"/>
        </w:rPr>
      </w:pPr>
      <w:r w:rsidRPr="008608F1">
        <w:rPr>
          <w:color w:val="auto"/>
        </w:rPr>
        <w:tab/>
        <w:t xml:space="preserve">           </w:t>
      </w:r>
      <w:r w:rsidR="0075455A">
        <w:rPr>
          <w:color w:val="auto"/>
        </w:rPr>
        <w:t>XXXXXXXXXXXXXXXXX</w:t>
      </w:r>
    </w:p>
    <w:p w:rsidR="00AD2379" w:rsidRPr="008608F1" w:rsidRDefault="00AD2379" w:rsidP="006B690F">
      <w:pPr>
        <w:tabs>
          <w:tab w:val="left" w:pos="0"/>
          <w:tab w:val="left" w:pos="4320"/>
        </w:tabs>
        <w:jc w:val="both"/>
        <w:rPr>
          <w:color w:val="auto"/>
        </w:rPr>
      </w:pPr>
      <w:r w:rsidRPr="008608F1">
        <w:rPr>
          <w:color w:val="auto"/>
        </w:rPr>
        <w:tab/>
        <w:t xml:space="preserve">           President</w:t>
      </w:r>
    </w:p>
    <w:p w:rsidR="0075455A" w:rsidRDefault="00AD2379" w:rsidP="00BF0E94">
      <w:pPr>
        <w:tabs>
          <w:tab w:val="left" w:pos="0"/>
          <w:tab w:val="left" w:pos="4320"/>
        </w:tabs>
        <w:jc w:val="both"/>
        <w:rPr>
          <w:color w:val="auto"/>
        </w:rPr>
      </w:pPr>
      <w:r w:rsidRPr="008608F1">
        <w:rPr>
          <w:color w:val="auto"/>
        </w:rPr>
        <w:tab/>
        <w:t xml:space="preserve">           Physical Disability Board of Review</w:t>
      </w:r>
    </w:p>
    <w:p w:rsidR="0075455A" w:rsidRDefault="0075455A">
      <w:pPr>
        <w:spacing w:line="240" w:lineRule="auto"/>
        <w:jc w:val="left"/>
        <w:rPr>
          <w:color w:val="auto"/>
        </w:rPr>
      </w:pPr>
      <w:r>
        <w:rPr>
          <w:color w:val="auto"/>
        </w:rPr>
        <w:br w:type="page"/>
      </w:r>
    </w:p>
    <w:p w:rsidR="0075455A" w:rsidRDefault="0075455A" w:rsidP="0075455A">
      <w:pPr>
        <w:sectPr w:rsidR="0075455A">
          <w:pgSz w:w="12240" w:h="15840"/>
          <w:pgMar w:top="2160" w:right="1440" w:bottom="1440" w:left="1440" w:header="720" w:footer="720" w:gutter="0"/>
          <w:cols w:space="720"/>
        </w:sectPr>
      </w:pPr>
    </w:p>
    <w:p w:rsidR="0075455A" w:rsidRDefault="0075455A" w:rsidP="0075455A">
      <w:pPr>
        <w:pStyle w:val="Header"/>
        <w:tabs>
          <w:tab w:val="left" w:pos="720"/>
        </w:tabs>
        <w:jc w:val="left"/>
      </w:pPr>
      <w:r>
        <w:lastRenderedPageBreak/>
        <w:t>SFMR-RB</w:t>
      </w:r>
      <w:r>
        <w:tab/>
      </w:r>
      <w:r>
        <w:tab/>
      </w:r>
      <w:r>
        <w:tab/>
      </w:r>
      <w:r>
        <w:tab/>
      </w:r>
      <w:r>
        <w:tab/>
      </w:r>
      <w:r>
        <w:tab/>
      </w:r>
      <w:r>
        <w:tab/>
      </w:r>
      <w:r>
        <w:tab/>
      </w:r>
      <w:r>
        <w:tab/>
      </w:r>
    </w:p>
    <w:p w:rsidR="0075455A" w:rsidRDefault="0075455A" w:rsidP="0075455A">
      <w:pPr>
        <w:pStyle w:val="Header"/>
        <w:tabs>
          <w:tab w:val="left" w:pos="720"/>
        </w:tabs>
        <w:jc w:val="left"/>
      </w:pPr>
    </w:p>
    <w:p w:rsidR="0075455A" w:rsidRDefault="0075455A" w:rsidP="0075455A">
      <w:pPr>
        <w:jc w:val="left"/>
      </w:pPr>
    </w:p>
    <w:p w:rsidR="0075455A" w:rsidRDefault="0075455A" w:rsidP="0075455A">
      <w:pPr>
        <w:jc w:val="left"/>
      </w:pPr>
      <w:r>
        <w:t xml:space="preserve">MEMORANDUM FOR Commander, US Army Physical Disability Agency </w:t>
      </w:r>
    </w:p>
    <w:p w:rsidR="0075455A" w:rsidRDefault="0075455A" w:rsidP="0075455A">
      <w:pPr>
        <w:jc w:val="left"/>
      </w:pPr>
      <w:r>
        <w:t xml:space="preserve">(TAPD-ZB </w:t>
      </w:r>
      <w:proofErr w:type="gramStart"/>
      <w:r>
        <w:t>/  )</w:t>
      </w:r>
      <w:proofErr w:type="gramEnd"/>
      <w:r>
        <w:t>, 2900 Crystal Drive, Suite 300, Arlington, VA  22202-3557</w:t>
      </w:r>
    </w:p>
    <w:p w:rsidR="0075455A" w:rsidRDefault="0075455A" w:rsidP="0075455A">
      <w:pPr>
        <w:jc w:val="left"/>
      </w:pPr>
    </w:p>
    <w:p w:rsidR="0075455A" w:rsidRDefault="0075455A" w:rsidP="0075455A">
      <w:pPr>
        <w:ind w:right="-180"/>
        <w:jc w:val="left"/>
      </w:pPr>
      <w:r>
        <w:t>SUBJECT:  Department of Defense Physical Disability Board of Review Recommendation XXXXXXXXXXXXXXXXXXXXX, AR20120020029 (PD201200065)</w:t>
      </w:r>
    </w:p>
    <w:p w:rsidR="0075455A" w:rsidRDefault="0075455A" w:rsidP="0075455A">
      <w:pPr>
        <w:pStyle w:val="Header"/>
        <w:tabs>
          <w:tab w:val="left" w:pos="720"/>
        </w:tabs>
        <w:jc w:val="left"/>
      </w:pPr>
    </w:p>
    <w:p w:rsidR="0075455A" w:rsidRDefault="0075455A" w:rsidP="0075455A">
      <w:pPr>
        <w:jc w:val="left"/>
      </w:pPr>
    </w:p>
    <w:p w:rsidR="0075455A" w:rsidRDefault="0075455A" w:rsidP="0075455A">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75455A" w:rsidRDefault="0075455A" w:rsidP="0075455A">
      <w:pPr>
        <w:jc w:val="left"/>
      </w:pPr>
      <w:r>
        <w:t>This decision is final.  The individual concerned, counsel (if any), and any Members of Congress who have shown interest in this application have been notified of this decision by mail.</w:t>
      </w:r>
    </w:p>
    <w:p w:rsidR="0075455A" w:rsidRDefault="0075455A" w:rsidP="0075455A">
      <w:pPr>
        <w:jc w:val="left"/>
      </w:pPr>
    </w:p>
    <w:p w:rsidR="0075455A" w:rsidRDefault="0075455A" w:rsidP="0075455A">
      <w:pPr>
        <w:jc w:val="left"/>
      </w:pPr>
      <w:r>
        <w:t>BY ORDER OF THE SECRETARY OF THE ARMY:</w:t>
      </w:r>
    </w:p>
    <w:p w:rsidR="0075455A" w:rsidRDefault="0075455A" w:rsidP="0075455A">
      <w:pPr>
        <w:jc w:val="left"/>
      </w:pPr>
    </w:p>
    <w:p w:rsidR="0075455A" w:rsidRDefault="0075455A" w:rsidP="0075455A">
      <w:pPr>
        <w:jc w:val="left"/>
      </w:pPr>
    </w:p>
    <w:p w:rsidR="0075455A" w:rsidRDefault="0075455A" w:rsidP="0075455A">
      <w:pPr>
        <w:pStyle w:val="Header"/>
        <w:tabs>
          <w:tab w:val="left" w:pos="720"/>
        </w:tabs>
        <w:jc w:val="left"/>
      </w:pPr>
    </w:p>
    <w:p w:rsidR="0075455A" w:rsidRDefault="0075455A" w:rsidP="0075455A">
      <w:pPr>
        <w:jc w:val="left"/>
      </w:pPr>
    </w:p>
    <w:p w:rsidR="0075455A" w:rsidRDefault="0075455A" w:rsidP="0075455A">
      <w:pPr>
        <w:jc w:val="left"/>
      </w:pPr>
      <w:bookmarkStart w:id="1" w:name="OLE_LINK4"/>
      <w:bookmarkStart w:id="2" w:name="OLE_LINK3"/>
      <w:r>
        <w:t>Encl</w:t>
      </w:r>
      <w:r>
        <w:tab/>
      </w:r>
      <w:r>
        <w:tab/>
      </w:r>
      <w:r>
        <w:tab/>
      </w:r>
      <w:r>
        <w:tab/>
      </w:r>
      <w:r>
        <w:tab/>
      </w:r>
      <w:r>
        <w:tab/>
        <w:t xml:space="preserve">     XXXXXXXXXXXXXXXXXXXX</w:t>
      </w:r>
    </w:p>
    <w:p w:rsidR="0075455A" w:rsidRDefault="0075455A" w:rsidP="0075455A">
      <w:pPr>
        <w:jc w:val="left"/>
      </w:pPr>
      <w:r>
        <w:tab/>
      </w:r>
      <w:r>
        <w:tab/>
      </w:r>
      <w:r>
        <w:tab/>
      </w:r>
      <w:r>
        <w:tab/>
      </w:r>
      <w:r>
        <w:tab/>
      </w:r>
      <w:r>
        <w:tab/>
        <w:t xml:space="preserve">     Deputy Assistant Secretary</w:t>
      </w:r>
    </w:p>
    <w:p w:rsidR="0075455A" w:rsidRDefault="0075455A" w:rsidP="0075455A">
      <w:pPr>
        <w:jc w:val="left"/>
      </w:pPr>
      <w:r>
        <w:tab/>
      </w:r>
      <w:r>
        <w:tab/>
      </w:r>
      <w:r>
        <w:tab/>
      </w:r>
      <w:r>
        <w:tab/>
      </w:r>
      <w:r>
        <w:tab/>
      </w:r>
      <w:r>
        <w:tab/>
        <w:t xml:space="preserve">         (Army Review Boards)</w:t>
      </w:r>
      <w:bookmarkEnd w:id="1"/>
      <w:bookmarkEnd w:id="2"/>
    </w:p>
    <w:p w:rsidR="0075455A" w:rsidRDefault="0075455A" w:rsidP="0075455A">
      <w:pPr>
        <w:jc w:val="left"/>
      </w:pPr>
    </w:p>
    <w:p w:rsidR="0075455A" w:rsidRDefault="0075455A" w:rsidP="0075455A">
      <w:pPr>
        <w:jc w:val="left"/>
      </w:pPr>
      <w:r>
        <w:t xml:space="preserve">CF: </w:t>
      </w:r>
    </w:p>
    <w:p w:rsidR="0075455A" w:rsidRDefault="0075455A" w:rsidP="0075455A">
      <w:pPr>
        <w:jc w:val="left"/>
      </w:pPr>
      <w:r>
        <w:t xml:space="preserve">(  ) </w:t>
      </w:r>
      <w:proofErr w:type="spellStart"/>
      <w:proofErr w:type="gramStart"/>
      <w:r>
        <w:t>DoD</w:t>
      </w:r>
      <w:proofErr w:type="spellEnd"/>
      <w:proofErr w:type="gramEnd"/>
      <w:r>
        <w:t xml:space="preserve"> PDBR</w:t>
      </w:r>
    </w:p>
    <w:p w:rsidR="0075455A" w:rsidRDefault="0075455A" w:rsidP="0075455A">
      <w:pPr>
        <w:jc w:val="left"/>
      </w:pPr>
      <w:r>
        <w:t>(  ) DVA</w:t>
      </w:r>
    </w:p>
    <w:p w:rsidR="0075455A" w:rsidRDefault="0075455A" w:rsidP="0075455A">
      <w:pPr>
        <w:jc w:val="left"/>
      </w:pPr>
    </w:p>
    <w:p w:rsidR="00DF3B06" w:rsidRPr="00F64312" w:rsidRDefault="00DF3B06" w:rsidP="0075455A">
      <w:pPr>
        <w:tabs>
          <w:tab w:val="left" w:pos="0"/>
          <w:tab w:val="left" w:pos="4320"/>
        </w:tabs>
        <w:jc w:val="left"/>
        <w:rPr>
          <w:color w:val="auto"/>
        </w:rPr>
      </w:pPr>
    </w:p>
    <w:sectPr w:rsidR="00DF3B06" w:rsidRPr="00F64312"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55F" w:rsidRDefault="0002455F">
      <w:r>
        <w:separator/>
      </w:r>
    </w:p>
  </w:endnote>
  <w:endnote w:type="continuationSeparator" w:id="0">
    <w:p w:rsidR="0002455F" w:rsidRDefault="000245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693" w:rsidRPr="00374247" w:rsidRDefault="005E5693" w:rsidP="00726F84">
    <w:pPr>
      <w:pStyle w:val="Footer"/>
      <w:ind w:firstLine="4320"/>
      <w:rPr>
        <w:color w:val="auto"/>
      </w:rPr>
    </w:pPr>
    <w:r w:rsidRPr="00374247">
      <w:rPr>
        <w:color w:val="auto"/>
      </w:rPr>
      <w:t xml:space="preserve">   </w:t>
    </w:r>
    <w:r w:rsidR="00B460CD" w:rsidRPr="00B460CD">
      <w:fldChar w:fldCharType="begin"/>
    </w:r>
    <w:r w:rsidR="0002455F">
      <w:instrText xml:space="preserve"> PAGE   \* MERGEFORMAT </w:instrText>
    </w:r>
    <w:r w:rsidR="00B460CD" w:rsidRPr="00B460CD">
      <w:fldChar w:fldCharType="separate"/>
    </w:r>
    <w:r w:rsidR="0075455A" w:rsidRPr="0075455A">
      <w:rPr>
        <w:noProof/>
        <w:color w:val="auto"/>
      </w:rPr>
      <w:t>5</w:t>
    </w:r>
    <w:r w:rsidR="00B460CD">
      <w:rPr>
        <w:noProof/>
        <w:color w:val="auto"/>
      </w:rPr>
      <w:fldChar w:fldCharType="end"/>
    </w:r>
    <w:r w:rsidRPr="00374247">
      <w:rPr>
        <w:color w:val="auto"/>
      </w:rPr>
      <w:t xml:space="preserve">                                                           </w:t>
    </w:r>
    <w:r w:rsidRPr="00E82929">
      <w:rPr>
        <w:color w:val="auto"/>
      </w:rPr>
      <w:t>PD1</w:t>
    </w:r>
    <w:r>
      <w:rPr>
        <w:color w:val="auto"/>
      </w:rPr>
      <w:t>200065</w:t>
    </w:r>
  </w:p>
  <w:p w:rsidR="005E5693" w:rsidRPr="00684CE6" w:rsidRDefault="005E5693">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55F" w:rsidRDefault="0002455F">
      <w:r>
        <w:separator/>
      </w:r>
    </w:p>
  </w:footnote>
  <w:footnote w:type="continuationSeparator" w:id="0">
    <w:p w:rsidR="0002455F" w:rsidRDefault="000245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16B4"/>
    <w:rsid w:val="00012428"/>
    <w:rsid w:val="00012733"/>
    <w:rsid w:val="0001281C"/>
    <w:rsid w:val="00013417"/>
    <w:rsid w:val="000145C2"/>
    <w:rsid w:val="0001473F"/>
    <w:rsid w:val="00014A47"/>
    <w:rsid w:val="00014A9E"/>
    <w:rsid w:val="0001580A"/>
    <w:rsid w:val="00017778"/>
    <w:rsid w:val="00017B36"/>
    <w:rsid w:val="00020941"/>
    <w:rsid w:val="00021361"/>
    <w:rsid w:val="00022CF3"/>
    <w:rsid w:val="00023562"/>
    <w:rsid w:val="00023913"/>
    <w:rsid w:val="00023D43"/>
    <w:rsid w:val="00024002"/>
    <w:rsid w:val="000240A0"/>
    <w:rsid w:val="0002455F"/>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11E1"/>
    <w:rsid w:val="00082482"/>
    <w:rsid w:val="00082CA0"/>
    <w:rsid w:val="00084CF2"/>
    <w:rsid w:val="00084FE5"/>
    <w:rsid w:val="00085D7B"/>
    <w:rsid w:val="0008708B"/>
    <w:rsid w:val="0009109A"/>
    <w:rsid w:val="00092619"/>
    <w:rsid w:val="00092C66"/>
    <w:rsid w:val="00092CC9"/>
    <w:rsid w:val="000949DD"/>
    <w:rsid w:val="00094E4F"/>
    <w:rsid w:val="00097D70"/>
    <w:rsid w:val="000A2BCE"/>
    <w:rsid w:val="000A31E2"/>
    <w:rsid w:val="000A33C8"/>
    <w:rsid w:val="000A41E3"/>
    <w:rsid w:val="000A4AB4"/>
    <w:rsid w:val="000A4BBA"/>
    <w:rsid w:val="000A5071"/>
    <w:rsid w:val="000B0AD2"/>
    <w:rsid w:val="000B1022"/>
    <w:rsid w:val="000B1C9E"/>
    <w:rsid w:val="000B1DD1"/>
    <w:rsid w:val="000B2FB8"/>
    <w:rsid w:val="000B34E6"/>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067"/>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53CF"/>
    <w:rsid w:val="001D64F3"/>
    <w:rsid w:val="001D68CF"/>
    <w:rsid w:val="001D6A8C"/>
    <w:rsid w:val="001D7A56"/>
    <w:rsid w:val="001E0291"/>
    <w:rsid w:val="001E15C0"/>
    <w:rsid w:val="001E18E0"/>
    <w:rsid w:val="001E18E2"/>
    <w:rsid w:val="001E19D0"/>
    <w:rsid w:val="001E2450"/>
    <w:rsid w:val="001E2A30"/>
    <w:rsid w:val="001E2FF1"/>
    <w:rsid w:val="001E3FE1"/>
    <w:rsid w:val="001E41FE"/>
    <w:rsid w:val="001E4989"/>
    <w:rsid w:val="001E635C"/>
    <w:rsid w:val="001E6620"/>
    <w:rsid w:val="001F0297"/>
    <w:rsid w:val="001F1EC9"/>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AA3"/>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52CF"/>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4DED"/>
    <w:rsid w:val="002660AF"/>
    <w:rsid w:val="00267F2E"/>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298"/>
    <w:rsid w:val="002C0910"/>
    <w:rsid w:val="002C0DEA"/>
    <w:rsid w:val="002C34F6"/>
    <w:rsid w:val="002C3B6D"/>
    <w:rsid w:val="002C3F59"/>
    <w:rsid w:val="002C5D9D"/>
    <w:rsid w:val="002C5F10"/>
    <w:rsid w:val="002C6E5B"/>
    <w:rsid w:val="002C7650"/>
    <w:rsid w:val="002D009A"/>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8A"/>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1"/>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173E"/>
    <w:rsid w:val="003C247E"/>
    <w:rsid w:val="003C294B"/>
    <w:rsid w:val="003C3350"/>
    <w:rsid w:val="003C34DF"/>
    <w:rsid w:val="003C5046"/>
    <w:rsid w:val="003C53E8"/>
    <w:rsid w:val="003C5B54"/>
    <w:rsid w:val="003C6068"/>
    <w:rsid w:val="003C7AEC"/>
    <w:rsid w:val="003D04A6"/>
    <w:rsid w:val="003D115B"/>
    <w:rsid w:val="003D26C7"/>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51F6"/>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3B4D"/>
    <w:rsid w:val="0041436F"/>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197F"/>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BF9"/>
    <w:rsid w:val="00455D67"/>
    <w:rsid w:val="0045645D"/>
    <w:rsid w:val="0045707D"/>
    <w:rsid w:val="004574C6"/>
    <w:rsid w:val="00457743"/>
    <w:rsid w:val="00457BCF"/>
    <w:rsid w:val="00457DCE"/>
    <w:rsid w:val="00460E3F"/>
    <w:rsid w:val="0046111A"/>
    <w:rsid w:val="004613A3"/>
    <w:rsid w:val="0046172C"/>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1E"/>
    <w:rsid w:val="0048599A"/>
    <w:rsid w:val="00486818"/>
    <w:rsid w:val="0049255F"/>
    <w:rsid w:val="00494159"/>
    <w:rsid w:val="0049445D"/>
    <w:rsid w:val="00494D39"/>
    <w:rsid w:val="00495350"/>
    <w:rsid w:val="00495E3C"/>
    <w:rsid w:val="00496041"/>
    <w:rsid w:val="00497156"/>
    <w:rsid w:val="004A0C79"/>
    <w:rsid w:val="004A1FE0"/>
    <w:rsid w:val="004A24D2"/>
    <w:rsid w:val="004A2728"/>
    <w:rsid w:val="004A3214"/>
    <w:rsid w:val="004A3737"/>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2E9"/>
    <w:rsid w:val="004C05CF"/>
    <w:rsid w:val="004C0776"/>
    <w:rsid w:val="004C129C"/>
    <w:rsid w:val="004C1EF8"/>
    <w:rsid w:val="004C2063"/>
    <w:rsid w:val="004C24C5"/>
    <w:rsid w:val="004C2645"/>
    <w:rsid w:val="004C47D5"/>
    <w:rsid w:val="004C4CAF"/>
    <w:rsid w:val="004C5516"/>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4BF3"/>
    <w:rsid w:val="004E5414"/>
    <w:rsid w:val="004E6866"/>
    <w:rsid w:val="004F0C58"/>
    <w:rsid w:val="004F10EB"/>
    <w:rsid w:val="004F2AAD"/>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15DCF"/>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55DF"/>
    <w:rsid w:val="00586EC6"/>
    <w:rsid w:val="00587DDE"/>
    <w:rsid w:val="00590B05"/>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346D"/>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5693"/>
    <w:rsid w:val="005E65DC"/>
    <w:rsid w:val="005E6AEE"/>
    <w:rsid w:val="005E72B2"/>
    <w:rsid w:val="005E79A0"/>
    <w:rsid w:val="005F097E"/>
    <w:rsid w:val="005F0D59"/>
    <w:rsid w:val="005F1115"/>
    <w:rsid w:val="005F1434"/>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2E8"/>
    <w:rsid w:val="006364ED"/>
    <w:rsid w:val="00636BE0"/>
    <w:rsid w:val="00637063"/>
    <w:rsid w:val="0063737C"/>
    <w:rsid w:val="00637AC0"/>
    <w:rsid w:val="00637BDC"/>
    <w:rsid w:val="00640363"/>
    <w:rsid w:val="00640622"/>
    <w:rsid w:val="006418C9"/>
    <w:rsid w:val="00641DEE"/>
    <w:rsid w:val="00642BD6"/>
    <w:rsid w:val="00643C8F"/>
    <w:rsid w:val="00645046"/>
    <w:rsid w:val="0064527A"/>
    <w:rsid w:val="006458FD"/>
    <w:rsid w:val="00645DE8"/>
    <w:rsid w:val="00645EA2"/>
    <w:rsid w:val="00651E6D"/>
    <w:rsid w:val="00652335"/>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07B"/>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0E1"/>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65A"/>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4FD5"/>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3F9"/>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5455A"/>
    <w:rsid w:val="0076100C"/>
    <w:rsid w:val="00761127"/>
    <w:rsid w:val="007612A5"/>
    <w:rsid w:val="00761A73"/>
    <w:rsid w:val="007635A8"/>
    <w:rsid w:val="00763CAE"/>
    <w:rsid w:val="00763F95"/>
    <w:rsid w:val="007651ED"/>
    <w:rsid w:val="00766C87"/>
    <w:rsid w:val="00771043"/>
    <w:rsid w:val="0077272B"/>
    <w:rsid w:val="00773AF7"/>
    <w:rsid w:val="00773C45"/>
    <w:rsid w:val="00774FFD"/>
    <w:rsid w:val="00780378"/>
    <w:rsid w:val="0078085E"/>
    <w:rsid w:val="007818E0"/>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0BFD"/>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B7DD9"/>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2A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294E"/>
    <w:rsid w:val="0082340B"/>
    <w:rsid w:val="00823D6A"/>
    <w:rsid w:val="00824444"/>
    <w:rsid w:val="00825A81"/>
    <w:rsid w:val="00827310"/>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8F1"/>
    <w:rsid w:val="00860E60"/>
    <w:rsid w:val="0086102A"/>
    <w:rsid w:val="0086162B"/>
    <w:rsid w:val="00861710"/>
    <w:rsid w:val="00861D5C"/>
    <w:rsid w:val="00861E7C"/>
    <w:rsid w:val="008626C2"/>
    <w:rsid w:val="00863C3E"/>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26F"/>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0D26"/>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4677"/>
    <w:rsid w:val="008F58E1"/>
    <w:rsid w:val="008F6E05"/>
    <w:rsid w:val="008F6FC8"/>
    <w:rsid w:val="009001FA"/>
    <w:rsid w:val="0090045D"/>
    <w:rsid w:val="00900906"/>
    <w:rsid w:val="00900D8F"/>
    <w:rsid w:val="00901229"/>
    <w:rsid w:val="009014E3"/>
    <w:rsid w:val="00901538"/>
    <w:rsid w:val="009020ED"/>
    <w:rsid w:val="009026E8"/>
    <w:rsid w:val="00902FDD"/>
    <w:rsid w:val="00905EA6"/>
    <w:rsid w:val="00905EEF"/>
    <w:rsid w:val="00906919"/>
    <w:rsid w:val="00906EB7"/>
    <w:rsid w:val="00907FE6"/>
    <w:rsid w:val="009102BF"/>
    <w:rsid w:val="00910DFA"/>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0485"/>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A7AB3"/>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134"/>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A6"/>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3AC"/>
    <w:rsid w:val="00A40FFB"/>
    <w:rsid w:val="00A41468"/>
    <w:rsid w:val="00A414A9"/>
    <w:rsid w:val="00A44141"/>
    <w:rsid w:val="00A44CCA"/>
    <w:rsid w:val="00A44D75"/>
    <w:rsid w:val="00A47CF1"/>
    <w:rsid w:val="00A50418"/>
    <w:rsid w:val="00A50B17"/>
    <w:rsid w:val="00A53A9B"/>
    <w:rsid w:val="00A53FAA"/>
    <w:rsid w:val="00A54A47"/>
    <w:rsid w:val="00A558A5"/>
    <w:rsid w:val="00A56D26"/>
    <w:rsid w:val="00A571A7"/>
    <w:rsid w:val="00A5749A"/>
    <w:rsid w:val="00A575E1"/>
    <w:rsid w:val="00A57BA8"/>
    <w:rsid w:val="00A57C35"/>
    <w:rsid w:val="00A608FB"/>
    <w:rsid w:val="00A60D83"/>
    <w:rsid w:val="00A60F68"/>
    <w:rsid w:val="00A61A0A"/>
    <w:rsid w:val="00A6233E"/>
    <w:rsid w:val="00A63DF3"/>
    <w:rsid w:val="00A6581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1AF"/>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0B7"/>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AF7A04"/>
    <w:rsid w:val="00B02145"/>
    <w:rsid w:val="00B022DC"/>
    <w:rsid w:val="00B039DD"/>
    <w:rsid w:val="00B04562"/>
    <w:rsid w:val="00B0472F"/>
    <w:rsid w:val="00B06930"/>
    <w:rsid w:val="00B076B6"/>
    <w:rsid w:val="00B0773A"/>
    <w:rsid w:val="00B07955"/>
    <w:rsid w:val="00B1176B"/>
    <w:rsid w:val="00B11858"/>
    <w:rsid w:val="00B120E0"/>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60CD"/>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19D2"/>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1E"/>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043"/>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52A"/>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A1F"/>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5F1B"/>
    <w:rsid w:val="00C862E7"/>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4691"/>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651"/>
    <w:rsid w:val="00CD1EF2"/>
    <w:rsid w:val="00CD32BD"/>
    <w:rsid w:val="00CD34C7"/>
    <w:rsid w:val="00CD5653"/>
    <w:rsid w:val="00CD5E6D"/>
    <w:rsid w:val="00CD63C8"/>
    <w:rsid w:val="00CD76F8"/>
    <w:rsid w:val="00CD78A5"/>
    <w:rsid w:val="00CE02CC"/>
    <w:rsid w:val="00CE02E8"/>
    <w:rsid w:val="00CE069E"/>
    <w:rsid w:val="00CE0C3D"/>
    <w:rsid w:val="00CE0DE0"/>
    <w:rsid w:val="00CE214F"/>
    <w:rsid w:val="00CE2B1F"/>
    <w:rsid w:val="00CE2CC2"/>
    <w:rsid w:val="00CE3722"/>
    <w:rsid w:val="00CE449C"/>
    <w:rsid w:val="00CE4F14"/>
    <w:rsid w:val="00CF0280"/>
    <w:rsid w:val="00CF095C"/>
    <w:rsid w:val="00CF158D"/>
    <w:rsid w:val="00CF2166"/>
    <w:rsid w:val="00CF4034"/>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2D09"/>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4A18"/>
    <w:rsid w:val="00D67FD7"/>
    <w:rsid w:val="00D704E4"/>
    <w:rsid w:val="00D71A04"/>
    <w:rsid w:val="00D72410"/>
    <w:rsid w:val="00D73D53"/>
    <w:rsid w:val="00D7402C"/>
    <w:rsid w:val="00D7408A"/>
    <w:rsid w:val="00D74261"/>
    <w:rsid w:val="00D7441B"/>
    <w:rsid w:val="00D74D38"/>
    <w:rsid w:val="00D75589"/>
    <w:rsid w:val="00D75F91"/>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5FB"/>
    <w:rsid w:val="00DB5941"/>
    <w:rsid w:val="00DB626D"/>
    <w:rsid w:val="00DB6365"/>
    <w:rsid w:val="00DB756C"/>
    <w:rsid w:val="00DC07B7"/>
    <w:rsid w:val="00DC0BF1"/>
    <w:rsid w:val="00DC0F8E"/>
    <w:rsid w:val="00DC11B7"/>
    <w:rsid w:val="00DC1607"/>
    <w:rsid w:val="00DC17F2"/>
    <w:rsid w:val="00DC4001"/>
    <w:rsid w:val="00DC41C3"/>
    <w:rsid w:val="00DC4842"/>
    <w:rsid w:val="00DC4A3C"/>
    <w:rsid w:val="00DC4FA4"/>
    <w:rsid w:val="00DC5028"/>
    <w:rsid w:val="00DC5B37"/>
    <w:rsid w:val="00DC7447"/>
    <w:rsid w:val="00DD0AB5"/>
    <w:rsid w:val="00DD286D"/>
    <w:rsid w:val="00DD2CAF"/>
    <w:rsid w:val="00DD3593"/>
    <w:rsid w:val="00DD462A"/>
    <w:rsid w:val="00DD5558"/>
    <w:rsid w:val="00DD6465"/>
    <w:rsid w:val="00DD64E0"/>
    <w:rsid w:val="00DD775C"/>
    <w:rsid w:val="00DD7BE0"/>
    <w:rsid w:val="00DE06E0"/>
    <w:rsid w:val="00DE0C67"/>
    <w:rsid w:val="00DE1551"/>
    <w:rsid w:val="00DE3555"/>
    <w:rsid w:val="00DE3AAD"/>
    <w:rsid w:val="00DE598A"/>
    <w:rsid w:val="00DE5A80"/>
    <w:rsid w:val="00DE5EB5"/>
    <w:rsid w:val="00DE6952"/>
    <w:rsid w:val="00DE69B5"/>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1BCC"/>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929"/>
    <w:rsid w:val="00E82B6D"/>
    <w:rsid w:val="00E83187"/>
    <w:rsid w:val="00E831E9"/>
    <w:rsid w:val="00E84DDA"/>
    <w:rsid w:val="00E8608F"/>
    <w:rsid w:val="00E86C1D"/>
    <w:rsid w:val="00E90703"/>
    <w:rsid w:val="00E90A62"/>
    <w:rsid w:val="00E919FC"/>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7D1"/>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34A0"/>
    <w:rsid w:val="00EE3CFB"/>
    <w:rsid w:val="00EE48BB"/>
    <w:rsid w:val="00EE6FE0"/>
    <w:rsid w:val="00EE704A"/>
    <w:rsid w:val="00EE7840"/>
    <w:rsid w:val="00EF2346"/>
    <w:rsid w:val="00EF2E75"/>
    <w:rsid w:val="00EF4C74"/>
    <w:rsid w:val="00EF4DC9"/>
    <w:rsid w:val="00EF5268"/>
    <w:rsid w:val="00EF608E"/>
    <w:rsid w:val="00EF6C4A"/>
    <w:rsid w:val="00F0044B"/>
    <w:rsid w:val="00F00E60"/>
    <w:rsid w:val="00F01A97"/>
    <w:rsid w:val="00F020E5"/>
    <w:rsid w:val="00F026FD"/>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3E2E"/>
    <w:rsid w:val="00F14933"/>
    <w:rsid w:val="00F1516A"/>
    <w:rsid w:val="00F15483"/>
    <w:rsid w:val="00F15EE5"/>
    <w:rsid w:val="00F171F9"/>
    <w:rsid w:val="00F1737C"/>
    <w:rsid w:val="00F173AA"/>
    <w:rsid w:val="00F20DA4"/>
    <w:rsid w:val="00F20E9F"/>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7B"/>
    <w:rsid w:val="00F531D9"/>
    <w:rsid w:val="00F54D8E"/>
    <w:rsid w:val="00F5580D"/>
    <w:rsid w:val="00F55EBD"/>
    <w:rsid w:val="00F566B7"/>
    <w:rsid w:val="00F56EA1"/>
    <w:rsid w:val="00F606D5"/>
    <w:rsid w:val="00F611B3"/>
    <w:rsid w:val="00F6196E"/>
    <w:rsid w:val="00F61CCC"/>
    <w:rsid w:val="00F624DD"/>
    <w:rsid w:val="00F629C0"/>
    <w:rsid w:val="00F63FC7"/>
    <w:rsid w:val="00F64312"/>
    <w:rsid w:val="00F6459E"/>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44E7"/>
    <w:rsid w:val="00F853AE"/>
    <w:rsid w:val="00F90376"/>
    <w:rsid w:val="00F908D5"/>
    <w:rsid w:val="00F912A0"/>
    <w:rsid w:val="00F913B9"/>
    <w:rsid w:val="00F91B14"/>
    <w:rsid w:val="00F93C74"/>
    <w:rsid w:val="00F93DCC"/>
    <w:rsid w:val="00F93EA6"/>
    <w:rsid w:val="00F9435D"/>
    <w:rsid w:val="00F950E8"/>
    <w:rsid w:val="00F966F9"/>
    <w:rsid w:val="00F96F61"/>
    <w:rsid w:val="00F97740"/>
    <w:rsid w:val="00FA0C8F"/>
    <w:rsid w:val="00FA24F2"/>
    <w:rsid w:val="00FA2DEF"/>
    <w:rsid w:val="00FA2F7B"/>
    <w:rsid w:val="00FA3BA4"/>
    <w:rsid w:val="00FA3C90"/>
    <w:rsid w:val="00FA3C97"/>
    <w:rsid w:val="00FA3D30"/>
    <w:rsid w:val="00FA4571"/>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4C84"/>
    <w:rsid w:val="00FD5059"/>
    <w:rsid w:val="00FD554D"/>
    <w:rsid w:val="00FD5BCC"/>
    <w:rsid w:val="00FD5EB4"/>
    <w:rsid w:val="00FD5EB8"/>
    <w:rsid w:val="00FD6C2D"/>
    <w:rsid w:val="00FD7B23"/>
    <w:rsid w:val="00FE2A48"/>
    <w:rsid w:val="00FE2DEF"/>
    <w:rsid w:val="00FE2E82"/>
    <w:rsid w:val="00FE323C"/>
    <w:rsid w:val="00FE3A27"/>
    <w:rsid w:val="00FE48A6"/>
    <w:rsid w:val="00FE5D0A"/>
    <w:rsid w:val="00FE6469"/>
    <w:rsid w:val="00FE7C22"/>
    <w:rsid w:val="00FE7C6D"/>
    <w:rsid w:val="00FE7EB9"/>
    <w:rsid w:val="00FE7F2C"/>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rsid w:val="009F7822"/>
    <w:pPr>
      <w:autoSpaceDE w:val="0"/>
      <w:autoSpaceDN w:val="0"/>
      <w:adjustRightInd w:val="0"/>
    </w:pPr>
    <w:rPr>
      <w:color w:val="000000"/>
      <w:sz w:val="24"/>
      <w:szCs w:val="24"/>
    </w:rPr>
  </w:style>
  <w:style w:type="paragraph" w:styleId="Title">
    <w:name w:val="Title"/>
    <w:basedOn w:val="Normal"/>
    <w:link w:val="TitleChar"/>
    <w:qFormat/>
    <w:rsid w:val="000811E1"/>
    <w:pPr>
      <w:spacing w:line="240" w:lineRule="auto"/>
    </w:pPr>
    <w:rPr>
      <w:rFonts w:ascii="Verdana" w:hAnsi="Verdana" w:cs="Times New Roman"/>
      <w:b/>
      <w:bCs/>
      <w:color w:val="800000"/>
      <w:szCs w:val="24"/>
    </w:rPr>
  </w:style>
  <w:style w:type="character" w:customStyle="1" w:styleId="TitleChar">
    <w:name w:val="Title Char"/>
    <w:basedOn w:val="DefaultParagraphFont"/>
    <w:link w:val="Title"/>
    <w:rsid w:val="000811E1"/>
    <w:rPr>
      <w:rFonts w:ascii="Verdana" w:hAnsi="Verdana" w:cs="Times New Roman"/>
      <w:b/>
      <w:bCs/>
      <w:color w:val="8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136533">
      <w:bodyDiv w:val="1"/>
      <w:marLeft w:val="0"/>
      <w:marRight w:val="0"/>
      <w:marTop w:val="0"/>
      <w:marBottom w:val="0"/>
      <w:divBdr>
        <w:top w:val="none" w:sz="0" w:space="0" w:color="auto"/>
        <w:left w:val="none" w:sz="0" w:space="0" w:color="auto"/>
        <w:bottom w:val="none" w:sz="0" w:space="0" w:color="auto"/>
        <w:right w:val="none" w:sz="0" w:space="0" w:color="auto"/>
      </w:divBdr>
    </w:div>
    <w:div w:id="534738195">
      <w:bodyDiv w:val="1"/>
      <w:marLeft w:val="0"/>
      <w:marRight w:val="0"/>
      <w:marTop w:val="0"/>
      <w:marBottom w:val="0"/>
      <w:divBdr>
        <w:top w:val="none" w:sz="0" w:space="0" w:color="auto"/>
        <w:left w:val="none" w:sz="0" w:space="0" w:color="auto"/>
        <w:bottom w:val="none" w:sz="0" w:space="0" w:color="auto"/>
        <w:right w:val="none" w:sz="0" w:space="0" w:color="auto"/>
      </w:divBdr>
    </w:div>
    <w:div w:id="1842349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2073</Words>
  <Characters>11821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2012-04-17T15:27:00Z</cp:lastPrinted>
  <dcterms:created xsi:type="dcterms:W3CDTF">2012-11-20T17:51:00Z</dcterms:created>
  <dcterms:modified xsi:type="dcterms:W3CDTF">2012-11-20T17:51:00Z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