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444D25" w:rsidRDefault="00540BEF" w:rsidP="00BF0E94">
      <w:pPr>
        <w:tabs>
          <w:tab w:val="left" w:pos="288"/>
          <w:tab w:val="left" w:pos="4752"/>
        </w:tabs>
        <w:rPr>
          <w:color w:val="000000" w:themeColor="text1"/>
        </w:rPr>
      </w:pPr>
      <w:r w:rsidRPr="00444D25">
        <w:rPr>
          <w:color w:val="000000" w:themeColor="text1"/>
        </w:rPr>
        <w:t>PHYSICAL DISABILITY BOARD OF REVIEW</w:t>
      </w:r>
    </w:p>
    <w:p w:rsidR="00540BEF" w:rsidRPr="00444D25" w:rsidRDefault="00540BEF" w:rsidP="00BF0E94">
      <w:pPr>
        <w:tabs>
          <w:tab w:val="left" w:pos="288"/>
          <w:tab w:val="left" w:pos="4752"/>
        </w:tabs>
        <w:jc w:val="both"/>
        <w:rPr>
          <w:caps/>
          <w:color w:val="000000" w:themeColor="text1"/>
        </w:rPr>
      </w:pPr>
    </w:p>
    <w:p w:rsidR="00E0346A" w:rsidRPr="00444D25" w:rsidRDefault="00F629C0" w:rsidP="00BF0E94">
      <w:pPr>
        <w:tabs>
          <w:tab w:val="left" w:pos="288"/>
          <w:tab w:val="left" w:pos="4752"/>
          <w:tab w:val="left" w:pos="5130"/>
          <w:tab w:val="left" w:pos="9270"/>
        </w:tabs>
        <w:jc w:val="both"/>
        <w:rPr>
          <w:caps/>
          <w:color w:val="000000" w:themeColor="text1"/>
        </w:rPr>
      </w:pPr>
      <w:r w:rsidRPr="00444D25">
        <w:rPr>
          <w:caps/>
          <w:color w:val="000000" w:themeColor="text1"/>
        </w:rPr>
        <w:t xml:space="preserve">NAME:  </w:t>
      </w:r>
      <w:r w:rsidR="00DD072B">
        <w:rPr>
          <w:caps/>
          <w:color w:val="000000" w:themeColor="text1"/>
        </w:rPr>
        <w:t>XXXXXXXXXXXXXXXX</w:t>
      </w:r>
      <w:r w:rsidR="00BC0A0A">
        <w:rPr>
          <w:caps/>
          <w:color w:val="000000" w:themeColor="text1"/>
        </w:rPr>
        <w:tab/>
      </w:r>
      <w:r w:rsidR="00BC0A0A">
        <w:rPr>
          <w:caps/>
          <w:color w:val="000000" w:themeColor="text1"/>
        </w:rPr>
        <w:tab/>
      </w:r>
      <w:r w:rsidR="00941361">
        <w:rPr>
          <w:caps/>
          <w:color w:val="000000" w:themeColor="text1"/>
        </w:rPr>
        <w:t xml:space="preserve">                    </w:t>
      </w:r>
      <w:r w:rsidRPr="00444D25">
        <w:rPr>
          <w:caps/>
          <w:color w:val="000000" w:themeColor="text1"/>
        </w:rPr>
        <w:t xml:space="preserve">BRANCH OF SERVICE: </w:t>
      </w:r>
      <w:r w:rsidR="004C24C5" w:rsidRPr="00444D25">
        <w:rPr>
          <w:caps/>
          <w:color w:val="000000" w:themeColor="text1"/>
        </w:rPr>
        <w:t xml:space="preserve"> </w:t>
      </w:r>
      <w:r w:rsidR="00332DE3" w:rsidRPr="00444D25">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444D25">
        <w:rPr>
          <w:caps/>
          <w:color w:val="000000" w:themeColor="text1"/>
        </w:rPr>
        <w:t>C</w:t>
      </w:r>
      <w:r w:rsidR="00DE3AAD" w:rsidRPr="00444D25">
        <w:rPr>
          <w:caps/>
          <w:color w:val="000000" w:themeColor="text1"/>
        </w:rPr>
        <w:t>ASE NUMBER:  PD</w:t>
      </w:r>
      <w:r w:rsidR="008F58E1" w:rsidRPr="00444D25">
        <w:rPr>
          <w:caps/>
          <w:color w:val="000000" w:themeColor="text1"/>
        </w:rPr>
        <w:t>1</w:t>
      </w:r>
      <w:r w:rsidR="00444D25" w:rsidRPr="00444D25">
        <w:rPr>
          <w:caps/>
          <w:color w:val="000000" w:themeColor="text1"/>
        </w:rPr>
        <w:t>2</w:t>
      </w:r>
      <w:r w:rsidR="00DE3AAD" w:rsidRPr="00444D25">
        <w:rPr>
          <w:caps/>
          <w:color w:val="000000" w:themeColor="text1"/>
        </w:rPr>
        <w:t>00</w:t>
      </w:r>
      <w:r w:rsidR="00444D25" w:rsidRPr="00444D25">
        <w:rPr>
          <w:caps/>
          <w:color w:val="000000" w:themeColor="text1"/>
        </w:rPr>
        <w:t>042</w:t>
      </w:r>
      <w:r w:rsidR="00BC0A0A">
        <w:rPr>
          <w:color w:val="000000" w:themeColor="text1"/>
        </w:rPr>
        <w:tab/>
      </w:r>
      <w:r w:rsidR="00BC0A0A">
        <w:rPr>
          <w:color w:val="000000" w:themeColor="text1"/>
        </w:rPr>
        <w:tab/>
      </w:r>
      <w:r w:rsidR="00BC0A0A">
        <w:rPr>
          <w:color w:val="000000" w:themeColor="text1"/>
        </w:rPr>
        <w:tab/>
      </w:r>
      <w:r w:rsidR="00941361">
        <w:rPr>
          <w:color w:val="000000" w:themeColor="text1"/>
        </w:rPr>
        <w:t xml:space="preserve">                    </w:t>
      </w:r>
      <w:r w:rsidR="00DE3AAD" w:rsidRPr="001F29F9">
        <w:rPr>
          <w:color w:val="000000" w:themeColor="text1"/>
        </w:rPr>
        <w:t>SEPARATION DATE:  200</w:t>
      </w:r>
      <w:r w:rsidR="00444D25">
        <w:rPr>
          <w:color w:val="000000" w:themeColor="text1"/>
        </w:rPr>
        <w:t>20421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BC0A0A">
        <w:rPr>
          <w:caps/>
          <w:color w:val="000000" w:themeColor="text1"/>
        </w:rPr>
        <w:t>2</w:t>
      </w:r>
      <w:r w:rsidR="004028CA">
        <w:rPr>
          <w:caps/>
          <w:color w:val="000000" w:themeColor="text1"/>
        </w:rPr>
        <w:t>0719</w:t>
      </w:r>
    </w:p>
    <w:p w:rsidR="00BC0A0A" w:rsidRPr="001F29F9" w:rsidRDefault="00BC0A0A" w:rsidP="00BC0A0A">
      <w:pPr>
        <w:pBdr>
          <w:bottom w:val="single" w:sz="12" w:space="1" w:color="auto"/>
        </w:pBdr>
        <w:tabs>
          <w:tab w:val="left" w:pos="288"/>
          <w:tab w:val="left" w:pos="4752"/>
        </w:tabs>
        <w:jc w:val="both"/>
        <w:rPr>
          <w:color w:val="000000" w:themeColor="text1"/>
        </w:rPr>
      </w:pPr>
    </w:p>
    <w:p w:rsidR="009369A6" w:rsidRPr="00444D25" w:rsidRDefault="009369A6" w:rsidP="00BF0E94">
      <w:pPr>
        <w:tabs>
          <w:tab w:val="left" w:pos="288"/>
          <w:tab w:val="left" w:pos="4752"/>
        </w:tabs>
        <w:jc w:val="both"/>
        <w:rPr>
          <w:color w:val="000000" w:themeColor="text1"/>
        </w:rPr>
      </w:pPr>
    </w:p>
    <w:p w:rsidR="00F63FC7" w:rsidRPr="00BC0A0A" w:rsidRDefault="00FB0E80" w:rsidP="00BF0E94">
      <w:pPr>
        <w:tabs>
          <w:tab w:val="left" w:pos="288"/>
          <w:tab w:val="left" w:pos="4752"/>
        </w:tabs>
        <w:jc w:val="both"/>
        <w:rPr>
          <w:color w:val="000000" w:themeColor="text1"/>
          <w:szCs w:val="24"/>
        </w:rPr>
      </w:pPr>
      <w:r w:rsidRPr="00444D25">
        <w:rPr>
          <w:color w:val="000000" w:themeColor="text1"/>
          <w:u w:val="single"/>
        </w:rPr>
        <w:t>SUMMARY OF CASE</w:t>
      </w:r>
      <w:r w:rsidRPr="00444D25">
        <w:rPr>
          <w:color w:val="000000" w:themeColor="text1"/>
        </w:rPr>
        <w:t xml:space="preserve">:  </w:t>
      </w:r>
      <w:r w:rsidR="009759C2" w:rsidRPr="00444D25">
        <w:rPr>
          <w:color w:val="000000" w:themeColor="text1"/>
        </w:rPr>
        <w:t>Data extracted from the available evidence of record reflects that this covered individual (CI)</w:t>
      </w:r>
      <w:r w:rsidR="00570754" w:rsidRPr="00444D25">
        <w:rPr>
          <w:color w:val="000000" w:themeColor="text1"/>
        </w:rPr>
        <w:t xml:space="preserve"> </w:t>
      </w:r>
      <w:r w:rsidR="002C6E5B" w:rsidRPr="00444D25">
        <w:rPr>
          <w:color w:val="000000" w:themeColor="text1"/>
          <w:szCs w:val="24"/>
        </w:rPr>
        <w:t xml:space="preserve">was </w:t>
      </w:r>
      <w:r w:rsidR="00E322F7" w:rsidRPr="00444D25">
        <w:rPr>
          <w:color w:val="000000" w:themeColor="text1"/>
          <w:szCs w:val="24"/>
        </w:rPr>
        <w:t>an active duty</w:t>
      </w:r>
      <w:r w:rsidR="002E65E6" w:rsidRPr="00444D25">
        <w:rPr>
          <w:color w:val="000000" w:themeColor="text1"/>
          <w:szCs w:val="24"/>
        </w:rPr>
        <w:t xml:space="preserve"> </w:t>
      </w:r>
      <w:r w:rsidR="00661BA2" w:rsidRPr="00444D25">
        <w:rPr>
          <w:color w:val="000000" w:themeColor="text1"/>
          <w:szCs w:val="24"/>
        </w:rPr>
        <w:t>S</w:t>
      </w:r>
      <w:r w:rsidR="00444D25" w:rsidRPr="00444D25">
        <w:rPr>
          <w:color w:val="000000" w:themeColor="text1"/>
          <w:szCs w:val="24"/>
        </w:rPr>
        <w:t>PC</w:t>
      </w:r>
      <w:r w:rsidR="00661BA2" w:rsidRPr="00444D25">
        <w:rPr>
          <w:color w:val="000000" w:themeColor="text1"/>
          <w:szCs w:val="24"/>
        </w:rPr>
        <w:t>/E-</w:t>
      </w:r>
      <w:r w:rsidR="00444D25" w:rsidRPr="00444D25">
        <w:rPr>
          <w:color w:val="000000" w:themeColor="text1"/>
          <w:szCs w:val="24"/>
        </w:rPr>
        <w:t>4</w:t>
      </w:r>
      <w:r w:rsidR="00705C40" w:rsidRPr="00444D25">
        <w:rPr>
          <w:color w:val="000000" w:themeColor="text1"/>
          <w:szCs w:val="24"/>
        </w:rPr>
        <w:t xml:space="preserve"> (</w:t>
      </w:r>
      <w:r w:rsidR="00444D25" w:rsidRPr="00444D25">
        <w:rPr>
          <w:color w:val="000000" w:themeColor="text1"/>
          <w:szCs w:val="24"/>
        </w:rPr>
        <w:t>11C10</w:t>
      </w:r>
      <w:r w:rsidR="00C75F3D" w:rsidRPr="00444D25">
        <w:rPr>
          <w:color w:val="000000" w:themeColor="text1"/>
          <w:szCs w:val="24"/>
        </w:rPr>
        <w:t xml:space="preserve"> / </w:t>
      </w:r>
      <w:r w:rsidR="00444D25" w:rsidRPr="00444D25">
        <w:rPr>
          <w:color w:val="000000" w:themeColor="text1"/>
          <w:szCs w:val="24"/>
        </w:rPr>
        <w:t>Infantryman</w:t>
      </w:r>
      <w:r w:rsidR="00E322F7" w:rsidRPr="00444D25">
        <w:rPr>
          <w:color w:val="000000" w:themeColor="text1"/>
          <w:szCs w:val="24"/>
        </w:rPr>
        <w:t>)</w:t>
      </w:r>
      <w:r w:rsidR="00C75F3D" w:rsidRPr="00444D25">
        <w:rPr>
          <w:color w:val="000000" w:themeColor="text1"/>
          <w:szCs w:val="24"/>
        </w:rPr>
        <w:t xml:space="preserve">, </w:t>
      </w:r>
      <w:r w:rsidR="002C6E5B" w:rsidRPr="00444D25">
        <w:rPr>
          <w:color w:val="000000" w:themeColor="text1"/>
          <w:szCs w:val="24"/>
        </w:rPr>
        <w:t xml:space="preserve">medically separated for </w:t>
      </w:r>
      <w:r w:rsidR="007F631A">
        <w:rPr>
          <w:color w:val="000000" w:themeColor="text1"/>
          <w:szCs w:val="24"/>
        </w:rPr>
        <w:t>a traumatic</w:t>
      </w:r>
      <w:r w:rsidR="00BC0A0A">
        <w:rPr>
          <w:color w:val="000000" w:themeColor="text1"/>
          <w:szCs w:val="24"/>
        </w:rPr>
        <w:t xml:space="preserve"> bilateral ankle condition</w:t>
      </w:r>
      <w:r w:rsidR="00444D25" w:rsidRPr="00444D25">
        <w:rPr>
          <w:color w:val="000000" w:themeColor="text1"/>
          <w:szCs w:val="24"/>
        </w:rPr>
        <w:t>.</w:t>
      </w:r>
      <w:r w:rsidR="00BC0A0A">
        <w:rPr>
          <w:color w:val="000000" w:themeColor="text1"/>
          <w:szCs w:val="24"/>
        </w:rPr>
        <w:t xml:space="preserve">  </w:t>
      </w:r>
      <w:r w:rsidR="00643C8F" w:rsidRPr="00444D25">
        <w:rPr>
          <w:color w:val="000000" w:themeColor="text1"/>
          <w:szCs w:val="24"/>
        </w:rPr>
        <w:t xml:space="preserve">He did not respond adequately to treatment and was unable to perform within his Military Occupational Specialty (MOS) or meet physical fitness standards.  He was issued a permanent </w:t>
      </w:r>
      <w:r w:rsidR="00444D25" w:rsidRPr="00444D25">
        <w:rPr>
          <w:color w:val="000000" w:themeColor="text1"/>
          <w:szCs w:val="24"/>
        </w:rPr>
        <w:t>L3</w:t>
      </w:r>
      <w:r w:rsidR="00643C8F" w:rsidRPr="00444D25">
        <w:rPr>
          <w:color w:val="000000" w:themeColor="text1"/>
          <w:szCs w:val="24"/>
        </w:rPr>
        <w:t xml:space="preserve"> profile duty and underwent a Medical Evaluation Board (MEB).</w:t>
      </w:r>
      <w:r w:rsidR="00BC0A0A">
        <w:rPr>
          <w:color w:val="000000" w:themeColor="text1"/>
          <w:szCs w:val="24"/>
        </w:rPr>
        <w:t xml:space="preserve">  </w:t>
      </w:r>
      <w:r w:rsidR="00974306">
        <w:rPr>
          <w:color w:val="000000" w:themeColor="text1"/>
          <w:szCs w:val="24"/>
        </w:rPr>
        <w:t>D</w:t>
      </w:r>
      <w:r w:rsidR="00974306" w:rsidRPr="00444D25">
        <w:rPr>
          <w:color w:val="000000" w:themeColor="text1"/>
          <w:szCs w:val="24"/>
        </w:rPr>
        <w:t>egenerative arthritis bilateral ankles and lateral ankle instability</w:t>
      </w:r>
      <w:r w:rsidR="00BC0A0A">
        <w:rPr>
          <w:color w:val="000000" w:themeColor="text1"/>
          <w:szCs w:val="24"/>
        </w:rPr>
        <w:t>, left ankle</w:t>
      </w:r>
      <w:r w:rsidR="000A33C8" w:rsidRPr="00444D25">
        <w:rPr>
          <w:color w:val="000000" w:themeColor="text1"/>
          <w:szCs w:val="24"/>
        </w:rPr>
        <w:t xml:space="preserve"> were forwarded to the Physical Evaluation Board (PEB) as medically unacceptable IAW AR 40-501</w:t>
      </w:r>
      <w:r w:rsidR="00376E08" w:rsidRPr="00444D25">
        <w:rPr>
          <w:color w:val="000000" w:themeColor="text1"/>
          <w:szCs w:val="24"/>
        </w:rPr>
        <w:t>.</w:t>
      </w:r>
      <w:r w:rsidR="00BC0A0A">
        <w:rPr>
          <w:color w:val="000000" w:themeColor="text1"/>
          <w:szCs w:val="24"/>
        </w:rPr>
        <w:t xml:space="preserve">  </w:t>
      </w:r>
      <w:r w:rsidR="001A5E62" w:rsidRPr="00444D25">
        <w:rPr>
          <w:color w:val="000000" w:themeColor="text1"/>
          <w:szCs w:val="24"/>
        </w:rPr>
        <w:t xml:space="preserve">No other conditions appeared on the MEB’s submission.  </w:t>
      </w:r>
      <w:r w:rsidR="00842BAA" w:rsidRPr="00444D25">
        <w:rPr>
          <w:color w:val="000000" w:themeColor="text1"/>
          <w:szCs w:val="24"/>
        </w:rPr>
        <w:t xml:space="preserve">The PEB adjudicated the </w:t>
      </w:r>
      <w:r w:rsidR="00974306" w:rsidRPr="00444D25">
        <w:rPr>
          <w:color w:val="000000" w:themeColor="text1"/>
          <w:szCs w:val="24"/>
        </w:rPr>
        <w:t xml:space="preserve">bilateral ankle condition </w:t>
      </w:r>
      <w:r w:rsidR="00842BAA" w:rsidRPr="00444D25">
        <w:rPr>
          <w:color w:val="000000" w:themeColor="text1"/>
          <w:szCs w:val="24"/>
        </w:rPr>
        <w:t xml:space="preserve">as unfitting, rated </w:t>
      </w:r>
      <w:r w:rsidR="00444D25" w:rsidRPr="00444D25">
        <w:rPr>
          <w:color w:val="000000" w:themeColor="text1"/>
          <w:szCs w:val="24"/>
        </w:rPr>
        <w:t>20</w:t>
      </w:r>
      <w:r w:rsidR="00842BAA" w:rsidRPr="00444D25">
        <w:rPr>
          <w:color w:val="000000" w:themeColor="text1"/>
          <w:szCs w:val="24"/>
        </w:rPr>
        <w:t>%</w:t>
      </w:r>
      <w:r w:rsidR="00444D25" w:rsidRPr="00444D25">
        <w:rPr>
          <w:color w:val="000000" w:themeColor="text1"/>
          <w:szCs w:val="24"/>
        </w:rPr>
        <w:t xml:space="preserve"> </w:t>
      </w:r>
      <w:r w:rsidR="00842BAA" w:rsidRPr="00444D25">
        <w:rPr>
          <w:color w:val="000000" w:themeColor="text1"/>
          <w:szCs w:val="24"/>
        </w:rPr>
        <w:t>with application of the Veterans Administration Schedule for Rating Disabilities (VASRD).</w:t>
      </w:r>
      <w:r w:rsidR="00BC0A0A">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444D25">
        <w:rPr>
          <w:color w:val="000000" w:themeColor="text1"/>
        </w:rPr>
        <w:t>20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BC0A0A"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BC0A0A">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BC0A0A" w:rsidRDefault="00BC0A0A" w:rsidP="00BF0E94">
      <w:pPr>
        <w:tabs>
          <w:tab w:val="left" w:pos="288"/>
          <w:tab w:val="left" w:pos="4752"/>
        </w:tabs>
        <w:jc w:val="both"/>
        <w:rPr>
          <w:color w:val="000000" w:themeColor="text1"/>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7F631A">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41361">
        <w:rPr>
          <w:color w:val="auto"/>
        </w:rPr>
        <w:t>.</w:t>
      </w:r>
      <w:r w:rsidRPr="00C566C9">
        <w:rPr>
          <w:color w:val="auto"/>
        </w:rPr>
        <w:t>”</w:t>
      </w:r>
      <w:r>
        <w:rPr>
          <w:color w:val="auto"/>
        </w:rPr>
        <w:t xml:space="preserve">  </w:t>
      </w:r>
      <w:r w:rsidRPr="009239C0">
        <w:rPr>
          <w:color w:val="auto"/>
        </w:rPr>
        <w:t xml:space="preserve">The </w:t>
      </w:r>
      <w:r w:rsidRPr="00974306">
        <w:rPr>
          <w:color w:val="auto"/>
        </w:rPr>
        <w:t>ratings for unfitting conditions will be reviewed in all cases.  Any conditions or contention not requested in this application, or otherwise outside the Board’s defined scope of review, remain eligible for future consideration by the Army Board for the Correction of Military Records (BCMR).</w:t>
      </w:r>
    </w:p>
    <w:p w:rsidR="00BC0A0A" w:rsidRPr="001F29F9" w:rsidRDefault="00BC0A0A" w:rsidP="00BC0A0A">
      <w:pPr>
        <w:pBdr>
          <w:bottom w:val="single" w:sz="12" w:space="1" w:color="auto"/>
        </w:pBdr>
        <w:tabs>
          <w:tab w:val="left" w:pos="288"/>
          <w:tab w:val="left" w:pos="4752"/>
        </w:tabs>
        <w:jc w:val="both"/>
        <w:rPr>
          <w:color w:val="000000" w:themeColor="text1"/>
        </w:rPr>
      </w:pPr>
    </w:p>
    <w:p w:rsidR="00BC0A0A" w:rsidRDefault="00BC0A0A" w:rsidP="00BC0A0A">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D61856">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D6185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D61856">
              <w:rPr>
                <w:rFonts w:ascii="Calibri" w:hAnsi="Calibri" w:cs="Calibri"/>
                <w:b/>
                <w:color w:val="000000" w:themeColor="text1"/>
                <w:sz w:val="18"/>
                <w:szCs w:val="18"/>
              </w:rPr>
              <w:t>20208</w:t>
            </w:r>
          </w:p>
        </w:tc>
        <w:tc>
          <w:tcPr>
            <w:tcW w:w="5220" w:type="dxa"/>
            <w:gridSpan w:val="4"/>
            <w:tcBorders>
              <w:left w:val="thinThickThinSmallGap" w:sz="24" w:space="0" w:color="auto"/>
            </w:tcBorders>
            <w:shd w:val="clear" w:color="auto" w:fill="D9D9D9" w:themeFill="background1" w:themeFillShade="D9"/>
            <w:vAlign w:val="center"/>
          </w:tcPr>
          <w:p w:rsidR="002B4E22" w:rsidRPr="00A72916" w:rsidRDefault="002B4E22" w:rsidP="00D61856">
            <w:pPr>
              <w:contextualSpacing/>
              <w:rPr>
                <w:rFonts w:ascii="Calibri" w:hAnsi="Calibri" w:cs="Calibri"/>
                <w:b/>
                <w:color w:val="000000" w:themeColor="text1"/>
                <w:sz w:val="18"/>
                <w:szCs w:val="18"/>
              </w:rPr>
            </w:pPr>
            <w:r w:rsidRPr="00A72916">
              <w:rPr>
                <w:rFonts w:ascii="Calibri" w:hAnsi="Calibri" w:cs="Calibri"/>
                <w:b/>
                <w:color w:val="000000" w:themeColor="text1"/>
                <w:sz w:val="18"/>
                <w:szCs w:val="18"/>
              </w:rPr>
              <w:t>VA (</w:t>
            </w:r>
            <w:r w:rsidR="00D61856" w:rsidRPr="00A72916">
              <w:rPr>
                <w:rFonts w:ascii="Calibri" w:hAnsi="Calibri" w:cs="Calibri"/>
                <w:b/>
                <w:color w:val="000000" w:themeColor="text1"/>
                <w:sz w:val="18"/>
                <w:szCs w:val="18"/>
              </w:rPr>
              <w:t>1</w:t>
            </w:r>
            <w:r w:rsidR="0079154B" w:rsidRPr="00A72916">
              <w:rPr>
                <w:rFonts w:ascii="Calibri" w:hAnsi="Calibri" w:cs="Calibri"/>
                <w:b/>
                <w:color w:val="000000" w:themeColor="text1"/>
                <w:sz w:val="18"/>
                <w:szCs w:val="18"/>
              </w:rPr>
              <w:t xml:space="preserve"> </w:t>
            </w:r>
            <w:r w:rsidRPr="00A72916">
              <w:rPr>
                <w:rFonts w:ascii="Calibri" w:hAnsi="Calibri" w:cs="Calibri"/>
                <w:b/>
                <w:color w:val="000000" w:themeColor="text1"/>
                <w:sz w:val="18"/>
                <w:szCs w:val="18"/>
              </w:rPr>
              <w:t xml:space="preserve">Mo. After Separation) – All Effective Date </w:t>
            </w:r>
            <w:r w:rsidR="002D08F3" w:rsidRPr="00A72916">
              <w:rPr>
                <w:rFonts w:ascii="Calibri" w:hAnsi="Calibri" w:cs="Calibri"/>
                <w:b/>
                <w:color w:val="000000" w:themeColor="text1"/>
                <w:sz w:val="18"/>
                <w:szCs w:val="18"/>
              </w:rPr>
              <w:t>200</w:t>
            </w:r>
            <w:r w:rsidR="00D61856" w:rsidRPr="00A72916">
              <w:rPr>
                <w:rFonts w:ascii="Calibri" w:hAnsi="Calibri" w:cs="Calibri"/>
                <w:b/>
                <w:color w:val="000000" w:themeColor="text1"/>
                <w:sz w:val="18"/>
                <w:szCs w:val="18"/>
              </w:rPr>
              <w:t>20422</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A72916" w:rsidRDefault="002B4E22" w:rsidP="00BF0E94">
            <w:pPr>
              <w:contextualSpacing/>
              <w:rPr>
                <w:rFonts w:ascii="Calibri" w:hAnsi="Calibri" w:cs="Calibri"/>
                <w:b/>
                <w:color w:val="000000" w:themeColor="text1"/>
                <w:sz w:val="18"/>
                <w:szCs w:val="18"/>
              </w:rPr>
            </w:pPr>
            <w:r w:rsidRPr="00A72916">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D61856" w:rsidRPr="001F29F9" w:rsidTr="008051EB">
        <w:trPr>
          <w:trHeight w:val="287"/>
          <w:jc w:val="center"/>
        </w:trPr>
        <w:tc>
          <w:tcPr>
            <w:tcW w:w="2178" w:type="dxa"/>
            <w:vMerge w:val="restart"/>
            <w:tcBorders>
              <w:right w:val="single" w:sz="4" w:space="0" w:color="auto"/>
            </w:tcBorders>
            <w:shd w:val="clear" w:color="auto" w:fill="FFFFFF" w:themeFill="background1"/>
            <w:vAlign w:val="center"/>
          </w:tcPr>
          <w:p w:rsidR="00D61856" w:rsidRPr="001F29F9" w:rsidRDefault="00D61856">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Painful Bilateral Ankles</w:t>
            </w:r>
          </w:p>
        </w:tc>
        <w:tc>
          <w:tcPr>
            <w:tcW w:w="1080" w:type="dxa"/>
            <w:vMerge w:val="restart"/>
            <w:tcBorders>
              <w:left w:val="single" w:sz="4" w:space="0" w:color="auto"/>
            </w:tcBorders>
            <w:shd w:val="clear" w:color="auto" w:fill="FFFFFF" w:themeFill="background1"/>
            <w:vAlign w:val="center"/>
          </w:tcPr>
          <w:p w:rsidR="00D61856" w:rsidRPr="001F29F9" w:rsidRDefault="00D6185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5003</w:t>
            </w:r>
          </w:p>
        </w:tc>
        <w:tc>
          <w:tcPr>
            <w:tcW w:w="900" w:type="dxa"/>
            <w:vMerge w:val="restart"/>
            <w:tcBorders>
              <w:right w:val="thinThickThinSmallGap" w:sz="24" w:space="0" w:color="auto"/>
            </w:tcBorders>
            <w:shd w:val="clear" w:color="auto" w:fill="FFFFFF" w:themeFill="background1"/>
            <w:vAlign w:val="center"/>
          </w:tcPr>
          <w:p w:rsidR="00D61856" w:rsidRPr="001F29F9" w:rsidRDefault="00D61856">
            <w:pPr>
              <w:spacing w:line="180" w:lineRule="exact"/>
              <w:rPr>
                <w:rFonts w:ascii="Calibri" w:eastAsia="Times New Roman" w:hAnsi="Calibri" w:cs="Calibri"/>
                <w:color w:val="000000" w:themeColor="text1"/>
                <w:sz w:val="18"/>
                <w:szCs w:val="18"/>
              </w:rPr>
            </w:pPr>
            <w:r w:rsidRPr="00E06DBF">
              <w:rPr>
                <w:rFonts w:ascii="Calibri" w:hAnsi="Calibri" w:cs="Calibri"/>
                <w:color w:val="000000" w:themeColor="text1"/>
                <w:sz w:val="18"/>
                <w:szCs w:val="18"/>
              </w:rPr>
              <w:t>20%</w:t>
            </w:r>
          </w:p>
        </w:tc>
        <w:tc>
          <w:tcPr>
            <w:tcW w:w="2322" w:type="dxa"/>
            <w:tcBorders>
              <w:left w:val="thinThickThinSmallGap" w:sz="24" w:space="0" w:color="auto"/>
            </w:tcBorders>
            <w:shd w:val="clear" w:color="auto" w:fill="FFFFFF" w:themeFill="background1"/>
            <w:vAlign w:val="center"/>
          </w:tcPr>
          <w:p w:rsidR="00D61856" w:rsidRPr="001F29F9" w:rsidRDefault="00D61856">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Lt Ankle Condition</w:t>
            </w:r>
          </w:p>
        </w:tc>
        <w:tc>
          <w:tcPr>
            <w:tcW w:w="1080" w:type="dxa"/>
            <w:shd w:val="clear" w:color="auto" w:fill="FFFFFF" w:themeFill="background1"/>
            <w:vAlign w:val="center"/>
          </w:tcPr>
          <w:p w:rsidR="00D61856" w:rsidRPr="001F29F9" w:rsidRDefault="00D6185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5271</w:t>
            </w:r>
          </w:p>
        </w:tc>
        <w:tc>
          <w:tcPr>
            <w:tcW w:w="828" w:type="dxa"/>
            <w:shd w:val="clear" w:color="auto" w:fill="FFFFFF" w:themeFill="background1"/>
            <w:vAlign w:val="center"/>
          </w:tcPr>
          <w:p w:rsidR="00D61856" w:rsidRPr="00E06DBF" w:rsidRDefault="00D61856">
            <w:pPr>
              <w:spacing w:line="180" w:lineRule="exact"/>
              <w:contextualSpacing/>
              <w:rPr>
                <w:rFonts w:ascii="Calibri" w:eastAsia="Times New Roman" w:hAnsi="Calibri" w:cs="Calibri"/>
                <w:color w:val="000000" w:themeColor="text1"/>
                <w:sz w:val="18"/>
                <w:szCs w:val="18"/>
              </w:rPr>
            </w:pPr>
            <w:r w:rsidRPr="00E06DBF">
              <w:rPr>
                <w:rFonts w:ascii="Calibri" w:hAnsi="Calibri" w:cs="Calibri"/>
                <w:color w:val="000000" w:themeColor="text1"/>
                <w:sz w:val="18"/>
                <w:szCs w:val="18"/>
              </w:rPr>
              <w:t>10%</w:t>
            </w:r>
          </w:p>
        </w:tc>
        <w:tc>
          <w:tcPr>
            <w:tcW w:w="990" w:type="dxa"/>
            <w:shd w:val="clear" w:color="auto" w:fill="FFFFFF" w:themeFill="background1"/>
            <w:vAlign w:val="center"/>
          </w:tcPr>
          <w:p w:rsidR="00D61856" w:rsidRPr="001F29F9" w:rsidRDefault="00D6185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20020522</w:t>
            </w:r>
          </w:p>
        </w:tc>
      </w:tr>
      <w:tr w:rsidR="00D61856" w:rsidRPr="001F29F9" w:rsidTr="008051EB">
        <w:trPr>
          <w:trHeight w:val="287"/>
          <w:jc w:val="center"/>
        </w:trPr>
        <w:tc>
          <w:tcPr>
            <w:tcW w:w="2178" w:type="dxa"/>
            <w:vMerge/>
            <w:tcBorders>
              <w:right w:val="single" w:sz="4" w:space="0" w:color="auto"/>
            </w:tcBorders>
            <w:shd w:val="clear" w:color="auto" w:fill="FFFFFF" w:themeFill="background1"/>
            <w:vAlign w:val="center"/>
          </w:tcPr>
          <w:p w:rsidR="00D61856" w:rsidRPr="001F29F9" w:rsidRDefault="00D61856">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D61856" w:rsidRPr="001F29F9" w:rsidRDefault="00D61856">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D61856" w:rsidRPr="001F29F9" w:rsidRDefault="00D61856">
            <w:pPr>
              <w:spacing w:line="180" w:lineRule="exact"/>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D61856" w:rsidRPr="001F29F9" w:rsidRDefault="00D61856">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Rt Ankle Condition</w:t>
            </w:r>
          </w:p>
        </w:tc>
        <w:tc>
          <w:tcPr>
            <w:tcW w:w="1080" w:type="dxa"/>
            <w:tcBorders>
              <w:left w:val="single" w:sz="4" w:space="0" w:color="auto"/>
            </w:tcBorders>
            <w:shd w:val="clear" w:color="auto" w:fill="FFFFFF" w:themeFill="background1"/>
            <w:vAlign w:val="center"/>
          </w:tcPr>
          <w:p w:rsidR="00D61856" w:rsidRPr="001F29F9" w:rsidRDefault="00D61856" w:rsidP="00BC0A0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w:t>
            </w:r>
            <w:r w:rsidR="00BC0A0A">
              <w:rPr>
                <w:rFonts w:ascii="Calibri" w:hAnsi="Calibri" w:cs="Calibri"/>
                <w:color w:val="000000" w:themeColor="text1"/>
                <w:sz w:val="18"/>
                <w:szCs w:val="18"/>
              </w:rPr>
              <w:t>0</w:t>
            </w:r>
            <w:r>
              <w:rPr>
                <w:rFonts w:ascii="Calibri" w:hAnsi="Calibri" w:cs="Calibri"/>
                <w:color w:val="000000" w:themeColor="text1"/>
                <w:sz w:val="18"/>
                <w:szCs w:val="18"/>
              </w:rPr>
              <w:t>10-5271</w:t>
            </w:r>
          </w:p>
        </w:tc>
        <w:tc>
          <w:tcPr>
            <w:tcW w:w="828" w:type="dxa"/>
            <w:shd w:val="clear" w:color="auto" w:fill="FFFFFF" w:themeFill="background1"/>
            <w:vAlign w:val="center"/>
          </w:tcPr>
          <w:p w:rsidR="00D61856" w:rsidRPr="00E06DBF" w:rsidRDefault="00D61856" w:rsidP="00D61856">
            <w:pPr>
              <w:spacing w:line="180" w:lineRule="exact"/>
              <w:contextualSpacing/>
              <w:rPr>
                <w:rFonts w:ascii="Calibri" w:hAnsi="Calibri" w:cs="Calibri"/>
                <w:color w:val="000000" w:themeColor="text1"/>
                <w:sz w:val="18"/>
                <w:szCs w:val="18"/>
              </w:rPr>
            </w:pPr>
            <w:r w:rsidRPr="00E06DBF">
              <w:rPr>
                <w:rFonts w:ascii="Calibri" w:hAnsi="Calibri" w:cs="Calibri"/>
                <w:color w:val="000000" w:themeColor="text1"/>
                <w:sz w:val="18"/>
                <w:szCs w:val="18"/>
              </w:rPr>
              <w:t>10%</w:t>
            </w:r>
          </w:p>
        </w:tc>
        <w:tc>
          <w:tcPr>
            <w:tcW w:w="990" w:type="dxa"/>
            <w:shd w:val="clear" w:color="auto" w:fill="FFFFFF" w:themeFill="background1"/>
            <w:vAlign w:val="center"/>
          </w:tcPr>
          <w:p w:rsidR="00D61856" w:rsidRPr="001F29F9" w:rsidRDefault="00D6185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20020522</w:t>
            </w:r>
          </w:p>
        </w:tc>
      </w:tr>
      <w:tr w:rsidR="007A65A9" w:rsidRPr="001F29F9" w:rsidTr="008051EB">
        <w:trPr>
          <w:trHeight w:val="260"/>
          <w:jc w:val="center"/>
        </w:trPr>
        <w:tc>
          <w:tcPr>
            <w:tcW w:w="4158" w:type="dxa"/>
            <w:gridSpan w:val="3"/>
            <w:tcBorders>
              <w:right w:val="thinThickThinSmallGap" w:sz="24" w:space="0" w:color="auto"/>
            </w:tcBorders>
            <w:shd w:val="clear" w:color="auto" w:fill="FFFFFF" w:themeFill="background1"/>
          </w:tcPr>
          <w:p w:rsidR="00BC5860" w:rsidRPr="001F29F9" w:rsidRDefault="00D6185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A7291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A72916">
              <w:rPr>
                <w:rFonts w:ascii="Calibri" w:hAnsi="Calibri" w:cs="Calibri"/>
                <w:color w:val="000000" w:themeColor="text1"/>
                <w:sz w:val="18"/>
                <w:szCs w:val="18"/>
              </w:rPr>
              <w:t>2</w:t>
            </w:r>
            <w:r w:rsidR="00941361">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A72916">
              <w:rPr>
                <w:rFonts w:ascii="Calibri" w:hAnsi="Calibri" w:cs="Calibri"/>
                <w:color w:val="000000" w:themeColor="text1"/>
                <w:sz w:val="18"/>
                <w:szCs w:val="18"/>
              </w:rPr>
              <w:t>0</w:t>
            </w:r>
          </w:p>
        </w:tc>
        <w:tc>
          <w:tcPr>
            <w:tcW w:w="990" w:type="dxa"/>
            <w:shd w:val="clear" w:color="auto" w:fill="FFFFFF" w:themeFill="background1"/>
            <w:vAlign w:val="center"/>
          </w:tcPr>
          <w:p w:rsidR="00BC5860" w:rsidRPr="001F29F9" w:rsidRDefault="002D08F3" w:rsidP="00D6185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D61856">
              <w:rPr>
                <w:rFonts w:ascii="Calibri" w:hAnsi="Calibri" w:cs="Calibri"/>
                <w:color w:val="000000" w:themeColor="text1"/>
                <w:sz w:val="18"/>
                <w:szCs w:val="18"/>
              </w:rPr>
              <w:t>20522</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A7291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72916">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A7291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A72916">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BC0A0A" w:rsidRPr="001F29F9" w:rsidRDefault="00BC0A0A" w:rsidP="00BC0A0A">
      <w:pPr>
        <w:pBdr>
          <w:bottom w:val="single" w:sz="12" w:space="1" w:color="auto"/>
        </w:pBdr>
        <w:tabs>
          <w:tab w:val="left" w:pos="288"/>
          <w:tab w:val="left" w:pos="4752"/>
        </w:tabs>
        <w:jc w:val="both"/>
        <w:rPr>
          <w:color w:val="000000" w:themeColor="text1"/>
        </w:rPr>
      </w:pPr>
    </w:p>
    <w:p w:rsidR="003A76AB" w:rsidRPr="007F631A" w:rsidRDefault="003A76AB" w:rsidP="00BF0E94">
      <w:pPr>
        <w:jc w:val="left"/>
        <w:rPr>
          <w:color w:val="000000" w:themeColor="text1"/>
          <w:szCs w:val="24"/>
        </w:rPr>
      </w:pPr>
    </w:p>
    <w:p w:rsidR="00BC0A0A" w:rsidRPr="00F64312" w:rsidRDefault="00A72916" w:rsidP="00BC0A0A">
      <w:pPr>
        <w:jc w:val="both"/>
        <w:rPr>
          <w:color w:val="auto"/>
        </w:rPr>
      </w:pPr>
      <w:r w:rsidRPr="007F631A">
        <w:rPr>
          <w:color w:val="000000" w:themeColor="text1"/>
          <w:szCs w:val="24"/>
          <w:u w:val="single"/>
        </w:rPr>
        <w:t>Bilateral Ankle</w:t>
      </w:r>
      <w:r w:rsidR="0080588E" w:rsidRPr="007F631A">
        <w:rPr>
          <w:color w:val="000000" w:themeColor="text1"/>
          <w:szCs w:val="24"/>
          <w:u w:val="single"/>
        </w:rPr>
        <w:t xml:space="preserve"> </w:t>
      </w:r>
      <w:r w:rsidR="003F2EEE" w:rsidRPr="007F631A">
        <w:rPr>
          <w:color w:val="000000" w:themeColor="text1"/>
          <w:szCs w:val="24"/>
          <w:u w:val="single"/>
        </w:rPr>
        <w:t>Condition</w:t>
      </w:r>
      <w:r w:rsidR="003F2EEE" w:rsidRPr="007F631A">
        <w:rPr>
          <w:color w:val="000000" w:themeColor="text1"/>
          <w:szCs w:val="24"/>
        </w:rPr>
        <w:t xml:space="preserve">.  </w:t>
      </w:r>
      <w:r w:rsidR="00DF29CC">
        <w:rPr>
          <w:color w:val="000000" w:themeColor="text1"/>
          <w:szCs w:val="24"/>
        </w:rPr>
        <w:t xml:space="preserve">The CI sought treatment for bilateral ankle pain and instability with frequent sprains in June 2000.  After a thorough evaluation and conservative treatment he elected to have a stabilizing surgical procedure of the right ankle.  This was successful and he </w:t>
      </w:r>
      <w:r w:rsidR="00DF29CC">
        <w:rPr>
          <w:color w:val="000000" w:themeColor="text1"/>
          <w:szCs w:val="24"/>
        </w:rPr>
        <w:lastRenderedPageBreak/>
        <w:t>had significant increase in the stability without further sprains.  He had wanted to have a left ankle surger</w:t>
      </w:r>
      <w:r w:rsidR="00354D2D">
        <w:rPr>
          <w:color w:val="000000" w:themeColor="text1"/>
          <w:szCs w:val="24"/>
        </w:rPr>
        <w:t>y</w:t>
      </w:r>
      <w:r w:rsidR="00DF29CC">
        <w:rPr>
          <w:color w:val="000000" w:themeColor="text1"/>
          <w:szCs w:val="24"/>
        </w:rPr>
        <w:t xml:space="preserve"> but changed his mind and was thus referred to an MEB.</w:t>
      </w:r>
    </w:p>
    <w:p w:rsidR="00BC0A0A" w:rsidRPr="00F64312" w:rsidRDefault="00BC0A0A" w:rsidP="00BC0A0A">
      <w:pPr>
        <w:jc w:val="both"/>
        <w:rPr>
          <w:color w:val="auto"/>
        </w:rPr>
      </w:pPr>
    </w:p>
    <w:p w:rsidR="00BC0A0A" w:rsidRPr="00F64312" w:rsidRDefault="00BC0A0A" w:rsidP="00BC0A0A">
      <w:pPr>
        <w:jc w:val="both"/>
        <w:rPr>
          <w:color w:val="auto"/>
          <w:szCs w:val="24"/>
        </w:rPr>
      </w:pPr>
      <w:r w:rsidRPr="00F64312">
        <w:rPr>
          <w:color w:val="auto"/>
          <w:szCs w:val="24"/>
        </w:rPr>
        <w:t xml:space="preserve">There were </w:t>
      </w:r>
      <w:r w:rsidR="00B7071C">
        <w:rPr>
          <w:color w:val="auto"/>
          <w:szCs w:val="24"/>
        </w:rPr>
        <w:t>two</w:t>
      </w:r>
      <w:r w:rsidR="00941361">
        <w:rPr>
          <w:color w:val="auto"/>
          <w:szCs w:val="24"/>
        </w:rPr>
        <w:t xml:space="preserve"> goniometric range-of-</w:t>
      </w:r>
      <w:r w:rsidRPr="00F64312">
        <w:rPr>
          <w:color w:val="auto"/>
          <w:szCs w:val="24"/>
        </w:rPr>
        <w:t xml:space="preserve">motion (ROM) evaluations in evidence, with documentation of additional ratable criteria, which the Board weighed in arriving at its rating recommendation; as summarized in the chart below.  </w:t>
      </w:r>
    </w:p>
    <w:p w:rsidR="00BC0A0A" w:rsidRPr="00F64312" w:rsidRDefault="00BC0A0A" w:rsidP="00BC0A0A">
      <w:pPr>
        <w:jc w:val="both"/>
        <w:rPr>
          <w:color w:val="auto"/>
          <w:szCs w:val="24"/>
        </w:rPr>
      </w:pPr>
    </w:p>
    <w:p w:rsidR="00BC0A0A" w:rsidRDefault="00BC0A0A" w:rsidP="00BC0A0A">
      <w:pPr>
        <w:jc w:val="both"/>
        <w:rPr>
          <w:color w:val="auto"/>
          <w:szCs w:val="24"/>
        </w:rPr>
      </w:pPr>
    </w:p>
    <w:tbl>
      <w:tblPr>
        <w:tblpPr w:leftFromText="180" w:rightFromText="180" w:vertAnchor="text" w:tblpXSpec="center" w:tblpY="1"/>
        <w:tblOverlap w:val="never"/>
        <w:tblW w:w="6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77"/>
        <w:gridCol w:w="990"/>
        <w:gridCol w:w="1048"/>
        <w:gridCol w:w="1022"/>
      </w:tblGrid>
      <w:tr w:rsidR="00B7071C" w:rsidRPr="001F29F9" w:rsidTr="00B7071C">
        <w:trPr>
          <w:trHeight w:val="467"/>
        </w:trPr>
        <w:tc>
          <w:tcPr>
            <w:tcW w:w="186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ROM –</w:t>
            </w:r>
          </w:p>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Bilat Ankles</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7071C" w:rsidRPr="004028CA" w:rsidRDefault="00B7071C" w:rsidP="004028CA">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PT ~ </w:t>
            </w:r>
            <w:r>
              <w:rPr>
                <w:rFonts w:eastAsia="Calibri"/>
                <w:color w:val="000000" w:themeColor="text1"/>
                <w:sz w:val="18"/>
                <w:szCs w:val="18"/>
              </w:rPr>
              <w:t>11</w:t>
            </w:r>
            <w:r w:rsidRPr="001F29F9">
              <w:rPr>
                <w:rFonts w:eastAsia="Calibri"/>
                <w:color w:val="000000" w:themeColor="text1"/>
                <w:sz w:val="18"/>
                <w:szCs w:val="18"/>
              </w:rPr>
              <w:t xml:space="preserve"> Mo. Pre-Sep</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7071C" w:rsidRPr="004028CA" w:rsidRDefault="00B7071C" w:rsidP="004028CA">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8</w:t>
            </w:r>
            <w:r w:rsidRPr="001F29F9">
              <w:rPr>
                <w:rFonts w:eastAsia="Calibri"/>
                <w:color w:val="000000" w:themeColor="text1"/>
                <w:sz w:val="18"/>
                <w:szCs w:val="18"/>
              </w:rPr>
              <w:t xml:space="preserve"> Mo. Pre-Sep</w:t>
            </w:r>
          </w:p>
        </w:tc>
      </w:tr>
      <w:tr w:rsidR="00B7071C" w:rsidRPr="001F29F9" w:rsidTr="00B7071C">
        <w:trPr>
          <w:trHeight w:val="467"/>
        </w:trPr>
        <w:tc>
          <w:tcPr>
            <w:tcW w:w="1868"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B7071C" w:rsidRPr="001F29F9" w:rsidRDefault="00B7071C" w:rsidP="00DF29CC">
            <w:pPr>
              <w:rPr>
                <w:rFonts w:eastAsia="Calibri"/>
                <w:color w:val="000000" w:themeColor="text1"/>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Left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Right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Left</w:t>
            </w:r>
          </w:p>
        </w:tc>
        <w:tc>
          <w:tcPr>
            <w:tcW w:w="10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Right</w:t>
            </w:r>
          </w:p>
        </w:tc>
      </w:tr>
      <w:tr w:rsidR="00B7071C" w:rsidRPr="001F29F9" w:rsidTr="00B7071C">
        <w:tc>
          <w:tcPr>
            <w:tcW w:w="186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4028CA" w:rsidP="00DF29CC">
            <w:pPr>
              <w:rPr>
                <w:rFonts w:eastAsia="Calibri"/>
                <w:color w:val="000000" w:themeColor="text1"/>
                <w:sz w:val="18"/>
                <w:szCs w:val="18"/>
              </w:rPr>
            </w:pPr>
            <w:r>
              <w:rPr>
                <w:rFonts w:eastAsia="Calibri"/>
                <w:color w:val="000000" w:themeColor="text1"/>
                <w:sz w:val="18"/>
                <w:szCs w:val="18"/>
              </w:rPr>
              <w:t xml:space="preserve">Dorsiflexion </w:t>
            </w:r>
            <w:r w:rsidR="00B7071C" w:rsidRPr="001F29F9">
              <w:rPr>
                <w:rFonts w:eastAsia="Calibri"/>
                <w:color w:val="000000" w:themeColor="text1"/>
                <w:sz w:val="18"/>
                <w:szCs w:val="18"/>
              </w:rPr>
              <w:t>(0-20)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⁰</w:t>
            </w:r>
          </w:p>
        </w:tc>
        <w:tc>
          <w:tcPr>
            <w:tcW w:w="990"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⁰</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⁰</w:t>
            </w:r>
          </w:p>
        </w:tc>
        <w:tc>
          <w:tcPr>
            <w:tcW w:w="1022"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⁰</w:t>
            </w:r>
          </w:p>
        </w:tc>
      </w:tr>
      <w:tr w:rsidR="00B7071C" w:rsidRPr="001F29F9" w:rsidTr="00B7071C">
        <w:tc>
          <w:tcPr>
            <w:tcW w:w="186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rPr>
                <w:rFonts w:eastAsia="Calibri"/>
                <w:color w:val="000000" w:themeColor="text1"/>
                <w:sz w:val="18"/>
                <w:szCs w:val="18"/>
              </w:rPr>
            </w:pPr>
            <w:r w:rsidRPr="001F29F9">
              <w:rPr>
                <w:rFonts w:eastAsia="Calibri"/>
                <w:color w:val="000000" w:themeColor="text1"/>
                <w:sz w:val="18"/>
                <w:szCs w:val="18"/>
              </w:rPr>
              <w:t>Plantar Flexion (0-45)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c>
          <w:tcPr>
            <w:tcW w:w="990"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c>
          <w:tcPr>
            <w:tcW w:w="1022"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r>
      <w:tr w:rsidR="00B7071C" w:rsidRPr="001F29F9" w:rsidTr="00B7071C">
        <w:tc>
          <w:tcPr>
            <w:tcW w:w="186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1077"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contextualSpacing/>
              <w:rPr>
                <w:rFonts w:eastAsia="Calibri"/>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contextualSpacing/>
              <w:rPr>
                <w:rFonts w:eastAsia="Calibri"/>
                <w:color w:val="000000" w:themeColor="text1"/>
                <w:sz w:val="18"/>
                <w:szCs w:val="18"/>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contextualSpacing/>
              <w:rPr>
                <w:rFonts w:eastAsia="Calibri"/>
                <w:color w:val="000000" w:themeColor="text1"/>
                <w:sz w:val="18"/>
                <w:szCs w:val="18"/>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contextualSpacing/>
              <w:rPr>
                <w:rFonts w:eastAsia="Calibri"/>
                <w:color w:val="000000" w:themeColor="text1"/>
                <w:sz w:val="18"/>
                <w:szCs w:val="18"/>
              </w:rPr>
            </w:pPr>
          </w:p>
        </w:tc>
      </w:tr>
      <w:tr w:rsidR="00B7071C" w:rsidRPr="001F29F9" w:rsidTr="00B7071C">
        <w:tc>
          <w:tcPr>
            <w:tcW w:w="186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contextualSpacing/>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contextualSpacing/>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B7071C" w:rsidRPr="001F29F9" w:rsidRDefault="00B7071C" w:rsidP="00DF29CC">
            <w:pPr>
              <w:contextualSpacing/>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w:t>
            </w:r>
          </w:p>
        </w:tc>
        <w:tc>
          <w:tcPr>
            <w:tcW w:w="1022" w:type="dxa"/>
            <w:tcBorders>
              <w:top w:val="single" w:sz="4" w:space="0" w:color="000000"/>
              <w:left w:val="single" w:sz="4" w:space="0" w:color="000000"/>
              <w:bottom w:val="single" w:sz="4" w:space="0" w:color="000000"/>
              <w:right w:val="single" w:sz="4" w:space="0" w:color="000000"/>
            </w:tcBorders>
            <w:vAlign w:val="center"/>
          </w:tcPr>
          <w:p w:rsidR="00B7071C" w:rsidRPr="001F29F9" w:rsidRDefault="00B7071C" w:rsidP="00DF29CC">
            <w:pPr>
              <w:contextualSpacing/>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w:t>
            </w:r>
          </w:p>
        </w:tc>
      </w:tr>
    </w:tbl>
    <w:p w:rsidR="002B4B70" w:rsidRDefault="002B4B70" w:rsidP="00BC0A0A">
      <w:pPr>
        <w:jc w:val="both"/>
        <w:rPr>
          <w:color w:val="auto"/>
          <w:szCs w:val="24"/>
        </w:rPr>
      </w:pPr>
    </w:p>
    <w:p w:rsidR="002B4B70" w:rsidRPr="00F64312" w:rsidRDefault="002B4B70" w:rsidP="00BC0A0A">
      <w:pPr>
        <w:jc w:val="both"/>
        <w:rPr>
          <w:color w:val="auto"/>
          <w:szCs w:val="24"/>
        </w:rPr>
      </w:pPr>
    </w:p>
    <w:p w:rsidR="00B7071C" w:rsidRDefault="00B7071C" w:rsidP="00DF29CC">
      <w:pPr>
        <w:jc w:val="both"/>
        <w:rPr>
          <w:color w:val="auto"/>
          <w:szCs w:val="24"/>
        </w:rPr>
      </w:pPr>
    </w:p>
    <w:p w:rsidR="00B7071C" w:rsidRDefault="00B7071C" w:rsidP="00DF29CC">
      <w:pPr>
        <w:jc w:val="both"/>
        <w:rPr>
          <w:color w:val="auto"/>
          <w:szCs w:val="24"/>
        </w:rPr>
      </w:pPr>
    </w:p>
    <w:p w:rsidR="00B7071C" w:rsidRDefault="00B7071C" w:rsidP="00DF29CC">
      <w:pPr>
        <w:jc w:val="both"/>
        <w:rPr>
          <w:color w:val="auto"/>
          <w:szCs w:val="24"/>
        </w:rPr>
      </w:pPr>
    </w:p>
    <w:p w:rsidR="00B7071C" w:rsidRDefault="00B7071C" w:rsidP="00DF29CC">
      <w:pPr>
        <w:jc w:val="both"/>
        <w:rPr>
          <w:color w:val="auto"/>
          <w:szCs w:val="24"/>
        </w:rPr>
      </w:pPr>
    </w:p>
    <w:p w:rsidR="00B7071C" w:rsidRDefault="00B7071C" w:rsidP="00DF29CC">
      <w:pPr>
        <w:jc w:val="both"/>
        <w:rPr>
          <w:color w:val="auto"/>
          <w:szCs w:val="24"/>
        </w:rPr>
      </w:pPr>
    </w:p>
    <w:p w:rsidR="00B7071C" w:rsidRDefault="00B7071C" w:rsidP="00DF29CC">
      <w:pPr>
        <w:jc w:val="both"/>
        <w:rPr>
          <w:color w:val="auto"/>
          <w:szCs w:val="24"/>
        </w:rPr>
      </w:pPr>
    </w:p>
    <w:p w:rsidR="00B7071C" w:rsidRDefault="00B7071C" w:rsidP="00DF29CC">
      <w:pPr>
        <w:jc w:val="both"/>
        <w:rPr>
          <w:color w:val="auto"/>
          <w:szCs w:val="24"/>
        </w:rPr>
      </w:pPr>
    </w:p>
    <w:p w:rsidR="004028CA" w:rsidRDefault="004028CA" w:rsidP="00DF29CC">
      <w:pPr>
        <w:jc w:val="both"/>
        <w:rPr>
          <w:color w:val="auto"/>
          <w:szCs w:val="24"/>
        </w:rPr>
      </w:pPr>
    </w:p>
    <w:p w:rsidR="00BC0A0A" w:rsidRPr="00F64312" w:rsidRDefault="00BC0A0A" w:rsidP="00B7071C">
      <w:pPr>
        <w:jc w:val="both"/>
        <w:rPr>
          <w:color w:val="auto"/>
          <w:szCs w:val="24"/>
        </w:rPr>
      </w:pPr>
      <w:r w:rsidRPr="00F64312">
        <w:rPr>
          <w:color w:val="auto"/>
          <w:szCs w:val="24"/>
        </w:rPr>
        <w:t>At the MEB exam, the CI reported</w:t>
      </w:r>
      <w:r w:rsidR="00DF29CC">
        <w:rPr>
          <w:color w:val="auto"/>
          <w:szCs w:val="24"/>
        </w:rPr>
        <w:t xml:space="preserve"> bilateral ankle</w:t>
      </w:r>
      <w:r w:rsidR="00DF29CC">
        <w:rPr>
          <w:color w:val="000000" w:themeColor="text1"/>
          <w:szCs w:val="24"/>
        </w:rPr>
        <w:t xml:space="preserve"> pain with running, jumping or walking downstairs.  </w:t>
      </w:r>
      <w:r w:rsidRPr="00F64312">
        <w:rPr>
          <w:color w:val="auto"/>
          <w:szCs w:val="24"/>
        </w:rPr>
        <w:t xml:space="preserve">The MEB physical exam </w:t>
      </w:r>
      <w:r w:rsidR="004028CA">
        <w:rPr>
          <w:color w:val="auto"/>
          <w:szCs w:val="24"/>
        </w:rPr>
        <w:t xml:space="preserve">bilaterally </w:t>
      </w:r>
      <w:r w:rsidR="00DF29CC">
        <w:rPr>
          <w:color w:val="auto"/>
          <w:szCs w:val="24"/>
        </w:rPr>
        <w:t>demonstrated no edema, e</w:t>
      </w:r>
      <w:r w:rsidR="004028CA">
        <w:rPr>
          <w:color w:val="auto"/>
          <w:szCs w:val="24"/>
        </w:rPr>
        <w:t>rythema, ecchymosis or crepitus and stable ligament testing</w:t>
      </w:r>
      <w:r w:rsidR="00DF29CC">
        <w:rPr>
          <w:color w:val="auto"/>
          <w:szCs w:val="24"/>
        </w:rPr>
        <w:t xml:space="preserve">.  </w:t>
      </w:r>
      <w:r w:rsidR="00DF29CC" w:rsidRPr="00DF29CC">
        <w:rPr>
          <w:color w:val="auto"/>
          <w:szCs w:val="24"/>
        </w:rPr>
        <w:t xml:space="preserve">X-rays revealed </w:t>
      </w:r>
      <w:r w:rsidR="004028CA">
        <w:rPr>
          <w:color w:val="auto"/>
          <w:szCs w:val="24"/>
        </w:rPr>
        <w:t>bilateral anterior arthriti</w:t>
      </w:r>
      <w:r w:rsidR="002C0273">
        <w:rPr>
          <w:color w:val="auto"/>
          <w:szCs w:val="24"/>
        </w:rPr>
        <w:t>c</w:t>
      </w:r>
      <w:r w:rsidR="004028CA">
        <w:rPr>
          <w:color w:val="auto"/>
          <w:szCs w:val="24"/>
        </w:rPr>
        <w:t xml:space="preserve"> changes of the ankle joints, </w:t>
      </w:r>
      <w:r w:rsidR="00DF29CC" w:rsidRPr="00DF29CC">
        <w:rPr>
          <w:color w:val="auto"/>
          <w:szCs w:val="24"/>
        </w:rPr>
        <w:t>left</w:t>
      </w:r>
      <w:r w:rsidR="00DF29CC">
        <w:rPr>
          <w:color w:val="auto"/>
          <w:szCs w:val="24"/>
        </w:rPr>
        <w:t xml:space="preserve"> </w:t>
      </w:r>
      <w:r w:rsidR="00DF29CC" w:rsidRPr="00DF29CC">
        <w:rPr>
          <w:color w:val="auto"/>
          <w:szCs w:val="24"/>
        </w:rPr>
        <w:t>greater than right</w:t>
      </w:r>
      <w:r w:rsidR="004028CA">
        <w:rPr>
          <w:color w:val="auto"/>
          <w:szCs w:val="24"/>
        </w:rPr>
        <w:t>,</w:t>
      </w:r>
      <w:r w:rsidR="00DF29CC">
        <w:rPr>
          <w:color w:val="auto"/>
          <w:szCs w:val="24"/>
        </w:rPr>
        <w:t xml:space="preserve"> and a</w:t>
      </w:r>
      <w:r w:rsidR="00DF29CC" w:rsidRPr="00DF29CC">
        <w:rPr>
          <w:color w:val="auto"/>
          <w:szCs w:val="24"/>
        </w:rPr>
        <w:t>vulsion fragments in the lateral right ankle.</w:t>
      </w:r>
      <w:r w:rsidR="00DF29CC">
        <w:rPr>
          <w:color w:val="auto"/>
          <w:szCs w:val="24"/>
        </w:rPr>
        <w:t xml:space="preserve">  The examiner diagnosed </w:t>
      </w:r>
      <w:r w:rsidR="004028CA">
        <w:rPr>
          <w:color w:val="auto"/>
          <w:szCs w:val="24"/>
        </w:rPr>
        <w:t xml:space="preserve">bilateral degenerative arthritis </w:t>
      </w:r>
      <w:r w:rsidR="00DF29CC">
        <w:rPr>
          <w:color w:val="auto"/>
          <w:szCs w:val="24"/>
        </w:rPr>
        <w:t>and lateral ankle instability, left ankle</w:t>
      </w:r>
      <w:r w:rsidR="00354D2D">
        <w:rPr>
          <w:color w:val="auto"/>
          <w:szCs w:val="24"/>
        </w:rPr>
        <w:t xml:space="preserve"> and offered no opinion</w:t>
      </w:r>
      <w:r w:rsidR="00DF29CC">
        <w:rPr>
          <w:color w:val="auto"/>
          <w:szCs w:val="24"/>
        </w:rPr>
        <w:t>.</w:t>
      </w:r>
      <w:r w:rsidR="004028CA">
        <w:rPr>
          <w:color w:val="auto"/>
          <w:szCs w:val="24"/>
        </w:rPr>
        <w:t xml:space="preserve">  </w:t>
      </w:r>
      <w:r w:rsidRPr="00B7071C">
        <w:rPr>
          <w:color w:val="auto"/>
          <w:szCs w:val="24"/>
        </w:rPr>
        <w:t>At the Department of Veteran</w:t>
      </w:r>
      <w:r w:rsidR="00941361">
        <w:rPr>
          <w:color w:val="auto"/>
          <w:szCs w:val="24"/>
        </w:rPr>
        <w:t>s’</w:t>
      </w:r>
      <w:r w:rsidRPr="00B7071C">
        <w:rPr>
          <w:color w:val="auto"/>
          <w:szCs w:val="24"/>
        </w:rPr>
        <w:t xml:space="preserve"> Affairs (DVA) Compensation and Pension (C&amp;P) exam</w:t>
      </w:r>
      <w:r w:rsidR="00941361">
        <w:rPr>
          <w:color w:val="auto"/>
          <w:szCs w:val="24"/>
        </w:rPr>
        <w:t xml:space="preserve">, </w:t>
      </w:r>
      <w:r w:rsidR="00A00930">
        <w:rPr>
          <w:color w:val="auto"/>
          <w:szCs w:val="24"/>
        </w:rPr>
        <w:t xml:space="preserve">performed </w:t>
      </w:r>
      <w:r w:rsidR="00941361">
        <w:rPr>
          <w:color w:val="auto"/>
          <w:szCs w:val="24"/>
        </w:rPr>
        <w:t>a</w:t>
      </w:r>
      <w:r w:rsidR="00B7071C" w:rsidRPr="00B7071C">
        <w:rPr>
          <w:color w:val="auto"/>
          <w:szCs w:val="24"/>
        </w:rPr>
        <w:t xml:space="preserve"> month </w:t>
      </w:r>
      <w:r w:rsidRPr="00B7071C">
        <w:rPr>
          <w:color w:val="auto"/>
          <w:szCs w:val="24"/>
        </w:rPr>
        <w:t xml:space="preserve">after separation, the CI </w:t>
      </w:r>
      <w:r w:rsidR="00EC5B84" w:rsidRPr="00B7071C">
        <w:rPr>
          <w:color w:val="auto"/>
          <w:szCs w:val="24"/>
        </w:rPr>
        <w:t>re</w:t>
      </w:r>
      <w:r w:rsidR="004028CA">
        <w:rPr>
          <w:color w:val="auto"/>
          <w:szCs w:val="24"/>
        </w:rPr>
        <w:t>ported no new additional historical facts</w:t>
      </w:r>
      <w:r w:rsidR="00EC5B84" w:rsidRPr="00B7071C">
        <w:rPr>
          <w:color w:val="auto"/>
          <w:szCs w:val="24"/>
        </w:rPr>
        <w:t>.</w:t>
      </w:r>
      <w:r w:rsidR="00354D2D" w:rsidRPr="00B7071C">
        <w:rPr>
          <w:color w:val="auto"/>
          <w:szCs w:val="24"/>
        </w:rPr>
        <w:t xml:space="preserve">  </w:t>
      </w:r>
      <w:r w:rsidRPr="00B7071C">
        <w:rPr>
          <w:color w:val="auto"/>
          <w:szCs w:val="24"/>
        </w:rPr>
        <w:t xml:space="preserve">The C&amp;P physical exam </w:t>
      </w:r>
      <w:r w:rsidR="004028CA">
        <w:rPr>
          <w:color w:val="auto"/>
          <w:szCs w:val="24"/>
        </w:rPr>
        <w:t xml:space="preserve">bilaterally </w:t>
      </w:r>
      <w:r w:rsidRPr="00B7071C">
        <w:rPr>
          <w:color w:val="auto"/>
          <w:szCs w:val="24"/>
        </w:rPr>
        <w:t>demonstrated</w:t>
      </w:r>
      <w:r w:rsidR="00EC5B84" w:rsidRPr="00B7071C">
        <w:rPr>
          <w:color w:val="auto"/>
          <w:szCs w:val="24"/>
        </w:rPr>
        <w:t xml:space="preserve"> </w:t>
      </w:r>
      <w:r w:rsidR="004028CA">
        <w:rPr>
          <w:color w:val="auto"/>
          <w:szCs w:val="24"/>
        </w:rPr>
        <w:t xml:space="preserve">intact posterior tibial tendon, </w:t>
      </w:r>
      <w:r w:rsidR="00354D2D" w:rsidRPr="00B7071C">
        <w:rPr>
          <w:color w:val="auto"/>
          <w:szCs w:val="24"/>
        </w:rPr>
        <w:t>s</w:t>
      </w:r>
      <w:r w:rsidR="00EC5B84" w:rsidRPr="00B7071C">
        <w:rPr>
          <w:color w:val="auto"/>
          <w:szCs w:val="24"/>
        </w:rPr>
        <w:t>ensation</w:t>
      </w:r>
      <w:r w:rsidR="004028CA">
        <w:rPr>
          <w:color w:val="auto"/>
          <w:szCs w:val="24"/>
        </w:rPr>
        <w:t xml:space="preserve"> and </w:t>
      </w:r>
      <w:r w:rsidR="00354D2D" w:rsidRPr="00B7071C">
        <w:rPr>
          <w:color w:val="auto"/>
          <w:szCs w:val="24"/>
        </w:rPr>
        <w:t xml:space="preserve">"Evaluation of the right ankle reveals </w:t>
      </w:r>
      <w:r w:rsidR="00941361">
        <w:rPr>
          <w:color w:val="auto"/>
          <w:szCs w:val="24"/>
        </w:rPr>
        <w:t>ROM</w:t>
      </w:r>
      <w:r w:rsidR="00354D2D" w:rsidRPr="00B7071C">
        <w:rPr>
          <w:color w:val="auto"/>
          <w:szCs w:val="24"/>
        </w:rPr>
        <w:t xml:space="preserve"> from 0 degrees of dorsiflexion to 40</w:t>
      </w:r>
      <w:r w:rsidR="00354D2D" w:rsidRPr="00354D2D">
        <w:rPr>
          <w:color w:val="auto"/>
          <w:szCs w:val="24"/>
        </w:rPr>
        <w:t xml:space="preserve"> degrees of plantar flexion</w:t>
      </w:r>
      <w:r w:rsidR="00354D2D">
        <w:rPr>
          <w:szCs w:val="24"/>
        </w:rPr>
        <w:t xml:space="preserve"> </w:t>
      </w:r>
      <w:r w:rsidR="00354D2D">
        <w:rPr>
          <w:color w:val="auto"/>
          <w:szCs w:val="24"/>
        </w:rPr>
        <w:t>with</w:t>
      </w:r>
      <w:r w:rsidR="00354D2D" w:rsidRPr="00354D2D">
        <w:rPr>
          <w:color w:val="auto"/>
          <w:szCs w:val="24"/>
        </w:rPr>
        <w:t xml:space="preserve"> 15 degrees of eversion, and 30 degrees of inversion.</w:t>
      </w:r>
      <w:r w:rsidR="004028CA">
        <w:rPr>
          <w:color w:val="auto"/>
          <w:szCs w:val="24"/>
        </w:rPr>
        <w:t>”</w:t>
      </w:r>
      <w:r w:rsidR="00354D2D">
        <w:rPr>
          <w:color w:val="auto"/>
          <w:szCs w:val="24"/>
        </w:rPr>
        <w:t xml:space="preserve">  The right ankle </w:t>
      </w:r>
      <w:r w:rsidR="004028CA">
        <w:rPr>
          <w:color w:val="auto"/>
          <w:szCs w:val="24"/>
        </w:rPr>
        <w:t xml:space="preserve">also </w:t>
      </w:r>
      <w:r w:rsidR="00354D2D">
        <w:rPr>
          <w:color w:val="auto"/>
          <w:szCs w:val="24"/>
        </w:rPr>
        <w:t>demonstrated</w:t>
      </w:r>
      <w:r w:rsidR="00EC5B84" w:rsidRPr="00EC5B84">
        <w:rPr>
          <w:color w:val="auto"/>
          <w:szCs w:val="24"/>
        </w:rPr>
        <w:t xml:space="preserve"> increased laxity to anterior stress</w:t>
      </w:r>
      <w:r w:rsidR="00354D2D">
        <w:rPr>
          <w:color w:val="auto"/>
          <w:szCs w:val="24"/>
        </w:rPr>
        <w:t xml:space="preserve"> </w:t>
      </w:r>
      <w:r w:rsidR="00EC5B84" w:rsidRPr="00EC5B84">
        <w:rPr>
          <w:color w:val="auto"/>
          <w:szCs w:val="24"/>
        </w:rPr>
        <w:t>with mild crepitation</w:t>
      </w:r>
      <w:r w:rsidR="00354D2D">
        <w:rPr>
          <w:color w:val="auto"/>
          <w:szCs w:val="24"/>
        </w:rPr>
        <w:t>,</w:t>
      </w:r>
      <w:r w:rsidR="00EC5B84" w:rsidRPr="00EC5B84">
        <w:rPr>
          <w:color w:val="auto"/>
          <w:szCs w:val="24"/>
        </w:rPr>
        <w:t xml:space="preserve"> effusion</w:t>
      </w:r>
      <w:r w:rsidR="00354D2D">
        <w:rPr>
          <w:color w:val="auto"/>
          <w:szCs w:val="24"/>
        </w:rPr>
        <w:t>,</w:t>
      </w:r>
      <w:r w:rsidR="00EC5B84" w:rsidRPr="00EC5B84">
        <w:rPr>
          <w:color w:val="auto"/>
          <w:szCs w:val="24"/>
        </w:rPr>
        <w:t xml:space="preserve"> 5/5 plantar flexion</w:t>
      </w:r>
      <w:r w:rsidR="00354D2D">
        <w:rPr>
          <w:color w:val="auto"/>
          <w:szCs w:val="24"/>
        </w:rPr>
        <w:t xml:space="preserve"> </w:t>
      </w:r>
      <w:r w:rsidR="00EC5B84" w:rsidRPr="00EC5B84">
        <w:rPr>
          <w:color w:val="auto"/>
          <w:szCs w:val="24"/>
        </w:rPr>
        <w:t>and 4/5 dorsiflexion strength</w:t>
      </w:r>
      <w:r w:rsidR="00354D2D">
        <w:rPr>
          <w:color w:val="auto"/>
          <w:szCs w:val="24"/>
        </w:rPr>
        <w:t xml:space="preserve"> and </w:t>
      </w:r>
      <w:r w:rsidR="00EC5B84" w:rsidRPr="00EC5B84">
        <w:rPr>
          <w:color w:val="auto"/>
          <w:szCs w:val="24"/>
        </w:rPr>
        <w:t xml:space="preserve">tenderness to palpation over </w:t>
      </w:r>
      <w:r w:rsidR="00354D2D">
        <w:rPr>
          <w:color w:val="auto"/>
          <w:szCs w:val="24"/>
        </w:rPr>
        <w:t>the</w:t>
      </w:r>
      <w:r w:rsidR="00EC5B84" w:rsidRPr="00EC5B84">
        <w:rPr>
          <w:color w:val="auto"/>
          <w:szCs w:val="24"/>
        </w:rPr>
        <w:t xml:space="preserve"> </w:t>
      </w:r>
      <w:r w:rsidR="004028CA">
        <w:rPr>
          <w:color w:val="auto"/>
          <w:szCs w:val="24"/>
        </w:rPr>
        <w:t>anterior</w:t>
      </w:r>
      <w:r w:rsidR="00EC5B84" w:rsidRPr="00EC5B84">
        <w:rPr>
          <w:color w:val="auto"/>
          <w:szCs w:val="24"/>
        </w:rPr>
        <w:t xml:space="preserve"> joint. </w:t>
      </w:r>
      <w:r w:rsidR="00354D2D">
        <w:rPr>
          <w:color w:val="auto"/>
          <w:szCs w:val="24"/>
        </w:rPr>
        <w:t xml:space="preserve"> The left ankle </w:t>
      </w:r>
      <w:r w:rsidR="00354D2D" w:rsidRPr="004028CA">
        <w:rPr>
          <w:rFonts w:asciiTheme="minorHAnsi" w:hAnsiTheme="minorHAnsi"/>
          <w:color w:val="auto"/>
          <w:szCs w:val="24"/>
        </w:rPr>
        <w:t>demonstrated;</w:t>
      </w:r>
      <w:r w:rsidR="00354D2D" w:rsidRPr="004028CA">
        <w:rPr>
          <w:rFonts w:asciiTheme="minorHAnsi" w:hAnsiTheme="minorHAnsi"/>
          <w:color w:val="000000" w:themeColor="text1"/>
          <w:szCs w:val="24"/>
        </w:rPr>
        <w:t xml:space="preserve">  “</w:t>
      </w:r>
      <w:r w:rsidR="00354D2D" w:rsidRPr="004028CA">
        <w:rPr>
          <w:rFonts w:asciiTheme="minorHAnsi" w:hAnsiTheme="minorHAnsi"/>
          <w:color w:val="auto"/>
          <w:szCs w:val="24"/>
        </w:rPr>
        <w:t>Evaluation of the</w:t>
      </w:r>
      <w:r w:rsidR="00354D2D">
        <w:rPr>
          <w:color w:val="auto"/>
          <w:szCs w:val="24"/>
        </w:rPr>
        <w:t xml:space="preserve"> </w:t>
      </w:r>
      <w:r w:rsidR="00354D2D" w:rsidRPr="00354D2D">
        <w:rPr>
          <w:color w:val="auto"/>
          <w:szCs w:val="24"/>
        </w:rPr>
        <w:t>left ankle reveals range of m</w:t>
      </w:r>
      <w:r w:rsidR="00354D2D">
        <w:rPr>
          <w:color w:val="auto"/>
          <w:szCs w:val="24"/>
        </w:rPr>
        <w:t>otion from 0-40 degrees</w:t>
      </w:r>
      <w:r w:rsidR="00941361">
        <w:rPr>
          <w:color w:val="auto"/>
          <w:szCs w:val="24"/>
        </w:rPr>
        <w:t>,”</w:t>
      </w:r>
      <w:r w:rsidR="00354D2D">
        <w:rPr>
          <w:color w:val="auto"/>
          <w:szCs w:val="24"/>
        </w:rPr>
        <w:t xml:space="preserve"> </w:t>
      </w:r>
      <w:r w:rsidR="00EC5B84" w:rsidRPr="00EC5B84">
        <w:rPr>
          <w:color w:val="auto"/>
          <w:szCs w:val="24"/>
        </w:rPr>
        <w:t>5/5</w:t>
      </w:r>
      <w:r w:rsidR="00354D2D">
        <w:rPr>
          <w:color w:val="auto"/>
          <w:szCs w:val="24"/>
        </w:rPr>
        <w:t xml:space="preserve"> </w:t>
      </w:r>
      <w:r w:rsidR="00354D2D" w:rsidRPr="00EC5B84">
        <w:rPr>
          <w:color w:val="auto"/>
          <w:szCs w:val="24"/>
        </w:rPr>
        <w:t xml:space="preserve">dorsiflexion and plantar flexion </w:t>
      </w:r>
      <w:r w:rsidR="00EC5B84" w:rsidRPr="00EC5B84">
        <w:rPr>
          <w:color w:val="auto"/>
          <w:szCs w:val="24"/>
        </w:rPr>
        <w:t>strength, increased laxity to anterior</w:t>
      </w:r>
      <w:r w:rsidR="00354D2D">
        <w:rPr>
          <w:color w:val="auto"/>
          <w:szCs w:val="24"/>
        </w:rPr>
        <w:t xml:space="preserve"> </w:t>
      </w:r>
      <w:r w:rsidR="00EC5B84" w:rsidRPr="00EC5B84">
        <w:rPr>
          <w:color w:val="auto"/>
          <w:szCs w:val="24"/>
        </w:rPr>
        <w:t>stress with crepitation</w:t>
      </w:r>
      <w:r w:rsidR="00354D2D">
        <w:rPr>
          <w:color w:val="auto"/>
          <w:szCs w:val="24"/>
        </w:rPr>
        <w:t xml:space="preserve">, </w:t>
      </w:r>
      <w:r w:rsidR="00EC5B84" w:rsidRPr="00EC5B84">
        <w:rPr>
          <w:color w:val="auto"/>
          <w:szCs w:val="24"/>
        </w:rPr>
        <w:t>mild talar tilt</w:t>
      </w:r>
      <w:r w:rsidR="00354D2D">
        <w:rPr>
          <w:color w:val="auto"/>
          <w:szCs w:val="24"/>
        </w:rPr>
        <w:t xml:space="preserve"> and </w:t>
      </w:r>
      <w:r w:rsidR="00EC5B84" w:rsidRPr="00EC5B84">
        <w:rPr>
          <w:color w:val="auto"/>
          <w:szCs w:val="24"/>
        </w:rPr>
        <w:t>tenderness to</w:t>
      </w:r>
      <w:r w:rsidR="00354D2D">
        <w:rPr>
          <w:color w:val="auto"/>
          <w:szCs w:val="24"/>
        </w:rPr>
        <w:t xml:space="preserve"> </w:t>
      </w:r>
      <w:r w:rsidR="00EC5B84" w:rsidRPr="00EC5B84">
        <w:rPr>
          <w:color w:val="auto"/>
          <w:szCs w:val="24"/>
        </w:rPr>
        <w:t xml:space="preserve">palpation over his </w:t>
      </w:r>
      <w:r w:rsidR="004028CA">
        <w:rPr>
          <w:color w:val="auto"/>
          <w:szCs w:val="24"/>
        </w:rPr>
        <w:t>anterior</w:t>
      </w:r>
      <w:r w:rsidR="00EC5B84" w:rsidRPr="00EC5B84">
        <w:rPr>
          <w:color w:val="auto"/>
          <w:szCs w:val="24"/>
        </w:rPr>
        <w:t xml:space="preserve"> joint as well as over his anterior</w:t>
      </w:r>
      <w:r w:rsidR="00354D2D">
        <w:rPr>
          <w:color w:val="auto"/>
          <w:szCs w:val="24"/>
        </w:rPr>
        <w:t xml:space="preserve"> </w:t>
      </w:r>
      <w:r w:rsidR="00EC5B84" w:rsidRPr="00EC5B84">
        <w:rPr>
          <w:color w:val="auto"/>
          <w:szCs w:val="24"/>
        </w:rPr>
        <w:t xml:space="preserve">talofibular ligament. </w:t>
      </w:r>
      <w:r w:rsidR="00354D2D">
        <w:rPr>
          <w:color w:val="auto"/>
          <w:szCs w:val="24"/>
        </w:rPr>
        <w:t xml:space="preserve"> </w:t>
      </w:r>
      <w:r w:rsidR="00B7071C">
        <w:rPr>
          <w:color w:val="auto"/>
          <w:szCs w:val="24"/>
        </w:rPr>
        <w:t>The examiner diagnosed right</w:t>
      </w:r>
      <w:r w:rsidR="00B7071C" w:rsidRPr="00B7071C">
        <w:rPr>
          <w:color w:val="auto"/>
          <w:szCs w:val="24"/>
        </w:rPr>
        <w:t xml:space="preserve"> chronic anterior talofibular ligament and likely</w:t>
      </w:r>
      <w:r w:rsidR="00B7071C">
        <w:rPr>
          <w:color w:val="auto"/>
          <w:szCs w:val="24"/>
        </w:rPr>
        <w:t xml:space="preserve"> </w:t>
      </w:r>
      <w:r w:rsidR="00B7071C" w:rsidRPr="00B7071C">
        <w:rPr>
          <w:color w:val="auto"/>
          <w:szCs w:val="24"/>
        </w:rPr>
        <w:t>calcaneofibular ligament sprain</w:t>
      </w:r>
      <w:r w:rsidR="004028CA">
        <w:rPr>
          <w:color w:val="auto"/>
          <w:szCs w:val="24"/>
        </w:rPr>
        <w:t>,</w:t>
      </w:r>
      <w:r w:rsidR="00B7071C" w:rsidRPr="00B7071C">
        <w:rPr>
          <w:color w:val="auto"/>
          <w:szCs w:val="24"/>
        </w:rPr>
        <w:t xml:space="preserve"> status post arthroscopy and attempted</w:t>
      </w:r>
      <w:r w:rsidR="00B7071C">
        <w:rPr>
          <w:color w:val="auto"/>
          <w:szCs w:val="24"/>
        </w:rPr>
        <w:t xml:space="preserve"> </w:t>
      </w:r>
      <w:r w:rsidR="00B7071C" w:rsidRPr="00B7071C">
        <w:rPr>
          <w:color w:val="auto"/>
          <w:szCs w:val="24"/>
        </w:rPr>
        <w:t>reconstruction</w:t>
      </w:r>
      <w:r w:rsidR="004028CA">
        <w:rPr>
          <w:color w:val="auto"/>
          <w:szCs w:val="24"/>
        </w:rPr>
        <w:t>,</w:t>
      </w:r>
      <w:r w:rsidR="00B7071C" w:rsidRPr="00B7071C">
        <w:rPr>
          <w:color w:val="auto"/>
          <w:szCs w:val="24"/>
        </w:rPr>
        <w:t xml:space="preserve"> with likely tibiotalar degenerative joint disease</w:t>
      </w:r>
      <w:r w:rsidR="00B7071C">
        <w:rPr>
          <w:color w:val="auto"/>
          <w:szCs w:val="24"/>
        </w:rPr>
        <w:t xml:space="preserve"> and l</w:t>
      </w:r>
      <w:r w:rsidR="00B7071C" w:rsidRPr="00B7071C">
        <w:rPr>
          <w:color w:val="auto"/>
          <w:szCs w:val="24"/>
        </w:rPr>
        <w:t>eft ankle anterior talofibular ligament and calcaneofibular</w:t>
      </w:r>
      <w:r w:rsidR="00B7071C">
        <w:rPr>
          <w:color w:val="auto"/>
          <w:szCs w:val="24"/>
        </w:rPr>
        <w:t xml:space="preserve"> </w:t>
      </w:r>
      <w:r w:rsidR="00B7071C" w:rsidRPr="00B7071C">
        <w:rPr>
          <w:color w:val="auto"/>
          <w:szCs w:val="24"/>
        </w:rPr>
        <w:t>ligament sprain.</w:t>
      </w:r>
      <w:r w:rsidR="00B7071C">
        <w:rPr>
          <w:color w:val="auto"/>
          <w:szCs w:val="24"/>
        </w:rPr>
        <w:t xml:space="preserve">  </w:t>
      </w:r>
      <w:r w:rsidR="00354D2D">
        <w:rPr>
          <w:color w:val="auto"/>
          <w:szCs w:val="24"/>
        </w:rPr>
        <w:t>X-rays revealed a normal left ankle and degenerative changes or joint space narrowing with retained fibular hardware of the right ankle.</w:t>
      </w:r>
    </w:p>
    <w:p w:rsidR="00BC0A0A" w:rsidRPr="00F64312" w:rsidRDefault="00BC0A0A" w:rsidP="00BC0A0A">
      <w:pPr>
        <w:jc w:val="both"/>
        <w:rPr>
          <w:color w:val="auto"/>
          <w:szCs w:val="24"/>
        </w:rPr>
      </w:pPr>
    </w:p>
    <w:p w:rsidR="00941361" w:rsidRDefault="00BC0A0A" w:rsidP="00BC0A0A">
      <w:pPr>
        <w:tabs>
          <w:tab w:val="left" w:pos="288"/>
          <w:tab w:val="left" w:pos="4752"/>
        </w:tabs>
        <w:jc w:val="both"/>
        <w:rPr>
          <w:rFonts w:asciiTheme="minorHAnsi" w:hAnsiTheme="minorHAnsi" w:cs="Times New Roman"/>
          <w:color w:val="auto"/>
          <w:szCs w:val="24"/>
        </w:rPr>
      </w:pPr>
      <w:r w:rsidRPr="00F64312">
        <w:rPr>
          <w:rFonts w:cs="Times New Roman"/>
          <w:color w:val="auto"/>
        </w:rPr>
        <w:t xml:space="preserve">The Board directs attention to its rating recommendation based on the above evidence.  </w:t>
      </w:r>
      <w:r w:rsidRPr="007B6528">
        <w:rPr>
          <w:rFonts w:cs="Times New Roman"/>
          <w:color w:val="auto"/>
        </w:rPr>
        <w:t xml:space="preserve">The Board notes that both the MEB and VA exams were complete, well documented, </w:t>
      </w:r>
      <w:r w:rsidR="00B7071C">
        <w:rPr>
          <w:rFonts w:cs="Times New Roman"/>
          <w:color w:val="auto"/>
        </w:rPr>
        <w:t xml:space="preserve">however the MEB exam </w:t>
      </w:r>
      <w:r w:rsidR="00B7071C" w:rsidRPr="00B7071C">
        <w:rPr>
          <w:rFonts w:cs="Times New Roman"/>
          <w:color w:val="auto"/>
        </w:rPr>
        <w:t xml:space="preserve">was </w:t>
      </w:r>
      <w:r w:rsidR="00B7071C" w:rsidRPr="00B7071C">
        <w:rPr>
          <w:color w:val="000000"/>
        </w:rPr>
        <w:t>compliant with VASRD §4.46 (accurate measurement),</w:t>
      </w:r>
      <w:r w:rsidR="00B7071C">
        <w:rPr>
          <w:color w:val="000000"/>
        </w:rPr>
        <w:t xml:space="preserve"> unlike the VA exam which the Board agreed could not discern if the examiner was measuring a range of motions for the ankle or if dorsiflexion (DF) was in </w:t>
      </w:r>
      <w:r w:rsidR="00B7071C" w:rsidRPr="004028CA">
        <w:rPr>
          <w:rFonts w:asciiTheme="minorHAnsi" w:hAnsiTheme="minorHAnsi"/>
          <w:color w:val="000000"/>
          <w:szCs w:val="24"/>
        </w:rPr>
        <w:t xml:space="preserve">fact 0 degrees.  The Board speculated it was likely reflective of a </w:t>
      </w:r>
      <w:r w:rsidR="00941361">
        <w:rPr>
          <w:rFonts w:asciiTheme="minorHAnsi" w:hAnsiTheme="minorHAnsi"/>
          <w:color w:val="000000"/>
          <w:szCs w:val="24"/>
        </w:rPr>
        <w:t>ROM</w:t>
      </w:r>
      <w:r w:rsidR="00B7071C" w:rsidRPr="004028CA">
        <w:rPr>
          <w:rFonts w:asciiTheme="minorHAnsi" w:hAnsiTheme="minorHAnsi"/>
          <w:color w:val="000000"/>
          <w:szCs w:val="24"/>
        </w:rPr>
        <w:t xml:space="preserve"> as the VA rating decision cit</w:t>
      </w:r>
      <w:r w:rsidR="00B7071C" w:rsidRPr="004028CA">
        <w:rPr>
          <w:rFonts w:asciiTheme="minorHAnsi" w:hAnsiTheme="minorHAnsi"/>
          <w:color w:val="auto"/>
          <w:szCs w:val="24"/>
        </w:rPr>
        <w:t xml:space="preserve">ed moderate limitation of motion and a DF of 0 </w:t>
      </w:r>
      <w:proofErr w:type="gramStart"/>
      <w:r w:rsidR="00B7071C" w:rsidRPr="004028CA">
        <w:rPr>
          <w:rFonts w:asciiTheme="minorHAnsi" w:hAnsiTheme="minorHAnsi"/>
          <w:color w:val="auto"/>
          <w:szCs w:val="24"/>
        </w:rPr>
        <w:t>was</w:t>
      </w:r>
      <w:proofErr w:type="gramEnd"/>
      <w:r w:rsidR="00B7071C" w:rsidRPr="004028CA">
        <w:rPr>
          <w:rFonts w:asciiTheme="minorHAnsi" w:hAnsiTheme="minorHAnsi"/>
          <w:color w:val="auto"/>
          <w:szCs w:val="24"/>
        </w:rPr>
        <w:t xml:space="preserve"> more consistent with marked limitation of motion.  Additionally</w:t>
      </w:r>
      <w:r w:rsidR="00C6794A" w:rsidRPr="004028CA">
        <w:rPr>
          <w:rFonts w:asciiTheme="minorHAnsi" w:hAnsiTheme="minorHAnsi"/>
          <w:color w:val="auto"/>
          <w:szCs w:val="24"/>
        </w:rPr>
        <w:t>,</w:t>
      </w:r>
      <w:r w:rsidR="00B7071C" w:rsidRPr="004028CA">
        <w:rPr>
          <w:rFonts w:asciiTheme="minorHAnsi" w:hAnsiTheme="minorHAnsi"/>
          <w:color w:val="auto"/>
          <w:szCs w:val="24"/>
        </w:rPr>
        <w:t xml:space="preserve"> the MEB measurements are consistent with corroborating evidence; the MEB measurements are consistent with the diagnostic and clinical pathology in evidence; there is not a reasonable accounting for progressively impaired ROM in the fairly short interval between the MEB and VA examinations; </w:t>
      </w:r>
      <w:r w:rsidR="00C6794A" w:rsidRPr="004028CA">
        <w:rPr>
          <w:rFonts w:asciiTheme="minorHAnsi" w:hAnsiTheme="minorHAnsi"/>
          <w:color w:val="auto"/>
          <w:szCs w:val="24"/>
        </w:rPr>
        <w:t>t</w:t>
      </w:r>
      <w:r w:rsidR="00B7071C" w:rsidRPr="004028CA">
        <w:rPr>
          <w:rFonts w:asciiTheme="minorHAnsi" w:hAnsiTheme="minorHAnsi"/>
          <w:color w:val="auto"/>
          <w:szCs w:val="24"/>
        </w:rPr>
        <w:t xml:space="preserve">herefore, based on all evidence and associated conclusions just elaborated, the Board is </w:t>
      </w:r>
      <w:r w:rsidR="00B7071C" w:rsidRPr="004028CA">
        <w:rPr>
          <w:rFonts w:asciiTheme="minorHAnsi" w:hAnsiTheme="minorHAnsi"/>
          <w:color w:val="auto"/>
          <w:szCs w:val="24"/>
        </w:rPr>
        <w:lastRenderedPageBreak/>
        <w:t>assigning preponderant probative value to the MEB evaluation.</w:t>
      </w:r>
      <w:r w:rsidR="00B7071C">
        <w:rPr>
          <w:sz w:val="23"/>
          <w:szCs w:val="23"/>
        </w:rPr>
        <w:t xml:space="preserve"> </w:t>
      </w:r>
      <w:r w:rsidR="00B7071C">
        <w:rPr>
          <w:color w:val="000000"/>
        </w:rPr>
        <w:t xml:space="preserve"> </w:t>
      </w:r>
      <w:r w:rsidR="00C6794A" w:rsidRPr="0010372D">
        <w:rPr>
          <w:rFonts w:cs="Times New Roman"/>
          <w:color w:val="auto"/>
        </w:rPr>
        <w:t>The PEB and VA chose different coding options for the condition, but this did not bear on rating</w:t>
      </w:r>
      <w:r w:rsidR="002C0273" w:rsidRPr="00E06DBF">
        <w:rPr>
          <w:rFonts w:cs="Times New Roman"/>
          <w:color w:val="auto"/>
        </w:rPr>
        <w:t xml:space="preserve">.  </w:t>
      </w:r>
      <w:r w:rsidR="00C6794A" w:rsidRPr="00E06DBF">
        <w:rPr>
          <w:rFonts w:cs="Times New Roman"/>
          <w:color w:val="auto"/>
        </w:rPr>
        <w:t>The PEB’s chosen code 5003 (</w:t>
      </w:r>
      <w:r w:rsidR="00C6794A" w:rsidRPr="00E06DBF">
        <w:rPr>
          <w:rFonts w:asciiTheme="minorHAnsi" w:hAnsiTheme="minorHAnsi"/>
          <w:color w:val="000000" w:themeColor="text1"/>
          <w:szCs w:val="24"/>
        </w:rPr>
        <w:t>arthritis, degenerative)</w:t>
      </w:r>
      <w:r w:rsidR="00C6794A" w:rsidRPr="00E06DBF">
        <w:rPr>
          <w:rFonts w:asciiTheme="minorHAnsi" w:hAnsiTheme="minorHAnsi" w:cs="Times New Roman"/>
          <w:color w:val="auto"/>
          <w:szCs w:val="24"/>
        </w:rPr>
        <w:t xml:space="preserve"> specifies that, in the presence of degenerative arthritis established by X-ray findings, when “the limitation of motion of the specific joint or joints involved is noncompensable under the appropriate diagnostic codes, a rating of 10 pct is for application for each such major joint or group of minor joints affected by limitation of motion, to be combined, not added under diagnostic code 5003.  Limitation of motion must be objectively confirmed by findings such as swelling, muscle spasm, or satisfactory evidence of painful motion.”  </w:t>
      </w:r>
      <w:r w:rsidR="004028CA" w:rsidRPr="00E06DBF">
        <w:rPr>
          <w:rFonts w:asciiTheme="minorHAnsi" w:hAnsiTheme="minorHAnsi" w:cs="Times New Roman"/>
          <w:color w:val="auto"/>
          <w:szCs w:val="24"/>
        </w:rPr>
        <w:t xml:space="preserve">The PEB further clarified their decision and stated “rated on arthritis as two major joints have positive x-ray findings and to rate on decreased range of motion of the left ankle separately would be pyramiding.”  The Board agreed </w:t>
      </w:r>
      <w:r w:rsidR="00C6794A" w:rsidRPr="00E06DBF">
        <w:rPr>
          <w:rFonts w:asciiTheme="minorHAnsi" w:hAnsiTheme="minorHAnsi" w:cs="Times New Roman"/>
          <w:color w:val="auto"/>
          <w:szCs w:val="24"/>
        </w:rPr>
        <w:t>there is adequate documentation of degenerative arthritis in the pre-separation data to merit application of a minimal compensable rating</w:t>
      </w:r>
      <w:r w:rsidR="004028CA" w:rsidRPr="00E06DBF">
        <w:rPr>
          <w:rFonts w:asciiTheme="minorHAnsi" w:hAnsiTheme="minorHAnsi" w:cs="Times New Roman"/>
          <w:color w:val="auto"/>
          <w:szCs w:val="24"/>
        </w:rPr>
        <w:t xml:space="preserve"> under this code of 10%, and a maximum of 20% if the evidence reflects occasional </w:t>
      </w:r>
      <w:proofErr w:type="spellStart"/>
      <w:r w:rsidR="004028CA" w:rsidRPr="00E06DBF">
        <w:rPr>
          <w:rFonts w:asciiTheme="minorHAnsi" w:hAnsiTheme="minorHAnsi" w:cs="Times New Roman"/>
          <w:color w:val="auto"/>
          <w:szCs w:val="24"/>
        </w:rPr>
        <w:t>incapacitationing</w:t>
      </w:r>
      <w:proofErr w:type="spellEnd"/>
      <w:r w:rsidR="004028CA" w:rsidRPr="00E06DBF">
        <w:rPr>
          <w:rFonts w:asciiTheme="minorHAnsi" w:hAnsiTheme="minorHAnsi" w:cs="Times New Roman"/>
          <w:color w:val="auto"/>
          <w:szCs w:val="24"/>
        </w:rPr>
        <w:t xml:space="preserve"> episodes</w:t>
      </w:r>
      <w:r w:rsidR="00941361">
        <w:rPr>
          <w:rFonts w:asciiTheme="minorHAnsi" w:hAnsiTheme="minorHAnsi" w:cs="Times New Roman"/>
          <w:color w:val="auto"/>
          <w:szCs w:val="24"/>
        </w:rPr>
        <w:t>.</w:t>
      </w:r>
      <w:r w:rsidR="004028CA" w:rsidRPr="00E06DBF">
        <w:rPr>
          <w:rFonts w:asciiTheme="minorHAnsi" w:hAnsiTheme="minorHAnsi" w:cs="Times New Roman"/>
          <w:color w:val="auto"/>
          <w:szCs w:val="24"/>
        </w:rPr>
        <w:t xml:space="preserve"> </w:t>
      </w:r>
      <w:r w:rsidR="00F656A5" w:rsidRPr="00E06DBF">
        <w:rPr>
          <w:rFonts w:asciiTheme="minorHAnsi" w:hAnsiTheme="minorHAnsi" w:cs="Times New Roman"/>
          <w:color w:val="auto"/>
          <w:szCs w:val="24"/>
        </w:rPr>
        <w:t xml:space="preserve"> </w:t>
      </w:r>
      <w:r w:rsidR="002C0273" w:rsidRPr="00E06DBF">
        <w:rPr>
          <w:rFonts w:asciiTheme="minorHAnsi" w:hAnsiTheme="minorHAnsi" w:cs="Times New Roman"/>
          <w:color w:val="auto"/>
          <w:szCs w:val="24"/>
        </w:rPr>
        <w:t>The Board</w:t>
      </w:r>
      <w:r w:rsidR="004028CA" w:rsidRPr="00E06DBF">
        <w:rPr>
          <w:rFonts w:asciiTheme="minorHAnsi" w:hAnsiTheme="minorHAnsi" w:cs="Times New Roman"/>
          <w:color w:val="auto"/>
          <w:szCs w:val="24"/>
        </w:rPr>
        <w:t xml:space="preserve"> agreed the PEBs 20% rating was likely an erroneous </w:t>
      </w:r>
      <w:r w:rsidR="00F656A5" w:rsidRPr="00E06DBF">
        <w:rPr>
          <w:rFonts w:asciiTheme="minorHAnsi" w:hAnsiTheme="minorHAnsi" w:cs="Times New Roman"/>
          <w:color w:val="auto"/>
          <w:szCs w:val="24"/>
        </w:rPr>
        <w:t xml:space="preserve">misapplication of this code </w:t>
      </w:r>
      <w:r w:rsidR="004028CA" w:rsidRPr="00E06DBF">
        <w:rPr>
          <w:rFonts w:asciiTheme="minorHAnsi" w:hAnsiTheme="minorHAnsi" w:cs="Times New Roman"/>
          <w:color w:val="auto"/>
          <w:szCs w:val="24"/>
        </w:rPr>
        <w:t>as the evidence does not reflect incapacitations</w:t>
      </w:r>
      <w:r w:rsidR="00F656A5" w:rsidRPr="00E06DBF">
        <w:rPr>
          <w:rFonts w:asciiTheme="minorHAnsi" w:hAnsiTheme="minorHAnsi" w:cs="Times New Roman"/>
          <w:color w:val="auto"/>
          <w:szCs w:val="24"/>
        </w:rPr>
        <w:t xml:space="preserve"> to allow 20%</w:t>
      </w:r>
      <w:r w:rsidR="002C0273" w:rsidRPr="00E06DBF">
        <w:rPr>
          <w:rFonts w:asciiTheme="minorHAnsi" w:hAnsiTheme="minorHAnsi" w:cs="Times New Roman"/>
          <w:color w:val="auto"/>
          <w:szCs w:val="24"/>
        </w:rPr>
        <w:t xml:space="preserve"> episodes and the evidence does reflect </w:t>
      </w:r>
      <w:r w:rsidR="004028CA" w:rsidRPr="00E06DBF">
        <w:rPr>
          <w:rFonts w:asciiTheme="minorHAnsi" w:hAnsiTheme="minorHAnsi" w:cs="Times New Roman"/>
          <w:color w:val="auto"/>
          <w:szCs w:val="24"/>
        </w:rPr>
        <w:t>compensable ROM impairment of the right and left ankle</w:t>
      </w:r>
      <w:r w:rsidR="002C0273" w:rsidRPr="00E06DBF">
        <w:rPr>
          <w:rFonts w:asciiTheme="minorHAnsi" w:hAnsiTheme="minorHAnsi" w:cs="Times New Roman"/>
          <w:color w:val="auto"/>
          <w:szCs w:val="24"/>
        </w:rPr>
        <w:t>.</w:t>
      </w:r>
      <w:r w:rsidR="004028CA" w:rsidRPr="00E06DBF">
        <w:rPr>
          <w:rFonts w:asciiTheme="minorHAnsi" w:hAnsiTheme="minorHAnsi" w:cs="Times New Roman"/>
          <w:color w:val="auto"/>
          <w:szCs w:val="24"/>
        </w:rPr>
        <w:t xml:space="preserve"> </w:t>
      </w:r>
      <w:r w:rsidR="002C0273" w:rsidRPr="00E06DBF">
        <w:rPr>
          <w:rFonts w:asciiTheme="minorHAnsi" w:hAnsiTheme="minorHAnsi" w:cs="Times New Roman"/>
          <w:color w:val="auto"/>
          <w:szCs w:val="24"/>
        </w:rPr>
        <w:t xml:space="preserve"> In accordance with</w:t>
      </w:r>
      <w:r w:rsidR="004028CA" w:rsidRPr="00E06DBF">
        <w:rPr>
          <w:rFonts w:asciiTheme="minorHAnsi" w:hAnsiTheme="minorHAnsi" w:cs="Times New Roman"/>
          <w:color w:val="auto"/>
          <w:szCs w:val="24"/>
        </w:rPr>
        <w:t xml:space="preserve"> VASRD code 5003 “</w:t>
      </w:r>
      <w:r w:rsidR="00941361">
        <w:rPr>
          <w:color w:val="auto"/>
          <w:szCs w:val="24"/>
        </w:rPr>
        <w:t>d</w:t>
      </w:r>
      <w:r w:rsidR="004028CA" w:rsidRPr="00E06DBF">
        <w:rPr>
          <w:color w:val="auto"/>
          <w:szCs w:val="24"/>
        </w:rPr>
        <w:t xml:space="preserve">egenerative arthritis established by X-ray findings will be rated on the basis of limitation of motion under the appropriate diagnostic codes for the specific joint or joints involved.” </w:t>
      </w:r>
      <w:r w:rsidR="002C0273" w:rsidRPr="00E06DBF">
        <w:rPr>
          <w:color w:val="auto"/>
          <w:szCs w:val="24"/>
        </w:rPr>
        <w:t xml:space="preserve"> </w:t>
      </w:r>
      <w:r w:rsidR="00C6794A" w:rsidRPr="00E06DBF">
        <w:rPr>
          <w:rFonts w:asciiTheme="minorHAnsi" w:hAnsiTheme="minorHAnsi" w:cs="Times New Roman"/>
          <w:color w:val="auto"/>
          <w:szCs w:val="24"/>
        </w:rPr>
        <w:t>The</w:t>
      </w:r>
      <w:r w:rsidR="002C0273" w:rsidRPr="00E06DBF">
        <w:rPr>
          <w:rFonts w:asciiTheme="minorHAnsi" w:hAnsiTheme="minorHAnsi" w:cs="Times New Roman"/>
          <w:color w:val="auto"/>
          <w:szCs w:val="24"/>
        </w:rPr>
        <w:t>refore</w:t>
      </w:r>
      <w:r w:rsidR="00F656A5" w:rsidRPr="00E06DBF">
        <w:rPr>
          <w:rFonts w:asciiTheme="minorHAnsi" w:hAnsiTheme="minorHAnsi" w:cs="Times New Roman"/>
          <w:color w:val="auto"/>
          <w:szCs w:val="24"/>
        </w:rPr>
        <w:t>,</w:t>
      </w:r>
      <w:r w:rsidR="002C0273" w:rsidRPr="00E06DBF">
        <w:rPr>
          <w:rFonts w:asciiTheme="minorHAnsi" w:hAnsiTheme="minorHAnsi" w:cs="Times New Roman"/>
          <w:color w:val="auto"/>
          <w:szCs w:val="24"/>
        </w:rPr>
        <w:t xml:space="preserve"> the</w:t>
      </w:r>
      <w:r w:rsidR="00C6794A" w:rsidRPr="00E06DBF">
        <w:rPr>
          <w:rFonts w:asciiTheme="minorHAnsi" w:hAnsiTheme="minorHAnsi" w:cs="Times New Roman"/>
          <w:color w:val="auto"/>
          <w:szCs w:val="24"/>
        </w:rPr>
        <w:t xml:space="preserve"> Board considered the VA choice of coding the left ankle to </w:t>
      </w:r>
      <w:r w:rsidR="00941361">
        <w:rPr>
          <w:rFonts w:asciiTheme="minorHAnsi" w:hAnsiTheme="minorHAnsi" w:cs="Times New Roman"/>
          <w:color w:val="auto"/>
          <w:szCs w:val="24"/>
        </w:rPr>
        <w:t xml:space="preserve">code </w:t>
      </w:r>
      <w:r w:rsidR="00C6794A" w:rsidRPr="00E06DBF">
        <w:rPr>
          <w:rFonts w:asciiTheme="minorHAnsi" w:hAnsiTheme="minorHAnsi" w:cs="Times New Roman"/>
          <w:color w:val="auto"/>
          <w:szCs w:val="24"/>
        </w:rPr>
        <w:t xml:space="preserve">5271 (Ankle, limited motion of) and the right ankle analogous </w:t>
      </w:r>
      <w:r w:rsidR="00941361">
        <w:rPr>
          <w:rFonts w:asciiTheme="minorHAnsi" w:hAnsiTheme="minorHAnsi" w:cs="Times New Roman"/>
          <w:color w:val="auto"/>
          <w:szCs w:val="24"/>
        </w:rPr>
        <w:t xml:space="preserve">code </w:t>
      </w:r>
      <w:r w:rsidR="00C6794A" w:rsidRPr="00E06DBF">
        <w:rPr>
          <w:rFonts w:asciiTheme="minorHAnsi" w:hAnsiTheme="minorHAnsi" w:cs="Times New Roman"/>
          <w:color w:val="auto"/>
          <w:szCs w:val="24"/>
        </w:rPr>
        <w:t>5010 (</w:t>
      </w:r>
      <w:r w:rsidR="00C6794A" w:rsidRPr="00E06DBF">
        <w:rPr>
          <w:color w:val="auto"/>
          <w:szCs w:val="24"/>
        </w:rPr>
        <w:t xml:space="preserve">Arthritis, due to trauma) </w:t>
      </w:r>
      <w:r w:rsidR="00C6794A" w:rsidRPr="00E06DBF">
        <w:rPr>
          <w:rFonts w:asciiTheme="minorHAnsi" w:hAnsiTheme="minorHAnsi" w:cs="Times New Roman"/>
          <w:color w:val="auto"/>
          <w:szCs w:val="24"/>
        </w:rPr>
        <w:t xml:space="preserve">to </w:t>
      </w:r>
      <w:r w:rsidR="00941361">
        <w:rPr>
          <w:rFonts w:asciiTheme="minorHAnsi" w:hAnsiTheme="minorHAnsi" w:cs="Times New Roman"/>
          <w:color w:val="auto"/>
          <w:szCs w:val="24"/>
        </w:rPr>
        <w:t xml:space="preserve">code </w:t>
      </w:r>
      <w:r w:rsidR="00C6794A" w:rsidRPr="00E06DBF">
        <w:rPr>
          <w:rFonts w:asciiTheme="minorHAnsi" w:hAnsiTheme="minorHAnsi" w:cs="Times New Roman"/>
          <w:color w:val="auto"/>
          <w:szCs w:val="24"/>
        </w:rPr>
        <w:t>5271</w:t>
      </w:r>
      <w:r w:rsidR="002C0273" w:rsidRPr="00E06DBF">
        <w:rPr>
          <w:rFonts w:asciiTheme="minorHAnsi" w:hAnsiTheme="minorHAnsi" w:cs="Times New Roman"/>
          <w:color w:val="auto"/>
          <w:szCs w:val="24"/>
        </w:rPr>
        <w:t xml:space="preserve">. </w:t>
      </w:r>
      <w:r w:rsidR="00C6794A" w:rsidRPr="00E06DBF">
        <w:rPr>
          <w:rFonts w:asciiTheme="minorHAnsi" w:hAnsiTheme="minorHAnsi" w:cs="Times New Roman"/>
          <w:color w:val="auto"/>
          <w:szCs w:val="24"/>
        </w:rPr>
        <w:t xml:space="preserve"> </w:t>
      </w:r>
      <w:r w:rsidR="002C0273" w:rsidRPr="00E06DBF">
        <w:rPr>
          <w:rFonts w:asciiTheme="minorHAnsi" w:hAnsiTheme="minorHAnsi" w:cs="Times New Roman"/>
          <w:color w:val="auto"/>
          <w:szCs w:val="24"/>
        </w:rPr>
        <w:t>T</w:t>
      </w:r>
      <w:r w:rsidR="00C6794A" w:rsidRPr="00E06DBF">
        <w:rPr>
          <w:rFonts w:asciiTheme="minorHAnsi" w:hAnsiTheme="minorHAnsi" w:cs="Times New Roman"/>
          <w:color w:val="auto"/>
          <w:szCs w:val="24"/>
        </w:rPr>
        <w:t>his code allow</w:t>
      </w:r>
      <w:r w:rsidR="002C0273" w:rsidRPr="00E06DBF">
        <w:rPr>
          <w:rFonts w:asciiTheme="minorHAnsi" w:hAnsiTheme="minorHAnsi" w:cs="Times New Roman"/>
          <w:color w:val="auto"/>
          <w:szCs w:val="24"/>
        </w:rPr>
        <w:t>s for a 10% rating for moderate limitation of motion</w:t>
      </w:r>
      <w:r w:rsidR="00C6794A" w:rsidRPr="00E06DBF">
        <w:rPr>
          <w:rFonts w:asciiTheme="minorHAnsi" w:hAnsiTheme="minorHAnsi" w:cs="Times New Roman"/>
          <w:color w:val="auto"/>
          <w:szCs w:val="24"/>
        </w:rPr>
        <w:t xml:space="preserve"> </w:t>
      </w:r>
      <w:r w:rsidR="002C0273" w:rsidRPr="00E06DBF">
        <w:rPr>
          <w:rFonts w:asciiTheme="minorHAnsi" w:hAnsiTheme="minorHAnsi" w:cs="Times New Roman"/>
          <w:color w:val="auto"/>
          <w:szCs w:val="24"/>
        </w:rPr>
        <w:t>and a maximum of</w:t>
      </w:r>
      <w:r w:rsidR="00C6794A" w:rsidRPr="00E06DBF">
        <w:rPr>
          <w:rFonts w:asciiTheme="minorHAnsi" w:hAnsiTheme="minorHAnsi" w:cs="Times New Roman"/>
          <w:color w:val="auto"/>
          <w:szCs w:val="24"/>
        </w:rPr>
        <w:t xml:space="preserve"> 20%</w:t>
      </w:r>
      <w:r w:rsidR="004028CA" w:rsidRPr="00E06DBF">
        <w:rPr>
          <w:rFonts w:asciiTheme="minorHAnsi" w:hAnsiTheme="minorHAnsi" w:cs="Times New Roman"/>
          <w:color w:val="auto"/>
          <w:szCs w:val="24"/>
        </w:rPr>
        <w:t xml:space="preserve"> with marked limitation of motion</w:t>
      </w:r>
      <w:r w:rsidR="00C6794A" w:rsidRPr="00E06DBF">
        <w:rPr>
          <w:rFonts w:asciiTheme="minorHAnsi" w:hAnsiTheme="minorHAnsi" w:cs="Times New Roman"/>
          <w:color w:val="auto"/>
          <w:szCs w:val="24"/>
        </w:rPr>
        <w:t xml:space="preserve">.  </w:t>
      </w:r>
    </w:p>
    <w:p w:rsidR="00941361" w:rsidRDefault="00941361" w:rsidP="00BC0A0A">
      <w:pPr>
        <w:tabs>
          <w:tab w:val="left" w:pos="288"/>
          <w:tab w:val="left" w:pos="4752"/>
        </w:tabs>
        <w:jc w:val="both"/>
        <w:rPr>
          <w:rFonts w:asciiTheme="minorHAnsi" w:hAnsiTheme="minorHAnsi" w:cs="Times New Roman"/>
          <w:color w:val="auto"/>
          <w:szCs w:val="24"/>
        </w:rPr>
      </w:pPr>
    </w:p>
    <w:p w:rsidR="00BC0A0A" w:rsidRPr="004028CA" w:rsidRDefault="00C6794A" w:rsidP="00BC0A0A">
      <w:pPr>
        <w:tabs>
          <w:tab w:val="left" w:pos="288"/>
          <w:tab w:val="left" w:pos="4752"/>
        </w:tabs>
        <w:jc w:val="both"/>
        <w:rPr>
          <w:rFonts w:asciiTheme="minorHAnsi" w:hAnsiTheme="minorHAnsi" w:cs="Times New Roman"/>
          <w:color w:val="auto"/>
          <w:szCs w:val="24"/>
        </w:rPr>
      </w:pPr>
      <w:r w:rsidRPr="00E06DBF">
        <w:rPr>
          <w:rFonts w:asciiTheme="minorHAnsi" w:hAnsiTheme="minorHAnsi" w:cs="Times New Roman"/>
          <w:color w:val="auto"/>
          <w:szCs w:val="24"/>
        </w:rPr>
        <w:t>The VA</w:t>
      </w:r>
      <w:r w:rsidR="004028CA" w:rsidRPr="00E06DBF">
        <w:rPr>
          <w:rFonts w:asciiTheme="minorHAnsi" w:hAnsiTheme="minorHAnsi" w:cs="Times New Roman"/>
          <w:color w:val="auto"/>
          <w:szCs w:val="24"/>
        </w:rPr>
        <w:t xml:space="preserve"> </w:t>
      </w:r>
      <w:r w:rsidRPr="00E06DBF">
        <w:rPr>
          <w:rFonts w:asciiTheme="minorHAnsi" w:hAnsiTheme="minorHAnsi" w:cs="Times New Roman"/>
          <w:color w:val="auto"/>
          <w:szCs w:val="24"/>
        </w:rPr>
        <w:t>cited</w:t>
      </w:r>
      <w:r w:rsidRPr="002C0273">
        <w:rPr>
          <w:rFonts w:asciiTheme="minorHAnsi" w:hAnsiTheme="minorHAnsi" w:cs="Times New Roman"/>
          <w:color w:val="auto"/>
          <w:szCs w:val="24"/>
        </w:rPr>
        <w:t xml:space="preserve"> moderate limitation of motion</w:t>
      </w:r>
      <w:r w:rsidR="007F631A" w:rsidRPr="002C0273">
        <w:rPr>
          <w:rFonts w:asciiTheme="minorHAnsi" w:hAnsiTheme="minorHAnsi" w:cs="Times New Roman"/>
          <w:color w:val="auto"/>
          <w:szCs w:val="24"/>
        </w:rPr>
        <w:t xml:space="preserve"> an</w:t>
      </w:r>
      <w:r w:rsidRPr="002C0273">
        <w:rPr>
          <w:rFonts w:asciiTheme="minorHAnsi" w:hAnsiTheme="minorHAnsi" w:cs="Times New Roman"/>
          <w:color w:val="auto"/>
          <w:szCs w:val="24"/>
        </w:rPr>
        <w:t>d degener</w:t>
      </w:r>
      <w:r w:rsidR="004028CA" w:rsidRPr="002C0273">
        <w:rPr>
          <w:rFonts w:asciiTheme="minorHAnsi" w:hAnsiTheme="minorHAnsi" w:cs="Times New Roman"/>
          <w:color w:val="auto"/>
          <w:szCs w:val="24"/>
        </w:rPr>
        <w:t>ative arthritis for both ankles</w:t>
      </w:r>
      <w:r w:rsidRPr="002C0273">
        <w:rPr>
          <w:rFonts w:asciiTheme="minorHAnsi" w:hAnsiTheme="minorHAnsi" w:cs="Times New Roman"/>
          <w:color w:val="auto"/>
          <w:szCs w:val="24"/>
        </w:rPr>
        <w:t xml:space="preserve"> and in addition cited continued instability following attempted surgical repair of the right ankle.  </w:t>
      </w:r>
      <w:r w:rsidRPr="00E06DBF">
        <w:rPr>
          <w:rFonts w:asciiTheme="minorHAnsi" w:hAnsiTheme="minorHAnsi" w:cs="Times New Roman"/>
          <w:color w:val="auto"/>
          <w:szCs w:val="24"/>
        </w:rPr>
        <w:t>The Board agreed the evidence reflects a moderate pain scale</w:t>
      </w:r>
      <w:r w:rsidR="006F5D46" w:rsidRPr="00E06DBF">
        <w:rPr>
          <w:rFonts w:asciiTheme="minorHAnsi" w:hAnsiTheme="minorHAnsi" w:cs="Times New Roman"/>
          <w:color w:val="auto"/>
          <w:szCs w:val="24"/>
        </w:rPr>
        <w:t>,</w:t>
      </w:r>
      <w:r w:rsidRPr="00E06DBF">
        <w:rPr>
          <w:rFonts w:asciiTheme="minorHAnsi" w:hAnsiTheme="minorHAnsi" w:cs="Times New Roman"/>
          <w:color w:val="auto"/>
          <w:szCs w:val="24"/>
        </w:rPr>
        <w:t xml:space="preserve"> moderate limitation of motion for both ankles</w:t>
      </w:r>
      <w:r w:rsidR="006F5D46" w:rsidRPr="00E06DBF">
        <w:rPr>
          <w:rFonts w:asciiTheme="minorHAnsi" w:hAnsiTheme="minorHAnsi" w:cs="Times New Roman"/>
          <w:color w:val="auto"/>
          <w:szCs w:val="24"/>
        </w:rPr>
        <w:t xml:space="preserve"> and degenerative arthritis</w:t>
      </w:r>
      <w:r w:rsidRPr="00E06DBF">
        <w:rPr>
          <w:rFonts w:asciiTheme="minorHAnsi" w:hAnsiTheme="minorHAnsi" w:cs="Times New Roman"/>
          <w:color w:val="auto"/>
          <w:szCs w:val="24"/>
        </w:rPr>
        <w:t xml:space="preserve"> with regards to the MEB exam and does not approach the marked impairment</w:t>
      </w:r>
      <w:r w:rsidR="004028CA" w:rsidRPr="00E06DBF">
        <w:rPr>
          <w:rFonts w:asciiTheme="minorHAnsi" w:hAnsiTheme="minorHAnsi" w:cs="Times New Roman"/>
          <w:color w:val="auto"/>
          <w:szCs w:val="24"/>
        </w:rPr>
        <w:t xml:space="preserve"> for the </w:t>
      </w:r>
      <w:r w:rsidR="006F5D46" w:rsidRPr="00E06DBF">
        <w:rPr>
          <w:rFonts w:asciiTheme="minorHAnsi" w:hAnsiTheme="minorHAnsi" w:cs="Times New Roman"/>
          <w:color w:val="auto"/>
          <w:szCs w:val="24"/>
        </w:rPr>
        <w:t>maximal</w:t>
      </w:r>
      <w:r w:rsidR="004028CA" w:rsidRPr="00E06DBF">
        <w:rPr>
          <w:rFonts w:asciiTheme="minorHAnsi" w:hAnsiTheme="minorHAnsi" w:cs="Times New Roman"/>
          <w:color w:val="auto"/>
          <w:szCs w:val="24"/>
        </w:rPr>
        <w:t xml:space="preserve"> rating</w:t>
      </w:r>
      <w:r w:rsidRPr="00E06DBF">
        <w:rPr>
          <w:rFonts w:asciiTheme="minorHAnsi" w:hAnsiTheme="minorHAnsi" w:cs="Times New Roman"/>
          <w:color w:val="auto"/>
          <w:szCs w:val="24"/>
        </w:rPr>
        <w:t xml:space="preserve">.  </w:t>
      </w:r>
      <w:r w:rsidR="004028CA" w:rsidRPr="00E06DBF">
        <w:rPr>
          <w:rFonts w:asciiTheme="minorHAnsi" w:hAnsiTheme="minorHAnsi" w:cs="Times New Roman"/>
          <w:color w:val="auto"/>
          <w:szCs w:val="24"/>
        </w:rPr>
        <w:t xml:space="preserve">There was no viable approach to a higher rating for the right or left ankle which was countenanced by the VASRD.  </w:t>
      </w:r>
      <w:r w:rsidR="004028CA" w:rsidRPr="00E06DBF">
        <w:rPr>
          <w:rFonts w:asciiTheme="minorHAnsi" w:hAnsiTheme="minorHAnsi"/>
          <w:color w:val="auto"/>
        </w:rPr>
        <w:t xml:space="preserve">After due deliberation in consideration of the totality of the evidence, the Board concluded that there is no VASRD basis for recommending a higher rating than the 20% conferred by the PEB in this case.  In regards to the bilateral ankle condition combined under a single </w:t>
      </w:r>
      <w:r w:rsidR="00941361">
        <w:rPr>
          <w:rFonts w:asciiTheme="minorHAnsi" w:hAnsiTheme="minorHAnsi"/>
          <w:color w:val="auto"/>
        </w:rPr>
        <w:t xml:space="preserve">code </w:t>
      </w:r>
      <w:r w:rsidR="004028CA" w:rsidRPr="00E06DBF">
        <w:rPr>
          <w:rFonts w:asciiTheme="minorHAnsi" w:hAnsiTheme="minorHAnsi"/>
          <w:color w:val="auto"/>
        </w:rPr>
        <w:t xml:space="preserve">5003 rating by the PEB, the Board recommends individual ratings to maintain compliance with the DoDI 6040.44 requirement for strict adherence to the VASRD, as there was a </w:t>
      </w:r>
      <w:r w:rsidR="002C0273" w:rsidRPr="00E06DBF">
        <w:rPr>
          <w:rFonts w:asciiTheme="minorHAnsi" w:hAnsiTheme="minorHAnsi"/>
          <w:color w:val="auto"/>
        </w:rPr>
        <w:t xml:space="preserve">VASRD code misapplication error </w:t>
      </w:r>
      <w:r w:rsidR="004028CA" w:rsidRPr="00E06DBF">
        <w:rPr>
          <w:rFonts w:asciiTheme="minorHAnsi" w:hAnsiTheme="minorHAnsi"/>
          <w:color w:val="auto"/>
        </w:rPr>
        <w:t>by the PEB</w:t>
      </w:r>
      <w:r w:rsidRPr="00E06DBF">
        <w:rPr>
          <w:rFonts w:eastAsia="Calibri" w:cs="Times New Roman"/>
          <w:color w:val="auto"/>
          <w:szCs w:val="24"/>
        </w:rPr>
        <w:t>.</w:t>
      </w:r>
      <w:r w:rsidRPr="002C0273">
        <w:rPr>
          <w:rFonts w:eastAsia="Calibri" w:cs="Times New Roman"/>
          <w:color w:val="auto"/>
          <w:szCs w:val="24"/>
        </w:rPr>
        <w:t xml:space="preserve">  </w:t>
      </w:r>
    </w:p>
    <w:p w:rsidR="00BC0A0A" w:rsidRPr="001F29F9" w:rsidRDefault="00BC0A0A" w:rsidP="00BC0A0A">
      <w:pPr>
        <w:pBdr>
          <w:bottom w:val="single" w:sz="12" w:space="1" w:color="auto"/>
        </w:pBdr>
        <w:tabs>
          <w:tab w:val="left" w:pos="288"/>
          <w:tab w:val="left" w:pos="4752"/>
        </w:tabs>
        <w:jc w:val="both"/>
        <w:rPr>
          <w:color w:val="000000" w:themeColor="text1"/>
        </w:rPr>
      </w:pPr>
    </w:p>
    <w:p w:rsidR="00BC0A0A" w:rsidRPr="001F29F9" w:rsidRDefault="00BC0A0A" w:rsidP="00BC0A0A">
      <w:pPr>
        <w:jc w:val="left"/>
        <w:rPr>
          <w:color w:val="000000" w:themeColor="text1"/>
          <w:szCs w:val="24"/>
        </w:rPr>
      </w:pPr>
    </w:p>
    <w:p w:rsidR="007F631A" w:rsidRPr="00F64312" w:rsidRDefault="00C56FC8" w:rsidP="007F631A">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C0A0A" w:rsidRPr="00BC0A0A">
        <w:rPr>
          <w:rFonts w:cs="Times New Roman"/>
          <w:color w:val="auto"/>
        </w:rPr>
        <w:t xml:space="preserve"> </w:t>
      </w:r>
      <w:r w:rsidR="00BC0A0A">
        <w:rPr>
          <w:rFonts w:cs="Times New Roman"/>
          <w:color w:val="auto"/>
        </w:rPr>
        <w:t xml:space="preserve"> </w:t>
      </w:r>
      <w:r w:rsidR="00BC0A0A" w:rsidRPr="00F64312">
        <w:rPr>
          <w:rFonts w:eastAsia="Calibri" w:cs="Times New Roman"/>
          <w:color w:val="auto"/>
          <w:szCs w:val="24"/>
        </w:rPr>
        <w:t xml:space="preserve">In the matter of the </w:t>
      </w:r>
      <w:r w:rsidR="00EC5B84">
        <w:rPr>
          <w:rFonts w:eastAsia="Calibri" w:cs="Times New Roman"/>
          <w:color w:val="auto"/>
          <w:szCs w:val="24"/>
        </w:rPr>
        <w:t>bilateral ankle</w:t>
      </w:r>
      <w:r w:rsidR="00BC0A0A" w:rsidRPr="00F64312">
        <w:rPr>
          <w:rFonts w:eastAsia="Calibri" w:cs="Times New Roman"/>
          <w:color w:val="auto"/>
          <w:szCs w:val="24"/>
        </w:rPr>
        <w:t xml:space="preserve"> condition and IAW VASRD </w:t>
      </w:r>
      <w:r w:rsidR="00BC0A0A" w:rsidRPr="00E06DBF">
        <w:rPr>
          <w:rFonts w:eastAsia="Calibri" w:cs="Times New Roman"/>
          <w:color w:val="auto"/>
          <w:szCs w:val="24"/>
        </w:rPr>
        <w:t xml:space="preserve">§4.71a, the Board unanimously recommends no change in the PEB </w:t>
      </w:r>
      <w:r w:rsidR="002C0273" w:rsidRPr="00E06DBF">
        <w:rPr>
          <w:rFonts w:eastAsia="Calibri" w:cs="Times New Roman"/>
          <w:color w:val="auto"/>
          <w:szCs w:val="24"/>
        </w:rPr>
        <w:t xml:space="preserve">20% rating </w:t>
      </w:r>
      <w:r w:rsidR="00BC0A0A" w:rsidRPr="00E06DBF">
        <w:rPr>
          <w:rFonts w:eastAsia="Calibri" w:cs="Times New Roman"/>
          <w:color w:val="auto"/>
          <w:szCs w:val="24"/>
        </w:rPr>
        <w:t>adjudication</w:t>
      </w:r>
      <w:r w:rsidR="002C0273" w:rsidRPr="00E06DBF">
        <w:rPr>
          <w:rFonts w:eastAsia="Calibri" w:cs="Times New Roman"/>
          <w:color w:val="auto"/>
          <w:szCs w:val="24"/>
        </w:rPr>
        <w:t xml:space="preserve">, however the Board recommends </w:t>
      </w:r>
      <w:r w:rsidR="006F5D46" w:rsidRPr="00E06DBF">
        <w:rPr>
          <w:rFonts w:eastAsia="Calibri" w:cs="Times New Roman"/>
          <w:color w:val="auto"/>
          <w:szCs w:val="24"/>
        </w:rPr>
        <w:t>the right</w:t>
      </w:r>
      <w:r w:rsidR="002C0273" w:rsidRPr="00E06DBF">
        <w:rPr>
          <w:rFonts w:eastAsia="Calibri" w:cs="Times New Roman"/>
          <w:color w:val="auto"/>
          <w:szCs w:val="24"/>
        </w:rPr>
        <w:t xml:space="preserve"> ankle be coded 5010-5271</w:t>
      </w:r>
      <w:r w:rsidR="006F5D46" w:rsidRPr="00E06DBF">
        <w:rPr>
          <w:rFonts w:eastAsia="Calibri" w:cs="Times New Roman"/>
          <w:color w:val="auto"/>
          <w:szCs w:val="24"/>
        </w:rPr>
        <w:t xml:space="preserve"> and the left ankle be coded 5271 </w:t>
      </w:r>
      <w:r w:rsidR="002C0273" w:rsidRPr="00E06DBF">
        <w:rPr>
          <w:rFonts w:eastAsia="Calibri" w:cs="Times New Roman"/>
          <w:color w:val="auto"/>
          <w:szCs w:val="24"/>
        </w:rPr>
        <w:t>IAW VASRD §4.71a.</w:t>
      </w:r>
      <w:r w:rsidR="002C0273" w:rsidRPr="00F64312">
        <w:rPr>
          <w:rFonts w:eastAsia="Calibri" w:cs="Times New Roman"/>
          <w:color w:val="auto"/>
          <w:szCs w:val="24"/>
        </w:rPr>
        <w:t xml:space="preserve">  </w:t>
      </w:r>
      <w:r w:rsidR="007F631A" w:rsidRPr="00F64312">
        <w:rPr>
          <w:rFonts w:eastAsia="Calibri" w:cs="Times New Roman"/>
          <w:color w:val="auto"/>
          <w:szCs w:val="24"/>
        </w:rPr>
        <w:t xml:space="preserve">There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2C0273" w:rsidRDefault="00C56FC8" w:rsidP="002C0273">
      <w:pPr>
        <w:jc w:val="both"/>
        <w:rPr>
          <w:rFonts w:eastAsia="Calibri" w:cs="Times New Roman"/>
          <w:color w:val="auto"/>
          <w:szCs w:val="24"/>
        </w:rPr>
      </w:pPr>
      <w:r w:rsidRPr="001F29F9">
        <w:rPr>
          <w:color w:val="000000" w:themeColor="text1"/>
          <w:szCs w:val="24"/>
          <w:u w:val="single"/>
        </w:rPr>
        <w:t>RECOMMENDATION</w:t>
      </w:r>
      <w:r w:rsidRPr="001F29F9">
        <w:rPr>
          <w:color w:val="000000" w:themeColor="text1"/>
          <w:szCs w:val="24"/>
        </w:rPr>
        <w:t>:</w:t>
      </w:r>
      <w:r w:rsidR="00BC0A0A">
        <w:rPr>
          <w:color w:val="000000" w:themeColor="text1"/>
        </w:rPr>
        <w:t xml:space="preserve">  </w:t>
      </w:r>
      <w:r w:rsidR="002C0273" w:rsidRPr="00F64312">
        <w:rPr>
          <w:rFonts w:eastAsia="Calibri" w:cs="Times New Roman"/>
          <w:color w:val="auto"/>
          <w:szCs w:val="24"/>
        </w:rPr>
        <w:t xml:space="preserve">The Board recommends that the CI’s prior determination be modified as follows, effective as of the date of his prior medical separation:  </w:t>
      </w:r>
    </w:p>
    <w:p w:rsidR="004101B2" w:rsidRPr="001F29F9" w:rsidRDefault="004101B2" w:rsidP="00BF0E94">
      <w:pPr>
        <w:tabs>
          <w:tab w:val="left" w:pos="288"/>
          <w:tab w:val="left" w:pos="4752"/>
        </w:tabs>
        <w:jc w:val="both"/>
        <w:rPr>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48"/>
        <w:gridCol w:w="720"/>
        <w:gridCol w:w="1530"/>
        <w:gridCol w:w="1026"/>
      </w:tblGrid>
      <w:tr w:rsidR="002C0273" w:rsidRPr="00F64312" w:rsidTr="003977F9">
        <w:trPr>
          <w:trHeight w:val="233"/>
          <w:jc w:val="center"/>
        </w:trPr>
        <w:tc>
          <w:tcPr>
            <w:tcW w:w="6768" w:type="dxa"/>
            <w:gridSpan w:val="2"/>
            <w:tcBorders>
              <w:right w:val="single" w:sz="4" w:space="0" w:color="auto"/>
            </w:tcBorders>
            <w:shd w:val="clear" w:color="auto" w:fill="D9D9D9"/>
            <w:vAlign w:val="center"/>
          </w:tcPr>
          <w:p w:rsidR="002C0273" w:rsidRPr="002C0273" w:rsidRDefault="002C0273" w:rsidP="003977F9">
            <w:pPr>
              <w:tabs>
                <w:tab w:val="left" w:pos="288"/>
                <w:tab w:val="left" w:pos="4752"/>
              </w:tabs>
              <w:rPr>
                <w:b/>
                <w:color w:val="auto"/>
              </w:rPr>
            </w:pPr>
            <w:r w:rsidRPr="002C0273">
              <w:rPr>
                <w:b/>
                <w:color w:val="auto"/>
              </w:rPr>
              <w:t>UNFITTING CONDITION</w:t>
            </w:r>
          </w:p>
        </w:tc>
        <w:tc>
          <w:tcPr>
            <w:tcW w:w="1530" w:type="dxa"/>
            <w:tcBorders>
              <w:left w:val="single" w:sz="4" w:space="0" w:color="auto"/>
            </w:tcBorders>
            <w:shd w:val="clear" w:color="auto" w:fill="D9D9D9"/>
            <w:vAlign w:val="center"/>
          </w:tcPr>
          <w:p w:rsidR="002C0273" w:rsidRPr="002C0273" w:rsidRDefault="002C0273" w:rsidP="003977F9">
            <w:pPr>
              <w:tabs>
                <w:tab w:val="left" w:pos="288"/>
                <w:tab w:val="left" w:pos="4752"/>
              </w:tabs>
              <w:rPr>
                <w:b/>
                <w:color w:val="auto"/>
              </w:rPr>
            </w:pPr>
            <w:r w:rsidRPr="002C0273">
              <w:rPr>
                <w:b/>
                <w:color w:val="auto"/>
              </w:rPr>
              <w:t>VASRD CODE</w:t>
            </w:r>
          </w:p>
        </w:tc>
        <w:tc>
          <w:tcPr>
            <w:tcW w:w="1026" w:type="dxa"/>
            <w:shd w:val="clear" w:color="auto" w:fill="D9D9D9"/>
            <w:vAlign w:val="center"/>
          </w:tcPr>
          <w:p w:rsidR="002C0273" w:rsidRPr="002C0273" w:rsidRDefault="002C0273" w:rsidP="003977F9">
            <w:pPr>
              <w:tabs>
                <w:tab w:val="left" w:pos="288"/>
                <w:tab w:val="left" w:pos="4752"/>
              </w:tabs>
              <w:rPr>
                <w:b/>
                <w:color w:val="auto"/>
              </w:rPr>
            </w:pPr>
            <w:r w:rsidRPr="002C0273">
              <w:rPr>
                <w:b/>
                <w:color w:val="auto"/>
              </w:rPr>
              <w:t>RATING</w:t>
            </w:r>
          </w:p>
        </w:tc>
      </w:tr>
      <w:tr w:rsidR="002C0273" w:rsidRPr="00F64312" w:rsidTr="003977F9">
        <w:trPr>
          <w:jc w:val="center"/>
        </w:trPr>
        <w:tc>
          <w:tcPr>
            <w:tcW w:w="6768" w:type="dxa"/>
            <w:gridSpan w:val="2"/>
            <w:tcBorders>
              <w:right w:val="single" w:sz="4" w:space="0" w:color="auto"/>
            </w:tcBorders>
            <w:vAlign w:val="center"/>
          </w:tcPr>
          <w:p w:rsidR="002C0273" w:rsidRPr="002C0273" w:rsidRDefault="002C0273" w:rsidP="003977F9">
            <w:pPr>
              <w:tabs>
                <w:tab w:val="left" w:pos="288"/>
                <w:tab w:val="left" w:pos="4752"/>
              </w:tabs>
              <w:jc w:val="left"/>
              <w:rPr>
                <w:color w:val="auto"/>
              </w:rPr>
            </w:pPr>
            <w:r w:rsidRPr="002C0273">
              <w:rPr>
                <w:color w:val="auto"/>
              </w:rPr>
              <w:lastRenderedPageBreak/>
              <w:t>Right Ankle Pain</w:t>
            </w:r>
          </w:p>
        </w:tc>
        <w:tc>
          <w:tcPr>
            <w:tcW w:w="1530" w:type="dxa"/>
            <w:tcBorders>
              <w:left w:val="single" w:sz="4" w:space="0" w:color="auto"/>
            </w:tcBorders>
            <w:vAlign w:val="center"/>
          </w:tcPr>
          <w:p w:rsidR="002C0273" w:rsidRPr="002C0273" w:rsidRDefault="002C0273" w:rsidP="003977F9">
            <w:pPr>
              <w:tabs>
                <w:tab w:val="left" w:pos="288"/>
                <w:tab w:val="left" w:pos="4752"/>
              </w:tabs>
              <w:rPr>
                <w:color w:val="auto"/>
              </w:rPr>
            </w:pPr>
            <w:r w:rsidRPr="002C0273">
              <w:rPr>
                <w:color w:val="auto"/>
              </w:rPr>
              <w:t>5010-5271</w:t>
            </w:r>
          </w:p>
        </w:tc>
        <w:tc>
          <w:tcPr>
            <w:tcW w:w="1026" w:type="dxa"/>
            <w:vAlign w:val="center"/>
          </w:tcPr>
          <w:p w:rsidR="002C0273" w:rsidRPr="002C0273" w:rsidRDefault="002C0273" w:rsidP="003977F9">
            <w:pPr>
              <w:tabs>
                <w:tab w:val="left" w:pos="288"/>
                <w:tab w:val="left" w:pos="4752"/>
              </w:tabs>
              <w:rPr>
                <w:color w:val="auto"/>
              </w:rPr>
            </w:pPr>
            <w:r w:rsidRPr="002C0273">
              <w:rPr>
                <w:color w:val="auto"/>
              </w:rPr>
              <w:t>10%</w:t>
            </w:r>
          </w:p>
        </w:tc>
      </w:tr>
      <w:tr w:rsidR="002C0273" w:rsidRPr="00F64312" w:rsidTr="003977F9">
        <w:trPr>
          <w:jc w:val="center"/>
        </w:trPr>
        <w:tc>
          <w:tcPr>
            <w:tcW w:w="6768" w:type="dxa"/>
            <w:gridSpan w:val="2"/>
            <w:tcBorders>
              <w:right w:val="single" w:sz="4" w:space="0" w:color="auto"/>
            </w:tcBorders>
            <w:vAlign w:val="center"/>
          </w:tcPr>
          <w:p w:rsidR="002C0273" w:rsidRPr="002C0273" w:rsidRDefault="002C0273" w:rsidP="003977F9">
            <w:pPr>
              <w:tabs>
                <w:tab w:val="left" w:pos="288"/>
                <w:tab w:val="left" w:pos="4752"/>
              </w:tabs>
              <w:jc w:val="left"/>
              <w:rPr>
                <w:color w:val="auto"/>
              </w:rPr>
            </w:pPr>
            <w:r w:rsidRPr="002C0273">
              <w:rPr>
                <w:color w:val="auto"/>
              </w:rPr>
              <w:t>Left Ankle Pain</w:t>
            </w:r>
          </w:p>
        </w:tc>
        <w:tc>
          <w:tcPr>
            <w:tcW w:w="1530" w:type="dxa"/>
            <w:tcBorders>
              <w:left w:val="single" w:sz="4" w:space="0" w:color="auto"/>
            </w:tcBorders>
            <w:vAlign w:val="center"/>
          </w:tcPr>
          <w:p w:rsidR="002C0273" w:rsidRPr="002C0273" w:rsidRDefault="002C0273" w:rsidP="003977F9">
            <w:pPr>
              <w:tabs>
                <w:tab w:val="left" w:pos="288"/>
                <w:tab w:val="left" w:pos="4752"/>
              </w:tabs>
              <w:rPr>
                <w:color w:val="auto"/>
              </w:rPr>
            </w:pPr>
            <w:r w:rsidRPr="002C0273">
              <w:rPr>
                <w:color w:val="auto"/>
              </w:rPr>
              <w:t>5271</w:t>
            </w:r>
          </w:p>
        </w:tc>
        <w:tc>
          <w:tcPr>
            <w:tcW w:w="1026" w:type="dxa"/>
            <w:vAlign w:val="center"/>
          </w:tcPr>
          <w:p w:rsidR="002C0273" w:rsidRPr="002C0273" w:rsidRDefault="002C0273" w:rsidP="003977F9">
            <w:pPr>
              <w:tabs>
                <w:tab w:val="left" w:pos="288"/>
                <w:tab w:val="left" w:pos="4752"/>
              </w:tabs>
              <w:rPr>
                <w:color w:val="auto"/>
              </w:rPr>
            </w:pPr>
            <w:r w:rsidRPr="002C0273">
              <w:rPr>
                <w:color w:val="auto"/>
              </w:rPr>
              <w:t>10%</w:t>
            </w:r>
          </w:p>
        </w:tc>
      </w:tr>
      <w:tr w:rsidR="002C0273" w:rsidRPr="00F64312" w:rsidTr="003977F9">
        <w:tblPrEx>
          <w:tblLook w:val="0000" w:firstRow="0" w:lastRow="0" w:firstColumn="0" w:lastColumn="0" w:noHBand="0" w:noVBand="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2C0273" w:rsidRPr="002C0273" w:rsidRDefault="002C0273" w:rsidP="003977F9">
            <w:pPr>
              <w:tabs>
                <w:tab w:val="left" w:pos="288"/>
                <w:tab w:val="left" w:pos="4752"/>
              </w:tabs>
              <w:rPr>
                <w:b/>
                <w:color w:val="auto"/>
              </w:rPr>
            </w:pPr>
            <w:r w:rsidRPr="002C0273">
              <w:rPr>
                <w:b/>
                <w:color w:val="auto"/>
              </w:rPr>
              <w:t>COMBINED (w/ BLF)</w:t>
            </w:r>
          </w:p>
        </w:tc>
        <w:tc>
          <w:tcPr>
            <w:tcW w:w="1026" w:type="dxa"/>
            <w:shd w:val="clear" w:color="auto" w:fill="D9D9D9"/>
            <w:vAlign w:val="center"/>
          </w:tcPr>
          <w:p w:rsidR="002C0273" w:rsidRPr="002C0273" w:rsidRDefault="002C0273" w:rsidP="003977F9">
            <w:pPr>
              <w:tabs>
                <w:tab w:val="left" w:pos="288"/>
                <w:tab w:val="left" w:pos="4752"/>
              </w:tabs>
              <w:rPr>
                <w:b/>
                <w:color w:val="auto"/>
              </w:rPr>
            </w:pPr>
            <w:r w:rsidRPr="002C0273">
              <w:rPr>
                <w:b/>
                <w:color w:val="auto"/>
              </w:rPr>
              <w:t>20%</w:t>
            </w:r>
          </w:p>
        </w:tc>
      </w:tr>
    </w:tbl>
    <w:p w:rsidR="005B1D09" w:rsidRDefault="005B1D09" w:rsidP="00BF0E94">
      <w:pPr>
        <w:rPr>
          <w:color w:val="000000" w:themeColor="text1"/>
        </w:rPr>
      </w:pPr>
    </w:p>
    <w:p w:rsidR="00941361" w:rsidRPr="001F29F9" w:rsidRDefault="00941361" w:rsidP="00BF0E94">
      <w:pPr>
        <w:rPr>
          <w:color w:val="000000" w:themeColor="text1"/>
          <w:szCs w:val="24"/>
        </w:rPr>
      </w:pPr>
    </w:p>
    <w:p w:rsidR="00941361" w:rsidRDefault="00941361" w:rsidP="00BF0E94">
      <w:pPr>
        <w:tabs>
          <w:tab w:val="left" w:pos="288"/>
          <w:tab w:val="left" w:pos="4752"/>
        </w:tabs>
        <w:jc w:val="both"/>
        <w:rPr>
          <w:color w:val="000000" w:themeColor="text1"/>
        </w:rPr>
      </w:pPr>
    </w:p>
    <w:p w:rsidR="00941361" w:rsidRDefault="00941361" w:rsidP="00BF0E94">
      <w:pPr>
        <w:tabs>
          <w:tab w:val="left" w:pos="288"/>
          <w:tab w:val="left" w:pos="4752"/>
        </w:tabs>
        <w:jc w:val="both"/>
        <w:rPr>
          <w:color w:val="000000" w:themeColor="text1"/>
        </w:rPr>
      </w:pPr>
    </w:p>
    <w:p w:rsidR="00941361" w:rsidRDefault="00941361" w:rsidP="00BF0E94">
      <w:pPr>
        <w:tabs>
          <w:tab w:val="left" w:pos="288"/>
          <w:tab w:val="left" w:pos="4752"/>
        </w:tabs>
        <w:jc w:val="both"/>
        <w:rPr>
          <w:color w:val="000000" w:themeColor="text1"/>
        </w:rPr>
      </w:pPr>
    </w:p>
    <w:p w:rsidR="00941361" w:rsidRDefault="00941361"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B71A18">
        <w:rPr>
          <w:color w:val="000000" w:themeColor="text1"/>
          <w:szCs w:val="24"/>
        </w:rPr>
        <w:t>20103</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DD072B">
        <w:rPr>
          <w:color w:val="000000" w:themeColor="text1"/>
          <w:szCs w:val="24"/>
        </w:rPr>
        <w:t>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D072B" w:rsidRDefault="00DD072B">
      <w:pPr>
        <w:rPr>
          <w:color w:val="000000" w:themeColor="text1"/>
          <w:szCs w:val="24"/>
          <w:u w:val="single"/>
        </w:rPr>
      </w:pPr>
      <w:r>
        <w:rPr>
          <w:color w:val="000000" w:themeColor="text1"/>
          <w:szCs w:val="24"/>
          <w:u w:val="single"/>
        </w:rPr>
        <w:br w:type="page"/>
      </w:r>
    </w:p>
    <w:p w:rsidR="00DD072B" w:rsidRDefault="00DD072B" w:rsidP="00DD072B">
      <w:pPr>
        <w:sectPr w:rsidR="00DD072B">
          <w:pgSz w:w="12240" w:h="15840"/>
          <w:pgMar w:top="2160" w:right="1440" w:bottom="1440" w:left="1440" w:header="720" w:footer="720" w:gutter="0"/>
          <w:cols w:space="720"/>
        </w:sectPr>
      </w:pPr>
    </w:p>
    <w:p w:rsidR="00DD072B" w:rsidRPr="000D289B" w:rsidRDefault="00DD072B" w:rsidP="00DD072B">
      <w:pPr>
        <w:pStyle w:val="Header"/>
        <w:tabs>
          <w:tab w:val="left" w:pos="720"/>
        </w:tabs>
        <w:jc w:val="left"/>
        <w:rPr>
          <w:color w:val="auto"/>
        </w:rPr>
      </w:pPr>
      <w:r w:rsidRPr="000D289B">
        <w:rPr>
          <w:color w:val="auto"/>
        </w:rPr>
        <w:lastRenderedPageBreak/>
        <w:t>SFMR-RB</w:t>
      </w: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r>
    </w:p>
    <w:p w:rsidR="00DD072B" w:rsidRPr="000D289B" w:rsidRDefault="00DD072B" w:rsidP="00DD072B">
      <w:pPr>
        <w:pStyle w:val="Header"/>
        <w:tabs>
          <w:tab w:val="left" w:pos="720"/>
        </w:tabs>
        <w:jc w:val="left"/>
        <w:rPr>
          <w:color w:val="auto"/>
        </w:rPr>
      </w:pPr>
    </w:p>
    <w:p w:rsidR="00DD072B" w:rsidRPr="000D289B" w:rsidRDefault="00DD072B" w:rsidP="00DD072B">
      <w:pPr>
        <w:jc w:val="left"/>
        <w:rPr>
          <w:color w:val="auto"/>
        </w:rPr>
      </w:pPr>
    </w:p>
    <w:p w:rsidR="00DD072B" w:rsidRPr="000D289B" w:rsidRDefault="00DD072B" w:rsidP="00DD072B">
      <w:pPr>
        <w:jc w:val="left"/>
        <w:rPr>
          <w:color w:val="auto"/>
        </w:rPr>
      </w:pPr>
      <w:r w:rsidRPr="000D289B">
        <w:rPr>
          <w:color w:val="auto"/>
        </w:rPr>
        <w:t xml:space="preserve">MEMORANDUM FOR Commander, US Army Physical Disability Agency </w:t>
      </w:r>
    </w:p>
    <w:p w:rsidR="00DD072B" w:rsidRPr="000D289B" w:rsidRDefault="00DD072B" w:rsidP="00DD072B">
      <w:pPr>
        <w:jc w:val="left"/>
        <w:rPr>
          <w:color w:val="auto"/>
        </w:rPr>
      </w:pPr>
      <w:r w:rsidRPr="000D289B">
        <w:rPr>
          <w:color w:val="auto"/>
        </w:rPr>
        <w:t xml:space="preserve">(TAPD-ZB </w:t>
      </w:r>
      <w:proofErr w:type="gramStart"/>
      <w:r w:rsidRPr="000D289B">
        <w:rPr>
          <w:color w:val="auto"/>
        </w:rPr>
        <w:t>/  )</w:t>
      </w:r>
      <w:proofErr w:type="gramEnd"/>
      <w:r w:rsidRPr="000D289B">
        <w:rPr>
          <w:color w:val="auto"/>
        </w:rPr>
        <w:t>, 2900 Crystal Drive, Suite 300, Arlington, VA  22202</w:t>
      </w:r>
    </w:p>
    <w:p w:rsidR="00DD072B" w:rsidRPr="000D289B" w:rsidRDefault="00DD072B" w:rsidP="00DD072B">
      <w:pPr>
        <w:jc w:val="left"/>
        <w:rPr>
          <w:color w:val="auto"/>
        </w:rPr>
      </w:pPr>
    </w:p>
    <w:p w:rsidR="00DD072B" w:rsidRPr="000D289B" w:rsidRDefault="00DD072B" w:rsidP="00DD072B">
      <w:pPr>
        <w:ind w:right="-180"/>
        <w:jc w:val="left"/>
        <w:rPr>
          <w:color w:val="auto"/>
        </w:rPr>
      </w:pPr>
      <w:r w:rsidRPr="000D289B">
        <w:rPr>
          <w:color w:val="auto"/>
        </w:rPr>
        <w:t xml:space="preserve">SUBJECT:  Department of Defense Physical Disability Board of Review Recommendation </w:t>
      </w:r>
    </w:p>
    <w:p w:rsidR="00DD072B" w:rsidRPr="000D289B" w:rsidRDefault="00DD072B" w:rsidP="00DD072B">
      <w:pPr>
        <w:pStyle w:val="Header"/>
        <w:tabs>
          <w:tab w:val="left" w:pos="720"/>
        </w:tabs>
        <w:jc w:val="left"/>
        <w:rPr>
          <w:color w:val="auto"/>
        </w:rPr>
      </w:pPr>
      <w:proofErr w:type="gramStart"/>
      <w:r w:rsidRPr="000D289B">
        <w:rPr>
          <w:color w:val="auto"/>
        </w:rPr>
        <w:t>for</w:t>
      </w:r>
      <w:proofErr w:type="gramEnd"/>
      <w:r w:rsidRPr="000D289B">
        <w:rPr>
          <w:color w:val="auto"/>
        </w:rPr>
        <w:t xml:space="preserve"> XXXXXXXXXXXXXXXXXXXXXXX, AR20120013626 (PD201200042)</w:t>
      </w:r>
    </w:p>
    <w:p w:rsidR="00DD072B" w:rsidRPr="000D289B" w:rsidRDefault="00DD072B" w:rsidP="00DD072B">
      <w:pPr>
        <w:pStyle w:val="Header"/>
        <w:tabs>
          <w:tab w:val="left" w:pos="720"/>
        </w:tabs>
        <w:jc w:val="left"/>
        <w:rPr>
          <w:color w:val="auto"/>
        </w:rPr>
      </w:pPr>
    </w:p>
    <w:p w:rsidR="00DD072B" w:rsidRPr="000D289B" w:rsidRDefault="00DD072B" w:rsidP="00DD072B">
      <w:pPr>
        <w:jc w:val="left"/>
        <w:rPr>
          <w:color w:val="auto"/>
        </w:rPr>
      </w:pPr>
    </w:p>
    <w:p w:rsidR="00DD072B" w:rsidRPr="000D289B" w:rsidRDefault="00DD072B" w:rsidP="00DD072B">
      <w:pPr>
        <w:jc w:val="left"/>
        <w:rPr>
          <w:color w:val="auto"/>
        </w:rPr>
      </w:pPr>
      <w:r w:rsidRPr="000D289B">
        <w:rPr>
          <w:color w:val="auto"/>
        </w:rPr>
        <w:t>1.  I have reviewed the enclosed Department of Defense Physical Disability Board of Review (DoD PDBR) recommendation and record of proceedings pertaining to the subject individual.  Under the authority of Title 10, United States Co</w:t>
      </w:r>
      <w:bookmarkStart w:id="0" w:name="_GoBack"/>
      <w:bookmarkEnd w:id="0"/>
      <w:r w:rsidRPr="000D289B">
        <w:rPr>
          <w:color w:val="auto"/>
        </w:rPr>
        <w:t xml:space="preserve">de, section 1554a,   I accept the Board’s recommendation to modify the individual’s disability description without modification of the combined rating or </w:t>
      </w:r>
      <w:proofErr w:type="spellStart"/>
      <w:r w:rsidRPr="000D289B">
        <w:rPr>
          <w:color w:val="auto"/>
        </w:rPr>
        <w:t>recharacterization</w:t>
      </w:r>
      <w:proofErr w:type="spellEnd"/>
      <w:r w:rsidRPr="000D289B">
        <w:rPr>
          <w:color w:val="auto"/>
        </w:rPr>
        <w:t xml:space="preserve"> of the individual’s separation.  This decision is final.  </w:t>
      </w:r>
    </w:p>
    <w:p w:rsidR="00DD072B" w:rsidRPr="000D289B" w:rsidRDefault="00DD072B" w:rsidP="00DD072B">
      <w:pPr>
        <w:jc w:val="left"/>
        <w:rPr>
          <w:color w:val="auto"/>
        </w:rPr>
      </w:pPr>
    </w:p>
    <w:p w:rsidR="00DD072B" w:rsidRPr="000D289B" w:rsidRDefault="00DD072B" w:rsidP="00DD072B">
      <w:pPr>
        <w:jc w:val="left"/>
        <w:rPr>
          <w:color w:val="auto"/>
        </w:rPr>
      </w:pPr>
      <w:r w:rsidRPr="000D289B">
        <w:rPr>
          <w:color w:val="auto"/>
        </w:rPr>
        <w:t xml:space="preserve">2.  I direct that all the Department of the Army records of the individual concerned be corrected accordingly no later than 120 days from the date of this memorandum.   </w:t>
      </w:r>
    </w:p>
    <w:p w:rsidR="00DD072B" w:rsidRPr="000D289B" w:rsidRDefault="00DD072B" w:rsidP="00DD072B">
      <w:pPr>
        <w:jc w:val="left"/>
        <w:rPr>
          <w:color w:val="auto"/>
        </w:rPr>
      </w:pPr>
    </w:p>
    <w:p w:rsidR="00DD072B" w:rsidRPr="000D289B" w:rsidRDefault="00DD072B" w:rsidP="00DD072B">
      <w:pPr>
        <w:jc w:val="left"/>
        <w:rPr>
          <w:color w:val="auto"/>
        </w:rPr>
      </w:pPr>
      <w:r w:rsidRPr="000D289B">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D072B" w:rsidRPr="000D289B" w:rsidRDefault="00DD072B" w:rsidP="00DD072B">
      <w:pPr>
        <w:jc w:val="left"/>
        <w:rPr>
          <w:color w:val="auto"/>
        </w:rPr>
      </w:pPr>
    </w:p>
    <w:p w:rsidR="00DD072B" w:rsidRPr="000D289B" w:rsidRDefault="00DD072B" w:rsidP="00DD072B">
      <w:pPr>
        <w:jc w:val="left"/>
        <w:rPr>
          <w:color w:val="auto"/>
        </w:rPr>
      </w:pPr>
      <w:r w:rsidRPr="000D289B">
        <w:rPr>
          <w:color w:val="auto"/>
        </w:rPr>
        <w:t xml:space="preserve"> BY ORDER OF THE SECRETARY OF THE ARMY:</w:t>
      </w:r>
    </w:p>
    <w:p w:rsidR="00DD072B" w:rsidRPr="000D289B" w:rsidRDefault="00DD072B" w:rsidP="00DD072B">
      <w:pPr>
        <w:jc w:val="left"/>
        <w:rPr>
          <w:color w:val="auto"/>
        </w:rPr>
      </w:pPr>
    </w:p>
    <w:p w:rsidR="00DD072B" w:rsidRPr="000D289B" w:rsidRDefault="00DD072B" w:rsidP="00DD072B">
      <w:pPr>
        <w:jc w:val="left"/>
        <w:rPr>
          <w:color w:val="auto"/>
        </w:rPr>
      </w:pPr>
    </w:p>
    <w:p w:rsidR="00DD072B" w:rsidRPr="000D289B" w:rsidRDefault="00DD072B" w:rsidP="00DD072B">
      <w:pPr>
        <w:pStyle w:val="Header"/>
        <w:tabs>
          <w:tab w:val="left" w:pos="720"/>
        </w:tabs>
        <w:jc w:val="left"/>
        <w:rPr>
          <w:color w:val="auto"/>
        </w:rPr>
      </w:pPr>
    </w:p>
    <w:p w:rsidR="00DD072B" w:rsidRPr="000D289B" w:rsidRDefault="00DD072B" w:rsidP="00DD072B">
      <w:pPr>
        <w:jc w:val="left"/>
        <w:rPr>
          <w:color w:val="auto"/>
        </w:rPr>
      </w:pPr>
    </w:p>
    <w:p w:rsidR="00DD072B" w:rsidRPr="000D289B" w:rsidRDefault="00DD072B" w:rsidP="00DD072B">
      <w:pPr>
        <w:jc w:val="left"/>
        <w:rPr>
          <w:color w:val="auto"/>
        </w:rPr>
      </w:pPr>
      <w:bookmarkStart w:id="1" w:name="OLE_LINK4"/>
      <w:bookmarkStart w:id="2" w:name="OLE_LINK3"/>
      <w:r w:rsidRPr="000D289B">
        <w:rPr>
          <w:color w:val="auto"/>
        </w:rPr>
        <w:t>Encl</w:t>
      </w: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t xml:space="preserve">     XXXXXXXXXXXXXXXXXXXXXXXXX</w:t>
      </w:r>
    </w:p>
    <w:p w:rsidR="00DD072B" w:rsidRPr="000D289B" w:rsidRDefault="00DD072B" w:rsidP="00DD072B">
      <w:pPr>
        <w:jc w:val="left"/>
        <w:rPr>
          <w:color w:val="auto"/>
        </w:rPr>
      </w:pP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t xml:space="preserve">     Deputy Assistant Secretary</w:t>
      </w:r>
    </w:p>
    <w:p w:rsidR="00DD072B" w:rsidRPr="000D289B" w:rsidRDefault="00DD072B" w:rsidP="00DD072B">
      <w:pPr>
        <w:jc w:val="left"/>
        <w:rPr>
          <w:color w:val="auto"/>
        </w:rPr>
      </w:pPr>
      <w:r w:rsidRPr="000D289B">
        <w:rPr>
          <w:color w:val="auto"/>
        </w:rPr>
        <w:tab/>
      </w:r>
      <w:r w:rsidRPr="000D289B">
        <w:rPr>
          <w:color w:val="auto"/>
        </w:rPr>
        <w:tab/>
      </w:r>
      <w:r w:rsidRPr="000D289B">
        <w:rPr>
          <w:color w:val="auto"/>
        </w:rPr>
        <w:tab/>
      </w:r>
      <w:r w:rsidRPr="000D289B">
        <w:rPr>
          <w:color w:val="auto"/>
        </w:rPr>
        <w:tab/>
      </w:r>
      <w:r w:rsidRPr="000D289B">
        <w:rPr>
          <w:color w:val="auto"/>
        </w:rPr>
        <w:tab/>
      </w:r>
      <w:r w:rsidRPr="000D289B">
        <w:rPr>
          <w:color w:val="auto"/>
        </w:rPr>
        <w:tab/>
        <w:t xml:space="preserve">         (Army Review Boards)</w:t>
      </w:r>
      <w:bookmarkEnd w:id="1"/>
      <w:bookmarkEnd w:id="2"/>
    </w:p>
    <w:p w:rsidR="00DD072B" w:rsidRPr="000D289B" w:rsidRDefault="00DD072B" w:rsidP="00DD072B">
      <w:pPr>
        <w:jc w:val="left"/>
        <w:rPr>
          <w:color w:val="auto"/>
        </w:rPr>
      </w:pPr>
    </w:p>
    <w:p w:rsidR="00DD072B" w:rsidRPr="000D289B" w:rsidRDefault="00DD072B" w:rsidP="00DD072B">
      <w:pPr>
        <w:jc w:val="left"/>
        <w:rPr>
          <w:color w:val="auto"/>
        </w:rPr>
      </w:pPr>
      <w:r w:rsidRPr="000D289B">
        <w:rPr>
          <w:color w:val="auto"/>
        </w:rPr>
        <w:t xml:space="preserve">CF: </w:t>
      </w:r>
    </w:p>
    <w:p w:rsidR="00DD072B" w:rsidRPr="000D289B" w:rsidRDefault="00DD072B" w:rsidP="00DD072B">
      <w:pPr>
        <w:jc w:val="left"/>
        <w:rPr>
          <w:color w:val="auto"/>
        </w:rPr>
      </w:pPr>
      <w:r w:rsidRPr="000D289B">
        <w:rPr>
          <w:color w:val="auto"/>
        </w:rPr>
        <w:t xml:space="preserve">(  ) </w:t>
      </w:r>
      <w:proofErr w:type="gramStart"/>
      <w:r w:rsidRPr="000D289B">
        <w:rPr>
          <w:color w:val="auto"/>
        </w:rPr>
        <w:t>DoD</w:t>
      </w:r>
      <w:proofErr w:type="gramEnd"/>
      <w:r w:rsidRPr="000D289B">
        <w:rPr>
          <w:color w:val="auto"/>
        </w:rPr>
        <w:t xml:space="preserve"> PDBR</w:t>
      </w:r>
    </w:p>
    <w:p w:rsidR="00DD072B" w:rsidRPr="000D289B" w:rsidRDefault="00DD072B" w:rsidP="00DD072B">
      <w:pPr>
        <w:jc w:val="left"/>
        <w:rPr>
          <w:color w:val="auto"/>
        </w:rPr>
      </w:pPr>
      <w:r w:rsidRPr="000D289B">
        <w:rPr>
          <w:color w:val="auto"/>
        </w:rPr>
        <w:t>(  ) DVA</w:t>
      </w:r>
    </w:p>
    <w:p w:rsidR="008E3C90" w:rsidRPr="000D289B" w:rsidRDefault="008E3C90" w:rsidP="002B4B70">
      <w:pPr>
        <w:jc w:val="both"/>
        <w:rPr>
          <w:color w:val="auto"/>
          <w:szCs w:val="24"/>
          <w:u w:val="single"/>
        </w:rPr>
      </w:pPr>
    </w:p>
    <w:sectPr w:rsidR="008E3C90" w:rsidRPr="000D289B"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5A" w:rsidRDefault="00EF385A">
      <w:r>
        <w:separator/>
      </w:r>
    </w:p>
  </w:endnote>
  <w:endnote w:type="continuationSeparator" w:id="0">
    <w:p w:rsidR="00EF385A" w:rsidRDefault="00EF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8AA797B9-AAE9-495B-BE79-EB662969934E}"/>
    <w:embedBold r:id="rId2" w:fontKey="{69568C67-6980-46D6-A8CB-2B369F6C9E17}"/>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4"/>
      </w:rPr>
      <w:id w:val="94093361"/>
      <w:docPartObj>
        <w:docPartGallery w:val="Page Numbers (Bottom of Page)"/>
        <w:docPartUnique/>
      </w:docPartObj>
    </w:sdtPr>
    <w:sdtEndPr/>
    <w:sdtContent>
      <w:p w:rsidR="00C6794A" w:rsidRPr="00374247" w:rsidRDefault="00C6794A" w:rsidP="00374247">
        <w:pPr>
          <w:pStyle w:val="Footer"/>
          <w:ind w:firstLine="4320"/>
          <w:rPr>
            <w:color w:val="auto"/>
            <w:szCs w:val="24"/>
          </w:rPr>
        </w:pPr>
        <w:r w:rsidRPr="00374247">
          <w:rPr>
            <w:color w:val="auto"/>
            <w:szCs w:val="24"/>
          </w:rPr>
          <w:t xml:space="preserve">   </w:t>
        </w:r>
        <w:r w:rsidR="00B00773" w:rsidRPr="00374247">
          <w:rPr>
            <w:color w:val="auto"/>
            <w:szCs w:val="24"/>
          </w:rPr>
          <w:fldChar w:fldCharType="begin"/>
        </w:r>
        <w:r w:rsidRPr="00374247">
          <w:rPr>
            <w:color w:val="auto"/>
            <w:szCs w:val="24"/>
          </w:rPr>
          <w:instrText xml:space="preserve"> PAGE   \* MERGEFORMAT </w:instrText>
        </w:r>
        <w:r w:rsidR="00B00773" w:rsidRPr="00374247">
          <w:rPr>
            <w:color w:val="auto"/>
            <w:szCs w:val="24"/>
          </w:rPr>
          <w:fldChar w:fldCharType="separate"/>
        </w:r>
        <w:r w:rsidR="00DD072B" w:rsidRPr="00DD072B">
          <w:rPr>
            <w:noProof/>
            <w:color w:val="auto"/>
          </w:rPr>
          <w:t>5</w:t>
        </w:r>
        <w:r w:rsidR="00B00773"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042</w:t>
        </w:r>
      </w:p>
    </w:sdtContent>
  </w:sdt>
  <w:p w:rsidR="00C6794A" w:rsidRPr="00684CE6" w:rsidRDefault="00C6794A">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5A" w:rsidRDefault="00EF385A">
      <w:r>
        <w:separator/>
      </w:r>
    </w:p>
  </w:footnote>
  <w:footnote w:type="continuationSeparator" w:id="0">
    <w:p w:rsidR="00EF385A" w:rsidRDefault="00EF3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435B"/>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9B"/>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65C"/>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A3F"/>
    <w:rsid w:val="0024162D"/>
    <w:rsid w:val="0024174E"/>
    <w:rsid w:val="00242238"/>
    <w:rsid w:val="0024227D"/>
    <w:rsid w:val="00242D14"/>
    <w:rsid w:val="002432F4"/>
    <w:rsid w:val="00245C86"/>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53D5"/>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B70"/>
    <w:rsid w:val="002B4E22"/>
    <w:rsid w:val="002B6FA0"/>
    <w:rsid w:val="002B7710"/>
    <w:rsid w:val="002C0273"/>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5D54"/>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4D2D"/>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9F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28CA"/>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D25"/>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83C"/>
    <w:rsid w:val="004B79C9"/>
    <w:rsid w:val="004C00DD"/>
    <w:rsid w:val="004C05CF"/>
    <w:rsid w:val="004C0776"/>
    <w:rsid w:val="004C1EF8"/>
    <w:rsid w:val="004C2063"/>
    <w:rsid w:val="004C24C5"/>
    <w:rsid w:val="004C2645"/>
    <w:rsid w:val="004C3A62"/>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4EB8"/>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0018"/>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1AC8"/>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5D46"/>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8E6"/>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0E36"/>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31A"/>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98D"/>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361"/>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306"/>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930"/>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2916"/>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773"/>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71C"/>
    <w:rsid w:val="00B71A18"/>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A0A"/>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94A"/>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CEB"/>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856"/>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072B"/>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9CC"/>
    <w:rsid w:val="00DF5C84"/>
    <w:rsid w:val="00DF5EC0"/>
    <w:rsid w:val="00DF6EF8"/>
    <w:rsid w:val="00DF6EFE"/>
    <w:rsid w:val="00E00A69"/>
    <w:rsid w:val="00E017BC"/>
    <w:rsid w:val="00E017F0"/>
    <w:rsid w:val="00E01A0E"/>
    <w:rsid w:val="00E025FE"/>
    <w:rsid w:val="00E0346A"/>
    <w:rsid w:val="00E041E4"/>
    <w:rsid w:val="00E04AEE"/>
    <w:rsid w:val="00E06BBD"/>
    <w:rsid w:val="00E06DBF"/>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8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385A"/>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6A5"/>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573F"/>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DC3"/>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A4F"/>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DD072B"/>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6962606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8732969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22758460">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A945-1CAB-4B27-8FF9-355E19AE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2012-07-26T12:41:00Z</cp:lastPrinted>
  <dcterms:created xsi:type="dcterms:W3CDTF">2012-08-10T18:51:00Z</dcterms:created>
  <dcterms:modified xsi:type="dcterms:W3CDTF">2012-08-20T15:34:00Z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