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C7884" w:rsidRDefault="00F629C0" w:rsidP="002F2CEB">
      <w:pPr>
        <w:tabs>
          <w:tab w:val="left" w:pos="288"/>
          <w:tab w:val="left" w:pos="4680"/>
          <w:tab w:val="left" w:pos="5130"/>
          <w:tab w:val="left" w:pos="9270"/>
        </w:tabs>
        <w:jc w:val="both"/>
        <w:rPr>
          <w:caps/>
          <w:color w:val="000000" w:themeColor="text1"/>
        </w:rPr>
      </w:pPr>
      <w:r w:rsidRPr="00FC7884">
        <w:rPr>
          <w:caps/>
          <w:color w:val="000000" w:themeColor="text1"/>
        </w:rPr>
        <w:t xml:space="preserve">NAME:  </w:t>
      </w:r>
      <w:r w:rsidR="007E225E">
        <w:rPr>
          <w:caps/>
          <w:color w:val="000000" w:themeColor="text1"/>
        </w:rPr>
        <w:t>xxxxxxxxxxxxxxxxxx</w:t>
      </w:r>
      <w:r w:rsidR="002F2CEB">
        <w:rPr>
          <w:caps/>
          <w:color w:val="000000" w:themeColor="text1"/>
        </w:rPr>
        <w:tab/>
      </w:r>
      <w:r w:rsidRPr="00FC7884">
        <w:rPr>
          <w:caps/>
          <w:color w:val="000000" w:themeColor="text1"/>
        </w:rPr>
        <w:t xml:space="preserve">BRANCH OF SERVICE: </w:t>
      </w:r>
      <w:r w:rsidR="00A57A29">
        <w:rPr>
          <w:caps/>
          <w:color w:val="000000" w:themeColor="text1"/>
        </w:rPr>
        <w:t xml:space="preserve"> </w:t>
      </w:r>
      <w:r w:rsidR="007672F3">
        <w:rPr>
          <w:caps/>
          <w:color w:val="000000" w:themeColor="text1"/>
        </w:rPr>
        <w:t>Army</w:t>
      </w:r>
    </w:p>
    <w:p w:rsidR="00007126" w:rsidRPr="001F29F9" w:rsidRDefault="00012733" w:rsidP="002F2CEB">
      <w:pPr>
        <w:tabs>
          <w:tab w:val="left" w:pos="288"/>
          <w:tab w:val="left" w:pos="4680"/>
          <w:tab w:val="left" w:pos="5130"/>
        </w:tabs>
        <w:jc w:val="both"/>
        <w:rPr>
          <w:color w:val="000000" w:themeColor="text1"/>
        </w:rPr>
      </w:pPr>
      <w:r w:rsidRPr="00FC7884">
        <w:rPr>
          <w:caps/>
          <w:color w:val="000000" w:themeColor="text1"/>
        </w:rPr>
        <w:t>C</w:t>
      </w:r>
      <w:r w:rsidR="00DE3AAD" w:rsidRPr="00FC7884">
        <w:rPr>
          <w:caps/>
          <w:color w:val="000000" w:themeColor="text1"/>
        </w:rPr>
        <w:t>ASE NUMBER:  PD</w:t>
      </w:r>
      <w:r w:rsidR="008F58E1" w:rsidRPr="00FC7884">
        <w:rPr>
          <w:caps/>
          <w:color w:val="000000" w:themeColor="text1"/>
        </w:rPr>
        <w:t>1</w:t>
      </w:r>
      <w:r w:rsidR="00007126" w:rsidRPr="00FC7884">
        <w:rPr>
          <w:caps/>
          <w:color w:val="000000" w:themeColor="text1"/>
        </w:rPr>
        <w:t>2</w:t>
      </w:r>
      <w:r w:rsidR="00DE3AAD" w:rsidRPr="00FC7884">
        <w:rPr>
          <w:caps/>
          <w:color w:val="000000" w:themeColor="text1"/>
        </w:rPr>
        <w:t>00</w:t>
      </w:r>
      <w:r w:rsidR="00007126" w:rsidRPr="00FC7884">
        <w:rPr>
          <w:caps/>
          <w:color w:val="000000" w:themeColor="text1"/>
        </w:rPr>
        <w:t>032</w:t>
      </w:r>
      <w:r w:rsidR="002F2CEB">
        <w:rPr>
          <w:color w:val="000000" w:themeColor="text1"/>
        </w:rPr>
        <w:tab/>
      </w:r>
      <w:r w:rsidR="00007126" w:rsidRPr="00FC7884">
        <w:rPr>
          <w:rFonts w:cs="Times New Roman"/>
          <w:color w:val="000000" w:themeColor="text1"/>
          <w:szCs w:val="24"/>
        </w:rPr>
        <w:t>DATE OF PLACEMENT</w:t>
      </w:r>
      <w:r w:rsidR="00007126" w:rsidRPr="001F29F9">
        <w:rPr>
          <w:rFonts w:cs="Times New Roman"/>
          <w:color w:val="000000" w:themeColor="text1"/>
          <w:szCs w:val="24"/>
        </w:rPr>
        <w:t xml:space="preserve"> ON </w:t>
      </w:r>
      <w:r w:rsidR="00007126" w:rsidRPr="001916C8">
        <w:rPr>
          <w:rFonts w:cs="Times New Roman"/>
          <w:color w:val="000000" w:themeColor="text1"/>
          <w:szCs w:val="24"/>
        </w:rPr>
        <w:t xml:space="preserve">TDRL:  </w:t>
      </w:r>
      <w:r w:rsidR="00007126" w:rsidRPr="001916C8">
        <w:rPr>
          <w:color w:val="000000" w:themeColor="text1"/>
        </w:rPr>
        <w:t>200</w:t>
      </w:r>
      <w:r w:rsidR="00713BE2" w:rsidRPr="00822DD8">
        <w:rPr>
          <w:color w:val="000000" w:themeColor="text1"/>
        </w:rPr>
        <w:t>4020</w:t>
      </w:r>
      <w:r w:rsidR="00A16456" w:rsidRPr="00822DD8">
        <w:rPr>
          <w:color w:val="000000" w:themeColor="text1"/>
        </w:rPr>
        <w:t>1</w:t>
      </w:r>
    </w:p>
    <w:p w:rsidR="00007126" w:rsidRDefault="004F3639" w:rsidP="00007126">
      <w:pPr>
        <w:tabs>
          <w:tab w:val="left" w:pos="288"/>
          <w:tab w:val="left" w:pos="4166"/>
          <w:tab w:val="left" w:pos="4680"/>
          <w:tab w:val="left" w:pos="5130"/>
          <w:tab w:val="left" w:pos="9270"/>
        </w:tabs>
        <w:jc w:val="both"/>
        <w:rPr>
          <w:caps/>
          <w:color w:val="000000" w:themeColor="text1"/>
        </w:rPr>
      </w:pPr>
      <w:r w:rsidRPr="001F29F9">
        <w:rPr>
          <w:caps/>
          <w:color w:val="000000" w:themeColor="text1"/>
        </w:rPr>
        <w:t>BOARD DATE:  201</w:t>
      </w:r>
      <w:r w:rsidR="009D6610">
        <w:rPr>
          <w:caps/>
          <w:color w:val="000000" w:themeColor="text1"/>
        </w:rPr>
        <w:t>2</w:t>
      </w:r>
      <w:r w:rsidR="00822DD8">
        <w:rPr>
          <w:caps/>
          <w:color w:val="000000" w:themeColor="text1"/>
        </w:rPr>
        <w:t>1002</w:t>
      </w:r>
      <w:r w:rsidR="002F2CEB">
        <w:rPr>
          <w:caps/>
          <w:color w:val="000000" w:themeColor="text1"/>
        </w:rPr>
        <w:tab/>
      </w:r>
      <w:r w:rsidR="002F2CEB">
        <w:rPr>
          <w:caps/>
          <w:color w:val="000000" w:themeColor="text1"/>
        </w:rPr>
        <w:tab/>
      </w:r>
      <w:r w:rsidR="00007126" w:rsidRPr="001F29F9">
        <w:rPr>
          <w:rFonts w:cs="Times New Roman"/>
          <w:caps/>
          <w:color w:val="000000" w:themeColor="text1"/>
          <w:szCs w:val="24"/>
        </w:rPr>
        <w:t xml:space="preserve">Date of Permanent </w:t>
      </w:r>
      <w:r w:rsidR="00007126" w:rsidRPr="001F29F9">
        <w:rPr>
          <w:rFonts w:cs="Times New Roman"/>
          <w:color w:val="000000" w:themeColor="text1"/>
          <w:szCs w:val="24"/>
        </w:rPr>
        <w:t xml:space="preserve">SEPARATION:  </w:t>
      </w:r>
      <w:r w:rsidR="00007126" w:rsidRPr="001F29F9">
        <w:rPr>
          <w:color w:val="000000" w:themeColor="text1"/>
        </w:rPr>
        <w:t>200</w:t>
      </w:r>
      <w:r w:rsidR="00713BE2" w:rsidRPr="00822DD8">
        <w:rPr>
          <w:color w:val="000000" w:themeColor="text1"/>
        </w:rPr>
        <w:t>5</w:t>
      </w:r>
      <w:r w:rsidR="00007126" w:rsidRPr="00822DD8">
        <w:rPr>
          <w:color w:val="000000" w:themeColor="text1"/>
        </w:rPr>
        <w:t>0201</w:t>
      </w:r>
    </w:p>
    <w:p w:rsidR="007672F3" w:rsidRPr="001F29F9" w:rsidRDefault="007672F3" w:rsidP="007672F3">
      <w:pPr>
        <w:pBdr>
          <w:bottom w:val="single" w:sz="12" w:space="1" w:color="auto"/>
        </w:pBdr>
        <w:tabs>
          <w:tab w:val="left" w:pos="288"/>
          <w:tab w:val="left" w:pos="4752"/>
        </w:tabs>
        <w:jc w:val="both"/>
        <w:rPr>
          <w:color w:val="000000" w:themeColor="text1"/>
        </w:rPr>
      </w:pPr>
    </w:p>
    <w:p w:rsidR="007672F3" w:rsidRPr="001F29F9" w:rsidRDefault="007672F3" w:rsidP="007672F3">
      <w:pPr>
        <w:tabs>
          <w:tab w:val="left" w:pos="288"/>
          <w:tab w:val="left" w:pos="4752"/>
        </w:tabs>
        <w:jc w:val="both"/>
        <w:rPr>
          <w:color w:val="000000" w:themeColor="text1"/>
        </w:rPr>
      </w:pPr>
    </w:p>
    <w:p w:rsidR="0083487B" w:rsidRDefault="00FB0E80" w:rsidP="00A16456">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007126" w:rsidRPr="00007126">
        <w:rPr>
          <w:color w:val="000000" w:themeColor="text1"/>
          <w:szCs w:val="24"/>
        </w:rPr>
        <w:t>88H20</w:t>
      </w:r>
      <w:r w:rsidR="00C75F3D" w:rsidRPr="001F29F9">
        <w:rPr>
          <w:color w:val="000000" w:themeColor="text1"/>
          <w:szCs w:val="24"/>
        </w:rPr>
        <w:t>/</w:t>
      </w:r>
      <w:r w:rsidR="00007126" w:rsidRPr="00007126">
        <w:rPr>
          <w:color w:val="000000" w:themeColor="text1"/>
          <w:szCs w:val="24"/>
        </w:rPr>
        <w:t>Cargo</w:t>
      </w:r>
      <w:r w:rsidR="00007126">
        <w:rPr>
          <w:color w:val="000000" w:themeColor="text1"/>
          <w:szCs w:val="24"/>
        </w:rPr>
        <w:t xml:space="preserve"> </w:t>
      </w:r>
      <w:r w:rsidR="00007126" w:rsidRPr="00007126">
        <w:rPr>
          <w:color w:val="000000" w:themeColor="text1"/>
          <w:szCs w:val="24"/>
        </w:rPr>
        <w:t>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007126">
        <w:rPr>
          <w:color w:val="000000" w:themeColor="text1"/>
          <w:szCs w:val="24"/>
        </w:rPr>
        <w:t xml:space="preserve"> chronic back pain </w:t>
      </w:r>
      <w:r w:rsidR="0083487B">
        <w:rPr>
          <w:color w:val="000000" w:themeColor="text1"/>
          <w:szCs w:val="24"/>
        </w:rPr>
        <w:t xml:space="preserve">(LBP) </w:t>
      </w:r>
      <w:r w:rsidR="00007126">
        <w:rPr>
          <w:color w:val="000000" w:themeColor="text1"/>
          <w:szCs w:val="24"/>
        </w:rPr>
        <w:t>with L</w:t>
      </w:r>
      <w:r w:rsidR="00007126" w:rsidRPr="00007126">
        <w:rPr>
          <w:color w:val="000000" w:themeColor="text1"/>
          <w:szCs w:val="24"/>
        </w:rPr>
        <w:t>5-</w:t>
      </w:r>
      <w:r w:rsidR="00007126">
        <w:rPr>
          <w:color w:val="000000" w:themeColor="text1"/>
          <w:szCs w:val="24"/>
        </w:rPr>
        <w:t>S</w:t>
      </w:r>
      <w:r w:rsidR="00007126" w:rsidRPr="00007126">
        <w:rPr>
          <w:color w:val="000000" w:themeColor="text1"/>
          <w:szCs w:val="24"/>
        </w:rPr>
        <w:t xml:space="preserve">1 herniated nucleus </w:t>
      </w:r>
      <w:proofErr w:type="spellStart"/>
      <w:r w:rsidR="00007126" w:rsidRPr="00007126">
        <w:rPr>
          <w:color w:val="000000" w:themeColor="text1"/>
          <w:szCs w:val="24"/>
        </w:rPr>
        <w:t>pulposus</w:t>
      </w:r>
      <w:proofErr w:type="spellEnd"/>
      <w:r w:rsidR="00A16456">
        <w:rPr>
          <w:color w:val="000000" w:themeColor="text1"/>
          <w:szCs w:val="24"/>
        </w:rPr>
        <w:t xml:space="preserve"> (HNP)</w:t>
      </w:r>
      <w:r w:rsidR="00007126" w:rsidRPr="00007126">
        <w:rPr>
          <w:color w:val="000000" w:themeColor="text1"/>
          <w:szCs w:val="24"/>
        </w:rPr>
        <w:t>, without neurologic</w:t>
      </w:r>
      <w:r w:rsidR="00007126">
        <w:rPr>
          <w:color w:val="000000" w:themeColor="text1"/>
          <w:szCs w:val="24"/>
        </w:rPr>
        <w:t xml:space="preserve"> </w:t>
      </w:r>
      <w:r w:rsidR="00007126" w:rsidRPr="00007126">
        <w:rPr>
          <w:color w:val="000000" w:themeColor="text1"/>
          <w:szCs w:val="24"/>
        </w:rPr>
        <w:t>or significan</w:t>
      </w:r>
      <w:r w:rsidR="00007126">
        <w:rPr>
          <w:color w:val="000000" w:themeColor="text1"/>
          <w:szCs w:val="24"/>
        </w:rPr>
        <w:t>t electrodiagnostic abnormality</w:t>
      </w:r>
      <w:r w:rsidR="00C75F3D" w:rsidRPr="009D6610">
        <w:rPr>
          <w:color w:val="000000" w:themeColor="text1"/>
          <w:szCs w:val="24"/>
        </w:rPr>
        <w:t>.</w:t>
      </w:r>
      <w:r w:rsidR="007672F3">
        <w:rPr>
          <w:color w:val="000000" w:themeColor="text1"/>
          <w:szCs w:val="24"/>
        </w:rPr>
        <w:t xml:space="preserve">  </w:t>
      </w:r>
      <w:r w:rsidR="0083487B">
        <w:rPr>
          <w:color w:val="000000" w:themeColor="text1"/>
          <w:szCs w:val="24"/>
        </w:rPr>
        <w:t xml:space="preserve">The CI fell </w:t>
      </w:r>
      <w:r w:rsidR="00DD503D">
        <w:rPr>
          <w:color w:val="000000" w:themeColor="text1"/>
          <w:szCs w:val="24"/>
        </w:rPr>
        <w:t xml:space="preserve">while wearing </w:t>
      </w:r>
      <w:r w:rsidR="0083487B">
        <w:rPr>
          <w:color w:val="000000" w:themeColor="text1"/>
          <w:szCs w:val="24"/>
        </w:rPr>
        <w:t xml:space="preserve">equipment in December 2001 and injured his lower back.  He had severe LBP with intermittent radiation into his left lower extremity (LLE).  </w:t>
      </w:r>
      <w:r w:rsidR="00643C8F" w:rsidRPr="001F29F9">
        <w:rPr>
          <w:color w:val="000000" w:themeColor="text1"/>
          <w:szCs w:val="24"/>
        </w:rPr>
        <w:t xml:space="preserve">He did not respond adequately to treatment and was unable to perform within his </w:t>
      </w:r>
      <w:r w:rsidR="00643C8F" w:rsidRPr="00FC7884">
        <w:rPr>
          <w:color w:val="000000" w:themeColor="text1"/>
          <w:szCs w:val="24"/>
        </w:rPr>
        <w:t xml:space="preserve">Military Occupational Specialty (MOS) or meet physical fitness standards.  He was issued a permanent </w:t>
      </w:r>
      <w:r w:rsidR="00007126" w:rsidRPr="00FC7884">
        <w:rPr>
          <w:color w:val="000000" w:themeColor="text1"/>
          <w:szCs w:val="24"/>
        </w:rPr>
        <w:t>L3</w:t>
      </w:r>
      <w:r w:rsidR="00643C8F" w:rsidRPr="00FC7884">
        <w:rPr>
          <w:color w:val="000000" w:themeColor="text1"/>
          <w:szCs w:val="24"/>
        </w:rPr>
        <w:t xml:space="preserve"> profile and underwent a Medical Evaluation Board (MEB).</w:t>
      </w:r>
      <w:r w:rsidR="007672F3">
        <w:rPr>
          <w:color w:val="000000" w:themeColor="text1"/>
          <w:szCs w:val="24"/>
        </w:rPr>
        <w:t xml:space="preserve">  </w:t>
      </w:r>
      <w:r w:rsidR="00007126" w:rsidRPr="00FC7884">
        <w:rPr>
          <w:color w:val="000000" w:themeColor="text1"/>
          <w:szCs w:val="24"/>
        </w:rPr>
        <w:t>Lower back pain secondary to L4-5 and L5-S1 degenerative disk disease</w:t>
      </w:r>
      <w:r w:rsidR="000A33C8" w:rsidRPr="00FC7884">
        <w:rPr>
          <w:color w:val="000000" w:themeColor="text1"/>
          <w:szCs w:val="24"/>
        </w:rPr>
        <w:t xml:space="preserve">, </w:t>
      </w:r>
      <w:r w:rsidR="00007126" w:rsidRPr="00FC7884">
        <w:rPr>
          <w:color w:val="000000" w:themeColor="text1"/>
          <w:szCs w:val="24"/>
        </w:rPr>
        <w:t>and left lower extremity radiculopathy secondary to the L4-5 and L5-S1 degenerative disk disease</w:t>
      </w:r>
      <w:r w:rsidR="000A33C8" w:rsidRPr="00FC7884">
        <w:rPr>
          <w:color w:val="000000" w:themeColor="text1"/>
          <w:szCs w:val="24"/>
        </w:rPr>
        <w:t xml:space="preserve"> were forwarded to the Physical Evaluation Board </w:t>
      </w:r>
      <w:r w:rsidR="000A33C8" w:rsidRPr="00822DD8">
        <w:rPr>
          <w:color w:val="000000" w:themeColor="text1"/>
          <w:szCs w:val="24"/>
        </w:rPr>
        <w:t>(PEB) as medically unacceptable IAW AR 40-501</w:t>
      </w:r>
      <w:r w:rsidR="00376E08" w:rsidRPr="00822DD8">
        <w:rPr>
          <w:color w:val="000000" w:themeColor="text1"/>
          <w:szCs w:val="24"/>
        </w:rPr>
        <w:t>.</w:t>
      </w:r>
      <w:r w:rsidR="007672F3" w:rsidRPr="00822DD8">
        <w:rPr>
          <w:color w:val="000000" w:themeColor="text1"/>
          <w:szCs w:val="24"/>
        </w:rPr>
        <w:t xml:space="preserve">  </w:t>
      </w:r>
      <w:r w:rsidR="00007126" w:rsidRPr="00822DD8">
        <w:rPr>
          <w:color w:val="000000" w:themeColor="text1"/>
          <w:szCs w:val="24"/>
        </w:rPr>
        <w:t>Two</w:t>
      </w:r>
      <w:r w:rsidR="009C5C56" w:rsidRPr="00822DD8">
        <w:rPr>
          <w:color w:val="000000" w:themeColor="text1"/>
          <w:szCs w:val="24"/>
        </w:rPr>
        <w:t xml:space="preserve"> </w:t>
      </w:r>
      <w:r w:rsidR="00954E5B" w:rsidRPr="00822DD8">
        <w:rPr>
          <w:color w:val="000000" w:themeColor="text1"/>
          <w:szCs w:val="24"/>
        </w:rPr>
        <w:t xml:space="preserve">other conditions, as identified in the rating chart below, were forwarded on the </w:t>
      </w:r>
      <w:r w:rsidR="00B04562" w:rsidRPr="00822DD8">
        <w:rPr>
          <w:color w:val="000000" w:themeColor="text1"/>
          <w:szCs w:val="24"/>
        </w:rPr>
        <w:t xml:space="preserve">MEB submission </w:t>
      </w:r>
      <w:r w:rsidR="00954E5B" w:rsidRPr="00822DD8">
        <w:rPr>
          <w:color w:val="000000" w:themeColor="text1"/>
          <w:szCs w:val="24"/>
        </w:rPr>
        <w:t>as medically acceptable conditions</w:t>
      </w:r>
      <w:r w:rsidR="00B04562" w:rsidRPr="00822DD8">
        <w:rPr>
          <w:color w:val="000000" w:themeColor="text1"/>
          <w:szCs w:val="24"/>
        </w:rPr>
        <w:t>.</w:t>
      </w:r>
      <w:r w:rsidR="007672F3" w:rsidRPr="00822DD8">
        <w:rPr>
          <w:color w:val="000000" w:themeColor="text1"/>
          <w:szCs w:val="24"/>
        </w:rPr>
        <w:t xml:space="preserve">  </w:t>
      </w:r>
      <w:r w:rsidR="00842BAA" w:rsidRPr="00822DD8">
        <w:rPr>
          <w:color w:val="000000" w:themeColor="text1"/>
          <w:szCs w:val="24"/>
        </w:rPr>
        <w:t xml:space="preserve">The PEB (PEB) adjudicated </w:t>
      </w:r>
      <w:r w:rsidR="00315D8B" w:rsidRPr="00822DD8">
        <w:rPr>
          <w:color w:val="000000" w:themeColor="text1"/>
          <w:szCs w:val="24"/>
        </w:rPr>
        <w:t xml:space="preserve">low back pain subsequent to a fall on stairs in December  2001 and left sciatic radiculopathy manifested by intermittent pain, left leg, </w:t>
      </w:r>
      <w:r w:rsidR="00842BAA" w:rsidRPr="00822DD8">
        <w:rPr>
          <w:color w:val="000000" w:themeColor="text1"/>
          <w:szCs w:val="24"/>
        </w:rPr>
        <w:t xml:space="preserve">as unfitting, </w:t>
      </w:r>
      <w:r w:rsidR="00315D8B" w:rsidRPr="00822DD8">
        <w:rPr>
          <w:color w:val="000000" w:themeColor="text1"/>
          <w:szCs w:val="24"/>
        </w:rPr>
        <w:t xml:space="preserve">each </w:t>
      </w:r>
      <w:r w:rsidR="00842BAA" w:rsidRPr="00822DD8">
        <w:rPr>
          <w:color w:val="000000" w:themeColor="text1"/>
          <w:szCs w:val="24"/>
        </w:rPr>
        <w:t xml:space="preserve">rated </w:t>
      </w:r>
      <w:r w:rsidR="00315D8B" w:rsidRPr="00822DD8">
        <w:rPr>
          <w:color w:val="000000" w:themeColor="text1"/>
          <w:szCs w:val="24"/>
        </w:rPr>
        <w:t>10</w:t>
      </w:r>
      <w:r w:rsidR="00842BAA" w:rsidRPr="00822DD8">
        <w:rPr>
          <w:color w:val="000000" w:themeColor="text1"/>
          <w:szCs w:val="24"/>
        </w:rPr>
        <w:t>%</w:t>
      </w:r>
      <w:r w:rsidR="00A558EF" w:rsidRPr="00822DD8">
        <w:rPr>
          <w:color w:val="000000" w:themeColor="text1"/>
          <w:szCs w:val="24"/>
        </w:rPr>
        <w:t xml:space="preserve">, with </w:t>
      </w:r>
      <w:r w:rsidR="00A16456" w:rsidRPr="00822DD8">
        <w:rPr>
          <w:color w:val="000000" w:themeColor="text1"/>
          <w:szCs w:val="24"/>
        </w:rPr>
        <w:t xml:space="preserve">possible </w:t>
      </w:r>
      <w:r w:rsidR="00A558EF" w:rsidRPr="00822DD8">
        <w:rPr>
          <w:color w:val="000000" w:themeColor="text1"/>
          <w:szCs w:val="24"/>
        </w:rPr>
        <w:t xml:space="preserve">application of the US Army Physical Disability Agency (USAPDA) pain policy and </w:t>
      </w:r>
      <w:r w:rsidR="009D6610" w:rsidRPr="00822DD8">
        <w:rPr>
          <w:color w:val="000000" w:themeColor="text1"/>
          <w:szCs w:val="24"/>
        </w:rPr>
        <w:t xml:space="preserve">the </w:t>
      </w:r>
      <w:r w:rsidR="00A558EF" w:rsidRPr="00822DD8">
        <w:rPr>
          <w:color w:val="000000" w:themeColor="text1"/>
          <w:szCs w:val="24"/>
        </w:rPr>
        <w:t>Veterans Administration Schedule for Rating Disabilities (VASRD).</w:t>
      </w:r>
      <w:r w:rsidR="00842BAA" w:rsidRPr="00822DD8">
        <w:rPr>
          <w:color w:val="000000" w:themeColor="text1"/>
          <w:szCs w:val="24"/>
        </w:rPr>
        <w:t xml:space="preserve"> </w:t>
      </w:r>
      <w:r w:rsidR="00A558EF" w:rsidRPr="00822DD8">
        <w:rPr>
          <w:color w:val="000000" w:themeColor="text1"/>
          <w:szCs w:val="24"/>
        </w:rPr>
        <w:t xml:space="preserve"> A</w:t>
      </w:r>
      <w:r w:rsidR="00842BAA" w:rsidRPr="00822DD8">
        <w:rPr>
          <w:color w:val="000000" w:themeColor="text1"/>
          <w:szCs w:val="24"/>
        </w:rPr>
        <w:t>dditionally</w:t>
      </w:r>
      <w:r w:rsidR="00315D8B" w:rsidRPr="00822DD8">
        <w:rPr>
          <w:color w:val="000000" w:themeColor="text1"/>
          <w:szCs w:val="24"/>
        </w:rPr>
        <w:t>,</w:t>
      </w:r>
      <w:r w:rsidR="00842BAA" w:rsidRPr="00822DD8">
        <w:rPr>
          <w:color w:val="000000" w:themeColor="text1"/>
          <w:szCs w:val="24"/>
        </w:rPr>
        <w:t xml:space="preserve"> </w:t>
      </w:r>
      <w:r w:rsidR="00315D8B" w:rsidRPr="00822DD8">
        <w:rPr>
          <w:color w:val="000000" w:themeColor="text1"/>
          <w:szCs w:val="24"/>
        </w:rPr>
        <w:t xml:space="preserve">hypertension and depressive disorder, not otherwise specified, were </w:t>
      </w:r>
      <w:r w:rsidR="00A558EF" w:rsidRPr="00822DD8">
        <w:rPr>
          <w:color w:val="000000" w:themeColor="text1"/>
          <w:szCs w:val="24"/>
        </w:rPr>
        <w:t>adjudicated to be not unfitting.</w:t>
      </w:r>
      <w:r w:rsidR="00842BAA" w:rsidRPr="00822DD8">
        <w:rPr>
          <w:color w:val="000000" w:themeColor="text1"/>
          <w:szCs w:val="24"/>
        </w:rPr>
        <w:t xml:space="preserve"> </w:t>
      </w:r>
      <w:r w:rsidR="007672F3" w:rsidRPr="00822DD8">
        <w:rPr>
          <w:color w:val="000000" w:themeColor="text1"/>
          <w:szCs w:val="24"/>
        </w:rPr>
        <w:t xml:space="preserve"> </w:t>
      </w:r>
      <w:r w:rsidR="00437D77" w:rsidRPr="00822DD8">
        <w:rPr>
          <w:color w:val="000000" w:themeColor="text1"/>
        </w:rPr>
        <w:t xml:space="preserve">The CI appealed to </w:t>
      </w:r>
      <w:r w:rsidR="00A558EF" w:rsidRPr="00822DD8">
        <w:rPr>
          <w:color w:val="000000" w:themeColor="text1"/>
        </w:rPr>
        <w:t xml:space="preserve">the </w:t>
      </w:r>
      <w:r w:rsidR="00437D77" w:rsidRPr="00822DD8">
        <w:rPr>
          <w:color w:val="000000" w:themeColor="text1"/>
        </w:rPr>
        <w:t>F</w:t>
      </w:r>
      <w:r w:rsidR="00A558EF" w:rsidRPr="00822DD8">
        <w:rPr>
          <w:color w:val="000000" w:themeColor="text1"/>
        </w:rPr>
        <w:t xml:space="preserve">ormal </w:t>
      </w:r>
      <w:r w:rsidR="00437D77" w:rsidRPr="00822DD8">
        <w:rPr>
          <w:color w:val="000000" w:themeColor="text1"/>
        </w:rPr>
        <w:t>PEB</w:t>
      </w:r>
      <w:r w:rsidR="00A558EF" w:rsidRPr="00822DD8">
        <w:rPr>
          <w:color w:val="000000" w:themeColor="text1"/>
        </w:rPr>
        <w:t xml:space="preserve"> </w:t>
      </w:r>
      <w:r w:rsidR="00242D29">
        <w:rPr>
          <w:color w:val="000000" w:themeColor="text1"/>
        </w:rPr>
        <w:t>(</w:t>
      </w:r>
      <w:r w:rsidR="00A558EF" w:rsidRPr="00822DD8">
        <w:rPr>
          <w:color w:val="000000" w:themeColor="text1"/>
        </w:rPr>
        <w:t>FPEB</w:t>
      </w:r>
      <w:r w:rsidR="00242D29">
        <w:rPr>
          <w:color w:val="000000" w:themeColor="text1"/>
        </w:rPr>
        <w:t>)</w:t>
      </w:r>
      <w:r w:rsidR="00EE1D08" w:rsidRPr="00822DD8">
        <w:rPr>
          <w:color w:val="000000" w:themeColor="text1"/>
        </w:rPr>
        <w:t xml:space="preserve">; </w:t>
      </w:r>
      <w:r w:rsidR="00315D8B" w:rsidRPr="00822DD8">
        <w:rPr>
          <w:color w:val="000000" w:themeColor="text1"/>
        </w:rPr>
        <w:t>t</w:t>
      </w:r>
      <w:r w:rsidR="00315D8B" w:rsidRPr="00822DD8">
        <w:rPr>
          <w:color w:val="000000" w:themeColor="text1"/>
          <w:szCs w:val="24"/>
        </w:rPr>
        <w:t>he CI was then placed on the Temporary Disability Retired List (TDRL) with ratings as reflected in the chart below.</w:t>
      </w:r>
      <w:r w:rsidR="007672F3" w:rsidRPr="00822DD8">
        <w:rPr>
          <w:color w:val="000000" w:themeColor="text1"/>
          <w:szCs w:val="24"/>
        </w:rPr>
        <w:t xml:space="preserve">  </w:t>
      </w:r>
      <w:r w:rsidR="00A16456" w:rsidRPr="00822DD8">
        <w:rPr>
          <w:color w:val="000000" w:themeColor="text1"/>
          <w:szCs w:val="24"/>
        </w:rPr>
        <w:t xml:space="preserve">Upon reevaluation under TDRL, the PEB adjudicated chronic back pain with L5-S1 HNP </w:t>
      </w:r>
      <w:r w:rsidR="0083487B" w:rsidRPr="00822DD8">
        <w:rPr>
          <w:color w:val="000000" w:themeColor="text1"/>
          <w:szCs w:val="24"/>
        </w:rPr>
        <w:t>“</w:t>
      </w:r>
      <w:r w:rsidR="00A16456" w:rsidRPr="00822DD8">
        <w:rPr>
          <w:color w:val="000000" w:themeColor="text1"/>
          <w:szCs w:val="24"/>
        </w:rPr>
        <w:t>without neurologic or signific</w:t>
      </w:r>
      <w:r w:rsidR="00A16456" w:rsidRPr="00A16456">
        <w:rPr>
          <w:color w:val="000000" w:themeColor="text1"/>
          <w:szCs w:val="24"/>
        </w:rPr>
        <w:t>ant electrodiagnostic abnormality</w:t>
      </w:r>
      <w:r w:rsidR="0083487B" w:rsidRPr="00A16456">
        <w:rPr>
          <w:color w:val="000000" w:themeColor="text1"/>
          <w:szCs w:val="24"/>
        </w:rPr>
        <w:t>, altered gait, forward flexion</w:t>
      </w:r>
      <w:r w:rsidR="0083487B">
        <w:rPr>
          <w:color w:val="000000" w:themeColor="text1"/>
          <w:szCs w:val="24"/>
        </w:rPr>
        <w:t xml:space="preserve"> </w:t>
      </w:r>
      <w:r w:rsidR="0083487B" w:rsidRPr="00A16456">
        <w:rPr>
          <w:color w:val="000000" w:themeColor="text1"/>
          <w:szCs w:val="24"/>
        </w:rPr>
        <w:t xml:space="preserve">45 degrees, 4/5 </w:t>
      </w:r>
      <w:r w:rsidR="002F2CEB">
        <w:rPr>
          <w:color w:val="000000" w:themeColor="text1"/>
          <w:szCs w:val="24"/>
        </w:rPr>
        <w:t>W</w:t>
      </w:r>
      <w:r w:rsidR="0083487B" w:rsidRPr="00A16456">
        <w:rPr>
          <w:color w:val="000000" w:themeColor="text1"/>
          <w:szCs w:val="24"/>
        </w:rPr>
        <w:t>addell's signs</w:t>
      </w:r>
      <w:r w:rsidR="0083487B">
        <w:rPr>
          <w:color w:val="000000" w:themeColor="text1"/>
          <w:szCs w:val="24"/>
        </w:rPr>
        <w:t>”</w:t>
      </w:r>
      <w:r w:rsidR="00242D29">
        <w:rPr>
          <w:color w:val="000000" w:themeColor="text1"/>
          <w:szCs w:val="24"/>
        </w:rPr>
        <w:t>,</w:t>
      </w:r>
      <w:r w:rsidR="0083487B">
        <w:rPr>
          <w:color w:val="000000" w:themeColor="text1"/>
          <w:szCs w:val="24"/>
        </w:rPr>
        <w:t xml:space="preserve"> as unfitting rated at 20% with no other unfitting </w:t>
      </w:r>
      <w:r w:rsidR="0083487B" w:rsidRPr="0083487B">
        <w:rPr>
          <w:color w:val="000000" w:themeColor="text1"/>
          <w:szCs w:val="24"/>
        </w:rPr>
        <w:t xml:space="preserve">conditions.  </w:t>
      </w:r>
      <w:r w:rsidR="0083487B" w:rsidRPr="0083487B">
        <w:rPr>
          <w:color w:val="auto"/>
        </w:rPr>
        <w:t>The CI made no appeals, and was medically separated with a 20% disability rating.</w:t>
      </w:r>
      <w:r w:rsidR="0083487B">
        <w:rPr>
          <w:color w:val="auto"/>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315D8B" w:rsidRDefault="002C6E5B" w:rsidP="007672F3">
      <w:pPr>
        <w:autoSpaceDE w:val="0"/>
        <w:autoSpaceDN w:val="0"/>
        <w:adjustRightInd w:val="0"/>
        <w:jc w:val="both"/>
        <w:rPr>
          <w:rFonts w:asciiTheme="minorHAnsi" w:hAnsiTheme="minorHAnsi"/>
          <w:color w:val="000000" w:themeColor="text1"/>
          <w:szCs w:val="24"/>
        </w:rPr>
      </w:pPr>
      <w:r w:rsidRPr="001F29F9">
        <w:rPr>
          <w:color w:val="000000" w:themeColor="text1"/>
          <w:u w:val="single"/>
        </w:rPr>
        <w:t>CI CONTENTION</w:t>
      </w:r>
      <w:r w:rsidRPr="001F29F9">
        <w:rPr>
          <w:color w:val="000000" w:themeColor="text1"/>
        </w:rPr>
        <w:t>:</w:t>
      </w:r>
      <w:r w:rsidR="00315D8B">
        <w:rPr>
          <w:color w:val="000000" w:themeColor="text1"/>
        </w:rPr>
        <w:t xml:space="preserve">  “</w:t>
      </w:r>
      <w:r w:rsidR="00315D8B" w:rsidRPr="00315D8B">
        <w:rPr>
          <w:rFonts w:asciiTheme="minorHAnsi" w:hAnsiTheme="minorHAnsi"/>
          <w:color w:val="000000" w:themeColor="text1"/>
          <w:szCs w:val="24"/>
        </w:rPr>
        <w:t>I was awarded 30% on (</w:t>
      </w:r>
      <w:r w:rsidR="00315D8B" w:rsidRPr="00822DD8">
        <w:rPr>
          <w:rFonts w:asciiTheme="minorHAnsi" w:hAnsiTheme="minorHAnsi"/>
          <w:color w:val="000000" w:themeColor="text1"/>
          <w:szCs w:val="24"/>
        </w:rPr>
        <w:t xml:space="preserve">February 01 2004) and was later awarded with 20%, on (December 31 2005) which took me off the Temporary Disabled Retirement List.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My condition never bettered, it just got worst (sic).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So how is it that they decreased my percentage?  The reason I believe why it decreased was that when I had done </w:t>
      </w:r>
      <w:proofErr w:type="gramStart"/>
      <w:r w:rsidR="00315D8B" w:rsidRPr="00822DD8">
        <w:rPr>
          <w:rFonts w:asciiTheme="minorHAnsi" w:hAnsiTheme="minorHAnsi"/>
          <w:color w:val="000000" w:themeColor="text1"/>
          <w:szCs w:val="24"/>
        </w:rPr>
        <w:t>a</w:t>
      </w:r>
      <w:proofErr w:type="gramEnd"/>
      <w:r w:rsidR="00315D8B" w:rsidRPr="00822DD8">
        <w:rPr>
          <w:rFonts w:asciiTheme="minorHAnsi" w:hAnsiTheme="minorHAnsi"/>
          <w:color w:val="000000" w:themeColor="text1"/>
          <w:szCs w:val="24"/>
        </w:rPr>
        <w:t xml:space="preserve"> EMG in Tacoma WA. </w:t>
      </w:r>
      <w:proofErr w:type="gramStart"/>
      <w:r w:rsidR="00315D8B" w:rsidRPr="00822DD8">
        <w:rPr>
          <w:rFonts w:asciiTheme="minorHAnsi" w:hAnsiTheme="minorHAnsi"/>
          <w:color w:val="000000" w:themeColor="text1"/>
          <w:szCs w:val="24"/>
        </w:rPr>
        <w:t>by</w:t>
      </w:r>
      <w:proofErr w:type="gramEnd"/>
      <w:r w:rsidR="00315D8B" w:rsidRPr="00822DD8">
        <w:rPr>
          <w:rFonts w:asciiTheme="minorHAnsi" w:hAnsiTheme="minorHAnsi"/>
          <w:color w:val="000000" w:themeColor="text1"/>
          <w:szCs w:val="24"/>
        </w:rPr>
        <w:t xml:space="preserve"> Dr. </w:t>
      </w:r>
      <w:proofErr w:type="spellStart"/>
      <w:r w:rsidR="00315D8B" w:rsidRPr="00822DD8">
        <w:rPr>
          <w:rFonts w:asciiTheme="minorHAnsi" w:hAnsiTheme="minorHAnsi"/>
          <w:color w:val="000000" w:themeColor="text1"/>
          <w:szCs w:val="24"/>
        </w:rPr>
        <w:t>Landes</w:t>
      </w:r>
      <w:proofErr w:type="spellEnd"/>
      <w:r w:rsidR="00315D8B" w:rsidRPr="00822DD8">
        <w:rPr>
          <w:rFonts w:asciiTheme="minorHAnsi" w:hAnsiTheme="minorHAnsi"/>
          <w:color w:val="000000" w:themeColor="text1"/>
          <w:szCs w:val="24"/>
        </w:rPr>
        <w:t xml:space="preserve"> (LTC), he was head of the Physical Medicine at Darnell hospital in FT. Lewis.</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 I had several arguments with him that he was not doing what I believe was right for my health.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Heck he was prescribing me OXYCOTIN 80mg.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I stay asleep all the time and when I wake up, I was in worse pain and had the shakes, any ways!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So then I was boarded out with a Retirement under a program called the TDRL, Temporary Disabled Retirement List with 30%.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Next thing was time for a re-evaluation after a year and the re-</w:t>
      </w:r>
      <w:proofErr w:type="spellStart"/>
      <w:r w:rsidR="00315D8B" w:rsidRPr="00822DD8">
        <w:rPr>
          <w:rFonts w:asciiTheme="minorHAnsi" w:hAnsiTheme="minorHAnsi"/>
          <w:color w:val="000000" w:themeColor="text1"/>
          <w:szCs w:val="24"/>
        </w:rPr>
        <w:t>eval</w:t>
      </w:r>
      <w:proofErr w:type="spellEnd"/>
      <w:r w:rsidR="00315D8B" w:rsidRPr="00822DD8">
        <w:rPr>
          <w:rFonts w:asciiTheme="minorHAnsi" w:hAnsiTheme="minorHAnsi"/>
          <w:color w:val="000000" w:themeColor="text1"/>
          <w:szCs w:val="24"/>
        </w:rPr>
        <w:t xml:space="preserve"> was for my sciatica nerve in San Antonio TX. </w:t>
      </w:r>
      <w:proofErr w:type="gramStart"/>
      <w:r w:rsidR="00315D8B" w:rsidRPr="00822DD8">
        <w:rPr>
          <w:rFonts w:asciiTheme="minorHAnsi" w:hAnsiTheme="minorHAnsi"/>
          <w:color w:val="000000" w:themeColor="text1"/>
          <w:szCs w:val="24"/>
        </w:rPr>
        <w:t>at</w:t>
      </w:r>
      <w:proofErr w:type="gramEnd"/>
      <w:r w:rsidR="00315D8B" w:rsidRPr="00822DD8">
        <w:rPr>
          <w:rFonts w:asciiTheme="minorHAnsi" w:hAnsiTheme="minorHAnsi"/>
          <w:color w:val="000000" w:themeColor="text1"/>
          <w:szCs w:val="24"/>
        </w:rPr>
        <w:t xml:space="preserve"> BAMC, which again, I met up with Dr. </w:t>
      </w:r>
      <w:proofErr w:type="spellStart"/>
      <w:r w:rsidR="00315D8B" w:rsidRPr="00822DD8">
        <w:rPr>
          <w:rFonts w:asciiTheme="minorHAnsi" w:hAnsiTheme="minorHAnsi"/>
          <w:color w:val="000000" w:themeColor="text1"/>
          <w:szCs w:val="24"/>
        </w:rPr>
        <w:t>Landes</w:t>
      </w:r>
      <w:proofErr w:type="spellEnd"/>
      <w:r w:rsidR="00315D8B" w:rsidRPr="00822DD8">
        <w:rPr>
          <w:rFonts w:asciiTheme="minorHAnsi" w:hAnsiTheme="minorHAnsi"/>
          <w:color w:val="000000" w:themeColor="text1"/>
          <w:szCs w:val="24"/>
        </w:rPr>
        <w:t xml:space="preserve"> from WA FT. Lewis.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I walked in we saw eye to eye, </w:t>
      </w:r>
      <w:proofErr w:type="gramStart"/>
      <w:r w:rsidR="00315D8B" w:rsidRPr="00822DD8">
        <w:rPr>
          <w:rFonts w:asciiTheme="minorHAnsi" w:hAnsiTheme="minorHAnsi"/>
          <w:color w:val="000000" w:themeColor="text1"/>
          <w:szCs w:val="24"/>
        </w:rPr>
        <w:t>then</w:t>
      </w:r>
      <w:proofErr w:type="gramEnd"/>
      <w:r w:rsidR="00315D8B" w:rsidRPr="00822DD8">
        <w:rPr>
          <w:rFonts w:asciiTheme="minorHAnsi" w:hAnsiTheme="minorHAnsi"/>
          <w:color w:val="000000" w:themeColor="text1"/>
          <w:szCs w:val="24"/>
        </w:rPr>
        <w:t xml:space="preserve"> </w:t>
      </w:r>
      <w:proofErr w:type="spellStart"/>
      <w:r w:rsidR="00315D8B" w:rsidRPr="00822DD8">
        <w:rPr>
          <w:rFonts w:asciiTheme="minorHAnsi" w:hAnsiTheme="minorHAnsi"/>
          <w:color w:val="000000" w:themeColor="text1"/>
          <w:szCs w:val="24"/>
        </w:rPr>
        <w:t>Landes</w:t>
      </w:r>
      <w:proofErr w:type="spellEnd"/>
      <w:r w:rsidR="00315D8B" w:rsidRPr="00822DD8">
        <w:rPr>
          <w:rFonts w:asciiTheme="minorHAnsi" w:hAnsiTheme="minorHAnsi"/>
          <w:color w:val="000000" w:themeColor="text1"/>
          <w:szCs w:val="24"/>
        </w:rPr>
        <w:t xml:space="preserve"> spoke with the MAJ who was to conduct the test (EMG).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After the test I never did hear what he had said to the MAJ. but couple weeks later, I was reduced from 30% to 20% which they took me off the TDRL and gave me a severance pay.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 xml:space="preserve">The PEB did ask me if </w:t>
      </w:r>
      <w:proofErr w:type="spellStart"/>
      <w:r w:rsidR="00315D8B" w:rsidRPr="00822DD8">
        <w:rPr>
          <w:rFonts w:asciiTheme="minorHAnsi" w:hAnsiTheme="minorHAnsi"/>
          <w:color w:val="000000" w:themeColor="text1"/>
          <w:szCs w:val="24"/>
        </w:rPr>
        <w:t>i</w:t>
      </w:r>
      <w:proofErr w:type="spellEnd"/>
      <w:r w:rsidR="00315D8B" w:rsidRPr="00822DD8">
        <w:rPr>
          <w:rFonts w:asciiTheme="minorHAnsi" w:hAnsiTheme="minorHAnsi"/>
          <w:color w:val="000000" w:themeColor="text1"/>
          <w:szCs w:val="24"/>
        </w:rPr>
        <w:t xml:space="preserve"> wanted to appeal but the person appointed to me (Female) told me that I had no reason to do it and if I did the appeal, it would most likely stay the same. </w:t>
      </w:r>
      <w:r w:rsidR="004B5CAE" w:rsidRPr="00822DD8">
        <w:rPr>
          <w:rFonts w:asciiTheme="minorHAnsi" w:hAnsiTheme="minorHAnsi"/>
          <w:color w:val="000000" w:themeColor="text1"/>
          <w:szCs w:val="24"/>
        </w:rPr>
        <w:t xml:space="preserve"> </w:t>
      </w:r>
      <w:r w:rsidR="00315D8B" w:rsidRPr="00822DD8">
        <w:rPr>
          <w:rFonts w:asciiTheme="minorHAnsi" w:hAnsiTheme="minorHAnsi"/>
          <w:color w:val="000000" w:themeColor="text1"/>
          <w:szCs w:val="24"/>
        </w:rPr>
        <w:t>I felt that</w:t>
      </w:r>
      <w:r w:rsidR="00315D8B" w:rsidRPr="00315D8B">
        <w:rPr>
          <w:rFonts w:asciiTheme="minorHAnsi" w:hAnsiTheme="minorHAnsi"/>
          <w:color w:val="000000" w:themeColor="text1"/>
          <w:szCs w:val="24"/>
        </w:rPr>
        <w:t xml:space="preserve"> </w:t>
      </w:r>
      <w:r w:rsidR="002A2559">
        <w:rPr>
          <w:rFonts w:asciiTheme="minorHAnsi" w:hAnsiTheme="minorHAnsi"/>
          <w:color w:val="000000" w:themeColor="text1"/>
          <w:szCs w:val="24"/>
        </w:rPr>
        <w:t>I</w:t>
      </w:r>
      <w:r w:rsidR="00315D8B" w:rsidRPr="00315D8B">
        <w:rPr>
          <w:rFonts w:asciiTheme="minorHAnsi" w:hAnsiTheme="minorHAnsi"/>
          <w:color w:val="000000" w:themeColor="text1"/>
          <w:szCs w:val="24"/>
        </w:rPr>
        <w:t xml:space="preserve"> had a person who was appointed to me only to convince me to take what the ARMY offered to me."</w:t>
      </w:r>
      <w:r w:rsidR="0079453F">
        <w:rPr>
          <w:rFonts w:asciiTheme="minorHAnsi" w:hAnsiTheme="minorHAnsi"/>
          <w:color w:val="000000" w:themeColor="text1"/>
          <w:szCs w:val="24"/>
        </w:rPr>
        <w:t xml:space="preserve">  The CI also </w:t>
      </w:r>
      <w:r w:rsidR="0079453F">
        <w:rPr>
          <w:rFonts w:asciiTheme="minorHAnsi" w:hAnsiTheme="minorHAnsi"/>
          <w:color w:val="000000" w:themeColor="text1"/>
          <w:szCs w:val="24"/>
        </w:rPr>
        <w:lastRenderedPageBreak/>
        <w:t>states “</w:t>
      </w:r>
      <w:r w:rsidR="0079453F" w:rsidRPr="0079453F">
        <w:rPr>
          <w:rFonts w:asciiTheme="minorHAnsi" w:hAnsiTheme="minorHAnsi"/>
          <w:color w:val="000000" w:themeColor="text1"/>
          <w:szCs w:val="24"/>
        </w:rPr>
        <w:t xml:space="preserve">I was never shown or read the </w:t>
      </w:r>
      <w:proofErr w:type="spellStart"/>
      <w:r w:rsidR="0079453F" w:rsidRPr="0079453F">
        <w:rPr>
          <w:rFonts w:asciiTheme="minorHAnsi" w:hAnsiTheme="minorHAnsi"/>
          <w:color w:val="000000" w:themeColor="text1"/>
          <w:szCs w:val="24"/>
        </w:rPr>
        <w:t>out come</w:t>
      </w:r>
      <w:proofErr w:type="spellEnd"/>
      <w:r w:rsidR="0079453F" w:rsidRPr="0079453F">
        <w:rPr>
          <w:rFonts w:asciiTheme="minorHAnsi" w:hAnsiTheme="minorHAnsi"/>
          <w:color w:val="000000" w:themeColor="text1"/>
          <w:szCs w:val="24"/>
        </w:rPr>
        <w:t xml:space="preserve"> of the EMG test conducted by the MAJ. or LTC. </w:t>
      </w:r>
      <w:proofErr w:type="gramStart"/>
      <w:r w:rsidR="0079453F" w:rsidRPr="0079453F">
        <w:rPr>
          <w:rFonts w:asciiTheme="minorHAnsi" w:hAnsiTheme="minorHAnsi"/>
          <w:color w:val="000000" w:themeColor="text1"/>
          <w:szCs w:val="24"/>
        </w:rPr>
        <w:t>LANDES the SECOND time done for the re-evaluation.</w:t>
      </w:r>
      <w:proofErr w:type="gramEnd"/>
      <w:r w:rsidR="0079453F">
        <w:rPr>
          <w:rFonts w:asciiTheme="minorHAnsi" w:hAnsiTheme="minorHAnsi"/>
          <w:color w:val="000000" w:themeColor="text1"/>
          <w:szCs w:val="24"/>
        </w:rPr>
        <w:t xml:space="preserve"> </w:t>
      </w:r>
      <w:r w:rsidR="004B5CAE">
        <w:rPr>
          <w:rFonts w:asciiTheme="minorHAnsi" w:hAnsiTheme="minorHAnsi"/>
          <w:color w:val="000000" w:themeColor="text1"/>
          <w:szCs w:val="24"/>
        </w:rPr>
        <w:t xml:space="preserve"> </w:t>
      </w:r>
      <w:r w:rsidR="0079453F" w:rsidRPr="0079453F">
        <w:rPr>
          <w:rFonts w:asciiTheme="minorHAnsi" w:hAnsiTheme="minorHAnsi"/>
          <w:color w:val="000000" w:themeColor="text1"/>
          <w:szCs w:val="24"/>
        </w:rPr>
        <w:t xml:space="preserve">I want some help to make this right. </w:t>
      </w:r>
      <w:r w:rsidR="004B5CAE">
        <w:rPr>
          <w:rFonts w:asciiTheme="minorHAnsi" w:hAnsiTheme="minorHAnsi"/>
          <w:color w:val="000000" w:themeColor="text1"/>
          <w:szCs w:val="24"/>
        </w:rPr>
        <w:t xml:space="preserve"> </w:t>
      </w:r>
      <w:r w:rsidR="0079453F" w:rsidRPr="0079453F">
        <w:rPr>
          <w:rFonts w:asciiTheme="minorHAnsi" w:hAnsiTheme="minorHAnsi"/>
          <w:color w:val="000000" w:themeColor="text1"/>
          <w:szCs w:val="24"/>
        </w:rPr>
        <w:t xml:space="preserve">I earned this </w:t>
      </w:r>
      <w:r w:rsidR="0079453F" w:rsidRPr="00822DD8">
        <w:rPr>
          <w:rFonts w:asciiTheme="minorHAnsi" w:hAnsiTheme="minorHAnsi"/>
          <w:color w:val="000000" w:themeColor="text1"/>
          <w:szCs w:val="24"/>
        </w:rPr>
        <w:t>retirement and I feel as if it was stripped away from me from vengeance and not from a Medicine or professional stand point.”</w:t>
      </w:r>
      <w:r w:rsidR="007672F3" w:rsidRPr="00822DD8">
        <w:rPr>
          <w:rFonts w:asciiTheme="minorHAnsi" w:hAnsiTheme="minorHAnsi"/>
          <w:color w:val="000000" w:themeColor="text1"/>
          <w:szCs w:val="24"/>
        </w:rPr>
        <w:t xml:space="preserve">  </w:t>
      </w:r>
    </w:p>
    <w:p w:rsidR="0086036B" w:rsidRPr="00F64312" w:rsidRDefault="0086036B" w:rsidP="0086036B">
      <w:pPr>
        <w:pBdr>
          <w:bottom w:val="single" w:sz="12" w:space="1" w:color="auto"/>
        </w:pBdr>
        <w:tabs>
          <w:tab w:val="left" w:pos="288"/>
          <w:tab w:val="left" w:pos="4752"/>
        </w:tabs>
        <w:jc w:val="both"/>
        <w:rPr>
          <w:color w:val="auto"/>
        </w:rPr>
      </w:pPr>
    </w:p>
    <w:p w:rsidR="0086036B" w:rsidRPr="00F64312" w:rsidRDefault="0086036B" w:rsidP="0086036B">
      <w:pPr>
        <w:jc w:val="both"/>
        <w:rPr>
          <w:color w:val="auto"/>
          <w:u w:val="single"/>
        </w:rPr>
      </w:pPr>
    </w:p>
    <w:p w:rsidR="0086036B" w:rsidRPr="00C566C9" w:rsidRDefault="0086036B" w:rsidP="0086036B">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00242D29">
        <w:rPr>
          <w:color w:val="auto"/>
        </w:rPr>
        <w:t>the Department of Defense Instruction (</w:t>
      </w:r>
      <w:proofErr w:type="spellStart"/>
      <w:r>
        <w:rPr>
          <w:color w:val="auto"/>
        </w:rPr>
        <w:t>DoDI</w:t>
      </w:r>
      <w:proofErr w:type="spellEnd"/>
      <w:r w:rsidR="00242D29">
        <w:rPr>
          <w:color w:val="auto"/>
        </w:rPr>
        <w:t>)</w:t>
      </w:r>
      <w:r>
        <w:rPr>
          <w:color w:val="auto"/>
        </w:rPr>
        <w:t xml:space="preserve">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w:t>
      </w:r>
      <w:r w:rsidRPr="00822DD8">
        <w:rPr>
          <w:color w:val="auto"/>
        </w:rPr>
        <w:t>to be unfitting by the PEB.</w:t>
      </w:r>
      <w:r w:rsidR="002F2CEB">
        <w:rPr>
          <w:color w:val="auto"/>
        </w:rPr>
        <w:t>”</w:t>
      </w:r>
      <w:r w:rsidRPr="00822DD8">
        <w:rPr>
          <w:color w:val="auto"/>
        </w:rPr>
        <w:t xml:space="preserve">  The ratings for unfitting conditions will be reviewed in all cases.  The radiculopathy condition as requested for consideration meets the criteria prescribed in DoDI 6040.44 for Board purview and is addressed below, in addition to a review of the rating for the unfitting lower back condition.  Any conditions or contention not requested in this application, or otherwise outside the Board’s defined scope of review, remain eligible for future consideration by the Army Board for Correcti</w:t>
      </w:r>
      <w:r w:rsidRPr="0086036B">
        <w:rPr>
          <w:color w:val="auto"/>
        </w:rPr>
        <w:t>on of Military Records.</w:t>
      </w:r>
      <w:r>
        <w:rPr>
          <w:color w:val="auto"/>
        </w:rPr>
        <w:t xml:space="preserve">  </w:t>
      </w:r>
    </w:p>
    <w:p w:rsidR="0086036B" w:rsidRPr="00F64312" w:rsidRDefault="0086036B" w:rsidP="0086036B">
      <w:pPr>
        <w:pBdr>
          <w:bottom w:val="single" w:sz="12" w:space="1" w:color="auto"/>
        </w:pBdr>
        <w:tabs>
          <w:tab w:val="left" w:pos="288"/>
          <w:tab w:val="left" w:pos="4752"/>
        </w:tabs>
        <w:jc w:val="both"/>
        <w:rPr>
          <w:color w:val="auto"/>
        </w:rPr>
      </w:pPr>
    </w:p>
    <w:p w:rsidR="0086036B" w:rsidRPr="00F64312" w:rsidRDefault="0086036B" w:rsidP="0086036B">
      <w:pPr>
        <w:jc w:val="both"/>
        <w:rPr>
          <w:color w:val="auto"/>
          <w:u w:val="single"/>
        </w:rPr>
      </w:pPr>
    </w:p>
    <w:p w:rsidR="00A558EF" w:rsidRPr="00894DCF" w:rsidRDefault="007F0AB7" w:rsidP="007672F3">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4B5CAE">
        <w:rPr>
          <w:color w:val="000000" w:themeColor="text1"/>
        </w:rPr>
        <w:t xml:space="preserve">  </w:t>
      </w:r>
    </w:p>
    <w:p w:rsidR="007672F3" w:rsidRPr="00894DCF" w:rsidRDefault="007672F3" w:rsidP="0079453F">
      <w:pPr>
        <w:jc w:val="left"/>
        <w:rPr>
          <w:color w:val="auto"/>
        </w:rPr>
      </w:pPr>
    </w:p>
    <w:tbl>
      <w:tblPr>
        <w:tblStyle w:val="TableGrid"/>
        <w:tblW w:w="9378" w:type="dxa"/>
        <w:jc w:val="center"/>
        <w:tblLayout w:type="fixed"/>
        <w:tblLook w:val="04A0"/>
      </w:tblPr>
      <w:tblGrid>
        <w:gridCol w:w="2169"/>
        <w:gridCol w:w="1260"/>
        <w:gridCol w:w="630"/>
        <w:gridCol w:w="720"/>
        <w:gridCol w:w="1712"/>
        <w:gridCol w:w="7"/>
        <w:gridCol w:w="1080"/>
        <w:gridCol w:w="721"/>
        <w:gridCol w:w="1079"/>
      </w:tblGrid>
      <w:tr w:rsidR="00BF70A6" w:rsidRPr="00894DCF" w:rsidTr="004444EB">
        <w:trPr>
          <w:trHeight w:val="233"/>
          <w:jc w:val="center"/>
        </w:trPr>
        <w:tc>
          <w:tcPr>
            <w:tcW w:w="4779" w:type="dxa"/>
            <w:gridSpan w:val="4"/>
            <w:tcBorders>
              <w:right w:val="thinThickThinSmallGap" w:sz="24" w:space="0" w:color="auto"/>
            </w:tcBorders>
            <w:shd w:val="clear" w:color="auto" w:fill="D9D9D9" w:themeFill="background1" w:themeFillShade="D9"/>
            <w:vAlign w:val="center"/>
          </w:tcPr>
          <w:p w:rsidR="00BF70A6" w:rsidRPr="00894DCF" w:rsidRDefault="00A57C35" w:rsidP="001847F0">
            <w:pPr>
              <w:spacing w:line="200" w:lineRule="exact"/>
              <w:contextualSpacing/>
              <w:rPr>
                <w:rFonts w:ascii="Calibri" w:hAnsi="Calibri" w:cstheme="minorHAnsi"/>
                <w:b/>
                <w:color w:val="auto"/>
                <w:sz w:val="18"/>
                <w:szCs w:val="18"/>
              </w:rPr>
            </w:pPr>
            <w:r w:rsidRPr="00894DCF">
              <w:rPr>
                <w:b/>
                <w:color w:val="auto"/>
                <w:sz w:val="18"/>
                <w:szCs w:val="18"/>
              </w:rPr>
              <w:t>Final Service PEB – Dated 200</w:t>
            </w:r>
            <w:r w:rsidR="0079453F" w:rsidRPr="00894DCF">
              <w:rPr>
                <w:b/>
                <w:color w:val="auto"/>
                <w:sz w:val="18"/>
                <w:szCs w:val="18"/>
              </w:rPr>
              <w:t>50112</w:t>
            </w:r>
          </w:p>
        </w:tc>
        <w:tc>
          <w:tcPr>
            <w:tcW w:w="4599" w:type="dxa"/>
            <w:gridSpan w:val="5"/>
            <w:tcBorders>
              <w:left w:val="thinThickThinSmallGap" w:sz="24" w:space="0" w:color="auto"/>
            </w:tcBorders>
            <w:shd w:val="clear" w:color="auto" w:fill="D9D9D9" w:themeFill="background1" w:themeFillShade="D9"/>
            <w:vAlign w:val="center"/>
          </w:tcPr>
          <w:p w:rsidR="00BF70A6" w:rsidRPr="00894DCF" w:rsidRDefault="00A57C35" w:rsidP="001847F0">
            <w:pPr>
              <w:spacing w:line="200" w:lineRule="exact"/>
              <w:contextualSpacing/>
              <w:rPr>
                <w:rFonts w:ascii="Calibri" w:hAnsi="Calibri" w:cstheme="minorHAnsi"/>
                <w:b/>
                <w:color w:val="auto"/>
                <w:sz w:val="18"/>
                <w:szCs w:val="18"/>
              </w:rPr>
            </w:pPr>
            <w:r w:rsidRPr="00894DCF">
              <w:rPr>
                <w:b/>
                <w:color w:val="auto"/>
                <w:sz w:val="18"/>
                <w:szCs w:val="18"/>
              </w:rPr>
              <w:t>VA* – All Effective Date 200</w:t>
            </w:r>
            <w:r w:rsidR="0079453F" w:rsidRPr="00894DCF">
              <w:rPr>
                <w:b/>
                <w:color w:val="auto"/>
                <w:sz w:val="18"/>
                <w:szCs w:val="18"/>
              </w:rPr>
              <w:t>40202</w:t>
            </w:r>
          </w:p>
        </w:tc>
      </w:tr>
      <w:tr w:rsidR="002A2559" w:rsidRPr="00894DCF" w:rsidTr="002A2559">
        <w:trPr>
          <w:trHeight w:val="233"/>
          <w:jc w:val="center"/>
        </w:trPr>
        <w:tc>
          <w:tcPr>
            <w:tcW w:w="2169" w:type="dxa"/>
            <w:tcBorders>
              <w:bottom w:val="single" w:sz="4" w:space="0" w:color="000000" w:themeColor="text1"/>
            </w:tcBorders>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Condition</w:t>
            </w:r>
          </w:p>
        </w:tc>
        <w:tc>
          <w:tcPr>
            <w:tcW w:w="1260" w:type="dxa"/>
            <w:vMerge w:val="restart"/>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Code</w:t>
            </w:r>
          </w:p>
        </w:tc>
        <w:tc>
          <w:tcPr>
            <w:tcW w:w="135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Rating</w:t>
            </w:r>
          </w:p>
        </w:tc>
        <w:tc>
          <w:tcPr>
            <w:tcW w:w="1712" w:type="dxa"/>
            <w:vMerge w:val="restart"/>
            <w:tcBorders>
              <w:left w:val="thinThickThinSmallGap" w:sz="24" w:space="0" w:color="auto"/>
            </w:tcBorders>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Condition</w:t>
            </w:r>
          </w:p>
        </w:tc>
        <w:tc>
          <w:tcPr>
            <w:tcW w:w="1087" w:type="dxa"/>
            <w:gridSpan w:val="2"/>
            <w:vMerge w:val="restart"/>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Code</w:t>
            </w:r>
          </w:p>
        </w:tc>
        <w:tc>
          <w:tcPr>
            <w:tcW w:w="721" w:type="dxa"/>
            <w:vMerge w:val="restart"/>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Rating</w:t>
            </w:r>
          </w:p>
        </w:tc>
        <w:tc>
          <w:tcPr>
            <w:tcW w:w="1079" w:type="dxa"/>
            <w:vMerge w:val="restart"/>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Exam</w:t>
            </w:r>
          </w:p>
        </w:tc>
      </w:tr>
      <w:tr w:rsidR="002A2559" w:rsidRPr="00894DCF" w:rsidTr="002A2559">
        <w:trPr>
          <w:trHeight w:val="152"/>
          <w:jc w:val="center"/>
        </w:trPr>
        <w:tc>
          <w:tcPr>
            <w:tcW w:w="2169" w:type="dxa"/>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On TDRL – 20031024</w:t>
            </w:r>
          </w:p>
        </w:tc>
        <w:tc>
          <w:tcPr>
            <w:tcW w:w="1260" w:type="dxa"/>
            <w:vMerge/>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p>
        </w:tc>
        <w:tc>
          <w:tcPr>
            <w:tcW w:w="630" w:type="dxa"/>
            <w:tcBorders>
              <w:right w:val="single" w:sz="4" w:space="0" w:color="auto"/>
            </w:tcBorders>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r w:rsidRPr="00894DCF">
              <w:rPr>
                <w:b/>
                <w:color w:val="auto"/>
                <w:sz w:val="18"/>
                <w:szCs w:val="18"/>
              </w:rPr>
              <w:t>TDRL</w:t>
            </w:r>
          </w:p>
        </w:tc>
        <w:tc>
          <w:tcPr>
            <w:tcW w:w="720" w:type="dxa"/>
            <w:tcBorders>
              <w:left w:val="single" w:sz="4" w:space="0" w:color="auto"/>
              <w:right w:val="thinThickThinSmallGap" w:sz="24" w:space="0" w:color="auto"/>
            </w:tcBorders>
            <w:shd w:val="clear" w:color="auto" w:fill="D9D9D9" w:themeFill="background1" w:themeFillShade="D9"/>
            <w:vAlign w:val="center"/>
          </w:tcPr>
          <w:p w:rsidR="002A2559" w:rsidRPr="00894DCF" w:rsidRDefault="002A2559" w:rsidP="001847F0">
            <w:pPr>
              <w:tabs>
                <w:tab w:val="left" w:pos="206"/>
                <w:tab w:val="center" w:pos="387"/>
              </w:tabs>
              <w:spacing w:line="200" w:lineRule="exact"/>
              <w:contextualSpacing/>
              <w:rPr>
                <w:rFonts w:ascii="Calibri" w:hAnsi="Calibri" w:cstheme="minorHAnsi"/>
                <w:b/>
                <w:color w:val="auto"/>
                <w:sz w:val="18"/>
                <w:szCs w:val="18"/>
              </w:rPr>
            </w:pPr>
            <w:r w:rsidRPr="00894DCF">
              <w:rPr>
                <w:b/>
                <w:color w:val="auto"/>
                <w:sz w:val="18"/>
                <w:szCs w:val="18"/>
              </w:rPr>
              <w:t>Sep.</w:t>
            </w:r>
          </w:p>
        </w:tc>
        <w:tc>
          <w:tcPr>
            <w:tcW w:w="1712" w:type="dxa"/>
            <w:vMerge/>
            <w:tcBorders>
              <w:left w:val="thinThickThinSmallGap" w:sz="24" w:space="0" w:color="auto"/>
            </w:tcBorders>
            <w:shd w:val="clear" w:color="auto" w:fill="D9D9D9" w:themeFill="background1" w:themeFillShade="D9"/>
            <w:vAlign w:val="center"/>
          </w:tcPr>
          <w:p w:rsidR="002A2559" w:rsidRPr="00894DCF" w:rsidRDefault="002A2559" w:rsidP="001847F0">
            <w:pPr>
              <w:spacing w:line="200" w:lineRule="exact"/>
              <w:contextualSpacing/>
              <w:rPr>
                <w:rFonts w:ascii="Calibri" w:hAnsi="Calibri" w:cstheme="minorHAnsi"/>
                <w:b/>
                <w:color w:val="auto"/>
                <w:sz w:val="18"/>
                <w:szCs w:val="18"/>
              </w:rPr>
            </w:pPr>
          </w:p>
        </w:tc>
        <w:tc>
          <w:tcPr>
            <w:tcW w:w="1087" w:type="dxa"/>
            <w:gridSpan w:val="2"/>
            <w:vMerge/>
            <w:shd w:val="clear" w:color="auto" w:fill="C6D9F1" w:themeFill="text2" w:themeFillTint="33"/>
          </w:tcPr>
          <w:p w:rsidR="002A2559" w:rsidRPr="00894DCF" w:rsidRDefault="002A2559" w:rsidP="001847F0">
            <w:pPr>
              <w:spacing w:line="200" w:lineRule="exact"/>
              <w:contextualSpacing/>
              <w:rPr>
                <w:rFonts w:ascii="Calibri" w:hAnsi="Calibri" w:cstheme="minorHAnsi"/>
                <w:b/>
                <w:color w:val="auto"/>
                <w:sz w:val="18"/>
                <w:szCs w:val="18"/>
              </w:rPr>
            </w:pPr>
          </w:p>
        </w:tc>
        <w:tc>
          <w:tcPr>
            <w:tcW w:w="721" w:type="dxa"/>
            <w:vMerge/>
            <w:shd w:val="clear" w:color="auto" w:fill="C6D9F1" w:themeFill="text2" w:themeFillTint="33"/>
          </w:tcPr>
          <w:p w:rsidR="002A2559" w:rsidRPr="00894DCF" w:rsidRDefault="002A2559" w:rsidP="001847F0">
            <w:pPr>
              <w:spacing w:line="200" w:lineRule="exact"/>
              <w:contextualSpacing/>
              <w:rPr>
                <w:rFonts w:ascii="Calibri" w:hAnsi="Calibri" w:cstheme="minorHAnsi"/>
                <w:b/>
                <w:color w:val="auto"/>
                <w:sz w:val="18"/>
                <w:szCs w:val="18"/>
              </w:rPr>
            </w:pPr>
          </w:p>
        </w:tc>
        <w:tc>
          <w:tcPr>
            <w:tcW w:w="1079" w:type="dxa"/>
            <w:vMerge/>
            <w:shd w:val="clear" w:color="auto" w:fill="C6D9F1" w:themeFill="text2" w:themeFillTint="33"/>
          </w:tcPr>
          <w:p w:rsidR="002A2559" w:rsidRPr="00894DCF" w:rsidRDefault="002A2559" w:rsidP="001847F0">
            <w:pPr>
              <w:spacing w:line="200" w:lineRule="exact"/>
              <w:contextualSpacing/>
              <w:rPr>
                <w:rFonts w:ascii="Calibri" w:hAnsi="Calibri" w:cstheme="minorHAnsi"/>
                <w:b/>
                <w:color w:val="auto"/>
                <w:sz w:val="18"/>
                <w:szCs w:val="18"/>
              </w:rPr>
            </w:pPr>
          </w:p>
        </w:tc>
      </w:tr>
      <w:tr w:rsidR="001C16E7" w:rsidRPr="00894DCF" w:rsidTr="002A2559">
        <w:trPr>
          <w:trHeight w:val="125"/>
          <w:jc w:val="center"/>
        </w:trPr>
        <w:tc>
          <w:tcPr>
            <w:tcW w:w="2169" w:type="dxa"/>
            <w:tcBorders>
              <w:right w:val="single" w:sz="4" w:space="0" w:color="auto"/>
            </w:tcBorders>
            <w:shd w:val="clear" w:color="auto" w:fill="FFFFFF" w:themeFill="background1"/>
          </w:tcPr>
          <w:p w:rsidR="001C16E7" w:rsidRPr="00894DCF" w:rsidRDefault="002F2CEB" w:rsidP="001847F0">
            <w:pPr>
              <w:spacing w:line="200" w:lineRule="exact"/>
              <w:contextualSpacing/>
              <w:jc w:val="both"/>
              <w:rPr>
                <w:rFonts w:ascii="Calibri" w:eastAsia="Times New Roman" w:hAnsi="Calibri" w:cstheme="minorHAnsi"/>
                <w:color w:val="auto"/>
                <w:sz w:val="18"/>
                <w:szCs w:val="18"/>
              </w:rPr>
            </w:pPr>
            <w:r>
              <w:rPr>
                <w:rFonts w:ascii="Calibri" w:hAnsi="Calibri" w:cstheme="minorHAnsi"/>
                <w:color w:val="auto"/>
                <w:sz w:val="18"/>
                <w:szCs w:val="18"/>
              </w:rPr>
              <w:t xml:space="preserve">LBP </w:t>
            </w:r>
            <w:r w:rsidR="001C16E7" w:rsidRPr="00894DCF">
              <w:rPr>
                <w:rFonts w:ascii="Calibri" w:hAnsi="Calibri" w:cstheme="minorHAnsi"/>
                <w:color w:val="auto"/>
                <w:sz w:val="18"/>
                <w:szCs w:val="18"/>
              </w:rPr>
              <w:t>S/P Fall</w:t>
            </w:r>
            <w:r w:rsidR="004B5CAE" w:rsidRPr="00894DCF">
              <w:rPr>
                <w:rFonts w:ascii="Calibri" w:hAnsi="Calibri" w:cstheme="minorHAnsi"/>
                <w:color w:val="auto"/>
                <w:sz w:val="18"/>
                <w:szCs w:val="18"/>
              </w:rPr>
              <w:t>, DDD L4/5, L5/S1, HNP L5/S1</w:t>
            </w:r>
          </w:p>
        </w:tc>
        <w:tc>
          <w:tcPr>
            <w:tcW w:w="1260" w:type="dxa"/>
            <w:tcBorders>
              <w:left w:val="single" w:sz="4" w:space="0" w:color="auto"/>
            </w:tcBorders>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5243-5299</w:t>
            </w:r>
            <w:r w:rsidR="00F4135A" w:rsidRPr="00894DCF">
              <w:rPr>
                <w:rFonts w:ascii="Calibri" w:hAnsi="Calibri" w:cstheme="minorHAnsi"/>
                <w:color w:val="auto"/>
                <w:sz w:val="18"/>
                <w:szCs w:val="18"/>
              </w:rPr>
              <w:t>-5237</w:t>
            </w:r>
          </w:p>
        </w:tc>
        <w:tc>
          <w:tcPr>
            <w:tcW w:w="630" w:type="dxa"/>
            <w:tcBorders>
              <w:right w:val="single" w:sz="4" w:space="0" w:color="auto"/>
            </w:tcBorders>
            <w:shd w:val="clear" w:color="auto" w:fill="FFFFFF" w:themeFill="background1"/>
            <w:vAlign w:val="center"/>
          </w:tcPr>
          <w:p w:rsidR="001C16E7" w:rsidRPr="00894DCF" w:rsidRDefault="001C16E7" w:rsidP="001847F0">
            <w:pPr>
              <w:spacing w:line="200" w:lineRule="exact"/>
              <w:rPr>
                <w:rFonts w:ascii="Calibri" w:eastAsia="Times New Roman" w:hAnsi="Calibri" w:cstheme="minorHAnsi"/>
                <w:color w:val="auto"/>
                <w:sz w:val="18"/>
                <w:szCs w:val="18"/>
              </w:rPr>
            </w:pPr>
            <w:r w:rsidRPr="00894DCF">
              <w:rPr>
                <w:rFonts w:ascii="Calibri" w:hAnsi="Calibri" w:cstheme="minorHAnsi"/>
                <w:color w:val="auto"/>
                <w:sz w:val="18"/>
                <w:szCs w:val="18"/>
              </w:rPr>
              <w:t>20%</w:t>
            </w:r>
          </w:p>
        </w:tc>
        <w:tc>
          <w:tcPr>
            <w:tcW w:w="720" w:type="dxa"/>
            <w:tcBorders>
              <w:left w:val="single" w:sz="4" w:space="0" w:color="auto"/>
              <w:right w:val="thinThickThinSmallGap" w:sz="24" w:space="0" w:color="auto"/>
            </w:tcBorders>
            <w:shd w:val="clear" w:color="auto" w:fill="D9D9D9" w:themeFill="background1" w:themeFillShade="D9"/>
            <w:vAlign w:val="center"/>
          </w:tcPr>
          <w:p w:rsidR="001C16E7" w:rsidRPr="00894DCF" w:rsidRDefault="001C16E7" w:rsidP="001847F0">
            <w:pPr>
              <w:spacing w:line="200" w:lineRule="exact"/>
              <w:rPr>
                <w:rFonts w:ascii="Calibri" w:eastAsia="Times New Roman" w:hAnsi="Calibri" w:cstheme="minorHAnsi"/>
                <w:color w:val="auto"/>
                <w:sz w:val="18"/>
                <w:szCs w:val="18"/>
              </w:rPr>
            </w:pPr>
          </w:p>
        </w:tc>
        <w:tc>
          <w:tcPr>
            <w:tcW w:w="1712" w:type="dxa"/>
            <w:vMerge w:val="restart"/>
            <w:tcBorders>
              <w:left w:val="thinThickThinSmallGap" w:sz="24" w:space="0" w:color="auto"/>
            </w:tcBorders>
            <w:shd w:val="clear" w:color="auto" w:fill="FFFFFF" w:themeFill="background1"/>
            <w:vAlign w:val="center"/>
          </w:tcPr>
          <w:p w:rsidR="001C16E7" w:rsidRPr="00894DCF" w:rsidRDefault="001C16E7" w:rsidP="001847F0">
            <w:pPr>
              <w:spacing w:line="200" w:lineRule="exact"/>
              <w:contextualSpacing/>
              <w:jc w:val="left"/>
              <w:rPr>
                <w:rFonts w:ascii="Calibri" w:eastAsia="Times New Roman" w:hAnsi="Calibri" w:cstheme="minorHAnsi"/>
                <w:color w:val="auto"/>
                <w:sz w:val="18"/>
                <w:szCs w:val="18"/>
              </w:rPr>
            </w:pPr>
            <w:r w:rsidRPr="00894DCF">
              <w:rPr>
                <w:rFonts w:ascii="Calibri" w:hAnsi="Calibri" w:cstheme="minorHAnsi"/>
                <w:color w:val="auto"/>
                <w:sz w:val="18"/>
                <w:szCs w:val="18"/>
              </w:rPr>
              <w:t>DDD, L-Spine</w:t>
            </w:r>
          </w:p>
        </w:tc>
        <w:tc>
          <w:tcPr>
            <w:tcW w:w="1087" w:type="dxa"/>
            <w:gridSpan w:val="2"/>
            <w:vMerge w:val="restart"/>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5243</w:t>
            </w:r>
          </w:p>
        </w:tc>
        <w:tc>
          <w:tcPr>
            <w:tcW w:w="721" w:type="dxa"/>
            <w:vMerge w:val="restart"/>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10%</w:t>
            </w:r>
          </w:p>
        </w:tc>
        <w:tc>
          <w:tcPr>
            <w:tcW w:w="1079" w:type="dxa"/>
            <w:vMerge w:val="restart"/>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20031218</w:t>
            </w:r>
          </w:p>
        </w:tc>
      </w:tr>
      <w:tr w:rsidR="001C16E7" w:rsidRPr="00894DCF" w:rsidTr="002A2559">
        <w:trPr>
          <w:trHeight w:val="125"/>
          <w:jc w:val="center"/>
        </w:trPr>
        <w:tc>
          <w:tcPr>
            <w:tcW w:w="2169" w:type="dxa"/>
            <w:tcBorders>
              <w:right w:val="single" w:sz="4" w:space="0" w:color="auto"/>
            </w:tcBorders>
            <w:shd w:val="clear" w:color="auto" w:fill="FFFFFF" w:themeFill="background1"/>
          </w:tcPr>
          <w:p w:rsidR="001C16E7" w:rsidRPr="00894DCF" w:rsidRDefault="004B5CAE" w:rsidP="004444EB">
            <w:pPr>
              <w:spacing w:line="200" w:lineRule="exact"/>
              <w:contextualSpacing/>
              <w:jc w:val="both"/>
              <w:rPr>
                <w:rFonts w:ascii="Calibri" w:eastAsia="Times New Roman" w:hAnsi="Calibri" w:cstheme="minorHAnsi"/>
                <w:color w:val="auto"/>
                <w:sz w:val="18"/>
                <w:szCs w:val="18"/>
              </w:rPr>
            </w:pPr>
            <w:r w:rsidRPr="00894DCF">
              <w:rPr>
                <w:rFonts w:ascii="Calibri" w:hAnsi="Calibri" w:cstheme="minorHAnsi"/>
                <w:color w:val="auto"/>
                <w:sz w:val="18"/>
                <w:szCs w:val="18"/>
              </w:rPr>
              <w:t>Back Pain w/</w:t>
            </w:r>
            <w:r w:rsidR="001C16E7" w:rsidRPr="00894DCF">
              <w:rPr>
                <w:rFonts w:ascii="Calibri" w:hAnsi="Calibri" w:cstheme="minorHAnsi"/>
                <w:color w:val="auto"/>
                <w:sz w:val="18"/>
                <w:szCs w:val="18"/>
              </w:rPr>
              <w:t xml:space="preserve"> L</w:t>
            </w:r>
            <w:r w:rsidR="004444EB" w:rsidRPr="00894DCF">
              <w:rPr>
                <w:rFonts w:ascii="Calibri" w:hAnsi="Calibri" w:cstheme="minorHAnsi"/>
                <w:color w:val="auto"/>
                <w:sz w:val="18"/>
                <w:szCs w:val="18"/>
              </w:rPr>
              <w:t>5-S1</w:t>
            </w:r>
            <w:r w:rsidRPr="00894DCF">
              <w:rPr>
                <w:rFonts w:ascii="Calibri" w:hAnsi="Calibri" w:cstheme="minorHAnsi"/>
                <w:color w:val="auto"/>
                <w:sz w:val="18"/>
                <w:szCs w:val="18"/>
              </w:rPr>
              <w:t xml:space="preserve"> HNP</w:t>
            </w:r>
          </w:p>
        </w:tc>
        <w:tc>
          <w:tcPr>
            <w:tcW w:w="1260" w:type="dxa"/>
            <w:tcBorders>
              <w:left w:val="single" w:sz="4" w:space="0" w:color="auto"/>
            </w:tcBorders>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52</w:t>
            </w:r>
            <w:r w:rsidR="00F4135A" w:rsidRPr="00894DCF">
              <w:rPr>
                <w:rFonts w:ascii="Calibri" w:hAnsi="Calibri" w:cstheme="minorHAnsi"/>
                <w:color w:val="auto"/>
                <w:sz w:val="18"/>
                <w:szCs w:val="18"/>
              </w:rPr>
              <w:t>43</w:t>
            </w:r>
          </w:p>
        </w:tc>
        <w:tc>
          <w:tcPr>
            <w:tcW w:w="630" w:type="dxa"/>
            <w:tcBorders>
              <w:right w:val="single" w:sz="4" w:space="0" w:color="auto"/>
            </w:tcBorders>
            <w:shd w:val="clear" w:color="auto" w:fill="D9D9D9" w:themeFill="background1" w:themeFillShade="D9"/>
            <w:vAlign w:val="center"/>
          </w:tcPr>
          <w:p w:rsidR="001C16E7" w:rsidRPr="00894DCF" w:rsidRDefault="001C16E7" w:rsidP="001847F0">
            <w:pPr>
              <w:spacing w:line="200" w:lineRule="exact"/>
              <w:rPr>
                <w:rFonts w:ascii="Calibri" w:eastAsia="Times New Roman" w:hAnsi="Calibri" w:cstheme="minorHAnsi"/>
                <w:color w:val="auto"/>
                <w:sz w:val="18"/>
                <w:szCs w:val="18"/>
              </w:rPr>
            </w:pPr>
          </w:p>
        </w:tc>
        <w:tc>
          <w:tcPr>
            <w:tcW w:w="720" w:type="dxa"/>
            <w:tcBorders>
              <w:left w:val="single" w:sz="4" w:space="0" w:color="auto"/>
              <w:right w:val="thinThickThinSmallGap" w:sz="24" w:space="0" w:color="auto"/>
            </w:tcBorders>
            <w:shd w:val="clear" w:color="auto" w:fill="FFFFFF" w:themeFill="background1"/>
            <w:vAlign w:val="center"/>
          </w:tcPr>
          <w:p w:rsidR="001C16E7" w:rsidRPr="00894DCF" w:rsidRDefault="00F4135A" w:rsidP="001847F0">
            <w:pPr>
              <w:spacing w:line="200" w:lineRule="exact"/>
              <w:rPr>
                <w:rFonts w:ascii="Calibri" w:eastAsia="Times New Roman" w:hAnsi="Calibri" w:cstheme="minorHAnsi"/>
                <w:color w:val="auto"/>
                <w:sz w:val="18"/>
                <w:szCs w:val="18"/>
              </w:rPr>
            </w:pPr>
            <w:r w:rsidRPr="00894DCF">
              <w:rPr>
                <w:rFonts w:ascii="Calibri" w:hAnsi="Calibri" w:cstheme="minorHAnsi"/>
                <w:color w:val="auto"/>
                <w:sz w:val="18"/>
                <w:szCs w:val="18"/>
              </w:rPr>
              <w:t>20%</w:t>
            </w:r>
            <w:r w:rsidR="004B5CAE" w:rsidRPr="00894DCF">
              <w:rPr>
                <w:rFonts w:ascii="Calibri" w:hAnsi="Calibri" w:cstheme="minorHAnsi"/>
                <w:color w:val="auto"/>
                <w:sz w:val="18"/>
                <w:szCs w:val="18"/>
              </w:rPr>
              <w:t>**</w:t>
            </w:r>
          </w:p>
        </w:tc>
        <w:tc>
          <w:tcPr>
            <w:tcW w:w="1712" w:type="dxa"/>
            <w:vMerge/>
            <w:tcBorders>
              <w:left w:val="thinThickThinSmallGap" w:sz="24" w:space="0" w:color="auto"/>
            </w:tcBorders>
            <w:shd w:val="clear" w:color="auto" w:fill="FFFFFF" w:themeFill="background1"/>
          </w:tcPr>
          <w:p w:rsidR="001C16E7" w:rsidRPr="00894DCF" w:rsidRDefault="001C16E7" w:rsidP="001847F0">
            <w:pPr>
              <w:spacing w:line="200" w:lineRule="exact"/>
              <w:contextualSpacing/>
              <w:jc w:val="both"/>
              <w:rPr>
                <w:rFonts w:ascii="Calibri" w:eastAsia="Times New Roman" w:hAnsi="Calibri" w:cstheme="minorHAnsi"/>
                <w:color w:val="auto"/>
                <w:sz w:val="18"/>
                <w:szCs w:val="18"/>
              </w:rPr>
            </w:pPr>
          </w:p>
        </w:tc>
        <w:tc>
          <w:tcPr>
            <w:tcW w:w="1087" w:type="dxa"/>
            <w:gridSpan w:val="2"/>
            <w:vMerge/>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p>
        </w:tc>
        <w:tc>
          <w:tcPr>
            <w:tcW w:w="721" w:type="dxa"/>
            <w:vMerge/>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p>
        </w:tc>
        <w:tc>
          <w:tcPr>
            <w:tcW w:w="1079" w:type="dxa"/>
            <w:vMerge/>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p>
        </w:tc>
      </w:tr>
      <w:tr w:rsidR="001C16E7" w:rsidRPr="00894DCF" w:rsidTr="002A2559">
        <w:trPr>
          <w:trHeight w:val="188"/>
          <w:jc w:val="center"/>
        </w:trPr>
        <w:tc>
          <w:tcPr>
            <w:tcW w:w="2169" w:type="dxa"/>
            <w:tcBorders>
              <w:right w:val="single" w:sz="4" w:space="0" w:color="auto"/>
            </w:tcBorders>
            <w:shd w:val="clear" w:color="auto" w:fill="FFFFFF" w:themeFill="background1"/>
          </w:tcPr>
          <w:p w:rsidR="001C16E7" w:rsidRPr="00894DCF" w:rsidRDefault="001C16E7" w:rsidP="001847F0">
            <w:pPr>
              <w:spacing w:line="200" w:lineRule="exact"/>
              <w:contextualSpacing/>
              <w:jc w:val="both"/>
              <w:rPr>
                <w:rFonts w:ascii="Calibri" w:eastAsia="Times New Roman" w:hAnsi="Calibri" w:cstheme="minorHAnsi"/>
                <w:color w:val="auto"/>
                <w:sz w:val="18"/>
                <w:szCs w:val="18"/>
              </w:rPr>
            </w:pPr>
            <w:r w:rsidRPr="00894DCF">
              <w:rPr>
                <w:rFonts w:ascii="Calibri" w:hAnsi="Calibri" w:cstheme="minorHAnsi"/>
                <w:color w:val="auto"/>
                <w:sz w:val="18"/>
                <w:szCs w:val="18"/>
              </w:rPr>
              <w:t>L</w:t>
            </w:r>
            <w:r w:rsidR="001847F0" w:rsidRPr="00894DCF">
              <w:rPr>
                <w:rFonts w:ascii="Calibri" w:hAnsi="Calibri" w:cstheme="minorHAnsi"/>
                <w:color w:val="auto"/>
                <w:sz w:val="18"/>
                <w:szCs w:val="18"/>
              </w:rPr>
              <w:t>ef</w:t>
            </w:r>
            <w:r w:rsidRPr="00894DCF">
              <w:rPr>
                <w:rFonts w:ascii="Calibri" w:hAnsi="Calibri" w:cstheme="minorHAnsi"/>
                <w:color w:val="auto"/>
                <w:sz w:val="18"/>
                <w:szCs w:val="18"/>
              </w:rPr>
              <w:t xml:space="preserve">t </w:t>
            </w:r>
            <w:r w:rsidR="002A2559" w:rsidRPr="00894DCF">
              <w:rPr>
                <w:rFonts w:ascii="Calibri" w:hAnsi="Calibri" w:cstheme="minorHAnsi"/>
                <w:color w:val="auto"/>
                <w:sz w:val="18"/>
                <w:szCs w:val="18"/>
              </w:rPr>
              <w:t xml:space="preserve">Sciatic </w:t>
            </w:r>
            <w:r w:rsidRPr="00894DCF">
              <w:rPr>
                <w:rFonts w:ascii="Calibri" w:hAnsi="Calibri" w:cstheme="minorHAnsi"/>
                <w:color w:val="auto"/>
                <w:sz w:val="18"/>
                <w:szCs w:val="18"/>
              </w:rPr>
              <w:t>Radiculopathy</w:t>
            </w:r>
          </w:p>
        </w:tc>
        <w:tc>
          <w:tcPr>
            <w:tcW w:w="1260" w:type="dxa"/>
            <w:tcBorders>
              <w:right w:val="single" w:sz="4" w:space="0" w:color="auto"/>
            </w:tcBorders>
            <w:shd w:val="clear" w:color="auto" w:fill="FFFFFF" w:themeFill="background1"/>
            <w:vAlign w:val="center"/>
          </w:tcPr>
          <w:p w:rsidR="001C16E7" w:rsidRPr="00894DCF" w:rsidRDefault="001C16E7" w:rsidP="001847F0">
            <w:pPr>
              <w:spacing w:line="200" w:lineRule="exact"/>
              <w:contextualSpacing/>
              <w:rPr>
                <w:color w:val="auto"/>
                <w:sz w:val="18"/>
                <w:szCs w:val="18"/>
              </w:rPr>
            </w:pPr>
            <w:r w:rsidRPr="00894DCF">
              <w:rPr>
                <w:color w:val="auto"/>
                <w:sz w:val="18"/>
                <w:szCs w:val="18"/>
              </w:rPr>
              <w:t>5243-8620</w:t>
            </w:r>
          </w:p>
        </w:tc>
        <w:tc>
          <w:tcPr>
            <w:tcW w:w="630" w:type="dxa"/>
            <w:tcBorders>
              <w:right w:val="single" w:sz="4" w:space="0" w:color="auto"/>
            </w:tcBorders>
            <w:shd w:val="clear" w:color="auto" w:fill="FFFFFF" w:themeFill="background1"/>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eastAsia="Times New Roman" w:hAnsi="Calibri" w:cstheme="minorHAnsi"/>
                <w:color w:val="auto"/>
                <w:sz w:val="18"/>
                <w:szCs w:val="18"/>
              </w:rPr>
              <w:t>10%</w:t>
            </w:r>
          </w:p>
        </w:tc>
        <w:tc>
          <w:tcPr>
            <w:tcW w:w="720" w:type="dxa"/>
            <w:tcBorders>
              <w:left w:val="single" w:sz="4" w:space="0" w:color="auto"/>
              <w:right w:val="thinThickThinSmallGap" w:sz="24" w:space="0" w:color="auto"/>
            </w:tcBorders>
            <w:shd w:val="clear" w:color="auto" w:fill="FFFFFF" w:themeFill="background1"/>
          </w:tcPr>
          <w:p w:rsidR="001C16E7" w:rsidRPr="00894DCF" w:rsidRDefault="001C16E7" w:rsidP="001847F0">
            <w:pPr>
              <w:spacing w:line="200" w:lineRule="exact"/>
              <w:contextualSpacing/>
              <w:rPr>
                <w:color w:val="auto"/>
                <w:sz w:val="18"/>
                <w:szCs w:val="18"/>
              </w:rPr>
            </w:pPr>
            <w:r w:rsidRPr="00894DCF">
              <w:rPr>
                <w:color w:val="auto"/>
                <w:sz w:val="18"/>
                <w:szCs w:val="18"/>
              </w:rPr>
              <w:t>**</w:t>
            </w:r>
          </w:p>
        </w:tc>
        <w:tc>
          <w:tcPr>
            <w:tcW w:w="1712" w:type="dxa"/>
            <w:tcBorders>
              <w:left w:val="thinThickThinSmallGap" w:sz="24" w:space="0" w:color="auto"/>
              <w:right w:val="single" w:sz="4" w:space="0" w:color="auto"/>
            </w:tcBorders>
            <w:shd w:val="clear" w:color="auto" w:fill="FFFFFF" w:themeFill="background1"/>
            <w:vAlign w:val="center"/>
          </w:tcPr>
          <w:p w:rsidR="001C16E7" w:rsidRPr="00894DCF" w:rsidRDefault="001C16E7" w:rsidP="001847F0">
            <w:pPr>
              <w:spacing w:line="200" w:lineRule="exact"/>
              <w:contextualSpacing/>
              <w:jc w:val="left"/>
              <w:rPr>
                <w:rFonts w:ascii="Calibri" w:eastAsia="Times New Roman" w:hAnsi="Calibri" w:cstheme="minorHAnsi"/>
                <w:color w:val="auto"/>
                <w:sz w:val="18"/>
                <w:szCs w:val="18"/>
              </w:rPr>
            </w:pPr>
            <w:r w:rsidRPr="00894DCF">
              <w:rPr>
                <w:rFonts w:ascii="Calibri" w:hAnsi="Calibri" w:cstheme="minorHAnsi"/>
                <w:color w:val="auto"/>
                <w:sz w:val="18"/>
                <w:szCs w:val="18"/>
              </w:rPr>
              <w:t>LLE Radiculopathy</w:t>
            </w:r>
          </w:p>
        </w:tc>
        <w:tc>
          <w:tcPr>
            <w:tcW w:w="1087" w:type="dxa"/>
            <w:gridSpan w:val="2"/>
            <w:tcBorders>
              <w:left w:val="single" w:sz="4" w:space="0" w:color="auto"/>
              <w:right w:val="single" w:sz="4" w:space="0" w:color="auto"/>
            </w:tcBorders>
            <w:shd w:val="clear" w:color="auto" w:fill="FFFFFF" w:themeFill="background1"/>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8720</w:t>
            </w:r>
          </w:p>
        </w:tc>
        <w:tc>
          <w:tcPr>
            <w:tcW w:w="721" w:type="dxa"/>
            <w:tcBorders>
              <w:left w:val="single" w:sz="4" w:space="0" w:color="auto"/>
            </w:tcBorders>
            <w:shd w:val="clear" w:color="auto" w:fill="FFFFFF" w:themeFill="background1"/>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10%</w:t>
            </w:r>
            <w:r w:rsidR="001847F0" w:rsidRPr="00894DCF">
              <w:rPr>
                <w:rFonts w:ascii="Calibri" w:hAnsi="Calibri" w:cstheme="minorHAnsi"/>
                <w:color w:val="auto"/>
                <w:sz w:val="18"/>
                <w:szCs w:val="18"/>
              </w:rPr>
              <w:t>*</w:t>
            </w:r>
          </w:p>
        </w:tc>
        <w:tc>
          <w:tcPr>
            <w:tcW w:w="1079" w:type="dxa"/>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20031218</w:t>
            </w:r>
          </w:p>
        </w:tc>
      </w:tr>
      <w:tr w:rsidR="001C16E7" w:rsidRPr="00894DCF" w:rsidTr="002A2559">
        <w:trPr>
          <w:trHeight w:val="188"/>
          <w:jc w:val="center"/>
        </w:trPr>
        <w:tc>
          <w:tcPr>
            <w:tcW w:w="2169" w:type="dxa"/>
            <w:tcBorders>
              <w:right w:val="single" w:sz="4" w:space="0" w:color="auto"/>
            </w:tcBorders>
            <w:shd w:val="clear" w:color="auto" w:fill="FFFFFF" w:themeFill="background1"/>
          </w:tcPr>
          <w:p w:rsidR="001C16E7" w:rsidRPr="00894DCF" w:rsidRDefault="001C16E7" w:rsidP="001847F0">
            <w:pPr>
              <w:spacing w:line="200" w:lineRule="exact"/>
              <w:contextualSpacing/>
              <w:jc w:val="both"/>
              <w:rPr>
                <w:rFonts w:ascii="Calibri" w:eastAsia="Times New Roman" w:hAnsi="Calibri" w:cstheme="minorHAnsi"/>
                <w:color w:val="auto"/>
                <w:sz w:val="18"/>
                <w:szCs w:val="18"/>
              </w:rPr>
            </w:pPr>
            <w:r w:rsidRPr="00894DCF">
              <w:rPr>
                <w:rFonts w:ascii="Calibri" w:hAnsi="Calibri" w:cstheme="minorHAnsi"/>
                <w:color w:val="auto"/>
                <w:sz w:val="18"/>
                <w:szCs w:val="18"/>
              </w:rPr>
              <w:t>HTN</w:t>
            </w:r>
          </w:p>
        </w:tc>
        <w:tc>
          <w:tcPr>
            <w:tcW w:w="2610" w:type="dxa"/>
            <w:gridSpan w:val="3"/>
            <w:tcBorders>
              <w:right w:val="thinThickThinSmallGap" w:sz="24" w:space="0" w:color="auto"/>
            </w:tcBorders>
            <w:shd w:val="clear" w:color="auto" w:fill="FFFFFF" w:themeFill="background1"/>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Not Unfitting</w:t>
            </w:r>
          </w:p>
        </w:tc>
        <w:tc>
          <w:tcPr>
            <w:tcW w:w="1712" w:type="dxa"/>
            <w:tcBorders>
              <w:left w:val="thinThickThinSmallGap" w:sz="24" w:space="0" w:color="auto"/>
              <w:right w:val="single" w:sz="4" w:space="0" w:color="auto"/>
            </w:tcBorders>
            <w:shd w:val="clear" w:color="auto" w:fill="FFFFFF" w:themeFill="background1"/>
          </w:tcPr>
          <w:p w:rsidR="001C16E7" w:rsidRPr="00894DCF" w:rsidRDefault="001C16E7" w:rsidP="001847F0">
            <w:pPr>
              <w:spacing w:line="200" w:lineRule="exact"/>
              <w:contextualSpacing/>
              <w:jc w:val="left"/>
              <w:rPr>
                <w:rFonts w:ascii="Calibri" w:eastAsia="Times New Roman" w:hAnsi="Calibri" w:cstheme="minorHAnsi"/>
                <w:color w:val="auto"/>
                <w:sz w:val="18"/>
                <w:szCs w:val="18"/>
              </w:rPr>
            </w:pPr>
            <w:r w:rsidRPr="00894DCF">
              <w:rPr>
                <w:rFonts w:ascii="Calibri" w:eastAsia="Times New Roman" w:hAnsi="Calibri" w:cstheme="minorHAnsi"/>
                <w:color w:val="auto"/>
                <w:sz w:val="18"/>
                <w:szCs w:val="18"/>
              </w:rPr>
              <w:t>HTN</w:t>
            </w:r>
          </w:p>
        </w:tc>
        <w:tc>
          <w:tcPr>
            <w:tcW w:w="1087" w:type="dxa"/>
            <w:gridSpan w:val="2"/>
            <w:tcBorders>
              <w:left w:val="single" w:sz="4" w:space="0" w:color="auto"/>
              <w:right w:val="single" w:sz="4" w:space="0" w:color="auto"/>
            </w:tcBorders>
            <w:shd w:val="clear" w:color="auto" w:fill="FFFFFF" w:themeFill="background1"/>
            <w:vAlign w:val="center"/>
          </w:tcPr>
          <w:p w:rsidR="001C16E7" w:rsidRPr="00894DCF" w:rsidRDefault="001C16E7" w:rsidP="001847F0">
            <w:pPr>
              <w:spacing w:line="200" w:lineRule="exact"/>
              <w:contextualSpacing/>
              <w:rPr>
                <w:color w:val="auto"/>
                <w:sz w:val="18"/>
                <w:szCs w:val="18"/>
              </w:rPr>
            </w:pPr>
            <w:r w:rsidRPr="00894DCF">
              <w:rPr>
                <w:color w:val="auto"/>
                <w:sz w:val="18"/>
                <w:szCs w:val="18"/>
              </w:rPr>
              <w:t>7101</w:t>
            </w:r>
          </w:p>
        </w:tc>
        <w:tc>
          <w:tcPr>
            <w:tcW w:w="721" w:type="dxa"/>
            <w:tcBorders>
              <w:left w:val="single" w:sz="4" w:space="0" w:color="auto"/>
            </w:tcBorders>
            <w:shd w:val="clear" w:color="auto" w:fill="FFFFFF" w:themeFill="background1"/>
            <w:vAlign w:val="center"/>
          </w:tcPr>
          <w:p w:rsidR="001C16E7" w:rsidRPr="00894DCF" w:rsidRDefault="001C16E7" w:rsidP="001847F0">
            <w:pPr>
              <w:spacing w:line="200" w:lineRule="exact"/>
              <w:contextualSpacing/>
              <w:rPr>
                <w:color w:val="auto"/>
                <w:sz w:val="18"/>
                <w:szCs w:val="18"/>
              </w:rPr>
            </w:pPr>
            <w:r w:rsidRPr="00894DCF">
              <w:rPr>
                <w:color w:val="auto"/>
                <w:sz w:val="18"/>
                <w:szCs w:val="18"/>
              </w:rPr>
              <w:t>10%</w:t>
            </w:r>
          </w:p>
        </w:tc>
        <w:tc>
          <w:tcPr>
            <w:tcW w:w="1079" w:type="dxa"/>
            <w:shd w:val="clear" w:color="auto" w:fill="FFFFFF" w:themeFill="background1"/>
            <w:vAlign w:val="center"/>
          </w:tcPr>
          <w:p w:rsidR="001C16E7"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20031218</w:t>
            </w:r>
          </w:p>
        </w:tc>
      </w:tr>
      <w:tr w:rsidR="001C16E7" w:rsidRPr="00894DCF" w:rsidTr="002A2559">
        <w:trPr>
          <w:trHeight w:val="188"/>
          <w:jc w:val="center"/>
        </w:trPr>
        <w:tc>
          <w:tcPr>
            <w:tcW w:w="2169" w:type="dxa"/>
            <w:tcBorders>
              <w:right w:val="single" w:sz="4" w:space="0" w:color="auto"/>
            </w:tcBorders>
            <w:shd w:val="clear" w:color="auto" w:fill="FFFFFF" w:themeFill="background1"/>
          </w:tcPr>
          <w:p w:rsidR="001C16E7" w:rsidRPr="00894DCF" w:rsidRDefault="001C16E7" w:rsidP="001847F0">
            <w:pPr>
              <w:spacing w:line="200" w:lineRule="exact"/>
              <w:contextualSpacing/>
              <w:jc w:val="both"/>
              <w:rPr>
                <w:color w:val="auto"/>
                <w:sz w:val="18"/>
                <w:szCs w:val="18"/>
              </w:rPr>
            </w:pPr>
            <w:r w:rsidRPr="00894DCF">
              <w:rPr>
                <w:color w:val="auto"/>
                <w:sz w:val="18"/>
                <w:szCs w:val="18"/>
              </w:rPr>
              <w:t>Depressive D/O, NOS</w:t>
            </w:r>
          </w:p>
        </w:tc>
        <w:tc>
          <w:tcPr>
            <w:tcW w:w="2610" w:type="dxa"/>
            <w:gridSpan w:val="3"/>
            <w:tcBorders>
              <w:right w:val="thinThickThinSmallGap" w:sz="24" w:space="0" w:color="auto"/>
            </w:tcBorders>
            <w:shd w:val="clear" w:color="auto" w:fill="FFFFFF" w:themeFill="background1"/>
          </w:tcPr>
          <w:p w:rsidR="001C16E7" w:rsidRPr="00894DCF" w:rsidRDefault="001C16E7" w:rsidP="001847F0">
            <w:pPr>
              <w:spacing w:line="200" w:lineRule="exact"/>
              <w:contextualSpacing/>
              <w:rPr>
                <w:color w:val="auto"/>
                <w:sz w:val="18"/>
                <w:szCs w:val="18"/>
              </w:rPr>
            </w:pPr>
            <w:r w:rsidRPr="00894DCF">
              <w:rPr>
                <w:rFonts w:ascii="Calibri" w:hAnsi="Calibri" w:cstheme="minorHAnsi"/>
                <w:color w:val="auto"/>
                <w:sz w:val="18"/>
                <w:szCs w:val="18"/>
              </w:rPr>
              <w:t>Not Unfitting</w:t>
            </w:r>
          </w:p>
        </w:tc>
        <w:tc>
          <w:tcPr>
            <w:tcW w:w="1719" w:type="dxa"/>
            <w:gridSpan w:val="2"/>
            <w:tcBorders>
              <w:left w:val="thinThickThinSmallGap" w:sz="24" w:space="0" w:color="auto"/>
              <w:right w:val="single" w:sz="4" w:space="0" w:color="auto"/>
            </w:tcBorders>
            <w:shd w:val="clear" w:color="auto" w:fill="FFFFFF" w:themeFill="background1"/>
          </w:tcPr>
          <w:p w:rsidR="001C16E7" w:rsidRPr="00894DCF" w:rsidRDefault="001C16E7" w:rsidP="001847F0">
            <w:pPr>
              <w:spacing w:line="200" w:lineRule="exact"/>
              <w:contextualSpacing/>
              <w:jc w:val="left"/>
              <w:rPr>
                <w:color w:val="auto"/>
                <w:sz w:val="18"/>
                <w:szCs w:val="18"/>
              </w:rPr>
            </w:pPr>
            <w:r w:rsidRPr="00894DCF">
              <w:rPr>
                <w:color w:val="auto"/>
                <w:sz w:val="18"/>
                <w:szCs w:val="18"/>
              </w:rPr>
              <w:t>Mood D/O, NOS</w:t>
            </w:r>
          </w:p>
        </w:tc>
        <w:tc>
          <w:tcPr>
            <w:tcW w:w="1080" w:type="dxa"/>
            <w:tcBorders>
              <w:left w:val="single" w:sz="4" w:space="0" w:color="auto"/>
              <w:right w:val="single" w:sz="4" w:space="0" w:color="auto"/>
            </w:tcBorders>
            <w:shd w:val="clear" w:color="auto" w:fill="FFFFFF" w:themeFill="background1"/>
            <w:vAlign w:val="center"/>
          </w:tcPr>
          <w:p w:rsidR="001C16E7" w:rsidRPr="00894DCF" w:rsidRDefault="001C16E7" w:rsidP="001847F0">
            <w:pPr>
              <w:spacing w:line="200" w:lineRule="exact"/>
              <w:contextualSpacing/>
              <w:rPr>
                <w:color w:val="auto"/>
                <w:sz w:val="18"/>
                <w:szCs w:val="18"/>
              </w:rPr>
            </w:pPr>
            <w:r w:rsidRPr="00894DCF">
              <w:rPr>
                <w:color w:val="auto"/>
                <w:sz w:val="18"/>
                <w:szCs w:val="18"/>
              </w:rPr>
              <w:t>9435</w:t>
            </w:r>
          </w:p>
        </w:tc>
        <w:tc>
          <w:tcPr>
            <w:tcW w:w="721" w:type="dxa"/>
            <w:tcBorders>
              <w:left w:val="single" w:sz="4" w:space="0" w:color="auto"/>
            </w:tcBorders>
            <w:shd w:val="clear" w:color="auto" w:fill="FFFFFF" w:themeFill="background1"/>
            <w:vAlign w:val="center"/>
          </w:tcPr>
          <w:p w:rsidR="001C16E7" w:rsidRPr="00894DCF" w:rsidRDefault="001C16E7" w:rsidP="001847F0">
            <w:pPr>
              <w:spacing w:line="200" w:lineRule="exact"/>
              <w:contextualSpacing/>
              <w:rPr>
                <w:color w:val="auto"/>
                <w:sz w:val="18"/>
                <w:szCs w:val="18"/>
              </w:rPr>
            </w:pPr>
            <w:r w:rsidRPr="00894DCF">
              <w:rPr>
                <w:color w:val="auto"/>
                <w:sz w:val="18"/>
                <w:szCs w:val="18"/>
              </w:rPr>
              <w:t>30%</w:t>
            </w:r>
          </w:p>
        </w:tc>
        <w:tc>
          <w:tcPr>
            <w:tcW w:w="1079" w:type="dxa"/>
            <w:shd w:val="clear" w:color="auto" w:fill="FFFFFF" w:themeFill="background1"/>
            <w:vAlign w:val="center"/>
          </w:tcPr>
          <w:p w:rsidR="001C16E7" w:rsidRPr="00894DCF" w:rsidRDefault="001C16E7" w:rsidP="001847F0">
            <w:pPr>
              <w:spacing w:line="200" w:lineRule="exact"/>
              <w:contextualSpacing/>
              <w:rPr>
                <w:color w:val="auto"/>
                <w:sz w:val="18"/>
                <w:szCs w:val="18"/>
              </w:rPr>
            </w:pPr>
            <w:r w:rsidRPr="00894DCF">
              <w:rPr>
                <w:color w:val="auto"/>
                <w:sz w:val="18"/>
                <w:szCs w:val="18"/>
              </w:rPr>
              <w:t>20031203</w:t>
            </w:r>
          </w:p>
        </w:tc>
      </w:tr>
      <w:tr w:rsidR="000E2E50" w:rsidRPr="00894DCF" w:rsidTr="004444EB">
        <w:trPr>
          <w:trHeight w:val="188"/>
          <w:jc w:val="center"/>
        </w:trPr>
        <w:tc>
          <w:tcPr>
            <w:tcW w:w="4779" w:type="dxa"/>
            <w:gridSpan w:val="4"/>
            <w:vMerge w:val="restart"/>
            <w:tcBorders>
              <w:right w:val="thinThickThinSmallGap" w:sz="24" w:space="0" w:color="auto"/>
            </w:tcBorders>
            <w:shd w:val="clear" w:color="auto" w:fill="FFFFFF" w:themeFill="background1"/>
            <w:vAlign w:val="center"/>
          </w:tcPr>
          <w:p w:rsidR="00BC5860" w:rsidRPr="00894DCF" w:rsidRDefault="006D4250"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↓No Additional MEB</w:t>
            </w:r>
            <w:r w:rsidR="00FB4484" w:rsidRPr="00894DCF">
              <w:rPr>
                <w:rFonts w:ascii="Calibri" w:hAnsi="Calibri" w:cstheme="minorHAnsi"/>
                <w:color w:val="auto"/>
                <w:sz w:val="18"/>
                <w:szCs w:val="18"/>
              </w:rPr>
              <w:t>/PEB</w:t>
            </w:r>
            <w:r w:rsidRPr="00894DCF">
              <w:rPr>
                <w:rFonts w:ascii="Calibri" w:hAnsi="Calibri" w:cstheme="minorHAnsi"/>
                <w:color w:val="auto"/>
                <w:sz w:val="18"/>
                <w:szCs w:val="18"/>
              </w:rPr>
              <w:t xml:space="preserve"> E</w:t>
            </w:r>
            <w:r w:rsidR="007D136C" w:rsidRPr="00894DCF">
              <w:rPr>
                <w:rFonts w:ascii="Calibri" w:hAnsi="Calibri" w:cstheme="minorHAnsi"/>
                <w:color w:val="auto"/>
                <w:sz w:val="18"/>
                <w:szCs w:val="18"/>
              </w:rPr>
              <w:t>ntries</w:t>
            </w:r>
            <w:r w:rsidRPr="00894DCF">
              <w:rPr>
                <w:rFonts w:ascii="Calibri" w:hAnsi="Calibri" w:cstheme="minorHAnsi"/>
                <w:color w:val="auto"/>
                <w:sz w:val="18"/>
                <w:szCs w:val="18"/>
              </w:rPr>
              <w:t>↓</w:t>
            </w:r>
          </w:p>
        </w:tc>
        <w:tc>
          <w:tcPr>
            <w:tcW w:w="1719" w:type="dxa"/>
            <w:gridSpan w:val="2"/>
            <w:tcBorders>
              <w:left w:val="thinThickThinSmallGap" w:sz="24" w:space="0" w:color="auto"/>
            </w:tcBorders>
            <w:shd w:val="clear" w:color="auto" w:fill="FFFFFF" w:themeFill="background1"/>
          </w:tcPr>
          <w:p w:rsidR="00BC5860" w:rsidRPr="00894DCF" w:rsidRDefault="001C16E7" w:rsidP="001847F0">
            <w:pPr>
              <w:spacing w:line="200" w:lineRule="exact"/>
              <w:jc w:val="both"/>
              <w:rPr>
                <w:rFonts w:ascii="Calibri" w:eastAsia="Times New Roman" w:hAnsi="Calibri" w:cstheme="minorHAnsi"/>
                <w:color w:val="auto"/>
                <w:sz w:val="18"/>
                <w:szCs w:val="18"/>
              </w:rPr>
            </w:pPr>
            <w:proofErr w:type="spellStart"/>
            <w:r w:rsidRPr="00894DCF">
              <w:rPr>
                <w:rFonts w:ascii="Calibri" w:hAnsi="Calibri" w:cstheme="minorHAnsi"/>
                <w:color w:val="auto"/>
                <w:sz w:val="18"/>
                <w:szCs w:val="18"/>
              </w:rPr>
              <w:t>Rt</w:t>
            </w:r>
            <w:proofErr w:type="spellEnd"/>
            <w:r w:rsidRPr="00894DCF">
              <w:rPr>
                <w:rFonts w:ascii="Calibri" w:hAnsi="Calibri" w:cstheme="minorHAnsi"/>
                <w:color w:val="auto"/>
                <w:sz w:val="18"/>
                <w:szCs w:val="18"/>
              </w:rPr>
              <w:t xml:space="preserve"> Knee S/P Trauma</w:t>
            </w:r>
          </w:p>
        </w:tc>
        <w:tc>
          <w:tcPr>
            <w:tcW w:w="1080" w:type="dxa"/>
            <w:shd w:val="clear" w:color="auto" w:fill="FFFFFF" w:themeFill="background1"/>
            <w:vAlign w:val="center"/>
          </w:tcPr>
          <w:p w:rsidR="00BC5860" w:rsidRPr="00894DCF" w:rsidRDefault="001D62C6"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5260-5019</w:t>
            </w:r>
          </w:p>
        </w:tc>
        <w:tc>
          <w:tcPr>
            <w:tcW w:w="721" w:type="dxa"/>
            <w:shd w:val="clear" w:color="auto" w:fill="FFFFFF" w:themeFill="background1"/>
            <w:vAlign w:val="center"/>
          </w:tcPr>
          <w:p w:rsidR="00BC5860" w:rsidRPr="00894DCF" w:rsidRDefault="001D62C6"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10</w:t>
            </w:r>
            <w:r w:rsidR="006D4250" w:rsidRPr="00894DCF">
              <w:rPr>
                <w:rFonts w:ascii="Calibri" w:hAnsi="Calibri" w:cstheme="minorHAnsi"/>
                <w:color w:val="auto"/>
                <w:sz w:val="18"/>
                <w:szCs w:val="18"/>
              </w:rPr>
              <w:t>%</w:t>
            </w:r>
          </w:p>
        </w:tc>
        <w:tc>
          <w:tcPr>
            <w:tcW w:w="1079" w:type="dxa"/>
            <w:shd w:val="clear" w:color="auto" w:fill="FFFFFF" w:themeFill="background1"/>
            <w:vAlign w:val="center"/>
          </w:tcPr>
          <w:p w:rsidR="00BC5860" w:rsidRPr="00894DCF" w:rsidRDefault="001C16E7"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20031218</w:t>
            </w:r>
          </w:p>
        </w:tc>
      </w:tr>
      <w:tr w:rsidR="006D4250" w:rsidRPr="00894DCF" w:rsidTr="004444EB">
        <w:trPr>
          <w:trHeight w:val="188"/>
          <w:jc w:val="center"/>
        </w:trPr>
        <w:tc>
          <w:tcPr>
            <w:tcW w:w="4779" w:type="dxa"/>
            <w:gridSpan w:val="4"/>
            <w:vMerge/>
            <w:tcBorders>
              <w:bottom w:val="single" w:sz="4" w:space="0" w:color="000000" w:themeColor="text1"/>
              <w:right w:val="thinThickThinSmallGap" w:sz="24" w:space="0" w:color="auto"/>
            </w:tcBorders>
            <w:shd w:val="clear" w:color="auto" w:fill="FFFFFF" w:themeFill="background1"/>
          </w:tcPr>
          <w:p w:rsidR="00BC5860" w:rsidRPr="00894DCF" w:rsidRDefault="00BC5860" w:rsidP="001847F0">
            <w:pPr>
              <w:spacing w:line="200" w:lineRule="exact"/>
              <w:contextualSpacing/>
              <w:jc w:val="both"/>
              <w:rPr>
                <w:rFonts w:ascii="Calibri" w:eastAsia="Times New Roman" w:hAnsi="Calibri" w:cstheme="minorHAnsi"/>
                <w:color w:val="auto"/>
                <w:sz w:val="18"/>
                <w:szCs w:val="18"/>
              </w:rPr>
            </w:pPr>
          </w:p>
        </w:tc>
        <w:tc>
          <w:tcPr>
            <w:tcW w:w="3520" w:type="dxa"/>
            <w:gridSpan w:val="4"/>
            <w:tcBorders>
              <w:left w:val="thinThickThinSmallGap" w:sz="24" w:space="0" w:color="auto"/>
              <w:bottom w:val="single" w:sz="4" w:space="0" w:color="000000" w:themeColor="text1"/>
            </w:tcBorders>
            <w:shd w:val="clear" w:color="auto" w:fill="FFFFFF" w:themeFill="background1"/>
            <w:vAlign w:val="center"/>
          </w:tcPr>
          <w:p w:rsidR="00BC5860" w:rsidRPr="00894DCF" w:rsidRDefault="00374EA1"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 xml:space="preserve">0% x </w:t>
            </w:r>
            <w:r w:rsidR="001D62C6" w:rsidRPr="00894DCF">
              <w:rPr>
                <w:rFonts w:ascii="Calibri" w:hAnsi="Calibri" w:cstheme="minorHAnsi"/>
                <w:color w:val="auto"/>
                <w:sz w:val="18"/>
                <w:szCs w:val="18"/>
              </w:rPr>
              <w:t>1</w:t>
            </w:r>
            <w:r w:rsidR="00FD7B23" w:rsidRPr="00894DCF">
              <w:rPr>
                <w:rFonts w:ascii="Calibri" w:hAnsi="Calibri" w:cstheme="minorHAnsi"/>
                <w:color w:val="auto"/>
                <w:sz w:val="18"/>
                <w:szCs w:val="18"/>
              </w:rPr>
              <w:t>/</w:t>
            </w:r>
            <w:r w:rsidRPr="00894DCF">
              <w:rPr>
                <w:rFonts w:ascii="Calibri" w:hAnsi="Calibri" w:cstheme="minorHAnsi"/>
                <w:color w:val="auto"/>
                <w:sz w:val="18"/>
                <w:szCs w:val="18"/>
              </w:rPr>
              <w:t xml:space="preserve">Not Service Connected x </w:t>
            </w:r>
            <w:r w:rsidR="001D62C6" w:rsidRPr="00894DCF">
              <w:rPr>
                <w:rFonts w:ascii="Calibri" w:hAnsi="Calibri" w:cstheme="minorHAnsi"/>
                <w:color w:val="auto"/>
                <w:sz w:val="18"/>
                <w:szCs w:val="18"/>
              </w:rPr>
              <w:t>4</w:t>
            </w:r>
          </w:p>
        </w:tc>
        <w:tc>
          <w:tcPr>
            <w:tcW w:w="1079" w:type="dxa"/>
            <w:tcBorders>
              <w:bottom w:val="single" w:sz="4" w:space="0" w:color="000000" w:themeColor="text1"/>
            </w:tcBorders>
            <w:shd w:val="clear" w:color="auto" w:fill="FFFFFF" w:themeFill="background1"/>
            <w:vAlign w:val="center"/>
          </w:tcPr>
          <w:p w:rsidR="00BC5860" w:rsidRPr="00894DCF" w:rsidRDefault="001D62C6" w:rsidP="001847F0">
            <w:pPr>
              <w:spacing w:line="200" w:lineRule="exact"/>
              <w:contextualSpacing/>
              <w:rPr>
                <w:rFonts w:ascii="Calibri" w:eastAsia="Times New Roman" w:hAnsi="Calibri" w:cstheme="minorHAnsi"/>
                <w:color w:val="auto"/>
                <w:sz w:val="18"/>
                <w:szCs w:val="18"/>
              </w:rPr>
            </w:pPr>
            <w:r w:rsidRPr="00894DCF">
              <w:rPr>
                <w:rFonts w:ascii="Calibri" w:hAnsi="Calibri" w:cstheme="minorHAnsi"/>
                <w:color w:val="auto"/>
                <w:sz w:val="18"/>
                <w:szCs w:val="18"/>
              </w:rPr>
              <w:t>20031218</w:t>
            </w:r>
          </w:p>
        </w:tc>
      </w:tr>
      <w:tr w:rsidR="006D4250" w:rsidRPr="00894DCF" w:rsidTr="004444EB">
        <w:trPr>
          <w:trHeight w:val="242"/>
          <w:jc w:val="center"/>
        </w:trPr>
        <w:tc>
          <w:tcPr>
            <w:tcW w:w="4779" w:type="dxa"/>
            <w:gridSpan w:val="4"/>
            <w:tcBorders>
              <w:right w:val="thinThickThinSmallGap" w:sz="24" w:space="0" w:color="auto"/>
            </w:tcBorders>
            <w:shd w:val="clear" w:color="auto" w:fill="D9D9D9" w:themeFill="background1" w:themeFillShade="D9"/>
            <w:vAlign w:val="center"/>
          </w:tcPr>
          <w:p w:rsidR="006D4250" w:rsidRPr="00894DCF" w:rsidRDefault="006D4250" w:rsidP="001847F0">
            <w:pPr>
              <w:spacing w:line="200" w:lineRule="exact"/>
              <w:contextualSpacing/>
              <w:rPr>
                <w:rFonts w:ascii="Calibri" w:hAnsi="Calibri" w:cstheme="minorHAnsi"/>
                <w:color w:val="auto"/>
                <w:sz w:val="18"/>
                <w:szCs w:val="18"/>
              </w:rPr>
            </w:pPr>
            <w:r w:rsidRPr="00894DCF">
              <w:rPr>
                <w:rFonts w:ascii="Calibri" w:hAnsi="Calibri" w:cstheme="minorHAnsi"/>
                <w:color w:val="auto"/>
                <w:sz w:val="18"/>
                <w:szCs w:val="18"/>
              </w:rPr>
              <w:t xml:space="preserve">Combined:  </w:t>
            </w:r>
            <w:r w:rsidR="001C16E7" w:rsidRPr="00894DCF">
              <w:rPr>
                <w:rFonts w:ascii="Calibri" w:hAnsi="Calibri" w:cstheme="minorHAnsi"/>
                <w:color w:val="auto"/>
                <w:sz w:val="18"/>
                <w:szCs w:val="18"/>
              </w:rPr>
              <w:t>20</w:t>
            </w:r>
            <w:r w:rsidRPr="00894DCF">
              <w:rPr>
                <w:rFonts w:ascii="Calibri" w:hAnsi="Calibri" w:cstheme="minorHAnsi"/>
                <w:color w:val="auto"/>
                <w:sz w:val="18"/>
                <w:szCs w:val="18"/>
              </w:rPr>
              <w:t>%</w:t>
            </w:r>
          </w:p>
        </w:tc>
        <w:tc>
          <w:tcPr>
            <w:tcW w:w="4599" w:type="dxa"/>
            <w:gridSpan w:val="5"/>
            <w:tcBorders>
              <w:left w:val="thinThickThinSmallGap" w:sz="24" w:space="0" w:color="auto"/>
            </w:tcBorders>
            <w:shd w:val="clear" w:color="auto" w:fill="D9D9D9" w:themeFill="background1" w:themeFillShade="D9"/>
            <w:vAlign w:val="center"/>
          </w:tcPr>
          <w:p w:rsidR="006D4250" w:rsidRPr="00894DCF" w:rsidRDefault="006D4250" w:rsidP="001847F0">
            <w:pPr>
              <w:spacing w:line="200" w:lineRule="exact"/>
              <w:contextualSpacing/>
              <w:rPr>
                <w:rFonts w:ascii="Calibri" w:hAnsi="Calibri" w:cstheme="minorHAnsi"/>
                <w:color w:val="auto"/>
                <w:sz w:val="18"/>
                <w:szCs w:val="18"/>
              </w:rPr>
            </w:pPr>
            <w:r w:rsidRPr="00894DCF">
              <w:rPr>
                <w:rFonts w:ascii="Calibri" w:hAnsi="Calibri" w:cstheme="minorHAnsi"/>
                <w:color w:val="auto"/>
                <w:sz w:val="18"/>
                <w:szCs w:val="18"/>
              </w:rPr>
              <w:t xml:space="preserve">Combined: </w:t>
            </w:r>
            <w:r w:rsidR="00E57FED" w:rsidRPr="00894DCF">
              <w:rPr>
                <w:rFonts w:ascii="Calibri" w:hAnsi="Calibri" w:cstheme="minorHAnsi"/>
                <w:color w:val="auto"/>
                <w:sz w:val="18"/>
                <w:szCs w:val="18"/>
              </w:rPr>
              <w:t xml:space="preserve"> </w:t>
            </w:r>
            <w:r w:rsidR="001D62C6" w:rsidRPr="00894DCF">
              <w:rPr>
                <w:rFonts w:ascii="Calibri" w:hAnsi="Calibri" w:cstheme="minorHAnsi"/>
                <w:color w:val="auto"/>
                <w:sz w:val="18"/>
                <w:szCs w:val="18"/>
              </w:rPr>
              <w:t>6</w:t>
            </w:r>
            <w:r w:rsidR="006F0F9C" w:rsidRPr="00894DCF">
              <w:rPr>
                <w:rFonts w:ascii="Calibri" w:hAnsi="Calibri" w:cstheme="minorHAnsi"/>
                <w:color w:val="auto"/>
                <w:sz w:val="18"/>
                <w:szCs w:val="18"/>
              </w:rPr>
              <w:t>0</w:t>
            </w:r>
            <w:r w:rsidRPr="00894DCF">
              <w:rPr>
                <w:rFonts w:ascii="Calibri" w:hAnsi="Calibri" w:cstheme="minorHAnsi"/>
                <w:color w:val="auto"/>
                <w:sz w:val="18"/>
                <w:szCs w:val="18"/>
              </w:rPr>
              <w:t>%</w:t>
            </w:r>
          </w:p>
        </w:tc>
      </w:tr>
    </w:tbl>
    <w:p w:rsidR="004174F0" w:rsidRPr="00822DD8" w:rsidRDefault="00A57C35" w:rsidP="00F4135A">
      <w:pPr>
        <w:pBdr>
          <w:bottom w:val="single" w:sz="12" w:space="1" w:color="auto"/>
        </w:pBdr>
        <w:tabs>
          <w:tab w:val="left" w:pos="288"/>
          <w:tab w:val="left" w:pos="4752"/>
        </w:tabs>
        <w:spacing w:line="180" w:lineRule="exact"/>
        <w:jc w:val="both"/>
        <w:rPr>
          <w:color w:val="auto"/>
          <w:sz w:val="18"/>
          <w:szCs w:val="18"/>
        </w:rPr>
      </w:pPr>
      <w:r w:rsidRPr="00894DCF">
        <w:rPr>
          <w:color w:val="auto"/>
          <w:sz w:val="18"/>
          <w:szCs w:val="18"/>
        </w:rPr>
        <w:t xml:space="preserve">* VA rating based on exam most proximate </w:t>
      </w:r>
      <w:r w:rsidR="004D1979" w:rsidRPr="00894DCF">
        <w:rPr>
          <w:color w:val="auto"/>
          <w:sz w:val="18"/>
          <w:szCs w:val="18"/>
        </w:rPr>
        <w:t>to date of permanent sep</w:t>
      </w:r>
      <w:r w:rsidR="004D1979" w:rsidRPr="00822DD8">
        <w:rPr>
          <w:color w:val="auto"/>
          <w:sz w:val="18"/>
          <w:szCs w:val="18"/>
        </w:rPr>
        <w:t xml:space="preserve">aration; </w:t>
      </w:r>
      <w:r w:rsidR="004D1979" w:rsidRPr="00822DD8">
        <w:rPr>
          <w:color w:val="000000" w:themeColor="text1"/>
          <w:sz w:val="18"/>
          <w:szCs w:val="18"/>
        </w:rPr>
        <w:t>VARD of 20120319 increased radiculopathy, 8720 rating to 20% effective 20110830 based on exam of 20120214</w:t>
      </w:r>
      <w:r w:rsidR="00894DCF">
        <w:rPr>
          <w:color w:val="000000" w:themeColor="text1"/>
          <w:sz w:val="18"/>
          <w:szCs w:val="18"/>
        </w:rPr>
        <w:t xml:space="preserve">  </w:t>
      </w:r>
    </w:p>
    <w:p w:rsidR="001D62C6" w:rsidRPr="00F4135A" w:rsidRDefault="001D62C6" w:rsidP="00F4135A">
      <w:pPr>
        <w:pBdr>
          <w:bottom w:val="single" w:sz="12" w:space="1" w:color="auto"/>
        </w:pBdr>
        <w:tabs>
          <w:tab w:val="left" w:pos="288"/>
          <w:tab w:val="left" w:pos="4752"/>
        </w:tabs>
        <w:spacing w:line="180" w:lineRule="exact"/>
        <w:jc w:val="both"/>
        <w:rPr>
          <w:color w:val="000000" w:themeColor="text1"/>
          <w:sz w:val="18"/>
          <w:szCs w:val="18"/>
        </w:rPr>
      </w:pPr>
      <w:r w:rsidRPr="00822DD8">
        <w:rPr>
          <w:color w:val="auto"/>
          <w:sz w:val="18"/>
          <w:szCs w:val="18"/>
        </w:rPr>
        <w:t>** Final PEB states “without neurologic</w:t>
      </w:r>
      <w:r w:rsidRPr="004D1979">
        <w:rPr>
          <w:color w:val="auto"/>
          <w:sz w:val="18"/>
          <w:szCs w:val="18"/>
        </w:rPr>
        <w:t xml:space="preserve"> or significan</w:t>
      </w:r>
      <w:r w:rsidR="002A2559" w:rsidRPr="004D1979">
        <w:rPr>
          <w:color w:val="auto"/>
          <w:sz w:val="18"/>
          <w:szCs w:val="18"/>
        </w:rPr>
        <w:t>t electrodiagnostic abnormality</w:t>
      </w:r>
      <w:r w:rsidRPr="004D1979">
        <w:rPr>
          <w:color w:val="auto"/>
          <w:sz w:val="18"/>
          <w:szCs w:val="18"/>
        </w:rPr>
        <w:t>”</w:t>
      </w:r>
      <w:r w:rsidR="002A2559" w:rsidRPr="004D1979">
        <w:rPr>
          <w:color w:val="auto"/>
          <w:sz w:val="18"/>
          <w:szCs w:val="18"/>
        </w:rPr>
        <w:t>;</w:t>
      </w:r>
      <w:r w:rsidRPr="004D1979">
        <w:rPr>
          <w:color w:val="auto"/>
          <w:sz w:val="18"/>
          <w:szCs w:val="18"/>
        </w:rPr>
        <w:t xml:space="preserve"> </w:t>
      </w:r>
      <w:r w:rsidR="002A2559" w:rsidRPr="004D1979">
        <w:rPr>
          <w:color w:val="auto"/>
          <w:sz w:val="18"/>
          <w:szCs w:val="18"/>
        </w:rPr>
        <w:t>r</w:t>
      </w:r>
      <w:r w:rsidRPr="004D1979">
        <w:rPr>
          <w:color w:val="auto"/>
          <w:sz w:val="18"/>
          <w:szCs w:val="18"/>
        </w:rPr>
        <w:t>adiculopathy is not mentione</w:t>
      </w:r>
      <w:r w:rsidRPr="00F4135A">
        <w:rPr>
          <w:color w:val="000000" w:themeColor="text1"/>
          <w:sz w:val="18"/>
          <w:szCs w:val="18"/>
        </w:rPr>
        <w:t>d</w:t>
      </w:r>
      <w:r w:rsidR="002A2559">
        <w:rPr>
          <w:color w:val="000000" w:themeColor="text1"/>
          <w:sz w:val="18"/>
          <w:szCs w:val="18"/>
        </w:rPr>
        <w:t xml:space="preserve"> as a separate condition</w:t>
      </w:r>
      <w:r w:rsidRPr="00F4135A">
        <w:rPr>
          <w:color w:val="000000" w:themeColor="text1"/>
          <w:sz w:val="18"/>
          <w:szCs w:val="18"/>
        </w:rPr>
        <w:t xml:space="preserve">.  </w:t>
      </w:r>
    </w:p>
    <w:p w:rsidR="00031774" w:rsidRPr="007672F3" w:rsidRDefault="00031774" w:rsidP="001D62C6">
      <w:pPr>
        <w:pBdr>
          <w:bottom w:val="single" w:sz="12" w:space="1" w:color="auto"/>
        </w:pBdr>
        <w:tabs>
          <w:tab w:val="left" w:pos="288"/>
          <w:tab w:val="left" w:pos="4752"/>
        </w:tabs>
        <w:jc w:val="both"/>
        <w:rPr>
          <w:color w:val="000000" w:themeColor="text1"/>
          <w:szCs w:val="16"/>
        </w:rPr>
      </w:pPr>
    </w:p>
    <w:p w:rsidR="00A558EF" w:rsidRDefault="00A558EF" w:rsidP="004B5CAE">
      <w:pPr>
        <w:jc w:val="both"/>
        <w:rPr>
          <w:color w:val="000000" w:themeColor="text1"/>
          <w:szCs w:val="24"/>
          <w:u w:val="single"/>
        </w:rPr>
      </w:pPr>
    </w:p>
    <w:p w:rsidR="006849F8" w:rsidRDefault="002C6E5B" w:rsidP="006849F8">
      <w:pPr>
        <w:tabs>
          <w:tab w:val="left" w:pos="288"/>
          <w:tab w:val="left" w:pos="4752"/>
        </w:tabs>
        <w:jc w:val="both"/>
        <w:rPr>
          <w:color w:val="auto"/>
          <w:szCs w:val="24"/>
        </w:rPr>
      </w:pPr>
      <w:r w:rsidRPr="001F29F9">
        <w:rPr>
          <w:color w:val="000000" w:themeColor="text1"/>
          <w:szCs w:val="24"/>
          <w:u w:val="single"/>
        </w:rPr>
        <w:t>ANALYSIS SUMMARY</w:t>
      </w:r>
      <w:r w:rsidRPr="004B5CAE">
        <w:rPr>
          <w:color w:val="auto"/>
          <w:szCs w:val="24"/>
        </w:rPr>
        <w:t>:</w:t>
      </w:r>
      <w:r w:rsidR="00F4135A" w:rsidRPr="004B5CAE">
        <w:rPr>
          <w:color w:val="auto"/>
          <w:szCs w:val="24"/>
        </w:rPr>
        <w:t xml:space="preserve">  </w:t>
      </w:r>
      <w:r w:rsidR="004B5CAE" w:rsidRPr="004B5CAE">
        <w:rPr>
          <w:color w:val="auto"/>
          <w:szCs w:val="24"/>
        </w:rPr>
        <w:t xml:space="preserve">With regard to the CI’s assertion that </w:t>
      </w:r>
      <w:r w:rsidR="004B5CAE">
        <w:rPr>
          <w:color w:val="auto"/>
          <w:szCs w:val="24"/>
        </w:rPr>
        <w:t xml:space="preserve">there were possible </w:t>
      </w:r>
      <w:r w:rsidR="0086036B">
        <w:rPr>
          <w:color w:val="auto"/>
          <w:szCs w:val="24"/>
        </w:rPr>
        <w:t>irregularities in his disability counseling and processing</w:t>
      </w:r>
      <w:r w:rsidR="002F2CEB">
        <w:rPr>
          <w:color w:val="auto"/>
          <w:szCs w:val="24"/>
        </w:rPr>
        <w:t>,</w:t>
      </w:r>
      <w:r w:rsidR="0086036B">
        <w:rPr>
          <w:color w:val="auto"/>
          <w:szCs w:val="24"/>
        </w:rPr>
        <w:t xml:space="preserve"> </w:t>
      </w:r>
      <w:r w:rsidR="002F2CEB">
        <w:rPr>
          <w:color w:val="auto"/>
          <w:szCs w:val="24"/>
        </w:rPr>
        <w:t>i</w:t>
      </w:r>
      <w:r w:rsidR="004B5CAE" w:rsidRPr="004B5CAE">
        <w:rPr>
          <w:color w:val="auto"/>
          <w:szCs w:val="24"/>
        </w:rPr>
        <w:t xml:space="preserve">t is noted for the record that the Board has neither the </w:t>
      </w:r>
      <w:r w:rsidR="004B5CAE" w:rsidRPr="00822DD8">
        <w:rPr>
          <w:color w:val="auto"/>
          <w:szCs w:val="24"/>
        </w:rPr>
        <w:t xml:space="preserve">jurisdiction nor authority to scrutinize or render opinions in reference to the CI’s statements in the application regarding suspected improprieties in the processing of his case.  </w:t>
      </w:r>
      <w:r w:rsidR="006849F8" w:rsidRPr="00822DD8">
        <w:rPr>
          <w:color w:val="auto"/>
          <w:szCs w:val="24"/>
        </w:rPr>
        <w:t>The CI’s opinion that he had not improved and that his condition worsened over the course of his TDRL period was considered in the Board’s deliberations.  The Board takes the position that subjective improvement or worsening</w:t>
      </w:r>
      <w:r w:rsidR="006849F8" w:rsidRPr="006849F8">
        <w:rPr>
          <w:color w:val="auto"/>
          <w:szCs w:val="24"/>
        </w:rPr>
        <w:t xml:space="preserve"> during the period of TDRL should not influence its coding and rating recommendation at the time of permanent separation.  The Board’s relevant recommendations are assigned in assessment of the permanent separation and rating determination, and the TDRL-entry rating assignment is not considered a benchmark.  It is recognized, in fact, that PEBs across the </w:t>
      </w:r>
      <w:r w:rsidR="00242D29">
        <w:rPr>
          <w:color w:val="auto"/>
          <w:szCs w:val="24"/>
        </w:rPr>
        <w:t>s</w:t>
      </w:r>
      <w:r w:rsidR="006849F8" w:rsidRPr="006849F8">
        <w:rPr>
          <w:color w:val="auto"/>
          <w:szCs w:val="24"/>
        </w:rPr>
        <w:t xml:space="preserve">ervices sometimes apply an overly generous initial rating in order to meet the </w:t>
      </w:r>
      <w:proofErr w:type="gramStart"/>
      <w:r w:rsidR="006849F8" w:rsidRPr="006849F8">
        <w:rPr>
          <w:color w:val="auto"/>
          <w:szCs w:val="24"/>
        </w:rPr>
        <w:t>DoD</w:t>
      </w:r>
      <w:proofErr w:type="gramEnd"/>
      <w:r w:rsidR="006849F8" w:rsidRPr="006849F8">
        <w:rPr>
          <w:color w:val="auto"/>
          <w:szCs w:val="24"/>
        </w:rPr>
        <w:t xml:space="preserve"> requirement of 30% disability for placement on TDRL.  This is in the member’s best interest at the time and does not mean that a final lower rating is unfair, even if perceived as incongruent with subjective severity from one rating to the next.  Thus the </w:t>
      </w:r>
      <w:r w:rsidR="006849F8" w:rsidRPr="006849F8">
        <w:rPr>
          <w:color w:val="auto"/>
          <w:szCs w:val="24"/>
        </w:rPr>
        <w:lastRenderedPageBreak/>
        <w:t xml:space="preserve">sole basis for the Board’s recommendation is the optimal fitness determination and VASRD rating for disability at the time the CI is permanently separated.  </w:t>
      </w:r>
      <w:r w:rsidR="006849F8" w:rsidRPr="004B5CAE">
        <w:rPr>
          <w:color w:val="auto"/>
          <w:szCs w:val="24"/>
        </w:rPr>
        <w:t xml:space="preserve">The Board’s role is confined to the review of medical records and all evidence at hand to assess the fairness of PEB rating determinations, compared to VASRD standards, based on severity at the time of separation.  It must also judge the fairness of PEB fitness adjudications and its assessment of other potentially ratable conditions, based on eligibility and the fitness consequences of conditions as they </w:t>
      </w:r>
      <w:r w:rsidR="006849F8" w:rsidRPr="006849F8">
        <w:rPr>
          <w:color w:val="auto"/>
          <w:szCs w:val="24"/>
        </w:rPr>
        <w:t>existed at the time of separation.  Of special note,</w:t>
      </w:r>
      <w:r w:rsidR="006849F8">
        <w:rPr>
          <w:color w:val="auto"/>
          <w:szCs w:val="24"/>
        </w:rPr>
        <w:t xml:space="preserve"> although the VASRD </w:t>
      </w:r>
      <w:r w:rsidR="006849F8" w:rsidRPr="006849F8">
        <w:rPr>
          <w:color w:val="auto"/>
          <w:szCs w:val="24"/>
        </w:rPr>
        <w:t xml:space="preserve">spine criteria were changed effective </w:t>
      </w:r>
      <w:r w:rsidR="002F2CEB">
        <w:rPr>
          <w:color w:val="auto"/>
          <w:szCs w:val="24"/>
        </w:rPr>
        <w:t>26 September 2003</w:t>
      </w:r>
      <w:r w:rsidR="006849F8">
        <w:rPr>
          <w:color w:val="auto"/>
          <w:szCs w:val="24"/>
        </w:rPr>
        <w:t xml:space="preserve">, which was close to the TDRL-entry timeframe, </w:t>
      </w:r>
      <w:r w:rsidR="006849F8" w:rsidRPr="006849F8">
        <w:rPr>
          <w:color w:val="auto"/>
          <w:szCs w:val="24"/>
        </w:rPr>
        <w:t>all PEBs used t</w:t>
      </w:r>
      <w:r w:rsidR="006849F8">
        <w:rPr>
          <w:color w:val="auto"/>
          <w:szCs w:val="24"/>
        </w:rPr>
        <w:t xml:space="preserve">he current VASRD spine criteria.  </w:t>
      </w:r>
    </w:p>
    <w:p w:rsidR="006849F8" w:rsidRDefault="006849F8" w:rsidP="006849F8">
      <w:pPr>
        <w:tabs>
          <w:tab w:val="left" w:pos="288"/>
          <w:tab w:val="left" w:pos="4752"/>
        </w:tabs>
        <w:jc w:val="both"/>
        <w:rPr>
          <w:color w:val="000000" w:themeColor="text1"/>
          <w:szCs w:val="24"/>
          <w:u w:val="single"/>
        </w:rPr>
      </w:pPr>
    </w:p>
    <w:p w:rsidR="0086036B" w:rsidRPr="00822DD8" w:rsidRDefault="0083487B" w:rsidP="0086036B">
      <w:pPr>
        <w:jc w:val="both"/>
        <w:rPr>
          <w:color w:val="auto"/>
          <w:szCs w:val="24"/>
        </w:rPr>
      </w:pPr>
      <w:r>
        <w:rPr>
          <w:color w:val="000000" w:themeColor="text1"/>
          <w:szCs w:val="24"/>
          <w:u w:val="single"/>
        </w:rPr>
        <w:t xml:space="preserve">Lower Back </w:t>
      </w:r>
      <w:r w:rsidR="003F2EEE" w:rsidRPr="001D62C6">
        <w:rPr>
          <w:color w:val="000000" w:themeColor="text1"/>
          <w:szCs w:val="24"/>
          <w:u w:val="single"/>
        </w:rPr>
        <w:t>Condition</w:t>
      </w:r>
      <w:r w:rsidR="0086036B" w:rsidRPr="00822DD8">
        <w:rPr>
          <w:color w:val="000000" w:themeColor="text1"/>
          <w:szCs w:val="24"/>
        </w:rPr>
        <w:t xml:space="preserve">.  There were </w:t>
      </w:r>
      <w:r w:rsidR="00B61907" w:rsidRPr="00822DD8">
        <w:rPr>
          <w:color w:val="000000" w:themeColor="text1"/>
          <w:szCs w:val="24"/>
        </w:rPr>
        <w:t>three back exams (with two</w:t>
      </w:r>
      <w:r w:rsidR="0086036B" w:rsidRPr="00822DD8">
        <w:rPr>
          <w:color w:val="000000" w:themeColor="text1"/>
          <w:szCs w:val="24"/>
        </w:rPr>
        <w:t xml:space="preserve"> goniometric range</w:t>
      </w:r>
      <w:r w:rsidR="000905E2">
        <w:rPr>
          <w:color w:val="000000" w:themeColor="text1"/>
          <w:szCs w:val="24"/>
        </w:rPr>
        <w:t>-</w:t>
      </w:r>
      <w:r w:rsidR="0086036B" w:rsidRPr="00822DD8">
        <w:rPr>
          <w:color w:val="000000" w:themeColor="text1"/>
          <w:szCs w:val="24"/>
        </w:rPr>
        <w:t>of</w:t>
      </w:r>
      <w:r w:rsidR="000905E2">
        <w:rPr>
          <w:color w:val="000000" w:themeColor="text1"/>
          <w:szCs w:val="24"/>
        </w:rPr>
        <w:t>-</w:t>
      </w:r>
      <w:r w:rsidR="0086036B" w:rsidRPr="00822DD8">
        <w:rPr>
          <w:color w:val="000000" w:themeColor="text1"/>
          <w:szCs w:val="24"/>
        </w:rPr>
        <w:t xml:space="preserve">motion </w:t>
      </w:r>
      <w:r w:rsidR="00166E57" w:rsidRPr="00822DD8">
        <w:rPr>
          <w:color w:val="000000" w:themeColor="text1"/>
          <w:szCs w:val="24"/>
        </w:rPr>
        <w:t>[</w:t>
      </w:r>
      <w:r w:rsidR="0086036B" w:rsidRPr="00822DD8">
        <w:rPr>
          <w:color w:val="000000" w:themeColor="text1"/>
          <w:szCs w:val="24"/>
        </w:rPr>
        <w:t>ROM</w:t>
      </w:r>
      <w:r w:rsidR="00166E57" w:rsidRPr="00822DD8">
        <w:rPr>
          <w:color w:val="000000" w:themeColor="text1"/>
          <w:szCs w:val="24"/>
        </w:rPr>
        <w:t>]</w:t>
      </w:r>
      <w:r w:rsidR="0086036B" w:rsidRPr="00822DD8">
        <w:rPr>
          <w:color w:val="000000" w:themeColor="text1"/>
          <w:szCs w:val="24"/>
        </w:rPr>
        <w:t xml:space="preserve"> evaluations</w:t>
      </w:r>
      <w:r w:rsidR="00B61907" w:rsidRPr="00822DD8">
        <w:rPr>
          <w:color w:val="000000" w:themeColor="text1"/>
          <w:szCs w:val="24"/>
        </w:rPr>
        <w:t>)</w:t>
      </w:r>
      <w:r w:rsidR="0086036B" w:rsidRPr="00822DD8">
        <w:rPr>
          <w:color w:val="000000" w:themeColor="text1"/>
          <w:szCs w:val="24"/>
        </w:rPr>
        <w:t xml:space="preserve"> in evidence, with documentation of additional ratable criteria, </w:t>
      </w:r>
      <w:r w:rsidR="0086036B" w:rsidRPr="00822DD8">
        <w:rPr>
          <w:color w:val="auto"/>
          <w:szCs w:val="24"/>
        </w:rPr>
        <w:t>which the Board weighed in arriving at its rating recommendation.</w:t>
      </w:r>
      <w:r w:rsidR="004F525B" w:rsidRPr="00822DD8">
        <w:rPr>
          <w:color w:val="auto"/>
          <w:szCs w:val="24"/>
        </w:rPr>
        <w:t xml:space="preserve">  </w:t>
      </w:r>
    </w:p>
    <w:p w:rsidR="007672F3" w:rsidRPr="00822DD8" w:rsidRDefault="007672F3" w:rsidP="00BF0E94">
      <w:pPr>
        <w:jc w:val="left"/>
        <w:rPr>
          <w:color w:val="auto"/>
          <w:szCs w:val="24"/>
        </w:rPr>
      </w:pPr>
    </w:p>
    <w:tbl>
      <w:tblPr>
        <w:tblW w:w="8199" w:type="dxa"/>
        <w:jc w:val="center"/>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108"/>
        <w:gridCol w:w="2238"/>
        <w:gridCol w:w="1980"/>
      </w:tblGrid>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F525B" w:rsidRPr="002F2CEB" w:rsidRDefault="004F525B">
            <w:pPr>
              <w:pStyle w:val="ListParagraph"/>
              <w:spacing w:after="0" w:line="200" w:lineRule="exact"/>
              <w:ind w:left="0"/>
              <w:rPr>
                <w:rFonts w:eastAsia="Calibri" w:cstheme="minorHAnsi"/>
                <w:b/>
                <w:sz w:val="18"/>
                <w:szCs w:val="18"/>
              </w:rPr>
            </w:pPr>
            <w:r w:rsidRPr="002F2CEB">
              <w:rPr>
                <w:rFonts w:eastAsia="Calibri" w:cstheme="minorHAnsi"/>
                <w:sz w:val="18"/>
                <w:szCs w:val="18"/>
              </w:rPr>
              <w:t>Thoracolumbar ROM</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F525B" w:rsidRPr="002F2CEB" w:rsidRDefault="004F525B" w:rsidP="00822DD8">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MEB ~8 Mo. Pre-TDRL</w:t>
            </w:r>
          </w:p>
        </w:tc>
        <w:tc>
          <w:tcPr>
            <w:tcW w:w="2238" w:type="dxa"/>
            <w:tcBorders>
              <w:top w:val="single" w:sz="4" w:space="0" w:color="000000"/>
              <w:left w:val="single" w:sz="4" w:space="0" w:color="000000"/>
              <w:bottom w:val="single" w:sz="4" w:space="0" w:color="000000"/>
              <w:right w:val="single" w:sz="4" w:space="0" w:color="000000"/>
            </w:tcBorders>
            <w:shd w:val="pct15" w:color="auto" w:fill="auto"/>
            <w:vAlign w:val="center"/>
          </w:tcPr>
          <w:p w:rsidR="004F525B" w:rsidRPr="002F2CEB" w:rsidRDefault="004F525B" w:rsidP="00822DD8">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VA</w:t>
            </w:r>
            <w:r w:rsidRPr="002F2CEB">
              <w:rPr>
                <w:rFonts w:asciiTheme="minorHAnsi" w:eastAsiaTheme="minorHAnsi" w:hAnsiTheme="minorHAnsi"/>
                <w:color w:val="auto"/>
                <w:sz w:val="18"/>
                <w:szCs w:val="18"/>
              </w:rPr>
              <w:t xml:space="preserve"> C&amp;P </w:t>
            </w:r>
            <w:r w:rsidRPr="002F2CEB">
              <w:rPr>
                <w:rFonts w:asciiTheme="minorHAnsi" w:eastAsia="Calibri" w:hAnsiTheme="minorHAnsi"/>
                <w:color w:val="auto"/>
                <w:sz w:val="18"/>
                <w:szCs w:val="18"/>
              </w:rPr>
              <w:t>~2 Mo. Pre-TDRL</w:t>
            </w:r>
          </w:p>
        </w:tc>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tcPr>
          <w:p w:rsidR="004F525B" w:rsidRPr="002F2CEB" w:rsidRDefault="004F525B" w:rsidP="00822DD8">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MEB ~</w:t>
            </w:r>
            <w:r w:rsidR="008236F1" w:rsidRPr="002F2CEB">
              <w:rPr>
                <w:rFonts w:asciiTheme="minorHAnsi" w:eastAsia="Calibri" w:hAnsiTheme="minorHAnsi"/>
                <w:color w:val="auto"/>
                <w:sz w:val="18"/>
                <w:szCs w:val="18"/>
              </w:rPr>
              <w:t>2</w:t>
            </w:r>
            <w:r w:rsidRPr="002F2CEB">
              <w:rPr>
                <w:rFonts w:asciiTheme="minorHAnsi" w:eastAsia="Calibri" w:hAnsiTheme="minorHAnsi"/>
                <w:color w:val="auto"/>
                <w:sz w:val="18"/>
                <w:szCs w:val="18"/>
              </w:rPr>
              <w:t xml:space="preserve"> Mo. Pre-Sep</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cstheme="minorHAnsi"/>
                <w:sz w:val="18"/>
                <w:szCs w:val="18"/>
              </w:rPr>
              <w:t>Flexion (90⁰ Normal)</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spacing w:line="200" w:lineRule="exact"/>
              <w:rPr>
                <w:rFonts w:asciiTheme="minorHAnsi" w:eastAsia="Calibri" w:hAnsiTheme="minorHAnsi"/>
                <w:color w:val="auto"/>
                <w:sz w:val="18"/>
                <w:szCs w:val="18"/>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90⁰</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45⁰</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spacing w:line="200" w:lineRule="exact"/>
              <w:rPr>
                <w:rFonts w:asciiTheme="minorHAnsi" w:eastAsia="Calibri" w:hAnsiTheme="minorHAnsi"/>
                <w:color w:val="auto"/>
                <w:sz w:val="18"/>
                <w:szCs w:val="18"/>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15⁰</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25⁰</w:t>
            </w:r>
          </w:p>
        </w:tc>
      </w:tr>
      <w:tr w:rsidR="004F525B" w:rsidRPr="00822DD8" w:rsidTr="004F525B">
        <w:trPr>
          <w:trHeight w:val="188"/>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spacing w:line="200" w:lineRule="exact"/>
              <w:rPr>
                <w:rFonts w:asciiTheme="minorHAnsi" w:eastAsia="Calibri" w:hAnsiTheme="minorHAnsi"/>
                <w:color w:val="auto"/>
                <w:sz w:val="18"/>
                <w:szCs w:val="18"/>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30⁰</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25⁰</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spacing w:line="200" w:lineRule="exact"/>
              <w:rPr>
                <w:rFonts w:asciiTheme="minorHAnsi" w:eastAsia="Calibri" w:hAnsiTheme="minorHAnsi"/>
                <w:color w:val="auto"/>
                <w:sz w:val="18"/>
                <w:szCs w:val="18"/>
              </w:rPr>
            </w:pPr>
          </w:p>
        </w:tc>
        <w:tc>
          <w:tcPr>
            <w:tcW w:w="2238" w:type="dxa"/>
            <w:tcBorders>
              <w:top w:val="single" w:sz="4" w:space="0" w:color="000000"/>
              <w:left w:val="single" w:sz="4" w:space="0" w:color="000000"/>
              <w:bottom w:val="single" w:sz="4" w:space="0" w:color="000000"/>
              <w:right w:val="single" w:sz="4" w:space="0" w:color="000000"/>
            </w:tcBorders>
          </w:tcPr>
          <w:p w:rsidR="004F525B" w:rsidRPr="002F2CEB" w:rsidRDefault="004F525B">
            <w:pPr>
              <w:rPr>
                <w:rFonts w:asciiTheme="minorHAnsi" w:hAnsiTheme="minorHAnsi"/>
                <w:color w:val="auto"/>
              </w:rPr>
            </w:pPr>
            <w:r w:rsidRPr="002F2CEB">
              <w:rPr>
                <w:rFonts w:asciiTheme="minorHAnsi" w:eastAsia="Calibri" w:hAnsiTheme="minorHAnsi"/>
                <w:color w:val="auto"/>
                <w:sz w:val="18"/>
                <w:szCs w:val="18"/>
              </w:rPr>
              <w:t>30⁰</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25⁰</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spacing w:line="200" w:lineRule="exact"/>
              <w:rPr>
                <w:rFonts w:asciiTheme="minorHAnsi" w:eastAsia="Calibri" w:hAnsiTheme="minorHAnsi"/>
                <w:color w:val="auto"/>
                <w:sz w:val="18"/>
                <w:szCs w:val="18"/>
              </w:rPr>
            </w:pPr>
          </w:p>
        </w:tc>
        <w:tc>
          <w:tcPr>
            <w:tcW w:w="2238" w:type="dxa"/>
            <w:tcBorders>
              <w:top w:val="single" w:sz="4" w:space="0" w:color="000000"/>
              <w:left w:val="single" w:sz="4" w:space="0" w:color="000000"/>
              <w:bottom w:val="single" w:sz="4" w:space="0" w:color="000000"/>
              <w:right w:val="single" w:sz="4" w:space="0" w:color="000000"/>
            </w:tcBorders>
          </w:tcPr>
          <w:p w:rsidR="004F525B" w:rsidRPr="002F2CEB" w:rsidRDefault="004F525B">
            <w:pPr>
              <w:rPr>
                <w:rFonts w:asciiTheme="minorHAnsi" w:hAnsiTheme="minorHAnsi"/>
                <w:color w:val="auto"/>
              </w:rPr>
            </w:pPr>
            <w:r w:rsidRPr="002F2CEB">
              <w:rPr>
                <w:rFonts w:asciiTheme="minorHAnsi" w:eastAsia="Calibri" w:hAnsiTheme="minorHAnsi"/>
                <w:color w:val="auto"/>
                <w:sz w:val="18"/>
                <w:szCs w:val="18"/>
              </w:rPr>
              <w:t>30⁰</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20⁰</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spacing w:line="200" w:lineRule="exact"/>
              <w:rPr>
                <w:rFonts w:asciiTheme="minorHAnsi" w:eastAsia="Calibri" w:hAnsiTheme="minorHAnsi"/>
                <w:color w:val="auto"/>
                <w:sz w:val="18"/>
                <w:szCs w:val="18"/>
              </w:rPr>
            </w:pPr>
          </w:p>
        </w:tc>
        <w:tc>
          <w:tcPr>
            <w:tcW w:w="2238" w:type="dxa"/>
            <w:tcBorders>
              <w:top w:val="single" w:sz="4" w:space="0" w:color="000000"/>
              <w:left w:val="single" w:sz="4" w:space="0" w:color="000000"/>
              <w:bottom w:val="single" w:sz="4" w:space="0" w:color="000000"/>
              <w:right w:val="single" w:sz="4" w:space="0" w:color="000000"/>
            </w:tcBorders>
          </w:tcPr>
          <w:p w:rsidR="004F525B" w:rsidRPr="002F2CEB" w:rsidRDefault="004F525B">
            <w:pPr>
              <w:rPr>
                <w:rFonts w:asciiTheme="minorHAnsi" w:hAnsiTheme="minorHAnsi"/>
                <w:color w:val="auto"/>
              </w:rPr>
            </w:pPr>
            <w:r w:rsidRPr="002F2CEB">
              <w:rPr>
                <w:rFonts w:asciiTheme="minorHAnsi" w:eastAsia="Calibri" w:hAnsiTheme="minorHAnsi"/>
                <w:color w:val="auto"/>
                <w:sz w:val="18"/>
                <w:szCs w:val="18"/>
              </w:rPr>
              <w:t>30⁰</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eastAsia="Calibri" w:hAnsiTheme="minorHAnsi"/>
                <w:color w:val="auto"/>
                <w:sz w:val="18"/>
                <w:szCs w:val="18"/>
              </w:rPr>
            </w:pPr>
            <w:r w:rsidRPr="002F2CEB">
              <w:rPr>
                <w:rFonts w:asciiTheme="minorHAnsi" w:eastAsia="Calibri" w:hAnsiTheme="minorHAnsi"/>
                <w:color w:val="auto"/>
                <w:sz w:val="18"/>
                <w:szCs w:val="18"/>
              </w:rPr>
              <w:t>20⁰</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Combined (240⁰)</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spacing w:line="200" w:lineRule="exact"/>
              <w:rPr>
                <w:rFonts w:asciiTheme="minorHAnsi" w:hAnsiTheme="minorHAnsi"/>
                <w:color w:val="auto"/>
                <w:sz w:val="18"/>
                <w:szCs w:val="18"/>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hAnsiTheme="minorHAnsi"/>
                <w:color w:val="auto"/>
                <w:sz w:val="18"/>
                <w:szCs w:val="18"/>
              </w:rPr>
            </w:pPr>
            <w:r w:rsidRPr="002F2CEB">
              <w:rPr>
                <w:rFonts w:asciiTheme="minorHAnsi" w:eastAsia="Calibri" w:hAnsiTheme="minorHAnsi"/>
                <w:color w:val="auto"/>
                <w:sz w:val="18"/>
                <w:szCs w:val="18"/>
              </w:rPr>
              <w:t>225⁰</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spacing w:line="200" w:lineRule="exact"/>
              <w:rPr>
                <w:rFonts w:asciiTheme="minorHAnsi" w:hAnsiTheme="minorHAnsi"/>
                <w:color w:val="auto"/>
                <w:sz w:val="18"/>
                <w:szCs w:val="18"/>
              </w:rPr>
            </w:pPr>
            <w:r w:rsidRPr="002F2CEB">
              <w:rPr>
                <w:rFonts w:asciiTheme="minorHAnsi" w:eastAsia="Calibri" w:hAnsiTheme="minorHAnsi"/>
                <w:color w:val="auto"/>
                <w:sz w:val="18"/>
                <w:szCs w:val="18"/>
              </w:rPr>
              <w:t>160⁰</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25B" w:rsidRPr="002F2CEB" w:rsidRDefault="004F525B" w:rsidP="00DD503D">
            <w:pPr>
              <w:pStyle w:val="ListParagraph"/>
              <w:spacing w:after="0" w:line="200" w:lineRule="exact"/>
              <w:ind w:left="0"/>
              <w:rPr>
                <w:rFonts w:eastAsia="Calibri" w:cstheme="minorHAnsi"/>
                <w:sz w:val="18"/>
                <w:szCs w:val="18"/>
              </w:rPr>
            </w:pPr>
            <w:r w:rsidRPr="002F2CEB">
              <w:rPr>
                <w:rFonts w:eastAsia="Calibri" w:cstheme="minorHAnsi"/>
                <w:sz w:val="18"/>
                <w:szCs w:val="18"/>
              </w:rPr>
              <w:t>Tenderness; walks with a limp; negative SLR; motor, sensory and reflexes normal</w:t>
            </w:r>
          </w:p>
        </w:tc>
        <w:tc>
          <w:tcPr>
            <w:tcW w:w="2238"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pStyle w:val="ListParagraph"/>
              <w:spacing w:after="0" w:line="200" w:lineRule="exact"/>
              <w:ind w:left="0"/>
              <w:rPr>
                <w:rFonts w:eastAsia="Calibri" w:cstheme="minorHAnsi"/>
                <w:sz w:val="18"/>
                <w:szCs w:val="18"/>
              </w:rPr>
            </w:pPr>
            <w:r w:rsidRPr="002F2CEB">
              <w:rPr>
                <w:rFonts w:eastAsia="Calibri" w:cstheme="minorHAnsi"/>
                <w:sz w:val="18"/>
                <w:szCs w:val="18"/>
              </w:rPr>
              <w:t>Pain on extension; tenderness; motor, sensory and reflexes normal</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4F525B">
            <w:pPr>
              <w:pStyle w:val="ListParagraph"/>
              <w:spacing w:after="0" w:line="200" w:lineRule="exact"/>
              <w:ind w:left="0"/>
              <w:rPr>
                <w:rFonts w:eastAsia="Calibri" w:cstheme="minorHAnsi"/>
                <w:sz w:val="18"/>
                <w:szCs w:val="18"/>
              </w:rPr>
            </w:pPr>
            <w:proofErr w:type="spellStart"/>
            <w:r w:rsidRPr="002F2CEB">
              <w:rPr>
                <w:rFonts w:eastAsia="Calibri" w:cstheme="minorHAnsi"/>
                <w:sz w:val="18"/>
                <w:szCs w:val="18"/>
              </w:rPr>
              <w:t>Antagic</w:t>
            </w:r>
            <w:proofErr w:type="spellEnd"/>
            <w:r w:rsidRPr="002F2CEB">
              <w:rPr>
                <w:rFonts w:eastAsia="Calibri" w:cstheme="minorHAnsi"/>
                <w:sz w:val="18"/>
                <w:szCs w:val="18"/>
              </w:rPr>
              <w:t xml:space="preserve"> gait; + tenderness; - SLR; motor, sensory and reflexes normal</w:t>
            </w:r>
          </w:p>
        </w:tc>
      </w:tr>
      <w:tr w:rsidR="004F525B" w:rsidRPr="00822DD8" w:rsidTr="004F525B">
        <w:trPr>
          <w:jc w:val="center"/>
        </w:trPr>
        <w:tc>
          <w:tcPr>
            <w:tcW w:w="1873" w:type="dxa"/>
            <w:tcBorders>
              <w:top w:val="single" w:sz="4" w:space="0" w:color="000000"/>
              <w:left w:val="single" w:sz="4" w:space="0" w:color="000000"/>
              <w:bottom w:val="single" w:sz="4" w:space="0" w:color="000000"/>
              <w:right w:val="single" w:sz="4" w:space="0" w:color="000000"/>
            </w:tcBorders>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25B" w:rsidRPr="002F2CEB" w:rsidRDefault="004F525B">
            <w:pPr>
              <w:pStyle w:val="ListParagraph"/>
              <w:spacing w:after="0" w:line="200" w:lineRule="exact"/>
              <w:ind w:left="0"/>
              <w:rPr>
                <w:rFonts w:eastAsia="Calibri" w:cstheme="minorHAnsi"/>
                <w:sz w:val="18"/>
                <w:szCs w:val="18"/>
              </w:rPr>
            </w:pPr>
            <w:r w:rsidRPr="002F2CEB">
              <w:rPr>
                <w:rFonts w:eastAsia="Calibri" w:cstheme="minorHAnsi"/>
                <w:sz w:val="18"/>
                <w:szCs w:val="18"/>
              </w:rPr>
              <w:t>20%</w:t>
            </w:r>
          </w:p>
        </w:tc>
        <w:tc>
          <w:tcPr>
            <w:tcW w:w="2238"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pStyle w:val="ListParagraph"/>
              <w:spacing w:after="0" w:line="200" w:lineRule="exact"/>
              <w:ind w:left="0"/>
              <w:rPr>
                <w:rFonts w:eastAsia="Calibri" w:cstheme="minorHAnsi"/>
                <w:sz w:val="18"/>
                <w:szCs w:val="18"/>
              </w:rPr>
            </w:pPr>
            <w:r w:rsidRPr="002F2CEB">
              <w:rPr>
                <w:rFonts w:eastAsia="Calibri" w:cstheme="minorHAnsi"/>
                <w:sz w:val="18"/>
                <w:szCs w:val="18"/>
              </w:rPr>
              <w:t>10%</w:t>
            </w:r>
          </w:p>
        </w:tc>
        <w:tc>
          <w:tcPr>
            <w:tcW w:w="1980" w:type="dxa"/>
            <w:tcBorders>
              <w:top w:val="single" w:sz="4" w:space="0" w:color="000000"/>
              <w:left w:val="single" w:sz="4" w:space="0" w:color="000000"/>
              <w:bottom w:val="single" w:sz="4" w:space="0" w:color="000000"/>
              <w:right w:val="single" w:sz="4" w:space="0" w:color="000000"/>
            </w:tcBorders>
            <w:vAlign w:val="center"/>
          </w:tcPr>
          <w:p w:rsidR="004F525B" w:rsidRPr="002F2CEB" w:rsidRDefault="004F525B" w:rsidP="0083487B">
            <w:pPr>
              <w:pStyle w:val="ListParagraph"/>
              <w:spacing w:after="0" w:line="200" w:lineRule="exact"/>
              <w:ind w:left="0"/>
              <w:rPr>
                <w:rFonts w:eastAsia="Calibri" w:cstheme="minorHAnsi"/>
                <w:sz w:val="18"/>
                <w:szCs w:val="18"/>
              </w:rPr>
            </w:pPr>
            <w:r w:rsidRPr="002F2CEB">
              <w:rPr>
                <w:rFonts w:eastAsia="Calibri" w:cstheme="minorHAnsi"/>
                <w:sz w:val="18"/>
                <w:szCs w:val="18"/>
              </w:rPr>
              <w:t>20%</w:t>
            </w:r>
          </w:p>
        </w:tc>
      </w:tr>
    </w:tbl>
    <w:p w:rsidR="00822DD8" w:rsidRPr="00822DD8" w:rsidRDefault="00822DD8" w:rsidP="00822DD8">
      <w:pPr>
        <w:jc w:val="both"/>
        <w:rPr>
          <w:color w:val="auto"/>
          <w:szCs w:val="24"/>
        </w:rPr>
      </w:pPr>
    </w:p>
    <w:p w:rsidR="007672F3" w:rsidRPr="00822DD8" w:rsidRDefault="001847F0" w:rsidP="00DD503D">
      <w:pPr>
        <w:jc w:val="both"/>
        <w:rPr>
          <w:color w:val="000000" w:themeColor="text1"/>
          <w:szCs w:val="24"/>
        </w:rPr>
      </w:pPr>
      <w:r w:rsidRPr="00822DD8">
        <w:rPr>
          <w:rFonts w:asciiTheme="minorHAnsi" w:hAnsiTheme="minorHAnsi"/>
          <w:color w:val="auto"/>
          <w:szCs w:val="24"/>
        </w:rPr>
        <w:t>The</w:t>
      </w:r>
      <w:r w:rsidR="00DD503D" w:rsidRPr="00822DD8">
        <w:rPr>
          <w:rFonts w:asciiTheme="minorHAnsi" w:hAnsiTheme="minorHAnsi"/>
          <w:color w:val="auto"/>
          <w:szCs w:val="24"/>
        </w:rPr>
        <w:t xml:space="preserve">re were two </w:t>
      </w:r>
      <w:r w:rsidR="00073E10">
        <w:rPr>
          <w:rFonts w:asciiTheme="minorHAnsi" w:hAnsiTheme="minorHAnsi"/>
          <w:color w:val="auto"/>
          <w:szCs w:val="24"/>
        </w:rPr>
        <w:t>narrative summary</w:t>
      </w:r>
      <w:r w:rsidR="000905E2">
        <w:rPr>
          <w:rFonts w:asciiTheme="minorHAnsi" w:hAnsiTheme="minorHAnsi"/>
          <w:color w:val="auto"/>
          <w:szCs w:val="24"/>
        </w:rPr>
        <w:t xml:space="preserve"> (</w:t>
      </w:r>
      <w:r w:rsidRPr="00822DD8">
        <w:rPr>
          <w:rFonts w:asciiTheme="minorHAnsi" w:hAnsiTheme="minorHAnsi"/>
          <w:color w:val="auto"/>
          <w:szCs w:val="24"/>
        </w:rPr>
        <w:t>NARSUM</w:t>
      </w:r>
      <w:r w:rsidR="000905E2">
        <w:rPr>
          <w:rFonts w:asciiTheme="minorHAnsi" w:hAnsiTheme="minorHAnsi"/>
          <w:color w:val="auto"/>
          <w:szCs w:val="24"/>
        </w:rPr>
        <w:t>)</w:t>
      </w:r>
      <w:r w:rsidR="00DD503D" w:rsidRPr="00822DD8">
        <w:rPr>
          <w:rFonts w:asciiTheme="minorHAnsi" w:hAnsiTheme="minorHAnsi"/>
          <w:color w:val="auto"/>
          <w:szCs w:val="24"/>
        </w:rPr>
        <w:t xml:space="preserve"> exams prior to entry onto </w:t>
      </w:r>
      <w:r w:rsidR="00073E10">
        <w:rPr>
          <w:rFonts w:asciiTheme="minorHAnsi" w:hAnsiTheme="minorHAnsi"/>
          <w:color w:val="auto"/>
          <w:szCs w:val="24"/>
        </w:rPr>
        <w:t xml:space="preserve">the </w:t>
      </w:r>
      <w:r w:rsidR="00DD503D" w:rsidRPr="00822DD8">
        <w:rPr>
          <w:rFonts w:asciiTheme="minorHAnsi" w:hAnsiTheme="minorHAnsi"/>
          <w:color w:val="auto"/>
          <w:szCs w:val="24"/>
        </w:rPr>
        <w:t>TDRL.  The</w:t>
      </w:r>
      <w:r w:rsidR="00073E10">
        <w:rPr>
          <w:rFonts w:asciiTheme="minorHAnsi" w:hAnsiTheme="minorHAnsi"/>
          <w:color w:val="auto"/>
          <w:szCs w:val="24"/>
        </w:rPr>
        <w:t xml:space="preserve"> exams</w:t>
      </w:r>
      <w:r w:rsidR="00DD503D" w:rsidRPr="00822DD8">
        <w:rPr>
          <w:rFonts w:asciiTheme="minorHAnsi" w:hAnsiTheme="minorHAnsi"/>
          <w:color w:val="auto"/>
          <w:szCs w:val="24"/>
        </w:rPr>
        <w:t xml:space="preserve"> </w:t>
      </w:r>
      <w:r w:rsidRPr="00822DD8">
        <w:rPr>
          <w:rFonts w:asciiTheme="minorHAnsi" w:hAnsiTheme="minorHAnsi"/>
          <w:color w:val="auto"/>
          <w:szCs w:val="24"/>
        </w:rPr>
        <w:t>indicated trauma to</w:t>
      </w:r>
      <w:r w:rsidRPr="00822DD8">
        <w:rPr>
          <w:rFonts w:asciiTheme="minorHAnsi" w:hAnsiTheme="minorHAnsi"/>
          <w:color w:val="000000" w:themeColor="text1"/>
          <w:szCs w:val="24"/>
        </w:rPr>
        <w:t xml:space="preserve"> the lower back with</w:t>
      </w:r>
      <w:r w:rsidR="00DD503D" w:rsidRPr="00822DD8">
        <w:rPr>
          <w:rFonts w:asciiTheme="minorHAnsi" w:hAnsiTheme="minorHAnsi"/>
          <w:color w:val="000000" w:themeColor="text1"/>
          <w:szCs w:val="24"/>
        </w:rPr>
        <w:t xml:space="preserve"> </w:t>
      </w:r>
      <w:r w:rsidR="00DD503D" w:rsidRPr="00822DD8">
        <w:rPr>
          <w:color w:val="000000" w:themeColor="text1"/>
          <w:szCs w:val="24"/>
        </w:rPr>
        <w:t xml:space="preserve">LBP along with intermittent radiation of pain into his </w:t>
      </w:r>
      <w:r w:rsidR="00DD503D" w:rsidRPr="000905E2">
        <w:rPr>
          <w:color w:val="000000" w:themeColor="text1"/>
          <w:szCs w:val="24"/>
        </w:rPr>
        <w:t>LLE</w:t>
      </w:r>
      <w:r w:rsidR="00DD503D" w:rsidRPr="00822DD8">
        <w:rPr>
          <w:color w:val="000000" w:themeColor="text1"/>
          <w:szCs w:val="24"/>
        </w:rPr>
        <w:t xml:space="preserve"> without relief from physical therapy or medications including narcotic pain medication</w:t>
      </w:r>
      <w:r w:rsidR="00BB76A0" w:rsidRPr="00822DD8">
        <w:rPr>
          <w:color w:val="000000" w:themeColor="text1"/>
          <w:szCs w:val="24"/>
        </w:rPr>
        <w:t>s (there was no right lower extremity radiculopathy)</w:t>
      </w:r>
      <w:r w:rsidR="00DD503D" w:rsidRPr="00822DD8">
        <w:rPr>
          <w:color w:val="000000" w:themeColor="text1"/>
          <w:szCs w:val="24"/>
        </w:rPr>
        <w:t>.</w:t>
      </w:r>
      <w:r w:rsidRPr="00822DD8">
        <w:rPr>
          <w:color w:val="000000" w:themeColor="text1"/>
          <w:szCs w:val="24"/>
        </w:rPr>
        <w:t xml:space="preserve"> </w:t>
      </w:r>
      <w:r w:rsidR="00DD503D" w:rsidRPr="00822DD8">
        <w:rPr>
          <w:color w:val="000000" w:themeColor="text1"/>
          <w:szCs w:val="24"/>
        </w:rPr>
        <w:t xml:space="preserve"> Neither NARSUM included ROMs.  The first NARSUM exam is summarized above.  The examiner stated “he is neurologically intact.”  The second </w:t>
      </w:r>
      <w:r w:rsidR="00166E57" w:rsidRPr="00822DD8">
        <w:rPr>
          <w:color w:val="000000" w:themeColor="text1"/>
          <w:szCs w:val="24"/>
        </w:rPr>
        <w:t xml:space="preserve">pre-TDRL </w:t>
      </w:r>
      <w:r w:rsidR="00DD503D" w:rsidRPr="00822DD8">
        <w:rPr>
          <w:color w:val="000000" w:themeColor="text1"/>
          <w:szCs w:val="24"/>
        </w:rPr>
        <w:t xml:space="preserve">NARSUM exam was </w:t>
      </w:r>
      <w:r w:rsidR="00E8560F" w:rsidRPr="00822DD8">
        <w:rPr>
          <w:color w:val="000000" w:themeColor="text1"/>
          <w:szCs w:val="24"/>
        </w:rPr>
        <w:t xml:space="preserve">limited to “Physical examination within normal limits. </w:t>
      </w:r>
      <w:r w:rsidR="00166E57" w:rsidRPr="00822DD8">
        <w:rPr>
          <w:color w:val="000000" w:themeColor="text1"/>
          <w:szCs w:val="24"/>
        </w:rPr>
        <w:t xml:space="preserve"> </w:t>
      </w:r>
      <w:proofErr w:type="spellStart"/>
      <w:r w:rsidR="00E8560F" w:rsidRPr="00822DD8">
        <w:rPr>
          <w:color w:val="000000" w:themeColor="text1"/>
          <w:szCs w:val="24"/>
        </w:rPr>
        <w:t>Waddells</w:t>
      </w:r>
      <w:proofErr w:type="spellEnd"/>
      <w:r w:rsidR="00E8560F" w:rsidRPr="00822DD8">
        <w:rPr>
          <w:color w:val="000000" w:themeColor="text1"/>
          <w:szCs w:val="24"/>
        </w:rPr>
        <w:t xml:space="preserve"> 4/5.”  </w:t>
      </w:r>
      <w:r w:rsidR="000905E2">
        <w:rPr>
          <w:color w:val="000000" w:themeColor="text1"/>
          <w:szCs w:val="24"/>
        </w:rPr>
        <w:t>Magnetic resonance imagery (</w:t>
      </w:r>
      <w:r w:rsidR="00DD503D" w:rsidRPr="00822DD8">
        <w:rPr>
          <w:color w:val="000000" w:themeColor="text1"/>
          <w:szCs w:val="24"/>
        </w:rPr>
        <w:t>MRI</w:t>
      </w:r>
      <w:r w:rsidR="000905E2">
        <w:rPr>
          <w:color w:val="000000" w:themeColor="text1"/>
          <w:szCs w:val="24"/>
        </w:rPr>
        <w:t>)</w:t>
      </w:r>
      <w:r w:rsidR="00DD503D" w:rsidRPr="00822DD8">
        <w:rPr>
          <w:color w:val="000000" w:themeColor="text1"/>
          <w:szCs w:val="24"/>
        </w:rPr>
        <w:t xml:space="preserve"> </w:t>
      </w:r>
      <w:r w:rsidR="00E8560F" w:rsidRPr="00822DD8">
        <w:rPr>
          <w:color w:val="000000" w:themeColor="text1"/>
          <w:szCs w:val="24"/>
        </w:rPr>
        <w:t xml:space="preserve">noted </w:t>
      </w:r>
      <w:r w:rsidR="00CE6A5D" w:rsidRPr="00CE6A5D">
        <w:rPr>
          <w:color w:val="000000" w:themeColor="text1"/>
          <w:szCs w:val="24"/>
        </w:rPr>
        <w:t>Degenerative Disc Disease</w:t>
      </w:r>
      <w:r w:rsidR="00CE6A5D">
        <w:rPr>
          <w:color w:val="000000" w:themeColor="text1"/>
          <w:szCs w:val="24"/>
        </w:rPr>
        <w:t xml:space="preserve"> (</w:t>
      </w:r>
      <w:r w:rsidR="00DD503D" w:rsidRPr="00CE6A5D">
        <w:rPr>
          <w:color w:val="000000" w:themeColor="text1"/>
          <w:szCs w:val="24"/>
        </w:rPr>
        <w:t>DDD</w:t>
      </w:r>
      <w:r w:rsidR="00CE6A5D">
        <w:rPr>
          <w:color w:val="000000" w:themeColor="text1"/>
          <w:szCs w:val="24"/>
        </w:rPr>
        <w:t>)</w:t>
      </w:r>
      <w:r w:rsidR="00DD503D" w:rsidRPr="00822DD8">
        <w:rPr>
          <w:color w:val="000000" w:themeColor="text1"/>
          <w:szCs w:val="24"/>
        </w:rPr>
        <w:t xml:space="preserve"> </w:t>
      </w:r>
      <w:r w:rsidR="00E8560F" w:rsidRPr="00822DD8">
        <w:rPr>
          <w:color w:val="000000" w:themeColor="text1"/>
          <w:szCs w:val="24"/>
        </w:rPr>
        <w:t xml:space="preserve">and a left </w:t>
      </w:r>
      <w:proofErr w:type="spellStart"/>
      <w:r w:rsidR="00E8560F" w:rsidRPr="00822DD8">
        <w:rPr>
          <w:color w:val="000000" w:themeColor="text1"/>
          <w:szCs w:val="24"/>
        </w:rPr>
        <w:t>paracentral</w:t>
      </w:r>
      <w:proofErr w:type="spellEnd"/>
      <w:r w:rsidR="00E8560F" w:rsidRPr="00822DD8">
        <w:rPr>
          <w:color w:val="000000" w:themeColor="text1"/>
          <w:szCs w:val="24"/>
        </w:rPr>
        <w:t xml:space="preserve"> HNP at L5-S1 which extended into the left neural foramen.  Electrophysiological study (EMG) was noted as “</w:t>
      </w:r>
      <w:proofErr w:type="spellStart"/>
      <w:r w:rsidR="00E8560F" w:rsidRPr="00822DD8">
        <w:rPr>
          <w:color w:val="000000" w:themeColor="text1"/>
          <w:szCs w:val="24"/>
        </w:rPr>
        <w:t>nonconclusive</w:t>
      </w:r>
      <w:proofErr w:type="spellEnd"/>
      <w:r w:rsidR="00E8560F" w:rsidRPr="00822DD8">
        <w:rPr>
          <w:color w:val="000000" w:themeColor="text1"/>
          <w:szCs w:val="24"/>
        </w:rPr>
        <w:t xml:space="preserve">.”  </w:t>
      </w:r>
    </w:p>
    <w:p w:rsidR="00E8560F" w:rsidRPr="00822DD8" w:rsidRDefault="00E8560F" w:rsidP="00DD503D">
      <w:pPr>
        <w:jc w:val="both"/>
        <w:rPr>
          <w:color w:val="000000" w:themeColor="text1"/>
          <w:szCs w:val="24"/>
        </w:rPr>
      </w:pPr>
    </w:p>
    <w:p w:rsidR="001847F0" w:rsidRDefault="00CE6A5D" w:rsidP="00166E57">
      <w:pPr>
        <w:jc w:val="both"/>
        <w:rPr>
          <w:color w:val="000000" w:themeColor="text1"/>
          <w:szCs w:val="24"/>
        </w:rPr>
      </w:pPr>
      <w:r w:rsidRPr="003F679B">
        <w:rPr>
          <w:color w:val="000000" w:themeColor="text1"/>
          <w:szCs w:val="24"/>
        </w:rPr>
        <w:t>Service</w:t>
      </w:r>
      <w:r>
        <w:rPr>
          <w:color w:val="000000" w:themeColor="text1"/>
          <w:szCs w:val="24"/>
        </w:rPr>
        <w:t xml:space="preserve"> t</w:t>
      </w:r>
      <w:r w:rsidR="00E8560F" w:rsidRPr="00822DD8">
        <w:rPr>
          <w:color w:val="000000" w:themeColor="text1"/>
          <w:szCs w:val="24"/>
        </w:rPr>
        <w:t xml:space="preserve">reatment records </w:t>
      </w:r>
      <w:r>
        <w:rPr>
          <w:color w:val="000000" w:themeColor="text1"/>
          <w:szCs w:val="24"/>
        </w:rPr>
        <w:t xml:space="preserve">(STR) </w:t>
      </w:r>
      <w:r w:rsidR="00E8560F" w:rsidRPr="00822DD8">
        <w:rPr>
          <w:color w:val="000000" w:themeColor="text1"/>
          <w:szCs w:val="24"/>
        </w:rPr>
        <w:t xml:space="preserve">following the NARSUM indicated a </w:t>
      </w:r>
      <w:r w:rsidR="002E4044" w:rsidRPr="00822DD8">
        <w:rPr>
          <w:color w:val="000000" w:themeColor="text1"/>
          <w:szCs w:val="24"/>
        </w:rPr>
        <w:t xml:space="preserve">worsening of symptoms with a </w:t>
      </w:r>
      <w:r w:rsidR="00E8560F" w:rsidRPr="00822DD8">
        <w:rPr>
          <w:color w:val="000000" w:themeColor="text1"/>
          <w:szCs w:val="24"/>
        </w:rPr>
        <w:t xml:space="preserve">course of systemic steroids, prescription of a cane, </w:t>
      </w:r>
      <w:r w:rsidR="00166E57" w:rsidRPr="00822DD8">
        <w:rPr>
          <w:color w:val="000000" w:themeColor="text1"/>
          <w:szCs w:val="24"/>
        </w:rPr>
        <w:t xml:space="preserve">and an </w:t>
      </w:r>
      <w:r w:rsidR="002E4044" w:rsidRPr="00822DD8">
        <w:rPr>
          <w:color w:val="000000" w:themeColor="text1"/>
          <w:szCs w:val="24"/>
        </w:rPr>
        <w:t>MRI showing a moderate-sized L5-S1 HNP contacting the S1 nerve root.  The CI had subjective tingling and numbness of his LLE and multiple emergency room visits and documented back spasms.</w:t>
      </w:r>
      <w:r w:rsidR="002E4044">
        <w:rPr>
          <w:color w:val="000000" w:themeColor="text1"/>
          <w:szCs w:val="24"/>
        </w:rPr>
        <w:t xml:space="preserve">  </w:t>
      </w:r>
      <w:r w:rsidR="00B61907" w:rsidRPr="00B61907">
        <w:rPr>
          <w:color w:val="000000" w:themeColor="text1"/>
          <w:szCs w:val="24"/>
        </w:rPr>
        <w:t xml:space="preserve">The NARSUM exam </w:t>
      </w:r>
      <w:r>
        <w:rPr>
          <w:color w:val="000000" w:themeColor="text1"/>
          <w:szCs w:val="24"/>
        </w:rPr>
        <w:t>2</w:t>
      </w:r>
      <w:r w:rsidR="00B61907" w:rsidRPr="00B61907">
        <w:rPr>
          <w:color w:val="000000" w:themeColor="text1"/>
          <w:szCs w:val="24"/>
        </w:rPr>
        <w:t xml:space="preserve"> months prior to TDRL-exit (permanent separation) indicated the CI was being seen by a VA neurosurgeon who recommended surgery following weight loss.  The CI complained of 8/10 LBP with exacerbation with any repetitive movement, occasional numbness of his LLE and “occasional incontinence with the last being 2.5 months ago.”  The CI had no PT during TDRL and remained on narcotic pain medication</w:t>
      </w:r>
      <w:r w:rsidR="006849F8">
        <w:rPr>
          <w:color w:val="000000" w:themeColor="text1"/>
          <w:szCs w:val="24"/>
        </w:rPr>
        <w:t>s</w:t>
      </w:r>
      <w:r w:rsidR="00B61907" w:rsidRPr="00B61907">
        <w:rPr>
          <w:color w:val="000000" w:themeColor="text1"/>
          <w:szCs w:val="24"/>
        </w:rPr>
        <w:t xml:space="preserve">.  </w:t>
      </w:r>
      <w:r w:rsidR="00B61907">
        <w:rPr>
          <w:color w:val="000000" w:themeColor="text1"/>
          <w:szCs w:val="24"/>
        </w:rPr>
        <w:t xml:space="preserve">The back exam is summarized above.  </w:t>
      </w:r>
    </w:p>
    <w:p w:rsidR="008236F1" w:rsidRDefault="008236F1" w:rsidP="00166E57">
      <w:pPr>
        <w:jc w:val="both"/>
        <w:rPr>
          <w:color w:val="000000" w:themeColor="text1"/>
          <w:szCs w:val="24"/>
        </w:rPr>
      </w:pPr>
    </w:p>
    <w:p w:rsidR="00166E57" w:rsidRPr="00166E57" w:rsidRDefault="00166E57" w:rsidP="00166E57">
      <w:pPr>
        <w:tabs>
          <w:tab w:val="left" w:pos="288"/>
          <w:tab w:val="left" w:pos="4752"/>
        </w:tabs>
        <w:jc w:val="both"/>
        <w:rPr>
          <w:rFonts w:cs="Times New Roman"/>
          <w:color w:val="auto"/>
        </w:rPr>
      </w:pPr>
      <w:r w:rsidRPr="00F64312">
        <w:rPr>
          <w:rFonts w:cs="Times New Roman"/>
          <w:color w:val="auto"/>
        </w:rPr>
        <w:t xml:space="preserve">The Board directs attention to its rating recommendation based on the above evidence.  </w:t>
      </w:r>
      <w:r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Pr>
          <w:rFonts w:eastAsia="Calibri" w:cs="Times New Roman"/>
          <w:color w:val="auto"/>
          <w:szCs w:val="24"/>
        </w:rPr>
        <w:t>lower back</w:t>
      </w:r>
      <w:r w:rsidRPr="00F64312">
        <w:rPr>
          <w:rFonts w:eastAsia="Calibri" w:cs="Times New Roman"/>
          <w:color w:val="auto"/>
          <w:szCs w:val="24"/>
        </w:rPr>
        <w:t xml:space="preserve"> condition</w:t>
      </w:r>
      <w:r>
        <w:rPr>
          <w:rFonts w:eastAsia="Calibri" w:cs="Times New Roman"/>
          <w:color w:val="auto"/>
          <w:szCs w:val="24"/>
        </w:rPr>
        <w:t xml:space="preserve"> on entry into TDRL or at permanent separation</w:t>
      </w:r>
      <w:r w:rsidRPr="00F64312">
        <w:rPr>
          <w:rFonts w:eastAsia="Calibri" w:cs="Times New Roman"/>
          <w:color w:val="auto"/>
          <w:szCs w:val="24"/>
        </w:rPr>
        <w:t xml:space="preserve">.  </w:t>
      </w:r>
    </w:p>
    <w:p w:rsidR="00166E57" w:rsidRPr="00F64312" w:rsidRDefault="00166E57" w:rsidP="00166E57">
      <w:pPr>
        <w:tabs>
          <w:tab w:val="left" w:pos="288"/>
          <w:tab w:val="left" w:pos="4752"/>
        </w:tabs>
        <w:jc w:val="left"/>
        <w:rPr>
          <w:rFonts w:cs="Times New Roman"/>
          <w:color w:val="auto"/>
          <w:highlight w:val="magenta"/>
        </w:rPr>
      </w:pPr>
    </w:p>
    <w:p w:rsidR="006849F8" w:rsidRPr="00822DD8" w:rsidRDefault="001D62C6" w:rsidP="006849F8">
      <w:pPr>
        <w:jc w:val="both"/>
        <w:rPr>
          <w:color w:val="000000" w:themeColor="text1"/>
          <w:szCs w:val="24"/>
        </w:rPr>
      </w:pPr>
      <w:proofErr w:type="gramStart"/>
      <w:r w:rsidRPr="00C34AF7">
        <w:rPr>
          <w:color w:val="000000" w:themeColor="text1"/>
          <w:szCs w:val="24"/>
          <w:u w:val="single"/>
        </w:rPr>
        <w:t>Left</w:t>
      </w:r>
      <w:r w:rsidRPr="00BB76A0">
        <w:rPr>
          <w:color w:val="000000" w:themeColor="text1"/>
          <w:szCs w:val="24"/>
          <w:u w:val="single"/>
        </w:rPr>
        <w:t xml:space="preserve"> Sciatic Radiculopathy </w:t>
      </w:r>
      <w:r w:rsidR="003F2EEE" w:rsidRPr="00BB76A0">
        <w:rPr>
          <w:color w:val="000000" w:themeColor="text1"/>
          <w:szCs w:val="24"/>
          <w:u w:val="single"/>
        </w:rPr>
        <w:t>Condition</w:t>
      </w:r>
      <w:r w:rsidR="003F2EEE" w:rsidRPr="00BB76A0">
        <w:rPr>
          <w:color w:val="000000" w:themeColor="text1"/>
          <w:szCs w:val="24"/>
        </w:rPr>
        <w:t>.</w:t>
      </w:r>
      <w:proofErr w:type="gramEnd"/>
      <w:r w:rsidR="003F2EEE" w:rsidRPr="00BB76A0">
        <w:rPr>
          <w:color w:val="000000" w:themeColor="text1"/>
          <w:szCs w:val="24"/>
        </w:rPr>
        <w:t xml:space="preserve">  </w:t>
      </w:r>
      <w:r w:rsidR="006849F8">
        <w:rPr>
          <w:color w:val="000000" w:themeColor="text1"/>
          <w:szCs w:val="24"/>
        </w:rPr>
        <w:t xml:space="preserve">The FPEB disability description for TDRL-entry rating of </w:t>
      </w:r>
      <w:r w:rsidR="00C34AF7">
        <w:rPr>
          <w:color w:val="000000" w:themeColor="text1"/>
          <w:szCs w:val="24"/>
        </w:rPr>
        <w:t xml:space="preserve">VASRD codes </w:t>
      </w:r>
      <w:r w:rsidR="006849F8">
        <w:rPr>
          <w:color w:val="000000" w:themeColor="text1"/>
          <w:szCs w:val="24"/>
        </w:rPr>
        <w:t>5243-8620 at 10% was “</w:t>
      </w:r>
      <w:r w:rsidR="006849F8" w:rsidRPr="00A80DAE">
        <w:rPr>
          <w:color w:val="000000" w:themeColor="text1"/>
          <w:szCs w:val="24"/>
        </w:rPr>
        <w:t>Left sciatic radiculopathy, manifested by chronic variable pain in left leg,</w:t>
      </w:r>
      <w:r w:rsidR="006849F8">
        <w:rPr>
          <w:color w:val="000000" w:themeColor="text1"/>
          <w:szCs w:val="24"/>
        </w:rPr>
        <w:t xml:space="preserve"> </w:t>
      </w:r>
      <w:r w:rsidR="006849F8" w:rsidRPr="00A80DAE">
        <w:rPr>
          <w:color w:val="000000" w:themeColor="text1"/>
          <w:szCs w:val="24"/>
        </w:rPr>
        <w:t>with reflexes and motor strength reported unimpaired.</w:t>
      </w:r>
      <w:r w:rsidR="006849F8">
        <w:rPr>
          <w:color w:val="000000" w:themeColor="text1"/>
          <w:szCs w:val="24"/>
        </w:rPr>
        <w:t xml:space="preserve">  </w:t>
      </w:r>
      <w:proofErr w:type="gramStart"/>
      <w:r w:rsidR="006849F8" w:rsidRPr="00A80DAE">
        <w:rPr>
          <w:color w:val="000000" w:themeColor="text1"/>
          <w:szCs w:val="24"/>
        </w:rPr>
        <w:t>Rated for sciatic</w:t>
      </w:r>
      <w:r w:rsidR="006849F8">
        <w:rPr>
          <w:color w:val="000000" w:themeColor="text1"/>
          <w:szCs w:val="24"/>
        </w:rPr>
        <w:t xml:space="preserve"> </w:t>
      </w:r>
      <w:r w:rsidR="006849F8" w:rsidRPr="00A80DAE">
        <w:rPr>
          <w:color w:val="000000" w:themeColor="text1"/>
          <w:szCs w:val="24"/>
        </w:rPr>
        <w:t>neuritis, mild.</w:t>
      </w:r>
      <w:r w:rsidR="006849F8">
        <w:rPr>
          <w:color w:val="000000" w:themeColor="text1"/>
          <w:szCs w:val="24"/>
        </w:rPr>
        <w:t>”</w:t>
      </w:r>
      <w:proofErr w:type="gramEnd"/>
      <w:r w:rsidR="006849F8" w:rsidRPr="00A80DAE">
        <w:rPr>
          <w:color w:val="000000" w:themeColor="text1"/>
          <w:szCs w:val="24"/>
        </w:rPr>
        <w:t xml:space="preserve"> </w:t>
      </w:r>
      <w:r w:rsidR="006849F8">
        <w:rPr>
          <w:color w:val="000000" w:themeColor="text1"/>
          <w:szCs w:val="24"/>
        </w:rPr>
        <w:t xml:space="preserve"> The commander’s statement, prior to entry into TDRL, </w:t>
      </w:r>
      <w:r w:rsidR="00A57A29" w:rsidRPr="00822DD8">
        <w:rPr>
          <w:color w:val="000000" w:themeColor="text1"/>
          <w:szCs w:val="24"/>
        </w:rPr>
        <w:t>specified leg pain and numbness as</w:t>
      </w:r>
      <w:r w:rsidR="00A57A29">
        <w:rPr>
          <w:color w:val="000000" w:themeColor="text1"/>
          <w:szCs w:val="24"/>
        </w:rPr>
        <w:t xml:space="preserve"> well as inability to sit or stand for long periods as interfering with duty function and with specific MOS tasks.</w:t>
      </w:r>
      <w:r w:rsidR="006849F8">
        <w:rPr>
          <w:color w:val="000000" w:themeColor="text1"/>
          <w:szCs w:val="24"/>
        </w:rPr>
        <w:t xml:space="preserve">  The final PEB (for TDRL-exit) did not mention the TDRL diagnosis of Left sciatic radiculopathy, but specified “</w:t>
      </w:r>
      <w:r w:rsidR="006849F8" w:rsidRPr="006849F8">
        <w:rPr>
          <w:color w:val="000000" w:themeColor="text1"/>
          <w:szCs w:val="24"/>
        </w:rPr>
        <w:t xml:space="preserve">chronic back pain with </w:t>
      </w:r>
      <w:r w:rsidR="006849F8">
        <w:rPr>
          <w:color w:val="000000" w:themeColor="text1"/>
          <w:szCs w:val="24"/>
        </w:rPr>
        <w:t>L</w:t>
      </w:r>
      <w:r w:rsidR="006849F8" w:rsidRPr="006849F8">
        <w:rPr>
          <w:color w:val="000000" w:themeColor="text1"/>
          <w:szCs w:val="24"/>
        </w:rPr>
        <w:t>5-</w:t>
      </w:r>
      <w:r w:rsidR="006849F8">
        <w:rPr>
          <w:color w:val="000000" w:themeColor="text1"/>
          <w:szCs w:val="24"/>
        </w:rPr>
        <w:t>S</w:t>
      </w:r>
      <w:r w:rsidR="006849F8" w:rsidRPr="006849F8">
        <w:rPr>
          <w:color w:val="000000" w:themeColor="text1"/>
          <w:szCs w:val="24"/>
        </w:rPr>
        <w:t xml:space="preserve">1 herniated nucleus </w:t>
      </w:r>
      <w:proofErr w:type="spellStart"/>
      <w:r w:rsidR="006849F8" w:rsidRPr="006849F8">
        <w:rPr>
          <w:color w:val="000000" w:themeColor="text1"/>
          <w:szCs w:val="24"/>
        </w:rPr>
        <w:t>pulposus</w:t>
      </w:r>
      <w:proofErr w:type="spellEnd"/>
      <w:r w:rsidR="006849F8" w:rsidRPr="006849F8">
        <w:rPr>
          <w:color w:val="000000" w:themeColor="text1"/>
          <w:szCs w:val="24"/>
        </w:rPr>
        <w:t>, without neurologic</w:t>
      </w:r>
      <w:r w:rsidR="006849F8">
        <w:rPr>
          <w:color w:val="000000" w:themeColor="text1"/>
          <w:szCs w:val="24"/>
        </w:rPr>
        <w:t xml:space="preserve"> </w:t>
      </w:r>
      <w:r w:rsidR="006849F8" w:rsidRPr="006849F8">
        <w:rPr>
          <w:color w:val="000000" w:themeColor="text1"/>
          <w:szCs w:val="24"/>
        </w:rPr>
        <w:t>or significant electrodiagnostic abnormality, altered gait, forward flexion</w:t>
      </w:r>
      <w:r w:rsidR="006849F8">
        <w:rPr>
          <w:color w:val="000000" w:themeColor="text1"/>
          <w:szCs w:val="24"/>
        </w:rPr>
        <w:t xml:space="preserve"> </w:t>
      </w:r>
      <w:r w:rsidR="006849F8" w:rsidRPr="006849F8">
        <w:rPr>
          <w:color w:val="000000" w:themeColor="text1"/>
          <w:szCs w:val="24"/>
        </w:rPr>
        <w:t xml:space="preserve">45 degrees, 4/5 </w:t>
      </w:r>
      <w:r w:rsidR="002F2CEB">
        <w:rPr>
          <w:color w:val="000000" w:themeColor="text1"/>
          <w:szCs w:val="24"/>
        </w:rPr>
        <w:t>W</w:t>
      </w:r>
      <w:r w:rsidR="006849F8" w:rsidRPr="006849F8">
        <w:rPr>
          <w:color w:val="000000" w:themeColor="text1"/>
          <w:szCs w:val="24"/>
        </w:rPr>
        <w:t xml:space="preserve">addell's </w:t>
      </w:r>
      <w:r w:rsidR="006849F8" w:rsidRPr="00822DD8">
        <w:rPr>
          <w:color w:val="000000" w:themeColor="text1"/>
          <w:szCs w:val="24"/>
        </w:rPr>
        <w:t xml:space="preserve">signs  (TDRL </w:t>
      </w:r>
      <w:proofErr w:type="spellStart"/>
      <w:r w:rsidR="006849F8" w:rsidRPr="00822DD8">
        <w:rPr>
          <w:color w:val="000000" w:themeColor="text1"/>
          <w:szCs w:val="24"/>
        </w:rPr>
        <w:t>eval</w:t>
      </w:r>
      <w:proofErr w:type="spellEnd"/>
      <w:r w:rsidR="006849F8" w:rsidRPr="00822DD8">
        <w:rPr>
          <w:color w:val="000000" w:themeColor="text1"/>
          <w:szCs w:val="24"/>
        </w:rPr>
        <w:t xml:space="preserve"> </w:t>
      </w:r>
      <w:proofErr w:type="spellStart"/>
      <w:r w:rsidR="006849F8" w:rsidRPr="00822DD8">
        <w:rPr>
          <w:color w:val="000000" w:themeColor="text1"/>
          <w:szCs w:val="24"/>
        </w:rPr>
        <w:t>diag</w:t>
      </w:r>
      <w:proofErr w:type="spellEnd"/>
      <w:r w:rsidR="006849F8" w:rsidRPr="00822DD8">
        <w:rPr>
          <w:color w:val="000000" w:themeColor="text1"/>
          <w:szCs w:val="24"/>
        </w:rPr>
        <w:t>, NARSUM)</w:t>
      </w:r>
      <w:r w:rsidR="00C34AF7">
        <w:rPr>
          <w:color w:val="000000" w:themeColor="text1"/>
          <w:szCs w:val="24"/>
        </w:rPr>
        <w:t>.</w:t>
      </w:r>
      <w:r w:rsidR="00073E10">
        <w:rPr>
          <w:color w:val="000000" w:themeColor="text1"/>
          <w:szCs w:val="24"/>
        </w:rPr>
        <w:t>”</w:t>
      </w:r>
      <w:r w:rsidR="006849F8" w:rsidRPr="00822DD8">
        <w:rPr>
          <w:color w:val="000000" w:themeColor="text1"/>
          <w:szCs w:val="24"/>
        </w:rPr>
        <w:t xml:space="preserve">  The TDRL evaluation diagnosis was “Chronic mechanical low back</w:t>
      </w:r>
      <w:r w:rsidR="002B0AD4">
        <w:rPr>
          <w:color w:val="000000" w:themeColor="text1"/>
          <w:szCs w:val="24"/>
        </w:rPr>
        <w:t xml:space="preserve"> </w:t>
      </w:r>
      <w:r w:rsidR="006849F8" w:rsidRPr="00822DD8">
        <w:rPr>
          <w:color w:val="000000" w:themeColor="text1"/>
          <w:szCs w:val="24"/>
        </w:rPr>
        <w:t>pain with sciatica and history of disc herniation of L5-S1, with stable exam today.”  It is presumed likely that the final PEB considered the CI’s sciatica of radiating leg pain and subjective numbness as not unfitting or separately compensable.</w:t>
      </w:r>
      <w:r w:rsidR="00717BEA" w:rsidRPr="00822DD8">
        <w:rPr>
          <w:color w:val="000000" w:themeColor="text1"/>
          <w:szCs w:val="24"/>
        </w:rPr>
        <w:t xml:space="preserve">  </w:t>
      </w:r>
    </w:p>
    <w:p w:rsidR="006849F8" w:rsidRPr="00822DD8" w:rsidRDefault="006849F8" w:rsidP="006849F8">
      <w:pPr>
        <w:jc w:val="both"/>
        <w:rPr>
          <w:color w:val="000000" w:themeColor="text1"/>
          <w:szCs w:val="24"/>
        </w:rPr>
      </w:pPr>
    </w:p>
    <w:p w:rsidR="000F7921" w:rsidRDefault="006849F8" w:rsidP="00125B06">
      <w:pPr>
        <w:tabs>
          <w:tab w:val="left" w:pos="288"/>
          <w:tab w:val="left" w:pos="4752"/>
        </w:tabs>
        <w:jc w:val="both"/>
        <w:rPr>
          <w:color w:val="000000" w:themeColor="text1"/>
          <w:szCs w:val="24"/>
        </w:rPr>
      </w:pPr>
      <w:r w:rsidRPr="00822DD8">
        <w:rPr>
          <w:color w:val="000000" w:themeColor="text1"/>
          <w:szCs w:val="24"/>
        </w:rPr>
        <w:t>The examinations for the unfitting low back pain condition noted above</w:t>
      </w:r>
      <w:r>
        <w:rPr>
          <w:color w:val="000000" w:themeColor="text1"/>
          <w:szCs w:val="24"/>
        </w:rPr>
        <w:t xml:space="preserve"> are applicable to the radiculopathy condition.  </w:t>
      </w:r>
      <w:r w:rsidR="00125B06">
        <w:rPr>
          <w:color w:val="000000" w:themeColor="text1"/>
          <w:szCs w:val="24"/>
        </w:rPr>
        <w:t xml:space="preserve">Pre-TDRL </w:t>
      </w:r>
      <w:r w:rsidR="00125B06" w:rsidRPr="00125B06">
        <w:rPr>
          <w:color w:val="000000" w:themeColor="text1"/>
          <w:szCs w:val="24"/>
        </w:rPr>
        <w:t xml:space="preserve">entry, </w:t>
      </w:r>
      <w:r w:rsidR="00125B06" w:rsidRPr="00125B06">
        <w:rPr>
          <w:color w:val="auto"/>
          <w:szCs w:val="24"/>
        </w:rPr>
        <w:t>the commander’s statement indicated functional implications from leg pain and numbness and the FPEB considered the sciatica unfitting.</w:t>
      </w:r>
      <w:r w:rsidR="00125B06" w:rsidRPr="006849F8">
        <w:rPr>
          <w:color w:val="auto"/>
          <w:szCs w:val="24"/>
        </w:rPr>
        <w:t xml:space="preserve">  </w:t>
      </w:r>
      <w:r w:rsidR="00C8196B">
        <w:rPr>
          <w:color w:val="000000" w:themeColor="text1"/>
          <w:szCs w:val="24"/>
        </w:rPr>
        <w:t>In addition</w:t>
      </w:r>
      <w:r>
        <w:rPr>
          <w:color w:val="000000" w:themeColor="text1"/>
          <w:szCs w:val="24"/>
        </w:rPr>
        <w:t xml:space="preserve"> to the information from the unfitting back exams</w:t>
      </w:r>
      <w:r w:rsidR="00C8196B">
        <w:rPr>
          <w:color w:val="000000" w:themeColor="text1"/>
          <w:szCs w:val="24"/>
        </w:rPr>
        <w:t xml:space="preserve">, the consult for </w:t>
      </w:r>
      <w:proofErr w:type="spellStart"/>
      <w:r w:rsidR="00C8196B">
        <w:rPr>
          <w:color w:val="000000" w:themeColor="text1"/>
          <w:szCs w:val="24"/>
        </w:rPr>
        <w:t>electrodiagnostic</w:t>
      </w:r>
      <w:proofErr w:type="spellEnd"/>
      <w:r w:rsidR="00C8196B">
        <w:rPr>
          <w:color w:val="000000" w:themeColor="text1"/>
          <w:szCs w:val="24"/>
        </w:rPr>
        <w:t xml:space="preserve"> testing (EDX/EMG) </w:t>
      </w:r>
      <w:r w:rsidR="008217E4">
        <w:rPr>
          <w:color w:val="000000" w:themeColor="text1"/>
          <w:szCs w:val="24"/>
        </w:rPr>
        <w:t>2</w:t>
      </w:r>
      <w:r w:rsidR="00C8196B">
        <w:rPr>
          <w:color w:val="000000" w:themeColor="text1"/>
          <w:szCs w:val="24"/>
        </w:rPr>
        <w:t xml:space="preserve"> months prior to TDRL-exit indicated symptoms of left lower extremity pain 6-9/10 involving the left leg and foot.  Medications included daily narcotic pain medication as well as muscle relaxants.  Strength was noted as 5/5 with “some breakaway weakness in the left lower extremity.</w:t>
      </w:r>
      <w:r w:rsidR="002B0AD4">
        <w:rPr>
          <w:color w:val="000000" w:themeColor="text1"/>
          <w:szCs w:val="24"/>
        </w:rPr>
        <w:t>”</w:t>
      </w:r>
      <w:r w:rsidR="00C8196B">
        <w:rPr>
          <w:color w:val="000000" w:themeColor="text1"/>
          <w:szCs w:val="24"/>
        </w:rPr>
        <w:t xml:space="preserve">  Sensory and reflex exams were normal with the examiner stating “4/5 </w:t>
      </w:r>
      <w:proofErr w:type="spellStart"/>
      <w:r w:rsidR="00C8196B">
        <w:rPr>
          <w:color w:val="000000" w:themeColor="text1"/>
          <w:szCs w:val="24"/>
        </w:rPr>
        <w:t>Wadell</w:t>
      </w:r>
      <w:proofErr w:type="spellEnd"/>
      <w:r w:rsidR="00C8196B">
        <w:rPr>
          <w:color w:val="000000" w:themeColor="text1"/>
          <w:szCs w:val="24"/>
        </w:rPr>
        <w:t xml:space="preserve"> signs.</w:t>
      </w:r>
      <w:r w:rsidR="002B0AD4">
        <w:rPr>
          <w:color w:val="000000" w:themeColor="text1"/>
          <w:szCs w:val="24"/>
        </w:rPr>
        <w:t>”</w:t>
      </w:r>
      <w:r w:rsidR="00C8196B">
        <w:rPr>
          <w:color w:val="000000" w:themeColor="text1"/>
          <w:szCs w:val="24"/>
        </w:rPr>
        <w:t xml:space="preserve">  The impression was “</w:t>
      </w:r>
      <w:r w:rsidR="00C8196B" w:rsidRPr="008236F1">
        <w:rPr>
          <w:color w:val="000000" w:themeColor="text1"/>
          <w:szCs w:val="24"/>
        </w:rPr>
        <w:t xml:space="preserve">This is an abnormal electrodiagnostic study. </w:t>
      </w:r>
      <w:r w:rsidR="00C8196B">
        <w:rPr>
          <w:color w:val="000000" w:themeColor="text1"/>
          <w:szCs w:val="24"/>
        </w:rPr>
        <w:t xml:space="preserve"> </w:t>
      </w:r>
      <w:r w:rsidR="00C8196B" w:rsidRPr="008236F1">
        <w:rPr>
          <w:color w:val="000000" w:themeColor="text1"/>
          <w:szCs w:val="24"/>
        </w:rPr>
        <w:t>There is</w:t>
      </w:r>
      <w:r w:rsidR="00C8196B">
        <w:rPr>
          <w:color w:val="000000" w:themeColor="text1"/>
          <w:szCs w:val="24"/>
        </w:rPr>
        <w:t xml:space="preserve"> </w:t>
      </w:r>
      <w:r w:rsidR="00C8196B" w:rsidRPr="008236F1">
        <w:rPr>
          <w:color w:val="000000" w:themeColor="text1"/>
          <w:szCs w:val="24"/>
        </w:rPr>
        <w:t xml:space="preserve">electrodiagnostic evidence of widespread muscle membrane instability. </w:t>
      </w:r>
      <w:r w:rsidR="00C8196B">
        <w:rPr>
          <w:color w:val="000000" w:themeColor="text1"/>
          <w:szCs w:val="24"/>
        </w:rPr>
        <w:t xml:space="preserve"> </w:t>
      </w:r>
      <w:r w:rsidR="002B0AD4">
        <w:rPr>
          <w:color w:val="000000" w:themeColor="text1"/>
          <w:szCs w:val="24"/>
        </w:rPr>
        <w:t>This could indicate a form of ‘</w:t>
      </w:r>
      <w:r w:rsidR="00C8196B" w:rsidRPr="008236F1">
        <w:rPr>
          <w:color w:val="000000" w:themeColor="text1"/>
          <w:szCs w:val="24"/>
        </w:rPr>
        <w:t>EMG disease</w:t>
      </w:r>
      <w:r w:rsidR="002B0AD4">
        <w:rPr>
          <w:color w:val="000000" w:themeColor="text1"/>
          <w:szCs w:val="24"/>
        </w:rPr>
        <w:t>’</w:t>
      </w:r>
      <w:r w:rsidR="00C8196B" w:rsidRPr="008236F1">
        <w:rPr>
          <w:color w:val="000000" w:themeColor="text1"/>
          <w:szCs w:val="24"/>
        </w:rPr>
        <w:t xml:space="preserve"> which is considered a normal</w:t>
      </w:r>
      <w:r w:rsidR="00C8196B">
        <w:rPr>
          <w:color w:val="000000" w:themeColor="text1"/>
          <w:szCs w:val="24"/>
        </w:rPr>
        <w:t xml:space="preserve"> </w:t>
      </w:r>
      <w:r w:rsidR="00C8196B" w:rsidRPr="008236F1">
        <w:rPr>
          <w:color w:val="000000" w:themeColor="text1"/>
          <w:szCs w:val="24"/>
        </w:rPr>
        <w:t xml:space="preserve">familial variant. </w:t>
      </w:r>
      <w:r w:rsidR="00C8196B">
        <w:rPr>
          <w:color w:val="000000" w:themeColor="text1"/>
          <w:szCs w:val="24"/>
        </w:rPr>
        <w:t xml:space="preserve"> </w:t>
      </w:r>
      <w:r w:rsidR="00C8196B" w:rsidRPr="008236F1">
        <w:rPr>
          <w:color w:val="000000" w:themeColor="text1"/>
          <w:szCs w:val="24"/>
        </w:rPr>
        <w:t>We are unable to adequately assess this patient</w:t>
      </w:r>
      <w:r w:rsidR="00C8196B">
        <w:rPr>
          <w:color w:val="000000" w:themeColor="text1"/>
          <w:szCs w:val="24"/>
        </w:rPr>
        <w:t xml:space="preserve"> </w:t>
      </w:r>
      <w:proofErr w:type="spellStart"/>
      <w:r w:rsidR="00C8196B" w:rsidRPr="008236F1">
        <w:rPr>
          <w:color w:val="000000" w:themeColor="text1"/>
          <w:szCs w:val="24"/>
        </w:rPr>
        <w:t>electrodiagnostically</w:t>
      </w:r>
      <w:proofErr w:type="spellEnd"/>
      <w:r w:rsidR="00C8196B" w:rsidRPr="008236F1">
        <w:rPr>
          <w:color w:val="000000" w:themeColor="text1"/>
          <w:szCs w:val="24"/>
        </w:rPr>
        <w:t xml:space="preserve"> for a left lumbosacral radiculopathy due to this 'EMG</w:t>
      </w:r>
      <w:r w:rsidR="00C8196B">
        <w:rPr>
          <w:color w:val="000000" w:themeColor="text1"/>
          <w:szCs w:val="24"/>
        </w:rPr>
        <w:t xml:space="preserve"> </w:t>
      </w:r>
      <w:r w:rsidR="00C8196B" w:rsidRPr="008236F1">
        <w:rPr>
          <w:color w:val="000000" w:themeColor="text1"/>
          <w:szCs w:val="24"/>
        </w:rPr>
        <w:t>disease'.</w:t>
      </w:r>
      <w:r w:rsidR="002B0AD4">
        <w:rPr>
          <w:color w:val="000000" w:themeColor="text1"/>
          <w:szCs w:val="24"/>
        </w:rPr>
        <w:t>”</w:t>
      </w:r>
      <w:r w:rsidR="00C8196B">
        <w:rPr>
          <w:color w:val="000000" w:themeColor="text1"/>
          <w:szCs w:val="24"/>
        </w:rPr>
        <w:t xml:space="preserve">  The exam </w:t>
      </w:r>
      <w:r w:rsidR="00C8196B" w:rsidRPr="00822DD8">
        <w:rPr>
          <w:color w:val="000000" w:themeColor="text1"/>
          <w:szCs w:val="24"/>
        </w:rPr>
        <w:t>was “relatively unchanged” from the pre-TDRL exam</w:t>
      </w:r>
      <w:r w:rsidRPr="00822DD8">
        <w:rPr>
          <w:color w:val="000000" w:themeColor="text1"/>
          <w:szCs w:val="24"/>
        </w:rPr>
        <w:t>.  A</w:t>
      </w:r>
      <w:r w:rsidR="00C8196B" w:rsidRPr="00822DD8">
        <w:rPr>
          <w:color w:val="000000" w:themeColor="text1"/>
          <w:szCs w:val="24"/>
        </w:rPr>
        <w:t>n MRI was recommended, which as noted above</w:t>
      </w:r>
      <w:r w:rsidR="00125B06">
        <w:rPr>
          <w:color w:val="000000" w:themeColor="text1"/>
          <w:szCs w:val="24"/>
        </w:rPr>
        <w:t>,</w:t>
      </w:r>
      <w:r w:rsidR="00C8196B" w:rsidRPr="00822DD8">
        <w:rPr>
          <w:color w:val="000000" w:themeColor="text1"/>
          <w:szCs w:val="24"/>
        </w:rPr>
        <w:t xml:space="preserve"> showed a moderate-sized L5-S1 HNP contacting the S1 nerve root.</w:t>
      </w:r>
      <w:r w:rsidR="00C8196B">
        <w:rPr>
          <w:color w:val="000000" w:themeColor="text1"/>
          <w:szCs w:val="24"/>
        </w:rPr>
        <w:t xml:space="preserve">  </w:t>
      </w:r>
      <w:r w:rsidR="000F7921">
        <w:rPr>
          <w:color w:val="000000" w:themeColor="text1"/>
          <w:szCs w:val="24"/>
        </w:rPr>
        <w:t xml:space="preserve">A lumbar </w:t>
      </w:r>
      <w:proofErr w:type="spellStart"/>
      <w:r w:rsidR="000F7921">
        <w:rPr>
          <w:color w:val="000000" w:themeColor="text1"/>
          <w:szCs w:val="24"/>
        </w:rPr>
        <w:t>diskogram</w:t>
      </w:r>
      <w:proofErr w:type="spellEnd"/>
      <w:r w:rsidR="000F7921">
        <w:rPr>
          <w:color w:val="000000" w:themeColor="text1"/>
          <w:szCs w:val="24"/>
        </w:rPr>
        <w:t xml:space="preserve"> </w:t>
      </w:r>
      <w:r w:rsidR="00C34AF7">
        <w:rPr>
          <w:color w:val="000000" w:themeColor="text1"/>
          <w:szCs w:val="24"/>
        </w:rPr>
        <w:t>3</w:t>
      </w:r>
      <w:r w:rsidR="000F7921">
        <w:rPr>
          <w:color w:val="000000" w:themeColor="text1"/>
          <w:szCs w:val="24"/>
        </w:rPr>
        <w:t xml:space="preserve"> months after permanent separation </w:t>
      </w:r>
      <w:r w:rsidRPr="006849F8">
        <w:rPr>
          <w:color w:val="000000" w:themeColor="text1"/>
          <w:szCs w:val="24"/>
        </w:rPr>
        <w:t>indicated</w:t>
      </w:r>
      <w:r>
        <w:rPr>
          <w:color w:val="000000" w:themeColor="text1"/>
          <w:szCs w:val="24"/>
        </w:rPr>
        <w:t xml:space="preserve"> L4-5 disk leakage with </w:t>
      </w:r>
      <w:r w:rsidRPr="006849F8">
        <w:rPr>
          <w:color w:val="000000" w:themeColor="text1"/>
          <w:szCs w:val="24"/>
        </w:rPr>
        <w:t>“</w:t>
      </w:r>
      <w:r w:rsidR="000F7921" w:rsidRPr="006849F8">
        <w:rPr>
          <w:color w:val="000000" w:themeColor="text1"/>
          <w:szCs w:val="24"/>
        </w:rPr>
        <w:t>severe concordant pain</w:t>
      </w:r>
      <w:r w:rsidRPr="006849F8">
        <w:rPr>
          <w:color w:val="000000" w:themeColor="text1"/>
          <w:szCs w:val="24"/>
        </w:rPr>
        <w:t xml:space="preserve"> </w:t>
      </w:r>
      <w:r w:rsidR="000F7921" w:rsidRPr="006849F8">
        <w:rPr>
          <w:color w:val="000000" w:themeColor="text1"/>
          <w:szCs w:val="24"/>
        </w:rPr>
        <w:t>including right leg pain</w:t>
      </w:r>
      <w:r w:rsidRPr="006849F8">
        <w:rPr>
          <w:color w:val="000000" w:themeColor="text1"/>
          <w:szCs w:val="24"/>
        </w:rPr>
        <w:t>”</w:t>
      </w:r>
      <w:r w:rsidR="000F7921" w:rsidRPr="006849F8">
        <w:rPr>
          <w:color w:val="000000" w:themeColor="text1"/>
          <w:szCs w:val="24"/>
        </w:rPr>
        <w:t xml:space="preserve"> </w:t>
      </w:r>
      <w:r>
        <w:rPr>
          <w:color w:val="000000" w:themeColor="text1"/>
          <w:szCs w:val="24"/>
        </w:rPr>
        <w:t>and surgical inter</w:t>
      </w:r>
      <w:r w:rsidR="00822DD8">
        <w:rPr>
          <w:color w:val="000000" w:themeColor="text1"/>
          <w:szCs w:val="24"/>
        </w:rPr>
        <w:t xml:space="preserve">vention was being considered.  </w:t>
      </w:r>
      <w:r>
        <w:rPr>
          <w:color w:val="000000" w:themeColor="text1"/>
          <w:szCs w:val="24"/>
        </w:rPr>
        <w:t xml:space="preserve">A </w:t>
      </w:r>
      <w:r w:rsidR="000F7921">
        <w:rPr>
          <w:color w:val="000000" w:themeColor="text1"/>
          <w:szCs w:val="24"/>
        </w:rPr>
        <w:t xml:space="preserve">VA exam over 5 years remote from separation indicated some left lower extremity motor loss, which was not noted proximate to separation.  </w:t>
      </w:r>
      <w:r>
        <w:rPr>
          <w:color w:val="000000" w:themeColor="text1"/>
          <w:szCs w:val="24"/>
        </w:rPr>
        <w:t xml:space="preserve">The CI had not undergone spine surgery. </w:t>
      </w:r>
      <w:r w:rsidR="000F7921">
        <w:rPr>
          <w:color w:val="000000" w:themeColor="text1"/>
          <w:szCs w:val="24"/>
        </w:rPr>
        <w:t xml:space="preserve"> </w:t>
      </w:r>
    </w:p>
    <w:p w:rsidR="006849F8" w:rsidRDefault="006849F8" w:rsidP="00A80DAE">
      <w:pPr>
        <w:jc w:val="both"/>
        <w:rPr>
          <w:color w:val="000000" w:themeColor="text1"/>
          <w:szCs w:val="24"/>
        </w:rPr>
      </w:pPr>
    </w:p>
    <w:p w:rsidR="00B47708" w:rsidRDefault="00007492" w:rsidP="00125B06">
      <w:pPr>
        <w:tabs>
          <w:tab w:val="left" w:pos="288"/>
          <w:tab w:val="left" w:pos="4752"/>
        </w:tabs>
        <w:jc w:val="both"/>
        <w:rPr>
          <w:color w:val="000000" w:themeColor="text1"/>
          <w:szCs w:val="24"/>
        </w:rPr>
      </w:pPr>
      <w:r w:rsidRPr="00166E57">
        <w:rPr>
          <w:rFonts w:cs="Times New Roman"/>
          <w:color w:val="auto"/>
        </w:rPr>
        <w:t>The Board directs attention</w:t>
      </w:r>
      <w:r w:rsidRPr="00F64312">
        <w:rPr>
          <w:rFonts w:cs="Times New Roman"/>
          <w:color w:val="auto"/>
        </w:rPr>
        <w:t xml:space="preserve"> to its rating recommendation based on the above evidence.  </w:t>
      </w:r>
      <w:r w:rsidR="006849F8">
        <w:rPr>
          <w:rFonts w:cs="Times New Roman"/>
          <w:color w:val="auto"/>
        </w:rPr>
        <w:t xml:space="preserve">All exams for the sciatica condition proximate to TDRL-entry and to permanent separation were similar in that there was no fixed motor loss or abnormal reflexes.  EMG results were similarly non-diagnostic and the CI’s complaints of radiating pain and tingling/numbness were similar with essentially the same functional impairment and narcotic pain medication use.  </w:t>
      </w:r>
      <w:r w:rsidR="00166E57" w:rsidRPr="006849F8">
        <w:rPr>
          <w:rFonts w:cs="Times New Roman"/>
          <w:color w:val="auto"/>
        </w:rPr>
        <w:t xml:space="preserve">The Board considered whether </w:t>
      </w:r>
      <w:r w:rsidR="006849F8" w:rsidRPr="006849F8">
        <w:rPr>
          <w:rFonts w:cs="Times New Roman"/>
          <w:color w:val="auto"/>
        </w:rPr>
        <w:t xml:space="preserve">the PEB removal of </w:t>
      </w:r>
      <w:proofErr w:type="gramStart"/>
      <w:r w:rsidR="006849F8" w:rsidRPr="006849F8">
        <w:rPr>
          <w:rFonts w:cs="Times New Roman"/>
          <w:color w:val="auto"/>
        </w:rPr>
        <w:t>an unfitting</w:t>
      </w:r>
      <w:proofErr w:type="gramEnd"/>
      <w:r w:rsidR="006849F8" w:rsidRPr="006849F8">
        <w:rPr>
          <w:rFonts w:cs="Times New Roman"/>
          <w:color w:val="auto"/>
        </w:rPr>
        <w:t xml:space="preserve"> sciatica was deliberate and if </w:t>
      </w:r>
      <w:r w:rsidR="00166E57" w:rsidRPr="006849F8">
        <w:rPr>
          <w:rFonts w:cs="Times New Roman"/>
          <w:color w:val="auto"/>
        </w:rPr>
        <w:t xml:space="preserve">additional </w:t>
      </w:r>
      <w:r w:rsidR="006849F8" w:rsidRPr="006849F8">
        <w:rPr>
          <w:rFonts w:cs="Times New Roman"/>
          <w:color w:val="auto"/>
        </w:rPr>
        <w:t xml:space="preserve">permanent </w:t>
      </w:r>
      <w:r w:rsidR="00166E57" w:rsidRPr="006849F8">
        <w:rPr>
          <w:rFonts w:cs="Times New Roman"/>
          <w:color w:val="auto"/>
        </w:rPr>
        <w:t xml:space="preserve">rating could be recommended under a peripheral nerve code, as conferred by the </w:t>
      </w:r>
      <w:r w:rsidR="006849F8" w:rsidRPr="006849F8">
        <w:rPr>
          <w:rFonts w:cs="Times New Roman"/>
          <w:color w:val="auto"/>
        </w:rPr>
        <w:t>FPEB for TDRL entry</w:t>
      </w:r>
      <w:r w:rsidR="00166E57" w:rsidRPr="006849F8">
        <w:rPr>
          <w:rFonts w:cs="Times New Roman"/>
          <w:color w:val="auto"/>
        </w:rPr>
        <w:t xml:space="preserve">, for the sciatic radiculopathy at separation.  </w:t>
      </w:r>
      <w:r w:rsidR="00166E57" w:rsidRPr="006849F8">
        <w:rPr>
          <w:color w:val="auto"/>
          <w:szCs w:val="24"/>
        </w:rPr>
        <w:t xml:space="preserve">Board precedent requires a functional impairment tied to fitness to support a recommendation for addition of a peripheral nerve rating to disability in spine cases. </w:t>
      </w:r>
      <w:r w:rsidR="006849F8" w:rsidRPr="006849F8">
        <w:rPr>
          <w:color w:val="auto"/>
          <w:szCs w:val="24"/>
        </w:rPr>
        <w:t xml:space="preserve"> </w:t>
      </w:r>
      <w:r w:rsidR="00166E57" w:rsidRPr="006849F8">
        <w:rPr>
          <w:color w:val="auto"/>
          <w:szCs w:val="24"/>
        </w:rPr>
        <w:t xml:space="preserve">The pain component of a radiculopathy is subsumed under the general spine rating as specified in §4.71a.  </w:t>
      </w:r>
      <w:r w:rsidR="006849F8" w:rsidRPr="006849F8">
        <w:rPr>
          <w:color w:val="auto"/>
          <w:szCs w:val="24"/>
        </w:rPr>
        <w:t>No motor weakness was in evidence</w:t>
      </w:r>
      <w:r w:rsidR="006849F8">
        <w:rPr>
          <w:color w:val="auto"/>
          <w:szCs w:val="24"/>
        </w:rPr>
        <w:t xml:space="preserve">.  </w:t>
      </w:r>
      <w:r w:rsidR="00166E57" w:rsidRPr="00894DCF">
        <w:rPr>
          <w:color w:val="000000" w:themeColor="text1"/>
          <w:szCs w:val="24"/>
        </w:rPr>
        <w:t xml:space="preserve">Since no evidence of functional impairment </w:t>
      </w:r>
      <w:r w:rsidR="006849F8" w:rsidRPr="00894DCF">
        <w:rPr>
          <w:color w:val="000000" w:themeColor="text1"/>
          <w:szCs w:val="24"/>
        </w:rPr>
        <w:t xml:space="preserve">specific to the non-pain component of the CI’s sciatica </w:t>
      </w:r>
      <w:r w:rsidR="00166E57" w:rsidRPr="00894DCF">
        <w:rPr>
          <w:color w:val="000000" w:themeColor="text1"/>
          <w:szCs w:val="24"/>
        </w:rPr>
        <w:t xml:space="preserve">exists in this case, the Board cannot support a recommendation for </w:t>
      </w:r>
      <w:r w:rsidR="00C34AF7">
        <w:rPr>
          <w:color w:val="000000" w:themeColor="text1"/>
          <w:szCs w:val="24"/>
        </w:rPr>
        <w:t xml:space="preserve">an </w:t>
      </w:r>
      <w:r w:rsidR="00166E57" w:rsidRPr="00894DCF">
        <w:rPr>
          <w:color w:val="000000" w:themeColor="text1"/>
          <w:szCs w:val="24"/>
        </w:rPr>
        <w:t>additional rating based on peripheral nerve impairment</w:t>
      </w:r>
      <w:r w:rsidR="00717BEA" w:rsidRPr="00894DCF">
        <w:rPr>
          <w:color w:val="000000" w:themeColor="text1"/>
          <w:szCs w:val="24"/>
        </w:rPr>
        <w:t xml:space="preserve"> at permanent separation</w:t>
      </w:r>
      <w:r w:rsidR="00166E57" w:rsidRPr="00894DCF">
        <w:rPr>
          <w:color w:val="000000" w:themeColor="text1"/>
          <w:szCs w:val="24"/>
        </w:rPr>
        <w:t>.</w:t>
      </w:r>
      <w:r w:rsidR="006849F8" w:rsidRPr="00894DCF">
        <w:rPr>
          <w:color w:val="000000" w:themeColor="text1"/>
          <w:szCs w:val="24"/>
        </w:rPr>
        <w:t xml:space="preserve">  </w:t>
      </w:r>
    </w:p>
    <w:p w:rsidR="00B47708" w:rsidRDefault="00B47708" w:rsidP="00894DCF">
      <w:pPr>
        <w:jc w:val="both"/>
        <w:rPr>
          <w:color w:val="000000" w:themeColor="text1"/>
          <w:szCs w:val="24"/>
        </w:rPr>
      </w:pPr>
    </w:p>
    <w:p w:rsidR="00D93AC3" w:rsidRPr="00894DCF" w:rsidRDefault="00D93AC3" w:rsidP="00894DCF">
      <w:pPr>
        <w:jc w:val="both"/>
        <w:rPr>
          <w:color w:val="000000" w:themeColor="text1"/>
          <w:szCs w:val="24"/>
        </w:rPr>
      </w:pPr>
      <w:r w:rsidRPr="00C34AF7">
        <w:rPr>
          <w:color w:val="000000" w:themeColor="text1"/>
          <w:szCs w:val="24"/>
        </w:rPr>
        <w:lastRenderedPageBreak/>
        <w:t>After</w:t>
      </w:r>
      <w:r w:rsidRPr="00894DCF">
        <w:rPr>
          <w:color w:val="000000" w:themeColor="text1"/>
          <w:szCs w:val="24"/>
        </w:rPr>
        <w:t xml:space="preserve"> due deliberation, considering all of the evidence and mindful of VASRD §4.3 (reasonable doubt), the Board concluded that there was insufficient cause to recommend a change in the </w:t>
      </w:r>
      <w:r w:rsidR="00166E57" w:rsidRPr="00894DCF">
        <w:rPr>
          <w:color w:val="000000" w:themeColor="text1"/>
          <w:szCs w:val="24"/>
        </w:rPr>
        <w:t>F</w:t>
      </w:r>
      <w:r w:rsidRPr="00894DCF">
        <w:rPr>
          <w:color w:val="000000" w:themeColor="text1"/>
          <w:szCs w:val="24"/>
        </w:rPr>
        <w:t xml:space="preserve">PEB </w:t>
      </w:r>
      <w:r w:rsidR="00717BEA" w:rsidRPr="00894DCF">
        <w:rPr>
          <w:color w:val="000000" w:themeColor="text1"/>
          <w:szCs w:val="24"/>
        </w:rPr>
        <w:t xml:space="preserve">unfit 10% </w:t>
      </w:r>
      <w:r w:rsidRPr="00894DCF">
        <w:rPr>
          <w:color w:val="000000" w:themeColor="text1"/>
          <w:szCs w:val="24"/>
        </w:rPr>
        <w:t xml:space="preserve">adjudication for the </w:t>
      </w:r>
      <w:r w:rsidR="00166E57" w:rsidRPr="00894DCF">
        <w:rPr>
          <w:color w:val="000000" w:themeColor="text1"/>
          <w:szCs w:val="24"/>
        </w:rPr>
        <w:t xml:space="preserve">left sciatica </w:t>
      </w:r>
      <w:r w:rsidRPr="00894DCF">
        <w:rPr>
          <w:color w:val="000000" w:themeColor="text1"/>
          <w:szCs w:val="24"/>
        </w:rPr>
        <w:t>condition</w:t>
      </w:r>
      <w:r w:rsidR="00166E57" w:rsidRPr="00894DCF">
        <w:rPr>
          <w:color w:val="000000" w:themeColor="text1"/>
          <w:szCs w:val="24"/>
        </w:rPr>
        <w:t xml:space="preserve"> for TDRL entry</w:t>
      </w:r>
      <w:r w:rsidRPr="00894DCF">
        <w:rPr>
          <w:color w:val="000000" w:themeColor="text1"/>
          <w:szCs w:val="24"/>
        </w:rPr>
        <w:t xml:space="preserve">.  </w:t>
      </w:r>
      <w:r w:rsidR="00717BEA" w:rsidRPr="00894DCF">
        <w:rPr>
          <w:color w:val="000000" w:themeColor="text1"/>
          <w:szCs w:val="24"/>
        </w:rPr>
        <w:t>T</w:t>
      </w:r>
      <w:r w:rsidRPr="00894DCF">
        <w:rPr>
          <w:color w:val="000000" w:themeColor="text1"/>
          <w:szCs w:val="24"/>
        </w:rPr>
        <w:t xml:space="preserve">he Board </w:t>
      </w:r>
      <w:r w:rsidR="00717BEA" w:rsidRPr="00894DCF">
        <w:rPr>
          <w:color w:val="000000" w:themeColor="text1"/>
          <w:szCs w:val="24"/>
        </w:rPr>
        <w:t xml:space="preserve">also </w:t>
      </w:r>
      <w:r w:rsidRPr="00894DCF">
        <w:rPr>
          <w:color w:val="000000" w:themeColor="text1"/>
          <w:szCs w:val="24"/>
        </w:rPr>
        <w:t xml:space="preserve">concluded that there was insufficient cause to recommend a change in the </w:t>
      </w:r>
      <w:r w:rsidR="00717BEA" w:rsidRPr="00894DCF">
        <w:rPr>
          <w:color w:val="000000" w:themeColor="text1"/>
          <w:szCs w:val="24"/>
        </w:rPr>
        <w:t xml:space="preserve">final </w:t>
      </w:r>
      <w:r w:rsidRPr="00894DCF">
        <w:rPr>
          <w:color w:val="000000" w:themeColor="text1"/>
          <w:szCs w:val="24"/>
        </w:rPr>
        <w:t>PEB</w:t>
      </w:r>
      <w:r w:rsidR="00717BEA" w:rsidRPr="00894DCF">
        <w:rPr>
          <w:color w:val="000000" w:themeColor="text1"/>
          <w:szCs w:val="24"/>
        </w:rPr>
        <w:t>’s presumed not unfit determination for the sciatica</w:t>
      </w:r>
      <w:r w:rsidRPr="00894DCF">
        <w:rPr>
          <w:color w:val="000000" w:themeColor="text1"/>
          <w:szCs w:val="24"/>
        </w:rPr>
        <w:t xml:space="preserve"> condition.  The Board concluded therefore that th</w:t>
      </w:r>
      <w:r w:rsidR="00125B06">
        <w:rPr>
          <w:color w:val="000000" w:themeColor="text1"/>
          <w:szCs w:val="24"/>
        </w:rPr>
        <w:t>e</w:t>
      </w:r>
      <w:r w:rsidRPr="00894DCF">
        <w:rPr>
          <w:color w:val="000000" w:themeColor="text1"/>
          <w:szCs w:val="24"/>
        </w:rPr>
        <w:t xml:space="preserve"> </w:t>
      </w:r>
      <w:r w:rsidR="00125B06">
        <w:rPr>
          <w:color w:val="000000" w:themeColor="text1"/>
          <w:szCs w:val="24"/>
        </w:rPr>
        <w:t>l</w:t>
      </w:r>
      <w:r w:rsidR="00125B06" w:rsidRPr="00A80DAE">
        <w:rPr>
          <w:color w:val="000000" w:themeColor="text1"/>
          <w:szCs w:val="24"/>
        </w:rPr>
        <w:t>eft sciatic radiculopathy</w:t>
      </w:r>
      <w:r w:rsidR="00125B06" w:rsidRPr="00894DCF">
        <w:rPr>
          <w:color w:val="000000" w:themeColor="text1"/>
          <w:szCs w:val="24"/>
        </w:rPr>
        <w:t xml:space="preserve"> </w:t>
      </w:r>
      <w:r w:rsidRPr="00894DCF">
        <w:rPr>
          <w:color w:val="000000" w:themeColor="text1"/>
          <w:szCs w:val="24"/>
        </w:rPr>
        <w:t xml:space="preserve">condition could not be recommended for additional disability rating.  </w:t>
      </w:r>
    </w:p>
    <w:p w:rsidR="00F1737C" w:rsidRDefault="00F1737C" w:rsidP="006364ED">
      <w:pPr>
        <w:jc w:val="left"/>
        <w:rPr>
          <w:color w:val="000000" w:themeColor="text1"/>
          <w:szCs w:val="24"/>
        </w:rPr>
      </w:pPr>
    </w:p>
    <w:p w:rsidR="00C34AF7" w:rsidRDefault="00C34AF7" w:rsidP="006364ED">
      <w:pPr>
        <w:jc w:val="left"/>
        <w:rPr>
          <w:color w:val="000000" w:themeColor="text1"/>
          <w:szCs w:val="24"/>
        </w:rPr>
      </w:pPr>
    </w:p>
    <w:p w:rsidR="00C34AF7" w:rsidRDefault="00C34AF7" w:rsidP="006364ED">
      <w:pPr>
        <w:jc w:val="left"/>
        <w:rPr>
          <w:color w:val="000000" w:themeColor="text1"/>
          <w:szCs w:val="24"/>
        </w:rPr>
      </w:pPr>
    </w:p>
    <w:p w:rsidR="00C34AF7" w:rsidRPr="001F29F9" w:rsidRDefault="00C34AF7" w:rsidP="006364ED">
      <w:pPr>
        <w:jc w:val="left"/>
        <w:rPr>
          <w:color w:val="000000" w:themeColor="text1"/>
          <w:szCs w:val="24"/>
        </w:rPr>
      </w:pPr>
    </w:p>
    <w:p w:rsidR="001916C8" w:rsidRDefault="00C56FC8" w:rsidP="001916C8">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916C8">
        <w:rPr>
          <w:rFonts w:eastAsiaTheme="minorHAnsi"/>
          <w:color w:val="000000" w:themeColor="text1"/>
          <w:szCs w:val="24"/>
        </w:rPr>
        <w:t xml:space="preserve">  </w:t>
      </w:r>
      <w:r w:rsidR="001916C8" w:rsidRPr="00E40FB5">
        <w:rPr>
          <w:rFonts w:eastAsia="Calibri" w:cs="Times New Roman"/>
          <w:color w:val="auto"/>
          <w:szCs w:val="24"/>
        </w:rPr>
        <w:t xml:space="preserve">In the </w:t>
      </w:r>
      <w:r w:rsidR="001916C8" w:rsidRPr="00822DD8">
        <w:rPr>
          <w:rFonts w:eastAsia="Calibri" w:cs="Times New Roman"/>
          <w:color w:val="auto"/>
          <w:szCs w:val="24"/>
        </w:rPr>
        <w:t xml:space="preserve">matter of the </w:t>
      </w:r>
      <w:r w:rsidR="00E40FB5" w:rsidRPr="00822DD8">
        <w:rPr>
          <w:rFonts w:eastAsia="Calibri" w:cs="Times New Roman"/>
          <w:color w:val="auto"/>
          <w:szCs w:val="24"/>
        </w:rPr>
        <w:t>lower back</w:t>
      </w:r>
      <w:r w:rsidR="001916C8" w:rsidRPr="00822DD8">
        <w:rPr>
          <w:rFonts w:eastAsia="Calibri" w:cs="Times New Roman"/>
          <w:color w:val="auto"/>
          <w:szCs w:val="24"/>
        </w:rPr>
        <w:t xml:space="preserve"> condition and IAW VASRD §4.71a, the Board unanimously recommends no change in the </w:t>
      </w:r>
      <w:r w:rsidR="00717BEA" w:rsidRPr="00822DD8">
        <w:rPr>
          <w:rFonts w:eastAsia="Calibri" w:cs="Times New Roman"/>
          <w:color w:val="auto"/>
          <w:szCs w:val="24"/>
        </w:rPr>
        <w:t>F</w:t>
      </w:r>
      <w:r w:rsidR="001916C8" w:rsidRPr="00822DD8">
        <w:rPr>
          <w:rFonts w:eastAsia="Calibri" w:cs="Times New Roman"/>
          <w:color w:val="auto"/>
          <w:szCs w:val="24"/>
        </w:rPr>
        <w:t>PEB adjudication</w:t>
      </w:r>
      <w:r w:rsidR="00E40FB5" w:rsidRPr="00822DD8">
        <w:rPr>
          <w:rFonts w:eastAsia="Calibri" w:cs="Times New Roman"/>
          <w:color w:val="auto"/>
          <w:szCs w:val="24"/>
        </w:rPr>
        <w:t xml:space="preserve"> for entry into TDRL or for permanent separation</w:t>
      </w:r>
      <w:r w:rsidR="001916C8" w:rsidRPr="00E40FB5">
        <w:rPr>
          <w:rFonts w:eastAsia="Calibri" w:cs="Times New Roman"/>
          <w:color w:val="auto"/>
          <w:szCs w:val="24"/>
        </w:rPr>
        <w:t>.</w:t>
      </w:r>
      <w:r w:rsidR="001916C8">
        <w:rPr>
          <w:rFonts w:eastAsia="Calibri" w:cs="Times New Roman"/>
          <w:color w:val="auto"/>
          <w:szCs w:val="24"/>
        </w:rPr>
        <w:t xml:space="preserve">  In </w:t>
      </w:r>
      <w:r w:rsidR="001916C8" w:rsidRPr="00894DCF">
        <w:rPr>
          <w:rFonts w:eastAsia="Calibri" w:cs="Times New Roman"/>
          <w:color w:val="auto"/>
          <w:szCs w:val="24"/>
        </w:rPr>
        <w:t xml:space="preserve">the matter of the contended </w:t>
      </w:r>
      <w:r w:rsidR="00E40FB5" w:rsidRPr="00894DCF">
        <w:rPr>
          <w:color w:val="000000" w:themeColor="text1"/>
          <w:szCs w:val="24"/>
        </w:rPr>
        <w:t xml:space="preserve">Left Sciatic Radiculopathy </w:t>
      </w:r>
      <w:r w:rsidR="001916C8" w:rsidRPr="00894DCF">
        <w:rPr>
          <w:rFonts w:eastAsia="Calibri" w:cs="Times New Roman"/>
          <w:color w:val="auto"/>
          <w:szCs w:val="24"/>
        </w:rPr>
        <w:t xml:space="preserve">condition, the Board unanimously recommends no change from the </w:t>
      </w:r>
      <w:r w:rsidR="00E40FB5" w:rsidRPr="00894DCF">
        <w:rPr>
          <w:rFonts w:eastAsia="Calibri" w:cs="Times New Roman"/>
          <w:color w:val="auto"/>
          <w:szCs w:val="24"/>
        </w:rPr>
        <w:t>F</w:t>
      </w:r>
      <w:r w:rsidR="001916C8" w:rsidRPr="00894DCF">
        <w:rPr>
          <w:rFonts w:eastAsia="Calibri" w:cs="Times New Roman"/>
          <w:color w:val="auto"/>
          <w:szCs w:val="24"/>
        </w:rPr>
        <w:t xml:space="preserve">PEB determination as </w:t>
      </w:r>
      <w:r w:rsidR="00E40FB5" w:rsidRPr="00894DCF">
        <w:rPr>
          <w:rFonts w:eastAsia="Calibri" w:cs="Times New Roman"/>
          <w:color w:val="auto"/>
          <w:szCs w:val="24"/>
        </w:rPr>
        <w:t>unfitting at 10% for TDRL entry</w:t>
      </w:r>
      <w:r w:rsidR="004444EB" w:rsidRPr="00894DCF">
        <w:rPr>
          <w:rFonts w:eastAsia="Calibri" w:cs="Times New Roman"/>
          <w:color w:val="auto"/>
          <w:szCs w:val="24"/>
        </w:rPr>
        <w:t>;</w:t>
      </w:r>
      <w:r w:rsidR="00E40FB5" w:rsidRPr="00894DCF">
        <w:rPr>
          <w:rFonts w:eastAsia="Calibri" w:cs="Times New Roman"/>
          <w:color w:val="auto"/>
          <w:szCs w:val="24"/>
        </w:rPr>
        <w:t xml:space="preserve"> and </w:t>
      </w:r>
      <w:r w:rsidR="004444EB" w:rsidRPr="00894DCF">
        <w:rPr>
          <w:rFonts w:eastAsia="Calibri" w:cs="Times New Roman"/>
          <w:color w:val="auto"/>
          <w:szCs w:val="24"/>
        </w:rPr>
        <w:t xml:space="preserve">no change to </w:t>
      </w:r>
      <w:r w:rsidR="00E40FB5" w:rsidRPr="00894DCF">
        <w:rPr>
          <w:rFonts w:eastAsia="Calibri" w:cs="Times New Roman"/>
          <w:color w:val="auto"/>
          <w:szCs w:val="24"/>
        </w:rPr>
        <w:t xml:space="preserve">the implied PEB </w:t>
      </w:r>
      <w:r w:rsidR="001916C8" w:rsidRPr="00894DCF">
        <w:rPr>
          <w:rFonts w:eastAsia="Calibri" w:cs="Times New Roman"/>
          <w:color w:val="auto"/>
          <w:szCs w:val="24"/>
        </w:rPr>
        <w:t>not unfitting</w:t>
      </w:r>
      <w:r w:rsidR="00E40FB5" w:rsidRPr="00894DCF">
        <w:rPr>
          <w:rFonts w:eastAsia="Calibri" w:cs="Times New Roman"/>
          <w:color w:val="auto"/>
          <w:szCs w:val="24"/>
        </w:rPr>
        <w:t xml:space="preserve"> determination at permanent separation</w:t>
      </w:r>
      <w:r w:rsidR="001916C8" w:rsidRPr="00E40FB5">
        <w:rPr>
          <w:rFonts w:eastAsia="Calibri" w:cs="Times New Roman"/>
          <w:color w:val="auto"/>
          <w:szCs w:val="24"/>
        </w:rPr>
        <w:t>.</w:t>
      </w:r>
      <w:r w:rsidR="00E40FB5">
        <w:rPr>
          <w:rFonts w:eastAsia="Calibri" w:cs="Times New Roman"/>
          <w:color w:val="auto"/>
          <w:szCs w:val="24"/>
        </w:rPr>
        <w:t xml:space="preserve">  </w:t>
      </w:r>
      <w:r w:rsidR="001916C8">
        <w:rPr>
          <w:rFonts w:eastAsia="Calibri" w:cs="Times New Roman"/>
          <w:color w:val="auto"/>
          <w:szCs w:val="24"/>
        </w:rPr>
        <w:t>There were no other conditions within the Board’s scope of review for consideration.</w:t>
      </w:r>
      <w:r w:rsidR="00822DD8">
        <w:rPr>
          <w:rFonts w:eastAsia="Calibri" w:cs="Times New Roman"/>
          <w:color w:val="auto"/>
          <w:szCs w:val="24"/>
        </w:rPr>
        <w:t xml:space="preserve">  </w:t>
      </w:r>
    </w:p>
    <w:p w:rsidR="001916C8" w:rsidRPr="001F29F9" w:rsidRDefault="001916C8" w:rsidP="00BF0E94">
      <w:pPr>
        <w:pBdr>
          <w:bottom w:val="single" w:sz="12" w:space="1" w:color="auto"/>
        </w:pBdr>
        <w:tabs>
          <w:tab w:val="left" w:pos="288"/>
          <w:tab w:val="left" w:pos="4752"/>
        </w:tabs>
        <w:jc w:val="both"/>
        <w:rPr>
          <w:color w:val="000000" w:themeColor="text1"/>
        </w:rPr>
      </w:pPr>
    </w:p>
    <w:p w:rsidR="00A558EF" w:rsidRPr="001F29F9" w:rsidRDefault="00A558EF" w:rsidP="00EE1D08">
      <w:pPr>
        <w:jc w:val="both"/>
        <w:rPr>
          <w:color w:val="000000" w:themeColor="text1"/>
          <w:szCs w:val="24"/>
        </w:rPr>
      </w:pPr>
    </w:p>
    <w:p w:rsidR="00B47708" w:rsidRPr="00F64312" w:rsidRDefault="00C56FC8" w:rsidP="00B47708">
      <w:pPr>
        <w:jc w:val="left"/>
        <w:rPr>
          <w:color w:val="auto"/>
        </w:rPr>
      </w:pPr>
      <w:r w:rsidRPr="001F29F9">
        <w:rPr>
          <w:color w:val="000000" w:themeColor="text1"/>
          <w:szCs w:val="24"/>
          <w:u w:val="single"/>
        </w:rPr>
        <w:t>RECOMMENDATION</w:t>
      </w:r>
      <w:r w:rsidRPr="001F29F9">
        <w:rPr>
          <w:color w:val="000000" w:themeColor="text1"/>
          <w:szCs w:val="24"/>
        </w:rPr>
        <w:t>:</w:t>
      </w:r>
      <w:r w:rsidR="004D1979">
        <w:rPr>
          <w:color w:val="000000" w:themeColor="text1"/>
        </w:rPr>
        <w:t xml:space="preserve">  </w:t>
      </w:r>
      <w:r w:rsidR="00B47708" w:rsidRPr="00F64312">
        <w:rPr>
          <w:color w:val="auto"/>
        </w:rPr>
        <w:t xml:space="preserve">The Board, therefore, recommends that there be no recharacterization of the CI’s disability and separation determination, as follows:  </w:t>
      </w:r>
    </w:p>
    <w:p w:rsidR="00BA6A9C" w:rsidRPr="00894DCF"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8"/>
        <w:gridCol w:w="2052"/>
        <w:gridCol w:w="1170"/>
        <w:gridCol w:w="1530"/>
      </w:tblGrid>
      <w:tr w:rsidR="001916C8" w:rsidRPr="00894DCF" w:rsidTr="004444EB">
        <w:tc>
          <w:tcPr>
            <w:tcW w:w="46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916C8" w:rsidRPr="00894DCF" w:rsidRDefault="001916C8">
            <w:pPr>
              <w:tabs>
                <w:tab w:val="left" w:pos="288"/>
                <w:tab w:val="left" w:pos="4752"/>
              </w:tabs>
              <w:rPr>
                <w:rFonts w:cs="Calibri"/>
                <w:b/>
                <w:color w:val="auto"/>
                <w:szCs w:val="24"/>
              </w:rPr>
            </w:pPr>
            <w:r w:rsidRPr="00894DCF">
              <w:rPr>
                <w:rFonts w:cs="Calibri"/>
                <w:b/>
                <w:color w:val="auto"/>
                <w:szCs w:val="24"/>
              </w:rPr>
              <w:t>UNFITTING CONDITION</w:t>
            </w:r>
          </w:p>
        </w:tc>
        <w:tc>
          <w:tcPr>
            <w:tcW w:w="20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916C8" w:rsidRPr="00894DCF" w:rsidRDefault="001916C8">
            <w:pPr>
              <w:tabs>
                <w:tab w:val="left" w:pos="288"/>
                <w:tab w:val="left" w:pos="4752"/>
              </w:tabs>
              <w:rPr>
                <w:rFonts w:cs="Calibri"/>
                <w:b/>
                <w:color w:val="auto"/>
                <w:szCs w:val="24"/>
              </w:rPr>
            </w:pPr>
            <w:r w:rsidRPr="00894DCF">
              <w:rPr>
                <w:rFonts w:cs="Calibr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916C8" w:rsidRPr="00894DCF" w:rsidRDefault="001916C8">
            <w:pPr>
              <w:tabs>
                <w:tab w:val="left" w:pos="288"/>
                <w:tab w:val="left" w:pos="4752"/>
              </w:tabs>
              <w:rPr>
                <w:rFonts w:cs="Calibri"/>
                <w:b/>
                <w:color w:val="auto"/>
                <w:szCs w:val="24"/>
              </w:rPr>
            </w:pPr>
            <w:r w:rsidRPr="00894DCF">
              <w:rPr>
                <w:rFonts w:cs="Calibr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916C8" w:rsidRPr="00894DCF" w:rsidRDefault="001916C8">
            <w:pPr>
              <w:tabs>
                <w:tab w:val="left" w:pos="288"/>
                <w:tab w:val="left" w:pos="4752"/>
              </w:tabs>
              <w:rPr>
                <w:rFonts w:cs="Calibri"/>
                <w:b/>
                <w:color w:val="auto"/>
                <w:szCs w:val="24"/>
              </w:rPr>
            </w:pPr>
            <w:r w:rsidRPr="00894DCF">
              <w:rPr>
                <w:rFonts w:cs="Calibri"/>
                <w:b/>
                <w:color w:val="auto"/>
                <w:szCs w:val="24"/>
              </w:rPr>
              <w:t>PERMANENT</w:t>
            </w:r>
          </w:p>
          <w:p w:rsidR="001916C8" w:rsidRPr="00894DCF" w:rsidRDefault="001916C8">
            <w:pPr>
              <w:tabs>
                <w:tab w:val="left" w:pos="288"/>
                <w:tab w:val="left" w:pos="4752"/>
              </w:tabs>
              <w:rPr>
                <w:rFonts w:cs="Calibri"/>
                <w:b/>
                <w:color w:val="auto"/>
                <w:szCs w:val="24"/>
              </w:rPr>
            </w:pPr>
            <w:r w:rsidRPr="00894DCF">
              <w:rPr>
                <w:rFonts w:cs="Calibri"/>
                <w:b/>
                <w:color w:val="auto"/>
                <w:szCs w:val="24"/>
              </w:rPr>
              <w:t>RATING</w:t>
            </w:r>
          </w:p>
        </w:tc>
      </w:tr>
      <w:tr w:rsidR="004444EB" w:rsidRPr="00894DCF" w:rsidTr="004444EB">
        <w:trPr>
          <w:trHeight w:val="188"/>
        </w:trPr>
        <w:tc>
          <w:tcPr>
            <w:tcW w:w="4608"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4444EB">
            <w:pPr>
              <w:tabs>
                <w:tab w:val="left" w:pos="288"/>
                <w:tab w:val="left" w:pos="3538"/>
              </w:tabs>
              <w:jc w:val="left"/>
              <w:rPr>
                <w:color w:val="auto"/>
                <w:szCs w:val="24"/>
              </w:rPr>
            </w:pPr>
            <w:r w:rsidRPr="00894DCF">
              <w:rPr>
                <w:color w:val="auto"/>
                <w:szCs w:val="24"/>
              </w:rPr>
              <w:t>LBP S/P Fall, DDD L4/5, L5/S1, HNP L5/S1</w:t>
            </w:r>
          </w:p>
        </w:tc>
        <w:tc>
          <w:tcPr>
            <w:tcW w:w="2052"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1916C8">
            <w:pPr>
              <w:tabs>
                <w:tab w:val="left" w:pos="288"/>
                <w:tab w:val="left" w:pos="4752"/>
              </w:tabs>
              <w:rPr>
                <w:color w:val="auto"/>
                <w:szCs w:val="24"/>
              </w:rPr>
            </w:pPr>
            <w:r w:rsidRPr="00894DCF">
              <w:rPr>
                <w:rFonts w:cs="Calibri"/>
                <w:color w:val="auto"/>
                <w:szCs w:val="24"/>
              </w:rPr>
              <w:t>5243-5299-5237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1916C8">
            <w:pPr>
              <w:tabs>
                <w:tab w:val="left" w:pos="288"/>
                <w:tab w:val="left" w:pos="4752"/>
              </w:tabs>
              <w:rPr>
                <w:color w:val="auto"/>
                <w:szCs w:val="24"/>
              </w:rPr>
            </w:pPr>
            <w:r w:rsidRPr="00894DCF">
              <w:rPr>
                <w:rFonts w:cs="Calibri"/>
                <w:color w:val="auto"/>
                <w:szCs w:val="24"/>
              </w:rPr>
              <w:t>2</w:t>
            </w:r>
            <w:r w:rsidRPr="00894DCF">
              <w:rPr>
                <w:color w:val="auto"/>
                <w:szCs w:val="24"/>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444EB" w:rsidRPr="00894DCF" w:rsidRDefault="004444EB" w:rsidP="001916C8">
            <w:pPr>
              <w:tabs>
                <w:tab w:val="left" w:pos="288"/>
                <w:tab w:val="left" w:pos="4752"/>
              </w:tabs>
              <w:rPr>
                <w:color w:val="auto"/>
                <w:szCs w:val="24"/>
              </w:rPr>
            </w:pPr>
          </w:p>
        </w:tc>
      </w:tr>
      <w:tr w:rsidR="004444EB" w:rsidRPr="00894DCF" w:rsidTr="004444EB">
        <w:trPr>
          <w:trHeight w:val="188"/>
        </w:trPr>
        <w:tc>
          <w:tcPr>
            <w:tcW w:w="4608"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4444EB">
            <w:pPr>
              <w:tabs>
                <w:tab w:val="left" w:pos="288"/>
                <w:tab w:val="left" w:pos="3538"/>
              </w:tabs>
              <w:jc w:val="left"/>
              <w:rPr>
                <w:color w:val="auto"/>
                <w:szCs w:val="24"/>
              </w:rPr>
            </w:pPr>
            <w:r w:rsidRPr="00894DCF">
              <w:rPr>
                <w:color w:val="auto"/>
                <w:szCs w:val="24"/>
              </w:rPr>
              <w:t>Back Pain w/ L5-S1 HNP</w:t>
            </w:r>
          </w:p>
        </w:tc>
        <w:tc>
          <w:tcPr>
            <w:tcW w:w="2052"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1916C8">
            <w:pPr>
              <w:tabs>
                <w:tab w:val="left" w:pos="288"/>
                <w:tab w:val="left" w:pos="4752"/>
              </w:tabs>
              <w:rPr>
                <w:rFonts w:cs="Calibri"/>
                <w:color w:val="auto"/>
                <w:szCs w:val="24"/>
                <w:highlight w:val="yellow"/>
              </w:rPr>
            </w:pPr>
            <w:r w:rsidRPr="00894DCF">
              <w:rPr>
                <w:rFonts w:cs="Calibri"/>
                <w:color w:val="auto"/>
                <w:szCs w:val="24"/>
              </w:rPr>
              <w:t>5243</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444EB" w:rsidRPr="00894DCF" w:rsidRDefault="004444EB" w:rsidP="001916C8">
            <w:pPr>
              <w:tabs>
                <w:tab w:val="left" w:pos="288"/>
                <w:tab w:val="left" w:pos="4752"/>
              </w:tabs>
              <w:rPr>
                <w:rFonts w:cs="Calibri"/>
                <w:color w:val="auto"/>
                <w:szCs w:val="24"/>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1916C8">
            <w:pPr>
              <w:tabs>
                <w:tab w:val="left" w:pos="288"/>
                <w:tab w:val="left" w:pos="4752"/>
              </w:tabs>
              <w:rPr>
                <w:rFonts w:cs="Calibri"/>
                <w:color w:val="auto"/>
                <w:szCs w:val="24"/>
              </w:rPr>
            </w:pPr>
            <w:r w:rsidRPr="00894DCF">
              <w:rPr>
                <w:rFonts w:cs="Calibri"/>
                <w:color w:val="auto"/>
                <w:szCs w:val="24"/>
              </w:rPr>
              <w:t>20%</w:t>
            </w:r>
          </w:p>
        </w:tc>
      </w:tr>
      <w:tr w:rsidR="004444EB" w:rsidRPr="00894DCF" w:rsidTr="004444EB">
        <w:trPr>
          <w:trHeight w:val="188"/>
        </w:trPr>
        <w:tc>
          <w:tcPr>
            <w:tcW w:w="4608"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894DCF">
            <w:pPr>
              <w:tabs>
                <w:tab w:val="left" w:pos="288"/>
                <w:tab w:val="left" w:pos="3538"/>
              </w:tabs>
              <w:jc w:val="left"/>
              <w:rPr>
                <w:color w:val="auto"/>
                <w:szCs w:val="24"/>
              </w:rPr>
            </w:pPr>
            <w:r w:rsidRPr="00894DCF">
              <w:rPr>
                <w:rFonts w:cs="Calibri"/>
                <w:color w:val="auto"/>
                <w:szCs w:val="24"/>
              </w:rPr>
              <w:t xml:space="preserve">Left </w:t>
            </w:r>
            <w:r w:rsidR="00894DCF" w:rsidRPr="00894DCF">
              <w:rPr>
                <w:rFonts w:cs="Calibri"/>
                <w:color w:val="auto"/>
                <w:szCs w:val="24"/>
              </w:rPr>
              <w:t>S</w:t>
            </w:r>
            <w:r w:rsidRPr="00894DCF">
              <w:rPr>
                <w:rFonts w:cs="Calibri"/>
                <w:color w:val="auto"/>
                <w:szCs w:val="24"/>
              </w:rPr>
              <w:t xml:space="preserve">ciatic </w:t>
            </w:r>
            <w:r w:rsidR="00894DCF" w:rsidRPr="00894DCF">
              <w:rPr>
                <w:rFonts w:cs="Calibri"/>
                <w:color w:val="auto"/>
                <w:szCs w:val="24"/>
              </w:rPr>
              <w:t>R</w:t>
            </w:r>
            <w:r w:rsidRPr="00894DCF">
              <w:rPr>
                <w:rFonts w:cs="Calibri"/>
                <w:color w:val="auto"/>
                <w:szCs w:val="24"/>
              </w:rPr>
              <w:t>adiculopathy</w:t>
            </w:r>
          </w:p>
        </w:tc>
        <w:tc>
          <w:tcPr>
            <w:tcW w:w="2052"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4444EB">
            <w:pPr>
              <w:tabs>
                <w:tab w:val="left" w:pos="288"/>
                <w:tab w:val="left" w:pos="4752"/>
              </w:tabs>
              <w:rPr>
                <w:color w:val="auto"/>
                <w:szCs w:val="24"/>
              </w:rPr>
            </w:pPr>
            <w:r w:rsidRPr="00894DCF">
              <w:rPr>
                <w:color w:val="auto"/>
                <w:szCs w:val="24"/>
              </w:rPr>
              <w:t>5243-8620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444EB" w:rsidRPr="00894DCF" w:rsidRDefault="004444EB" w:rsidP="004444EB">
            <w:pPr>
              <w:tabs>
                <w:tab w:val="left" w:pos="288"/>
                <w:tab w:val="left" w:pos="4752"/>
              </w:tabs>
              <w:rPr>
                <w:color w:val="auto"/>
                <w:szCs w:val="24"/>
              </w:rPr>
            </w:pPr>
            <w:r w:rsidRPr="00894DCF">
              <w:rPr>
                <w:color w:val="auto"/>
                <w:szCs w:val="24"/>
              </w:rPr>
              <w:t>10%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4D1979" w:rsidRPr="00894DCF" w:rsidRDefault="004D1979" w:rsidP="004444EB">
            <w:pPr>
              <w:tabs>
                <w:tab w:val="left" w:pos="288"/>
                <w:tab w:val="left" w:pos="4752"/>
              </w:tabs>
              <w:rPr>
                <w:color w:val="auto"/>
                <w:szCs w:val="24"/>
              </w:rPr>
            </w:pPr>
            <w:r w:rsidRPr="00894DCF">
              <w:rPr>
                <w:color w:val="auto"/>
                <w:szCs w:val="24"/>
              </w:rPr>
              <w:t>Not unfit</w:t>
            </w:r>
          </w:p>
        </w:tc>
      </w:tr>
      <w:tr w:rsidR="001916C8" w:rsidRPr="00894DCF" w:rsidTr="004444EB">
        <w:trPr>
          <w:gridBefore w:val="1"/>
          <w:wBefore w:w="4608" w:type="dxa"/>
          <w:trHeight w:val="188"/>
        </w:trPr>
        <w:tc>
          <w:tcPr>
            <w:tcW w:w="2052"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1916C8" w:rsidRPr="00894DCF" w:rsidRDefault="001916C8">
            <w:pPr>
              <w:tabs>
                <w:tab w:val="left" w:pos="288"/>
                <w:tab w:val="left" w:pos="4752"/>
              </w:tabs>
              <w:rPr>
                <w:rFonts w:cs="Calibri"/>
                <w:b/>
                <w:color w:val="auto"/>
                <w:szCs w:val="24"/>
              </w:rPr>
            </w:pPr>
            <w:r w:rsidRPr="00894DCF">
              <w:rPr>
                <w:rFonts w:cs="Calibr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1916C8" w:rsidRPr="00894DCF" w:rsidRDefault="004444EB">
            <w:pPr>
              <w:tabs>
                <w:tab w:val="left" w:pos="288"/>
                <w:tab w:val="left" w:pos="4752"/>
              </w:tabs>
              <w:rPr>
                <w:b/>
                <w:color w:val="auto"/>
                <w:szCs w:val="24"/>
              </w:rPr>
            </w:pPr>
            <w:r w:rsidRPr="00894DCF">
              <w:rPr>
                <w:rFonts w:cs="Calibri"/>
                <w:b/>
                <w:color w:val="auto"/>
                <w:szCs w:val="24"/>
              </w:rPr>
              <w:t>3</w:t>
            </w:r>
            <w:r w:rsidR="001916C8" w:rsidRPr="00894DCF">
              <w:rPr>
                <w:b/>
                <w:color w:val="auto"/>
                <w:szCs w:val="24"/>
              </w:rPr>
              <w:t>0%</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916C8" w:rsidRPr="00894DCF" w:rsidRDefault="004444EB" w:rsidP="00894DCF">
            <w:pPr>
              <w:tabs>
                <w:tab w:val="left" w:pos="288"/>
                <w:tab w:val="left" w:pos="4752"/>
              </w:tabs>
              <w:rPr>
                <w:b/>
                <w:color w:val="auto"/>
                <w:szCs w:val="24"/>
              </w:rPr>
            </w:pPr>
            <w:r w:rsidRPr="00894DCF">
              <w:rPr>
                <w:rFonts w:cs="Calibri"/>
                <w:b/>
                <w:color w:val="auto"/>
                <w:szCs w:val="24"/>
              </w:rPr>
              <w:t>2</w:t>
            </w:r>
            <w:r w:rsidR="001916C8" w:rsidRPr="00894DCF">
              <w:rPr>
                <w:rFonts w:cs="Calibri"/>
                <w:b/>
                <w:color w:val="auto"/>
                <w:szCs w:val="24"/>
              </w:rPr>
              <w:t>0</w:t>
            </w:r>
            <w:r w:rsidR="001916C8" w:rsidRPr="00894DCF">
              <w:rPr>
                <w:b/>
                <w:color w:val="auto"/>
                <w:szCs w:val="24"/>
              </w:rPr>
              <w:t>%</w:t>
            </w:r>
          </w:p>
        </w:tc>
      </w:tr>
    </w:tbl>
    <w:p w:rsidR="005B1D09" w:rsidRPr="00894DCF" w:rsidRDefault="005B1D09" w:rsidP="001916C8">
      <w:pPr>
        <w:pBdr>
          <w:bottom w:val="single" w:sz="12" w:space="1" w:color="auto"/>
        </w:pBdr>
        <w:tabs>
          <w:tab w:val="left" w:pos="288"/>
          <w:tab w:val="left" w:pos="4752"/>
        </w:tabs>
        <w:jc w:val="both"/>
        <w:rPr>
          <w:color w:val="auto"/>
        </w:rPr>
      </w:pPr>
    </w:p>
    <w:p w:rsidR="005B1D09" w:rsidRPr="00894DCF" w:rsidRDefault="005B1D09" w:rsidP="001916C8">
      <w:pPr>
        <w:jc w:val="both"/>
        <w:rPr>
          <w:color w:val="auto"/>
          <w:szCs w:val="24"/>
        </w:rPr>
      </w:pPr>
    </w:p>
    <w:p w:rsidR="00D91DA6" w:rsidRPr="00894DCF" w:rsidRDefault="00FB1725" w:rsidP="001916C8">
      <w:pPr>
        <w:tabs>
          <w:tab w:val="left" w:pos="288"/>
          <w:tab w:val="left" w:pos="4752"/>
        </w:tabs>
        <w:jc w:val="both"/>
        <w:rPr>
          <w:color w:val="auto"/>
        </w:rPr>
      </w:pPr>
      <w:r w:rsidRPr="00894DCF">
        <w:rPr>
          <w:color w:val="auto"/>
        </w:rPr>
        <w:t>The following documentary evidence was considered:</w:t>
      </w:r>
    </w:p>
    <w:p w:rsidR="00EB5EFD" w:rsidRPr="001F29F9" w:rsidRDefault="00EB5EFD" w:rsidP="001916C8">
      <w:pPr>
        <w:tabs>
          <w:tab w:val="left" w:pos="288"/>
          <w:tab w:val="left" w:pos="4752"/>
        </w:tabs>
        <w:jc w:val="both"/>
        <w:rPr>
          <w:color w:val="000000" w:themeColor="text1"/>
        </w:rPr>
      </w:pPr>
    </w:p>
    <w:p w:rsidR="00114F20" w:rsidRPr="001F29F9" w:rsidRDefault="00FB1725" w:rsidP="001916C8">
      <w:pPr>
        <w:tabs>
          <w:tab w:val="left" w:pos="288"/>
          <w:tab w:val="left" w:pos="4752"/>
        </w:tabs>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1D62C6">
        <w:rPr>
          <w:color w:val="000000" w:themeColor="text1"/>
          <w:szCs w:val="24"/>
        </w:rPr>
        <w:t>11021</w:t>
      </w:r>
      <w:r w:rsidRPr="001F29F9">
        <w:rPr>
          <w:color w:val="000000" w:themeColor="text1"/>
        </w:rPr>
        <w:t>, w/</w:t>
      </w:r>
      <w:proofErr w:type="spellStart"/>
      <w:r w:rsidRPr="001F29F9">
        <w:rPr>
          <w:color w:val="000000" w:themeColor="text1"/>
        </w:rPr>
        <w:t>atchs</w:t>
      </w:r>
      <w:proofErr w:type="spellEnd"/>
      <w:r w:rsidRPr="001F29F9">
        <w:rPr>
          <w:color w:val="000000" w:themeColor="text1"/>
        </w:rPr>
        <w:t>.</w:t>
      </w:r>
    </w:p>
    <w:p w:rsidR="00114F20" w:rsidRPr="001F29F9" w:rsidRDefault="00FB1725" w:rsidP="001916C8">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7E225E">
        <w:rPr>
          <w:color w:val="000000" w:themeColor="text1"/>
          <w:szCs w:val="24"/>
        </w:rPr>
        <w:t>XXXXXXXXXXXXXXXXXXXXXX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E225E" w:rsidRDefault="002F195B" w:rsidP="00A558E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E225E" w:rsidRDefault="007E225E">
      <w:pPr>
        <w:rPr>
          <w:color w:val="000000" w:themeColor="text1"/>
          <w:szCs w:val="24"/>
        </w:rPr>
      </w:pPr>
      <w:r>
        <w:rPr>
          <w:color w:val="000000" w:themeColor="text1"/>
          <w:szCs w:val="24"/>
        </w:rPr>
        <w:br w:type="page"/>
      </w:r>
    </w:p>
    <w:p w:rsidR="007E225E" w:rsidRDefault="007E225E" w:rsidP="007E225E">
      <w:pPr>
        <w:sectPr w:rsidR="007E225E">
          <w:pgSz w:w="12240" w:h="15840"/>
          <w:pgMar w:top="2160" w:right="1440" w:bottom="1440" w:left="1440" w:header="720" w:footer="720" w:gutter="0"/>
          <w:cols w:space="720"/>
        </w:sectPr>
      </w:pPr>
    </w:p>
    <w:p w:rsidR="007E225E" w:rsidRDefault="007E225E" w:rsidP="007E225E">
      <w:pPr>
        <w:pStyle w:val="Header"/>
        <w:tabs>
          <w:tab w:val="left" w:pos="720"/>
        </w:tabs>
        <w:jc w:val="left"/>
      </w:pPr>
      <w:r>
        <w:lastRenderedPageBreak/>
        <w:t>SFMR-RB</w:t>
      </w:r>
      <w:r>
        <w:tab/>
      </w:r>
      <w:r>
        <w:tab/>
      </w:r>
      <w:r>
        <w:tab/>
      </w:r>
      <w:r>
        <w:tab/>
      </w:r>
      <w:r>
        <w:tab/>
      </w:r>
      <w:r>
        <w:tab/>
      </w:r>
      <w:r>
        <w:tab/>
      </w:r>
      <w:r>
        <w:tab/>
      </w:r>
      <w:r>
        <w:tab/>
      </w:r>
    </w:p>
    <w:p w:rsidR="007E225E" w:rsidRDefault="007E225E" w:rsidP="007E225E">
      <w:pPr>
        <w:pStyle w:val="Header"/>
        <w:tabs>
          <w:tab w:val="left" w:pos="720"/>
        </w:tabs>
        <w:jc w:val="left"/>
      </w:pPr>
    </w:p>
    <w:p w:rsidR="007E225E" w:rsidRDefault="007E225E" w:rsidP="007E225E">
      <w:pPr>
        <w:jc w:val="left"/>
      </w:pPr>
    </w:p>
    <w:p w:rsidR="007E225E" w:rsidRDefault="007E225E" w:rsidP="007E225E">
      <w:pPr>
        <w:jc w:val="left"/>
      </w:pPr>
      <w:r>
        <w:t xml:space="preserve">MEMORANDUM FOR Commander, US Army Physical Disability Agency </w:t>
      </w:r>
    </w:p>
    <w:p w:rsidR="007E225E" w:rsidRDefault="007E225E" w:rsidP="007E225E">
      <w:pPr>
        <w:jc w:val="left"/>
      </w:pPr>
      <w:r>
        <w:t xml:space="preserve">(TAPD-ZB </w:t>
      </w:r>
      <w:proofErr w:type="gramStart"/>
      <w:r>
        <w:t>/  )</w:t>
      </w:r>
      <w:proofErr w:type="gramEnd"/>
      <w:r>
        <w:t>, 2900 Crystal Drive, Suite 300, Arlington, VA  22202-3557</w:t>
      </w:r>
    </w:p>
    <w:p w:rsidR="007E225E" w:rsidRDefault="007E225E" w:rsidP="007E225E">
      <w:pPr>
        <w:jc w:val="left"/>
      </w:pPr>
    </w:p>
    <w:p w:rsidR="007E225E" w:rsidRDefault="007E225E" w:rsidP="007E225E">
      <w:pPr>
        <w:ind w:right="-180"/>
        <w:jc w:val="left"/>
      </w:pPr>
      <w:r>
        <w:t>SUBJECT:  Department of Defense Physical Disability Board of Review Recommendation XXXXXXXXXXXXXXXXXXXXXXXXXXX, AR20120018944 (PD201200032)</w:t>
      </w:r>
    </w:p>
    <w:p w:rsidR="007E225E" w:rsidRDefault="007E225E" w:rsidP="007E225E">
      <w:pPr>
        <w:pStyle w:val="Header"/>
        <w:tabs>
          <w:tab w:val="left" w:pos="720"/>
        </w:tabs>
        <w:jc w:val="left"/>
      </w:pPr>
    </w:p>
    <w:p w:rsidR="007E225E" w:rsidRDefault="007E225E" w:rsidP="007E225E">
      <w:pPr>
        <w:jc w:val="left"/>
      </w:pPr>
    </w:p>
    <w:p w:rsidR="007E225E" w:rsidRDefault="007E225E" w:rsidP="007E225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E225E" w:rsidRDefault="007E225E" w:rsidP="007E225E">
      <w:pPr>
        <w:jc w:val="left"/>
      </w:pPr>
      <w:r>
        <w:t>This decision is final.  The individual concerned, counsel (if any), and any Members of Congress who have shown interest in this application have been notified of this decision by mail.</w:t>
      </w:r>
    </w:p>
    <w:p w:rsidR="007E225E" w:rsidRDefault="007E225E" w:rsidP="007E225E">
      <w:pPr>
        <w:jc w:val="left"/>
      </w:pPr>
    </w:p>
    <w:p w:rsidR="007E225E" w:rsidRDefault="007E225E" w:rsidP="007E225E">
      <w:pPr>
        <w:jc w:val="left"/>
      </w:pPr>
      <w:r>
        <w:t>BY ORDER OF THE SECRETARY OF THE ARMY:</w:t>
      </w:r>
    </w:p>
    <w:p w:rsidR="007E225E" w:rsidRDefault="007E225E" w:rsidP="007E225E">
      <w:pPr>
        <w:jc w:val="left"/>
      </w:pPr>
    </w:p>
    <w:p w:rsidR="007E225E" w:rsidRDefault="007E225E" w:rsidP="007E225E">
      <w:pPr>
        <w:jc w:val="left"/>
      </w:pPr>
    </w:p>
    <w:p w:rsidR="007E225E" w:rsidRDefault="007E225E" w:rsidP="007E225E">
      <w:pPr>
        <w:pStyle w:val="Header"/>
        <w:tabs>
          <w:tab w:val="left" w:pos="720"/>
        </w:tabs>
        <w:jc w:val="left"/>
      </w:pPr>
    </w:p>
    <w:p w:rsidR="007E225E" w:rsidRDefault="007E225E" w:rsidP="007E225E">
      <w:pPr>
        <w:jc w:val="left"/>
      </w:pPr>
    </w:p>
    <w:p w:rsidR="007E225E" w:rsidRDefault="007E225E" w:rsidP="007E225E">
      <w:pPr>
        <w:jc w:val="left"/>
      </w:pPr>
      <w:bookmarkStart w:id="0" w:name="OLE_LINK4"/>
      <w:bookmarkStart w:id="1" w:name="OLE_LINK3"/>
      <w:r>
        <w:t>Encl</w:t>
      </w:r>
      <w:r>
        <w:tab/>
      </w:r>
      <w:r>
        <w:tab/>
      </w:r>
      <w:r>
        <w:tab/>
      </w:r>
      <w:r>
        <w:tab/>
      </w:r>
      <w:r>
        <w:tab/>
      </w:r>
      <w:r>
        <w:tab/>
        <w:t xml:space="preserve">     XXXXXXXXXXXXXXXXXXXXXXXX</w:t>
      </w:r>
    </w:p>
    <w:p w:rsidR="007E225E" w:rsidRDefault="007E225E" w:rsidP="007E225E">
      <w:pPr>
        <w:jc w:val="left"/>
      </w:pPr>
      <w:r>
        <w:tab/>
      </w:r>
      <w:r>
        <w:tab/>
      </w:r>
      <w:r>
        <w:tab/>
      </w:r>
      <w:r>
        <w:tab/>
      </w:r>
      <w:r>
        <w:tab/>
      </w:r>
      <w:r>
        <w:tab/>
        <w:t xml:space="preserve">     Deputy Assistant Secretary</w:t>
      </w:r>
    </w:p>
    <w:p w:rsidR="007E225E" w:rsidRDefault="007E225E" w:rsidP="007E225E">
      <w:pPr>
        <w:jc w:val="left"/>
      </w:pPr>
      <w:r>
        <w:tab/>
      </w:r>
      <w:r>
        <w:tab/>
      </w:r>
      <w:r>
        <w:tab/>
      </w:r>
      <w:r>
        <w:tab/>
      </w:r>
      <w:r>
        <w:tab/>
      </w:r>
      <w:r>
        <w:tab/>
        <w:t xml:space="preserve">         (Army Review Boards)</w:t>
      </w:r>
      <w:bookmarkEnd w:id="0"/>
      <w:bookmarkEnd w:id="1"/>
    </w:p>
    <w:p w:rsidR="007E225E" w:rsidRDefault="007E225E" w:rsidP="007E225E">
      <w:pPr>
        <w:jc w:val="left"/>
      </w:pPr>
    </w:p>
    <w:p w:rsidR="007E225E" w:rsidRDefault="007E225E" w:rsidP="007E225E">
      <w:pPr>
        <w:jc w:val="left"/>
      </w:pPr>
      <w:r>
        <w:t xml:space="preserve">CF: </w:t>
      </w:r>
    </w:p>
    <w:p w:rsidR="007E225E" w:rsidRDefault="007E225E" w:rsidP="007E225E">
      <w:pPr>
        <w:jc w:val="left"/>
      </w:pPr>
      <w:r>
        <w:t xml:space="preserve">(  ) </w:t>
      </w:r>
      <w:proofErr w:type="spellStart"/>
      <w:proofErr w:type="gramStart"/>
      <w:r>
        <w:t>DoD</w:t>
      </w:r>
      <w:proofErr w:type="spellEnd"/>
      <w:proofErr w:type="gramEnd"/>
      <w:r>
        <w:t xml:space="preserve"> PDBR</w:t>
      </w:r>
    </w:p>
    <w:p w:rsidR="007E225E" w:rsidRDefault="007E225E" w:rsidP="007E225E">
      <w:pPr>
        <w:jc w:val="left"/>
      </w:pPr>
      <w:r>
        <w:t>(  ) DVA</w:t>
      </w:r>
    </w:p>
    <w:p w:rsidR="007E225E" w:rsidRDefault="007E225E" w:rsidP="007E225E">
      <w:pPr>
        <w:jc w:val="left"/>
      </w:pPr>
    </w:p>
    <w:p w:rsidR="008E3C90" w:rsidRDefault="008E3C90" w:rsidP="007E225E">
      <w:pPr>
        <w:tabs>
          <w:tab w:val="left" w:pos="0"/>
          <w:tab w:val="left" w:pos="4320"/>
        </w:tabs>
        <w:jc w:val="left"/>
        <w:rPr>
          <w:color w:val="000000" w:themeColor="text1"/>
          <w:szCs w:val="24"/>
        </w:rPr>
      </w:pPr>
    </w:p>
    <w:sectPr w:rsidR="008E3C9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D9" w:rsidRDefault="007A0AD9">
      <w:r>
        <w:separator/>
      </w:r>
    </w:p>
  </w:endnote>
  <w:endnote w:type="continuationSeparator" w:id="0">
    <w:p w:rsidR="007A0AD9" w:rsidRDefault="007A0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849F8" w:rsidRPr="00374247" w:rsidRDefault="006849F8" w:rsidP="00374247">
        <w:pPr>
          <w:pStyle w:val="Footer"/>
          <w:ind w:firstLine="4320"/>
          <w:rPr>
            <w:color w:val="auto"/>
            <w:szCs w:val="24"/>
          </w:rPr>
        </w:pPr>
        <w:r w:rsidRPr="00374247">
          <w:rPr>
            <w:color w:val="auto"/>
            <w:szCs w:val="24"/>
          </w:rPr>
          <w:t xml:space="preserve">   </w:t>
        </w:r>
        <w:r w:rsidR="003B2B46" w:rsidRPr="00374247">
          <w:rPr>
            <w:color w:val="auto"/>
            <w:szCs w:val="24"/>
          </w:rPr>
          <w:fldChar w:fldCharType="begin"/>
        </w:r>
        <w:r w:rsidRPr="00374247">
          <w:rPr>
            <w:color w:val="auto"/>
            <w:szCs w:val="24"/>
          </w:rPr>
          <w:instrText xml:space="preserve"> PAGE   \* MERGEFORMAT </w:instrText>
        </w:r>
        <w:r w:rsidR="003B2B46" w:rsidRPr="00374247">
          <w:rPr>
            <w:color w:val="auto"/>
            <w:szCs w:val="24"/>
          </w:rPr>
          <w:fldChar w:fldCharType="separate"/>
        </w:r>
        <w:r w:rsidR="007E225E" w:rsidRPr="007E225E">
          <w:rPr>
            <w:noProof/>
            <w:color w:val="auto"/>
          </w:rPr>
          <w:t>6</w:t>
        </w:r>
        <w:r w:rsidR="003B2B46"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032</w:t>
        </w:r>
      </w:p>
    </w:sdtContent>
  </w:sdt>
  <w:p w:rsidR="006849F8" w:rsidRPr="00684CE6" w:rsidRDefault="006849F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D9" w:rsidRDefault="007A0AD9">
      <w:r>
        <w:separator/>
      </w:r>
    </w:p>
  </w:footnote>
  <w:footnote w:type="continuationSeparator" w:id="0">
    <w:p w:rsidR="007A0AD9" w:rsidRDefault="007A0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rsids>
    <w:rsidRoot w:val="001C28D1"/>
    <w:rsid w:val="000024F5"/>
    <w:rsid w:val="000059FA"/>
    <w:rsid w:val="00006186"/>
    <w:rsid w:val="00006F87"/>
    <w:rsid w:val="00007107"/>
    <w:rsid w:val="00007126"/>
    <w:rsid w:val="00007492"/>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774"/>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599"/>
    <w:rsid w:val="00065E21"/>
    <w:rsid w:val="000673ED"/>
    <w:rsid w:val="00067854"/>
    <w:rsid w:val="00070DED"/>
    <w:rsid w:val="00072433"/>
    <w:rsid w:val="00072B3E"/>
    <w:rsid w:val="0007388C"/>
    <w:rsid w:val="00073E10"/>
    <w:rsid w:val="0007488B"/>
    <w:rsid w:val="00075702"/>
    <w:rsid w:val="00075A0C"/>
    <w:rsid w:val="000775C2"/>
    <w:rsid w:val="00077835"/>
    <w:rsid w:val="000806AD"/>
    <w:rsid w:val="00080BDF"/>
    <w:rsid w:val="00080C57"/>
    <w:rsid w:val="00082482"/>
    <w:rsid w:val="00082CA0"/>
    <w:rsid w:val="00084CF2"/>
    <w:rsid w:val="00085D7B"/>
    <w:rsid w:val="0008708B"/>
    <w:rsid w:val="000905E2"/>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600"/>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0F7921"/>
    <w:rsid w:val="001007CE"/>
    <w:rsid w:val="001008C1"/>
    <w:rsid w:val="001023DB"/>
    <w:rsid w:val="00102B8D"/>
    <w:rsid w:val="001031F4"/>
    <w:rsid w:val="00103948"/>
    <w:rsid w:val="00103CCF"/>
    <w:rsid w:val="0010417F"/>
    <w:rsid w:val="001042D2"/>
    <w:rsid w:val="0010530E"/>
    <w:rsid w:val="00105498"/>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5B06"/>
    <w:rsid w:val="001272AE"/>
    <w:rsid w:val="00127AEC"/>
    <w:rsid w:val="00130756"/>
    <w:rsid w:val="001315DD"/>
    <w:rsid w:val="0013525F"/>
    <w:rsid w:val="00135385"/>
    <w:rsid w:val="00135F74"/>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66E5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47F0"/>
    <w:rsid w:val="00185DA8"/>
    <w:rsid w:val="00185ECB"/>
    <w:rsid w:val="001865E0"/>
    <w:rsid w:val="001870F0"/>
    <w:rsid w:val="00190E48"/>
    <w:rsid w:val="0019114B"/>
    <w:rsid w:val="001916C8"/>
    <w:rsid w:val="0019273F"/>
    <w:rsid w:val="00193814"/>
    <w:rsid w:val="00193AAB"/>
    <w:rsid w:val="00193AD5"/>
    <w:rsid w:val="00194930"/>
    <w:rsid w:val="00195AAC"/>
    <w:rsid w:val="001A025E"/>
    <w:rsid w:val="001A08CD"/>
    <w:rsid w:val="001A0A1E"/>
    <w:rsid w:val="001A2182"/>
    <w:rsid w:val="001A30EA"/>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6E7"/>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2C6"/>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D3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2AC"/>
    <w:rsid w:val="00234B3B"/>
    <w:rsid w:val="00234D98"/>
    <w:rsid w:val="00235AD0"/>
    <w:rsid w:val="00236018"/>
    <w:rsid w:val="002374C9"/>
    <w:rsid w:val="0024162D"/>
    <w:rsid w:val="0024174E"/>
    <w:rsid w:val="00241F4B"/>
    <w:rsid w:val="00242238"/>
    <w:rsid w:val="0024227D"/>
    <w:rsid w:val="00242D14"/>
    <w:rsid w:val="00242D29"/>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47C"/>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2559"/>
    <w:rsid w:val="002A3237"/>
    <w:rsid w:val="002A4119"/>
    <w:rsid w:val="002A58B7"/>
    <w:rsid w:val="002A5943"/>
    <w:rsid w:val="002A5C3C"/>
    <w:rsid w:val="002A685E"/>
    <w:rsid w:val="002A72C7"/>
    <w:rsid w:val="002B0204"/>
    <w:rsid w:val="002B03B2"/>
    <w:rsid w:val="002B0749"/>
    <w:rsid w:val="002B0AD4"/>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044"/>
    <w:rsid w:val="002E49C3"/>
    <w:rsid w:val="002E5114"/>
    <w:rsid w:val="002E5988"/>
    <w:rsid w:val="002E65E6"/>
    <w:rsid w:val="002E7072"/>
    <w:rsid w:val="002E7570"/>
    <w:rsid w:val="002E764B"/>
    <w:rsid w:val="002E7C25"/>
    <w:rsid w:val="002F0D6A"/>
    <w:rsid w:val="002F0E28"/>
    <w:rsid w:val="002F195B"/>
    <w:rsid w:val="002F287E"/>
    <w:rsid w:val="002F2981"/>
    <w:rsid w:val="002F2CEB"/>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5D8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F30"/>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AEA"/>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452E"/>
    <w:rsid w:val="003A5491"/>
    <w:rsid w:val="003A5958"/>
    <w:rsid w:val="003A6A99"/>
    <w:rsid w:val="003A6E60"/>
    <w:rsid w:val="003A76AB"/>
    <w:rsid w:val="003A7FF8"/>
    <w:rsid w:val="003B0B66"/>
    <w:rsid w:val="003B17AC"/>
    <w:rsid w:val="003B2143"/>
    <w:rsid w:val="003B227A"/>
    <w:rsid w:val="003B2B46"/>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7780"/>
    <w:rsid w:val="003F070E"/>
    <w:rsid w:val="003F1206"/>
    <w:rsid w:val="003F2418"/>
    <w:rsid w:val="003F28DB"/>
    <w:rsid w:val="003F2EEE"/>
    <w:rsid w:val="003F58B0"/>
    <w:rsid w:val="003F679B"/>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4EB"/>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75"/>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86BA1"/>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3E4A"/>
    <w:rsid w:val="004B46D7"/>
    <w:rsid w:val="004B5CAE"/>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1979"/>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25B"/>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A3B"/>
    <w:rsid w:val="00592EF7"/>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681"/>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9F8"/>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5A4"/>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BE2"/>
    <w:rsid w:val="007165CE"/>
    <w:rsid w:val="00717BEA"/>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2F3"/>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53F"/>
    <w:rsid w:val="00794ADE"/>
    <w:rsid w:val="00794F3D"/>
    <w:rsid w:val="00795CE9"/>
    <w:rsid w:val="00796045"/>
    <w:rsid w:val="007968AC"/>
    <w:rsid w:val="007969AB"/>
    <w:rsid w:val="007973D8"/>
    <w:rsid w:val="00797801"/>
    <w:rsid w:val="007A0861"/>
    <w:rsid w:val="007A0AD9"/>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25E"/>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7E4"/>
    <w:rsid w:val="008220F1"/>
    <w:rsid w:val="00822DD8"/>
    <w:rsid w:val="0082340B"/>
    <w:rsid w:val="008236F1"/>
    <w:rsid w:val="00823D6A"/>
    <w:rsid w:val="00827B29"/>
    <w:rsid w:val="00827DB6"/>
    <w:rsid w:val="008304B2"/>
    <w:rsid w:val="00830999"/>
    <w:rsid w:val="00830D5E"/>
    <w:rsid w:val="00830F69"/>
    <w:rsid w:val="00831940"/>
    <w:rsid w:val="008324D9"/>
    <w:rsid w:val="00833418"/>
    <w:rsid w:val="0083387F"/>
    <w:rsid w:val="00834458"/>
    <w:rsid w:val="0083487B"/>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36B"/>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4DCF"/>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C6"/>
    <w:rsid w:val="00907FE6"/>
    <w:rsid w:val="009102BF"/>
    <w:rsid w:val="00911490"/>
    <w:rsid w:val="009115F2"/>
    <w:rsid w:val="00911B11"/>
    <w:rsid w:val="00914ADB"/>
    <w:rsid w:val="00917182"/>
    <w:rsid w:val="00920251"/>
    <w:rsid w:val="00920CF6"/>
    <w:rsid w:val="00921CFD"/>
    <w:rsid w:val="00923B25"/>
    <w:rsid w:val="0092402E"/>
    <w:rsid w:val="009259BA"/>
    <w:rsid w:val="00926FCB"/>
    <w:rsid w:val="009303BB"/>
    <w:rsid w:val="0093108A"/>
    <w:rsid w:val="00931B6D"/>
    <w:rsid w:val="0093311A"/>
    <w:rsid w:val="00934141"/>
    <w:rsid w:val="009346D0"/>
    <w:rsid w:val="009369A6"/>
    <w:rsid w:val="00937F57"/>
    <w:rsid w:val="0094031E"/>
    <w:rsid w:val="009419B4"/>
    <w:rsid w:val="00941A4C"/>
    <w:rsid w:val="00942645"/>
    <w:rsid w:val="009461E6"/>
    <w:rsid w:val="009462B3"/>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03C"/>
    <w:rsid w:val="0098222D"/>
    <w:rsid w:val="009842F3"/>
    <w:rsid w:val="00984EBF"/>
    <w:rsid w:val="00985099"/>
    <w:rsid w:val="00985D32"/>
    <w:rsid w:val="00986514"/>
    <w:rsid w:val="00986FCC"/>
    <w:rsid w:val="00990FD6"/>
    <w:rsid w:val="009911CD"/>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04A"/>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610"/>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456"/>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8EF"/>
    <w:rsid w:val="00A56D26"/>
    <w:rsid w:val="00A571A7"/>
    <w:rsid w:val="00A5749A"/>
    <w:rsid w:val="00A575E1"/>
    <w:rsid w:val="00A57A29"/>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DAE"/>
    <w:rsid w:val="00A82C52"/>
    <w:rsid w:val="00A838E8"/>
    <w:rsid w:val="00A83C15"/>
    <w:rsid w:val="00A84EC4"/>
    <w:rsid w:val="00A86CB6"/>
    <w:rsid w:val="00A90D55"/>
    <w:rsid w:val="00A9225E"/>
    <w:rsid w:val="00A944D8"/>
    <w:rsid w:val="00A956F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35B"/>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7708"/>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1907"/>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425"/>
    <w:rsid w:val="00BB65CE"/>
    <w:rsid w:val="00BB7012"/>
    <w:rsid w:val="00BB76A0"/>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AF7"/>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0812"/>
    <w:rsid w:val="00C71BEC"/>
    <w:rsid w:val="00C73942"/>
    <w:rsid w:val="00C73A83"/>
    <w:rsid w:val="00C74D3A"/>
    <w:rsid w:val="00C75F3D"/>
    <w:rsid w:val="00C80511"/>
    <w:rsid w:val="00C80655"/>
    <w:rsid w:val="00C81937"/>
    <w:rsid w:val="00C8196B"/>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4C6"/>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6A5D"/>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6CF"/>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DA1"/>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AC3"/>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503D"/>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0BAC"/>
    <w:rsid w:val="00E322F7"/>
    <w:rsid w:val="00E3369B"/>
    <w:rsid w:val="00E362D2"/>
    <w:rsid w:val="00E36D76"/>
    <w:rsid w:val="00E40478"/>
    <w:rsid w:val="00E405EA"/>
    <w:rsid w:val="00E408B7"/>
    <w:rsid w:val="00E40FB5"/>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560F"/>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586"/>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D08"/>
    <w:rsid w:val="00EE23DE"/>
    <w:rsid w:val="00EE48BB"/>
    <w:rsid w:val="00EE6FE0"/>
    <w:rsid w:val="00EE704A"/>
    <w:rsid w:val="00EE7840"/>
    <w:rsid w:val="00EF2E75"/>
    <w:rsid w:val="00EF4C74"/>
    <w:rsid w:val="00EF5268"/>
    <w:rsid w:val="00EF608E"/>
    <w:rsid w:val="00EF6C4A"/>
    <w:rsid w:val="00F0044B"/>
    <w:rsid w:val="00F00E60"/>
    <w:rsid w:val="00F0244F"/>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35A"/>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1AEE"/>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84"/>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7E225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3974648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97068051">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1900074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08204700">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5F82-CE72-427D-A482-330C5331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2788</Words>
  <Characters>15315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2012-10-10T15:45:00Z</cp:lastPrinted>
  <dcterms:created xsi:type="dcterms:W3CDTF">2012-10-31T17:49:00Z</dcterms:created>
  <dcterms:modified xsi:type="dcterms:W3CDTF">2012-10-31T17:49:00Z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