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B41356"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864F7F">
        <w:rPr>
          <w:caps/>
          <w:color w:val="000000" w:themeColor="text1"/>
        </w:rPr>
        <w:t>XXXXXXXXXXXXXXXXXXX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6130A8">
        <w:rPr>
          <w:caps/>
          <w:color w:val="000000" w:themeColor="text1"/>
        </w:rPr>
        <w:tab/>
      </w:r>
      <w:r w:rsidR="006130A8">
        <w:rPr>
          <w:caps/>
          <w:color w:val="000000" w:themeColor="text1"/>
        </w:rPr>
        <w:tab/>
        <w:t xml:space="preserve">                      </w:t>
      </w:r>
      <w:r w:rsidRPr="001F29F9">
        <w:rPr>
          <w:caps/>
          <w:color w:val="000000" w:themeColor="text1"/>
        </w:rPr>
        <w:t xml:space="preserve">BRANCH OF SERVICE: </w:t>
      </w:r>
      <w:r w:rsidR="00F1627D">
        <w:rPr>
          <w:caps/>
          <w:color w:val="000000" w:themeColor="text1"/>
        </w:rPr>
        <w:t xml:space="preserve"> </w:t>
      </w:r>
      <w:r w:rsidR="00332DE3" w:rsidRPr="00B41356">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B41356">
        <w:rPr>
          <w:caps/>
          <w:color w:val="000000" w:themeColor="text1"/>
        </w:rPr>
        <w:t>C</w:t>
      </w:r>
      <w:r w:rsidR="00DE3AAD" w:rsidRPr="00B41356">
        <w:rPr>
          <w:caps/>
          <w:color w:val="000000" w:themeColor="text1"/>
        </w:rPr>
        <w:t>ASE NUMBER:  PD</w:t>
      </w:r>
      <w:r w:rsidR="008F58E1" w:rsidRPr="00B41356">
        <w:rPr>
          <w:caps/>
          <w:color w:val="000000" w:themeColor="text1"/>
        </w:rPr>
        <w:t>1</w:t>
      </w:r>
      <w:r w:rsidR="00B0504B">
        <w:rPr>
          <w:caps/>
          <w:color w:val="000000" w:themeColor="text1"/>
        </w:rPr>
        <w:t>2</w:t>
      </w:r>
      <w:r w:rsidR="00DE3AAD" w:rsidRPr="00B41356">
        <w:rPr>
          <w:caps/>
          <w:color w:val="000000" w:themeColor="text1"/>
        </w:rPr>
        <w:t>00</w:t>
      </w:r>
      <w:r w:rsidR="007D0BF5" w:rsidRPr="00B41356">
        <w:rPr>
          <w:caps/>
          <w:color w:val="000000" w:themeColor="text1"/>
        </w:rPr>
        <w:t>029</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7D0BF5">
        <w:rPr>
          <w:color w:val="000000" w:themeColor="text1"/>
        </w:rPr>
        <w:t>80118</w:t>
      </w:r>
    </w:p>
    <w:p w:rsidR="008E0D8F" w:rsidRPr="001F29F9" w:rsidRDefault="004F3639" w:rsidP="00351F30">
      <w:pPr>
        <w:tabs>
          <w:tab w:val="left" w:pos="288"/>
          <w:tab w:val="left" w:pos="5130"/>
        </w:tabs>
        <w:jc w:val="both"/>
        <w:rPr>
          <w:color w:val="000000" w:themeColor="text1"/>
        </w:rPr>
      </w:pPr>
      <w:r w:rsidRPr="001F29F9">
        <w:rPr>
          <w:caps/>
          <w:color w:val="000000" w:themeColor="text1"/>
        </w:rPr>
        <w:t>BOARD DATE:  201</w:t>
      </w:r>
      <w:r w:rsidR="009D6610">
        <w:rPr>
          <w:caps/>
          <w:color w:val="000000" w:themeColor="text1"/>
        </w:rPr>
        <w:t>2</w:t>
      </w:r>
      <w:r w:rsidR="007A003A">
        <w:rPr>
          <w:caps/>
          <w:color w:val="000000" w:themeColor="text1"/>
        </w:rPr>
        <w:t>1031</w:t>
      </w:r>
    </w:p>
    <w:p w:rsidR="009265DF" w:rsidRPr="001F29F9" w:rsidRDefault="009265DF" w:rsidP="009265DF">
      <w:pPr>
        <w:pBdr>
          <w:bottom w:val="single" w:sz="12" w:space="1" w:color="auto"/>
        </w:pBdr>
        <w:tabs>
          <w:tab w:val="left" w:pos="288"/>
          <w:tab w:val="left" w:pos="4752"/>
        </w:tabs>
        <w:jc w:val="both"/>
        <w:rPr>
          <w:color w:val="000000" w:themeColor="text1"/>
        </w:rPr>
      </w:pPr>
    </w:p>
    <w:p w:rsidR="003F1206" w:rsidRPr="001F29F9" w:rsidRDefault="003F120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7A003A">
        <w:rPr>
          <w:color w:val="000000" w:themeColor="text1"/>
          <w:szCs w:val="24"/>
        </w:rPr>
        <w:t>S</w:t>
      </w:r>
      <w:r w:rsidR="007D0BF5" w:rsidRPr="007A003A">
        <w:rPr>
          <w:color w:val="000000" w:themeColor="text1"/>
          <w:szCs w:val="24"/>
        </w:rPr>
        <w:t>PC</w:t>
      </w:r>
      <w:r w:rsidR="00661BA2" w:rsidRPr="007A003A">
        <w:rPr>
          <w:color w:val="000000" w:themeColor="text1"/>
          <w:szCs w:val="24"/>
        </w:rPr>
        <w:t>/E-</w:t>
      </w:r>
      <w:r w:rsidR="007D0BF5" w:rsidRPr="007A003A">
        <w:rPr>
          <w:color w:val="000000" w:themeColor="text1"/>
          <w:szCs w:val="24"/>
        </w:rPr>
        <w:t>4</w:t>
      </w:r>
      <w:r w:rsidR="00705C40" w:rsidRPr="007A003A">
        <w:rPr>
          <w:color w:val="000000" w:themeColor="text1"/>
          <w:szCs w:val="24"/>
        </w:rPr>
        <w:t xml:space="preserve"> (</w:t>
      </w:r>
      <w:r w:rsidR="007D0BF5" w:rsidRPr="007A003A">
        <w:rPr>
          <w:color w:val="000000" w:themeColor="text1"/>
          <w:szCs w:val="24"/>
        </w:rPr>
        <w:t>92Y10</w:t>
      </w:r>
      <w:r w:rsidR="00C75F3D" w:rsidRPr="007A003A">
        <w:rPr>
          <w:color w:val="000000" w:themeColor="text1"/>
          <w:szCs w:val="24"/>
        </w:rPr>
        <w:t xml:space="preserve">, </w:t>
      </w:r>
      <w:r w:rsidR="007D0BF5" w:rsidRPr="007A003A">
        <w:rPr>
          <w:color w:val="000000" w:themeColor="text1"/>
          <w:szCs w:val="24"/>
        </w:rPr>
        <w:t>Armorer</w:t>
      </w:r>
      <w:r w:rsidR="00E322F7" w:rsidRPr="007A003A">
        <w:rPr>
          <w:color w:val="000000" w:themeColor="text1"/>
          <w:szCs w:val="24"/>
        </w:rPr>
        <w:t>)</w:t>
      </w:r>
      <w:r w:rsidR="00C75F3D" w:rsidRPr="007A003A">
        <w:rPr>
          <w:color w:val="000000" w:themeColor="text1"/>
          <w:szCs w:val="24"/>
        </w:rPr>
        <w:t xml:space="preserve">, </w:t>
      </w:r>
      <w:r w:rsidR="002C6E5B" w:rsidRPr="007A003A">
        <w:rPr>
          <w:color w:val="000000" w:themeColor="text1"/>
          <w:szCs w:val="24"/>
        </w:rPr>
        <w:t>medically separated for</w:t>
      </w:r>
      <w:r w:rsidR="007D0BF5" w:rsidRPr="007A003A">
        <w:rPr>
          <w:color w:val="000000" w:themeColor="text1"/>
          <w:szCs w:val="24"/>
        </w:rPr>
        <w:t xml:space="preserve"> chronic right hip and right knee pain status post closed femoral reduction of a diaphyseal fracture and intramedullary fixation</w:t>
      </w:r>
      <w:r w:rsidR="00C75F3D" w:rsidRPr="007A003A">
        <w:rPr>
          <w:color w:val="000000" w:themeColor="text1"/>
          <w:szCs w:val="24"/>
        </w:rPr>
        <w:t>.</w:t>
      </w:r>
      <w:r w:rsidR="00A24377" w:rsidRPr="007A003A">
        <w:rPr>
          <w:color w:val="000000" w:themeColor="text1"/>
          <w:szCs w:val="24"/>
        </w:rPr>
        <w:t xml:space="preserve">  </w:t>
      </w:r>
      <w:r w:rsidR="00504082" w:rsidRPr="007A003A">
        <w:rPr>
          <w:color w:val="000000" w:themeColor="text1"/>
          <w:szCs w:val="24"/>
        </w:rPr>
        <w:t>In August 2006, the CI sustained an injury to his right femur playing soccer while deployed to Iraq.  He was air-evacuated to Landstuhl, where surgery was performed.  He was subsequently air-evacuated to his home station for his post-operative recovery and rehabilitation.  He continued to have slight but frequent right knee and right hip pain.</w:t>
      </w:r>
      <w:r w:rsidR="00A24377" w:rsidRPr="007A003A">
        <w:rPr>
          <w:color w:val="000000" w:themeColor="text1"/>
          <w:szCs w:val="24"/>
        </w:rPr>
        <w:t xml:space="preserve">  </w:t>
      </w:r>
      <w:r w:rsidR="00643C8F" w:rsidRPr="007A003A">
        <w:rPr>
          <w:color w:val="000000" w:themeColor="text1"/>
          <w:szCs w:val="24"/>
        </w:rPr>
        <w:t>He did not respond adequately to treatment and was unable to perform within his Military Occupational Specialty (MOS)</w:t>
      </w:r>
      <w:r w:rsidR="007D0BF5" w:rsidRPr="007A003A">
        <w:rPr>
          <w:color w:val="000000" w:themeColor="text1"/>
          <w:szCs w:val="24"/>
        </w:rPr>
        <w:t xml:space="preserve"> </w:t>
      </w:r>
      <w:r w:rsidR="00643C8F" w:rsidRPr="007A003A">
        <w:rPr>
          <w:color w:val="000000" w:themeColor="text1"/>
          <w:szCs w:val="24"/>
        </w:rPr>
        <w:t xml:space="preserve">or meet physical fitness standards.  He was issued a permanent </w:t>
      </w:r>
      <w:r w:rsidR="007D0BF5" w:rsidRPr="007A003A">
        <w:rPr>
          <w:color w:val="000000" w:themeColor="text1"/>
          <w:szCs w:val="24"/>
        </w:rPr>
        <w:t>L3</w:t>
      </w:r>
      <w:r w:rsidR="00643C8F" w:rsidRPr="007A003A">
        <w:rPr>
          <w:color w:val="000000" w:themeColor="text1"/>
          <w:szCs w:val="24"/>
        </w:rPr>
        <w:t xml:space="preserve"> profile and underwent a Medical Evaluation Board (MEB).</w:t>
      </w:r>
      <w:r w:rsidR="00A24377" w:rsidRPr="007A003A">
        <w:rPr>
          <w:color w:val="000000" w:themeColor="text1"/>
          <w:szCs w:val="24"/>
        </w:rPr>
        <w:t xml:space="preserve">  </w:t>
      </w:r>
      <w:r w:rsidR="007D0BF5" w:rsidRPr="007A003A">
        <w:rPr>
          <w:color w:val="000000" w:themeColor="text1"/>
          <w:szCs w:val="24"/>
        </w:rPr>
        <w:t>Right knee pain</w:t>
      </w:r>
      <w:r w:rsidR="009D6610" w:rsidRPr="007A003A">
        <w:rPr>
          <w:color w:val="000000" w:themeColor="text1"/>
          <w:szCs w:val="24"/>
        </w:rPr>
        <w:t xml:space="preserve"> and</w:t>
      </w:r>
      <w:r w:rsidR="000A33C8" w:rsidRPr="007A003A">
        <w:rPr>
          <w:color w:val="000000" w:themeColor="text1"/>
          <w:szCs w:val="24"/>
        </w:rPr>
        <w:t xml:space="preserve"> </w:t>
      </w:r>
      <w:r w:rsidR="007D0BF5" w:rsidRPr="007A003A">
        <w:rPr>
          <w:color w:val="000000" w:themeColor="text1"/>
          <w:szCs w:val="24"/>
        </w:rPr>
        <w:t xml:space="preserve">right hip pain </w:t>
      </w:r>
      <w:r w:rsidR="000A33C8" w:rsidRPr="007A003A">
        <w:rPr>
          <w:color w:val="000000" w:themeColor="text1"/>
          <w:szCs w:val="24"/>
        </w:rPr>
        <w:t>were forwarded to the Physical Evaluation Board (PEB) as medically unacceptable IAW AR 40-501</w:t>
      </w:r>
      <w:r w:rsidR="00376E08" w:rsidRPr="007A003A">
        <w:rPr>
          <w:color w:val="000000" w:themeColor="text1"/>
          <w:szCs w:val="24"/>
        </w:rPr>
        <w:t>.</w:t>
      </w:r>
      <w:r w:rsidR="00A24377" w:rsidRPr="007A003A">
        <w:rPr>
          <w:color w:val="000000" w:themeColor="text1"/>
          <w:szCs w:val="24"/>
        </w:rPr>
        <w:t xml:space="preserve">  </w:t>
      </w:r>
      <w:r w:rsidR="00F46191" w:rsidRPr="007A003A">
        <w:rPr>
          <w:color w:val="000000" w:themeColor="text1"/>
          <w:szCs w:val="24"/>
        </w:rPr>
        <w:t>One</w:t>
      </w:r>
      <w:r w:rsidR="009C5C56" w:rsidRPr="007A003A">
        <w:rPr>
          <w:color w:val="000000" w:themeColor="text1"/>
          <w:szCs w:val="24"/>
        </w:rPr>
        <w:t xml:space="preserve"> </w:t>
      </w:r>
      <w:r w:rsidR="00954E5B" w:rsidRPr="007A003A">
        <w:rPr>
          <w:color w:val="000000" w:themeColor="text1"/>
          <w:szCs w:val="24"/>
        </w:rPr>
        <w:t>other condition, as identified in the rating chart below, w</w:t>
      </w:r>
      <w:r w:rsidR="00F46191" w:rsidRPr="007A003A">
        <w:rPr>
          <w:color w:val="000000" w:themeColor="text1"/>
          <w:szCs w:val="24"/>
        </w:rPr>
        <w:t>as</w:t>
      </w:r>
      <w:r w:rsidR="00954E5B" w:rsidRPr="007A003A">
        <w:rPr>
          <w:color w:val="000000" w:themeColor="text1"/>
          <w:szCs w:val="24"/>
        </w:rPr>
        <w:t xml:space="preserve"> forwarded on the </w:t>
      </w:r>
      <w:r w:rsidR="00B04562" w:rsidRPr="007A003A">
        <w:rPr>
          <w:color w:val="000000" w:themeColor="text1"/>
          <w:szCs w:val="24"/>
        </w:rPr>
        <w:t xml:space="preserve">MEB submission </w:t>
      </w:r>
      <w:r w:rsidR="00954E5B" w:rsidRPr="007A003A">
        <w:rPr>
          <w:color w:val="000000" w:themeColor="text1"/>
          <w:szCs w:val="24"/>
        </w:rPr>
        <w:t xml:space="preserve">as </w:t>
      </w:r>
      <w:r w:rsidR="00F46191" w:rsidRPr="007A003A">
        <w:rPr>
          <w:color w:val="000000" w:themeColor="text1"/>
          <w:szCs w:val="24"/>
        </w:rPr>
        <w:t xml:space="preserve">a </w:t>
      </w:r>
      <w:r w:rsidR="00954E5B" w:rsidRPr="007A003A">
        <w:rPr>
          <w:color w:val="000000" w:themeColor="text1"/>
          <w:szCs w:val="24"/>
        </w:rPr>
        <w:t>medically acceptable condition</w:t>
      </w:r>
      <w:r w:rsidR="00B04562" w:rsidRPr="007A003A">
        <w:rPr>
          <w:color w:val="000000" w:themeColor="text1"/>
          <w:szCs w:val="24"/>
        </w:rPr>
        <w:t>.</w:t>
      </w:r>
      <w:r w:rsidR="00A24377" w:rsidRPr="007A003A">
        <w:rPr>
          <w:color w:val="000000" w:themeColor="text1"/>
          <w:szCs w:val="24"/>
        </w:rPr>
        <w:t xml:space="preserve">  </w:t>
      </w:r>
      <w:r w:rsidR="00842BAA" w:rsidRPr="007A003A">
        <w:rPr>
          <w:color w:val="000000" w:themeColor="text1"/>
          <w:szCs w:val="24"/>
        </w:rPr>
        <w:t xml:space="preserve">The PEB </w:t>
      </w:r>
      <w:r w:rsidR="008B4668">
        <w:rPr>
          <w:color w:val="000000" w:themeColor="text1"/>
          <w:szCs w:val="24"/>
        </w:rPr>
        <w:t>a</w:t>
      </w:r>
      <w:r w:rsidR="00842BAA" w:rsidRPr="007A003A">
        <w:rPr>
          <w:color w:val="000000" w:themeColor="text1"/>
          <w:szCs w:val="24"/>
        </w:rPr>
        <w:t xml:space="preserve">djudicated the </w:t>
      </w:r>
      <w:r w:rsidR="00F46191" w:rsidRPr="007A003A">
        <w:rPr>
          <w:color w:val="000000" w:themeColor="text1"/>
          <w:szCs w:val="24"/>
        </w:rPr>
        <w:t xml:space="preserve">right hip and right knee pain status post closed femoral reduction of a diaphyseal fracture and intramedullary fixation as a single unfitting </w:t>
      </w:r>
      <w:r w:rsidR="00842BAA" w:rsidRPr="007A003A">
        <w:rPr>
          <w:color w:val="000000" w:themeColor="text1"/>
          <w:szCs w:val="24"/>
        </w:rPr>
        <w:t xml:space="preserve">condition, rated </w:t>
      </w:r>
      <w:r w:rsidR="00F46191" w:rsidRPr="007A003A">
        <w:rPr>
          <w:color w:val="000000" w:themeColor="text1"/>
          <w:szCs w:val="24"/>
        </w:rPr>
        <w:t>10</w:t>
      </w:r>
      <w:r w:rsidR="00842BAA" w:rsidRPr="007A003A">
        <w:rPr>
          <w:color w:val="000000" w:themeColor="text1"/>
          <w:szCs w:val="24"/>
        </w:rPr>
        <w:t>%</w:t>
      </w:r>
      <w:r w:rsidR="00A558EF" w:rsidRPr="007A003A">
        <w:rPr>
          <w:color w:val="000000" w:themeColor="text1"/>
          <w:szCs w:val="24"/>
        </w:rPr>
        <w:t xml:space="preserve">, with </w:t>
      </w:r>
      <w:r w:rsidR="00504082" w:rsidRPr="007A003A">
        <w:rPr>
          <w:color w:val="000000" w:themeColor="text1"/>
          <w:szCs w:val="24"/>
        </w:rPr>
        <w:t xml:space="preserve">cited </w:t>
      </w:r>
      <w:r w:rsidR="00A558EF" w:rsidRPr="007A003A">
        <w:rPr>
          <w:color w:val="000000" w:themeColor="text1"/>
          <w:szCs w:val="24"/>
        </w:rPr>
        <w:t xml:space="preserve">application of the US Army Physical Disability Agency (USAPDA) pain policy and </w:t>
      </w:r>
      <w:r w:rsidR="009D6610" w:rsidRPr="007A003A">
        <w:rPr>
          <w:color w:val="000000" w:themeColor="text1"/>
          <w:szCs w:val="24"/>
        </w:rPr>
        <w:t xml:space="preserve">the </w:t>
      </w:r>
      <w:r w:rsidR="00A558EF" w:rsidRPr="007A003A">
        <w:rPr>
          <w:color w:val="000000" w:themeColor="text1"/>
          <w:szCs w:val="24"/>
        </w:rPr>
        <w:t>Veteran</w:t>
      </w:r>
      <w:r w:rsidR="008B4668">
        <w:rPr>
          <w:color w:val="000000" w:themeColor="text1"/>
          <w:szCs w:val="24"/>
        </w:rPr>
        <w:t>’</w:t>
      </w:r>
      <w:r w:rsidR="00A558EF" w:rsidRPr="007A003A">
        <w:rPr>
          <w:color w:val="000000" w:themeColor="text1"/>
          <w:szCs w:val="24"/>
        </w:rPr>
        <w:t>s Administration Schedule for Rating Disabilities (VASRD), respectively.</w:t>
      </w:r>
      <w:r w:rsidR="00842BAA" w:rsidRPr="007A003A">
        <w:rPr>
          <w:color w:val="000000" w:themeColor="text1"/>
          <w:szCs w:val="24"/>
        </w:rPr>
        <w:t xml:space="preserve"> </w:t>
      </w:r>
      <w:r w:rsidR="00A558EF" w:rsidRPr="007A003A">
        <w:rPr>
          <w:color w:val="000000" w:themeColor="text1"/>
          <w:szCs w:val="24"/>
        </w:rPr>
        <w:t xml:space="preserve"> A</w:t>
      </w:r>
      <w:r w:rsidR="00842BAA" w:rsidRPr="007A003A">
        <w:rPr>
          <w:color w:val="000000" w:themeColor="text1"/>
          <w:szCs w:val="24"/>
        </w:rPr>
        <w:t xml:space="preserve">dditionally </w:t>
      </w:r>
      <w:r w:rsidR="009D6610" w:rsidRPr="007A003A">
        <w:rPr>
          <w:color w:val="000000" w:themeColor="text1"/>
          <w:szCs w:val="24"/>
        </w:rPr>
        <w:t xml:space="preserve">the </w:t>
      </w:r>
      <w:r w:rsidR="00F46191" w:rsidRPr="007A003A">
        <w:rPr>
          <w:color w:val="000000" w:themeColor="text1"/>
          <w:szCs w:val="24"/>
        </w:rPr>
        <w:t>nerve palsy median</w:t>
      </w:r>
      <w:r w:rsidR="00842BAA" w:rsidRPr="007A003A">
        <w:rPr>
          <w:color w:val="000000" w:themeColor="text1"/>
          <w:szCs w:val="24"/>
        </w:rPr>
        <w:t xml:space="preserve"> condition </w:t>
      </w:r>
      <w:r w:rsidR="00A558EF" w:rsidRPr="007A003A">
        <w:rPr>
          <w:color w:val="000000" w:themeColor="text1"/>
          <w:szCs w:val="24"/>
        </w:rPr>
        <w:t xml:space="preserve">was </w:t>
      </w:r>
      <w:r w:rsidR="00F46191" w:rsidRPr="007A003A">
        <w:rPr>
          <w:color w:val="000000" w:themeColor="text1"/>
          <w:szCs w:val="24"/>
        </w:rPr>
        <w:t>determined to meet retention standards and</w:t>
      </w:r>
      <w:r w:rsidR="00F46191">
        <w:rPr>
          <w:color w:val="000000" w:themeColor="text1"/>
          <w:szCs w:val="24"/>
        </w:rPr>
        <w:t xml:space="preserve"> be not unfitting</w:t>
      </w:r>
      <w:r w:rsidR="00A558EF">
        <w:rPr>
          <w:color w:val="000000" w:themeColor="text1"/>
          <w:szCs w:val="24"/>
        </w:rPr>
        <w:t>.</w:t>
      </w:r>
      <w:r w:rsidR="00842BAA" w:rsidRPr="001F29F9">
        <w:rPr>
          <w:color w:val="000000" w:themeColor="text1"/>
          <w:szCs w:val="24"/>
        </w:rPr>
        <w:t xml:space="preserve"> </w:t>
      </w:r>
      <w:r w:rsidR="00F1627D">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F46191">
        <w:rPr>
          <w:color w:val="000000" w:themeColor="text1"/>
        </w:rPr>
        <w:t>10</w:t>
      </w:r>
      <w:r w:rsidR="00B20624" w:rsidRPr="001F29F9">
        <w:rPr>
          <w:color w:val="000000" w:themeColor="text1"/>
        </w:rPr>
        <w:t>% combined disability rating.</w:t>
      </w:r>
      <w:r w:rsidR="00F1627D">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szCs w:val="24"/>
        </w:rPr>
      </w:pPr>
      <w:r w:rsidRPr="001F29F9">
        <w:rPr>
          <w:color w:val="000000" w:themeColor="text1"/>
          <w:u w:val="single"/>
        </w:rPr>
        <w:t>CI CONTENTION</w:t>
      </w:r>
      <w:r w:rsidRPr="001F29F9">
        <w:rPr>
          <w:color w:val="000000" w:themeColor="text1"/>
        </w:rPr>
        <w:t>:</w:t>
      </w:r>
      <w:r w:rsidR="00F46191">
        <w:rPr>
          <w:color w:val="000000" w:themeColor="text1"/>
        </w:rPr>
        <w:t xml:space="preserve">  “I fractured my right femur in August 2006.  I have permanent (sic) damage to my right leg. </w:t>
      </w:r>
      <w:r w:rsidR="00F1627D">
        <w:rPr>
          <w:color w:val="000000" w:themeColor="text1"/>
        </w:rPr>
        <w:t xml:space="preserve"> </w:t>
      </w:r>
      <w:r w:rsidR="00F46191">
        <w:rPr>
          <w:color w:val="000000" w:themeColor="text1"/>
        </w:rPr>
        <w:t>I sometimes use a cane to walk.”</w:t>
      </w:r>
      <w:r w:rsidR="00F1627D">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504082" w:rsidRDefault="00504082" w:rsidP="00504082">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w:t>
      </w:r>
      <w:r w:rsidR="00292657">
        <w:rPr>
          <w:color w:val="auto"/>
        </w:rPr>
        <w:t>the Department of Defense Instruction (</w:t>
      </w:r>
      <w:r>
        <w:rPr>
          <w:color w:val="auto"/>
        </w:rPr>
        <w:t>DoDI</w:t>
      </w:r>
      <w:r w:rsidR="00292657">
        <w:rPr>
          <w:color w:val="auto"/>
        </w:rPr>
        <w:t>)</w:t>
      </w:r>
      <w:r>
        <w:rPr>
          <w:color w:val="auto"/>
        </w:rPr>
        <w:t xml:space="preserve">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Pr>
          <w:color w:val="auto"/>
        </w:rPr>
        <w:t xml:space="preserve">”  </w:t>
      </w:r>
      <w:r w:rsidRPr="009239C0">
        <w:rPr>
          <w:color w:val="auto"/>
        </w:rPr>
        <w:t xml:space="preserve">The ratings for unfitting conditions will be reviewed in all cases.  </w:t>
      </w:r>
      <w:r w:rsidRPr="00504082">
        <w:rPr>
          <w:color w:val="auto"/>
        </w:rPr>
        <w:t>All of the conditions requested for consideration meet the criteria prescribed in DoDI 6040.44 for Board purview and are addressed below.  Any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504082" w:rsidRPr="00F64312" w:rsidRDefault="00504082" w:rsidP="00504082">
      <w:pPr>
        <w:pBdr>
          <w:bottom w:val="single" w:sz="12" w:space="1" w:color="auto"/>
        </w:pBdr>
        <w:tabs>
          <w:tab w:val="left" w:pos="288"/>
          <w:tab w:val="left" w:pos="4752"/>
        </w:tabs>
        <w:jc w:val="both"/>
        <w:rPr>
          <w:color w:val="auto"/>
        </w:rPr>
      </w:pPr>
    </w:p>
    <w:p w:rsidR="00504082" w:rsidRPr="00F64312" w:rsidRDefault="00504082" w:rsidP="00504082">
      <w:pPr>
        <w:jc w:val="both"/>
        <w:rPr>
          <w:color w:val="auto"/>
          <w:u w:val="single"/>
        </w:rPr>
      </w:pPr>
    </w:p>
    <w:p w:rsidR="00F1627D" w:rsidRDefault="00F1627D">
      <w:pPr>
        <w:rPr>
          <w:color w:val="000000" w:themeColor="text1"/>
          <w:u w:val="single"/>
        </w:rPr>
      </w:pPr>
      <w:r>
        <w:rPr>
          <w:color w:val="000000" w:themeColor="text1"/>
          <w:u w:val="single"/>
        </w:rPr>
        <w:br w:type="page"/>
      </w:r>
    </w:p>
    <w:p w:rsidR="00C8590C" w:rsidRPr="001F29F9" w:rsidRDefault="007F0AB7" w:rsidP="00BF0E94">
      <w:pPr>
        <w:jc w:val="left"/>
        <w:rPr>
          <w:color w:val="000000" w:themeColor="text1"/>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1627D">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1F29F9"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F29F9" w:rsidRDefault="00B731E4" w:rsidP="00F461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F46191">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F46191">
              <w:rPr>
                <w:rFonts w:ascii="Calibri" w:hAnsi="Calibri" w:cs="Calibri"/>
                <w:b/>
                <w:color w:val="000000" w:themeColor="text1"/>
                <w:sz w:val="18"/>
                <w:szCs w:val="18"/>
              </w:rPr>
              <w:t>71025</w:t>
            </w:r>
          </w:p>
        </w:tc>
        <w:tc>
          <w:tcPr>
            <w:tcW w:w="5220" w:type="dxa"/>
            <w:gridSpan w:val="4"/>
            <w:tcBorders>
              <w:left w:val="thinThickThinSmallGap" w:sz="24" w:space="0" w:color="auto"/>
            </w:tcBorders>
            <w:shd w:val="clear" w:color="auto" w:fill="D9D9D9" w:themeFill="background1" w:themeFillShade="D9"/>
            <w:vAlign w:val="center"/>
          </w:tcPr>
          <w:p w:rsidR="002B4E22" w:rsidRPr="001F29F9" w:rsidRDefault="002B4E22" w:rsidP="00F461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46191">
              <w:rPr>
                <w:rFonts w:ascii="Calibri" w:hAnsi="Calibri" w:cs="Calibri"/>
                <w:b/>
                <w:color w:val="000000" w:themeColor="text1"/>
                <w:sz w:val="18"/>
                <w:szCs w:val="18"/>
              </w:rPr>
              <w:t>1</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B41356">
              <w:rPr>
                <w:rFonts w:ascii="Calibri" w:hAnsi="Calibri" w:cs="Calibri"/>
                <w:b/>
                <w:color w:val="000000" w:themeColor="text1"/>
                <w:sz w:val="18"/>
                <w:szCs w:val="18"/>
              </w:rPr>
              <w:t>After Separation</w:t>
            </w:r>
            <w:r w:rsidRPr="001F29F9">
              <w:rPr>
                <w:rFonts w:ascii="Calibri" w:hAnsi="Calibri" w:cs="Calibri"/>
                <w:b/>
                <w:color w:val="000000" w:themeColor="text1"/>
                <w:sz w:val="18"/>
                <w:szCs w:val="18"/>
              </w:rPr>
              <w:t xml:space="preserve">) – All Effective Date </w:t>
            </w:r>
            <w:r w:rsidR="002D08F3" w:rsidRPr="001F29F9">
              <w:rPr>
                <w:rFonts w:ascii="Calibri" w:hAnsi="Calibri" w:cs="Calibri"/>
                <w:b/>
                <w:color w:val="000000" w:themeColor="text1"/>
                <w:sz w:val="18"/>
                <w:szCs w:val="18"/>
              </w:rPr>
              <w:t>200</w:t>
            </w:r>
            <w:r w:rsidR="00F46191">
              <w:rPr>
                <w:rFonts w:ascii="Calibri" w:hAnsi="Calibri" w:cs="Calibri"/>
                <w:b/>
                <w:color w:val="000000" w:themeColor="text1"/>
                <w:sz w:val="18"/>
                <w:szCs w:val="18"/>
              </w:rPr>
              <w:t>80118</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F46191" w:rsidRPr="001F29F9" w:rsidTr="00F46191">
        <w:trPr>
          <w:trHeight w:val="287"/>
          <w:jc w:val="center"/>
        </w:trPr>
        <w:tc>
          <w:tcPr>
            <w:tcW w:w="2178" w:type="dxa"/>
            <w:vMerge w:val="restart"/>
            <w:tcBorders>
              <w:right w:val="single" w:sz="4" w:space="0" w:color="auto"/>
            </w:tcBorders>
            <w:shd w:val="clear" w:color="auto" w:fill="FFFFFF" w:themeFill="background1"/>
            <w:vAlign w:val="center"/>
          </w:tcPr>
          <w:p w:rsidR="00F46191" w:rsidRPr="007A003A" w:rsidRDefault="001565D3" w:rsidP="00F46191">
            <w:pPr>
              <w:spacing w:line="180" w:lineRule="exact"/>
              <w:contextualSpacing/>
              <w:jc w:val="left"/>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Chronic Rt Hip &amp; Rt Knee Pain S/P Femoral . . . . . .</w:t>
            </w:r>
          </w:p>
        </w:tc>
        <w:tc>
          <w:tcPr>
            <w:tcW w:w="1080" w:type="dxa"/>
            <w:vMerge w:val="restart"/>
            <w:tcBorders>
              <w:left w:val="single" w:sz="4" w:space="0" w:color="auto"/>
            </w:tcBorders>
            <w:shd w:val="clear" w:color="auto" w:fill="FFFFFF" w:themeFill="background1"/>
            <w:vAlign w:val="center"/>
          </w:tcPr>
          <w:p w:rsidR="00F46191"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F46191" w:rsidRPr="007A003A" w:rsidRDefault="00F46191">
            <w:pPr>
              <w:spacing w:line="180" w:lineRule="exact"/>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F46191" w:rsidRPr="007A003A" w:rsidRDefault="001565D3">
            <w:pPr>
              <w:spacing w:line="180" w:lineRule="exact"/>
              <w:contextualSpacing/>
              <w:jc w:val="left"/>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 xml:space="preserve">S/P Repaired FX’d Rt Femur </w:t>
            </w:r>
          </w:p>
        </w:tc>
        <w:tc>
          <w:tcPr>
            <w:tcW w:w="1080" w:type="dxa"/>
            <w:shd w:val="clear" w:color="auto" w:fill="FFFFFF" w:themeFill="background1"/>
            <w:vAlign w:val="center"/>
          </w:tcPr>
          <w:p w:rsidR="00F46191"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5252-5255</w:t>
            </w:r>
          </w:p>
        </w:tc>
        <w:tc>
          <w:tcPr>
            <w:tcW w:w="828" w:type="dxa"/>
            <w:shd w:val="clear" w:color="auto" w:fill="FFFFFF" w:themeFill="background1"/>
            <w:vAlign w:val="center"/>
          </w:tcPr>
          <w:p w:rsidR="00F46191" w:rsidRPr="007A003A" w:rsidRDefault="001565D3" w:rsidP="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10</w:t>
            </w:r>
            <w:r w:rsidR="00F46191" w:rsidRPr="007A003A">
              <w:rPr>
                <w:rFonts w:ascii="Calibri" w:hAnsi="Calibri" w:cs="Calibri"/>
                <w:color w:val="000000" w:themeColor="text1"/>
                <w:sz w:val="18"/>
                <w:szCs w:val="18"/>
              </w:rPr>
              <w:t>%</w:t>
            </w:r>
          </w:p>
        </w:tc>
        <w:tc>
          <w:tcPr>
            <w:tcW w:w="990" w:type="dxa"/>
            <w:shd w:val="clear" w:color="auto" w:fill="FFFFFF" w:themeFill="background1"/>
            <w:vAlign w:val="center"/>
          </w:tcPr>
          <w:p w:rsidR="00F46191" w:rsidRPr="007A003A" w:rsidRDefault="00F46191" w:rsidP="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200</w:t>
            </w:r>
            <w:r w:rsidR="001565D3" w:rsidRPr="007A003A">
              <w:rPr>
                <w:rFonts w:ascii="Calibri" w:hAnsi="Calibri" w:cs="Calibri"/>
                <w:color w:val="000000" w:themeColor="text1"/>
                <w:sz w:val="18"/>
                <w:szCs w:val="18"/>
              </w:rPr>
              <w:t>80213</w:t>
            </w:r>
          </w:p>
        </w:tc>
      </w:tr>
      <w:tr w:rsidR="00F46191" w:rsidRPr="001F29F9" w:rsidTr="008051EB">
        <w:trPr>
          <w:trHeight w:val="287"/>
          <w:jc w:val="center"/>
        </w:trPr>
        <w:tc>
          <w:tcPr>
            <w:tcW w:w="2178" w:type="dxa"/>
            <w:vMerge/>
            <w:tcBorders>
              <w:right w:val="single" w:sz="4" w:space="0" w:color="auto"/>
            </w:tcBorders>
            <w:shd w:val="clear" w:color="auto" w:fill="FFFFFF" w:themeFill="background1"/>
            <w:vAlign w:val="center"/>
          </w:tcPr>
          <w:p w:rsidR="00F46191" w:rsidRPr="007A003A" w:rsidRDefault="00F46191">
            <w:pPr>
              <w:spacing w:line="180" w:lineRule="exact"/>
              <w:contextualSpacing/>
              <w:jc w:val="left"/>
              <w:rPr>
                <w:rFonts w:ascii="Calibri" w:eastAsia="Times New Roman" w:hAnsi="Calibri"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F46191" w:rsidRPr="007A003A" w:rsidRDefault="00F46191">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F46191" w:rsidRPr="007A003A" w:rsidRDefault="00F46191">
            <w:pPr>
              <w:spacing w:line="180" w:lineRule="exact"/>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46191" w:rsidRPr="007A003A" w:rsidRDefault="001565D3">
            <w:pPr>
              <w:spacing w:line="180" w:lineRule="exact"/>
              <w:contextualSpacing/>
              <w:jc w:val="left"/>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Rt Knee Pain</w:t>
            </w:r>
          </w:p>
        </w:tc>
        <w:tc>
          <w:tcPr>
            <w:tcW w:w="1080" w:type="dxa"/>
            <w:tcBorders>
              <w:left w:val="single" w:sz="4" w:space="0" w:color="auto"/>
            </w:tcBorders>
            <w:shd w:val="clear" w:color="auto" w:fill="FFFFFF" w:themeFill="background1"/>
            <w:vAlign w:val="center"/>
          </w:tcPr>
          <w:p w:rsidR="00F46191"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5257-5260</w:t>
            </w:r>
          </w:p>
        </w:tc>
        <w:tc>
          <w:tcPr>
            <w:tcW w:w="828" w:type="dxa"/>
            <w:shd w:val="clear" w:color="auto" w:fill="FFFFFF" w:themeFill="background1"/>
            <w:vAlign w:val="center"/>
          </w:tcPr>
          <w:p w:rsidR="00F46191"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NSC</w:t>
            </w:r>
          </w:p>
        </w:tc>
        <w:tc>
          <w:tcPr>
            <w:tcW w:w="990" w:type="dxa"/>
            <w:shd w:val="clear" w:color="auto" w:fill="FFFFFF" w:themeFill="background1"/>
            <w:vAlign w:val="center"/>
          </w:tcPr>
          <w:p w:rsidR="00F46191"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20080213</w:t>
            </w:r>
          </w:p>
        </w:tc>
      </w:tr>
      <w:tr w:rsidR="001565D3" w:rsidRPr="001F29F9" w:rsidTr="00B915CC">
        <w:trPr>
          <w:trHeight w:val="287"/>
          <w:jc w:val="center"/>
        </w:trPr>
        <w:tc>
          <w:tcPr>
            <w:tcW w:w="2178" w:type="dxa"/>
            <w:vMerge w:val="restart"/>
            <w:tcBorders>
              <w:right w:val="single" w:sz="4" w:space="0" w:color="auto"/>
            </w:tcBorders>
            <w:shd w:val="clear" w:color="auto" w:fill="FFFFFF" w:themeFill="background1"/>
            <w:vAlign w:val="center"/>
          </w:tcPr>
          <w:p w:rsidR="001565D3" w:rsidRPr="007A003A" w:rsidRDefault="001565D3" w:rsidP="00B915CC">
            <w:pPr>
              <w:spacing w:line="180" w:lineRule="exact"/>
              <w:contextualSpacing/>
              <w:jc w:val="left"/>
              <w:rPr>
                <w:rFonts w:cs="Calibri"/>
                <w:color w:val="000000" w:themeColor="text1"/>
                <w:sz w:val="18"/>
                <w:szCs w:val="18"/>
              </w:rPr>
            </w:pPr>
            <w:r w:rsidRPr="007A003A">
              <w:rPr>
                <w:rFonts w:ascii="Calibri" w:eastAsia="Times New Roman" w:hAnsi="Calibri" w:cs="Calibri"/>
                <w:color w:val="000000" w:themeColor="text1"/>
                <w:sz w:val="18"/>
                <w:szCs w:val="18"/>
              </w:rPr>
              <w:t>Nerve Palsy Median</w:t>
            </w:r>
          </w:p>
        </w:tc>
        <w:tc>
          <w:tcPr>
            <w:tcW w:w="1980" w:type="dxa"/>
            <w:gridSpan w:val="2"/>
            <w:vMerge w:val="restart"/>
            <w:tcBorders>
              <w:left w:val="single" w:sz="4" w:space="0" w:color="auto"/>
              <w:right w:val="thinThickThinSmallGap" w:sz="24" w:space="0" w:color="auto"/>
            </w:tcBorders>
            <w:shd w:val="clear" w:color="auto" w:fill="FFFFFF" w:themeFill="background1"/>
            <w:vAlign w:val="center"/>
          </w:tcPr>
          <w:p w:rsidR="001565D3" w:rsidRPr="007A003A" w:rsidRDefault="001565D3" w:rsidP="00B915CC">
            <w:pPr>
              <w:spacing w:line="180" w:lineRule="exact"/>
              <w:contextualSpacing/>
              <w:rPr>
                <w:rFonts w:cs="Calibri"/>
                <w:color w:val="000000" w:themeColor="text1"/>
                <w:sz w:val="18"/>
                <w:szCs w:val="18"/>
              </w:rPr>
            </w:pPr>
            <w:r w:rsidRPr="007A003A">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1565D3" w:rsidRPr="007A003A" w:rsidRDefault="001565D3">
            <w:pPr>
              <w:spacing w:line="180" w:lineRule="exact"/>
              <w:contextualSpacing/>
              <w:jc w:val="left"/>
              <w:rPr>
                <w:rFonts w:cs="Calibri"/>
                <w:color w:val="000000" w:themeColor="text1"/>
                <w:sz w:val="18"/>
                <w:szCs w:val="18"/>
              </w:rPr>
            </w:pPr>
            <w:r w:rsidRPr="007A003A">
              <w:rPr>
                <w:rFonts w:cs="Calibri"/>
                <w:color w:val="000000" w:themeColor="text1"/>
                <w:sz w:val="18"/>
                <w:szCs w:val="18"/>
              </w:rPr>
              <w:t>RUE Nerve Palsy Median CTS</w:t>
            </w:r>
          </w:p>
        </w:tc>
        <w:tc>
          <w:tcPr>
            <w:tcW w:w="1080" w:type="dxa"/>
            <w:tcBorders>
              <w:left w:val="single" w:sz="4" w:space="0" w:color="auto"/>
            </w:tcBorders>
            <w:shd w:val="clear" w:color="auto" w:fill="FFFFFF" w:themeFill="background1"/>
            <w:vAlign w:val="center"/>
          </w:tcPr>
          <w:p w:rsidR="001565D3" w:rsidRPr="007A003A" w:rsidRDefault="001565D3">
            <w:pPr>
              <w:spacing w:line="180" w:lineRule="exact"/>
              <w:contextualSpacing/>
              <w:rPr>
                <w:rFonts w:cs="Calibri"/>
                <w:color w:val="000000" w:themeColor="text1"/>
                <w:sz w:val="18"/>
                <w:szCs w:val="18"/>
              </w:rPr>
            </w:pPr>
            <w:r w:rsidRPr="007A003A">
              <w:rPr>
                <w:rFonts w:cs="Calibri"/>
                <w:color w:val="000000" w:themeColor="text1"/>
                <w:sz w:val="18"/>
                <w:szCs w:val="18"/>
              </w:rPr>
              <w:t>8599-8515</w:t>
            </w:r>
          </w:p>
        </w:tc>
        <w:tc>
          <w:tcPr>
            <w:tcW w:w="828" w:type="dxa"/>
            <w:shd w:val="clear" w:color="auto" w:fill="FFFFFF" w:themeFill="background1"/>
            <w:vAlign w:val="center"/>
          </w:tcPr>
          <w:p w:rsidR="001565D3" w:rsidRPr="007A003A" w:rsidRDefault="001565D3">
            <w:pPr>
              <w:spacing w:line="180" w:lineRule="exact"/>
              <w:contextualSpacing/>
              <w:rPr>
                <w:rFonts w:cs="Calibri"/>
                <w:color w:val="000000" w:themeColor="text1"/>
                <w:sz w:val="18"/>
                <w:szCs w:val="18"/>
              </w:rPr>
            </w:pPr>
            <w:r w:rsidRPr="007A003A">
              <w:rPr>
                <w:rFonts w:cs="Calibri"/>
                <w:color w:val="000000" w:themeColor="text1"/>
                <w:sz w:val="18"/>
                <w:szCs w:val="18"/>
              </w:rPr>
              <w:t>NSC</w:t>
            </w:r>
          </w:p>
        </w:tc>
        <w:tc>
          <w:tcPr>
            <w:tcW w:w="990" w:type="dxa"/>
            <w:shd w:val="clear" w:color="auto" w:fill="FFFFFF" w:themeFill="background1"/>
            <w:vAlign w:val="center"/>
          </w:tcPr>
          <w:p w:rsidR="001565D3" w:rsidRPr="007A003A" w:rsidRDefault="001565D3">
            <w:pPr>
              <w:spacing w:line="180" w:lineRule="exact"/>
              <w:contextualSpacing/>
              <w:rPr>
                <w:rFonts w:cs="Calibri"/>
                <w:color w:val="000000" w:themeColor="text1"/>
                <w:sz w:val="18"/>
                <w:szCs w:val="18"/>
              </w:rPr>
            </w:pPr>
            <w:r w:rsidRPr="007A003A">
              <w:rPr>
                <w:rFonts w:ascii="Calibri" w:hAnsi="Calibri" w:cs="Calibri"/>
                <w:color w:val="000000" w:themeColor="text1"/>
                <w:sz w:val="18"/>
                <w:szCs w:val="18"/>
              </w:rPr>
              <w:t>20080213</w:t>
            </w:r>
          </w:p>
        </w:tc>
      </w:tr>
      <w:tr w:rsidR="001565D3" w:rsidRPr="001F29F9" w:rsidTr="00B915CC">
        <w:trPr>
          <w:trHeight w:val="287"/>
          <w:jc w:val="center"/>
        </w:trPr>
        <w:tc>
          <w:tcPr>
            <w:tcW w:w="2178" w:type="dxa"/>
            <w:vMerge/>
            <w:tcBorders>
              <w:right w:val="single" w:sz="4" w:space="0" w:color="auto"/>
            </w:tcBorders>
            <w:shd w:val="clear" w:color="auto" w:fill="FFFFFF" w:themeFill="background1"/>
            <w:vAlign w:val="center"/>
          </w:tcPr>
          <w:p w:rsidR="001565D3" w:rsidRPr="007A003A" w:rsidRDefault="001565D3" w:rsidP="001565D3">
            <w:pPr>
              <w:spacing w:line="180" w:lineRule="exact"/>
              <w:contextualSpacing/>
              <w:jc w:val="left"/>
              <w:rPr>
                <w:rFonts w:ascii="Calibri" w:eastAsia="Times New Roman" w:hAnsi="Calibri" w:cs="Calibri"/>
                <w:color w:val="000000" w:themeColor="text1"/>
                <w:sz w:val="18"/>
                <w:szCs w:val="18"/>
              </w:rPr>
            </w:pPr>
          </w:p>
        </w:tc>
        <w:tc>
          <w:tcPr>
            <w:tcW w:w="1980" w:type="dxa"/>
            <w:gridSpan w:val="2"/>
            <w:vMerge/>
            <w:tcBorders>
              <w:left w:val="single" w:sz="4" w:space="0" w:color="auto"/>
              <w:right w:val="thinThickThinSmallGap" w:sz="24" w:space="0" w:color="auto"/>
            </w:tcBorders>
            <w:shd w:val="clear" w:color="auto" w:fill="FFFFFF" w:themeFill="background1"/>
            <w:vAlign w:val="center"/>
          </w:tcPr>
          <w:p w:rsidR="001565D3" w:rsidRPr="007A003A" w:rsidRDefault="001565D3" w:rsidP="001565D3">
            <w:pPr>
              <w:spacing w:line="180" w:lineRule="exact"/>
              <w:contextualSpacing/>
              <w:rPr>
                <w:rFonts w:ascii="Calibri" w:eastAsia="Times New Roman" w:hAnsi="Calibri"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1565D3" w:rsidRPr="007A003A" w:rsidRDefault="001565D3" w:rsidP="001565D3">
            <w:pPr>
              <w:spacing w:line="180" w:lineRule="exact"/>
              <w:contextualSpacing/>
              <w:jc w:val="left"/>
              <w:rPr>
                <w:rFonts w:cs="Calibri"/>
                <w:color w:val="000000" w:themeColor="text1"/>
                <w:sz w:val="18"/>
                <w:szCs w:val="18"/>
              </w:rPr>
            </w:pPr>
            <w:r w:rsidRPr="007A003A">
              <w:rPr>
                <w:rFonts w:cs="Calibri"/>
                <w:color w:val="000000" w:themeColor="text1"/>
                <w:sz w:val="18"/>
                <w:szCs w:val="18"/>
              </w:rPr>
              <w:t>LUE Nerve Palsy Median CTS</w:t>
            </w:r>
          </w:p>
        </w:tc>
        <w:tc>
          <w:tcPr>
            <w:tcW w:w="1080" w:type="dxa"/>
            <w:tcBorders>
              <w:left w:val="single" w:sz="4" w:space="0" w:color="auto"/>
            </w:tcBorders>
            <w:shd w:val="clear" w:color="auto" w:fill="FFFFFF" w:themeFill="background1"/>
            <w:vAlign w:val="center"/>
          </w:tcPr>
          <w:p w:rsidR="001565D3" w:rsidRPr="007A003A" w:rsidRDefault="001565D3" w:rsidP="001565D3">
            <w:pPr>
              <w:spacing w:line="180" w:lineRule="exact"/>
              <w:contextualSpacing/>
              <w:rPr>
                <w:rFonts w:cs="Calibri"/>
                <w:color w:val="000000" w:themeColor="text1"/>
                <w:sz w:val="18"/>
                <w:szCs w:val="18"/>
              </w:rPr>
            </w:pPr>
            <w:r w:rsidRPr="007A003A">
              <w:rPr>
                <w:rFonts w:cs="Calibri"/>
                <w:color w:val="000000" w:themeColor="text1"/>
                <w:sz w:val="18"/>
                <w:szCs w:val="18"/>
              </w:rPr>
              <w:t>8599-8515</w:t>
            </w:r>
          </w:p>
        </w:tc>
        <w:tc>
          <w:tcPr>
            <w:tcW w:w="828" w:type="dxa"/>
            <w:shd w:val="clear" w:color="auto" w:fill="FFFFFF" w:themeFill="background1"/>
            <w:vAlign w:val="center"/>
          </w:tcPr>
          <w:p w:rsidR="001565D3" w:rsidRPr="007A003A" w:rsidRDefault="001565D3" w:rsidP="001565D3">
            <w:pPr>
              <w:spacing w:line="180" w:lineRule="exact"/>
              <w:contextualSpacing/>
              <w:rPr>
                <w:rFonts w:cs="Calibri"/>
                <w:color w:val="000000" w:themeColor="text1"/>
                <w:sz w:val="18"/>
                <w:szCs w:val="18"/>
              </w:rPr>
            </w:pPr>
            <w:r w:rsidRPr="007A003A">
              <w:rPr>
                <w:rFonts w:cs="Calibri"/>
                <w:color w:val="000000" w:themeColor="text1"/>
                <w:sz w:val="18"/>
                <w:szCs w:val="18"/>
              </w:rPr>
              <w:t>NSC</w:t>
            </w:r>
          </w:p>
        </w:tc>
        <w:tc>
          <w:tcPr>
            <w:tcW w:w="990" w:type="dxa"/>
            <w:shd w:val="clear" w:color="auto" w:fill="FFFFFF" w:themeFill="background1"/>
            <w:vAlign w:val="center"/>
          </w:tcPr>
          <w:p w:rsidR="001565D3" w:rsidRPr="007A003A" w:rsidRDefault="001565D3" w:rsidP="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20080213</w:t>
            </w:r>
          </w:p>
        </w:tc>
      </w:tr>
      <w:tr w:rsidR="001565D3" w:rsidRPr="001F29F9" w:rsidTr="00B915CC">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1565D3" w:rsidRPr="007A003A" w:rsidRDefault="001565D3" w:rsidP="00B915CC">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1565D3" w:rsidRPr="007A003A" w:rsidRDefault="001565D3">
            <w:pPr>
              <w:spacing w:line="180" w:lineRule="exact"/>
              <w:contextualSpacing/>
              <w:jc w:val="left"/>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Lt Shoulder Rotator Cuff Sprain</w:t>
            </w:r>
          </w:p>
        </w:tc>
        <w:tc>
          <w:tcPr>
            <w:tcW w:w="1080" w:type="dxa"/>
            <w:tcBorders>
              <w:left w:val="single" w:sz="4" w:space="0" w:color="auto"/>
            </w:tcBorders>
            <w:shd w:val="clear" w:color="auto" w:fill="FFFFFF" w:themeFill="background1"/>
            <w:vAlign w:val="center"/>
          </w:tcPr>
          <w:p w:rsidR="001565D3"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5019-5201</w:t>
            </w:r>
          </w:p>
        </w:tc>
        <w:tc>
          <w:tcPr>
            <w:tcW w:w="828" w:type="dxa"/>
            <w:shd w:val="clear" w:color="auto" w:fill="FFFFFF" w:themeFill="background1"/>
            <w:vAlign w:val="center"/>
          </w:tcPr>
          <w:p w:rsidR="001565D3"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565D3" w:rsidRPr="007A003A" w:rsidRDefault="001565D3">
            <w:pPr>
              <w:spacing w:line="180" w:lineRule="exact"/>
              <w:contextualSpacing/>
              <w:rPr>
                <w:rFonts w:ascii="Calibri" w:eastAsia="Times New Roman" w:hAnsi="Calibri" w:cs="Calibri"/>
                <w:color w:val="000000" w:themeColor="text1"/>
                <w:sz w:val="18"/>
                <w:szCs w:val="18"/>
              </w:rPr>
            </w:pPr>
            <w:r w:rsidRPr="007A003A">
              <w:rPr>
                <w:rFonts w:ascii="Calibri" w:hAnsi="Calibri" w:cs="Calibri"/>
                <w:color w:val="000000" w:themeColor="text1"/>
                <w:sz w:val="18"/>
                <w:szCs w:val="18"/>
              </w:rPr>
              <w:t>20080213</w:t>
            </w:r>
          </w:p>
        </w:tc>
      </w:tr>
      <w:tr w:rsidR="001565D3" w:rsidRPr="001F29F9" w:rsidTr="001565D3">
        <w:trPr>
          <w:trHeight w:val="239"/>
          <w:jc w:val="center"/>
        </w:trPr>
        <w:tc>
          <w:tcPr>
            <w:tcW w:w="4158" w:type="dxa"/>
            <w:gridSpan w:val="3"/>
            <w:vMerge/>
            <w:tcBorders>
              <w:right w:val="thinThickThinSmallGap" w:sz="24" w:space="0" w:color="auto"/>
            </w:tcBorders>
            <w:shd w:val="clear" w:color="auto" w:fill="FFFFFF" w:themeFill="background1"/>
            <w:vAlign w:val="center"/>
          </w:tcPr>
          <w:p w:rsidR="001565D3" w:rsidRPr="001F29F9" w:rsidRDefault="001565D3">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1565D3" w:rsidRPr="001F29F9" w:rsidRDefault="001565D3" w:rsidP="00B915C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2</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 xml:space="preserve">3 </w:t>
            </w:r>
            <w:r w:rsidRPr="001565D3">
              <w:rPr>
                <w:rFonts w:ascii="Calibri" w:hAnsi="Calibri" w:cs="Calibri"/>
                <w:color w:val="000000" w:themeColor="text1"/>
                <w:sz w:val="16"/>
                <w:szCs w:val="16"/>
              </w:rPr>
              <w:t>(*includes above)</w:t>
            </w:r>
          </w:p>
        </w:tc>
        <w:tc>
          <w:tcPr>
            <w:tcW w:w="990" w:type="dxa"/>
            <w:shd w:val="clear" w:color="auto" w:fill="FFFFFF" w:themeFill="background1"/>
            <w:vAlign w:val="center"/>
          </w:tcPr>
          <w:p w:rsidR="001565D3" w:rsidRPr="001F29F9" w:rsidRDefault="001565D3" w:rsidP="00B915C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80213</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1565D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1565D3">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1565D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1565D3">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A558EF" w:rsidRDefault="00A558EF" w:rsidP="00F1627D">
      <w:pPr>
        <w:jc w:val="both"/>
        <w:rPr>
          <w:color w:val="000000" w:themeColor="text1"/>
          <w:szCs w:val="24"/>
          <w:u w:val="single"/>
        </w:rPr>
      </w:pPr>
    </w:p>
    <w:p w:rsidR="002C6E5B" w:rsidRPr="001F29F9" w:rsidRDefault="002C6E5B" w:rsidP="009369A6">
      <w:pPr>
        <w:jc w:val="left"/>
        <w:rPr>
          <w:color w:val="000000" w:themeColor="text1"/>
          <w:szCs w:val="24"/>
          <w:u w:val="single"/>
        </w:rPr>
      </w:pPr>
      <w:r w:rsidRPr="001F29F9">
        <w:rPr>
          <w:color w:val="000000" w:themeColor="text1"/>
          <w:szCs w:val="24"/>
          <w:u w:val="single"/>
        </w:rPr>
        <w:t>ANALYSIS SUMMARY</w:t>
      </w:r>
      <w:r w:rsidRPr="001F29F9">
        <w:rPr>
          <w:color w:val="000000" w:themeColor="text1"/>
          <w:szCs w:val="24"/>
        </w:rPr>
        <w:t>:</w:t>
      </w:r>
      <w:r w:rsidR="00F1627D">
        <w:rPr>
          <w:color w:val="000000" w:themeColor="text1"/>
          <w:szCs w:val="24"/>
        </w:rPr>
        <w:t xml:space="preserve">  </w:t>
      </w:r>
    </w:p>
    <w:p w:rsidR="004C60A3" w:rsidRPr="001F29F9" w:rsidRDefault="004C60A3" w:rsidP="00BF0E94">
      <w:pPr>
        <w:jc w:val="left"/>
        <w:rPr>
          <w:color w:val="000000" w:themeColor="text1"/>
          <w:szCs w:val="24"/>
        </w:rPr>
      </w:pPr>
    </w:p>
    <w:p w:rsidR="008D493C" w:rsidRDefault="00B41356" w:rsidP="008D493C">
      <w:pPr>
        <w:jc w:val="both"/>
        <w:rPr>
          <w:color w:val="000000"/>
          <w:szCs w:val="24"/>
        </w:rPr>
      </w:pPr>
      <w:r w:rsidRPr="00B41356">
        <w:rPr>
          <w:color w:val="000000" w:themeColor="text1"/>
          <w:szCs w:val="24"/>
          <w:u w:val="single"/>
        </w:rPr>
        <w:t xml:space="preserve">Right Hip </w:t>
      </w:r>
      <w:r w:rsidR="00044411">
        <w:rPr>
          <w:color w:val="000000" w:themeColor="text1"/>
          <w:szCs w:val="24"/>
          <w:u w:val="single"/>
        </w:rPr>
        <w:t xml:space="preserve">and Knee </w:t>
      </w:r>
      <w:r w:rsidRPr="00B41356">
        <w:rPr>
          <w:color w:val="000000" w:themeColor="text1"/>
          <w:szCs w:val="24"/>
          <w:u w:val="single"/>
        </w:rPr>
        <w:t>Pain Condition</w:t>
      </w:r>
      <w:r w:rsidR="00044411">
        <w:rPr>
          <w:color w:val="000000" w:themeColor="text1"/>
          <w:szCs w:val="24"/>
          <w:u w:val="single"/>
        </w:rPr>
        <w:t xml:space="preserve"> S</w:t>
      </w:r>
      <w:r w:rsidR="00044411" w:rsidRPr="00044411">
        <w:rPr>
          <w:color w:val="000000" w:themeColor="text1"/>
          <w:szCs w:val="24"/>
          <w:u w:val="single"/>
        </w:rPr>
        <w:t xml:space="preserve">tatus </w:t>
      </w:r>
      <w:r w:rsidR="00044411">
        <w:rPr>
          <w:color w:val="000000" w:themeColor="text1"/>
          <w:szCs w:val="24"/>
          <w:u w:val="single"/>
        </w:rPr>
        <w:t>P</w:t>
      </w:r>
      <w:r w:rsidR="00044411" w:rsidRPr="00044411">
        <w:rPr>
          <w:color w:val="000000" w:themeColor="text1"/>
          <w:szCs w:val="24"/>
          <w:u w:val="single"/>
        </w:rPr>
        <w:t xml:space="preserve">ost </w:t>
      </w:r>
      <w:r w:rsidR="0025453F">
        <w:rPr>
          <w:color w:val="000000" w:themeColor="text1"/>
          <w:szCs w:val="24"/>
          <w:u w:val="single"/>
        </w:rPr>
        <w:t xml:space="preserve">(s/p) </w:t>
      </w:r>
      <w:r w:rsidR="00044411">
        <w:rPr>
          <w:color w:val="000000" w:themeColor="text1"/>
          <w:szCs w:val="24"/>
          <w:u w:val="single"/>
        </w:rPr>
        <w:t>Closed F</w:t>
      </w:r>
      <w:r w:rsidR="00044411" w:rsidRPr="00044411">
        <w:rPr>
          <w:color w:val="000000" w:themeColor="text1"/>
          <w:szCs w:val="24"/>
          <w:u w:val="single"/>
        </w:rPr>
        <w:t xml:space="preserve">emoral </w:t>
      </w:r>
      <w:r w:rsidR="00044411">
        <w:rPr>
          <w:color w:val="000000" w:themeColor="text1"/>
          <w:szCs w:val="24"/>
          <w:u w:val="single"/>
        </w:rPr>
        <w:t xml:space="preserve">Fracture and </w:t>
      </w:r>
      <w:r w:rsidR="008B4668">
        <w:rPr>
          <w:color w:val="000000" w:themeColor="text1"/>
          <w:szCs w:val="24"/>
          <w:u w:val="single"/>
        </w:rPr>
        <w:t>Intramedullary</w:t>
      </w:r>
      <w:r w:rsidR="00044411">
        <w:rPr>
          <w:color w:val="000000" w:themeColor="text1"/>
          <w:szCs w:val="24"/>
          <w:u w:val="single"/>
        </w:rPr>
        <w:t xml:space="preserve"> Fixation</w:t>
      </w:r>
      <w:r w:rsidR="009B3E39">
        <w:rPr>
          <w:color w:val="000000" w:themeColor="text1"/>
          <w:szCs w:val="24"/>
          <w:u w:val="single"/>
        </w:rPr>
        <w:t xml:space="preserve"> (ORIF)</w:t>
      </w:r>
      <w:r w:rsidRPr="00B41356">
        <w:rPr>
          <w:color w:val="000000" w:themeColor="text1"/>
          <w:szCs w:val="24"/>
        </w:rPr>
        <w:t xml:space="preserve">.  </w:t>
      </w:r>
      <w:r w:rsidR="00B915CC">
        <w:rPr>
          <w:color w:val="000000" w:themeColor="text1"/>
          <w:szCs w:val="24"/>
        </w:rPr>
        <w:t xml:space="preserve">As the CI’s injury was to his right femur, both the hip and ankle are considered </w:t>
      </w:r>
      <w:r w:rsidR="006F69CD">
        <w:rPr>
          <w:color w:val="000000" w:themeColor="text1"/>
          <w:szCs w:val="24"/>
        </w:rPr>
        <w:t xml:space="preserve">together.  </w:t>
      </w:r>
      <w:r w:rsidR="009B3E39">
        <w:rPr>
          <w:color w:val="000000" w:themeColor="text1"/>
          <w:szCs w:val="24"/>
        </w:rPr>
        <w:t xml:space="preserve">The CI underwent </w:t>
      </w:r>
      <w:r w:rsidR="00292657">
        <w:rPr>
          <w:color w:val="000000" w:themeColor="text1"/>
          <w:szCs w:val="24"/>
        </w:rPr>
        <w:t xml:space="preserve">an </w:t>
      </w:r>
      <w:r w:rsidR="00292657" w:rsidRPr="00292657">
        <w:rPr>
          <w:color w:val="000000" w:themeColor="text1"/>
          <w:szCs w:val="24"/>
        </w:rPr>
        <w:t xml:space="preserve">open reduction internal fixation </w:t>
      </w:r>
      <w:r w:rsidR="00292657">
        <w:rPr>
          <w:color w:val="000000" w:themeColor="text1"/>
          <w:szCs w:val="24"/>
        </w:rPr>
        <w:t>(</w:t>
      </w:r>
      <w:r w:rsidR="009B3E39">
        <w:rPr>
          <w:color w:val="000000" w:themeColor="text1"/>
          <w:szCs w:val="24"/>
        </w:rPr>
        <w:t>ORIF</w:t>
      </w:r>
      <w:r w:rsidR="00292657">
        <w:rPr>
          <w:color w:val="000000" w:themeColor="text1"/>
          <w:szCs w:val="24"/>
        </w:rPr>
        <w:t>) performed</w:t>
      </w:r>
      <w:r w:rsidR="009B3E39">
        <w:rPr>
          <w:color w:val="000000" w:themeColor="text1"/>
          <w:szCs w:val="24"/>
        </w:rPr>
        <w:t xml:space="preserve"> in August 2006, 17 months prior to separation.  </w:t>
      </w:r>
      <w:r w:rsidR="006F69CD">
        <w:rPr>
          <w:color w:val="000000" w:themeColor="text1"/>
          <w:szCs w:val="24"/>
        </w:rPr>
        <w:t xml:space="preserve">The left hip/knee were not impacted and exams for the </w:t>
      </w:r>
      <w:r w:rsidR="0085065C">
        <w:rPr>
          <w:color w:val="000000" w:themeColor="text1"/>
          <w:szCs w:val="24"/>
        </w:rPr>
        <w:t xml:space="preserve">uninjured </w:t>
      </w:r>
      <w:r w:rsidR="006F69CD">
        <w:rPr>
          <w:color w:val="000000" w:themeColor="text1"/>
          <w:szCs w:val="24"/>
        </w:rPr>
        <w:t xml:space="preserve">left side are included for comparison only.  </w:t>
      </w:r>
      <w:r w:rsidR="008D493C">
        <w:rPr>
          <w:color w:val="000000"/>
          <w:szCs w:val="24"/>
        </w:rPr>
        <w:t>The</w:t>
      </w:r>
      <w:r w:rsidR="008D493C" w:rsidRPr="00B652C3">
        <w:rPr>
          <w:color w:val="000000"/>
          <w:szCs w:val="24"/>
        </w:rPr>
        <w:t xml:space="preserve"> goniometric range</w:t>
      </w:r>
      <w:r w:rsidR="00292657">
        <w:rPr>
          <w:color w:val="000000"/>
          <w:szCs w:val="24"/>
        </w:rPr>
        <w:t>-</w:t>
      </w:r>
      <w:r w:rsidR="008D493C" w:rsidRPr="00B652C3">
        <w:rPr>
          <w:color w:val="000000"/>
          <w:szCs w:val="24"/>
        </w:rPr>
        <w:t>of</w:t>
      </w:r>
      <w:r w:rsidR="00292657">
        <w:rPr>
          <w:color w:val="000000"/>
          <w:szCs w:val="24"/>
        </w:rPr>
        <w:t>-</w:t>
      </w:r>
      <w:r w:rsidR="008D493C" w:rsidRPr="00B652C3">
        <w:rPr>
          <w:color w:val="000000"/>
          <w:szCs w:val="24"/>
        </w:rPr>
        <w:t>motion (ROM) evaluations in evidence</w:t>
      </w:r>
      <w:r w:rsidR="008D493C" w:rsidRPr="00E8268E">
        <w:rPr>
          <w:color w:val="000000"/>
          <w:szCs w:val="24"/>
        </w:rPr>
        <w:t xml:space="preserve"> </w:t>
      </w:r>
      <w:r w:rsidR="008D493C" w:rsidRPr="00B652C3">
        <w:rPr>
          <w:color w:val="000000"/>
          <w:szCs w:val="24"/>
        </w:rPr>
        <w:t xml:space="preserve">which the Board weighed in arriving </w:t>
      </w:r>
      <w:r w:rsidR="008D493C">
        <w:rPr>
          <w:color w:val="000000"/>
          <w:szCs w:val="24"/>
        </w:rPr>
        <w:t>at its rating recommendation</w:t>
      </w:r>
      <w:r w:rsidR="008D493C" w:rsidRPr="00B652C3">
        <w:rPr>
          <w:color w:val="000000"/>
          <w:szCs w:val="24"/>
        </w:rPr>
        <w:t xml:space="preserve">, with documentation of additional ratable criteria, </w:t>
      </w:r>
      <w:r w:rsidR="008D493C">
        <w:rPr>
          <w:color w:val="000000"/>
          <w:szCs w:val="24"/>
        </w:rPr>
        <w:t>are</w:t>
      </w:r>
      <w:r w:rsidR="008D493C" w:rsidRPr="00B652C3">
        <w:rPr>
          <w:color w:val="000000"/>
          <w:szCs w:val="24"/>
        </w:rPr>
        <w:t xml:space="preserve"> summarized in the chart below.</w:t>
      </w:r>
      <w:r w:rsidR="0085065C">
        <w:rPr>
          <w:color w:val="000000"/>
          <w:szCs w:val="24"/>
        </w:rPr>
        <w:t xml:space="preserve">  </w:t>
      </w:r>
    </w:p>
    <w:p w:rsidR="007A003A" w:rsidRPr="00F64312" w:rsidRDefault="007A003A" w:rsidP="008D493C">
      <w:pPr>
        <w:jc w:val="both"/>
        <w:rPr>
          <w:color w:val="auto"/>
          <w:szCs w:val="24"/>
        </w:rPr>
      </w:pPr>
    </w:p>
    <w:tbl>
      <w:tblPr>
        <w:tblW w:w="11056" w:type="dxa"/>
        <w:jc w:val="center"/>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928"/>
        <w:gridCol w:w="2148"/>
        <w:gridCol w:w="1980"/>
        <w:gridCol w:w="990"/>
        <w:gridCol w:w="1260"/>
        <w:gridCol w:w="860"/>
      </w:tblGrid>
      <w:tr w:rsidR="00B21C18" w:rsidRPr="007A003A" w:rsidTr="0035792A">
        <w:trPr>
          <w:jc w:val="center"/>
        </w:trPr>
        <w:tc>
          <w:tcPr>
            <w:tcW w:w="1890" w:type="dxa"/>
            <w:vMerge w:val="restart"/>
            <w:shd w:val="clear" w:color="auto" w:fill="D9D9D9" w:themeFill="background1" w:themeFillShade="D9"/>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Goniometric ROM – Hips</w:t>
            </w:r>
          </w:p>
        </w:tc>
        <w:tc>
          <w:tcPr>
            <w:tcW w:w="1928" w:type="dxa"/>
            <w:shd w:val="clear" w:color="auto" w:fill="D9D9D9" w:themeFill="background1" w:themeFillShade="D9"/>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PT ~ 10 Mo. Pre-Sep</w:t>
            </w:r>
          </w:p>
        </w:tc>
        <w:tc>
          <w:tcPr>
            <w:tcW w:w="2148" w:type="dxa"/>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Ortho ~ 8 Mo. Pre-Sep</w:t>
            </w:r>
          </w:p>
        </w:tc>
        <w:tc>
          <w:tcPr>
            <w:tcW w:w="2970" w:type="dxa"/>
            <w:gridSpan w:val="2"/>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MEB ~ 3.5 Mo. Pre-Sep</w:t>
            </w:r>
          </w:p>
        </w:tc>
        <w:tc>
          <w:tcPr>
            <w:tcW w:w="2120" w:type="dxa"/>
            <w:gridSpan w:val="2"/>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VA</w:t>
            </w:r>
            <w:r w:rsidRPr="007A003A">
              <w:rPr>
                <w:rFonts w:asciiTheme="minorHAnsi" w:eastAsiaTheme="minorHAnsi" w:hAnsiTheme="minorHAnsi"/>
                <w:color w:val="000000" w:themeColor="text1"/>
                <w:sz w:val="18"/>
                <w:szCs w:val="18"/>
              </w:rPr>
              <w:t xml:space="preserve"> C&amp;P </w:t>
            </w:r>
            <w:r w:rsidRPr="007A003A">
              <w:rPr>
                <w:rFonts w:asciiTheme="minorHAnsi" w:eastAsia="Calibri" w:hAnsiTheme="minorHAnsi"/>
                <w:color w:val="000000" w:themeColor="text1"/>
                <w:sz w:val="18"/>
                <w:szCs w:val="18"/>
              </w:rPr>
              <w:t>~ 1 Mo. After-Sep</w:t>
            </w:r>
          </w:p>
        </w:tc>
      </w:tr>
      <w:tr w:rsidR="007B7168" w:rsidRPr="007A003A" w:rsidTr="0035792A">
        <w:trPr>
          <w:jc w:val="center"/>
        </w:trPr>
        <w:tc>
          <w:tcPr>
            <w:tcW w:w="1890" w:type="dxa"/>
            <w:vMerge/>
            <w:shd w:val="clear" w:color="auto" w:fill="D9D9D9" w:themeFill="background1" w:themeFillShade="D9"/>
            <w:vAlign w:val="center"/>
          </w:tcPr>
          <w:p w:rsidR="007B7168" w:rsidRPr="007A003A" w:rsidRDefault="007B7168" w:rsidP="00F467D4">
            <w:pPr>
              <w:spacing w:line="200" w:lineRule="exact"/>
              <w:contextualSpacing/>
              <w:rPr>
                <w:rFonts w:eastAsia="Calibri"/>
                <w:color w:val="000000" w:themeColor="text1"/>
                <w:sz w:val="18"/>
                <w:szCs w:val="18"/>
              </w:rPr>
            </w:pPr>
          </w:p>
        </w:tc>
        <w:tc>
          <w:tcPr>
            <w:tcW w:w="1928" w:type="dxa"/>
            <w:shd w:val="clear" w:color="auto" w:fill="D9D9D9" w:themeFill="background1" w:themeFillShade="D9"/>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p>
        </w:tc>
        <w:tc>
          <w:tcPr>
            <w:tcW w:w="2148" w:type="dxa"/>
            <w:shd w:val="clear" w:color="auto" w:fill="D9D9D9" w:themeFill="background1" w:themeFillShade="D9"/>
            <w:vAlign w:val="center"/>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1980" w:type="dxa"/>
            <w:shd w:val="clear" w:color="auto" w:fill="D9D9D9" w:themeFill="background1" w:themeFillShade="D9"/>
            <w:vAlign w:val="center"/>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990" w:type="dxa"/>
            <w:shd w:val="clear" w:color="auto" w:fill="D9D9D9" w:themeFill="background1" w:themeFillShade="D9"/>
            <w:vAlign w:val="center"/>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Left</w:t>
            </w:r>
          </w:p>
        </w:tc>
        <w:tc>
          <w:tcPr>
            <w:tcW w:w="1260" w:type="dxa"/>
            <w:shd w:val="clear" w:color="auto" w:fill="D9D9D9" w:themeFill="background1" w:themeFillShade="D9"/>
            <w:vAlign w:val="center"/>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860" w:type="dxa"/>
            <w:shd w:val="clear" w:color="auto" w:fill="D9D9D9" w:themeFill="background1" w:themeFillShade="D9"/>
            <w:vAlign w:val="center"/>
          </w:tcPr>
          <w:p w:rsidR="007B7168" w:rsidRPr="007A003A" w:rsidRDefault="007B716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Left</w:t>
            </w:r>
          </w:p>
        </w:tc>
      </w:tr>
      <w:tr w:rsidR="00B21C18" w:rsidRPr="007A003A" w:rsidTr="0035792A">
        <w:trPr>
          <w:jc w:val="center"/>
        </w:trPr>
        <w:tc>
          <w:tcPr>
            <w:tcW w:w="189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Flexion (0-125)</w:t>
            </w:r>
          </w:p>
        </w:tc>
        <w:tc>
          <w:tcPr>
            <w:tcW w:w="1928" w:type="dxa"/>
            <w:vMerge w:val="restart"/>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“FAROM bilat LE”</w:t>
            </w:r>
          </w:p>
        </w:tc>
        <w:tc>
          <w:tcPr>
            <w:tcW w:w="2148" w:type="dxa"/>
            <w:vMerge w:val="restart"/>
            <w:vAlign w:val="center"/>
          </w:tcPr>
          <w:p w:rsidR="00B21C18" w:rsidRPr="007A003A" w:rsidRDefault="007B7168" w:rsidP="007B7168">
            <w:pPr>
              <w:spacing w:line="200" w:lineRule="exact"/>
              <w:contextualSpacing/>
              <w:rPr>
                <w:rFonts w:eastAsia="Calibri"/>
                <w:color w:val="000000" w:themeColor="text1"/>
                <w:sz w:val="18"/>
                <w:szCs w:val="18"/>
              </w:rPr>
            </w:pPr>
            <w:r w:rsidRPr="007A003A">
              <w:rPr>
                <w:rFonts w:eastAsia="Calibri"/>
                <w:color w:val="000000" w:themeColor="text1"/>
                <w:sz w:val="18"/>
                <w:szCs w:val="18"/>
              </w:rPr>
              <w:t>Reduced adduction, external rotation, and internal rotation with the hip flexed</w:t>
            </w:r>
          </w:p>
        </w:tc>
        <w:tc>
          <w:tcPr>
            <w:tcW w:w="198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120⁰</w:t>
            </w:r>
          </w:p>
        </w:tc>
        <w:tc>
          <w:tcPr>
            <w:tcW w:w="99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125⁰</w:t>
            </w:r>
          </w:p>
        </w:tc>
        <w:tc>
          <w:tcPr>
            <w:tcW w:w="126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125⁰</w:t>
            </w:r>
          </w:p>
        </w:tc>
        <w:tc>
          <w:tcPr>
            <w:tcW w:w="86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125⁰</w:t>
            </w:r>
          </w:p>
        </w:tc>
      </w:tr>
      <w:tr w:rsidR="00B21C18" w:rsidRPr="007A003A" w:rsidTr="0035792A">
        <w:trPr>
          <w:jc w:val="center"/>
        </w:trPr>
        <w:tc>
          <w:tcPr>
            <w:tcW w:w="189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Extension (10-20)</w:t>
            </w:r>
          </w:p>
        </w:tc>
        <w:tc>
          <w:tcPr>
            <w:tcW w:w="1928" w:type="dxa"/>
            <w:vMerge/>
          </w:tcPr>
          <w:p w:rsidR="00B21C18" w:rsidRPr="007A003A" w:rsidRDefault="00B21C18" w:rsidP="00F467D4">
            <w:pPr>
              <w:spacing w:line="200" w:lineRule="exact"/>
              <w:contextualSpacing/>
              <w:rPr>
                <w:rFonts w:eastAsia="Calibri"/>
                <w:color w:val="000000" w:themeColor="text1"/>
                <w:sz w:val="18"/>
                <w:szCs w:val="18"/>
              </w:rPr>
            </w:pPr>
          </w:p>
        </w:tc>
        <w:tc>
          <w:tcPr>
            <w:tcW w:w="2148" w:type="dxa"/>
            <w:vMerge/>
          </w:tcPr>
          <w:p w:rsidR="00B21C18" w:rsidRPr="007A003A" w:rsidRDefault="00B21C18" w:rsidP="00F467D4">
            <w:pPr>
              <w:spacing w:line="200" w:lineRule="exact"/>
              <w:contextualSpacing/>
              <w:rPr>
                <w:rFonts w:eastAsia="Calibri"/>
                <w:color w:val="000000" w:themeColor="text1"/>
                <w:sz w:val="18"/>
                <w:szCs w:val="18"/>
              </w:rPr>
            </w:pPr>
          </w:p>
        </w:tc>
        <w:tc>
          <w:tcPr>
            <w:tcW w:w="198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0⁰</w:t>
            </w:r>
          </w:p>
        </w:tc>
        <w:tc>
          <w:tcPr>
            <w:tcW w:w="99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0⁰</w:t>
            </w:r>
          </w:p>
        </w:tc>
        <w:tc>
          <w:tcPr>
            <w:tcW w:w="126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20⁰</w:t>
            </w:r>
          </w:p>
        </w:tc>
        <w:tc>
          <w:tcPr>
            <w:tcW w:w="86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30⁰</w:t>
            </w:r>
          </w:p>
        </w:tc>
      </w:tr>
      <w:tr w:rsidR="00B21C18" w:rsidRPr="007A003A" w:rsidTr="0035792A">
        <w:trPr>
          <w:jc w:val="center"/>
        </w:trPr>
        <w:tc>
          <w:tcPr>
            <w:tcW w:w="189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Abduction (0-45)</w:t>
            </w:r>
          </w:p>
        </w:tc>
        <w:tc>
          <w:tcPr>
            <w:tcW w:w="1928" w:type="dxa"/>
            <w:vMerge/>
          </w:tcPr>
          <w:p w:rsidR="00B21C18" w:rsidRPr="007A003A" w:rsidRDefault="00B21C18" w:rsidP="00F467D4">
            <w:pPr>
              <w:spacing w:line="200" w:lineRule="exact"/>
              <w:contextualSpacing/>
              <w:rPr>
                <w:rFonts w:eastAsia="Calibri"/>
                <w:color w:val="000000" w:themeColor="text1"/>
                <w:sz w:val="18"/>
                <w:szCs w:val="18"/>
              </w:rPr>
            </w:pPr>
          </w:p>
        </w:tc>
        <w:tc>
          <w:tcPr>
            <w:tcW w:w="2148" w:type="dxa"/>
            <w:vMerge/>
          </w:tcPr>
          <w:p w:rsidR="00B21C18" w:rsidRPr="007A003A" w:rsidRDefault="00B21C18" w:rsidP="00F467D4">
            <w:pPr>
              <w:spacing w:line="200" w:lineRule="exact"/>
              <w:contextualSpacing/>
              <w:rPr>
                <w:rFonts w:eastAsia="Calibri"/>
                <w:color w:val="000000" w:themeColor="text1"/>
                <w:sz w:val="18"/>
                <w:szCs w:val="18"/>
              </w:rPr>
            </w:pPr>
          </w:p>
        </w:tc>
        <w:tc>
          <w:tcPr>
            <w:tcW w:w="198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45⁰</w:t>
            </w:r>
          </w:p>
        </w:tc>
        <w:tc>
          <w:tcPr>
            <w:tcW w:w="99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45</w:t>
            </w:r>
          </w:p>
        </w:tc>
        <w:tc>
          <w:tcPr>
            <w:tcW w:w="126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45⁰</w:t>
            </w:r>
          </w:p>
        </w:tc>
        <w:tc>
          <w:tcPr>
            <w:tcW w:w="86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45⁰</w:t>
            </w:r>
          </w:p>
        </w:tc>
      </w:tr>
      <w:tr w:rsidR="00B21C18" w:rsidRPr="007A003A" w:rsidTr="0035792A">
        <w:trPr>
          <w:jc w:val="center"/>
        </w:trPr>
        <w:tc>
          <w:tcPr>
            <w:tcW w:w="189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Adduction (0-45)</w:t>
            </w:r>
          </w:p>
        </w:tc>
        <w:tc>
          <w:tcPr>
            <w:tcW w:w="1928" w:type="dxa"/>
            <w:vMerge/>
          </w:tcPr>
          <w:p w:rsidR="00B21C18" w:rsidRPr="007A003A" w:rsidRDefault="00B21C18" w:rsidP="00F467D4">
            <w:pPr>
              <w:spacing w:line="200" w:lineRule="exact"/>
              <w:contextualSpacing/>
              <w:rPr>
                <w:rFonts w:eastAsia="Calibri"/>
                <w:color w:val="000000" w:themeColor="text1"/>
                <w:sz w:val="18"/>
                <w:szCs w:val="18"/>
              </w:rPr>
            </w:pPr>
          </w:p>
        </w:tc>
        <w:tc>
          <w:tcPr>
            <w:tcW w:w="2148" w:type="dxa"/>
            <w:vMerge/>
          </w:tcPr>
          <w:p w:rsidR="00B21C18" w:rsidRPr="007A003A" w:rsidRDefault="00B21C18" w:rsidP="00F467D4">
            <w:pPr>
              <w:spacing w:line="200" w:lineRule="exact"/>
              <w:contextualSpacing/>
              <w:rPr>
                <w:rFonts w:eastAsia="Calibri"/>
                <w:color w:val="000000" w:themeColor="text1"/>
                <w:sz w:val="18"/>
                <w:szCs w:val="18"/>
              </w:rPr>
            </w:pPr>
          </w:p>
        </w:tc>
        <w:tc>
          <w:tcPr>
            <w:tcW w:w="198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Not Measured</w:t>
            </w:r>
          </w:p>
        </w:tc>
        <w:tc>
          <w:tcPr>
            <w:tcW w:w="99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w:t>
            </w:r>
          </w:p>
        </w:tc>
        <w:tc>
          <w:tcPr>
            <w:tcW w:w="126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15⁰</w:t>
            </w:r>
          </w:p>
        </w:tc>
        <w:tc>
          <w:tcPr>
            <w:tcW w:w="860" w:type="dxa"/>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25⁰</w:t>
            </w:r>
          </w:p>
        </w:tc>
      </w:tr>
      <w:tr w:rsidR="00B21C18" w:rsidRPr="007A003A" w:rsidTr="0035792A">
        <w:trPr>
          <w:jc w:val="center"/>
        </w:trPr>
        <w:tc>
          <w:tcPr>
            <w:tcW w:w="1890" w:type="dxa"/>
            <w:vAlign w:val="center"/>
          </w:tcPr>
          <w:p w:rsidR="00B21C18" w:rsidRPr="007A003A" w:rsidRDefault="00B21C18" w:rsidP="00F467D4">
            <w:pPr>
              <w:tabs>
                <w:tab w:val="left" w:pos="288"/>
                <w:tab w:val="left" w:pos="4752"/>
              </w:tabs>
              <w:spacing w:line="200" w:lineRule="exact"/>
              <w:rPr>
                <w:rFonts w:eastAsiaTheme="minorHAnsi"/>
                <w:color w:val="000000" w:themeColor="text1"/>
                <w:sz w:val="18"/>
                <w:szCs w:val="18"/>
              </w:rPr>
            </w:pPr>
            <w:r w:rsidRPr="007A003A">
              <w:rPr>
                <w:rFonts w:eastAsiaTheme="minorHAnsi"/>
                <w:color w:val="000000" w:themeColor="text1"/>
                <w:sz w:val="18"/>
                <w:szCs w:val="18"/>
              </w:rPr>
              <w:t>Comment</w:t>
            </w:r>
          </w:p>
        </w:tc>
        <w:tc>
          <w:tcPr>
            <w:tcW w:w="1928" w:type="dxa"/>
          </w:tcPr>
          <w:p w:rsidR="00B21C18" w:rsidRPr="007A003A" w:rsidRDefault="00B21C1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R hip motor 4/5 and painful; Pos FABER; TTP R SI joint; Susp SIJ dysfc SIJ not examined--pt will return</w:t>
            </w:r>
          </w:p>
        </w:tc>
        <w:tc>
          <w:tcPr>
            <w:tcW w:w="2148" w:type="dxa"/>
            <w:vAlign w:val="center"/>
          </w:tcPr>
          <w:p w:rsidR="00B21C1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Piriformus test positive; no weakness; “no tenderness was observed with ambulation”</w:t>
            </w:r>
          </w:p>
        </w:tc>
        <w:tc>
          <w:tcPr>
            <w:tcW w:w="2970" w:type="dxa"/>
            <w:gridSpan w:val="2"/>
            <w:vAlign w:val="center"/>
          </w:tcPr>
          <w:p w:rsidR="00B21C18" w:rsidRPr="007A003A" w:rsidRDefault="00B21C18" w:rsidP="00F467D4">
            <w:pPr>
              <w:pStyle w:val="ListParagraph"/>
              <w:spacing w:line="200" w:lineRule="exact"/>
              <w:ind w:left="0"/>
              <w:rPr>
                <w:rFonts w:ascii="Calibri" w:eastAsia="Calibri" w:hAnsi="Calibri" w:cstheme="minorHAnsi"/>
                <w:color w:val="000000" w:themeColor="text1"/>
                <w:sz w:val="18"/>
                <w:szCs w:val="18"/>
              </w:rPr>
            </w:pPr>
            <w:r w:rsidRPr="007A003A">
              <w:rPr>
                <w:rFonts w:eastAsia="Calibri"/>
                <w:color w:val="000000" w:themeColor="text1"/>
                <w:sz w:val="18"/>
                <w:szCs w:val="18"/>
              </w:rPr>
              <w:t xml:space="preserve">(Right) “Hip pain is elicited by active </w:t>
            </w:r>
            <w:r w:rsidRPr="007A003A">
              <w:rPr>
                <w:rFonts w:ascii="Calibri" w:eastAsia="Calibri" w:hAnsi="Calibri" w:cstheme="minorHAnsi"/>
                <w:color w:val="000000" w:themeColor="text1"/>
                <w:sz w:val="18"/>
                <w:szCs w:val="18"/>
              </w:rPr>
              <w:t>flexion of the hip and active flexion of the knee.  Pain is noted at the extremes of flexion and extension.” “Decreased ROM most likely due to scar and caspsular contraction”</w:t>
            </w:r>
          </w:p>
        </w:tc>
        <w:tc>
          <w:tcPr>
            <w:tcW w:w="1260" w:type="dxa"/>
            <w:vAlign w:val="center"/>
          </w:tcPr>
          <w:p w:rsidR="00B21C18" w:rsidRPr="007A003A" w:rsidRDefault="00B21C1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Gait normal; tender; painful motion</w:t>
            </w:r>
          </w:p>
        </w:tc>
        <w:tc>
          <w:tcPr>
            <w:tcW w:w="860" w:type="dxa"/>
            <w:vAlign w:val="center"/>
          </w:tcPr>
          <w:p w:rsidR="00B21C18" w:rsidRPr="007A003A" w:rsidRDefault="00B21C1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normal</w:t>
            </w:r>
          </w:p>
        </w:tc>
      </w:tr>
      <w:tr w:rsidR="007B7168" w:rsidRPr="007A003A" w:rsidTr="0035792A">
        <w:trPr>
          <w:jc w:val="center"/>
        </w:trPr>
        <w:tc>
          <w:tcPr>
            <w:tcW w:w="1890" w:type="dxa"/>
            <w:vAlign w:val="center"/>
          </w:tcPr>
          <w:p w:rsidR="007B7168" w:rsidRPr="007A003A" w:rsidRDefault="007B7168" w:rsidP="00F467D4">
            <w:pPr>
              <w:tabs>
                <w:tab w:val="left" w:pos="288"/>
                <w:tab w:val="left" w:pos="4752"/>
              </w:tabs>
              <w:spacing w:line="200" w:lineRule="exact"/>
              <w:rPr>
                <w:rFonts w:eastAsiaTheme="minorHAnsi"/>
                <w:color w:val="000000" w:themeColor="text1"/>
                <w:sz w:val="18"/>
                <w:szCs w:val="18"/>
              </w:rPr>
            </w:pPr>
            <w:r w:rsidRPr="007A003A">
              <w:rPr>
                <w:rFonts w:eastAsiaTheme="minorHAnsi"/>
                <w:color w:val="000000" w:themeColor="text1"/>
                <w:sz w:val="18"/>
                <w:szCs w:val="18"/>
              </w:rPr>
              <w:t>§4.71a Rating</w:t>
            </w:r>
          </w:p>
        </w:tc>
        <w:tc>
          <w:tcPr>
            <w:tcW w:w="1928" w:type="dxa"/>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p>
        </w:tc>
        <w:tc>
          <w:tcPr>
            <w:tcW w:w="2148" w:type="dxa"/>
            <w:vAlign w:val="center"/>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10% (see text)</w:t>
            </w:r>
          </w:p>
        </w:tc>
        <w:tc>
          <w:tcPr>
            <w:tcW w:w="1980" w:type="dxa"/>
            <w:vAlign w:val="center"/>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10% (see text)</w:t>
            </w:r>
          </w:p>
        </w:tc>
        <w:tc>
          <w:tcPr>
            <w:tcW w:w="990" w:type="dxa"/>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w:t>
            </w:r>
          </w:p>
        </w:tc>
        <w:tc>
          <w:tcPr>
            <w:tcW w:w="1260" w:type="dxa"/>
            <w:vAlign w:val="center"/>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10% (see text)</w:t>
            </w:r>
          </w:p>
        </w:tc>
        <w:tc>
          <w:tcPr>
            <w:tcW w:w="860" w:type="dxa"/>
          </w:tcPr>
          <w:p w:rsidR="007B7168" w:rsidRPr="007A003A" w:rsidRDefault="007B7168" w:rsidP="00F467D4">
            <w:pPr>
              <w:pStyle w:val="ListParagraph"/>
              <w:spacing w:after="0" w:line="200" w:lineRule="exact"/>
              <w:ind w:left="0"/>
              <w:rPr>
                <w:rFonts w:ascii="Calibri" w:eastAsia="Calibri" w:hAnsi="Calibri" w:cstheme="minorHAnsi"/>
                <w:color w:val="000000" w:themeColor="text1"/>
                <w:sz w:val="18"/>
                <w:szCs w:val="18"/>
              </w:rPr>
            </w:pPr>
            <w:r w:rsidRPr="007A003A">
              <w:rPr>
                <w:rFonts w:ascii="Calibri" w:eastAsia="Calibri" w:hAnsi="Calibri" w:cstheme="minorHAnsi"/>
                <w:color w:val="000000" w:themeColor="text1"/>
                <w:sz w:val="18"/>
                <w:szCs w:val="18"/>
              </w:rPr>
              <w:t>-</w:t>
            </w:r>
          </w:p>
        </w:tc>
      </w:tr>
    </w:tbl>
    <w:p w:rsidR="006F69CD" w:rsidRPr="007A003A" w:rsidRDefault="006F69CD" w:rsidP="006F69CD">
      <w:pPr>
        <w:jc w:val="left"/>
        <w:rPr>
          <w:rFonts w:eastAsiaTheme="minorHAnsi"/>
          <w:color w:val="000000" w:themeColor="text1"/>
          <w:szCs w:val="18"/>
        </w:rPr>
      </w:pPr>
    </w:p>
    <w:tbl>
      <w:tblPr>
        <w:tblW w:w="11005" w:type="dxa"/>
        <w:jc w:val="center"/>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775"/>
        <w:gridCol w:w="2109"/>
        <w:gridCol w:w="1401"/>
        <w:gridCol w:w="1389"/>
        <w:gridCol w:w="1311"/>
        <w:gridCol w:w="1040"/>
      </w:tblGrid>
      <w:tr w:rsidR="00B21C18" w:rsidRPr="007A003A" w:rsidTr="00B21C18">
        <w:trPr>
          <w:jc w:val="center"/>
        </w:trPr>
        <w:tc>
          <w:tcPr>
            <w:tcW w:w="1980" w:type="dxa"/>
            <w:vMerge w:val="restart"/>
            <w:shd w:val="clear" w:color="auto" w:fill="D9D9D9" w:themeFill="background1" w:themeFillShade="D9"/>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 xml:space="preserve">Goniometric ROM </w:t>
            </w:r>
          </w:p>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Knees–</w:t>
            </w:r>
          </w:p>
        </w:tc>
        <w:tc>
          <w:tcPr>
            <w:tcW w:w="1775" w:type="dxa"/>
            <w:shd w:val="clear" w:color="auto" w:fill="D9D9D9" w:themeFill="background1" w:themeFillShade="D9"/>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PT ~ 10 Mo. Pre-Sep</w:t>
            </w:r>
          </w:p>
        </w:tc>
        <w:tc>
          <w:tcPr>
            <w:tcW w:w="2109" w:type="dxa"/>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Ortho ~ 8 Mo. Pre-Sep</w:t>
            </w:r>
          </w:p>
        </w:tc>
        <w:tc>
          <w:tcPr>
            <w:tcW w:w="2790" w:type="dxa"/>
            <w:gridSpan w:val="2"/>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MEB ~ 3.5 Mo. Pre-Sep</w:t>
            </w:r>
          </w:p>
        </w:tc>
        <w:tc>
          <w:tcPr>
            <w:tcW w:w="2351" w:type="dxa"/>
            <w:gridSpan w:val="2"/>
            <w:shd w:val="clear" w:color="auto" w:fill="D9D9D9" w:themeFill="background1" w:themeFillShade="D9"/>
            <w:vAlign w:val="center"/>
          </w:tcPr>
          <w:p w:rsidR="00B21C18" w:rsidRPr="007A003A" w:rsidRDefault="00B21C18" w:rsidP="007A003A">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VA</w:t>
            </w:r>
            <w:r w:rsidRPr="007A003A">
              <w:rPr>
                <w:rFonts w:asciiTheme="minorHAnsi" w:eastAsiaTheme="minorHAnsi" w:hAnsiTheme="minorHAnsi"/>
                <w:color w:val="000000" w:themeColor="text1"/>
                <w:sz w:val="18"/>
                <w:szCs w:val="18"/>
              </w:rPr>
              <w:t xml:space="preserve"> C&amp;P </w:t>
            </w:r>
            <w:r w:rsidRPr="007A003A">
              <w:rPr>
                <w:rFonts w:asciiTheme="minorHAnsi" w:eastAsia="Calibri" w:hAnsiTheme="minorHAnsi"/>
                <w:color w:val="000000" w:themeColor="text1"/>
                <w:sz w:val="18"/>
                <w:szCs w:val="18"/>
              </w:rPr>
              <w:t>~ 1 Mo. After-Sep</w:t>
            </w:r>
          </w:p>
        </w:tc>
      </w:tr>
      <w:tr w:rsidR="00B21C18" w:rsidRPr="007A003A" w:rsidTr="00B21C18">
        <w:trPr>
          <w:jc w:val="center"/>
        </w:trPr>
        <w:tc>
          <w:tcPr>
            <w:tcW w:w="1980" w:type="dxa"/>
            <w:vMerge/>
            <w:shd w:val="clear" w:color="auto" w:fill="D9D9D9" w:themeFill="background1" w:themeFillShade="D9"/>
            <w:vAlign w:val="center"/>
          </w:tcPr>
          <w:p w:rsidR="00B21C18" w:rsidRPr="007A003A" w:rsidRDefault="00B21C18" w:rsidP="00F467D4">
            <w:pPr>
              <w:spacing w:line="200" w:lineRule="exact"/>
              <w:contextualSpacing/>
              <w:rPr>
                <w:rFonts w:eastAsia="Calibri"/>
                <w:color w:val="000000" w:themeColor="text1"/>
                <w:sz w:val="18"/>
                <w:szCs w:val="18"/>
              </w:rPr>
            </w:pPr>
          </w:p>
        </w:tc>
        <w:tc>
          <w:tcPr>
            <w:tcW w:w="1775" w:type="dxa"/>
            <w:shd w:val="clear" w:color="auto" w:fill="D9D9D9" w:themeFill="background1" w:themeFillShade="D9"/>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p>
        </w:tc>
        <w:tc>
          <w:tcPr>
            <w:tcW w:w="2109" w:type="dxa"/>
            <w:shd w:val="clear" w:color="auto" w:fill="D9D9D9" w:themeFill="background1" w:themeFillShade="D9"/>
            <w:vAlign w:val="center"/>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1401" w:type="dxa"/>
            <w:shd w:val="clear" w:color="auto" w:fill="D9D9D9" w:themeFill="background1" w:themeFillShade="D9"/>
            <w:vAlign w:val="center"/>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1389" w:type="dxa"/>
            <w:shd w:val="clear" w:color="auto" w:fill="D9D9D9" w:themeFill="background1" w:themeFillShade="D9"/>
            <w:vAlign w:val="center"/>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Left</w:t>
            </w:r>
          </w:p>
        </w:tc>
        <w:tc>
          <w:tcPr>
            <w:tcW w:w="1311" w:type="dxa"/>
            <w:shd w:val="clear" w:color="auto" w:fill="D9D9D9" w:themeFill="background1" w:themeFillShade="D9"/>
            <w:vAlign w:val="center"/>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Right</w:t>
            </w:r>
          </w:p>
        </w:tc>
        <w:tc>
          <w:tcPr>
            <w:tcW w:w="1040" w:type="dxa"/>
            <w:shd w:val="clear" w:color="auto" w:fill="D9D9D9" w:themeFill="background1" w:themeFillShade="D9"/>
            <w:vAlign w:val="center"/>
          </w:tcPr>
          <w:p w:rsidR="00B21C18" w:rsidRPr="007A003A" w:rsidRDefault="00B21C18" w:rsidP="00F467D4">
            <w:pPr>
              <w:spacing w:line="200" w:lineRule="exact"/>
              <w:contextualSpacing/>
              <w:rPr>
                <w:rFonts w:asciiTheme="minorHAnsi" w:eastAsia="Calibri" w:hAnsiTheme="minorHAnsi"/>
                <w:color w:val="000000" w:themeColor="text1"/>
                <w:sz w:val="18"/>
                <w:szCs w:val="18"/>
              </w:rPr>
            </w:pPr>
            <w:r w:rsidRPr="007A003A">
              <w:rPr>
                <w:rFonts w:asciiTheme="minorHAnsi" w:eastAsia="Calibri" w:hAnsiTheme="minorHAnsi"/>
                <w:color w:val="000000" w:themeColor="text1"/>
                <w:sz w:val="18"/>
                <w:szCs w:val="18"/>
              </w:rPr>
              <w:t>Left</w:t>
            </w:r>
          </w:p>
        </w:tc>
      </w:tr>
      <w:tr w:rsidR="00B21C18" w:rsidRPr="001F29F9" w:rsidTr="00B21C18">
        <w:trPr>
          <w:jc w:val="center"/>
        </w:trPr>
        <w:tc>
          <w:tcPr>
            <w:tcW w:w="1980"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Flexion (140⁰ normal)</w:t>
            </w:r>
          </w:p>
        </w:tc>
        <w:tc>
          <w:tcPr>
            <w:tcW w:w="1775" w:type="dxa"/>
            <w:vMerge w:val="restart"/>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“FAROM bilat LE”</w:t>
            </w:r>
          </w:p>
        </w:tc>
        <w:tc>
          <w:tcPr>
            <w:tcW w:w="2109" w:type="dxa"/>
            <w:vMerge w:val="restart"/>
            <w:vAlign w:val="center"/>
          </w:tcPr>
          <w:p w:rsidR="00B21C18" w:rsidRPr="007A003A" w:rsidRDefault="00B21C18" w:rsidP="00B21C18">
            <w:pPr>
              <w:spacing w:line="200" w:lineRule="exact"/>
              <w:contextualSpacing/>
              <w:rPr>
                <w:rFonts w:eastAsia="Calibri"/>
                <w:color w:val="000000" w:themeColor="text1"/>
                <w:sz w:val="18"/>
                <w:szCs w:val="18"/>
              </w:rPr>
            </w:pPr>
            <w:r w:rsidRPr="007A003A">
              <w:rPr>
                <w:rFonts w:eastAsia="Calibri"/>
                <w:color w:val="000000" w:themeColor="text1"/>
                <w:sz w:val="18"/>
                <w:szCs w:val="18"/>
              </w:rPr>
              <w:t>AROM was normal</w:t>
            </w:r>
          </w:p>
        </w:tc>
        <w:tc>
          <w:tcPr>
            <w:tcW w:w="1401"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(115⁰) 120/125/115</w:t>
            </w:r>
          </w:p>
        </w:tc>
        <w:tc>
          <w:tcPr>
            <w:tcW w:w="1389"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140⁰</w:t>
            </w:r>
          </w:p>
        </w:tc>
        <w:tc>
          <w:tcPr>
            <w:tcW w:w="1311" w:type="dxa"/>
            <w:vAlign w:val="center"/>
          </w:tcPr>
          <w:p w:rsidR="00B21C18" w:rsidRPr="007A003A"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140⁰</w:t>
            </w:r>
          </w:p>
        </w:tc>
        <w:tc>
          <w:tcPr>
            <w:tcW w:w="1040" w:type="dxa"/>
            <w:vAlign w:val="center"/>
          </w:tcPr>
          <w:p w:rsidR="00B21C18" w:rsidRDefault="00B21C18" w:rsidP="00F467D4">
            <w:pPr>
              <w:spacing w:line="200" w:lineRule="exact"/>
              <w:contextualSpacing/>
              <w:rPr>
                <w:rFonts w:eastAsia="Calibri"/>
                <w:color w:val="000000" w:themeColor="text1"/>
                <w:sz w:val="18"/>
                <w:szCs w:val="18"/>
              </w:rPr>
            </w:pPr>
            <w:r w:rsidRPr="007A003A">
              <w:rPr>
                <w:rFonts w:eastAsia="Calibri"/>
                <w:color w:val="000000" w:themeColor="text1"/>
                <w:sz w:val="18"/>
                <w:szCs w:val="18"/>
              </w:rPr>
              <w:t>140⁰</w:t>
            </w:r>
          </w:p>
        </w:tc>
      </w:tr>
      <w:tr w:rsidR="00B21C18" w:rsidRPr="001F29F9" w:rsidTr="00B21C18">
        <w:trPr>
          <w:jc w:val="center"/>
        </w:trPr>
        <w:tc>
          <w:tcPr>
            <w:tcW w:w="1980" w:type="dxa"/>
            <w:vAlign w:val="center"/>
          </w:tcPr>
          <w:p w:rsidR="00B21C18" w:rsidRPr="001F29F9" w:rsidRDefault="00B21C18" w:rsidP="00F467D4">
            <w:pPr>
              <w:spacing w:line="200" w:lineRule="exact"/>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1775" w:type="dxa"/>
            <w:vMerge/>
          </w:tcPr>
          <w:p w:rsidR="00B21C18" w:rsidRDefault="00B21C18" w:rsidP="00F467D4">
            <w:pPr>
              <w:spacing w:line="200" w:lineRule="exact"/>
              <w:contextualSpacing/>
              <w:rPr>
                <w:rFonts w:eastAsia="Calibri"/>
                <w:color w:val="000000" w:themeColor="text1"/>
                <w:sz w:val="18"/>
                <w:szCs w:val="18"/>
              </w:rPr>
            </w:pPr>
          </w:p>
        </w:tc>
        <w:tc>
          <w:tcPr>
            <w:tcW w:w="2109" w:type="dxa"/>
            <w:vMerge/>
          </w:tcPr>
          <w:p w:rsidR="00B21C18" w:rsidRPr="00B21C18" w:rsidRDefault="00B21C18" w:rsidP="00F467D4">
            <w:pPr>
              <w:spacing w:line="200" w:lineRule="exact"/>
              <w:contextualSpacing/>
              <w:rPr>
                <w:rFonts w:eastAsia="Calibri"/>
                <w:color w:val="000000" w:themeColor="text1"/>
                <w:sz w:val="18"/>
                <w:szCs w:val="18"/>
              </w:rPr>
            </w:pPr>
          </w:p>
        </w:tc>
        <w:tc>
          <w:tcPr>
            <w:tcW w:w="1401" w:type="dxa"/>
            <w:vAlign w:val="center"/>
          </w:tcPr>
          <w:p w:rsidR="00B21C18" w:rsidRPr="001F29F9" w:rsidRDefault="00B21C18" w:rsidP="00F467D4">
            <w:pPr>
              <w:spacing w:line="200" w:lineRule="exact"/>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389" w:type="dxa"/>
            <w:vAlign w:val="center"/>
          </w:tcPr>
          <w:p w:rsidR="00B21C18" w:rsidRDefault="00B21C18" w:rsidP="00F467D4">
            <w:pPr>
              <w:spacing w:line="200" w:lineRule="exact"/>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311" w:type="dxa"/>
            <w:vAlign w:val="center"/>
          </w:tcPr>
          <w:p w:rsidR="00B21C18" w:rsidRPr="001F29F9" w:rsidRDefault="00B21C18" w:rsidP="00F467D4">
            <w:pPr>
              <w:spacing w:line="200" w:lineRule="exact"/>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1040" w:type="dxa"/>
            <w:vAlign w:val="center"/>
          </w:tcPr>
          <w:p w:rsidR="00B21C18" w:rsidRDefault="00B21C18" w:rsidP="00F467D4">
            <w:pPr>
              <w:spacing w:line="200" w:lineRule="exact"/>
              <w:contextualSpacing/>
              <w:rPr>
                <w:rFonts w:eastAsia="Calibri"/>
                <w:color w:val="000000" w:themeColor="text1"/>
                <w:sz w:val="18"/>
                <w:szCs w:val="18"/>
              </w:rPr>
            </w:pPr>
            <w:r>
              <w:rPr>
                <w:rFonts w:eastAsia="Calibri"/>
                <w:color w:val="000000" w:themeColor="text1"/>
                <w:sz w:val="18"/>
                <w:szCs w:val="18"/>
              </w:rPr>
              <w:t>0⁰</w:t>
            </w:r>
          </w:p>
        </w:tc>
      </w:tr>
      <w:tr w:rsidR="00B21C18" w:rsidRPr="001F29F9" w:rsidTr="00B21C18">
        <w:trPr>
          <w:jc w:val="center"/>
        </w:trPr>
        <w:tc>
          <w:tcPr>
            <w:tcW w:w="1980" w:type="dxa"/>
            <w:vAlign w:val="center"/>
          </w:tcPr>
          <w:p w:rsidR="00B21C18" w:rsidRPr="001F29F9" w:rsidRDefault="00B21C18" w:rsidP="00F467D4">
            <w:pPr>
              <w:tabs>
                <w:tab w:val="left" w:pos="288"/>
                <w:tab w:val="left" w:pos="4752"/>
              </w:tabs>
              <w:spacing w:line="200" w:lineRule="exact"/>
              <w:rPr>
                <w:rFonts w:eastAsiaTheme="minorHAnsi"/>
                <w:color w:val="000000" w:themeColor="text1"/>
                <w:sz w:val="18"/>
                <w:szCs w:val="18"/>
              </w:rPr>
            </w:pPr>
            <w:r w:rsidRPr="001F29F9">
              <w:rPr>
                <w:rFonts w:eastAsiaTheme="minorHAnsi"/>
                <w:color w:val="000000" w:themeColor="text1"/>
                <w:sz w:val="18"/>
                <w:szCs w:val="18"/>
              </w:rPr>
              <w:t>Comment</w:t>
            </w:r>
          </w:p>
        </w:tc>
        <w:tc>
          <w:tcPr>
            <w:tcW w:w="1775" w:type="dxa"/>
          </w:tcPr>
          <w:p w:rsidR="00B21C18" w:rsidRPr="00B21C18" w:rsidRDefault="00B21C18" w:rsidP="00B21C18">
            <w:pPr>
              <w:pStyle w:val="ListParagraph"/>
              <w:spacing w:after="0" w:line="200" w:lineRule="exact"/>
              <w:ind w:left="0"/>
              <w:rPr>
                <w:rFonts w:ascii="Calibri" w:eastAsia="Calibri" w:hAnsi="Calibri" w:cstheme="minorHAnsi"/>
                <w:color w:val="000000" w:themeColor="text1"/>
                <w:sz w:val="18"/>
                <w:szCs w:val="18"/>
                <w:highlight w:val="yellow"/>
              </w:rPr>
            </w:pPr>
          </w:p>
        </w:tc>
        <w:tc>
          <w:tcPr>
            <w:tcW w:w="2109" w:type="dxa"/>
            <w:vAlign w:val="center"/>
          </w:tcPr>
          <w:p w:rsidR="00B21C18" w:rsidRPr="00B21C18" w:rsidRDefault="00B21C18" w:rsidP="00B21C18">
            <w:pPr>
              <w:pStyle w:val="ListParagraph"/>
              <w:spacing w:after="0" w:line="200" w:lineRule="exact"/>
              <w:ind w:left="0"/>
              <w:rPr>
                <w:rFonts w:ascii="Calibri" w:eastAsia="Calibri" w:hAnsi="Calibri" w:cstheme="minorHAnsi"/>
                <w:color w:val="000000" w:themeColor="text1"/>
                <w:sz w:val="18"/>
                <w:szCs w:val="18"/>
              </w:rPr>
            </w:pPr>
            <w:r w:rsidRPr="00B21C18">
              <w:rPr>
                <w:rFonts w:eastAsia="Calibri"/>
                <w:color w:val="000000" w:themeColor="text1"/>
                <w:sz w:val="18"/>
                <w:szCs w:val="18"/>
              </w:rPr>
              <w:t>no tenderness on ambulation</w:t>
            </w:r>
          </w:p>
        </w:tc>
        <w:tc>
          <w:tcPr>
            <w:tcW w:w="2790" w:type="dxa"/>
            <w:gridSpan w:val="2"/>
            <w:vAlign w:val="center"/>
          </w:tcPr>
          <w:p w:rsidR="00B21C18" w:rsidRPr="00483683" w:rsidRDefault="00B21C18" w:rsidP="00F467D4">
            <w:pPr>
              <w:pStyle w:val="ListParagraph"/>
              <w:spacing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See hip comments above; neg Lachman’s</w:t>
            </w:r>
          </w:p>
        </w:tc>
        <w:tc>
          <w:tcPr>
            <w:tcW w:w="2351" w:type="dxa"/>
            <w:gridSpan w:val="2"/>
            <w:vAlign w:val="center"/>
          </w:tcPr>
          <w:p w:rsidR="00B21C18" w:rsidRPr="00483683" w:rsidRDefault="00B21C18" w:rsidP="00F467D4">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Gait normal; normal</w:t>
            </w:r>
          </w:p>
        </w:tc>
      </w:tr>
      <w:tr w:rsidR="00691691" w:rsidRPr="001F29F9" w:rsidTr="00835DC2">
        <w:trPr>
          <w:jc w:val="center"/>
        </w:trPr>
        <w:tc>
          <w:tcPr>
            <w:tcW w:w="1980" w:type="dxa"/>
            <w:vAlign w:val="center"/>
          </w:tcPr>
          <w:p w:rsidR="00691691" w:rsidRPr="001F29F9" w:rsidRDefault="00691691" w:rsidP="00F467D4">
            <w:pPr>
              <w:tabs>
                <w:tab w:val="left" w:pos="288"/>
                <w:tab w:val="left" w:pos="4752"/>
              </w:tabs>
              <w:spacing w:line="200" w:lineRule="exact"/>
              <w:rPr>
                <w:rFonts w:eastAsiaTheme="minorHAnsi"/>
                <w:color w:val="000000" w:themeColor="text1"/>
                <w:sz w:val="18"/>
                <w:szCs w:val="18"/>
              </w:rPr>
            </w:pPr>
            <w:r w:rsidRPr="001F29F9">
              <w:rPr>
                <w:rFonts w:eastAsiaTheme="minorHAnsi"/>
                <w:color w:val="000000" w:themeColor="text1"/>
                <w:sz w:val="18"/>
                <w:szCs w:val="18"/>
              </w:rPr>
              <w:t>§4.71a Rating</w:t>
            </w:r>
          </w:p>
        </w:tc>
        <w:tc>
          <w:tcPr>
            <w:tcW w:w="1775" w:type="dxa"/>
          </w:tcPr>
          <w:p w:rsidR="00691691" w:rsidRDefault="00691691" w:rsidP="00F467D4">
            <w:pPr>
              <w:pStyle w:val="ListParagraph"/>
              <w:spacing w:after="0" w:line="200" w:lineRule="exact"/>
              <w:ind w:left="0"/>
              <w:rPr>
                <w:rFonts w:ascii="Calibri" w:eastAsia="Calibri" w:hAnsi="Calibri" w:cstheme="minorHAnsi"/>
                <w:color w:val="000000" w:themeColor="text1"/>
                <w:sz w:val="18"/>
                <w:szCs w:val="18"/>
              </w:rPr>
            </w:pPr>
          </w:p>
        </w:tc>
        <w:tc>
          <w:tcPr>
            <w:tcW w:w="2109" w:type="dxa"/>
            <w:vAlign w:val="center"/>
          </w:tcPr>
          <w:p w:rsidR="00691691" w:rsidRPr="00483683" w:rsidRDefault="00691691" w:rsidP="00691691">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0%</w:t>
            </w:r>
          </w:p>
        </w:tc>
        <w:tc>
          <w:tcPr>
            <w:tcW w:w="1401" w:type="dxa"/>
            <w:vAlign w:val="center"/>
          </w:tcPr>
          <w:p w:rsidR="00691691" w:rsidRPr="00483683" w:rsidRDefault="00691691" w:rsidP="00F467D4">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 (see text)</w:t>
            </w:r>
          </w:p>
        </w:tc>
        <w:tc>
          <w:tcPr>
            <w:tcW w:w="1389" w:type="dxa"/>
            <w:vAlign w:val="center"/>
          </w:tcPr>
          <w:p w:rsidR="00691691" w:rsidRPr="00483683" w:rsidRDefault="00691691" w:rsidP="00F467D4">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w:t>
            </w:r>
          </w:p>
        </w:tc>
        <w:tc>
          <w:tcPr>
            <w:tcW w:w="1311" w:type="dxa"/>
            <w:vAlign w:val="center"/>
          </w:tcPr>
          <w:p w:rsidR="00691691" w:rsidRPr="00483683" w:rsidRDefault="00691691" w:rsidP="00F467D4">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0% (see text)</w:t>
            </w:r>
          </w:p>
        </w:tc>
        <w:tc>
          <w:tcPr>
            <w:tcW w:w="1040" w:type="dxa"/>
            <w:vAlign w:val="center"/>
          </w:tcPr>
          <w:p w:rsidR="00691691" w:rsidRPr="00483683" w:rsidRDefault="00691691" w:rsidP="00F467D4">
            <w:pPr>
              <w:pStyle w:val="ListParagraph"/>
              <w:spacing w:after="0" w:line="20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w:t>
            </w:r>
          </w:p>
        </w:tc>
      </w:tr>
    </w:tbl>
    <w:p w:rsidR="006F69CD" w:rsidRDefault="006F69CD" w:rsidP="008D493C">
      <w:pPr>
        <w:jc w:val="both"/>
        <w:rPr>
          <w:color w:val="auto"/>
          <w:szCs w:val="24"/>
        </w:rPr>
      </w:pPr>
    </w:p>
    <w:p w:rsidR="00B915CC" w:rsidRPr="00F64312" w:rsidRDefault="00B915CC" w:rsidP="00B915CC">
      <w:pPr>
        <w:jc w:val="both"/>
        <w:rPr>
          <w:color w:val="auto"/>
          <w:szCs w:val="24"/>
        </w:rPr>
      </w:pPr>
      <w:r w:rsidRPr="002E78BA">
        <w:rPr>
          <w:color w:val="auto"/>
        </w:rPr>
        <w:t>The narrative summary (NARSUM) notes</w:t>
      </w:r>
      <w:r w:rsidRPr="00F64312">
        <w:rPr>
          <w:color w:val="auto"/>
        </w:rPr>
        <w:t xml:space="preserve"> </w:t>
      </w:r>
      <w:r>
        <w:rPr>
          <w:color w:val="auto"/>
        </w:rPr>
        <w:t xml:space="preserve">complaints of right hip and knee.  </w:t>
      </w:r>
      <w:r w:rsidRPr="00F64312">
        <w:rPr>
          <w:color w:val="auto"/>
          <w:szCs w:val="24"/>
        </w:rPr>
        <w:t>The MEB physical exam noted</w:t>
      </w:r>
      <w:r>
        <w:rPr>
          <w:color w:val="auto"/>
          <w:szCs w:val="24"/>
        </w:rPr>
        <w:t xml:space="preserve"> well healed incisions with pain-limited right hip ROM as summarized above.  Hip pain was also noted on knee ROM testing.  </w:t>
      </w:r>
      <w:r w:rsidR="006F69CD">
        <w:rPr>
          <w:color w:val="auto"/>
          <w:szCs w:val="24"/>
        </w:rPr>
        <w:t xml:space="preserve">Radiographs of the right femur indicated hardware in place and good bone formation.  </w:t>
      </w:r>
      <w:r w:rsidRPr="00F64312">
        <w:rPr>
          <w:color w:val="auto"/>
          <w:szCs w:val="24"/>
        </w:rPr>
        <w:t>At the VA Compensation and Pension (C&amp;P) exam</w:t>
      </w:r>
      <w:r>
        <w:rPr>
          <w:color w:val="auto"/>
          <w:szCs w:val="24"/>
        </w:rPr>
        <w:t xml:space="preserve"> </w:t>
      </w:r>
      <w:r w:rsidR="008B4668">
        <w:rPr>
          <w:color w:val="auto"/>
          <w:szCs w:val="24"/>
        </w:rPr>
        <w:t>performed a</w:t>
      </w:r>
      <w:r w:rsidRPr="00662F2C">
        <w:rPr>
          <w:color w:val="auto"/>
          <w:szCs w:val="24"/>
        </w:rPr>
        <w:t xml:space="preserve"> month after separation</w:t>
      </w:r>
      <w:r w:rsidRPr="00F64312">
        <w:rPr>
          <w:color w:val="auto"/>
          <w:szCs w:val="24"/>
        </w:rPr>
        <w:t>, the CI reported</w:t>
      </w:r>
      <w:r w:rsidR="006F69CD">
        <w:rPr>
          <w:color w:val="auto"/>
          <w:szCs w:val="24"/>
        </w:rPr>
        <w:t xml:space="preserve"> right hip and knee pain.  There was pain with physical activity and no ongoing treatment for either the hip or knee.  </w:t>
      </w:r>
      <w:r w:rsidR="0085065C">
        <w:rPr>
          <w:color w:val="auto"/>
          <w:szCs w:val="24"/>
        </w:rPr>
        <w:t xml:space="preserve">Exam demonstrated a tender hip with painful motion with normal knee exams; the exams are summarized above.  Radiographs showed an intermedularry rod in the right femur with a well-healed old fracture of </w:t>
      </w:r>
      <w:r w:rsidR="0085065C">
        <w:rPr>
          <w:color w:val="auto"/>
          <w:szCs w:val="24"/>
        </w:rPr>
        <w:lastRenderedPageBreak/>
        <w:t xml:space="preserve">the mid shaft of the bone without acute abnormalities.  </w:t>
      </w:r>
      <w:r w:rsidR="008B4668">
        <w:rPr>
          <w:color w:val="auto"/>
          <w:szCs w:val="24"/>
        </w:rPr>
        <w:t>Right</w:t>
      </w:r>
      <w:r w:rsidR="0085065C">
        <w:rPr>
          <w:color w:val="auto"/>
          <w:szCs w:val="24"/>
        </w:rPr>
        <w:t xml:space="preserve"> hip and knee radiographs were negative.  </w:t>
      </w:r>
    </w:p>
    <w:p w:rsidR="00B915CC" w:rsidRPr="009B3E39" w:rsidRDefault="00B915CC" w:rsidP="00B915CC">
      <w:pPr>
        <w:jc w:val="both"/>
        <w:rPr>
          <w:color w:val="auto"/>
          <w:szCs w:val="24"/>
        </w:rPr>
      </w:pPr>
    </w:p>
    <w:p w:rsidR="008D493C" w:rsidRPr="00F64312" w:rsidRDefault="008D493C" w:rsidP="008D493C">
      <w:pPr>
        <w:jc w:val="both"/>
        <w:rPr>
          <w:rFonts w:eastAsia="Calibri" w:cs="Times New Roman"/>
          <w:color w:val="auto"/>
          <w:szCs w:val="24"/>
        </w:rPr>
      </w:pPr>
      <w:r w:rsidRPr="009B3E39">
        <w:rPr>
          <w:color w:val="auto"/>
          <w:szCs w:val="24"/>
        </w:rPr>
        <w:t xml:space="preserve">The Board directs attention to its rating recommendation based on the above evidence.  </w:t>
      </w:r>
      <w:r w:rsidR="0085065C" w:rsidRPr="009B3E39">
        <w:rPr>
          <w:color w:val="auto"/>
          <w:szCs w:val="24"/>
        </w:rPr>
        <w:t xml:space="preserve">The PEB rated both the right hip and knee pain at 10% coding </w:t>
      </w:r>
      <w:r w:rsidR="00567DD9">
        <w:rPr>
          <w:color w:val="auto"/>
          <w:szCs w:val="24"/>
        </w:rPr>
        <w:t xml:space="preserve">5099-5003 </w:t>
      </w:r>
      <w:r w:rsidR="0085065C" w:rsidRPr="009B3E39">
        <w:rPr>
          <w:color w:val="auto"/>
          <w:szCs w:val="24"/>
        </w:rPr>
        <w:t xml:space="preserve">analogous to 5003 (arthritis) citing the USAPDA pain policy.  The VA </w:t>
      </w:r>
      <w:r w:rsidR="009B3E39" w:rsidRPr="009B3E39">
        <w:rPr>
          <w:color w:val="auto"/>
          <w:szCs w:val="24"/>
        </w:rPr>
        <w:t xml:space="preserve">rated the right leg disability at 10% coding as </w:t>
      </w:r>
      <w:r w:rsidR="00567DD9">
        <w:rPr>
          <w:color w:val="auto"/>
          <w:szCs w:val="24"/>
        </w:rPr>
        <w:t>5252-</w:t>
      </w:r>
      <w:r w:rsidR="009B3E39" w:rsidRPr="009B3E39">
        <w:rPr>
          <w:color w:val="auto"/>
          <w:szCs w:val="24"/>
        </w:rPr>
        <w:t xml:space="preserve">5255 </w:t>
      </w:r>
      <w:r w:rsidR="009B3E39">
        <w:rPr>
          <w:color w:val="auto"/>
          <w:szCs w:val="24"/>
        </w:rPr>
        <w:t>(</w:t>
      </w:r>
      <w:r w:rsidR="00567DD9" w:rsidRPr="00567DD9">
        <w:rPr>
          <w:color w:val="auto"/>
          <w:szCs w:val="24"/>
        </w:rPr>
        <w:t>Thigh, limitation of flexion</w:t>
      </w:r>
      <w:r w:rsidR="00567DD9">
        <w:rPr>
          <w:color w:val="auto"/>
          <w:szCs w:val="24"/>
        </w:rPr>
        <w:t>;</w:t>
      </w:r>
      <w:r w:rsidR="00567DD9" w:rsidRPr="00567DD9">
        <w:rPr>
          <w:color w:val="auto"/>
          <w:szCs w:val="24"/>
        </w:rPr>
        <w:t xml:space="preserve"> with the criteria of </w:t>
      </w:r>
      <w:r w:rsidR="008B4668">
        <w:rPr>
          <w:color w:val="auto"/>
          <w:szCs w:val="24"/>
        </w:rPr>
        <w:t>f</w:t>
      </w:r>
      <w:bookmarkStart w:id="0" w:name="_GoBack"/>
      <w:bookmarkEnd w:id="0"/>
      <w:r w:rsidR="009B3E39" w:rsidRPr="009B3E39">
        <w:rPr>
          <w:color w:val="auto"/>
          <w:szCs w:val="24"/>
        </w:rPr>
        <w:t>emur</w:t>
      </w:r>
      <w:r w:rsidR="009B3E39">
        <w:rPr>
          <w:color w:val="auto"/>
          <w:szCs w:val="24"/>
        </w:rPr>
        <w:t xml:space="preserve"> i</w:t>
      </w:r>
      <w:r w:rsidR="009B3E39" w:rsidRPr="009B3E39">
        <w:rPr>
          <w:color w:val="auto"/>
          <w:szCs w:val="24"/>
        </w:rPr>
        <w:t>mpairment</w:t>
      </w:r>
      <w:r w:rsidR="009B3E39">
        <w:rPr>
          <w:color w:val="auto"/>
          <w:szCs w:val="24"/>
        </w:rPr>
        <w:t>)</w:t>
      </w:r>
      <w:r w:rsidR="009B3E39" w:rsidRPr="009B3E39">
        <w:rPr>
          <w:color w:val="auto"/>
          <w:szCs w:val="24"/>
        </w:rPr>
        <w:t xml:space="preserve"> </w:t>
      </w:r>
      <w:r w:rsidR="009B3E39">
        <w:rPr>
          <w:color w:val="auto"/>
          <w:szCs w:val="24"/>
        </w:rPr>
        <w:t xml:space="preserve">and the 10% criteria are </w:t>
      </w:r>
      <w:r w:rsidR="009B3E39" w:rsidRPr="009B3E39">
        <w:rPr>
          <w:color w:val="auto"/>
          <w:szCs w:val="24"/>
        </w:rPr>
        <w:t>"With slight knee or hip disability</w:t>
      </w:r>
      <w:r w:rsidR="009B3E39">
        <w:rPr>
          <w:color w:val="auto"/>
          <w:szCs w:val="24"/>
        </w:rPr>
        <w:t>.</w:t>
      </w:r>
      <w:r w:rsidR="009B3E39" w:rsidRPr="009B3E39">
        <w:rPr>
          <w:color w:val="auto"/>
          <w:szCs w:val="24"/>
        </w:rPr>
        <w:t>"</w:t>
      </w:r>
      <w:r w:rsidR="009B3E39">
        <w:rPr>
          <w:color w:val="auto"/>
          <w:szCs w:val="24"/>
        </w:rPr>
        <w:t xml:space="preserve"> </w:t>
      </w:r>
      <w:r w:rsidR="009B3E39" w:rsidRPr="009B3E39">
        <w:rPr>
          <w:color w:val="auto"/>
          <w:szCs w:val="24"/>
        </w:rPr>
        <w:t xml:space="preserve"> </w:t>
      </w:r>
      <w:r w:rsidR="009B3E39">
        <w:rPr>
          <w:color w:val="auto"/>
          <w:szCs w:val="24"/>
        </w:rPr>
        <w:t>The VA exam indicated improved knee and hip ROMs from those documented 4.5 month</w:t>
      </w:r>
      <w:r w:rsidR="00AB3E24">
        <w:rPr>
          <w:color w:val="auto"/>
          <w:szCs w:val="24"/>
        </w:rPr>
        <w:t>s</w:t>
      </w:r>
      <w:r w:rsidR="009B3E39">
        <w:rPr>
          <w:color w:val="auto"/>
          <w:szCs w:val="24"/>
        </w:rPr>
        <w:t xml:space="preserve"> earlier at the MEB exam, and the VA indicated there was no right knee pathology or diagnosis.  The Board deliberated over which exam had the highest </w:t>
      </w:r>
      <w:r w:rsidR="008B4668">
        <w:rPr>
          <w:color w:val="auto"/>
          <w:szCs w:val="24"/>
        </w:rPr>
        <w:t>probative</w:t>
      </w:r>
      <w:r w:rsidR="009B3E39">
        <w:rPr>
          <w:color w:val="auto"/>
          <w:szCs w:val="24"/>
        </w:rPr>
        <w:t xml:space="preserve"> value and noted the service treatment record</w:t>
      </w:r>
      <w:r w:rsidR="00AB3E24">
        <w:rPr>
          <w:color w:val="auto"/>
          <w:szCs w:val="24"/>
        </w:rPr>
        <w:t xml:space="preserve"> (STR)</w:t>
      </w:r>
      <w:r w:rsidR="009B3E39">
        <w:rPr>
          <w:color w:val="auto"/>
          <w:szCs w:val="24"/>
        </w:rPr>
        <w:t xml:space="preserve"> indicated </w:t>
      </w:r>
      <w:r w:rsidR="00567DD9">
        <w:rPr>
          <w:color w:val="auto"/>
          <w:szCs w:val="24"/>
        </w:rPr>
        <w:t xml:space="preserve">slow improved symptoms and ROMs over the year prior to separation, and that the VA exam was closer to the date of separation and more detailed.  The VA exam was the highest probative </w:t>
      </w:r>
      <w:r w:rsidR="008B4668">
        <w:rPr>
          <w:color w:val="auto"/>
          <w:szCs w:val="24"/>
        </w:rPr>
        <w:t>value</w:t>
      </w:r>
      <w:r w:rsidR="00567DD9">
        <w:rPr>
          <w:color w:val="auto"/>
          <w:szCs w:val="24"/>
        </w:rPr>
        <w:t xml:space="preserve"> exam for rating.  The Board next considered if the exams and </w:t>
      </w:r>
      <w:r w:rsidR="008B4668">
        <w:rPr>
          <w:color w:val="auto"/>
          <w:szCs w:val="24"/>
        </w:rPr>
        <w:t>record</w:t>
      </w:r>
      <w:r w:rsidR="00567DD9">
        <w:rPr>
          <w:color w:val="auto"/>
          <w:szCs w:val="24"/>
        </w:rPr>
        <w:t xml:space="preserve"> indicated either </w:t>
      </w:r>
      <w:r w:rsidR="00AB3E24">
        <w:rPr>
          <w:color w:val="auto"/>
          <w:szCs w:val="24"/>
        </w:rPr>
        <w:t>m</w:t>
      </w:r>
      <w:r w:rsidR="00567DD9" w:rsidRPr="00567DD9">
        <w:rPr>
          <w:color w:val="auto"/>
          <w:szCs w:val="24"/>
        </w:rPr>
        <w:t xml:space="preserve">oderate (20%) or </w:t>
      </w:r>
      <w:r w:rsidR="00AB3E24">
        <w:rPr>
          <w:color w:val="auto"/>
          <w:szCs w:val="24"/>
        </w:rPr>
        <w:t>s</w:t>
      </w:r>
      <w:r w:rsidR="00567DD9" w:rsidRPr="00567DD9">
        <w:rPr>
          <w:color w:val="auto"/>
          <w:szCs w:val="24"/>
        </w:rPr>
        <w:t>light (10%) impairment</w:t>
      </w:r>
      <w:r w:rsidR="00567DD9">
        <w:rPr>
          <w:color w:val="auto"/>
          <w:szCs w:val="24"/>
        </w:rPr>
        <w:t xml:space="preserve"> under coding of 5252-5255, or 10% coding under 5099-5003.  </w:t>
      </w:r>
      <w:r w:rsidR="00F467D4">
        <w:rPr>
          <w:color w:val="auto"/>
          <w:szCs w:val="24"/>
        </w:rPr>
        <w:t>There was insufficient evidence to additionally rate the knee</w:t>
      </w:r>
      <w:r w:rsidR="00B21C18">
        <w:rPr>
          <w:color w:val="auto"/>
          <w:szCs w:val="24"/>
        </w:rPr>
        <w:t xml:space="preserve">.  </w:t>
      </w:r>
      <w:r w:rsidRPr="00F64312">
        <w:rPr>
          <w:rFonts w:eastAsia="Calibri" w:cs="Times New Roman"/>
          <w:color w:val="auto"/>
          <w:szCs w:val="24"/>
        </w:rPr>
        <w:t>After due deliberation, considering all of the evidence and mindful of VASRD §4.3 (reasonable doubt), the Board concluded that there was insufficient cause to recommend a change in the PEB</w:t>
      </w:r>
      <w:r w:rsidR="00567DD9">
        <w:rPr>
          <w:rFonts w:eastAsia="Calibri" w:cs="Times New Roman"/>
          <w:color w:val="auto"/>
          <w:szCs w:val="24"/>
        </w:rPr>
        <w:t xml:space="preserve">’s 10% </w:t>
      </w:r>
      <w:r w:rsidR="00F467D4">
        <w:rPr>
          <w:rFonts w:eastAsia="Calibri" w:cs="Times New Roman"/>
          <w:color w:val="auto"/>
          <w:szCs w:val="24"/>
        </w:rPr>
        <w:t>adjudication</w:t>
      </w:r>
      <w:r w:rsidRPr="00F64312">
        <w:rPr>
          <w:rFonts w:eastAsia="Calibri" w:cs="Times New Roman"/>
          <w:color w:val="auto"/>
          <w:szCs w:val="24"/>
        </w:rPr>
        <w:t xml:space="preserve"> for the </w:t>
      </w:r>
      <w:r w:rsidR="00567DD9">
        <w:rPr>
          <w:rFonts w:eastAsia="Calibri" w:cs="Times New Roman"/>
          <w:color w:val="auto"/>
          <w:szCs w:val="24"/>
        </w:rPr>
        <w:t>right hip and knee pain condition s/p femur</w:t>
      </w:r>
      <w:r w:rsidR="00AA6332">
        <w:rPr>
          <w:rFonts w:eastAsia="Calibri" w:cs="Times New Roman"/>
          <w:color w:val="auto"/>
          <w:szCs w:val="24"/>
        </w:rPr>
        <w:t xml:space="preserve"> </w:t>
      </w:r>
      <w:r w:rsidR="00567DD9">
        <w:rPr>
          <w:rFonts w:eastAsia="Calibri" w:cs="Times New Roman"/>
          <w:color w:val="auto"/>
          <w:szCs w:val="24"/>
        </w:rPr>
        <w:t>ORIF condition</w:t>
      </w:r>
      <w:r w:rsidRPr="00F64312">
        <w:rPr>
          <w:rFonts w:eastAsia="Calibri" w:cs="Times New Roman"/>
          <w:color w:val="auto"/>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467D4" w:rsidRDefault="00C56FC8" w:rsidP="00F467D4">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t>
      </w:r>
      <w:r w:rsidRPr="007A003A">
        <w:rPr>
          <w:rFonts w:eastAsiaTheme="minorHAnsi"/>
          <w:color w:val="000000" w:themeColor="text1"/>
          <w:szCs w:val="24"/>
        </w:rPr>
        <w:t>with the VASRD in effect at the time of the adjudication.</w:t>
      </w:r>
      <w:r w:rsidR="00F1627D" w:rsidRPr="007A003A">
        <w:rPr>
          <w:rFonts w:eastAsiaTheme="minorHAnsi"/>
          <w:color w:val="000000" w:themeColor="text1"/>
          <w:szCs w:val="24"/>
        </w:rPr>
        <w:t xml:space="preserve">  </w:t>
      </w:r>
      <w:r w:rsidR="00F467D4" w:rsidRPr="007A003A">
        <w:rPr>
          <w:rFonts w:eastAsia="Calibri" w:cs="Times New Roman"/>
          <w:color w:val="auto"/>
          <w:szCs w:val="24"/>
        </w:rPr>
        <w:t xml:space="preserve">As discussed above, PEB reliance on the USAPDA pain policy for rating </w:t>
      </w:r>
      <w:r w:rsidR="0025453F" w:rsidRPr="007A003A">
        <w:rPr>
          <w:color w:val="000000" w:themeColor="text1"/>
          <w:szCs w:val="24"/>
        </w:rPr>
        <w:t>chronic right hip and right knee pain s/p ORIF</w:t>
      </w:r>
      <w:r w:rsidR="00F467D4" w:rsidRPr="007A003A">
        <w:rPr>
          <w:rFonts w:eastAsia="Calibri" w:cs="Times New Roman"/>
          <w:color w:val="auto"/>
          <w:szCs w:val="24"/>
        </w:rPr>
        <w:t xml:space="preserve"> was operant in this case and the condition was adjudicated independently of that policy by the Board.  In the matter of the </w:t>
      </w:r>
      <w:r w:rsidR="0025453F" w:rsidRPr="007A003A">
        <w:rPr>
          <w:color w:val="000000" w:themeColor="text1"/>
          <w:szCs w:val="24"/>
        </w:rPr>
        <w:t xml:space="preserve">chronic right hip and right knee pain </w:t>
      </w:r>
      <w:r w:rsidR="00AB3E24">
        <w:rPr>
          <w:color w:val="000000" w:themeColor="text1"/>
          <w:szCs w:val="24"/>
        </w:rPr>
        <w:t>s</w:t>
      </w:r>
      <w:r w:rsidR="0025453F" w:rsidRPr="007A003A">
        <w:rPr>
          <w:color w:val="000000" w:themeColor="text1"/>
          <w:szCs w:val="24"/>
        </w:rPr>
        <w:t>/</w:t>
      </w:r>
      <w:r w:rsidR="00AB3E24">
        <w:rPr>
          <w:color w:val="000000" w:themeColor="text1"/>
          <w:szCs w:val="24"/>
        </w:rPr>
        <w:t>p</w:t>
      </w:r>
      <w:r w:rsidR="0025453F" w:rsidRPr="007A003A">
        <w:rPr>
          <w:color w:val="000000" w:themeColor="text1"/>
          <w:szCs w:val="24"/>
        </w:rPr>
        <w:t xml:space="preserve"> </w:t>
      </w:r>
      <w:r w:rsidR="00AB3E24">
        <w:rPr>
          <w:color w:val="000000" w:themeColor="text1"/>
          <w:szCs w:val="24"/>
        </w:rPr>
        <w:t>f</w:t>
      </w:r>
      <w:r w:rsidR="0025453F" w:rsidRPr="007A003A">
        <w:rPr>
          <w:color w:val="000000" w:themeColor="text1"/>
          <w:szCs w:val="24"/>
        </w:rPr>
        <w:t>emoral ORIF</w:t>
      </w:r>
      <w:r w:rsidR="00F467D4" w:rsidRPr="007A003A">
        <w:rPr>
          <w:rFonts w:eastAsia="Calibri" w:cs="Times New Roman"/>
          <w:color w:val="auto"/>
          <w:szCs w:val="24"/>
        </w:rPr>
        <w:t xml:space="preserve"> condition and IAW VASRD §4.71a, the Board unanimously recommends no change in the PEB adjudication.  There were no other conditions within the Board’s</w:t>
      </w:r>
      <w:r w:rsidR="00F467D4" w:rsidRPr="00F64312">
        <w:rPr>
          <w:rFonts w:eastAsia="Calibri" w:cs="Times New Roman"/>
          <w:color w:val="auto"/>
          <w:szCs w:val="24"/>
        </w:rPr>
        <w:t xml:space="preserve"> scope of review for consideration. </w:t>
      </w:r>
      <w:r w:rsidR="0025453F">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A558EF" w:rsidRPr="001F29F9" w:rsidRDefault="00A558EF" w:rsidP="006364ED">
      <w:pPr>
        <w:jc w:val="left"/>
        <w:rPr>
          <w:color w:val="000000" w:themeColor="text1"/>
          <w:szCs w:val="24"/>
        </w:rPr>
      </w:pPr>
    </w:p>
    <w:p w:rsidR="004101B2" w:rsidRPr="0035792A" w:rsidRDefault="00C56FC8" w:rsidP="00F467D4">
      <w:pPr>
        <w:jc w:val="left"/>
        <w:rPr>
          <w:b/>
          <w:color w:val="auto"/>
          <w:szCs w:val="24"/>
        </w:rPr>
      </w:pPr>
      <w:r w:rsidRPr="001F29F9">
        <w:rPr>
          <w:color w:val="000000" w:themeColor="text1"/>
          <w:szCs w:val="24"/>
          <w:u w:val="single"/>
        </w:rPr>
        <w:t>RECOMMENDATION</w:t>
      </w:r>
      <w:r w:rsidRPr="001F29F9">
        <w:rPr>
          <w:color w:val="000000" w:themeColor="text1"/>
          <w:szCs w:val="24"/>
        </w:rPr>
        <w:t>:</w:t>
      </w:r>
      <w:r w:rsidR="00F467D4">
        <w:rPr>
          <w:b/>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w:t>
      </w:r>
      <w:r w:rsidRPr="0035792A">
        <w:rPr>
          <w:color w:val="auto"/>
          <w:szCs w:val="24"/>
        </w:rPr>
        <w:t>no recharacterization of the CI’s disability and separation determination</w:t>
      </w:r>
      <w:r w:rsidR="008C3FD0" w:rsidRPr="0035792A">
        <w:rPr>
          <w:color w:val="auto"/>
          <w:szCs w:val="24"/>
        </w:rPr>
        <w:t>,</w:t>
      </w:r>
      <w:r w:rsidR="00BD2A49" w:rsidRPr="0035792A">
        <w:rPr>
          <w:color w:val="auto"/>
          <w:szCs w:val="24"/>
        </w:rPr>
        <w:t xml:space="preserve"> as follows:</w:t>
      </w:r>
      <w:r w:rsidR="003604A5" w:rsidRPr="0035792A">
        <w:rPr>
          <w:color w:val="auto"/>
          <w:szCs w:val="24"/>
        </w:rPr>
        <w:t xml:space="preserve"> </w:t>
      </w:r>
      <w:r w:rsidR="00F467D4" w:rsidRPr="0035792A">
        <w:rPr>
          <w:color w:val="auto"/>
          <w:szCs w:val="24"/>
        </w:rPr>
        <w:t xml:space="preserve"> </w:t>
      </w:r>
    </w:p>
    <w:p w:rsidR="00BA6A9C" w:rsidRPr="0035792A"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5792A" w:rsidTr="0080588E">
        <w:trPr>
          <w:trHeight w:val="233"/>
          <w:jc w:val="center"/>
        </w:trPr>
        <w:tc>
          <w:tcPr>
            <w:tcW w:w="6282" w:type="dxa"/>
            <w:shd w:val="clear" w:color="auto" w:fill="D9D9D9"/>
            <w:vAlign w:val="center"/>
          </w:tcPr>
          <w:p w:rsidR="00A95BBA" w:rsidRPr="0035792A" w:rsidRDefault="00A95BBA" w:rsidP="00BF0E94">
            <w:pPr>
              <w:tabs>
                <w:tab w:val="left" w:pos="288"/>
                <w:tab w:val="left" w:pos="4752"/>
              </w:tabs>
              <w:rPr>
                <w:b/>
                <w:color w:val="auto"/>
                <w:szCs w:val="24"/>
              </w:rPr>
            </w:pPr>
            <w:r w:rsidRPr="0035792A">
              <w:rPr>
                <w:b/>
                <w:color w:val="auto"/>
                <w:szCs w:val="24"/>
              </w:rPr>
              <w:t>UNFITTING CONDITION</w:t>
            </w:r>
          </w:p>
        </w:tc>
        <w:tc>
          <w:tcPr>
            <w:tcW w:w="1710" w:type="dxa"/>
            <w:shd w:val="clear" w:color="auto" w:fill="D9D9D9"/>
            <w:vAlign w:val="center"/>
          </w:tcPr>
          <w:p w:rsidR="00A95BBA" w:rsidRPr="0035792A" w:rsidRDefault="00A95BBA" w:rsidP="00BF0E94">
            <w:pPr>
              <w:tabs>
                <w:tab w:val="left" w:pos="288"/>
                <w:tab w:val="left" w:pos="4752"/>
              </w:tabs>
              <w:rPr>
                <w:b/>
                <w:color w:val="auto"/>
                <w:szCs w:val="24"/>
              </w:rPr>
            </w:pPr>
            <w:r w:rsidRPr="0035792A">
              <w:rPr>
                <w:b/>
                <w:color w:val="auto"/>
                <w:szCs w:val="24"/>
              </w:rPr>
              <w:t>VASRD CODE</w:t>
            </w:r>
          </w:p>
        </w:tc>
        <w:tc>
          <w:tcPr>
            <w:tcW w:w="1170" w:type="dxa"/>
            <w:shd w:val="clear" w:color="auto" w:fill="D9D9D9"/>
            <w:vAlign w:val="center"/>
          </w:tcPr>
          <w:p w:rsidR="00A95BBA" w:rsidRPr="0035792A" w:rsidRDefault="00A95BBA" w:rsidP="00BF0E94">
            <w:pPr>
              <w:tabs>
                <w:tab w:val="left" w:pos="288"/>
                <w:tab w:val="left" w:pos="4752"/>
              </w:tabs>
              <w:rPr>
                <w:b/>
                <w:color w:val="auto"/>
                <w:szCs w:val="24"/>
              </w:rPr>
            </w:pPr>
            <w:r w:rsidRPr="0035792A">
              <w:rPr>
                <w:b/>
                <w:color w:val="auto"/>
                <w:szCs w:val="24"/>
              </w:rPr>
              <w:t>RATING</w:t>
            </w:r>
          </w:p>
        </w:tc>
      </w:tr>
      <w:tr w:rsidR="00A95BBA" w:rsidRPr="0035792A" w:rsidTr="0080588E">
        <w:trPr>
          <w:jc w:val="center"/>
        </w:trPr>
        <w:tc>
          <w:tcPr>
            <w:tcW w:w="6282" w:type="dxa"/>
            <w:vAlign w:val="center"/>
          </w:tcPr>
          <w:p w:rsidR="00A95BBA" w:rsidRPr="0035792A" w:rsidRDefault="00F467D4" w:rsidP="00BF0E94">
            <w:pPr>
              <w:tabs>
                <w:tab w:val="left" w:pos="288"/>
                <w:tab w:val="left" w:pos="4752"/>
              </w:tabs>
              <w:jc w:val="left"/>
              <w:rPr>
                <w:color w:val="auto"/>
                <w:szCs w:val="24"/>
                <w:highlight w:val="lightGray"/>
              </w:rPr>
            </w:pPr>
            <w:r w:rsidRPr="0035792A">
              <w:rPr>
                <w:color w:val="auto"/>
                <w:szCs w:val="24"/>
              </w:rPr>
              <w:t>Chronic Rt Hip &amp; Rt Knee Pain S/P Femoral</w:t>
            </w:r>
          </w:p>
        </w:tc>
        <w:tc>
          <w:tcPr>
            <w:tcW w:w="1710" w:type="dxa"/>
            <w:vAlign w:val="center"/>
          </w:tcPr>
          <w:p w:rsidR="00A95BBA" w:rsidRPr="0035792A" w:rsidRDefault="00F467D4" w:rsidP="00BF0E94">
            <w:pPr>
              <w:tabs>
                <w:tab w:val="left" w:pos="288"/>
                <w:tab w:val="left" w:pos="4752"/>
              </w:tabs>
              <w:rPr>
                <w:color w:val="auto"/>
                <w:szCs w:val="24"/>
              </w:rPr>
            </w:pPr>
            <w:r w:rsidRPr="0035792A">
              <w:rPr>
                <w:color w:val="auto"/>
                <w:szCs w:val="24"/>
              </w:rPr>
              <w:t>5099-5003</w:t>
            </w:r>
          </w:p>
        </w:tc>
        <w:tc>
          <w:tcPr>
            <w:tcW w:w="1170" w:type="dxa"/>
            <w:vAlign w:val="center"/>
          </w:tcPr>
          <w:p w:rsidR="00A95BBA" w:rsidRPr="0035792A" w:rsidRDefault="00F467D4" w:rsidP="00BF0E94">
            <w:pPr>
              <w:tabs>
                <w:tab w:val="left" w:pos="288"/>
                <w:tab w:val="left" w:pos="4752"/>
              </w:tabs>
              <w:rPr>
                <w:color w:val="auto"/>
                <w:szCs w:val="24"/>
              </w:rPr>
            </w:pPr>
            <w:r w:rsidRPr="0035792A">
              <w:rPr>
                <w:color w:val="auto"/>
                <w:szCs w:val="24"/>
              </w:rPr>
              <w:t>1</w:t>
            </w:r>
            <w:r w:rsidR="00A95BBA" w:rsidRPr="0035792A">
              <w:rPr>
                <w:color w:val="auto"/>
                <w:szCs w:val="24"/>
              </w:rPr>
              <w:t>0%</w:t>
            </w:r>
          </w:p>
        </w:tc>
      </w:tr>
      <w:tr w:rsidR="00A95BBA" w:rsidRPr="0035792A"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35792A" w:rsidRDefault="00A95BBA" w:rsidP="00BF0E94">
            <w:pPr>
              <w:tabs>
                <w:tab w:val="left" w:pos="288"/>
                <w:tab w:val="left" w:pos="4752"/>
              </w:tabs>
              <w:rPr>
                <w:b/>
                <w:color w:val="auto"/>
                <w:szCs w:val="24"/>
              </w:rPr>
            </w:pPr>
            <w:r w:rsidRPr="0035792A">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35792A" w:rsidRDefault="00F467D4" w:rsidP="00BF0E94">
            <w:pPr>
              <w:tabs>
                <w:tab w:val="left" w:pos="288"/>
                <w:tab w:val="left" w:pos="4752"/>
              </w:tabs>
              <w:rPr>
                <w:b/>
                <w:color w:val="auto"/>
                <w:szCs w:val="24"/>
              </w:rPr>
            </w:pPr>
            <w:r w:rsidRPr="0035792A">
              <w:rPr>
                <w:b/>
                <w:color w:val="auto"/>
                <w:szCs w:val="24"/>
              </w:rPr>
              <w:t>1</w:t>
            </w:r>
            <w:r w:rsidR="00A95BBA" w:rsidRPr="0035792A">
              <w:rPr>
                <w:b/>
                <w:color w:val="auto"/>
                <w:szCs w:val="24"/>
              </w:rPr>
              <w:t>0%</w:t>
            </w:r>
          </w:p>
        </w:tc>
      </w:tr>
    </w:tbl>
    <w:p w:rsidR="00A24377" w:rsidRPr="0035792A" w:rsidRDefault="00A24377" w:rsidP="00BF0E94">
      <w:pPr>
        <w:pBdr>
          <w:bottom w:val="single" w:sz="12" w:space="1" w:color="auto"/>
        </w:pBdr>
        <w:tabs>
          <w:tab w:val="left" w:pos="288"/>
          <w:tab w:val="left" w:pos="4752"/>
        </w:tabs>
        <w:jc w:val="both"/>
        <w:rPr>
          <w:color w:val="auto"/>
        </w:rPr>
      </w:pPr>
    </w:p>
    <w:p w:rsidR="005B1D09" w:rsidRPr="0035792A" w:rsidRDefault="005B1D09" w:rsidP="00F467D4">
      <w:pPr>
        <w:jc w:val="both"/>
        <w:rPr>
          <w:color w:val="auto"/>
          <w:szCs w:val="24"/>
        </w:rPr>
      </w:pPr>
    </w:p>
    <w:p w:rsidR="00D91DA6" w:rsidRPr="0035792A" w:rsidRDefault="00FB1725" w:rsidP="00BF0E94">
      <w:pPr>
        <w:tabs>
          <w:tab w:val="left" w:pos="288"/>
          <w:tab w:val="left" w:pos="4752"/>
        </w:tabs>
        <w:jc w:val="both"/>
        <w:rPr>
          <w:color w:val="auto"/>
        </w:rPr>
      </w:pPr>
      <w:r w:rsidRPr="0035792A">
        <w:rPr>
          <w:color w:val="auto"/>
        </w:rPr>
        <w:t>The following documentary evidence was considered:</w:t>
      </w:r>
    </w:p>
    <w:p w:rsidR="00EB5EFD" w:rsidRPr="0035792A" w:rsidRDefault="00EB5EFD" w:rsidP="00BF0E94">
      <w:pPr>
        <w:tabs>
          <w:tab w:val="left" w:pos="288"/>
          <w:tab w:val="left" w:pos="4752"/>
        </w:tabs>
        <w:jc w:val="both"/>
        <w:rPr>
          <w:color w:val="auto"/>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B41356">
        <w:rPr>
          <w:color w:val="000000" w:themeColor="text1"/>
          <w:szCs w:val="24"/>
        </w:rPr>
        <w:t>20106</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864F7F">
        <w:rPr>
          <w:color w:val="000000" w:themeColor="text1"/>
          <w:szCs w:val="24"/>
        </w:rPr>
        <w:t>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864F7F" w:rsidRDefault="002F195B" w:rsidP="00A558EF">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864F7F" w:rsidRDefault="00864F7F" w:rsidP="00864F7F">
      <w:pPr>
        <w:jc w:val="left"/>
      </w:pPr>
      <w:r>
        <w:rPr>
          <w:color w:val="000000" w:themeColor="text1"/>
          <w:szCs w:val="24"/>
        </w:rPr>
        <w:br w:type="page"/>
      </w:r>
      <w:r>
        <w:lastRenderedPageBreak/>
        <w:t>SFMR-RB</w:t>
      </w:r>
      <w:r>
        <w:tab/>
      </w:r>
      <w:r>
        <w:tab/>
      </w:r>
      <w:r>
        <w:tab/>
      </w:r>
      <w:r>
        <w:tab/>
      </w:r>
      <w:r>
        <w:tab/>
      </w:r>
      <w:r>
        <w:tab/>
      </w:r>
      <w:r>
        <w:tab/>
      </w:r>
      <w:r>
        <w:tab/>
      </w:r>
      <w:r>
        <w:tab/>
      </w:r>
    </w:p>
    <w:p w:rsidR="00864F7F" w:rsidRDefault="00864F7F" w:rsidP="00864F7F">
      <w:pPr>
        <w:pStyle w:val="Header"/>
        <w:tabs>
          <w:tab w:val="left" w:pos="720"/>
        </w:tabs>
        <w:jc w:val="left"/>
      </w:pPr>
    </w:p>
    <w:p w:rsidR="00864F7F" w:rsidRDefault="00864F7F" w:rsidP="00864F7F">
      <w:pPr>
        <w:jc w:val="left"/>
      </w:pPr>
    </w:p>
    <w:p w:rsidR="00864F7F" w:rsidRDefault="00864F7F" w:rsidP="00864F7F">
      <w:pPr>
        <w:jc w:val="left"/>
      </w:pPr>
      <w:r>
        <w:t xml:space="preserve">MEMORANDUM FOR Commander, US Army Physical Disability Agency </w:t>
      </w:r>
    </w:p>
    <w:p w:rsidR="00864F7F" w:rsidRDefault="00864F7F" w:rsidP="00864F7F">
      <w:pPr>
        <w:jc w:val="left"/>
      </w:pPr>
      <w:r>
        <w:t xml:space="preserve">(TAPD-ZB </w:t>
      </w:r>
      <w:proofErr w:type="gramStart"/>
      <w:r>
        <w:t>/  )</w:t>
      </w:r>
      <w:proofErr w:type="gramEnd"/>
      <w:r>
        <w:t>, 2900 Crystal Drive, Suite 300, Arlington, VA  22202-3557</w:t>
      </w:r>
    </w:p>
    <w:p w:rsidR="00864F7F" w:rsidRDefault="00864F7F" w:rsidP="00864F7F">
      <w:pPr>
        <w:jc w:val="left"/>
      </w:pPr>
    </w:p>
    <w:p w:rsidR="00864F7F" w:rsidRDefault="00864F7F" w:rsidP="00864F7F">
      <w:pPr>
        <w:ind w:right="-180"/>
        <w:jc w:val="left"/>
      </w:pPr>
      <w:r>
        <w:t>SUBJECT:  Department of Defense Physical Disability Board of Review Recommendation for XXXXXXXXXXXXXXXXXXXXX, AR20120020004 (PD201200029)</w:t>
      </w:r>
    </w:p>
    <w:p w:rsidR="00864F7F" w:rsidRDefault="00864F7F" w:rsidP="00864F7F">
      <w:pPr>
        <w:pStyle w:val="Header"/>
        <w:tabs>
          <w:tab w:val="left" w:pos="720"/>
        </w:tabs>
        <w:jc w:val="left"/>
      </w:pPr>
    </w:p>
    <w:p w:rsidR="00864F7F" w:rsidRDefault="00864F7F" w:rsidP="00864F7F">
      <w:pPr>
        <w:jc w:val="left"/>
      </w:pPr>
    </w:p>
    <w:p w:rsidR="00864F7F" w:rsidRDefault="00864F7F" w:rsidP="00864F7F">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64F7F" w:rsidRDefault="00864F7F" w:rsidP="00864F7F">
      <w:pPr>
        <w:jc w:val="left"/>
      </w:pPr>
      <w:r>
        <w:t>This decision is final.  The individual concerned, counsel (if any), and any Members of Congress who have shown interest in this application have been notified of this decision by mail.</w:t>
      </w:r>
    </w:p>
    <w:p w:rsidR="00864F7F" w:rsidRDefault="00864F7F" w:rsidP="00864F7F">
      <w:pPr>
        <w:jc w:val="left"/>
      </w:pPr>
    </w:p>
    <w:p w:rsidR="00864F7F" w:rsidRDefault="00864F7F" w:rsidP="00864F7F">
      <w:pPr>
        <w:jc w:val="left"/>
      </w:pPr>
      <w:r>
        <w:t xml:space="preserve"> BY ORDER OF THE SECRETARY OF THE ARMY:</w:t>
      </w:r>
    </w:p>
    <w:p w:rsidR="00864F7F" w:rsidRDefault="00864F7F" w:rsidP="00864F7F">
      <w:pPr>
        <w:jc w:val="left"/>
      </w:pPr>
    </w:p>
    <w:p w:rsidR="00864F7F" w:rsidRDefault="00864F7F" w:rsidP="00864F7F">
      <w:pPr>
        <w:jc w:val="left"/>
      </w:pPr>
    </w:p>
    <w:p w:rsidR="00864F7F" w:rsidRDefault="00864F7F" w:rsidP="00864F7F">
      <w:pPr>
        <w:pStyle w:val="Header"/>
        <w:tabs>
          <w:tab w:val="left" w:pos="720"/>
        </w:tabs>
        <w:jc w:val="left"/>
      </w:pPr>
    </w:p>
    <w:p w:rsidR="00864F7F" w:rsidRDefault="00864F7F" w:rsidP="00864F7F">
      <w:pPr>
        <w:jc w:val="left"/>
      </w:pPr>
    </w:p>
    <w:p w:rsidR="00864F7F" w:rsidRDefault="00864F7F" w:rsidP="00864F7F">
      <w:pPr>
        <w:jc w:val="left"/>
      </w:pPr>
      <w:bookmarkStart w:id="1" w:name="OLE_LINK4"/>
      <w:bookmarkStart w:id="2" w:name="OLE_LINK3"/>
      <w:r>
        <w:t>Encl</w:t>
      </w:r>
      <w:r>
        <w:tab/>
      </w:r>
      <w:r>
        <w:tab/>
      </w:r>
      <w:r>
        <w:tab/>
      </w:r>
      <w:r>
        <w:tab/>
      </w:r>
      <w:r>
        <w:tab/>
      </w:r>
      <w:r>
        <w:tab/>
        <w:t xml:space="preserve">     XXXXXXXXXXXXXXXXXXXXX</w:t>
      </w:r>
    </w:p>
    <w:p w:rsidR="00864F7F" w:rsidRDefault="00864F7F" w:rsidP="00864F7F">
      <w:pPr>
        <w:jc w:val="left"/>
      </w:pPr>
      <w:r>
        <w:tab/>
      </w:r>
      <w:r>
        <w:tab/>
      </w:r>
      <w:r>
        <w:tab/>
      </w:r>
      <w:r>
        <w:tab/>
      </w:r>
      <w:r>
        <w:tab/>
      </w:r>
      <w:r>
        <w:tab/>
        <w:t xml:space="preserve">     Deputy Assistant Secretary</w:t>
      </w:r>
    </w:p>
    <w:p w:rsidR="00864F7F" w:rsidRDefault="00864F7F" w:rsidP="00864F7F">
      <w:pPr>
        <w:jc w:val="left"/>
      </w:pPr>
      <w:r>
        <w:tab/>
      </w:r>
      <w:r>
        <w:tab/>
      </w:r>
      <w:r>
        <w:tab/>
      </w:r>
      <w:r>
        <w:tab/>
      </w:r>
      <w:r>
        <w:tab/>
      </w:r>
      <w:r>
        <w:tab/>
        <w:t xml:space="preserve">         (Army Review Boards)</w:t>
      </w:r>
      <w:bookmarkEnd w:id="1"/>
      <w:bookmarkEnd w:id="2"/>
    </w:p>
    <w:p w:rsidR="00864F7F" w:rsidRDefault="00864F7F" w:rsidP="00864F7F">
      <w:pPr>
        <w:jc w:val="left"/>
      </w:pPr>
    </w:p>
    <w:p w:rsidR="00864F7F" w:rsidRDefault="00864F7F" w:rsidP="00864F7F">
      <w:pPr>
        <w:jc w:val="left"/>
      </w:pPr>
      <w:r>
        <w:t xml:space="preserve">CF: </w:t>
      </w:r>
    </w:p>
    <w:p w:rsidR="00864F7F" w:rsidRDefault="00864F7F" w:rsidP="00864F7F">
      <w:pPr>
        <w:jc w:val="left"/>
      </w:pPr>
      <w:r>
        <w:t xml:space="preserve">(  ) </w:t>
      </w:r>
      <w:proofErr w:type="spellStart"/>
      <w:proofErr w:type="gramStart"/>
      <w:r>
        <w:t>DoD</w:t>
      </w:r>
      <w:proofErr w:type="spellEnd"/>
      <w:proofErr w:type="gramEnd"/>
      <w:r>
        <w:t xml:space="preserve"> PDBR</w:t>
      </w:r>
    </w:p>
    <w:p w:rsidR="00864F7F" w:rsidRDefault="00864F7F" w:rsidP="00864F7F">
      <w:pPr>
        <w:jc w:val="left"/>
      </w:pPr>
      <w:r>
        <w:t>(  ) DVA</w:t>
      </w:r>
    </w:p>
    <w:p w:rsidR="00864F7F" w:rsidRDefault="00864F7F" w:rsidP="00864F7F">
      <w:pPr>
        <w:jc w:val="left"/>
      </w:pPr>
    </w:p>
    <w:p w:rsidR="008E3C90" w:rsidRDefault="008E3C90" w:rsidP="00864F7F">
      <w:pPr>
        <w:jc w:val="left"/>
        <w:rPr>
          <w:color w:val="000000" w:themeColor="text1"/>
          <w:szCs w:val="24"/>
        </w:rPr>
      </w:pPr>
    </w:p>
    <w:sectPr w:rsidR="008E3C9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6A8" w:rsidRDefault="00DD26A8">
      <w:r>
        <w:separator/>
      </w:r>
    </w:p>
  </w:endnote>
  <w:endnote w:type="continuationSeparator" w:id="0">
    <w:p w:rsidR="00DD26A8" w:rsidRDefault="00DD26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21C18" w:rsidRPr="00374247" w:rsidRDefault="00B21C18" w:rsidP="00374247">
        <w:pPr>
          <w:pStyle w:val="Footer"/>
          <w:ind w:firstLine="4320"/>
          <w:rPr>
            <w:color w:val="auto"/>
            <w:szCs w:val="24"/>
          </w:rPr>
        </w:pPr>
        <w:r w:rsidRPr="00374247">
          <w:rPr>
            <w:color w:val="auto"/>
            <w:szCs w:val="24"/>
          </w:rPr>
          <w:t xml:space="preserve">   </w:t>
        </w:r>
        <w:r w:rsidR="00B444E8" w:rsidRPr="00374247">
          <w:rPr>
            <w:color w:val="auto"/>
            <w:szCs w:val="24"/>
          </w:rPr>
          <w:fldChar w:fldCharType="begin"/>
        </w:r>
        <w:r w:rsidRPr="00374247">
          <w:rPr>
            <w:color w:val="auto"/>
            <w:szCs w:val="24"/>
          </w:rPr>
          <w:instrText xml:space="preserve"> PAGE   \* MERGEFORMAT </w:instrText>
        </w:r>
        <w:r w:rsidR="00B444E8" w:rsidRPr="00374247">
          <w:rPr>
            <w:color w:val="auto"/>
            <w:szCs w:val="24"/>
          </w:rPr>
          <w:fldChar w:fldCharType="separate"/>
        </w:r>
        <w:r w:rsidR="00864F7F" w:rsidRPr="00864F7F">
          <w:rPr>
            <w:noProof/>
            <w:color w:val="auto"/>
          </w:rPr>
          <w:t>2</w:t>
        </w:r>
        <w:r w:rsidR="00B444E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B41356">
          <w:rPr>
            <w:color w:val="auto"/>
            <w:szCs w:val="24"/>
          </w:rPr>
          <w:t>0</w:t>
        </w:r>
        <w:r w:rsidRPr="001D64F3">
          <w:rPr>
            <w:color w:val="auto"/>
            <w:szCs w:val="24"/>
          </w:rPr>
          <w:t>0</w:t>
        </w:r>
        <w:r>
          <w:rPr>
            <w:color w:val="auto"/>
            <w:szCs w:val="24"/>
          </w:rPr>
          <w:t>029</w:t>
        </w:r>
      </w:p>
    </w:sdtContent>
  </w:sdt>
  <w:p w:rsidR="00B21C18" w:rsidRPr="00684CE6" w:rsidRDefault="00B21C1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6A8" w:rsidRDefault="00DD26A8">
      <w:r>
        <w:separator/>
      </w:r>
    </w:p>
  </w:footnote>
  <w:footnote w:type="continuationSeparator" w:id="0">
    <w:p w:rsidR="00DD26A8" w:rsidRDefault="00DD2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411"/>
    <w:rsid w:val="00044623"/>
    <w:rsid w:val="000452D7"/>
    <w:rsid w:val="00051622"/>
    <w:rsid w:val="00051A11"/>
    <w:rsid w:val="00052234"/>
    <w:rsid w:val="00053D7C"/>
    <w:rsid w:val="000575C5"/>
    <w:rsid w:val="000577C9"/>
    <w:rsid w:val="00060FFD"/>
    <w:rsid w:val="00061D69"/>
    <w:rsid w:val="0006431E"/>
    <w:rsid w:val="000652EA"/>
    <w:rsid w:val="00065599"/>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27AEC"/>
    <w:rsid w:val="00130756"/>
    <w:rsid w:val="001315DD"/>
    <w:rsid w:val="0013525F"/>
    <w:rsid w:val="00135385"/>
    <w:rsid w:val="00135F74"/>
    <w:rsid w:val="00136204"/>
    <w:rsid w:val="001364D1"/>
    <w:rsid w:val="001374C7"/>
    <w:rsid w:val="00140FA4"/>
    <w:rsid w:val="00141BC9"/>
    <w:rsid w:val="001421FD"/>
    <w:rsid w:val="001425C8"/>
    <w:rsid w:val="00142EBA"/>
    <w:rsid w:val="00143B79"/>
    <w:rsid w:val="00144B92"/>
    <w:rsid w:val="00145965"/>
    <w:rsid w:val="00150B8A"/>
    <w:rsid w:val="00150DCB"/>
    <w:rsid w:val="00151912"/>
    <w:rsid w:val="00153740"/>
    <w:rsid w:val="001537D8"/>
    <w:rsid w:val="00153D88"/>
    <w:rsid w:val="001541C5"/>
    <w:rsid w:val="0015623F"/>
    <w:rsid w:val="00156585"/>
    <w:rsid w:val="001565D3"/>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39"/>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453F"/>
    <w:rsid w:val="00255049"/>
    <w:rsid w:val="00255F4B"/>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65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2CA"/>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1F30"/>
    <w:rsid w:val="00352B22"/>
    <w:rsid w:val="00352CBF"/>
    <w:rsid w:val="00354547"/>
    <w:rsid w:val="003549F5"/>
    <w:rsid w:val="00355ACB"/>
    <w:rsid w:val="003567DE"/>
    <w:rsid w:val="003574F3"/>
    <w:rsid w:val="00357831"/>
    <w:rsid w:val="0035792A"/>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3966"/>
    <w:rsid w:val="003A40B4"/>
    <w:rsid w:val="003A41BA"/>
    <w:rsid w:val="003A5491"/>
    <w:rsid w:val="003A5958"/>
    <w:rsid w:val="003A6A99"/>
    <w:rsid w:val="003A6E60"/>
    <w:rsid w:val="003A76AB"/>
    <w:rsid w:val="003A7FA2"/>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08C5"/>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3F67"/>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683"/>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3E4A"/>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1823"/>
    <w:rsid w:val="004D2AAB"/>
    <w:rsid w:val="004D3775"/>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4082"/>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7DD9"/>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0D09"/>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D05"/>
    <w:rsid w:val="005B5E8F"/>
    <w:rsid w:val="005B64CF"/>
    <w:rsid w:val="005B72DA"/>
    <w:rsid w:val="005C0E87"/>
    <w:rsid w:val="005C1398"/>
    <w:rsid w:val="005C16F3"/>
    <w:rsid w:val="005C3758"/>
    <w:rsid w:val="005C4D72"/>
    <w:rsid w:val="005C50C1"/>
    <w:rsid w:val="005C62C2"/>
    <w:rsid w:val="005C6888"/>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0A8"/>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A9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2F2C"/>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691"/>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69CD"/>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14CE"/>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03A"/>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168"/>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0BF5"/>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65C"/>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F7F"/>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668"/>
    <w:rsid w:val="008B515D"/>
    <w:rsid w:val="008B5D31"/>
    <w:rsid w:val="008B6705"/>
    <w:rsid w:val="008C22F3"/>
    <w:rsid w:val="008C3223"/>
    <w:rsid w:val="008C3FD0"/>
    <w:rsid w:val="008C4F01"/>
    <w:rsid w:val="008C5152"/>
    <w:rsid w:val="008C710E"/>
    <w:rsid w:val="008D1484"/>
    <w:rsid w:val="008D29E7"/>
    <w:rsid w:val="008D493C"/>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5DF"/>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11CD"/>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04A"/>
    <w:rsid w:val="009B3E39"/>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2E8"/>
    <w:rsid w:val="009D056C"/>
    <w:rsid w:val="009D060F"/>
    <w:rsid w:val="009D1ADE"/>
    <w:rsid w:val="009D297C"/>
    <w:rsid w:val="009D3652"/>
    <w:rsid w:val="009D37CA"/>
    <w:rsid w:val="009D4229"/>
    <w:rsid w:val="009D4268"/>
    <w:rsid w:val="009D5DE9"/>
    <w:rsid w:val="009D6610"/>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377"/>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8EF"/>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6332"/>
    <w:rsid w:val="00AA73AF"/>
    <w:rsid w:val="00AB062D"/>
    <w:rsid w:val="00AB0A8A"/>
    <w:rsid w:val="00AB1754"/>
    <w:rsid w:val="00AB1F8D"/>
    <w:rsid w:val="00AB27DD"/>
    <w:rsid w:val="00AB3E24"/>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04B"/>
    <w:rsid w:val="00B06930"/>
    <w:rsid w:val="00B0773A"/>
    <w:rsid w:val="00B07955"/>
    <w:rsid w:val="00B1176B"/>
    <w:rsid w:val="00B140B8"/>
    <w:rsid w:val="00B14FAA"/>
    <w:rsid w:val="00B15BED"/>
    <w:rsid w:val="00B15D30"/>
    <w:rsid w:val="00B15F09"/>
    <w:rsid w:val="00B16D18"/>
    <w:rsid w:val="00B1735B"/>
    <w:rsid w:val="00B177DE"/>
    <w:rsid w:val="00B20624"/>
    <w:rsid w:val="00B21C1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356"/>
    <w:rsid w:val="00B427BB"/>
    <w:rsid w:val="00B43BA2"/>
    <w:rsid w:val="00B444E8"/>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5CC"/>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425"/>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6EA"/>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67DC4"/>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6CF"/>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6A8"/>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38D2"/>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5EE"/>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1586"/>
    <w:rsid w:val="00EC2938"/>
    <w:rsid w:val="00EC337D"/>
    <w:rsid w:val="00EC38EF"/>
    <w:rsid w:val="00EC50C9"/>
    <w:rsid w:val="00EC58B4"/>
    <w:rsid w:val="00EC5BB2"/>
    <w:rsid w:val="00EC75AF"/>
    <w:rsid w:val="00ED0F52"/>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27D"/>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191"/>
    <w:rsid w:val="00F467D4"/>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864F7F"/>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558390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6130-3E27-468E-9A32-453A24F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2012-11-21T15:54:00Z</dcterms:created>
  <dcterms:modified xsi:type="dcterms:W3CDTF">2012-11-21T15:54:00Z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