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069C8" w:rsidRPr="0083001D" w:rsidRDefault="009069C8" w:rsidP="009069C8">
      <w:pPr>
        <w:tabs>
          <w:tab w:val="left" w:pos="288"/>
          <w:tab w:val="left" w:pos="4752"/>
          <w:tab w:val="left" w:pos="5130"/>
          <w:tab w:val="left" w:pos="9270"/>
        </w:tabs>
        <w:jc w:val="both"/>
        <w:rPr>
          <w:caps/>
          <w:color w:val="000000" w:themeColor="text1"/>
        </w:rPr>
      </w:pPr>
      <w:r w:rsidRPr="0083001D">
        <w:rPr>
          <w:caps/>
          <w:color w:val="000000" w:themeColor="text1"/>
        </w:rPr>
        <w:t xml:space="preserve">NAME:  </w:t>
      </w:r>
      <w:r w:rsidR="00AA7F4D">
        <w:rPr>
          <w:caps/>
          <w:color w:val="000000" w:themeColor="text1"/>
        </w:rPr>
        <w:t>XXXXXXXXXXXXXXXXX</w:t>
      </w:r>
      <w:r w:rsidRPr="0083001D">
        <w:rPr>
          <w:caps/>
          <w:color w:val="000000" w:themeColor="text1"/>
        </w:rPr>
        <w:t xml:space="preserve">                                                       </w:t>
      </w:r>
      <w:r w:rsidR="00E869FD">
        <w:rPr>
          <w:caps/>
          <w:color w:val="000000" w:themeColor="text1"/>
        </w:rPr>
        <w:t xml:space="preserve">       BRANCH OF SERVICE:  Army</w:t>
      </w:r>
    </w:p>
    <w:p w:rsidR="009069C8" w:rsidRPr="0083001D" w:rsidRDefault="009069C8" w:rsidP="009069C8">
      <w:pPr>
        <w:tabs>
          <w:tab w:val="left" w:pos="288"/>
          <w:tab w:val="left" w:pos="4166"/>
          <w:tab w:val="left" w:pos="4752"/>
          <w:tab w:val="left" w:pos="5130"/>
          <w:tab w:val="left" w:pos="9270"/>
        </w:tabs>
        <w:jc w:val="both"/>
        <w:rPr>
          <w:caps/>
          <w:color w:val="000000" w:themeColor="text1"/>
        </w:rPr>
      </w:pPr>
      <w:r w:rsidRPr="0083001D">
        <w:rPr>
          <w:caps/>
          <w:color w:val="000000" w:themeColor="text1"/>
        </w:rPr>
        <w:t>CASE NUMBER:  PD1200023</w:t>
      </w:r>
      <w:r w:rsidRPr="0083001D">
        <w:rPr>
          <w:color w:val="000000" w:themeColor="text1"/>
        </w:rPr>
        <w:t xml:space="preserve"> </w:t>
      </w:r>
      <w:r w:rsidRPr="0083001D">
        <w:rPr>
          <w:color w:val="000000" w:themeColor="text1"/>
        </w:rPr>
        <w:tab/>
      </w:r>
      <w:r w:rsidRPr="0083001D">
        <w:rPr>
          <w:color w:val="000000" w:themeColor="text1"/>
        </w:rPr>
        <w:tab/>
        <w:t xml:space="preserve">                             SEPARATION DATE:  20070228</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B21843">
        <w:rPr>
          <w:caps/>
          <w:color w:val="000000"/>
        </w:rPr>
        <w:t>1016</w:t>
      </w:r>
      <w:r w:rsidRPr="001F29F9">
        <w:rPr>
          <w:caps/>
          <w:color w:val="000000"/>
        </w:rPr>
        <w:t xml:space="preserve"> </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50B3F" w:rsidRPr="00D45078" w:rsidRDefault="00D50B3F" w:rsidP="00D45078">
      <w:pPr>
        <w:jc w:val="both"/>
        <w:rPr>
          <w:rFonts w:cstheme="minorHAnsi"/>
          <w:color w:val="000000"/>
          <w:szCs w:val="24"/>
        </w:rPr>
      </w:pPr>
      <w:r w:rsidRPr="001F29F9">
        <w:rPr>
          <w:color w:val="000000"/>
          <w:u w:val="single"/>
        </w:rPr>
        <w:t>SUMMARY OF CASE</w:t>
      </w:r>
      <w:r w:rsidRPr="001F29F9">
        <w:rPr>
          <w:color w:val="000000"/>
        </w:rPr>
        <w:t xml:space="preserve">: Data extracted from the available evidence of record reflects that this covered individual (CI) was </w:t>
      </w:r>
      <w:r>
        <w:rPr>
          <w:color w:val="000000"/>
        </w:rPr>
        <w:t xml:space="preserve">an active duty </w:t>
      </w:r>
      <w:r w:rsidR="009069C8" w:rsidRPr="0083001D">
        <w:rPr>
          <w:color w:val="000000" w:themeColor="text1"/>
          <w:szCs w:val="24"/>
        </w:rPr>
        <w:t>SSG/E-6 (92F</w:t>
      </w:r>
      <w:r w:rsidR="009069C8">
        <w:rPr>
          <w:color w:val="000000" w:themeColor="text1"/>
          <w:szCs w:val="24"/>
        </w:rPr>
        <w:t xml:space="preserve">, </w:t>
      </w:r>
      <w:r w:rsidR="009069C8" w:rsidRPr="0083001D">
        <w:rPr>
          <w:color w:val="000000" w:themeColor="text1"/>
          <w:szCs w:val="24"/>
        </w:rPr>
        <w:t>Petroleum Supply Specialist)</w:t>
      </w:r>
      <w:r>
        <w:rPr>
          <w:color w:val="000000"/>
        </w:rPr>
        <w:t xml:space="preserve"> </w:t>
      </w:r>
      <w:r w:rsidRPr="001F29F9">
        <w:rPr>
          <w:color w:val="000000"/>
        </w:rPr>
        <w:t xml:space="preserve">medically separated for </w:t>
      </w:r>
      <w:r>
        <w:rPr>
          <w:color w:val="000000"/>
        </w:rPr>
        <w:t xml:space="preserve">a </w:t>
      </w:r>
      <w:r w:rsidR="009069C8">
        <w:rPr>
          <w:color w:val="000000"/>
        </w:rPr>
        <w:t>left knee</w:t>
      </w:r>
      <w:r w:rsidRPr="001F29F9">
        <w:rPr>
          <w:color w:val="000000"/>
        </w:rPr>
        <w:t xml:space="preserve"> </w:t>
      </w:r>
      <w:r>
        <w:rPr>
          <w:color w:val="000000"/>
        </w:rPr>
        <w:t>condition</w:t>
      </w:r>
      <w:r w:rsidRPr="001F29F9">
        <w:rPr>
          <w:color w:val="000000"/>
        </w:rPr>
        <w:t xml:space="preserve">. </w:t>
      </w:r>
      <w:r>
        <w:rPr>
          <w:color w:val="000000"/>
        </w:rPr>
        <w:t xml:space="preserve"> </w:t>
      </w:r>
      <w:r w:rsidR="00FC2304">
        <w:rPr>
          <w:color w:val="000000"/>
        </w:rPr>
        <w:t xml:space="preserve">She injured the knee early in training in 1999, and suffered </w:t>
      </w:r>
      <w:r w:rsidR="00C262A8">
        <w:rPr>
          <w:color w:val="000000"/>
        </w:rPr>
        <w:t>an additional injury</w:t>
      </w:r>
      <w:r w:rsidR="00FC2304">
        <w:rPr>
          <w:color w:val="000000"/>
        </w:rPr>
        <w:t xml:space="preserve"> later in service.  She was diagnosed with </w:t>
      </w:r>
      <w:proofErr w:type="spellStart"/>
      <w:r w:rsidR="00FC2304">
        <w:rPr>
          <w:color w:val="000000"/>
        </w:rPr>
        <w:t>meniscal</w:t>
      </w:r>
      <w:proofErr w:type="spellEnd"/>
      <w:r w:rsidR="00FC2304">
        <w:rPr>
          <w:color w:val="000000"/>
        </w:rPr>
        <w:t xml:space="preserve"> </w:t>
      </w:r>
      <w:r w:rsidR="00C262A8">
        <w:rPr>
          <w:color w:val="000000"/>
        </w:rPr>
        <w:t>damage</w:t>
      </w:r>
      <w:r w:rsidR="00FC2304">
        <w:rPr>
          <w:color w:val="000000"/>
        </w:rPr>
        <w:t xml:space="preserve">, and underwent sequential arthroscopic surgical interventions.  The joint, however, </w:t>
      </w:r>
      <w:r w:rsidR="009069C8" w:rsidRPr="00192A48">
        <w:rPr>
          <w:rFonts w:cstheme="minorHAnsi"/>
          <w:color w:val="000000"/>
          <w:szCs w:val="24"/>
        </w:rPr>
        <w:t xml:space="preserve">could not be adequately rehabilitated to meet </w:t>
      </w:r>
      <w:r w:rsidR="0059250D">
        <w:rPr>
          <w:rFonts w:cstheme="minorHAnsi"/>
          <w:color w:val="000000"/>
          <w:szCs w:val="24"/>
        </w:rPr>
        <w:t>the physical requirements of her</w:t>
      </w:r>
      <w:r w:rsidR="009069C8" w:rsidRPr="00192A48">
        <w:rPr>
          <w:rFonts w:cstheme="minorHAnsi"/>
          <w:color w:val="000000"/>
          <w:szCs w:val="24"/>
        </w:rPr>
        <w:t xml:space="preserve"> Military Occupational Specialty (MOS) or satisf</w:t>
      </w:r>
      <w:r w:rsidR="0059250D">
        <w:rPr>
          <w:rFonts w:cstheme="minorHAnsi"/>
          <w:color w:val="000000"/>
          <w:szCs w:val="24"/>
        </w:rPr>
        <w:t>y physical fitness standards.  Sh</w:t>
      </w:r>
      <w:r w:rsidR="009069C8" w:rsidRPr="00192A48">
        <w:rPr>
          <w:rFonts w:cstheme="minorHAnsi"/>
          <w:color w:val="000000"/>
          <w:szCs w:val="24"/>
        </w:rPr>
        <w:t xml:space="preserve">e was consequently issued a permanent L3 profile and referred for a Medical Evaluation Board (MEB).  The </w:t>
      </w:r>
      <w:r w:rsidR="009069C8">
        <w:rPr>
          <w:rFonts w:cstheme="minorHAnsi"/>
          <w:color w:val="000000"/>
          <w:szCs w:val="24"/>
        </w:rPr>
        <w:t>right knee condition</w:t>
      </w:r>
      <w:r w:rsidR="009069C8" w:rsidRPr="00192A48">
        <w:rPr>
          <w:rFonts w:cstheme="minorHAnsi"/>
          <w:color w:val="000000"/>
          <w:szCs w:val="24"/>
        </w:rPr>
        <w:t xml:space="preserve"> was forwarded to the Physical Evaluation Board (PEB) as medically unacceptable IAW AR 40-501.  </w:t>
      </w:r>
      <w:r w:rsidR="0059250D">
        <w:rPr>
          <w:rFonts w:cstheme="minorHAnsi"/>
          <w:color w:val="000000"/>
          <w:szCs w:val="24"/>
        </w:rPr>
        <w:t>Four</w:t>
      </w:r>
      <w:r w:rsidR="009069C8" w:rsidRPr="00192A48">
        <w:rPr>
          <w:rFonts w:cstheme="minorHAnsi"/>
          <w:color w:val="000000"/>
          <w:szCs w:val="24"/>
        </w:rPr>
        <w:t xml:space="preserve"> other conditions (as identified in the rating chart below) were </w:t>
      </w:r>
      <w:r w:rsidR="009069C8" w:rsidRPr="00D45078">
        <w:rPr>
          <w:rFonts w:cstheme="minorHAnsi"/>
          <w:color w:val="000000"/>
          <w:szCs w:val="24"/>
        </w:rPr>
        <w:t xml:space="preserve">addressed by the MEB, and forwarded as meeting retention standards.  The PEB adjudicated the right knee condition as unfitting, rated 0%, citing criteria of the </w:t>
      </w:r>
      <w:r w:rsidR="00D45078" w:rsidRPr="00D45078">
        <w:rPr>
          <w:color w:val="000000" w:themeColor="text1"/>
          <w:szCs w:val="24"/>
        </w:rPr>
        <w:t>US Army Physical Disability Agency (USAPDA) pain policy</w:t>
      </w:r>
      <w:r w:rsidR="00D45078">
        <w:rPr>
          <w:color w:val="000000" w:themeColor="text1"/>
          <w:szCs w:val="24"/>
        </w:rPr>
        <w:t>.</w:t>
      </w:r>
      <w:r w:rsidR="00D45078" w:rsidRPr="00D45078">
        <w:rPr>
          <w:color w:val="000000"/>
        </w:rPr>
        <w:t xml:space="preserve"> </w:t>
      </w:r>
      <w:r w:rsidR="00D45078">
        <w:rPr>
          <w:color w:val="000000"/>
        </w:rPr>
        <w:t xml:space="preserve"> </w:t>
      </w:r>
      <w:r w:rsidR="009069C8" w:rsidRPr="00D45078">
        <w:rPr>
          <w:rFonts w:cstheme="minorHAnsi"/>
          <w:color w:val="000000"/>
          <w:szCs w:val="24"/>
        </w:rPr>
        <w:t xml:space="preserve">The </w:t>
      </w:r>
      <w:proofErr w:type="gramStart"/>
      <w:r w:rsidR="009069C8" w:rsidRPr="00D45078">
        <w:rPr>
          <w:rFonts w:cstheme="minorHAnsi"/>
          <w:color w:val="000000"/>
          <w:szCs w:val="24"/>
        </w:rPr>
        <w:t>remaining</w:t>
      </w:r>
      <w:proofErr w:type="gramEnd"/>
      <w:r w:rsidR="009069C8" w:rsidRPr="00D45078">
        <w:rPr>
          <w:rFonts w:cstheme="minorHAnsi"/>
          <w:color w:val="000000"/>
          <w:szCs w:val="24"/>
        </w:rPr>
        <w:t xml:space="preserve"> conditions were determined to be not unfitting.  The CI made no appeals, and was medically</w:t>
      </w:r>
      <w:r w:rsidR="00D45078">
        <w:rPr>
          <w:rFonts w:cstheme="minorHAnsi"/>
          <w:color w:val="000000"/>
          <w:szCs w:val="24"/>
        </w:rPr>
        <w:t xml:space="preserve"> separated with a </w:t>
      </w:r>
      <w:r w:rsidR="009069C8" w:rsidRPr="00192A48">
        <w:rPr>
          <w:rFonts w:cstheme="minorHAnsi"/>
          <w:color w:val="000000"/>
          <w:szCs w:val="24"/>
        </w:rPr>
        <w:t>0% disability rating.</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D50B3F" w:rsidRPr="00C246EE" w:rsidRDefault="00D50B3F" w:rsidP="00D50B3F">
      <w:pPr>
        <w:tabs>
          <w:tab w:val="left" w:pos="288"/>
          <w:tab w:val="left" w:pos="4752"/>
        </w:tabs>
        <w:jc w:val="both"/>
        <w:rPr>
          <w:i/>
          <w:color w:val="000000" w:themeColor="text1"/>
          <w:highlight w:val="cyan"/>
        </w:rPr>
      </w:pPr>
      <w:r w:rsidRPr="001F29F9">
        <w:rPr>
          <w:color w:val="000000"/>
          <w:u w:val="single"/>
        </w:rPr>
        <w:t>CI CONTENTION</w:t>
      </w:r>
      <w:r w:rsidRPr="001F29F9">
        <w:rPr>
          <w:color w:val="000000"/>
        </w:rPr>
        <w:t>:</w:t>
      </w:r>
      <w:r w:rsidRPr="00726F84">
        <w:rPr>
          <w:color w:val="000000"/>
        </w:rPr>
        <w:t xml:space="preserve"> </w:t>
      </w:r>
      <w:r w:rsidR="00E869FD">
        <w:rPr>
          <w:color w:val="000000"/>
        </w:rPr>
        <w:t xml:space="preserve"> </w:t>
      </w:r>
      <w:r w:rsidRPr="0059250D">
        <w:rPr>
          <w:color w:val="000000"/>
        </w:rPr>
        <w:t>“</w:t>
      </w:r>
      <w:r w:rsidR="0059250D" w:rsidRPr="0059250D">
        <w:rPr>
          <w:color w:val="000000" w:themeColor="text1"/>
        </w:rPr>
        <w:t>It is</w:t>
      </w:r>
      <w:r w:rsidR="0059250D">
        <w:rPr>
          <w:color w:val="000000" w:themeColor="text1"/>
        </w:rPr>
        <w:t xml:space="preserve"> the condition that stripped the desired life long career and continues to cause chronic pain along with failures to receive gainful employment in civilian sector.  Condition will not get better.</w:t>
      </w:r>
      <w:r>
        <w:rPr>
          <w:color w:val="000000"/>
        </w:rPr>
        <w:t xml:space="preserve">” </w:t>
      </w:r>
      <w:r w:rsidR="0059250D">
        <w:rPr>
          <w:rFonts w:eastAsiaTheme="minorHAnsi"/>
          <w:color w:val="000000" w:themeColor="text1"/>
          <w:szCs w:val="24"/>
        </w:rPr>
        <w:t>Sh</w:t>
      </w:r>
      <w:r w:rsidRPr="00F72DEB">
        <w:rPr>
          <w:rFonts w:eastAsiaTheme="minorHAnsi"/>
          <w:color w:val="000000" w:themeColor="text1"/>
          <w:szCs w:val="24"/>
        </w:rPr>
        <w:t>e does not elaborate further or specify a request for Board consideration of any additional conditions.</w:t>
      </w:r>
      <w:r>
        <w:rPr>
          <w:color w:val="000000" w:themeColor="text1"/>
        </w:rPr>
        <w:t xml:space="preserve"> </w:t>
      </w:r>
    </w:p>
    <w:p w:rsidR="00D50B3F" w:rsidRPr="001F29F9" w:rsidRDefault="00D50B3F" w:rsidP="00D50B3F">
      <w:pPr>
        <w:pBdr>
          <w:bottom w:val="single" w:sz="12" w:space="1" w:color="auto"/>
        </w:pBdr>
        <w:tabs>
          <w:tab w:val="left" w:pos="288"/>
          <w:tab w:val="left" w:pos="4752"/>
        </w:tabs>
        <w:jc w:val="both"/>
        <w:rPr>
          <w:color w:val="000000"/>
        </w:rPr>
      </w:pPr>
    </w:p>
    <w:p w:rsidR="00D50B3F" w:rsidRPr="001F29F9" w:rsidRDefault="00D50B3F" w:rsidP="00D50B3F">
      <w:pPr>
        <w:tabs>
          <w:tab w:val="left" w:pos="288"/>
          <w:tab w:val="left" w:pos="4752"/>
        </w:tabs>
        <w:jc w:val="both"/>
        <w:rPr>
          <w:color w:val="000000"/>
        </w:rPr>
      </w:pPr>
    </w:p>
    <w:p w:rsidR="00F14638" w:rsidRPr="00C566C9" w:rsidRDefault="00D50B3F" w:rsidP="00D50B3F">
      <w:pPr>
        <w:jc w:val="both"/>
        <w:rPr>
          <w:color w:val="auto"/>
        </w:rPr>
      </w:pPr>
      <w:r w:rsidRPr="006A714F">
        <w:rPr>
          <w:color w:val="auto"/>
          <w:u w:val="single"/>
        </w:rPr>
        <w:t>SCOPE OF REVIEW</w:t>
      </w:r>
      <w:r>
        <w:rPr>
          <w:color w:val="auto"/>
        </w:rPr>
        <w:t xml:space="preserve">:  </w:t>
      </w:r>
      <w:r w:rsidR="0059250D" w:rsidRPr="0059250D">
        <w:rPr>
          <w:color w:val="auto"/>
        </w:rPr>
        <w:t>The Board wishes to clarify that the scope of its review as defined in Department of Defense Instruction (</w:t>
      </w:r>
      <w:proofErr w:type="spellStart"/>
      <w:r w:rsidR="0059250D" w:rsidRPr="0059250D">
        <w:rPr>
          <w:color w:val="auto"/>
        </w:rPr>
        <w:t>DoDI</w:t>
      </w:r>
      <w:proofErr w:type="spellEnd"/>
      <w:r w:rsidR="0059250D" w:rsidRPr="0059250D">
        <w:rPr>
          <w:color w:val="auto"/>
        </w:rPr>
        <w:t>) 6040.44 (Enclosure 3, paragraph 5.e.2) is limited to those conditions which were determined by the PEB to be specifically unfitting for continued military service; or, when requested by the CI, those condition(s) “identified but not determined to be unfitting by the PEB</w:t>
      </w:r>
      <w:r w:rsidR="00E869FD">
        <w:rPr>
          <w:color w:val="auto"/>
        </w:rPr>
        <w:t>.”</w:t>
      </w:r>
      <w:r w:rsidR="0059250D" w:rsidRPr="0059250D">
        <w:rPr>
          <w:color w:val="auto"/>
        </w:rPr>
        <w:t xml:space="preserve">  The rating for the unfitting </w:t>
      </w:r>
      <w:r w:rsidR="0059250D" w:rsidRPr="00D45078">
        <w:rPr>
          <w:rFonts w:cstheme="minorHAnsi"/>
          <w:color w:val="000000"/>
          <w:szCs w:val="24"/>
        </w:rPr>
        <w:t xml:space="preserve">right knee </w:t>
      </w:r>
      <w:r w:rsidR="0059250D" w:rsidRPr="0059250D">
        <w:rPr>
          <w:color w:val="auto"/>
        </w:rPr>
        <w:t xml:space="preserve">condition is addressed below; but, since they were not requested for review, the </w:t>
      </w:r>
      <w:r w:rsidR="0059250D">
        <w:rPr>
          <w:color w:val="auto"/>
        </w:rPr>
        <w:t>remaining</w:t>
      </w:r>
      <w:r w:rsidR="0059250D" w:rsidRPr="0059250D">
        <w:rPr>
          <w:color w:val="auto"/>
        </w:rPr>
        <w:t xml:space="preserve"> conditions determined to be not unfitting by the PEB are not within the </w:t>
      </w:r>
      <w:proofErr w:type="spellStart"/>
      <w:r w:rsidR="0059250D" w:rsidRPr="0059250D">
        <w:rPr>
          <w:color w:val="auto"/>
        </w:rPr>
        <w:t>DoDI</w:t>
      </w:r>
      <w:proofErr w:type="spellEnd"/>
      <w:r w:rsidR="0059250D" w:rsidRPr="0059250D">
        <w:rPr>
          <w:color w:val="auto"/>
        </w:rPr>
        <w:t xml:space="preserve"> 6040.44 defined purview of the Board.  Those, and any other conditions or contention not requested in this application, remain eligible for future consideration by the Army Board for Correction of Military Records.</w:t>
      </w:r>
    </w:p>
    <w:p w:rsidR="0059250D" w:rsidRDefault="0059250D">
      <w:pPr>
        <w:spacing w:line="240" w:lineRule="auto"/>
        <w:jc w:val="left"/>
        <w:rPr>
          <w:color w:val="000000"/>
          <w:u w:val="single"/>
        </w:rPr>
      </w:pPr>
      <w:r>
        <w:rPr>
          <w:color w:val="000000"/>
          <w:u w:val="single"/>
        </w:rPr>
        <w:br w:type="page"/>
      </w:r>
    </w:p>
    <w:p w:rsidR="00AD2379" w:rsidRPr="001F29F9" w:rsidRDefault="00AD2379" w:rsidP="00BF0E94">
      <w:pPr>
        <w:jc w:val="left"/>
        <w:rPr>
          <w:color w:val="000000"/>
        </w:rPr>
      </w:pPr>
      <w:r w:rsidRPr="001F29F9">
        <w:rPr>
          <w:color w:val="000000"/>
          <w:u w:val="single"/>
        </w:rPr>
        <w:lastRenderedPageBreak/>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178"/>
        <w:gridCol w:w="1080"/>
        <w:gridCol w:w="720"/>
        <w:gridCol w:w="2610"/>
        <w:gridCol w:w="1080"/>
        <w:gridCol w:w="720"/>
        <w:gridCol w:w="960"/>
      </w:tblGrid>
      <w:tr w:rsidR="003364C8" w:rsidRPr="000D5DBE" w:rsidTr="00A36444">
        <w:trPr>
          <w:trHeight w:val="170"/>
        </w:trPr>
        <w:tc>
          <w:tcPr>
            <w:tcW w:w="3978" w:type="dxa"/>
            <w:gridSpan w:val="3"/>
            <w:tcBorders>
              <w:right w:val="thinThickThinSmallGap" w:sz="24" w:space="0" w:color="auto"/>
            </w:tcBorders>
            <w:shd w:val="clear" w:color="auto" w:fill="D9D9D9"/>
            <w:vAlign w:val="center"/>
          </w:tcPr>
          <w:p w:rsidR="003364C8" w:rsidRPr="001F29F9" w:rsidRDefault="003364C8" w:rsidP="003364C8">
            <w:pPr>
              <w:contextualSpacing/>
              <w:rPr>
                <w:rFonts w:cs="Calibri"/>
                <w:b/>
                <w:color w:val="000000" w:themeColor="text1"/>
                <w:sz w:val="18"/>
                <w:szCs w:val="18"/>
              </w:rPr>
            </w:pPr>
            <w:r w:rsidRPr="001F29F9">
              <w:rPr>
                <w:rFonts w:cs="Calibri"/>
                <w:b/>
                <w:color w:val="000000" w:themeColor="text1"/>
                <w:sz w:val="18"/>
                <w:szCs w:val="18"/>
              </w:rPr>
              <w:t>Service PEB – Dated 200</w:t>
            </w:r>
            <w:r>
              <w:rPr>
                <w:rFonts w:cs="Calibri"/>
                <w:b/>
                <w:color w:val="000000" w:themeColor="text1"/>
                <w:sz w:val="18"/>
                <w:szCs w:val="18"/>
              </w:rPr>
              <w:t>70103</w:t>
            </w:r>
          </w:p>
        </w:tc>
        <w:tc>
          <w:tcPr>
            <w:tcW w:w="5370" w:type="dxa"/>
            <w:gridSpan w:val="4"/>
            <w:tcBorders>
              <w:left w:val="thinThickThinSmallGap" w:sz="24" w:space="0" w:color="auto"/>
            </w:tcBorders>
            <w:shd w:val="clear" w:color="auto" w:fill="D9D9D9"/>
            <w:vAlign w:val="center"/>
          </w:tcPr>
          <w:p w:rsidR="003364C8" w:rsidRPr="001F29F9" w:rsidRDefault="003364C8" w:rsidP="003364C8">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2</w:t>
            </w:r>
            <w:r w:rsidRPr="001F29F9">
              <w:rPr>
                <w:rFonts w:cs="Calibri"/>
                <w:b/>
                <w:color w:val="000000" w:themeColor="text1"/>
                <w:sz w:val="18"/>
                <w:szCs w:val="18"/>
              </w:rPr>
              <w:t xml:space="preserve"> Mo</w:t>
            </w:r>
            <w:r>
              <w:rPr>
                <w:rFonts w:cs="Calibri"/>
                <w:b/>
                <w:color w:val="000000" w:themeColor="text1"/>
                <w:sz w:val="18"/>
                <w:szCs w:val="18"/>
              </w:rPr>
              <w:t>s</w:t>
            </w:r>
            <w:r w:rsidRPr="00C705D7">
              <w:rPr>
                <w:rFonts w:cs="Calibri"/>
                <w:b/>
                <w:color w:val="000000" w:themeColor="text1"/>
                <w:sz w:val="18"/>
                <w:szCs w:val="18"/>
              </w:rPr>
              <w:t xml:space="preserve">. </w:t>
            </w:r>
            <w:r>
              <w:rPr>
                <w:rFonts w:cs="Calibri"/>
                <w:b/>
                <w:color w:val="000000" w:themeColor="text1"/>
                <w:sz w:val="18"/>
                <w:szCs w:val="18"/>
              </w:rPr>
              <w:t>Post-</w:t>
            </w:r>
            <w:r w:rsidRPr="00C705D7">
              <w:rPr>
                <w:rFonts w:cs="Calibri"/>
                <w:b/>
                <w:color w:val="000000" w:themeColor="text1"/>
                <w:sz w:val="18"/>
                <w:szCs w:val="18"/>
              </w:rPr>
              <w:t>Separation</w:t>
            </w:r>
            <w:r w:rsidRPr="001F29F9">
              <w:rPr>
                <w:rFonts w:cs="Calibri"/>
                <w:b/>
                <w:color w:val="000000" w:themeColor="text1"/>
                <w:sz w:val="18"/>
                <w:szCs w:val="18"/>
              </w:rPr>
              <w:t>) –Effective 200</w:t>
            </w:r>
            <w:r>
              <w:rPr>
                <w:rFonts w:cs="Calibri"/>
                <w:b/>
                <w:color w:val="000000" w:themeColor="text1"/>
                <w:sz w:val="18"/>
                <w:szCs w:val="18"/>
              </w:rPr>
              <w:t>70301</w:t>
            </w:r>
          </w:p>
        </w:tc>
      </w:tr>
      <w:tr w:rsidR="00261B7E" w:rsidRPr="000D5DBE" w:rsidTr="003364C8">
        <w:trPr>
          <w:trHeight w:val="97"/>
        </w:trPr>
        <w:tc>
          <w:tcPr>
            <w:tcW w:w="217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261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108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96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59250D" w:rsidRPr="000D5DBE" w:rsidTr="00727940">
        <w:trPr>
          <w:trHeight w:val="118"/>
        </w:trPr>
        <w:tc>
          <w:tcPr>
            <w:tcW w:w="2178" w:type="dxa"/>
            <w:tcBorders>
              <w:right w:val="single" w:sz="4" w:space="0" w:color="auto"/>
            </w:tcBorders>
            <w:shd w:val="clear" w:color="auto" w:fill="FFFFFF"/>
            <w:vAlign w:val="center"/>
          </w:tcPr>
          <w:p w:rsidR="0059250D" w:rsidRPr="001F29F9" w:rsidRDefault="0059250D" w:rsidP="00727940">
            <w:pPr>
              <w:spacing w:line="220" w:lineRule="exact"/>
              <w:contextualSpacing/>
              <w:jc w:val="left"/>
              <w:rPr>
                <w:rFonts w:cs="Calibri"/>
                <w:color w:val="000000" w:themeColor="text1"/>
                <w:sz w:val="18"/>
                <w:szCs w:val="18"/>
              </w:rPr>
            </w:pPr>
            <w:r>
              <w:rPr>
                <w:rFonts w:cs="Calibri"/>
                <w:color w:val="000000" w:themeColor="text1"/>
                <w:sz w:val="18"/>
                <w:szCs w:val="18"/>
              </w:rPr>
              <w:t>Chronic Left Knee Pain</w:t>
            </w:r>
          </w:p>
        </w:tc>
        <w:tc>
          <w:tcPr>
            <w:tcW w:w="1080" w:type="dxa"/>
            <w:tcBorders>
              <w:left w:val="single" w:sz="4" w:space="0" w:color="auto"/>
            </w:tcBorders>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Pr>
                <w:rFonts w:cs="Calibri"/>
                <w:color w:val="000000" w:themeColor="text1"/>
                <w:sz w:val="18"/>
                <w:szCs w:val="18"/>
              </w:rPr>
              <w:t>5099-5003</w:t>
            </w:r>
          </w:p>
        </w:tc>
        <w:tc>
          <w:tcPr>
            <w:tcW w:w="720" w:type="dxa"/>
            <w:tcBorders>
              <w:right w:val="thinThickThinSmallGap" w:sz="24" w:space="0" w:color="auto"/>
            </w:tcBorders>
            <w:shd w:val="clear" w:color="auto" w:fill="FFFFFF"/>
            <w:vAlign w:val="center"/>
          </w:tcPr>
          <w:p w:rsidR="0059250D" w:rsidRPr="001F29F9" w:rsidRDefault="0059250D" w:rsidP="00727940">
            <w:pPr>
              <w:spacing w:line="220" w:lineRule="exact"/>
              <w:rPr>
                <w:rFonts w:cs="Calibri"/>
                <w:color w:val="000000" w:themeColor="text1"/>
                <w:sz w:val="18"/>
                <w:szCs w:val="18"/>
              </w:rPr>
            </w:pPr>
            <w:r>
              <w:rPr>
                <w:rFonts w:cs="Calibri"/>
                <w:color w:val="000000" w:themeColor="text1"/>
                <w:sz w:val="18"/>
                <w:szCs w:val="18"/>
              </w:rPr>
              <w:t>0</w:t>
            </w:r>
            <w:r w:rsidRPr="001F29F9">
              <w:rPr>
                <w:rFonts w:cs="Calibri"/>
                <w:color w:val="000000" w:themeColor="text1"/>
                <w:sz w:val="18"/>
                <w:szCs w:val="18"/>
              </w:rPr>
              <w:t>%</w:t>
            </w:r>
          </w:p>
        </w:tc>
        <w:tc>
          <w:tcPr>
            <w:tcW w:w="2610" w:type="dxa"/>
            <w:tcBorders>
              <w:left w:val="thinThickThinSmallGap" w:sz="24" w:space="0" w:color="auto"/>
            </w:tcBorders>
            <w:shd w:val="clear" w:color="auto" w:fill="FFFFFF"/>
            <w:vAlign w:val="center"/>
          </w:tcPr>
          <w:p w:rsidR="0059250D" w:rsidRPr="001F29F9" w:rsidRDefault="0059250D" w:rsidP="00727940">
            <w:pPr>
              <w:spacing w:line="220" w:lineRule="exact"/>
              <w:contextualSpacing/>
              <w:jc w:val="left"/>
              <w:rPr>
                <w:rFonts w:cs="Calibri"/>
                <w:color w:val="000000" w:themeColor="text1"/>
                <w:sz w:val="18"/>
                <w:szCs w:val="18"/>
              </w:rPr>
            </w:pPr>
            <w:r>
              <w:rPr>
                <w:rFonts w:cs="Calibri"/>
                <w:color w:val="000000" w:themeColor="text1"/>
                <w:sz w:val="18"/>
                <w:szCs w:val="18"/>
              </w:rPr>
              <w:t>Residuals, Left Knee</w:t>
            </w:r>
          </w:p>
        </w:tc>
        <w:tc>
          <w:tcPr>
            <w:tcW w:w="1080" w:type="dxa"/>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Pr>
                <w:rFonts w:cs="Calibri"/>
                <w:color w:val="000000" w:themeColor="text1"/>
                <w:sz w:val="18"/>
                <w:szCs w:val="18"/>
              </w:rPr>
              <w:t>5260</w:t>
            </w:r>
          </w:p>
        </w:tc>
        <w:tc>
          <w:tcPr>
            <w:tcW w:w="720" w:type="dxa"/>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60" w:type="dxa"/>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70508</w:t>
            </w:r>
          </w:p>
        </w:tc>
      </w:tr>
      <w:tr w:rsidR="0059250D" w:rsidRPr="000D5DBE" w:rsidTr="00727940">
        <w:trPr>
          <w:trHeight w:val="97"/>
        </w:trPr>
        <w:tc>
          <w:tcPr>
            <w:tcW w:w="2178" w:type="dxa"/>
            <w:tcBorders>
              <w:right w:val="single" w:sz="4" w:space="0" w:color="auto"/>
            </w:tcBorders>
            <w:shd w:val="clear" w:color="auto" w:fill="FFFFFF"/>
            <w:vAlign w:val="center"/>
          </w:tcPr>
          <w:p w:rsidR="0059250D" w:rsidRPr="001F29F9" w:rsidRDefault="0059250D" w:rsidP="00727940">
            <w:pPr>
              <w:spacing w:line="220" w:lineRule="exact"/>
              <w:contextualSpacing/>
              <w:jc w:val="left"/>
              <w:rPr>
                <w:rFonts w:cs="Calibri"/>
                <w:color w:val="000000" w:themeColor="text1"/>
                <w:sz w:val="18"/>
                <w:szCs w:val="18"/>
              </w:rPr>
            </w:pPr>
            <w:r>
              <w:rPr>
                <w:rFonts w:cs="Calibri"/>
                <w:color w:val="000000" w:themeColor="text1"/>
                <w:sz w:val="18"/>
                <w:szCs w:val="18"/>
              </w:rPr>
              <w:t>Carpal Tunnel Right Wrist</w:t>
            </w:r>
          </w:p>
        </w:tc>
        <w:tc>
          <w:tcPr>
            <w:tcW w:w="1800" w:type="dxa"/>
            <w:gridSpan w:val="2"/>
            <w:tcBorders>
              <w:left w:val="single" w:sz="4" w:space="0" w:color="auto"/>
              <w:right w:val="thinThickThinSmallGap" w:sz="24" w:space="0" w:color="auto"/>
            </w:tcBorders>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59250D" w:rsidRPr="001F29F9" w:rsidRDefault="0059250D" w:rsidP="00727940">
            <w:pPr>
              <w:spacing w:line="220" w:lineRule="exact"/>
              <w:contextualSpacing/>
              <w:jc w:val="left"/>
              <w:rPr>
                <w:rFonts w:cs="Calibri"/>
                <w:color w:val="000000" w:themeColor="text1"/>
                <w:sz w:val="18"/>
                <w:szCs w:val="18"/>
              </w:rPr>
            </w:pPr>
            <w:proofErr w:type="spellStart"/>
            <w:r>
              <w:rPr>
                <w:rFonts w:cs="Calibri"/>
                <w:color w:val="000000" w:themeColor="text1"/>
                <w:sz w:val="18"/>
                <w:szCs w:val="18"/>
              </w:rPr>
              <w:t>Tendonitus</w:t>
            </w:r>
            <w:proofErr w:type="spellEnd"/>
            <w:r>
              <w:rPr>
                <w:rFonts w:cs="Calibri"/>
                <w:color w:val="000000" w:themeColor="text1"/>
                <w:sz w:val="18"/>
                <w:szCs w:val="18"/>
              </w:rPr>
              <w:t>, Right Wrist/Hand</w:t>
            </w:r>
          </w:p>
        </w:tc>
        <w:tc>
          <w:tcPr>
            <w:tcW w:w="1080" w:type="dxa"/>
            <w:tcBorders>
              <w:left w:val="single" w:sz="4" w:space="0" w:color="auto"/>
            </w:tcBorders>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Pr>
                <w:rFonts w:cs="Calibri"/>
                <w:color w:val="000000" w:themeColor="text1"/>
                <w:sz w:val="18"/>
                <w:szCs w:val="18"/>
              </w:rPr>
              <w:t>5215</w:t>
            </w:r>
          </w:p>
        </w:tc>
        <w:tc>
          <w:tcPr>
            <w:tcW w:w="720" w:type="dxa"/>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60" w:type="dxa"/>
            <w:shd w:val="clear" w:color="auto" w:fill="FFFFFF"/>
            <w:vAlign w:val="center"/>
          </w:tcPr>
          <w:p w:rsidR="0059250D" w:rsidRPr="001F29F9" w:rsidRDefault="0059250D" w:rsidP="0072794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70508</w:t>
            </w:r>
          </w:p>
        </w:tc>
      </w:tr>
      <w:tr w:rsidR="003364C8" w:rsidRPr="000D5DBE" w:rsidTr="00727940">
        <w:trPr>
          <w:trHeight w:val="97"/>
        </w:trPr>
        <w:tc>
          <w:tcPr>
            <w:tcW w:w="2178" w:type="dxa"/>
            <w:tcBorders>
              <w:right w:val="single" w:sz="4" w:space="0" w:color="auto"/>
            </w:tcBorders>
            <w:shd w:val="clear" w:color="auto" w:fill="FFFFFF"/>
            <w:vAlign w:val="center"/>
          </w:tcPr>
          <w:p w:rsidR="003364C8" w:rsidRPr="001F29F9" w:rsidRDefault="003364C8" w:rsidP="00727940">
            <w:pPr>
              <w:spacing w:line="220" w:lineRule="exact"/>
              <w:contextualSpacing/>
              <w:jc w:val="left"/>
              <w:rPr>
                <w:rFonts w:cs="Calibri"/>
                <w:color w:val="000000" w:themeColor="text1"/>
                <w:sz w:val="18"/>
                <w:szCs w:val="18"/>
              </w:rPr>
            </w:pPr>
            <w:r>
              <w:rPr>
                <w:rFonts w:cs="Calibri"/>
                <w:color w:val="000000" w:themeColor="text1"/>
                <w:sz w:val="18"/>
                <w:szCs w:val="18"/>
              </w:rPr>
              <w:t>Goiter</w:t>
            </w:r>
          </w:p>
        </w:tc>
        <w:tc>
          <w:tcPr>
            <w:tcW w:w="1800" w:type="dxa"/>
            <w:gridSpan w:val="2"/>
            <w:tcBorders>
              <w:left w:val="single" w:sz="4" w:space="0" w:color="auto"/>
              <w:right w:val="thinThickThinSmallGap" w:sz="24" w:space="0" w:color="auto"/>
            </w:tcBorders>
            <w:shd w:val="clear" w:color="auto" w:fill="FFFFFF"/>
            <w:vAlign w:val="center"/>
          </w:tcPr>
          <w:p w:rsidR="003364C8" w:rsidRPr="001F29F9" w:rsidRDefault="003364C8" w:rsidP="00727940">
            <w:pPr>
              <w:spacing w:line="220" w:lineRule="exact"/>
              <w:contextualSpacing/>
              <w:rPr>
                <w:rFonts w:cs="Calibri"/>
                <w:color w:val="000000" w:themeColor="text1"/>
                <w:sz w:val="18"/>
                <w:szCs w:val="18"/>
              </w:rPr>
            </w:pPr>
            <w:r w:rsidRPr="001F29F9">
              <w:rPr>
                <w:rFonts w:cs="Calibri"/>
                <w:color w:val="000000" w:themeColor="text1"/>
                <w:sz w:val="18"/>
                <w:szCs w:val="18"/>
              </w:rPr>
              <w:t>Not Unfitting</w:t>
            </w:r>
          </w:p>
        </w:tc>
        <w:tc>
          <w:tcPr>
            <w:tcW w:w="2610" w:type="dxa"/>
            <w:tcBorders>
              <w:left w:val="thinThickThinSmallGap" w:sz="24" w:space="0" w:color="auto"/>
              <w:right w:val="single" w:sz="4" w:space="0" w:color="auto"/>
            </w:tcBorders>
            <w:shd w:val="clear" w:color="auto" w:fill="FFFFFF"/>
            <w:vAlign w:val="center"/>
          </w:tcPr>
          <w:p w:rsidR="003364C8" w:rsidRDefault="003364C8" w:rsidP="00727940">
            <w:pPr>
              <w:spacing w:line="220" w:lineRule="exact"/>
              <w:contextualSpacing/>
              <w:jc w:val="left"/>
              <w:rPr>
                <w:rFonts w:cs="Calibri"/>
                <w:color w:val="000000" w:themeColor="text1"/>
                <w:sz w:val="18"/>
                <w:szCs w:val="18"/>
              </w:rPr>
            </w:pPr>
            <w:r>
              <w:rPr>
                <w:rFonts w:cs="Calibri"/>
                <w:color w:val="000000" w:themeColor="text1"/>
                <w:sz w:val="18"/>
                <w:szCs w:val="18"/>
              </w:rPr>
              <w:t>Thyroid Condition</w:t>
            </w:r>
          </w:p>
        </w:tc>
        <w:tc>
          <w:tcPr>
            <w:tcW w:w="1080" w:type="dxa"/>
            <w:tcBorders>
              <w:left w:val="single" w:sz="4" w:space="0" w:color="auto"/>
            </w:tcBorders>
            <w:shd w:val="clear" w:color="auto" w:fill="FFFFFF"/>
            <w:vAlign w:val="center"/>
          </w:tcPr>
          <w:p w:rsidR="003364C8" w:rsidRDefault="003364C8" w:rsidP="00727940">
            <w:pPr>
              <w:spacing w:line="220" w:lineRule="exact"/>
              <w:contextualSpacing/>
              <w:rPr>
                <w:rFonts w:cs="Calibri"/>
                <w:color w:val="000000" w:themeColor="text1"/>
                <w:sz w:val="18"/>
                <w:szCs w:val="18"/>
              </w:rPr>
            </w:pPr>
            <w:r>
              <w:rPr>
                <w:rFonts w:cs="Calibri"/>
                <w:color w:val="000000" w:themeColor="text1"/>
                <w:sz w:val="18"/>
                <w:szCs w:val="18"/>
              </w:rPr>
              <w:t>7999-7900</w:t>
            </w:r>
          </w:p>
        </w:tc>
        <w:tc>
          <w:tcPr>
            <w:tcW w:w="720" w:type="dxa"/>
            <w:shd w:val="clear" w:color="auto" w:fill="FFFFFF"/>
            <w:vAlign w:val="center"/>
          </w:tcPr>
          <w:p w:rsidR="003364C8" w:rsidRDefault="003364C8" w:rsidP="00727940">
            <w:pPr>
              <w:spacing w:line="220" w:lineRule="exact"/>
              <w:contextualSpacing/>
              <w:rPr>
                <w:rFonts w:cs="Calibri"/>
                <w:color w:val="000000" w:themeColor="text1"/>
                <w:sz w:val="18"/>
                <w:szCs w:val="18"/>
              </w:rPr>
            </w:pPr>
            <w:r>
              <w:rPr>
                <w:rFonts w:cs="Calibri"/>
                <w:color w:val="000000" w:themeColor="text1"/>
                <w:sz w:val="18"/>
                <w:szCs w:val="18"/>
              </w:rPr>
              <w:t>NSC</w:t>
            </w:r>
          </w:p>
        </w:tc>
        <w:tc>
          <w:tcPr>
            <w:tcW w:w="960" w:type="dxa"/>
            <w:shd w:val="clear" w:color="auto" w:fill="FFFFFF"/>
            <w:vAlign w:val="center"/>
          </w:tcPr>
          <w:p w:rsidR="003364C8" w:rsidRPr="001F29F9" w:rsidRDefault="003364C8" w:rsidP="00727940">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70508</w:t>
            </w:r>
          </w:p>
        </w:tc>
      </w:tr>
      <w:tr w:rsidR="003364C8" w:rsidRPr="000D5DBE" w:rsidTr="00727940">
        <w:trPr>
          <w:trHeight w:val="97"/>
        </w:trPr>
        <w:tc>
          <w:tcPr>
            <w:tcW w:w="2178" w:type="dxa"/>
            <w:tcBorders>
              <w:right w:val="single" w:sz="4" w:space="0" w:color="auto"/>
            </w:tcBorders>
            <w:shd w:val="clear" w:color="auto" w:fill="FFFFFF"/>
            <w:vAlign w:val="center"/>
          </w:tcPr>
          <w:p w:rsidR="003364C8" w:rsidRPr="001F29F9" w:rsidRDefault="003364C8" w:rsidP="00727940">
            <w:pPr>
              <w:spacing w:line="220" w:lineRule="exact"/>
              <w:contextualSpacing/>
              <w:jc w:val="left"/>
              <w:rPr>
                <w:rFonts w:cs="Calibri"/>
                <w:color w:val="000000" w:themeColor="text1"/>
                <w:sz w:val="18"/>
                <w:szCs w:val="18"/>
              </w:rPr>
            </w:pPr>
            <w:proofErr w:type="spellStart"/>
            <w:r>
              <w:rPr>
                <w:rFonts w:cs="Calibri"/>
                <w:color w:val="000000" w:themeColor="text1"/>
                <w:sz w:val="18"/>
                <w:szCs w:val="18"/>
              </w:rPr>
              <w:t>Hyperlipidemia</w:t>
            </w:r>
            <w:proofErr w:type="spellEnd"/>
          </w:p>
        </w:tc>
        <w:tc>
          <w:tcPr>
            <w:tcW w:w="1800" w:type="dxa"/>
            <w:gridSpan w:val="2"/>
            <w:tcBorders>
              <w:left w:val="single" w:sz="4" w:space="0" w:color="auto"/>
              <w:right w:val="thinThickThinSmallGap" w:sz="24" w:space="0" w:color="auto"/>
            </w:tcBorders>
            <w:shd w:val="clear" w:color="auto" w:fill="FFFFFF"/>
            <w:vAlign w:val="center"/>
          </w:tcPr>
          <w:p w:rsidR="003364C8" w:rsidRPr="00D8352E" w:rsidRDefault="003364C8" w:rsidP="00727940">
            <w:pPr>
              <w:spacing w:line="220" w:lineRule="exact"/>
              <w:contextualSpacing/>
              <w:rPr>
                <w:color w:val="000000"/>
                <w:sz w:val="18"/>
              </w:rPr>
            </w:pPr>
            <w:r w:rsidRPr="00D8352E">
              <w:rPr>
                <w:color w:val="000000"/>
                <w:sz w:val="18"/>
              </w:rPr>
              <w:t>Not Unfitting</w:t>
            </w:r>
          </w:p>
        </w:tc>
        <w:tc>
          <w:tcPr>
            <w:tcW w:w="4410" w:type="dxa"/>
            <w:gridSpan w:val="3"/>
            <w:tcBorders>
              <w:left w:val="thinThickThinSmallGap" w:sz="24" w:space="0" w:color="auto"/>
            </w:tcBorders>
            <w:shd w:val="clear" w:color="auto" w:fill="FFFFFF"/>
            <w:vAlign w:val="center"/>
          </w:tcPr>
          <w:p w:rsidR="003364C8" w:rsidRPr="00D8352E" w:rsidRDefault="003364C8" w:rsidP="00727940">
            <w:pPr>
              <w:spacing w:line="220" w:lineRule="exact"/>
              <w:contextualSpacing/>
              <w:rPr>
                <w:color w:val="000000"/>
                <w:sz w:val="18"/>
              </w:rPr>
            </w:pPr>
            <w:r>
              <w:rPr>
                <w:color w:val="000000"/>
                <w:sz w:val="18"/>
              </w:rPr>
              <w:t>Not Ratable</w:t>
            </w:r>
          </w:p>
        </w:tc>
        <w:tc>
          <w:tcPr>
            <w:tcW w:w="960" w:type="dxa"/>
            <w:shd w:val="clear" w:color="auto" w:fill="FFFFFF"/>
            <w:vAlign w:val="center"/>
          </w:tcPr>
          <w:p w:rsidR="003364C8" w:rsidRPr="00D8352E" w:rsidRDefault="003364C8" w:rsidP="00727940">
            <w:pPr>
              <w:spacing w:line="220" w:lineRule="exact"/>
              <w:contextualSpacing/>
              <w:rPr>
                <w:color w:val="000000"/>
                <w:sz w:val="18"/>
              </w:rPr>
            </w:pPr>
            <w:r w:rsidRPr="001F29F9">
              <w:rPr>
                <w:rFonts w:cs="Calibri"/>
                <w:color w:val="000000" w:themeColor="text1"/>
                <w:sz w:val="18"/>
                <w:szCs w:val="18"/>
              </w:rPr>
              <w:t>200</w:t>
            </w:r>
            <w:r>
              <w:rPr>
                <w:rFonts w:cs="Calibri"/>
                <w:color w:val="000000" w:themeColor="text1"/>
                <w:sz w:val="18"/>
                <w:szCs w:val="18"/>
              </w:rPr>
              <w:t>70508</w:t>
            </w:r>
          </w:p>
        </w:tc>
      </w:tr>
      <w:tr w:rsidR="003364C8" w:rsidRPr="000D5DBE" w:rsidTr="00727940">
        <w:trPr>
          <w:trHeight w:val="97"/>
        </w:trPr>
        <w:tc>
          <w:tcPr>
            <w:tcW w:w="2178" w:type="dxa"/>
            <w:tcBorders>
              <w:right w:val="single" w:sz="4" w:space="0" w:color="auto"/>
            </w:tcBorders>
            <w:shd w:val="clear" w:color="auto" w:fill="FFFFFF"/>
            <w:vAlign w:val="center"/>
          </w:tcPr>
          <w:p w:rsidR="003364C8" w:rsidRPr="001F29F9" w:rsidRDefault="003364C8" w:rsidP="00727940">
            <w:pPr>
              <w:spacing w:line="220" w:lineRule="exact"/>
              <w:contextualSpacing/>
              <w:jc w:val="left"/>
              <w:rPr>
                <w:rFonts w:cs="Calibri"/>
                <w:color w:val="000000" w:themeColor="text1"/>
                <w:sz w:val="18"/>
                <w:szCs w:val="18"/>
              </w:rPr>
            </w:pPr>
            <w:r>
              <w:rPr>
                <w:rFonts w:cs="Calibri"/>
                <w:color w:val="000000" w:themeColor="text1"/>
                <w:sz w:val="18"/>
                <w:szCs w:val="18"/>
              </w:rPr>
              <w:t>Periodontal Disease</w:t>
            </w:r>
          </w:p>
        </w:tc>
        <w:tc>
          <w:tcPr>
            <w:tcW w:w="1800" w:type="dxa"/>
            <w:gridSpan w:val="2"/>
            <w:tcBorders>
              <w:left w:val="single" w:sz="4" w:space="0" w:color="auto"/>
              <w:right w:val="thinThickThinSmallGap" w:sz="24" w:space="0" w:color="auto"/>
            </w:tcBorders>
            <w:shd w:val="clear" w:color="auto" w:fill="FFFFFF"/>
            <w:vAlign w:val="center"/>
          </w:tcPr>
          <w:p w:rsidR="003364C8" w:rsidRPr="00D8352E" w:rsidRDefault="003364C8" w:rsidP="00727940">
            <w:pPr>
              <w:spacing w:line="220" w:lineRule="exact"/>
              <w:contextualSpacing/>
              <w:rPr>
                <w:color w:val="000000"/>
                <w:sz w:val="18"/>
              </w:rPr>
            </w:pPr>
            <w:r w:rsidRPr="00D8352E">
              <w:rPr>
                <w:color w:val="000000"/>
                <w:sz w:val="18"/>
              </w:rPr>
              <w:t>Not Unfitting</w:t>
            </w:r>
          </w:p>
        </w:tc>
        <w:tc>
          <w:tcPr>
            <w:tcW w:w="4410" w:type="dxa"/>
            <w:gridSpan w:val="3"/>
            <w:tcBorders>
              <w:left w:val="thinThickThinSmallGap" w:sz="24" w:space="0" w:color="auto"/>
            </w:tcBorders>
            <w:shd w:val="clear" w:color="auto" w:fill="FFFFFF"/>
            <w:vAlign w:val="center"/>
          </w:tcPr>
          <w:p w:rsidR="003364C8" w:rsidRPr="00D8352E" w:rsidRDefault="003364C8" w:rsidP="00727940">
            <w:pPr>
              <w:spacing w:line="220" w:lineRule="exact"/>
              <w:contextualSpacing/>
              <w:rPr>
                <w:color w:val="000000"/>
                <w:sz w:val="18"/>
              </w:rPr>
            </w:pPr>
            <w:r>
              <w:rPr>
                <w:color w:val="000000"/>
                <w:sz w:val="18"/>
              </w:rPr>
              <w:t>No VA Entry</w:t>
            </w:r>
          </w:p>
        </w:tc>
        <w:tc>
          <w:tcPr>
            <w:tcW w:w="960" w:type="dxa"/>
            <w:shd w:val="clear" w:color="auto" w:fill="FFFFFF"/>
            <w:vAlign w:val="center"/>
          </w:tcPr>
          <w:p w:rsidR="003364C8" w:rsidRPr="00D8352E" w:rsidRDefault="003364C8" w:rsidP="00727940">
            <w:pPr>
              <w:spacing w:line="220" w:lineRule="exact"/>
              <w:contextualSpacing/>
              <w:rPr>
                <w:color w:val="000000"/>
                <w:sz w:val="18"/>
              </w:rPr>
            </w:pPr>
            <w:r w:rsidRPr="001F29F9">
              <w:rPr>
                <w:rFonts w:cs="Calibri"/>
                <w:color w:val="000000" w:themeColor="text1"/>
                <w:sz w:val="18"/>
                <w:szCs w:val="18"/>
              </w:rPr>
              <w:t>200</w:t>
            </w:r>
            <w:r>
              <w:rPr>
                <w:rFonts w:cs="Calibri"/>
                <w:color w:val="000000" w:themeColor="text1"/>
                <w:sz w:val="18"/>
                <w:szCs w:val="18"/>
              </w:rPr>
              <w:t>70508</w:t>
            </w:r>
          </w:p>
        </w:tc>
      </w:tr>
      <w:tr w:rsidR="00AD2379" w:rsidRPr="000D5DBE" w:rsidTr="00727940">
        <w:trPr>
          <w:trHeight w:val="172"/>
        </w:trPr>
        <w:tc>
          <w:tcPr>
            <w:tcW w:w="3978" w:type="dxa"/>
            <w:gridSpan w:val="3"/>
            <w:tcBorders>
              <w:right w:val="thinThickThinSmallGap" w:sz="24" w:space="0" w:color="auto"/>
            </w:tcBorders>
            <w:shd w:val="clear" w:color="auto" w:fill="FFFFFF"/>
            <w:vAlign w:val="center"/>
          </w:tcPr>
          <w:p w:rsidR="00AD2379" w:rsidRPr="001F29F9" w:rsidRDefault="00AD2379" w:rsidP="00727940">
            <w:pPr>
              <w:spacing w:line="220" w:lineRule="exact"/>
              <w:contextualSpacing/>
              <w:rPr>
                <w:rFonts w:cs="Calibri"/>
                <w:color w:val="000000"/>
                <w:sz w:val="18"/>
              </w:rPr>
            </w:pPr>
            <w:r w:rsidRPr="000D5DBE">
              <w:rPr>
                <w:color w:val="000000"/>
                <w:sz w:val="18"/>
              </w:rPr>
              <w:t>No Additional MEB/PEB Entries</w:t>
            </w:r>
          </w:p>
        </w:tc>
        <w:tc>
          <w:tcPr>
            <w:tcW w:w="4410" w:type="dxa"/>
            <w:gridSpan w:val="3"/>
            <w:tcBorders>
              <w:left w:val="thinThickThinSmallGap" w:sz="24" w:space="0" w:color="auto"/>
            </w:tcBorders>
            <w:shd w:val="clear" w:color="auto" w:fill="FFFFFF"/>
            <w:vAlign w:val="center"/>
          </w:tcPr>
          <w:p w:rsidR="00AD2379" w:rsidRPr="001F29F9" w:rsidRDefault="003364C8" w:rsidP="00727940">
            <w:pPr>
              <w:spacing w:line="220" w:lineRule="exact"/>
              <w:contextualSpacing/>
              <w:rPr>
                <w:rFonts w:cs="Calibri"/>
                <w:color w:val="000000"/>
                <w:sz w:val="18"/>
              </w:rPr>
            </w:pPr>
            <w:r>
              <w:rPr>
                <w:color w:val="000000"/>
                <w:sz w:val="18"/>
              </w:rPr>
              <w:t>0% X 1</w:t>
            </w:r>
            <w:r w:rsidR="001968BB">
              <w:rPr>
                <w:color w:val="000000"/>
                <w:sz w:val="18"/>
              </w:rPr>
              <w:t xml:space="preserve"> </w:t>
            </w:r>
            <w:r w:rsidR="00AD2379" w:rsidRPr="000D5DBE">
              <w:rPr>
                <w:color w:val="000000"/>
                <w:sz w:val="18"/>
              </w:rPr>
              <w:t>/</w:t>
            </w:r>
            <w:r w:rsidR="001968BB">
              <w:rPr>
                <w:color w:val="000000"/>
                <w:sz w:val="18"/>
              </w:rPr>
              <w:t xml:space="preserve"> </w:t>
            </w:r>
            <w:r w:rsidR="00AD2379" w:rsidRPr="000D5DBE">
              <w:rPr>
                <w:color w:val="000000"/>
                <w:sz w:val="18"/>
              </w:rPr>
              <w:t xml:space="preserve">Not Service Connected </w:t>
            </w:r>
            <w:r>
              <w:rPr>
                <w:color w:val="000000"/>
                <w:sz w:val="18"/>
              </w:rPr>
              <w:t xml:space="preserve">(NSC) </w:t>
            </w:r>
            <w:r w:rsidR="00AD2379" w:rsidRPr="000D5DBE">
              <w:rPr>
                <w:color w:val="000000"/>
                <w:sz w:val="18"/>
              </w:rPr>
              <w:t xml:space="preserve">x </w:t>
            </w:r>
            <w:r>
              <w:rPr>
                <w:color w:val="000000"/>
                <w:sz w:val="18"/>
              </w:rPr>
              <w:t>5 Additional</w:t>
            </w:r>
          </w:p>
        </w:tc>
        <w:tc>
          <w:tcPr>
            <w:tcW w:w="960" w:type="dxa"/>
            <w:shd w:val="clear" w:color="auto" w:fill="FFFFFF"/>
            <w:vAlign w:val="center"/>
          </w:tcPr>
          <w:p w:rsidR="00AD2379" w:rsidRPr="001F29F9" w:rsidRDefault="003364C8" w:rsidP="00727940">
            <w:pPr>
              <w:spacing w:line="220" w:lineRule="exact"/>
              <w:contextualSpacing/>
              <w:rPr>
                <w:rFonts w:cs="Calibri"/>
                <w:color w:val="000000"/>
                <w:sz w:val="18"/>
              </w:rPr>
            </w:pPr>
            <w:r w:rsidRPr="001F29F9">
              <w:rPr>
                <w:rFonts w:cs="Calibri"/>
                <w:color w:val="000000" w:themeColor="text1"/>
                <w:sz w:val="18"/>
                <w:szCs w:val="18"/>
              </w:rPr>
              <w:t>200</w:t>
            </w:r>
            <w:r>
              <w:rPr>
                <w:rFonts w:cs="Calibri"/>
                <w:color w:val="000000" w:themeColor="text1"/>
                <w:sz w:val="18"/>
                <w:szCs w:val="18"/>
              </w:rPr>
              <w:t>70508</w:t>
            </w:r>
          </w:p>
        </w:tc>
      </w:tr>
      <w:tr w:rsidR="00AD2379" w:rsidRPr="000D5DBE" w:rsidTr="00A36444">
        <w:trPr>
          <w:trHeight w:val="124"/>
        </w:trPr>
        <w:tc>
          <w:tcPr>
            <w:tcW w:w="3978" w:type="dxa"/>
            <w:gridSpan w:val="3"/>
            <w:tcBorders>
              <w:right w:val="thinThickThinSmallGap" w:sz="24" w:space="0" w:color="auto"/>
            </w:tcBorders>
            <w:shd w:val="clear" w:color="auto" w:fill="D9D9D9"/>
          </w:tcPr>
          <w:p w:rsidR="00AD2379" w:rsidRPr="000D5DBE" w:rsidRDefault="00E73175" w:rsidP="001968BB">
            <w:pPr>
              <w:contextualSpacing/>
              <w:rPr>
                <w:rFonts w:cs="Calibri"/>
                <w:b/>
                <w:color w:val="000000"/>
                <w:sz w:val="18"/>
              </w:rPr>
            </w:pPr>
            <w:r>
              <w:rPr>
                <w:b/>
                <w:color w:val="000000"/>
                <w:sz w:val="18"/>
              </w:rPr>
              <w:t xml:space="preserve">Combined:  </w:t>
            </w:r>
            <w:r w:rsidR="00AD2379" w:rsidRPr="000D5DBE">
              <w:rPr>
                <w:b/>
                <w:color w:val="000000"/>
                <w:sz w:val="18"/>
              </w:rPr>
              <w:t>0%</w:t>
            </w:r>
          </w:p>
        </w:tc>
        <w:tc>
          <w:tcPr>
            <w:tcW w:w="5370" w:type="dxa"/>
            <w:gridSpan w:val="4"/>
            <w:tcBorders>
              <w:left w:val="thinThickThinSmallGap" w:sz="24" w:space="0" w:color="auto"/>
            </w:tcBorders>
            <w:shd w:val="clear" w:color="auto" w:fill="D9D9D9"/>
          </w:tcPr>
          <w:p w:rsidR="00AD2379" w:rsidRPr="000D5DBE" w:rsidRDefault="003364C8" w:rsidP="001968BB">
            <w:pPr>
              <w:contextualSpacing/>
              <w:rPr>
                <w:rFonts w:cs="Calibri"/>
                <w:b/>
                <w:color w:val="000000"/>
                <w:sz w:val="18"/>
              </w:rPr>
            </w:pPr>
            <w:r>
              <w:rPr>
                <w:b/>
                <w:color w:val="000000"/>
                <w:sz w:val="18"/>
              </w:rPr>
              <w:t>Combined:  2</w:t>
            </w:r>
            <w:r w:rsidR="00AD2379" w:rsidRPr="000D5DBE">
              <w:rPr>
                <w:b/>
                <w:color w:val="000000"/>
                <w:sz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B21843" w:rsidRPr="00B21843" w:rsidRDefault="00E41C21" w:rsidP="00B21843">
      <w:pPr>
        <w:tabs>
          <w:tab w:val="left" w:pos="288"/>
          <w:tab w:val="left" w:pos="4752"/>
        </w:tabs>
        <w:jc w:val="both"/>
        <w:rPr>
          <w:rFonts w:eastAsia="Calibri"/>
          <w:color w:val="auto"/>
          <w:szCs w:val="24"/>
        </w:rPr>
      </w:pPr>
      <w:r w:rsidRPr="001F29F9">
        <w:rPr>
          <w:color w:val="000000"/>
          <w:u w:val="single"/>
        </w:rPr>
        <w:t>ANALYSIS SUMMARY</w:t>
      </w:r>
      <w:r w:rsidRPr="001F29F9">
        <w:rPr>
          <w:color w:val="000000"/>
        </w:rPr>
        <w:t>:</w:t>
      </w:r>
      <w:r>
        <w:rPr>
          <w:color w:val="000000"/>
        </w:rPr>
        <w:t xml:space="preserve"> </w:t>
      </w:r>
      <w:r w:rsidR="00B40CED">
        <w:rPr>
          <w:color w:val="000000"/>
        </w:rPr>
        <w:t xml:space="preserve"> </w:t>
      </w:r>
      <w:r w:rsidR="00B21843" w:rsidRPr="00B21843">
        <w:rPr>
          <w:rFonts w:eastAsia="Calibri"/>
          <w:color w:val="auto"/>
          <w:szCs w:val="24"/>
        </w:rPr>
        <w:t xml:space="preserve">IAW </w:t>
      </w:r>
      <w:proofErr w:type="spellStart"/>
      <w:r w:rsidR="00B21843" w:rsidRPr="00B21843">
        <w:rPr>
          <w:rFonts w:eastAsia="Calibri"/>
          <w:color w:val="auto"/>
          <w:szCs w:val="24"/>
        </w:rPr>
        <w:t>DoDI</w:t>
      </w:r>
      <w:proofErr w:type="spellEnd"/>
      <w:r w:rsidR="00B21843" w:rsidRPr="00B21843">
        <w:rPr>
          <w:rFonts w:eastAsia="Calibri"/>
          <w:color w:val="auto"/>
          <w:szCs w:val="24"/>
        </w:rPr>
        <w:t xml:space="preserve"> 6040.44, the Board’s authority is limited to making recommendations on correcting disability determinations.  The Board’s role is thus confined to the review of medical records and all evidence at hand to assess the fairness of PEB rating determinations, compared to </w:t>
      </w:r>
      <w:r w:rsidR="00B21843" w:rsidRPr="00B21843">
        <w:rPr>
          <w:color w:val="000000"/>
        </w:rPr>
        <w:t>Veteran</w:t>
      </w:r>
      <w:r w:rsidR="00045F60">
        <w:rPr>
          <w:color w:val="000000"/>
        </w:rPr>
        <w:t>’</w:t>
      </w:r>
      <w:r w:rsidR="00B21843" w:rsidRPr="00B21843">
        <w:rPr>
          <w:color w:val="000000"/>
        </w:rPr>
        <w:t xml:space="preserve">s Administration Schedule for Rating Disabilities (VASRD) </w:t>
      </w:r>
      <w:r w:rsidR="00B21843" w:rsidRPr="00B21843">
        <w:rPr>
          <w:rFonts w:eastAsia="Calibri"/>
          <w:color w:val="auto"/>
          <w:szCs w:val="24"/>
        </w:rPr>
        <w:t>standards, based on ratable severity at the time of separation.  The Board acknowledges the CI’s information regarding the significant impairment with which her service-connected condition continues to burden her; but, must emphasize that the Disability Evaluation System</w:t>
      </w:r>
      <w:r w:rsidR="001D46D2">
        <w:rPr>
          <w:rFonts w:eastAsia="Calibri"/>
          <w:color w:val="auto"/>
          <w:szCs w:val="24"/>
        </w:rPr>
        <w:t xml:space="preserve"> (DES)</w:t>
      </w:r>
      <w:r w:rsidR="00B21843" w:rsidRPr="00B21843">
        <w:rPr>
          <w:rFonts w:eastAsia="Calibri"/>
          <w:color w:val="auto"/>
          <w:szCs w:val="24"/>
        </w:rPr>
        <w:t xml:space="preserve"> has neither the role nor the authority to compensate members for anticipated future severity or potential complications of conditions resulting in medical separation.  That role and authority is granted by Congress to the Department of Veteran</w:t>
      </w:r>
      <w:r w:rsidR="00E869FD">
        <w:rPr>
          <w:rFonts w:eastAsia="Calibri"/>
          <w:color w:val="auto"/>
          <w:szCs w:val="24"/>
        </w:rPr>
        <w:t>s’</w:t>
      </w:r>
      <w:r w:rsidR="00B21843" w:rsidRPr="00B21843">
        <w:rPr>
          <w:rFonts w:eastAsia="Calibri"/>
          <w:color w:val="auto"/>
          <w:szCs w:val="24"/>
        </w:rPr>
        <w:t xml:space="preserve"> Affairs</w:t>
      </w:r>
      <w:r w:rsidR="001D46D2">
        <w:rPr>
          <w:rFonts w:eastAsia="Calibri"/>
          <w:color w:val="auto"/>
          <w:szCs w:val="24"/>
        </w:rPr>
        <w:t xml:space="preserve"> (DVA)</w:t>
      </w:r>
      <w:r w:rsidR="00B21843" w:rsidRPr="00B21843">
        <w:rPr>
          <w:rFonts w:eastAsia="Calibri"/>
          <w:color w:val="auto"/>
          <w:szCs w:val="24"/>
        </w:rPr>
        <w:t>, operating under a different set of laws.  Post-separation evidence is probative to the Board’s recommendations only to the extent that it reasonably reflects the disability at the time of separation.</w:t>
      </w:r>
    </w:p>
    <w:p w:rsidR="00E41C21" w:rsidRPr="001F29F9" w:rsidRDefault="00E41C21" w:rsidP="00E41C21">
      <w:pPr>
        <w:jc w:val="both"/>
        <w:rPr>
          <w:color w:val="000000"/>
          <w:highlight w:val="yellow"/>
        </w:rPr>
      </w:pPr>
    </w:p>
    <w:p w:rsidR="00FE6A64" w:rsidRDefault="00B40CED" w:rsidP="00896910">
      <w:pPr>
        <w:spacing w:after="120"/>
        <w:jc w:val="both"/>
        <w:rPr>
          <w:color w:val="000000"/>
        </w:rPr>
      </w:pPr>
      <w:proofErr w:type="gramStart"/>
      <w:r>
        <w:rPr>
          <w:color w:val="000000"/>
          <w:u w:val="single"/>
        </w:rPr>
        <w:t>Left Knee</w:t>
      </w:r>
      <w:r w:rsidR="00E41C21" w:rsidRPr="009A7578">
        <w:rPr>
          <w:color w:val="000000"/>
          <w:u w:val="single"/>
        </w:rPr>
        <w:t xml:space="preserve"> Condition</w:t>
      </w:r>
      <w:r w:rsidR="00E41C21" w:rsidRPr="009A7578">
        <w:rPr>
          <w:color w:val="000000"/>
        </w:rPr>
        <w:t>.</w:t>
      </w:r>
      <w:proofErr w:type="gramEnd"/>
      <w:r w:rsidR="00E41C21" w:rsidRPr="009A7578">
        <w:rPr>
          <w:color w:val="000000"/>
        </w:rPr>
        <w:t xml:space="preserve"> </w:t>
      </w:r>
      <w:r w:rsidR="00E41C21">
        <w:rPr>
          <w:color w:val="000000"/>
        </w:rPr>
        <w:t xml:space="preserve"> </w:t>
      </w:r>
      <w:r w:rsidR="00C262A8">
        <w:rPr>
          <w:color w:val="000000"/>
        </w:rPr>
        <w:t xml:space="preserve">The CI initially injured her knee during </w:t>
      </w:r>
      <w:r w:rsidR="001D46D2">
        <w:rPr>
          <w:color w:val="000000"/>
        </w:rPr>
        <w:t>a</w:t>
      </w:r>
      <w:r w:rsidR="00C262A8">
        <w:rPr>
          <w:color w:val="000000"/>
        </w:rPr>
        <w:t xml:space="preserve">dvanced </w:t>
      </w:r>
      <w:r w:rsidR="001D46D2">
        <w:rPr>
          <w:color w:val="000000"/>
        </w:rPr>
        <w:t>i</w:t>
      </w:r>
      <w:r w:rsidR="00C262A8">
        <w:rPr>
          <w:color w:val="000000"/>
        </w:rPr>
        <w:t xml:space="preserve">ndividual </w:t>
      </w:r>
      <w:r w:rsidR="001D46D2">
        <w:rPr>
          <w:color w:val="000000"/>
        </w:rPr>
        <w:t>t</w:t>
      </w:r>
      <w:r w:rsidR="00C262A8">
        <w:rPr>
          <w:color w:val="000000"/>
        </w:rPr>
        <w:t>raining in 1999</w:t>
      </w:r>
      <w:r w:rsidR="00FE6A64">
        <w:rPr>
          <w:color w:val="000000"/>
        </w:rPr>
        <w:t>, and</w:t>
      </w:r>
      <w:r w:rsidR="00C262A8">
        <w:rPr>
          <w:color w:val="000000"/>
        </w:rPr>
        <w:t xml:space="preserve"> subsequently </w:t>
      </w:r>
      <w:r w:rsidR="00FE6A64">
        <w:rPr>
          <w:color w:val="000000"/>
        </w:rPr>
        <w:t>underwent surgical intervention with improvement.  She</w:t>
      </w:r>
      <w:r w:rsidR="00C262A8">
        <w:rPr>
          <w:color w:val="000000"/>
        </w:rPr>
        <w:t xml:space="preserve"> re-injured </w:t>
      </w:r>
      <w:r w:rsidR="00FE6A64">
        <w:rPr>
          <w:color w:val="000000"/>
        </w:rPr>
        <w:t xml:space="preserve">the knee during a 2000 deployment to Bosnia and underwent a second arthroscopic </w:t>
      </w:r>
      <w:proofErr w:type="spellStart"/>
      <w:r w:rsidR="00FE6A64">
        <w:rPr>
          <w:color w:val="000000"/>
        </w:rPr>
        <w:t>meniscal</w:t>
      </w:r>
      <w:proofErr w:type="spellEnd"/>
      <w:r w:rsidR="00FE6A64">
        <w:rPr>
          <w:color w:val="000000"/>
        </w:rPr>
        <w:t xml:space="preserve"> debridement after redeployment. </w:t>
      </w:r>
      <w:r w:rsidR="00C262A8">
        <w:rPr>
          <w:color w:val="000000"/>
        </w:rPr>
        <w:t xml:space="preserve"> </w:t>
      </w:r>
      <w:r w:rsidR="00FE6A64">
        <w:rPr>
          <w:color w:val="000000"/>
        </w:rPr>
        <w:t xml:space="preserve">Although her symptoms continued to worsen, she deployed to Afghanistan in 2004 and the condition was significantly aggravated.  She underwent a third arthroscopic intervention, but ultimately a MEB referral was mandated.  </w:t>
      </w:r>
      <w:r w:rsidR="00896910">
        <w:rPr>
          <w:color w:val="000000"/>
        </w:rPr>
        <w:t>Final imaging revealed “stable postoperative changes”</w:t>
      </w:r>
      <w:r w:rsidR="003D329C">
        <w:rPr>
          <w:color w:val="000000"/>
        </w:rPr>
        <w:t xml:space="preserve"> </w:t>
      </w:r>
      <w:r w:rsidR="00B21843">
        <w:rPr>
          <w:color w:val="000000"/>
        </w:rPr>
        <w:t>and</w:t>
      </w:r>
      <w:r w:rsidR="003D329C">
        <w:rPr>
          <w:color w:val="000000"/>
        </w:rPr>
        <w:t xml:space="preserve"> </w:t>
      </w:r>
      <w:r w:rsidR="00045F60">
        <w:rPr>
          <w:color w:val="000000"/>
        </w:rPr>
        <w:t>“</w:t>
      </w:r>
      <w:r w:rsidR="003D329C">
        <w:rPr>
          <w:color w:val="000000"/>
        </w:rPr>
        <w:t xml:space="preserve">findings consistent with prior </w:t>
      </w:r>
      <w:proofErr w:type="spellStart"/>
      <w:r w:rsidR="003D329C">
        <w:rPr>
          <w:color w:val="000000"/>
        </w:rPr>
        <w:t>meniscal</w:t>
      </w:r>
      <w:proofErr w:type="spellEnd"/>
      <w:r w:rsidR="003D329C">
        <w:rPr>
          <w:color w:val="000000"/>
        </w:rPr>
        <w:t xml:space="preserve"> debridement</w:t>
      </w:r>
      <w:r w:rsidR="00045F60">
        <w:rPr>
          <w:color w:val="000000"/>
        </w:rPr>
        <w:t>,</w:t>
      </w:r>
      <w:r w:rsidR="003D329C">
        <w:rPr>
          <w:color w:val="000000"/>
        </w:rPr>
        <w:t xml:space="preserve">” with normal </w:t>
      </w:r>
      <w:proofErr w:type="spellStart"/>
      <w:r w:rsidR="003D329C">
        <w:rPr>
          <w:color w:val="000000"/>
        </w:rPr>
        <w:t>ligamental</w:t>
      </w:r>
      <w:proofErr w:type="spellEnd"/>
      <w:r w:rsidR="003D329C">
        <w:rPr>
          <w:color w:val="000000"/>
        </w:rPr>
        <w:t xml:space="preserve"> structures and no detached meniscus.  </w:t>
      </w:r>
      <w:r w:rsidR="00FE6A64">
        <w:rPr>
          <w:color w:val="000000"/>
        </w:rPr>
        <w:t>The</w:t>
      </w:r>
      <w:r w:rsidR="00C262A8">
        <w:rPr>
          <w:color w:val="000000"/>
        </w:rPr>
        <w:t xml:space="preserve"> </w:t>
      </w:r>
      <w:r w:rsidR="00FE6A64">
        <w:rPr>
          <w:color w:val="000000"/>
        </w:rPr>
        <w:t xml:space="preserve">narrative summary (NARSUM) </w:t>
      </w:r>
      <w:r w:rsidR="00896910">
        <w:rPr>
          <w:color w:val="000000"/>
        </w:rPr>
        <w:t>is excerpted below</w:t>
      </w:r>
      <w:r w:rsidR="00045F60">
        <w:rPr>
          <w:color w:val="000000"/>
        </w:rPr>
        <w:t>:</w:t>
      </w:r>
    </w:p>
    <w:p w:rsidR="00896910" w:rsidRDefault="00896910" w:rsidP="00896910">
      <w:pPr>
        <w:tabs>
          <w:tab w:val="left" w:pos="288"/>
          <w:tab w:val="left" w:pos="4752"/>
        </w:tabs>
        <w:spacing w:after="120" w:line="200" w:lineRule="exact"/>
        <w:ind w:left="720" w:right="720"/>
        <w:jc w:val="both"/>
        <w:rPr>
          <w:rFonts w:eastAsia="Calibri" w:cs="Times New Roman"/>
          <w:color w:val="auto"/>
          <w:sz w:val="20"/>
        </w:rPr>
      </w:pPr>
      <w:r w:rsidRPr="00896910">
        <w:rPr>
          <w:rFonts w:eastAsia="Calibri" w:cs="Times New Roman"/>
          <w:color w:val="auto"/>
          <w:sz w:val="20"/>
        </w:rPr>
        <w:t xml:space="preserve">Pain is described as sharp pain, electric-like, sometimes radiating from hip to knee to foot.  Pain is 10/10 at worse to 6/10 at best, lasting all day.  The soldier reports subjective weakness, stiffness, swelling, and warmth.  She reports some instability and giving way with stairs he knee buckles, no falls.  She reports 2 knee lock-ups per month.  </w:t>
      </w:r>
      <w:proofErr w:type="gramStart"/>
      <w:r w:rsidRPr="00896910">
        <w:rPr>
          <w:rFonts w:eastAsia="Calibri" w:cs="Times New Roman"/>
          <w:color w:val="auto"/>
          <w:sz w:val="20"/>
        </w:rPr>
        <w:t>Some fatigability and lack of endurance, which feels like her leg drags after walking and stairs.</w:t>
      </w:r>
      <w:proofErr w:type="gramEnd"/>
      <w:r w:rsidRPr="00896910">
        <w:rPr>
          <w:rFonts w:eastAsia="Calibri" w:cs="Times New Roman"/>
          <w:color w:val="auto"/>
          <w:sz w:val="20"/>
        </w:rPr>
        <w:t xml:space="preserve"> ... Pain is precipitated by stairs, inclines, walking more than one mile, any running, lifting more than 10 lbs, standing more than 15 minutes, and sitting more than 30 minutes.</w:t>
      </w:r>
    </w:p>
    <w:p w:rsidR="00E41C21" w:rsidRDefault="003D329C" w:rsidP="00E41C21">
      <w:pPr>
        <w:jc w:val="both"/>
        <w:rPr>
          <w:color w:val="000000"/>
          <w:szCs w:val="24"/>
        </w:rPr>
      </w:pPr>
      <w:r>
        <w:rPr>
          <w:color w:val="000000"/>
          <w:szCs w:val="24"/>
        </w:rPr>
        <w:t xml:space="preserve">The physical exam noted a normal gait, intact </w:t>
      </w:r>
      <w:proofErr w:type="spellStart"/>
      <w:r>
        <w:rPr>
          <w:color w:val="000000"/>
          <w:szCs w:val="24"/>
        </w:rPr>
        <w:t>ligamental</w:t>
      </w:r>
      <w:proofErr w:type="spellEnd"/>
      <w:r>
        <w:rPr>
          <w:color w:val="000000"/>
          <w:szCs w:val="24"/>
        </w:rPr>
        <w:t xml:space="preserve"> stability, the absence of effusion, and no signs of cartilage impingement.  Knee flexion was </w:t>
      </w:r>
      <w:r w:rsidR="006F374B">
        <w:rPr>
          <w:color w:val="000000"/>
          <w:szCs w:val="24"/>
        </w:rPr>
        <w:t>125</w:t>
      </w:r>
      <w:r w:rsidR="001D46D2">
        <w:rPr>
          <w:color w:val="000000"/>
          <w:szCs w:val="24"/>
        </w:rPr>
        <w:t xml:space="preserve"> degrees</w:t>
      </w:r>
      <w:r w:rsidR="006F374B">
        <w:rPr>
          <w:color w:val="000000"/>
          <w:szCs w:val="24"/>
        </w:rPr>
        <w:t xml:space="preserve"> (normal 140</w:t>
      </w:r>
      <w:r w:rsidR="001D46D2">
        <w:rPr>
          <w:color w:val="000000"/>
          <w:szCs w:val="24"/>
        </w:rPr>
        <w:t xml:space="preserve"> degree</w:t>
      </w:r>
      <w:r w:rsidR="006F374B">
        <w:rPr>
          <w:color w:val="000000"/>
          <w:szCs w:val="24"/>
        </w:rPr>
        <w:t>, minimal compensable 45</w:t>
      </w:r>
      <w:r w:rsidR="001D46D2">
        <w:rPr>
          <w:color w:val="000000"/>
          <w:szCs w:val="24"/>
        </w:rPr>
        <w:t xml:space="preserve"> degrees</w:t>
      </w:r>
      <w:r w:rsidR="006F374B">
        <w:rPr>
          <w:color w:val="000000"/>
          <w:szCs w:val="24"/>
        </w:rPr>
        <w:t xml:space="preserve">) and </w:t>
      </w:r>
      <w:r w:rsidR="00B977E8">
        <w:rPr>
          <w:color w:val="000000"/>
          <w:szCs w:val="24"/>
        </w:rPr>
        <w:t xml:space="preserve">“limited by pain”; </w:t>
      </w:r>
      <w:r w:rsidR="006F374B">
        <w:rPr>
          <w:color w:val="000000"/>
          <w:szCs w:val="24"/>
        </w:rPr>
        <w:t>extension was normal (0</w:t>
      </w:r>
      <w:r w:rsidR="001D46D2">
        <w:rPr>
          <w:color w:val="000000"/>
          <w:szCs w:val="24"/>
        </w:rPr>
        <w:t xml:space="preserve"> degrees</w:t>
      </w:r>
      <w:r w:rsidR="006F374B">
        <w:rPr>
          <w:color w:val="000000"/>
          <w:szCs w:val="24"/>
        </w:rPr>
        <w:t xml:space="preserve">). </w:t>
      </w:r>
      <w:r>
        <w:rPr>
          <w:color w:val="000000"/>
          <w:szCs w:val="24"/>
        </w:rPr>
        <w:t xml:space="preserve"> </w:t>
      </w:r>
      <w:r w:rsidR="006F374B">
        <w:rPr>
          <w:color w:val="000000"/>
          <w:szCs w:val="24"/>
        </w:rPr>
        <w:t xml:space="preserve">The </w:t>
      </w:r>
      <w:r w:rsidR="00E41C21">
        <w:rPr>
          <w:color w:val="000000"/>
          <w:szCs w:val="24"/>
        </w:rPr>
        <w:t xml:space="preserve">VA </w:t>
      </w:r>
      <w:r w:rsidR="00E41C21" w:rsidRPr="00CF0280">
        <w:rPr>
          <w:color w:val="000000"/>
          <w:szCs w:val="24"/>
        </w:rPr>
        <w:t xml:space="preserve">Compensation and </w:t>
      </w:r>
      <w:r w:rsidR="00E41C21" w:rsidRPr="006F374B">
        <w:rPr>
          <w:color w:val="000000"/>
          <w:szCs w:val="24"/>
        </w:rPr>
        <w:t>Pension (C&amp;P) exam</w:t>
      </w:r>
      <w:r w:rsidR="006F374B">
        <w:rPr>
          <w:color w:val="000000"/>
          <w:szCs w:val="24"/>
        </w:rPr>
        <w:t xml:space="preserve"> stated, “</w:t>
      </w:r>
      <w:r w:rsidR="006F374B" w:rsidRPr="006F374B">
        <w:rPr>
          <w:color w:val="000000"/>
        </w:rPr>
        <w:t>At the present time she complains of daily pain in the left knee with an</w:t>
      </w:r>
      <w:r w:rsidR="006F374B">
        <w:rPr>
          <w:color w:val="000000"/>
        </w:rPr>
        <w:t xml:space="preserve"> </w:t>
      </w:r>
      <w:r w:rsidR="006F374B" w:rsidRPr="006F374B">
        <w:rPr>
          <w:color w:val="000000"/>
        </w:rPr>
        <w:t xml:space="preserve">associated locking sensation. </w:t>
      </w:r>
      <w:r w:rsidR="006F374B">
        <w:rPr>
          <w:color w:val="000000"/>
        </w:rPr>
        <w:t xml:space="preserve"> </w:t>
      </w:r>
      <w:r w:rsidR="006F374B" w:rsidRPr="006F374B">
        <w:rPr>
          <w:color w:val="000000"/>
        </w:rPr>
        <w:t>The knee is unstable and she will fall</w:t>
      </w:r>
      <w:r w:rsidR="006F374B">
        <w:rPr>
          <w:color w:val="000000"/>
        </w:rPr>
        <w:t xml:space="preserve"> </w:t>
      </w:r>
      <w:r w:rsidR="006F374B" w:rsidRPr="006F374B">
        <w:rPr>
          <w:color w:val="000000"/>
        </w:rPr>
        <w:t>on</w:t>
      </w:r>
      <w:r w:rsidR="006F374B">
        <w:rPr>
          <w:color w:val="000000"/>
        </w:rPr>
        <w:t xml:space="preserve"> </w:t>
      </w:r>
      <w:r w:rsidR="006F374B" w:rsidRPr="006F374B">
        <w:rPr>
          <w:color w:val="000000"/>
        </w:rPr>
        <w:t xml:space="preserve">occasion. </w:t>
      </w:r>
      <w:r w:rsidR="006F374B">
        <w:rPr>
          <w:color w:val="000000"/>
        </w:rPr>
        <w:t xml:space="preserve"> </w:t>
      </w:r>
      <w:r w:rsidR="006F374B" w:rsidRPr="006F374B">
        <w:rPr>
          <w:color w:val="000000"/>
        </w:rPr>
        <w:t xml:space="preserve">It </w:t>
      </w:r>
      <w:r w:rsidR="006F374B">
        <w:rPr>
          <w:color w:val="000000"/>
        </w:rPr>
        <w:t>swells periodically.</w:t>
      </w:r>
      <w:r w:rsidR="006F374B">
        <w:rPr>
          <w:color w:val="000000"/>
          <w:szCs w:val="24"/>
        </w:rPr>
        <w:t>”</w:t>
      </w:r>
      <w:r w:rsidR="00E41C21">
        <w:rPr>
          <w:color w:val="000000"/>
          <w:szCs w:val="24"/>
        </w:rPr>
        <w:t xml:space="preserve"> </w:t>
      </w:r>
      <w:r w:rsidR="006F374B">
        <w:rPr>
          <w:color w:val="000000"/>
          <w:szCs w:val="24"/>
        </w:rPr>
        <w:t xml:space="preserve"> The </w:t>
      </w:r>
      <w:r w:rsidR="001D46D2">
        <w:rPr>
          <w:color w:val="000000"/>
          <w:szCs w:val="24"/>
        </w:rPr>
        <w:t>C&amp;P</w:t>
      </w:r>
      <w:r w:rsidR="006F374B">
        <w:rPr>
          <w:color w:val="000000"/>
          <w:szCs w:val="24"/>
        </w:rPr>
        <w:t xml:space="preserve"> exam noted normal gait, </w:t>
      </w:r>
      <w:r w:rsidR="00B977E8">
        <w:rPr>
          <w:color w:val="000000"/>
          <w:szCs w:val="24"/>
        </w:rPr>
        <w:t xml:space="preserve">“a moderate degree of bony </w:t>
      </w:r>
      <w:r w:rsidR="006F374B">
        <w:rPr>
          <w:color w:val="000000"/>
          <w:szCs w:val="24"/>
        </w:rPr>
        <w:t>swelling</w:t>
      </w:r>
      <w:r w:rsidR="00B977E8">
        <w:rPr>
          <w:color w:val="000000"/>
          <w:szCs w:val="24"/>
        </w:rPr>
        <w:t>”</w:t>
      </w:r>
      <w:r w:rsidR="006F374B">
        <w:rPr>
          <w:color w:val="000000"/>
          <w:szCs w:val="24"/>
        </w:rPr>
        <w:t xml:space="preserve"> without effusion, and a stable joint without signs of </w:t>
      </w:r>
      <w:proofErr w:type="spellStart"/>
      <w:r w:rsidR="006F374B">
        <w:rPr>
          <w:color w:val="000000"/>
          <w:szCs w:val="24"/>
        </w:rPr>
        <w:t>meniscal</w:t>
      </w:r>
      <w:proofErr w:type="spellEnd"/>
      <w:r w:rsidR="006F374B">
        <w:rPr>
          <w:color w:val="000000"/>
          <w:szCs w:val="24"/>
        </w:rPr>
        <w:t xml:space="preserve"> impingement.  </w:t>
      </w:r>
      <w:r w:rsidR="00B21843">
        <w:rPr>
          <w:color w:val="000000"/>
          <w:szCs w:val="24"/>
        </w:rPr>
        <w:t xml:space="preserve">The VA examiner documented </w:t>
      </w:r>
      <w:r w:rsidR="00B977E8">
        <w:rPr>
          <w:color w:val="000000"/>
          <w:szCs w:val="24"/>
        </w:rPr>
        <w:t>flexion of 110</w:t>
      </w:r>
      <w:r w:rsidR="001D46D2">
        <w:rPr>
          <w:color w:val="000000"/>
          <w:szCs w:val="24"/>
        </w:rPr>
        <w:t xml:space="preserve"> degrees</w:t>
      </w:r>
      <w:r w:rsidR="00B977E8">
        <w:rPr>
          <w:color w:val="000000"/>
          <w:szCs w:val="24"/>
        </w:rPr>
        <w:t xml:space="preserve"> and normal extension; but stated, “</w:t>
      </w:r>
      <w:r w:rsidR="00B977E8" w:rsidRPr="00B977E8">
        <w:rPr>
          <w:color w:val="000000"/>
        </w:rPr>
        <w:t xml:space="preserve">Range of </w:t>
      </w:r>
      <w:r w:rsidR="00B977E8" w:rsidRPr="00B977E8">
        <w:rPr>
          <w:color w:val="000000"/>
        </w:rPr>
        <w:lastRenderedPageBreak/>
        <w:t>motion appeared to be pain free and not additionally</w:t>
      </w:r>
      <w:r w:rsidR="00B977E8">
        <w:rPr>
          <w:color w:val="000000"/>
        </w:rPr>
        <w:t xml:space="preserve"> </w:t>
      </w:r>
      <w:r w:rsidR="00B977E8" w:rsidRPr="00B977E8">
        <w:rPr>
          <w:color w:val="000000"/>
        </w:rPr>
        <w:t>limited following repetitive use on this examination.</w:t>
      </w:r>
      <w:r w:rsidR="00B977E8">
        <w:rPr>
          <w:color w:val="000000"/>
          <w:szCs w:val="24"/>
        </w:rPr>
        <w:t>”</w:t>
      </w:r>
    </w:p>
    <w:p w:rsidR="00B977E8" w:rsidRDefault="00B977E8" w:rsidP="00E41C21">
      <w:pPr>
        <w:jc w:val="both"/>
        <w:rPr>
          <w:color w:val="000000"/>
          <w:szCs w:val="24"/>
        </w:rPr>
      </w:pPr>
    </w:p>
    <w:p w:rsidR="00E41C21" w:rsidRPr="00282C91" w:rsidRDefault="00B977E8" w:rsidP="00DA1F4E">
      <w:pPr>
        <w:jc w:val="both"/>
        <w:rPr>
          <w:color w:val="000000"/>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The PEB’s 0% rating analogous to 5003 (degenerative arthritis) rested on application of the USAPDA pain policy which circumvents VASRD §4.59 (painful motion); and, the MEB examiner documented pain-limited motion.  The VA’s 10% rating under 5260 (limitation of flexion) </w:t>
      </w:r>
      <w:r w:rsidR="00BA4B71">
        <w:rPr>
          <w:rFonts w:cs="Times New Roman"/>
          <w:color w:val="auto"/>
        </w:rPr>
        <w:t>cited the criterion of §4.59 to achieve th</w:t>
      </w:r>
      <w:r w:rsidR="00ED4B7F">
        <w:rPr>
          <w:rFonts w:cs="Times New Roman"/>
          <w:color w:val="auto"/>
        </w:rPr>
        <w:t xml:space="preserve">e minimum compensable rating, even </w:t>
      </w:r>
      <w:r w:rsidR="00BA4B71">
        <w:rPr>
          <w:rFonts w:cs="Times New Roman"/>
          <w:color w:val="auto"/>
        </w:rPr>
        <w:t xml:space="preserve">though the C&amp;P examiner </w:t>
      </w:r>
      <w:r w:rsidR="00ED4B7F">
        <w:rPr>
          <w:rFonts w:cs="Times New Roman"/>
          <w:color w:val="auto"/>
        </w:rPr>
        <w:t>documented</w:t>
      </w:r>
      <w:r w:rsidR="00BA4B71">
        <w:rPr>
          <w:rFonts w:cs="Times New Roman"/>
          <w:color w:val="auto"/>
        </w:rPr>
        <w:t xml:space="preserve"> painless motion.  Although members agreed that application of either §4.59 (per the NARSUM) or §4.40 (functional loss) was supported to achieve the minimum compensable rating under any choice of code; application of code 5259 </w:t>
      </w:r>
      <w:r w:rsidR="00BA4B71" w:rsidRPr="00585A1A">
        <w:rPr>
          <w:rFonts w:asciiTheme="majorHAnsi" w:hAnsiTheme="majorHAnsi" w:cstheme="majorHAnsi"/>
          <w:color w:val="auto"/>
        </w:rPr>
        <w:t>(</w:t>
      </w:r>
      <w:r w:rsidR="00BA4B71" w:rsidRPr="00585A1A">
        <w:rPr>
          <w:rFonts w:asciiTheme="majorHAnsi" w:hAnsiTheme="majorHAnsi" w:cstheme="majorHAnsi"/>
          <w:color w:val="auto"/>
          <w:szCs w:val="24"/>
        </w:rPr>
        <w:t xml:space="preserve">cartilage, </w:t>
      </w:r>
      <w:proofErr w:type="spellStart"/>
      <w:r w:rsidR="00BA4B71" w:rsidRPr="00585A1A">
        <w:rPr>
          <w:rFonts w:asciiTheme="majorHAnsi" w:hAnsiTheme="majorHAnsi" w:cstheme="majorHAnsi"/>
          <w:color w:val="auto"/>
          <w:szCs w:val="24"/>
        </w:rPr>
        <w:t>semilunar</w:t>
      </w:r>
      <w:proofErr w:type="spellEnd"/>
      <w:r w:rsidR="00BA4B71" w:rsidRPr="00585A1A">
        <w:rPr>
          <w:rFonts w:asciiTheme="majorHAnsi" w:hAnsiTheme="majorHAnsi" w:cstheme="majorHAnsi"/>
          <w:color w:val="auto"/>
          <w:szCs w:val="24"/>
        </w:rPr>
        <w:t>, removal of, symptomatic</w:t>
      </w:r>
      <w:r w:rsidR="00BA4B71" w:rsidRPr="00585A1A">
        <w:rPr>
          <w:rFonts w:asciiTheme="majorHAnsi" w:hAnsiTheme="majorHAnsi" w:cstheme="majorHAnsi"/>
          <w:color w:val="auto"/>
        </w:rPr>
        <w:t>),</w:t>
      </w:r>
      <w:r w:rsidR="00BA4B71">
        <w:rPr>
          <w:rFonts w:cs="Times New Roman"/>
          <w:color w:val="auto"/>
        </w:rPr>
        <w:t xml:space="preserve"> which is quite specific for this case, would yield a 10% rating independently of §4.59 or §4.40.  There is no support for a separate rating based on instability</w:t>
      </w:r>
      <w:r w:rsidR="00E25477">
        <w:rPr>
          <w:rFonts w:cs="Times New Roman"/>
          <w:color w:val="auto"/>
        </w:rPr>
        <w:t>, given the exam and imaging findings</w:t>
      </w:r>
      <w:r w:rsidR="00BA4B71">
        <w:rPr>
          <w:rFonts w:cs="Times New Roman"/>
          <w:color w:val="auto"/>
        </w:rPr>
        <w:t xml:space="preserve">.  Deliberations </w:t>
      </w:r>
      <w:r w:rsidR="00E25477">
        <w:rPr>
          <w:rFonts w:cs="Times New Roman"/>
          <w:color w:val="auto"/>
        </w:rPr>
        <w:t xml:space="preserve">then </w:t>
      </w:r>
      <w:r w:rsidR="00BA4B71">
        <w:rPr>
          <w:rFonts w:cs="Times New Roman"/>
          <w:color w:val="auto"/>
        </w:rPr>
        <w:t xml:space="preserve">turned to applicability of </w:t>
      </w:r>
      <w:r w:rsidR="00E25477">
        <w:rPr>
          <w:rFonts w:cs="Times New Roman"/>
          <w:color w:val="auto"/>
        </w:rPr>
        <w:t xml:space="preserve">an analogous rating under </w:t>
      </w:r>
      <w:r w:rsidR="00BA4B71">
        <w:rPr>
          <w:rFonts w:cs="Times New Roman"/>
          <w:color w:val="auto"/>
        </w:rPr>
        <w:t xml:space="preserve">code </w:t>
      </w:r>
      <w:r w:rsidR="00E25477">
        <w:rPr>
          <w:rFonts w:cs="Times New Roman"/>
          <w:color w:val="auto"/>
        </w:rPr>
        <w:t xml:space="preserve">5258 </w:t>
      </w:r>
      <w:r w:rsidR="00BA4B71">
        <w:rPr>
          <w:rFonts w:cs="Times New Roman"/>
          <w:color w:val="auto"/>
        </w:rPr>
        <w:t>(</w:t>
      </w:r>
      <w:r w:rsidR="00BA4B71">
        <w:rPr>
          <w:color w:val="000000"/>
        </w:rPr>
        <w:t>c</w:t>
      </w:r>
      <w:r w:rsidR="00BA4B71" w:rsidRPr="00BA4B71">
        <w:rPr>
          <w:color w:val="000000"/>
        </w:rPr>
        <w:t xml:space="preserve">artilage, </w:t>
      </w:r>
      <w:proofErr w:type="spellStart"/>
      <w:r w:rsidR="00BA4B71" w:rsidRPr="00BA4B71">
        <w:rPr>
          <w:color w:val="000000"/>
        </w:rPr>
        <w:t>semilunar</w:t>
      </w:r>
      <w:proofErr w:type="spellEnd"/>
      <w:r w:rsidR="00BA4B71" w:rsidRPr="00BA4B71">
        <w:rPr>
          <w:color w:val="000000"/>
        </w:rPr>
        <w:t>, dislocated, with frequent episodes of</w:t>
      </w:r>
      <w:r w:rsidR="00BA4B71">
        <w:rPr>
          <w:color w:val="000000"/>
        </w:rPr>
        <w:t xml:space="preserve"> </w:t>
      </w:r>
      <w:r w:rsidR="00BA4B71" w:rsidRPr="00BA4B71">
        <w:rPr>
          <w:color w:val="000000"/>
        </w:rPr>
        <w:t>“locking,” pain, and effusion into the joint</w:t>
      </w:r>
      <w:r w:rsidR="00E25477">
        <w:rPr>
          <w:color w:val="000000"/>
        </w:rPr>
        <w:t xml:space="preserve">); which would yield a 20% rating (the highest achievable IAW VASRD §4.71a based on the evidence).  </w:t>
      </w:r>
      <w:r w:rsidR="00DA1F4E">
        <w:rPr>
          <w:color w:val="000000"/>
        </w:rPr>
        <w:t xml:space="preserve">Although subjective locking and instability of the knee was documented by both the MEB and VA examiners, the imaging and exam findings make it clear (more likely than not) that there was no true mechanical locking based on </w:t>
      </w:r>
      <w:proofErr w:type="spellStart"/>
      <w:r w:rsidR="00DA1F4E">
        <w:rPr>
          <w:color w:val="000000"/>
        </w:rPr>
        <w:t>meniscal</w:t>
      </w:r>
      <w:proofErr w:type="spellEnd"/>
      <w:r w:rsidR="00DA1F4E">
        <w:rPr>
          <w:color w:val="000000"/>
        </w:rPr>
        <w:t xml:space="preserve"> impingement or frequent effusions.  Members thus agreed that application of code 5258 was not supported.  </w:t>
      </w:r>
      <w:r w:rsidR="00DA1F4E" w:rsidRPr="00241B01">
        <w:rPr>
          <w:rFonts w:eastAsia="Calibri" w:cs="Times New Roman"/>
          <w:color w:val="auto"/>
          <w:szCs w:val="24"/>
        </w:rPr>
        <w:t xml:space="preserve">After due deliberation, considering all of the evidence and mindful of VASRD §4.3 (reasonable doubt), the Board recommends a disability rating of </w:t>
      </w:r>
      <w:r w:rsidR="00DA1F4E">
        <w:rPr>
          <w:rFonts w:eastAsia="Calibri" w:cs="Times New Roman"/>
          <w:color w:val="auto"/>
          <w:szCs w:val="24"/>
        </w:rPr>
        <w:t>1</w:t>
      </w:r>
      <w:r w:rsidR="00DA1F4E" w:rsidRPr="00241B01">
        <w:rPr>
          <w:rFonts w:eastAsia="Calibri" w:cs="Times New Roman"/>
          <w:color w:val="auto"/>
          <w:szCs w:val="24"/>
        </w:rPr>
        <w:t xml:space="preserve">0% for the </w:t>
      </w:r>
      <w:r w:rsidR="00DA1F4E">
        <w:rPr>
          <w:rFonts w:eastAsia="Calibri" w:cs="Times New Roman"/>
          <w:color w:val="auto"/>
          <w:szCs w:val="24"/>
        </w:rPr>
        <w:t>left knee</w:t>
      </w:r>
      <w:r w:rsidR="00DA1F4E" w:rsidRPr="00241B01">
        <w:rPr>
          <w:rFonts w:eastAsia="Calibri" w:cs="Times New Roman"/>
          <w:color w:val="auto"/>
          <w:szCs w:val="24"/>
        </w:rPr>
        <w:t xml:space="preserve"> condition</w:t>
      </w:r>
      <w:r w:rsidR="00DA1F4E">
        <w:rPr>
          <w:rFonts w:eastAsia="Calibri" w:cs="Times New Roman"/>
          <w:color w:val="auto"/>
          <w:szCs w:val="24"/>
        </w:rPr>
        <w:t xml:space="preserve"> under code 5259</w:t>
      </w:r>
      <w:r w:rsidR="00DA1F4E" w:rsidRPr="00241B01">
        <w:rPr>
          <w:rFonts w:eastAsia="Calibri" w:cs="Times New Roman"/>
          <w:color w:val="auto"/>
          <w:szCs w:val="24"/>
        </w:rPr>
        <w:t>.</w:t>
      </w:r>
      <w:r w:rsidR="00E41C21" w:rsidRPr="00C15865">
        <w:rPr>
          <w:rFonts w:eastAsia="Calibri" w:cs="Times New Roman"/>
          <w:color w:val="auto"/>
          <w:szCs w:val="24"/>
        </w:rPr>
        <w:t xml:space="preserve"> </w:t>
      </w:r>
    </w:p>
    <w:p w:rsidR="00E41C21" w:rsidRPr="009A7578" w:rsidRDefault="00E41C21" w:rsidP="00E41C21">
      <w:pPr>
        <w:pBdr>
          <w:bottom w:val="single" w:sz="12" w:space="1" w:color="auto"/>
        </w:pBdr>
        <w:tabs>
          <w:tab w:val="left" w:pos="288"/>
          <w:tab w:val="left" w:pos="4752"/>
        </w:tabs>
        <w:jc w:val="both"/>
        <w:rPr>
          <w:color w:val="000000"/>
          <w:highlight w:val="magenta"/>
        </w:rPr>
      </w:pPr>
    </w:p>
    <w:p w:rsidR="00E41C21" w:rsidRPr="009A7578" w:rsidRDefault="00E41C21" w:rsidP="00E41C21">
      <w:pPr>
        <w:jc w:val="left"/>
        <w:rPr>
          <w:color w:val="000000"/>
          <w:highlight w:val="magenta"/>
        </w:rPr>
      </w:pPr>
    </w:p>
    <w:p w:rsidR="00E41C21" w:rsidRPr="00282C91" w:rsidRDefault="00E41C21" w:rsidP="00E41C21">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 xml:space="preserve">IAW </w:t>
      </w:r>
      <w:proofErr w:type="spellStart"/>
      <w:r w:rsidRPr="00D8352E">
        <w:rPr>
          <w:color w:val="000000"/>
        </w:rPr>
        <w:t>DoDI</w:t>
      </w:r>
      <w:proofErr w:type="spellEnd"/>
      <w:r w:rsidRPr="00D8352E">
        <w:rPr>
          <w:color w:val="000000"/>
        </w:rPr>
        <w:t xml:space="preserve"> 6040.44, </w:t>
      </w:r>
      <w:r w:rsidRPr="00282C91">
        <w:rPr>
          <w:color w:val="000000"/>
        </w:rPr>
        <w:t xml:space="preserve">provisions of </w:t>
      </w:r>
      <w:proofErr w:type="spellStart"/>
      <w:r w:rsidRPr="00282C91">
        <w:rPr>
          <w:color w:val="000000"/>
        </w:rPr>
        <w:t>DoD</w:t>
      </w:r>
      <w:proofErr w:type="spellEnd"/>
      <w:r w:rsidRPr="00282C91">
        <w:rPr>
          <w:color w:val="000000"/>
        </w:rPr>
        <w:t xml:space="preserve"> or Military Department regulations or guidelines relied upon by the PEB will not be considered by the Board to the extent they were inconsistent with the VASRD in effect at the time of the adjudication</w:t>
      </w:r>
      <w:r w:rsidRPr="00282C91">
        <w:rPr>
          <w:rFonts w:cs="Times New Roman"/>
          <w:color w:val="auto"/>
        </w:rPr>
        <w:t xml:space="preserve">.  </w:t>
      </w:r>
      <w:r w:rsidR="00DA1F4E" w:rsidRPr="00282C91">
        <w:rPr>
          <w:rFonts w:eastAsia="Calibri" w:cs="Times New Roman"/>
          <w:color w:val="auto"/>
          <w:szCs w:val="24"/>
        </w:rPr>
        <w:t xml:space="preserve">As discussed above, PEB reliance on the USAPDA pain policy for rating the left knee condition was operant in this case and it was adjudicated independently of that policy by the Board. </w:t>
      </w:r>
      <w:r w:rsidR="00577CB2" w:rsidRPr="00282C91">
        <w:rPr>
          <w:rFonts w:eastAsia="Calibri" w:cs="Times New Roman"/>
          <w:color w:val="auto"/>
          <w:szCs w:val="24"/>
        </w:rPr>
        <w:t xml:space="preserve"> In the matter of the left knee condition, the Board unanimously recommends a disability rating of 10%, coded 5259, IAW VASRD §4.71a.</w:t>
      </w:r>
      <w:r w:rsidR="00282C91" w:rsidRPr="00282C91">
        <w:rPr>
          <w:rFonts w:eastAsia="Calibri" w:cs="Times New Roman"/>
          <w:color w:val="auto"/>
          <w:szCs w:val="24"/>
        </w:rPr>
        <w:t xml:space="preserve"> </w:t>
      </w:r>
      <w:r w:rsidR="00577CB2" w:rsidRPr="00282C91">
        <w:rPr>
          <w:rFonts w:eastAsia="Calibri" w:cs="Times New Roman"/>
          <w:color w:val="auto"/>
          <w:szCs w:val="24"/>
        </w:rPr>
        <w:t xml:space="preserve"> There were no other conditions within the Board’s scope of review for consideration.</w:t>
      </w:r>
    </w:p>
    <w:p w:rsidR="00E41C21" w:rsidRPr="00282C91" w:rsidRDefault="00E41C21" w:rsidP="00E41C21">
      <w:pPr>
        <w:pBdr>
          <w:bottom w:val="single" w:sz="12" w:space="1" w:color="auto"/>
        </w:pBdr>
        <w:tabs>
          <w:tab w:val="left" w:pos="288"/>
          <w:tab w:val="left" w:pos="4752"/>
        </w:tabs>
        <w:jc w:val="both"/>
        <w:rPr>
          <w:color w:val="000000"/>
        </w:rPr>
      </w:pPr>
    </w:p>
    <w:p w:rsidR="00E41C21" w:rsidRPr="00282C91" w:rsidRDefault="00E41C21" w:rsidP="00E41C21">
      <w:pPr>
        <w:jc w:val="left"/>
        <w:rPr>
          <w:color w:val="000000"/>
        </w:rPr>
      </w:pPr>
    </w:p>
    <w:p w:rsidR="00E41C21" w:rsidRPr="00282C91" w:rsidRDefault="00E41C21" w:rsidP="00E41C21">
      <w:pPr>
        <w:jc w:val="left"/>
        <w:rPr>
          <w:rFonts w:eastAsia="Calibri" w:cs="Times New Roman"/>
          <w:color w:val="000080"/>
          <w:szCs w:val="24"/>
        </w:rPr>
      </w:pPr>
      <w:r w:rsidRPr="00282C91">
        <w:rPr>
          <w:color w:val="000000"/>
          <w:u w:val="single"/>
        </w:rPr>
        <w:t>RECOMMENDATION</w:t>
      </w:r>
      <w:r w:rsidRPr="00282C91">
        <w:rPr>
          <w:color w:val="000000"/>
        </w:rPr>
        <w:t xml:space="preserve">: </w:t>
      </w:r>
      <w:r w:rsidR="00577CB2" w:rsidRPr="00282C91">
        <w:rPr>
          <w:rFonts w:eastAsia="Calibri" w:cs="Times New Roman"/>
          <w:color w:val="000080"/>
          <w:szCs w:val="24"/>
        </w:rPr>
        <w:t xml:space="preserve"> </w:t>
      </w:r>
      <w:r w:rsidRPr="00282C91">
        <w:rPr>
          <w:rFonts w:eastAsia="Calibri" w:cs="Times New Roman"/>
          <w:color w:val="auto"/>
          <w:szCs w:val="24"/>
        </w:rPr>
        <w:t>The Board recommends that the CI’s prior determination be modified as follows, effective as of the date of her prior medical separation:</w:t>
      </w:r>
    </w:p>
    <w:p w:rsidR="00E41C21" w:rsidRPr="00282C91" w:rsidRDefault="00E41C21" w:rsidP="00E41C21">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E41C21" w:rsidRPr="00282C91" w:rsidTr="00D64A61">
        <w:trPr>
          <w:trHeight w:val="233"/>
          <w:jc w:val="center"/>
        </w:trPr>
        <w:tc>
          <w:tcPr>
            <w:tcW w:w="6768" w:type="dxa"/>
            <w:shd w:val="clear" w:color="auto" w:fill="D9D9D9"/>
            <w:vAlign w:val="center"/>
          </w:tcPr>
          <w:p w:rsidR="00E41C21" w:rsidRPr="00282C91" w:rsidRDefault="00E41C21" w:rsidP="00D64A61">
            <w:pPr>
              <w:tabs>
                <w:tab w:val="left" w:pos="288"/>
                <w:tab w:val="left" w:pos="4752"/>
              </w:tabs>
              <w:rPr>
                <w:b/>
                <w:color w:val="000000"/>
              </w:rPr>
            </w:pPr>
            <w:r w:rsidRPr="00282C91">
              <w:rPr>
                <w:b/>
                <w:color w:val="000000"/>
              </w:rPr>
              <w:t>UNFITTING CONDITION</w:t>
            </w:r>
          </w:p>
        </w:tc>
        <w:tc>
          <w:tcPr>
            <w:tcW w:w="1530" w:type="dxa"/>
            <w:shd w:val="clear" w:color="auto" w:fill="D9D9D9"/>
            <w:vAlign w:val="center"/>
          </w:tcPr>
          <w:p w:rsidR="00E41C21" w:rsidRPr="00282C91" w:rsidRDefault="00E41C21" w:rsidP="00D64A61">
            <w:pPr>
              <w:tabs>
                <w:tab w:val="left" w:pos="288"/>
                <w:tab w:val="left" w:pos="4752"/>
              </w:tabs>
              <w:rPr>
                <w:b/>
                <w:color w:val="000000"/>
              </w:rPr>
            </w:pPr>
            <w:r w:rsidRPr="00282C91">
              <w:rPr>
                <w:b/>
                <w:color w:val="000000"/>
              </w:rPr>
              <w:t>VASRD CODE</w:t>
            </w:r>
          </w:p>
        </w:tc>
        <w:tc>
          <w:tcPr>
            <w:tcW w:w="1026" w:type="dxa"/>
            <w:shd w:val="clear" w:color="auto" w:fill="D9D9D9"/>
            <w:vAlign w:val="center"/>
          </w:tcPr>
          <w:p w:rsidR="00E41C21" w:rsidRPr="00282C91" w:rsidRDefault="00E41C21" w:rsidP="00D64A61">
            <w:pPr>
              <w:tabs>
                <w:tab w:val="left" w:pos="288"/>
                <w:tab w:val="left" w:pos="4752"/>
              </w:tabs>
              <w:rPr>
                <w:b/>
                <w:color w:val="000000"/>
              </w:rPr>
            </w:pPr>
            <w:r w:rsidRPr="00282C91">
              <w:rPr>
                <w:b/>
                <w:color w:val="000000"/>
              </w:rPr>
              <w:t>RATING</w:t>
            </w:r>
          </w:p>
        </w:tc>
      </w:tr>
      <w:tr w:rsidR="00E41C21" w:rsidRPr="00282C91" w:rsidTr="00D64A61">
        <w:trPr>
          <w:jc w:val="center"/>
        </w:trPr>
        <w:tc>
          <w:tcPr>
            <w:tcW w:w="6768" w:type="dxa"/>
            <w:vAlign w:val="center"/>
          </w:tcPr>
          <w:p w:rsidR="00E41C21" w:rsidRPr="00282C91" w:rsidRDefault="00577CB2" w:rsidP="00D64A61">
            <w:pPr>
              <w:tabs>
                <w:tab w:val="left" w:pos="288"/>
                <w:tab w:val="left" w:pos="4752"/>
              </w:tabs>
              <w:jc w:val="left"/>
              <w:rPr>
                <w:color w:val="000000"/>
              </w:rPr>
            </w:pPr>
            <w:proofErr w:type="spellStart"/>
            <w:r w:rsidRPr="00282C91">
              <w:rPr>
                <w:color w:val="000000"/>
              </w:rPr>
              <w:t>Meniscal</w:t>
            </w:r>
            <w:proofErr w:type="spellEnd"/>
            <w:r w:rsidRPr="00282C91">
              <w:rPr>
                <w:color w:val="000000"/>
              </w:rPr>
              <w:t xml:space="preserve"> Injury and Surgical Residuals, Left Knee</w:t>
            </w:r>
          </w:p>
        </w:tc>
        <w:tc>
          <w:tcPr>
            <w:tcW w:w="1530" w:type="dxa"/>
            <w:vAlign w:val="center"/>
          </w:tcPr>
          <w:p w:rsidR="00577CB2" w:rsidRPr="00282C91" w:rsidRDefault="00780FF5" w:rsidP="00D64A61">
            <w:pPr>
              <w:tabs>
                <w:tab w:val="left" w:pos="288"/>
                <w:tab w:val="left" w:pos="4752"/>
              </w:tabs>
              <w:rPr>
                <w:color w:val="000000"/>
              </w:rPr>
            </w:pPr>
            <w:r w:rsidRPr="00282C91">
              <w:rPr>
                <w:color w:val="000000"/>
              </w:rPr>
              <w:t>5259</w:t>
            </w:r>
          </w:p>
        </w:tc>
        <w:tc>
          <w:tcPr>
            <w:tcW w:w="1026" w:type="dxa"/>
            <w:vAlign w:val="center"/>
          </w:tcPr>
          <w:p w:rsidR="00780FF5" w:rsidRPr="00282C91" w:rsidRDefault="00780FF5" w:rsidP="00D64A61">
            <w:pPr>
              <w:tabs>
                <w:tab w:val="left" w:pos="288"/>
                <w:tab w:val="left" w:pos="4752"/>
              </w:tabs>
              <w:rPr>
                <w:color w:val="000000"/>
              </w:rPr>
            </w:pPr>
            <w:r w:rsidRPr="00282C91">
              <w:rPr>
                <w:color w:val="000000"/>
              </w:rPr>
              <w:t>1</w:t>
            </w:r>
            <w:r w:rsidR="00E41C21" w:rsidRPr="00282C91">
              <w:rPr>
                <w:color w:val="000000"/>
              </w:rPr>
              <w:t>0%</w:t>
            </w:r>
          </w:p>
        </w:tc>
      </w:tr>
      <w:tr w:rsidR="00E41C21" w:rsidRPr="000D5DBE" w:rsidTr="00D64A61">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E41C21" w:rsidRPr="00282C91" w:rsidRDefault="00E41C21" w:rsidP="00D64A61">
            <w:pPr>
              <w:tabs>
                <w:tab w:val="left" w:pos="288"/>
                <w:tab w:val="left" w:pos="4752"/>
              </w:tabs>
              <w:rPr>
                <w:b/>
                <w:color w:val="000000"/>
              </w:rPr>
            </w:pPr>
            <w:r w:rsidRPr="00282C91">
              <w:rPr>
                <w:b/>
                <w:color w:val="000000"/>
              </w:rPr>
              <w:t>COMBINED</w:t>
            </w:r>
          </w:p>
        </w:tc>
        <w:tc>
          <w:tcPr>
            <w:tcW w:w="1026" w:type="dxa"/>
            <w:shd w:val="clear" w:color="auto" w:fill="D9D9D9"/>
            <w:vAlign w:val="center"/>
          </w:tcPr>
          <w:p w:rsidR="00E41C21" w:rsidRPr="000D5DBE" w:rsidRDefault="00282C91" w:rsidP="00282C91">
            <w:pPr>
              <w:tabs>
                <w:tab w:val="left" w:pos="288"/>
                <w:tab w:val="left" w:pos="4752"/>
              </w:tabs>
              <w:rPr>
                <w:b/>
                <w:color w:val="000000"/>
              </w:rPr>
            </w:pPr>
            <w:r w:rsidRPr="00282C91">
              <w:rPr>
                <w:b/>
                <w:color w:val="000000"/>
              </w:rPr>
              <w:t>10</w:t>
            </w:r>
            <w:r w:rsidR="00E41C21" w:rsidRPr="00282C91">
              <w:rPr>
                <w:b/>
                <w:color w:val="000000"/>
              </w:rPr>
              <w:t>%</w:t>
            </w:r>
          </w:p>
        </w:tc>
      </w:tr>
    </w:tbl>
    <w:p w:rsidR="00E41C21" w:rsidRPr="001F29F9" w:rsidRDefault="00E41C21" w:rsidP="00E41C21">
      <w:pPr>
        <w:pBdr>
          <w:bottom w:val="single" w:sz="12" w:space="1" w:color="auto"/>
        </w:pBdr>
        <w:tabs>
          <w:tab w:val="left" w:pos="288"/>
          <w:tab w:val="left" w:pos="4752"/>
        </w:tabs>
        <w:jc w:val="both"/>
        <w:rPr>
          <w:color w:val="000000"/>
        </w:rPr>
      </w:pPr>
    </w:p>
    <w:p w:rsidR="00E41C21" w:rsidRPr="001F29F9" w:rsidRDefault="00E41C21" w:rsidP="00E41C21">
      <w:pPr>
        <w:rPr>
          <w:color w:val="000000"/>
        </w:rPr>
      </w:pPr>
    </w:p>
    <w:p w:rsidR="00E41C21" w:rsidRDefault="00E41C21" w:rsidP="00E41C21">
      <w:pPr>
        <w:tabs>
          <w:tab w:val="left" w:pos="288"/>
          <w:tab w:val="left" w:pos="4752"/>
        </w:tabs>
        <w:jc w:val="both"/>
        <w:rPr>
          <w:color w:val="000000"/>
        </w:rPr>
      </w:pPr>
      <w:r w:rsidRPr="001F29F9">
        <w:rPr>
          <w:color w:val="000000"/>
        </w:rPr>
        <w:t>The following documentary evidence was considered:</w:t>
      </w: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dated </w:t>
      </w:r>
      <w:r w:rsidR="009069C8" w:rsidRPr="001F29F9">
        <w:rPr>
          <w:color w:val="000000" w:themeColor="text1"/>
          <w:szCs w:val="24"/>
        </w:rPr>
        <w:t>201</w:t>
      </w:r>
      <w:r w:rsidR="009069C8">
        <w:rPr>
          <w:color w:val="000000" w:themeColor="text1"/>
          <w:szCs w:val="24"/>
        </w:rPr>
        <w:t>11230</w:t>
      </w:r>
      <w:r w:rsidRPr="001F29F9">
        <w:rPr>
          <w:color w:val="000000"/>
        </w:rPr>
        <w:t>, w/</w:t>
      </w:r>
      <w:proofErr w:type="spellStart"/>
      <w:r w:rsidRPr="001F29F9">
        <w:rPr>
          <w:color w:val="000000"/>
        </w:rPr>
        <w:t>atchs</w:t>
      </w:r>
      <w:proofErr w:type="spellEnd"/>
      <w:r w:rsidRPr="001F29F9">
        <w:rPr>
          <w:color w:val="000000"/>
        </w:rPr>
        <w:t>.</w:t>
      </w:r>
    </w:p>
    <w:p w:rsidR="00E41C21" w:rsidRPr="001F29F9" w:rsidRDefault="00E41C21" w:rsidP="00E41C21">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E41C21" w:rsidRPr="001F29F9" w:rsidRDefault="00E41C21" w:rsidP="00E41C21">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w:t>
      </w:r>
      <w:r w:rsidR="00167799">
        <w:rPr>
          <w:color w:val="000000"/>
        </w:rPr>
        <w:t>’</w:t>
      </w:r>
      <w:r w:rsidRPr="001F29F9">
        <w:rPr>
          <w:color w:val="000000"/>
        </w:rPr>
        <w:t xml:space="preserve"> Affairs Treatment Record.</w:t>
      </w:r>
      <w:proofErr w:type="gramEnd"/>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288"/>
          <w:tab w:val="left" w:pos="4752"/>
        </w:tabs>
        <w:jc w:val="both"/>
        <w:rPr>
          <w:color w:val="000000"/>
        </w:rPr>
      </w:pPr>
    </w:p>
    <w:p w:rsidR="00E41C21" w:rsidRPr="001F29F9" w:rsidRDefault="00E41C21" w:rsidP="00E41C21">
      <w:pPr>
        <w:tabs>
          <w:tab w:val="left" w:pos="0"/>
          <w:tab w:val="left" w:pos="4320"/>
        </w:tabs>
        <w:jc w:val="both"/>
        <w:rPr>
          <w:color w:val="000000"/>
        </w:rPr>
      </w:pPr>
      <w:r w:rsidRPr="001F29F9">
        <w:rPr>
          <w:color w:val="000000"/>
        </w:rPr>
        <w:tab/>
        <w:t xml:space="preserve">           </w:t>
      </w:r>
      <w:r w:rsidR="00AA7F4D">
        <w:rPr>
          <w:color w:val="000000"/>
        </w:rPr>
        <w:t>XXXXXXXXXXXXXXXXX</w:t>
      </w:r>
    </w:p>
    <w:p w:rsidR="00E41C21" w:rsidRPr="001F29F9" w:rsidRDefault="00E41C21" w:rsidP="00E41C21">
      <w:pPr>
        <w:tabs>
          <w:tab w:val="left" w:pos="0"/>
          <w:tab w:val="left" w:pos="4320"/>
        </w:tabs>
        <w:jc w:val="both"/>
        <w:rPr>
          <w:color w:val="000000"/>
        </w:rPr>
      </w:pPr>
      <w:r w:rsidRPr="001F29F9">
        <w:rPr>
          <w:color w:val="000000"/>
        </w:rPr>
        <w:tab/>
        <w:t xml:space="preserve">           President</w:t>
      </w:r>
    </w:p>
    <w:p w:rsidR="001C6736" w:rsidRPr="001C6736" w:rsidRDefault="00E41C21" w:rsidP="00504FC2">
      <w:pPr>
        <w:tabs>
          <w:tab w:val="left" w:pos="0"/>
          <w:tab w:val="left" w:pos="4320"/>
        </w:tabs>
        <w:jc w:val="both"/>
        <w:rPr>
          <w:rFonts w:ascii="Janson Text" w:hAnsi="Janson Text" w:cs="Times New Roman"/>
          <w:color w:val="auto"/>
          <w:szCs w:val="24"/>
        </w:rPr>
      </w:pPr>
      <w:r w:rsidRPr="001F29F9">
        <w:rPr>
          <w:color w:val="000000"/>
        </w:rPr>
        <w:tab/>
        <w:t xml:space="preserve">           Physical Disability Board of Review</w:t>
      </w:r>
    </w:p>
    <w:p w:rsidR="00AA7F4D" w:rsidRDefault="00AA7F4D" w:rsidP="001C6736">
      <w:pPr>
        <w:tabs>
          <w:tab w:val="left" w:pos="720"/>
          <w:tab w:val="left" w:pos="1080"/>
          <w:tab w:val="left" w:pos="1340"/>
          <w:tab w:val="left" w:pos="1620"/>
          <w:tab w:val="right" w:leader="dot" w:pos="9180"/>
        </w:tabs>
        <w:overflowPunct w:val="0"/>
        <w:autoSpaceDE w:val="0"/>
        <w:autoSpaceDN w:val="0"/>
        <w:adjustRightInd w:val="0"/>
        <w:spacing w:line="240" w:lineRule="auto"/>
        <w:ind w:right="-720"/>
        <w:jc w:val="left"/>
        <w:textAlignment w:val="baseline"/>
        <w:rPr>
          <w:rFonts w:ascii="Janson Text" w:hAnsi="Janson Text" w:cs="Times New Roman"/>
          <w:b/>
          <w:color w:val="auto"/>
          <w:szCs w:val="24"/>
        </w:rPr>
      </w:pPr>
    </w:p>
    <w:p w:rsidR="00AA7F4D" w:rsidRDefault="00AA7F4D" w:rsidP="00AA7F4D">
      <w:pPr>
        <w:sectPr w:rsidR="00AA7F4D">
          <w:pgSz w:w="12240" w:h="15840"/>
          <w:pgMar w:top="2160" w:right="1440" w:bottom="1440" w:left="1440" w:header="720" w:footer="720" w:gutter="0"/>
          <w:cols w:space="720"/>
        </w:sectPr>
      </w:pPr>
      <w:r>
        <w:rPr>
          <w:rFonts w:ascii="Janson Text" w:hAnsi="Janson Text" w:cs="Times New Roman"/>
          <w:b/>
          <w:color w:val="auto"/>
          <w:szCs w:val="24"/>
        </w:rPr>
        <w:br w:type="page"/>
      </w:r>
    </w:p>
    <w:p w:rsidR="00AA7F4D" w:rsidRDefault="00AA7F4D" w:rsidP="00AA7F4D">
      <w:pPr>
        <w:pStyle w:val="Header"/>
        <w:tabs>
          <w:tab w:val="left" w:pos="720"/>
        </w:tabs>
        <w:jc w:val="left"/>
      </w:pPr>
      <w:r>
        <w:lastRenderedPageBreak/>
        <w:t>SFMR-RB</w:t>
      </w:r>
      <w:r>
        <w:tab/>
      </w:r>
      <w:r>
        <w:tab/>
      </w:r>
      <w:r>
        <w:tab/>
      </w:r>
      <w:r>
        <w:tab/>
      </w:r>
      <w:r>
        <w:tab/>
      </w:r>
      <w:r>
        <w:tab/>
      </w:r>
      <w:r>
        <w:tab/>
      </w:r>
      <w:r>
        <w:tab/>
      </w:r>
      <w:r>
        <w:tab/>
      </w:r>
    </w:p>
    <w:p w:rsidR="00AA7F4D" w:rsidRDefault="00AA7F4D" w:rsidP="00AA7F4D">
      <w:pPr>
        <w:pStyle w:val="Header"/>
        <w:tabs>
          <w:tab w:val="left" w:pos="720"/>
        </w:tabs>
        <w:jc w:val="left"/>
      </w:pPr>
    </w:p>
    <w:p w:rsidR="00AA7F4D" w:rsidRDefault="00AA7F4D" w:rsidP="00AA7F4D">
      <w:pPr>
        <w:jc w:val="left"/>
      </w:pPr>
    </w:p>
    <w:p w:rsidR="00AA7F4D" w:rsidRDefault="00AA7F4D" w:rsidP="00AA7F4D">
      <w:pPr>
        <w:jc w:val="left"/>
      </w:pPr>
      <w:r>
        <w:t xml:space="preserve">MEMORANDUM FOR Commander, US Army Physical Disability Agency </w:t>
      </w:r>
    </w:p>
    <w:p w:rsidR="00AA7F4D" w:rsidRDefault="00AA7F4D" w:rsidP="00AA7F4D">
      <w:pPr>
        <w:jc w:val="left"/>
      </w:pPr>
      <w:r>
        <w:t xml:space="preserve">(TAPD-ZB </w:t>
      </w:r>
      <w:proofErr w:type="gramStart"/>
      <w:r>
        <w:t>/  )</w:t>
      </w:r>
      <w:proofErr w:type="gramEnd"/>
      <w:r>
        <w:t>, 2900 Crystal Drive, Suite 300, Arlington, VA  22202-3557</w:t>
      </w:r>
    </w:p>
    <w:p w:rsidR="00AA7F4D" w:rsidRDefault="00AA7F4D" w:rsidP="00AA7F4D">
      <w:pPr>
        <w:jc w:val="left"/>
      </w:pPr>
    </w:p>
    <w:p w:rsidR="00AA7F4D" w:rsidRDefault="00AA7F4D" w:rsidP="00AA7F4D">
      <w:pPr>
        <w:jc w:val="left"/>
      </w:pPr>
    </w:p>
    <w:p w:rsidR="00AA7F4D" w:rsidRDefault="00AA7F4D" w:rsidP="00AA7F4D">
      <w:pPr>
        <w:ind w:right="-180"/>
        <w:jc w:val="left"/>
      </w:pPr>
      <w:r>
        <w:t xml:space="preserve">SUBJECT:  Department of Defense Physical Disability Board of Review Recommendation </w:t>
      </w:r>
    </w:p>
    <w:p w:rsidR="00AA7F4D" w:rsidRDefault="00AA7F4D" w:rsidP="00AA7F4D">
      <w:pPr>
        <w:pStyle w:val="Header"/>
        <w:tabs>
          <w:tab w:val="left" w:pos="720"/>
        </w:tabs>
        <w:jc w:val="left"/>
      </w:pPr>
      <w:proofErr w:type="gramStart"/>
      <w:r>
        <w:t>for</w:t>
      </w:r>
      <w:proofErr w:type="gramEnd"/>
      <w:r>
        <w:t xml:space="preserve"> XXXXXXXXXXXXXXXXXX, AR20120019886 (PD201200023)</w:t>
      </w:r>
    </w:p>
    <w:p w:rsidR="00AA7F4D" w:rsidRDefault="00AA7F4D" w:rsidP="00AA7F4D">
      <w:pPr>
        <w:pStyle w:val="Header"/>
        <w:tabs>
          <w:tab w:val="left" w:pos="720"/>
        </w:tabs>
        <w:jc w:val="left"/>
      </w:pPr>
    </w:p>
    <w:p w:rsidR="00AA7F4D" w:rsidRDefault="00AA7F4D" w:rsidP="00AA7F4D">
      <w:pPr>
        <w:jc w:val="left"/>
      </w:pPr>
    </w:p>
    <w:p w:rsidR="00AA7F4D" w:rsidRDefault="00AA7F4D" w:rsidP="00AA7F4D">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AA7F4D" w:rsidRDefault="00AA7F4D" w:rsidP="00AA7F4D">
      <w:pPr>
        <w:jc w:val="left"/>
      </w:pPr>
    </w:p>
    <w:p w:rsidR="00AA7F4D" w:rsidRDefault="00AA7F4D" w:rsidP="00AA7F4D">
      <w:pPr>
        <w:jc w:val="left"/>
      </w:pPr>
      <w:r>
        <w:t xml:space="preserve">2.  I direct that all the Department of the Army records of the individual concerned be corrected accordingly no later than 120 days from the date of this memorandum.   </w:t>
      </w:r>
    </w:p>
    <w:p w:rsidR="00AA7F4D" w:rsidRDefault="00AA7F4D" w:rsidP="00AA7F4D">
      <w:pPr>
        <w:jc w:val="left"/>
      </w:pPr>
    </w:p>
    <w:p w:rsidR="00AA7F4D" w:rsidRDefault="00AA7F4D" w:rsidP="00AA7F4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A7F4D" w:rsidRDefault="00AA7F4D" w:rsidP="00AA7F4D">
      <w:pPr>
        <w:jc w:val="left"/>
      </w:pPr>
    </w:p>
    <w:p w:rsidR="00AA7F4D" w:rsidRDefault="00AA7F4D" w:rsidP="00AA7F4D">
      <w:pPr>
        <w:jc w:val="left"/>
      </w:pPr>
      <w:r>
        <w:t xml:space="preserve"> BY ORDER OF THE SECRETARY OF THE ARMY:</w:t>
      </w:r>
    </w:p>
    <w:p w:rsidR="00AA7F4D" w:rsidRDefault="00AA7F4D" w:rsidP="00AA7F4D">
      <w:pPr>
        <w:jc w:val="left"/>
      </w:pPr>
    </w:p>
    <w:p w:rsidR="00AA7F4D" w:rsidRDefault="00AA7F4D" w:rsidP="00AA7F4D">
      <w:pPr>
        <w:jc w:val="left"/>
      </w:pPr>
    </w:p>
    <w:p w:rsidR="00AA7F4D" w:rsidRDefault="00AA7F4D" w:rsidP="00AA7F4D">
      <w:pPr>
        <w:pStyle w:val="Header"/>
        <w:tabs>
          <w:tab w:val="left" w:pos="720"/>
        </w:tabs>
        <w:jc w:val="left"/>
      </w:pPr>
    </w:p>
    <w:p w:rsidR="00AA7F4D" w:rsidRDefault="00AA7F4D" w:rsidP="00AA7F4D">
      <w:pPr>
        <w:jc w:val="left"/>
      </w:pPr>
    </w:p>
    <w:p w:rsidR="00AA7F4D" w:rsidRDefault="00AA7F4D" w:rsidP="00AA7F4D">
      <w:pPr>
        <w:jc w:val="left"/>
      </w:pPr>
      <w:bookmarkStart w:id="0" w:name="OLE_LINK4"/>
      <w:bookmarkStart w:id="1" w:name="OLE_LINK3"/>
      <w:r>
        <w:t>Encl</w:t>
      </w:r>
      <w:r>
        <w:tab/>
      </w:r>
      <w:r>
        <w:tab/>
      </w:r>
      <w:r>
        <w:tab/>
      </w:r>
      <w:r>
        <w:tab/>
      </w:r>
      <w:r>
        <w:tab/>
      </w:r>
      <w:r>
        <w:tab/>
        <w:t xml:space="preserve">     XXXXXXXXXXXXXXXXX</w:t>
      </w:r>
    </w:p>
    <w:p w:rsidR="00AA7F4D" w:rsidRDefault="00AA7F4D" w:rsidP="00AA7F4D">
      <w:pPr>
        <w:jc w:val="left"/>
      </w:pPr>
      <w:r>
        <w:tab/>
      </w:r>
      <w:r>
        <w:tab/>
      </w:r>
      <w:r>
        <w:tab/>
      </w:r>
      <w:r>
        <w:tab/>
      </w:r>
      <w:r>
        <w:tab/>
      </w:r>
      <w:r>
        <w:tab/>
        <w:t xml:space="preserve">     Deputy Assistant Secretary</w:t>
      </w:r>
    </w:p>
    <w:p w:rsidR="00AA7F4D" w:rsidRDefault="00AA7F4D" w:rsidP="00AA7F4D">
      <w:pPr>
        <w:jc w:val="left"/>
      </w:pPr>
      <w:r>
        <w:tab/>
      </w:r>
      <w:r>
        <w:tab/>
      </w:r>
      <w:r>
        <w:tab/>
      </w:r>
      <w:r>
        <w:tab/>
      </w:r>
      <w:r>
        <w:tab/>
      </w:r>
      <w:r>
        <w:tab/>
        <w:t xml:space="preserve">         (Army Review Boards)</w:t>
      </w:r>
      <w:bookmarkEnd w:id="0"/>
      <w:bookmarkEnd w:id="1"/>
    </w:p>
    <w:p w:rsidR="00AA7F4D" w:rsidRDefault="00AA7F4D" w:rsidP="00AA7F4D">
      <w:pPr>
        <w:jc w:val="left"/>
      </w:pPr>
    </w:p>
    <w:p w:rsidR="00AA7F4D" w:rsidRDefault="00AA7F4D" w:rsidP="00AA7F4D">
      <w:pPr>
        <w:jc w:val="left"/>
      </w:pPr>
      <w:r>
        <w:t xml:space="preserve">CF: </w:t>
      </w:r>
    </w:p>
    <w:p w:rsidR="00AA7F4D" w:rsidRDefault="00AA7F4D" w:rsidP="00AA7F4D">
      <w:pPr>
        <w:jc w:val="left"/>
      </w:pPr>
      <w:r>
        <w:t xml:space="preserve">(  ) </w:t>
      </w:r>
      <w:proofErr w:type="spellStart"/>
      <w:proofErr w:type="gramStart"/>
      <w:r>
        <w:t>DoD</w:t>
      </w:r>
      <w:proofErr w:type="spellEnd"/>
      <w:proofErr w:type="gramEnd"/>
      <w:r>
        <w:t xml:space="preserve"> PDBR</w:t>
      </w:r>
    </w:p>
    <w:p w:rsidR="00AA7F4D" w:rsidRDefault="00AA7F4D" w:rsidP="00AA7F4D">
      <w:pPr>
        <w:jc w:val="left"/>
      </w:pPr>
      <w:r>
        <w:t>(  ) DVA</w:t>
      </w:r>
    </w:p>
    <w:p w:rsidR="001C6736" w:rsidRDefault="001C6736" w:rsidP="00AA7F4D">
      <w:pPr>
        <w:spacing w:line="240" w:lineRule="auto"/>
        <w:jc w:val="left"/>
        <w:rPr>
          <w:rFonts w:ascii="Janson Text" w:hAnsi="Janson Text" w:cs="Times New Roman"/>
          <w:b/>
          <w:color w:val="auto"/>
          <w:szCs w:val="24"/>
        </w:rPr>
      </w:pPr>
    </w:p>
    <w:sectPr w:rsidR="001C6736"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408" w:rsidRDefault="00522408">
      <w:r>
        <w:separator/>
      </w:r>
    </w:p>
  </w:endnote>
  <w:endnote w:type="continuationSeparator" w:id="0">
    <w:p w:rsidR="00522408" w:rsidRDefault="005224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Default="00AD2379" w:rsidP="00726F84">
    <w:pPr>
      <w:pStyle w:val="Footer"/>
      <w:ind w:firstLine="4320"/>
      <w:rPr>
        <w:color w:val="auto"/>
      </w:rPr>
    </w:pPr>
    <w:r w:rsidRPr="00374247">
      <w:rPr>
        <w:color w:val="auto"/>
      </w:rPr>
      <w:t xml:space="preserve">   </w:t>
    </w:r>
    <w:fldSimple w:instr=" PAGE   \* MERGEFORMAT ">
      <w:r w:rsidR="00AA7F4D" w:rsidRPr="00AA7F4D">
        <w:rPr>
          <w:noProof/>
          <w:color w:val="auto"/>
        </w:rPr>
        <w:t>2</w:t>
      </w:r>
    </w:fldSimple>
    <w:r w:rsidRPr="00374247">
      <w:rPr>
        <w:color w:val="auto"/>
      </w:rPr>
      <w:t xml:space="preserve">                                                           </w:t>
    </w:r>
    <w:r w:rsidRPr="001D64F3">
      <w:rPr>
        <w:color w:val="auto"/>
      </w:rPr>
      <w:t>PD1</w:t>
    </w:r>
    <w:r w:rsidR="00E824DE">
      <w:rPr>
        <w:color w:val="auto"/>
      </w:rPr>
      <w:t>2</w:t>
    </w:r>
    <w:r w:rsidRPr="009369A6">
      <w:rPr>
        <w:color w:val="auto"/>
      </w:rPr>
      <w:t>00</w:t>
    </w:r>
    <w:r w:rsidR="009069C8">
      <w:rPr>
        <w:color w:val="auto"/>
      </w:rPr>
      <w:t>023</w:t>
    </w:r>
  </w:p>
  <w:p w:rsidR="009069C8" w:rsidRPr="00374247" w:rsidRDefault="009069C8" w:rsidP="00726F84">
    <w:pPr>
      <w:pStyle w:val="Footer"/>
      <w:ind w:firstLine="4320"/>
      <w:rPr>
        <w:color w:val="auto"/>
      </w:rPr>
    </w:pP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408" w:rsidRDefault="00522408">
      <w:r>
        <w:separator/>
      </w:r>
    </w:p>
  </w:footnote>
  <w:footnote w:type="continuationSeparator" w:id="0">
    <w:p w:rsidR="00522408" w:rsidRDefault="005224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88D"/>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45F60"/>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436F"/>
    <w:rsid w:val="001554E4"/>
    <w:rsid w:val="0015623F"/>
    <w:rsid w:val="00156585"/>
    <w:rsid w:val="00156BA9"/>
    <w:rsid w:val="00161642"/>
    <w:rsid w:val="00161761"/>
    <w:rsid w:val="00164413"/>
    <w:rsid w:val="00166182"/>
    <w:rsid w:val="00167799"/>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2D5D"/>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6736"/>
    <w:rsid w:val="001C7231"/>
    <w:rsid w:val="001C7418"/>
    <w:rsid w:val="001C7EBE"/>
    <w:rsid w:val="001D0051"/>
    <w:rsid w:val="001D150B"/>
    <w:rsid w:val="001D169A"/>
    <w:rsid w:val="001D2224"/>
    <w:rsid w:val="001D31AA"/>
    <w:rsid w:val="001D37B9"/>
    <w:rsid w:val="001D3DC0"/>
    <w:rsid w:val="001D46D2"/>
    <w:rsid w:val="001D4F88"/>
    <w:rsid w:val="001D64F3"/>
    <w:rsid w:val="001D68CF"/>
    <w:rsid w:val="001D6A8C"/>
    <w:rsid w:val="001D6C58"/>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7606"/>
    <w:rsid w:val="002178AE"/>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4E59"/>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261C"/>
    <w:rsid w:val="00282C91"/>
    <w:rsid w:val="00282DB6"/>
    <w:rsid w:val="002833E3"/>
    <w:rsid w:val="002842D8"/>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4C8"/>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6D84"/>
    <w:rsid w:val="00387095"/>
    <w:rsid w:val="00387E95"/>
    <w:rsid w:val="00390092"/>
    <w:rsid w:val="00390CFA"/>
    <w:rsid w:val="00391858"/>
    <w:rsid w:val="00393651"/>
    <w:rsid w:val="00393D7D"/>
    <w:rsid w:val="00394926"/>
    <w:rsid w:val="00394F09"/>
    <w:rsid w:val="00394FF9"/>
    <w:rsid w:val="00395651"/>
    <w:rsid w:val="00395E12"/>
    <w:rsid w:val="003962A8"/>
    <w:rsid w:val="00396779"/>
    <w:rsid w:val="00397DB7"/>
    <w:rsid w:val="003A16E5"/>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7A8B"/>
    <w:rsid w:val="003C07BF"/>
    <w:rsid w:val="003C247E"/>
    <w:rsid w:val="003C294B"/>
    <w:rsid w:val="003C34DF"/>
    <w:rsid w:val="003C5046"/>
    <w:rsid w:val="003C53E8"/>
    <w:rsid w:val="003C5B54"/>
    <w:rsid w:val="003C6068"/>
    <w:rsid w:val="003C7AEC"/>
    <w:rsid w:val="003D2BA3"/>
    <w:rsid w:val="003D316B"/>
    <w:rsid w:val="003D329C"/>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491E"/>
    <w:rsid w:val="003F58B0"/>
    <w:rsid w:val="003F776F"/>
    <w:rsid w:val="004007E9"/>
    <w:rsid w:val="00400810"/>
    <w:rsid w:val="00401825"/>
    <w:rsid w:val="00401BBC"/>
    <w:rsid w:val="004026FC"/>
    <w:rsid w:val="00403BFB"/>
    <w:rsid w:val="00404B45"/>
    <w:rsid w:val="00405BCF"/>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09E2"/>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0250"/>
    <w:rsid w:val="004D10D4"/>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4FC2"/>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2408"/>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D6C"/>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57A2C"/>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5F32"/>
    <w:rsid w:val="00576718"/>
    <w:rsid w:val="00577CB2"/>
    <w:rsid w:val="0058039C"/>
    <w:rsid w:val="00580A63"/>
    <w:rsid w:val="005830B1"/>
    <w:rsid w:val="00583379"/>
    <w:rsid w:val="0058417C"/>
    <w:rsid w:val="005854F9"/>
    <w:rsid w:val="00585A1A"/>
    <w:rsid w:val="00586EC6"/>
    <w:rsid w:val="00587DDE"/>
    <w:rsid w:val="0059250D"/>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54DC"/>
    <w:rsid w:val="005E65DC"/>
    <w:rsid w:val="005E6AEE"/>
    <w:rsid w:val="005E6E88"/>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B61"/>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73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374B"/>
    <w:rsid w:val="006F45A0"/>
    <w:rsid w:val="006F4F06"/>
    <w:rsid w:val="006F5A4E"/>
    <w:rsid w:val="006F5D37"/>
    <w:rsid w:val="006F6005"/>
    <w:rsid w:val="007005EA"/>
    <w:rsid w:val="0070220D"/>
    <w:rsid w:val="00703B6C"/>
    <w:rsid w:val="00703BB0"/>
    <w:rsid w:val="00704463"/>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4916"/>
    <w:rsid w:val="00725BC5"/>
    <w:rsid w:val="007260A9"/>
    <w:rsid w:val="00726C1D"/>
    <w:rsid w:val="00726F84"/>
    <w:rsid w:val="007272F1"/>
    <w:rsid w:val="00727565"/>
    <w:rsid w:val="00727940"/>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3AF7"/>
    <w:rsid w:val="00773C45"/>
    <w:rsid w:val="00774FFD"/>
    <w:rsid w:val="00780378"/>
    <w:rsid w:val="0078085E"/>
    <w:rsid w:val="00780FF5"/>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5DF8"/>
    <w:rsid w:val="00896535"/>
    <w:rsid w:val="00896683"/>
    <w:rsid w:val="00896910"/>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9C8"/>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E7F51"/>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515"/>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17F"/>
    <w:rsid w:val="00A70270"/>
    <w:rsid w:val="00A70E7B"/>
    <w:rsid w:val="00A717EA"/>
    <w:rsid w:val="00A730B0"/>
    <w:rsid w:val="00A7387A"/>
    <w:rsid w:val="00A73B84"/>
    <w:rsid w:val="00A7411D"/>
    <w:rsid w:val="00A756C4"/>
    <w:rsid w:val="00A7592B"/>
    <w:rsid w:val="00A75ED7"/>
    <w:rsid w:val="00A76094"/>
    <w:rsid w:val="00A768E2"/>
    <w:rsid w:val="00A80306"/>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A7F4D"/>
    <w:rsid w:val="00AB0535"/>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0157"/>
    <w:rsid w:val="00B1176B"/>
    <w:rsid w:val="00B11858"/>
    <w:rsid w:val="00B13A39"/>
    <w:rsid w:val="00B13A51"/>
    <w:rsid w:val="00B140B8"/>
    <w:rsid w:val="00B144AE"/>
    <w:rsid w:val="00B14FAA"/>
    <w:rsid w:val="00B15BED"/>
    <w:rsid w:val="00B15D30"/>
    <w:rsid w:val="00B15F09"/>
    <w:rsid w:val="00B16D18"/>
    <w:rsid w:val="00B177DE"/>
    <w:rsid w:val="00B20624"/>
    <w:rsid w:val="00B21843"/>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4206"/>
    <w:rsid w:val="00B3575C"/>
    <w:rsid w:val="00B36569"/>
    <w:rsid w:val="00B37345"/>
    <w:rsid w:val="00B37F53"/>
    <w:rsid w:val="00B40A05"/>
    <w:rsid w:val="00B40A3E"/>
    <w:rsid w:val="00B40CED"/>
    <w:rsid w:val="00B427BB"/>
    <w:rsid w:val="00B43BA2"/>
    <w:rsid w:val="00B449EE"/>
    <w:rsid w:val="00B454AE"/>
    <w:rsid w:val="00B501F5"/>
    <w:rsid w:val="00B50227"/>
    <w:rsid w:val="00B50510"/>
    <w:rsid w:val="00B505E9"/>
    <w:rsid w:val="00B51BAE"/>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977E8"/>
    <w:rsid w:val="00BA1824"/>
    <w:rsid w:val="00BA2D98"/>
    <w:rsid w:val="00BA2F0C"/>
    <w:rsid w:val="00BA30D1"/>
    <w:rsid w:val="00BA30E1"/>
    <w:rsid w:val="00BA38FA"/>
    <w:rsid w:val="00BA4609"/>
    <w:rsid w:val="00BA4B71"/>
    <w:rsid w:val="00BA5BE2"/>
    <w:rsid w:val="00BA60FC"/>
    <w:rsid w:val="00BA6A9C"/>
    <w:rsid w:val="00BA7F46"/>
    <w:rsid w:val="00BB0388"/>
    <w:rsid w:val="00BB0A0A"/>
    <w:rsid w:val="00BB133C"/>
    <w:rsid w:val="00BB1F04"/>
    <w:rsid w:val="00BB41E5"/>
    <w:rsid w:val="00BB45B5"/>
    <w:rsid w:val="00BB4B8C"/>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2A8"/>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0912"/>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078"/>
    <w:rsid w:val="00D45319"/>
    <w:rsid w:val="00D462D7"/>
    <w:rsid w:val="00D46A33"/>
    <w:rsid w:val="00D46D9B"/>
    <w:rsid w:val="00D5062C"/>
    <w:rsid w:val="00D50B3F"/>
    <w:rsid w:val="00D50C8C"/>
    <w:rsid w:val="00D52097"/>
    <w:rsid w:val="00D52393"/>
    <w:rsid w:val="00D523E4"/>
    <w:rsid w:val="00D5279D"/>
    <w:rsid w:val="00D52A1B"/>
    <w:rsid w:val="00D52AA7"/>
    <w:rsid w:val="00D52FCC"/>
    <w:rsid w:val="00D53148"/>
    <w:rsid w:val="00D53F14"/>
    <w:rsid w:val="00D541F8"/>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1F4E"/>
    <w:rsid w:val="00DA27F3"/>
    <w:rsid w:val="00DA2D1E"/>
    <w:rsid w:val="00DA3EC8"/>
    <w:rsid w:val="00DA40C1"/>
    <w:rsid w:val="00DA5564"/>
    <w:rsid w:val="00DA6B55"/>
    <w:rsid w:val="00DA6B97"/>
    <w:rsid w:val="00DA6CEE"/>
    <w:rsid w:val="00DA7997"/>
    <w:rsid w:val="00DB0015"/>
    <w:rsid w:val="00DB0359"/>
    <w:rsid w:val="00DB0ABB"/>
    <w:rsid w:val="00DB1756"/>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477"/>
    <w:rsid w:val="00E25A99"/>
    <w:rsid w:val="00E25B8A"/>
    <w:rsid w:val="00E25EF8"/>
    <w:rsid w:val="00E2632B"/>
    <w:rsid w:val="00E26F75"/>
    <w:rsid w:val="00E27423"/>
    <w:rsid w:val="00E3077F"/>
    <w:rsid w:val="00E322F7"/>
    <w:rsid w:val="00E3369B"/>
    <w:rsid w:val="00E350D1"/>
    <w:rsid w:val="00E36080"/>
    <w:rsid w:val="00E362D2"/>
    <w:rsid w:val="00E36D76"/>
    <w:rsid w:val="00E40478"/>
    <w:rsid w:val="00E405EA"/>
    <w:rsid w:val="00E408B7"/>
    <w:rsid w:val="00E412EB"/>
    <w:rsid w:val="00E41637"/>
    <w:rsid w:val="00E41C21"/>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3F3F"/>
    <w:rsid w:val="00E64374"/>
    <w:rsid w:val="00E6451F"/>
    <w:rsid w:val="00E6469F"/>
    <w:rsid w:val="00E6546A"/>
    <w:rsid w:val="00E65C05"/>
    <w:rsid w:val="00E65D39"/>
    <w:rsid w:val="00E670F8"/>
    <w:rsid w:val="00E6741B"/>
    <w:rsid w:val="00E67FAC"/>
    <w:rsid w:val="00E70164"/>
    <w:rsid w:val="00E71485"/>
    <w:rsid w:val="00E7200B"/>
    <w:rsid w:val="00E73175"/>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4DE"/>
    <w:rsid w:val="00E82B6D"/>
    <w:rsid w:val="00E83187"/>
    <w:rsid w:val="00E831E9"/>
    <w:rsid w:val="00E84DDA"/>
    <w:rsid w:val="00E84DF2"/>
    <w:rsid w:val="00E8608F"/>
    <w:rsid w:val="00E869FD"/>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4B7F"/>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379D7"/>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77439"/>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304"/>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6A64"/>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31020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53C7C-C8E9-45C7-988F-91F8532DC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2012-10-22T13:46:00Z</cp:lastPrinted>
  <dcterms:created xsi:type="dcterms:W3CDTF">2012-11-21T16:28:00Z</dcterms:created>
  <dcterms:modified xsi:type="dcterms:W3CDTF">2012-11-21T16:28:00Z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