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05507"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747292">
        <w:rPr>
          <w:caps/>
          <w:color w:val="000000" w:themeColor="text1"/>
        </w:rPr>
        <w:t>XXXXXXXXXX</w:t>
      </w:r>
      <w:r w:rsidR="007F5EBC">
        <w:rPr>
          <w:caps/>
          <w:color w:val="000000" w:themeColor="text1"/>
        </w:rPr>
        <w:tab/>
      </w:r>
      <w:r w:rsidR="007F5EBC">
        <w:rPr>
          <w:caps/>
          <w:color w:val="000000" w:themeColor="text1"/>
        </w:rPr>
        <w:tab/>
      </w:r>
      <w:r w:rsidR="002B36C8">
        <w:rPr>
          <w:caps/>
          <w:color w:val="000000" w:themeColor="text1"/>
        </w:rPr>
        <w:t xml:space="preserve">                      </w:t>
      </w:r>
      <w:r w:rsidRPr="00605507">
        <w:rPr>
          <w:caps/>
          <w:color w:val="000000" w:themeColor="text1"/>
        </w:rPr>
        <w:t xml:space="preserve">BRANCH OF SERVICE: </w:t>
      </w:r>
      <w:r w:rsidR="004C24C5" w:rsidRPr="00605507">
        <w:rPr>
          <w:caps/>
          <w:color w:val="000000" w:themeColor="text1"/>
        </w:rPr>
        <w:t xml:space="preserve"> </w:t>
      </w:r>
      <w:r w:rsidR="00332DE3" w:rsidRPr="00605507">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605507">
        <w:rPr>
          <w:caps/>
          <w:color w:val="000000" w:themeColor="text1"/>
        </w:rPr>
        <w:t>C</w:t>
      </w:r>
      <w:r w:rsidR="00DE3AAD" w:rsidRPr="00605507">
        <w:rPr>
          <w:caps/>
          <w:color w:val="000000" w:themeColor="text1"/>
        </w:rPr>
        <w:t>ASE NUMBER:  PD</w:t>
      </w:r>
      <w:r w:rsidR="008F58E1" w:rsidRPr="00605507">
        <w:rPr>
          <w:caps/>
          <w:color w:val="000000" w:themeColor="text1"/>
        </w:rPr>
        <w:t>1</w:t>
      </w:r>
      <w:r w:rsidR="00605507" w:rsidRPr="00605507">
        <w:rPr>
          <w:caps/>
          <w:color w:val="000000" w:themeColor="text1"/>
        </w:rPr>
        <w:t>2</w:t>
      </w:r>
      <w:r w:rsidR="00DE3AAD" w:rsidRPr="00605507">
        <w:rPr>
          <w:caps/>
          <w:color w:val="000000" w:themeColor="text1"/>
        </w:rPr>
        <w:t>00</w:t>
      </w:r>
      <w:r w:rsidR="00605507" w:rsidRPr="00605507">
        <w:rPr>
          <w:caps/>
          <w:color w:val="000000" w:themeColor="text1"/>
        </w:rPr>
        <w:t>015</w:t>
      </w:r>
      <w:r w:rsidR="007F5EBC">
        <w:rPr>
          <w:color w:val="000000" w:themeColor="text1"/>
        </w:rPr>
        <w:tab/>
      </w:r>
      <w:r w:rsidR="007F5EBC">
        <w:rPr>
          <w:color w:val="000000" w:themeColor="text1"/>
        </w:rPr>
        <w:tab/>
      </w:r>
      <w:r w:rsidR="007F5EBC">
        <w:rPr>
          <w:color w:val="000000" w:themeColor="text1"/>
        </w:rPr>
        <w:tab/>
      </w:r>
      <w:r w:rsidR="002B36C8">
        <w:rPr>
          <w:color w:val="000000" w:themeColor="text1"/>
        </w:rPr>
        <w:t xml:space="preserve">                      </w:t>
      </w:r>
      <w:r w:rsidR="00DE3AAD" w:rsidRPr="001F29F9">
        <w:rPr>
          <w:color w:val="000000" w:themeColor="text1"/>
        </w:rPr>
        <w:t>SEPARATION DATE:  200</w:t>
      </w:r>
      <w:r w:rsidR="00605507">
        <w:rPr>
          <w:color w:val="000000" w:themeColor="text1"/>
        </w:rPr>
        <w:t>51110</w:t>
      </w:r>
    </w:p>
    <w:p w:rsidR="00827B29" w:rsidRPr="007F5EBC" w:rsidRDefault="007F5EBC" w:rsidP="00BF0E94">
      <w:pPr>
        <w:tabs>
          <w:tab w:val="left" w:pos="288"/>
          <w:tab w:val="left" w:pos="5130"/>
        </w:tabs>
        <w:jc w:val="both"/>
        <w:rPr>
          <w:color w:val="000000" w:themeColor="text1"/>
        </w:rPr>
      </w:pPr>
      <w:r>
        <w:rPr>
          <w:caps/>
          <w:color w:val="000000" w:themeColor="text1"/>
        </w:rPr>
        <w:t>BOARD DATE:  2012</w:t>
      </w:r>
      <w:r w:rsidR="00A22B04">
        <w:rPr>
          <w:caps/>
          <w:color w:val="000000" w:themeColor="text1"/>
        </w:rPr>
        <w:t>04</w:t>
      </w:r>
      <w:r w:rsidR="00345CD3">
        <w:rPr>
          <w:caps/>
          <w:color w:val="000000" w:themeColor="text1"/>
        </w:rPr>
        <w:t>19</w:t>
      </w:r>
      <w:r w:rsidR="003B2143" w:rsidRPr="001F29F9">
        <w:rPr>
          <w:caps/>
          <w:color w:val="000000" w:themeColor="text1"/>
        </w:rPr>
        <w:tab/>
      </w:r>
    </w:p>
    <w:p w:rsidR="007F5EBC" w:rsidRPr="001F29F9" w:rsidRDefault="007F5EBC" w:rsidP="007F5EBC">
      <w:pPr>
        <w:pBdr>
          <w:bottom w:val="single" w:sz="12" w:space="1" w:color="auto"/>
        </w:pBdr>
        <w:tabs>
          <w:tab w:val="left" w:pos="288"/>
          <w:tab w:val="left" w:pos="4752"/>
        </w:tabs>
        <w:jc w:val="both"/>
        <w:rPr>
          <w:color w:val="000000" w:themeColor="text1"/>
        </w:rPr>
      </w:pPr>
    </w:p>
    <w:p w:rsidR="009369A6" w:rsidRPr="00C16D0B" w:rsidRDefault="009369A6" w:rsidP="00BF0E94">
      <w:pPr>
        <w:tabs>
          <w:tab w:val="left" w:pos="288"/>
          <w:tab w:val="left" w:pos="4752"/>
        </w:tabs>
        <w:jc w:val="both"/>
        <w:rPr>
          <w:color w:val="000000" w:themeColor="text1"/>
        </w:rPr>
      </w:pPr>
    </w:p>
    <w:p w:rsidR="00F63FC7" w:rsidRPr="007F5EBC" w:rsidRDefault="00FB0E80" w:rsidP="00BF0E94">
      <w:pPr>
        <w:tabs>
          <w:tab w:val="left" w:pos="288"/>
          <w:tab w:val="left" w:pos="4752"/>
        </w:tabs>
        <w:jc w:val="both"/>
        <w:rPr>
          <w:color w:val="000000" w:themeColor="text1"/>
          <w:szCs w:val="24"/>
        </w:rPr>
      </w:pPr>
      <w:r w:rsidRPr="00C16D0B">
        <w:rPr>
          <w:color w:val="000000" w:themeColor="text1"/>
          <w:u w:val="single"/>
        </w:rPr>
        <w:t>SUMMARY OF CASE</w:t>
      </w:r>
      <w:r w:rsidRPr="00C16D0B">
        <w:rPr>
          <w:color w:val="000000" w:themeColor="text1"/>
        </w:rPr>
        <w:t xml:space="preserve">:  </w:t>
      </w:r>
      <w:r w:rsidR="009759C2" w:rsidRPr="00C16D0B">
        <w:rPr>
          <w:color w:val="000000" w:themeColor="text1"/>
        </w:rPr>
        <w:t>Data extracted from the available evidence of record reflects that this covered individual (CI)</w:t>
      </w:r>
      <w:r w:rsidR="00570754" w:rsidRPr="00C16D0B">
        <w:rPr>
          <w:color w:val="000000" w:themeColor="text1"/>
        </w:rPr>
        <w:t xml:space="preserve"> </w:t>
      </w:r>
      <w:r w:rsidR="002C6E5B" w:rsidRPr="00C16D0B">
        <w:rPr>
          <w:color w:val="000000" w:themeColor="text1"/>
          <w:szCs w:val="24"/>
        </w:rPr>
        <w:t xml:space="preserve">was </w:t>
      </w:r>
      <w:r w:rsidR="00E322F7" w:rsidRPr="00C16D0B">
        <w:rPr>
          <w:color w:val="000000" w:themeColor="text1"/>
          <w:szCs w:val="24"/>
        </w:rPr>
        <w:t>an active duty</w:t>
      </w:r>
      <w:r w:rsidR="006D4E0E" w:rsidRPr="00C16D0B">
        <w:rPr>
          <w:color w:val="000000" w:themeColor="text1"/>
          <w:szCs w:val="24"/>
        </w:rPr>
        <w:t xml:space="preserve"> </w:t>
      </w:r>
      <w:r w:rsidR="00661BA2" w:rsidRPr="00C16D0B">
        <w:rPr>
          <w:color w:val="000000" w:themeColor="text1"/>
          <w:szCs w:val="24"/>
        </w:rPr>
        <w:t>S</w:t>
      </w:r>
      <w:r w:rsidR="00605507" w:rsidRPr="00C16D0B">
        <w:rPr>
          <w:color w:val="000000" w:themeColor="text1"/>
          <w:szCs w:val="24"/>
        </w:rPr>
        <w:t>SG</w:t>
      </w:r>
      <w:r w:rsidR="00661BA2" w:rsidRPr="00C16D0B">
        <w:rPr>
          <w:color w:val="000000" w:themeColor="text1"/>
          <w:szCs w:val="24"/>
        </w:rPr>
        <w:t>/E-</w:t>
      </w:r>
      <w:r w:rsidR="00605507" w:rsidRPr="00C16D0B">
        <w:rPr>
          <w:color w:val="000000" w:themeColor="text1"/>
          <w:szCs w:val="24"/>
        </w:rPr>
        <w:t>6</w:t>
      </w:r>
      <w:r w:rsidR="00705C40" w:rsidRPr="00C16D0B">
        <w:rPr>
          <w:color w:val="000000" w:themeColor="text1"/>
          <w:szCs w:val="24"/>
        </w:rPr>
        <w:t xml:space="preserve"> (</w:t>
      </w:r>
      <w:r w:rsidR="00605507" w:rsidRPr="00C16D0B">
        <w:rPr>
          <w:color w:val="000000" w:themeColor="text1"/>
          <w:szCs w:val="24"/>
        </w:rPr>
        <w:t>92M30</w:t>
      </w:r>
      <w:r w:rsidR="00C75F3D" w:rsidRPr="00C16D0B">
        <w:rPr>
          <w:color w:val="000000" w:themeColor="text1"/>
          <w:szCs w:val="24"/>
        </w:rPr>
        <w:t>/</w:t>
      </w:r>
      <w:r w:rsidR="00605507" w:rsidRPr="00C16D0B">
        <w:rPr>
          <w:color w:val="000000" w:themeColor="text1"/>
          <w:szCs w:val="24"/>
        </w:rPr>
        <w:t>Mortuary Affairs</w:t>
      </w:r>
      <w:r w:rsidR="00E322F7" w:rsidRPr="00C16D0B">
        <w:rPr>
          <w:color w:val="000000" w:themeColor="text1"/>
          <w:szCs w:val="24"/>
        </w:rPr>
        <w:t>)</w:t>
      </w:r>
      <w:r w:rsidR="00C75F3D" w:rsidRPr="00C16D0B">
        <w:rPr>
          <w:color w:val="000000" w:themeColor="text1"/>
          <w:szCs w:val="24"/>
        </w:rPr>
        <w:t xml:space="preserve">, </w:t>
      </w:r>
      <w:r w:rsidR="002C6E5B" w:rsidRPr="00C16D0B">
        <w:rPr>
          <w:color w:val="000000" w:themeColor="text1"/>
          <w:szCs w:val="24"/>
        </w:rPr>
        <w:t xml:space="preserve">medically separated for </w:t>
      </w:r>
      <w:r w:rsidR="000B729C">
        <w:rPr>
          <w:color w:val="000000" w:themeColor="text1"/>
          <w:szCs w:val="24"/>
        </w:rPr>
        <w:t xml:space="preserve">a </w:t>
      </w:r>
      <w:r w:rsidR="007F5EBC">
        <w:rPr>
          <w:color w:val="000000" w:themeColor="text1"/>
          <w:szCs w:val="24"/>
        </w:rPr>
        <w:t>low back condition</w:t>
      </w:r>
      <w:r w:rsidR="00605507" w:rsidRPr="00C16D0B">
        <w:rPr>
          <w:color w:val="000000" w:themeColor="text1"/>
          <w:szCs w:val="24"/>
        </w:rPr>
        <w:t>.</w:t>
      </w:r>
      <w:r w:rsidR="007F5EBC">
        <w:rPr>
          <w:color w:val="000000" w:themeColor="text1"/>
          <w:szCs w:val="24"/>
        </w:rPr>
        <w:t xml:space="preserve">  </w:t>
      </w:r>
      <w:r w:rsidR="00643C8F" w:rsidRPr="00C16D0B">
        <w:rPr>
          <w:color w:val="000000" w:themeColor="text1"/>
          <w:szCs w:val="24"/>
        </w:rPr>
        <w:t xml:space="preserve">She did not respond adequately to </w:t>
      </w:r>
      <w:r w:rsidR="007F5EBC">
        <w:rPr>
          <w:color w:val="000000" w:themeColor="text1"/>
          <w:szCs w:val="24"/>
        </w:rPr>
        <w:t xml:space="preserve">conservative or surgical </w:t>
      </w:r>
      <w:r w:rsidR="00643C8F" w:rsidRPr="00C16D0B">
        <w:rPr>
          <w:color w:val="000000" w:themeColor="text1"/>
          <w:szCs w:val="24"/>
        </w:rPr>
        <w:t xml:space="preserve">treatment and was unable to </w:t>
      </w:r>
      <w:r w:rsidR="007F5EBC">
        <w:rPr>
          <w:color w:val="000000" w:themeColor="text1"/>
          <w:szCs w:val="24"/>
        </w:rPr>
        <w:t>fulfill the demands</w:t>
      </w:r>
      <w:r w:rsidR="00643C8F" w:rsidRPr="00C16D0B">
        <w:rPr>
          <w:color w:val="000000" w:themeColor="text1"/>
          <w:szCs w:val="24"/>
        </w:rPr>
        <w:t xml:space="preserve"> within her Milita</w:t>
      </w:r>
      <w:r w:rsidR="00617173">
        <w:rPr>
          <w:color w:val="000000" w:themeColor="text1"/>
          <w:szCs w:val="24"/>
        </w:rPr>
        <w:t xml:space="preserve">ry Occupational Specialty (MOS), meet worldwide deployment standards </w:t>
      </w:r>
      <w:r w:rsidR="00643C8F" w:rsidRPr="00C16D0B">
        <w:rPr>
          <w:color w:val="000000" w:themeColor="text1"/>
          <w:szCs w:val="24"/>
        </w:rPr>
        <w:t xml:space="preserve">or meet physical fitness standards.  </w:t>
      </w:r>
      <w:r w:rsidR="00605507" w:rsidRPr="00C16D0B">
        <w:rPr>
          <w:color w:val="000000" w:themeColor="text1"/>
          <w:szCs w:val="24"/>
        </w:rPr>
        <w:t xml:space="preserve">She </w:t>
      </w:r>
      <w:r w:rsidR="00643C8F" w:rsidRPr="00C16D0B">
        <w:rPr>
          <w:color w:val="000000" w:themeColor="text1"/>
          <w:szCs w:val="24"/>
        </w:rPr>
        <w:t xml:space="preserve">was issued a permanent </w:t>
      </w:r>
      <w:r w:rsidR="00605507" w:rsidRPr="00A22B04">
        <w:rPr>
          <w:color w:val="000000" w:themeColor="text1"/>
          <w:szCs w:val="24"/>
        </w:rPr>
        <w:t>L3</w:t>
      </w:r>
      <w:r w:rsidR="00643C8F" w:rsidRPr="00A22B04">
        <w:rPr>
          <w:color w:val="000000" w:themeColor="text1"/>
          <w:szCs w:val="24"/>
        </w:rPr>
        <w:t xml:space="preserve"> profile and underwent a Medical Evaluation Board (MEB).</w:t>
      </w:r>
      <w:r w:rsidR="007F5EBC" w:rsidRPr="00A22B04">
        <w:rPr>
          <w:color w:val="000000" w:themeColor="text1"/>
          <w:szCs w:val="24"/>
        </w:rPr>
        <w:t xml:space="preserve">  </w:t>
      </w:r>
      <w:r w:rsidR="00605507" w:rsidRPr="00A22B04">
        <w:rPr>
          <w:color w:val="000000" w:themeColor="text1"/>
          <w:szCs w:val="24"/>
        </w:rPr>
        <w:t>Lumba</w:t>
      </w:r>
      <w:r w:rsidR="00617173" w:rsidRPr="00A22B04">
        <w:rPr>
          <w:color w:val="000000" w:themeColor="text1"/>
          <w:szCs w:val="24"/>
        </w:rPr>
        <w:t xml:space="preserve">go, right lower extremity radiculopathy </w:t>
      </w:r>
      <w:r w:rsidR="00605507" w:rsidRPr="00A22B04">
        <w:rPr>
          <w:color w:val="000000" w:themeColor="text1"/>
          <w:szCs w:val="24"/>
        </w:rPr>
        <w:t>was</w:t>
      </w:r>
      <w:r w:rsidR="000A33C8" w:rsidRPr="00A22B04">
        <w:rPr>
          <w:color w:val="000000" w:themeColor="text1"/>
          <w:szCs w:val="24"/>
        </w:rPr>
        <w:t xml:space="preserve"> forwarded to the Physical Evaluation Board (PEB) as medically unacceptable IAW AR 40-501</w:t>
      </w:r>
      <w:r w:rsidR="00376E08" w:rsidRPr="00A22B04">
        <w:rPr>
          <w:color w:val="000000" w:themeColor="text1"/>
          <w:szCs w:val="24"/>
        </w:rPr>
        <w:t>.</w:t>
      </w:r>
      <w:r w:rsidR="007F5EBC" w:rsidRPr="00A22B04">
        <w:rPr>
          <w:color w:val="000000" w:themeColor="text1"/>
          <w:szCs w:val="24"/>
        </w:rPr>
        <w:t xml:space="preserve">  </w:t>
      </w:r>
      <w:r w:rsidR="001A5E62" w:rsidRPr="00A22B04">
        <w:rPr>
          <w:color w:val="000000" w:themeColor="text1"/>
          <w:szCs w:val="24"/>
        </w:rPr>
        <w:t xml:space="preserve">No other conditions appeared on the MEB’s submission.  </w:t>
      </w:r>
      <w:r w:rsidR="00842BAA" w:rsidRPr="00A22B04">
        <w:rPr>
          <w:color w:val="000000" w:themeColor="text1"/>
          <w:szCs w:val="24"/>
        </w:rPr>
        <w:t xml:space="preserve">The </w:t>
      </w:r>
      <w:r w:rsidR="00044FE5">
        <w:rPr>
          <w:color w:val="000000" w:themeColor="text1"/>
          <w:szCs w:val="24"/>
        </w:rPr>
        <w:t xml:space="preserve">PEB </w:t>
      </w:r>
      <w:r w:rsidR="00842BAA" w:rsidRPr="00A22B04">
        <w:rPr>
          <w:color w:val="000000" w:themeColor="text1"/>
          <w:szCs w:val="24"/>
        </w:rPr>
        <w:t xml:space="preserve">adjudicated the </w:t>
      </w:r>
      <w:r w:rsidR="000B729C" w:rsidRPr="00A22B04">
        <w:rPr>
          <w:color w:val="000000" w:themeColor="text1"/>
          <w:szCs w:val="24"/>
        </w:rPr>
        <w:t>chronic low back pain</w:t>
      </w:r>
      <w:r w:rsidR="00842BAA" w:rsidRPr="00A22B04">
        <w:rPr>
          <w:color w:val="000000" w:themeColor="text1"/>
          <w:szCs w:val="24"/>
        </w:rPr>
        <w:t xml:space="preserve"> </w:t>
      </w:r>
      <w:r w:rsidR="00044FE5">
        <w:rPr>
          <w:color w:val="000000" w:themeColor="text1"/>
          <w:szCs w:val="24"/>
        </w:rPr>
        <w:t xml:space="preserve">(LBP) </w:t>
      </w:r>
      <w:r w:rsidR="00842BAA" w:rsidRPr="00A22B04">
        <w:rPr>
          <w:color w:val="000000" w:themeColor="text1"/>
          <w:szCs w:val="24"/>
        </w:rPr>
        <w:t xml:space="preserve">as unfitting, rated </w:t>
      </w:r>
      <w:r w:rsidR="00605507" w:rsidRPr="00A22B04">
        <w:rPr>
          <w:color w:val="000000" w:themeColor="text1"/>
          <w:szCs w:val="24"/>
        </w:rPr>
        <w:t>10</w:t>
      </w:r>
      <w:r w:rsidR="00842BAA" w:rsidRPr="00A22B04">
        <w:rPr>
          <w:color w:val="000000" w:themeColor="text1"/>
          <w:szCs w:val="24"/>
        </w:rPr>
        <w:t xml:space="preserve">%; with </w:t>
      </w:r>
      <w:r w:rsidR="00C16D0B" w:rsidRPr="00A22B04">
        <w:rPr>
          <w:color w:val="000000" w:themeColor="text1"/>
          <w:szCs w:val="24"/>
        </w:rPr>
        <w:t xml:space="preserve">likely </w:t>
      </w:r>
      <w:r w:rsidR="00842BAA" w:rsidRPr="00A22B04">
        <w:rPr>
          <w:color w:val="000000" w:themeColor="text1"/>
          <w:szCs w:val="24"/>
        </w:rPr>
        <w:t>application of the US Army Physical Disability Agency (USAPDA) pain policy.</w:t>
      </w:r>
      <w:r w:rsidR="007F5EBC" w:rsidRPr="00A22B04">
        <w:rPr>
          <w:color w:val="000000" w:themeColor="text1"/>
          <w:szCs w:val="24"/>
        </w:rPr>
        <w:t xml:space="preserve">  </w:t>
      </w:r>
      <w:r w:rsidR="00B20624" w:rsidRPr="00A22B04">
        <w:rPr>
          <w:color w:val="000000" w:themeColor="text1"/>
        </w:rPr>
        <w:t xml:space="preserve">The CI </w:t>
      </w:r>
      <w:r w:rsidR="00190E48" w:rsidRPr="00A22B04">
        <w:rPr>
          <w:color w:val="000000" w:themeColor="text1"/>
        </w:rPr>
        <w:t xml:space="preserve">made no appeals, </w:t>
      </w:r>
      <w:r w:rsidR="00B20624" w:rsidRPr="00A22B04">
        <w:rPr>
          <w:color w:val="000000" w:themeColor="text1"/>
        </w:rPr>
        <w:t xml:space="preserve">and was medically separated with a </w:t>
      </w:r>
      <w:r w:rsidR="00C16D0B" w:rsidRPr="00A22B04">
        <w:rPr>
          <w:color w:val="000000" w:themeColor="text1"/>
        </w:rPr>
        <w:t>10</w:t>
      </w:r>
      <w:r w:rsidR="00B20624" w:rsidRPr="00A22B04">
        <w:rPr>
          <w:color w:val="000000" w:themeColor="text1"/>
        </w:rPr>
        <w:t>% combined disability rating.</w:t>
      </w:r>
    </w:p>
    <w:p w:rsidR="004174F0" w:rsidRPr="00C16D0B" w:rsidRDefault="004174F0" w:rsidP="00BF0E94">
      <w:pPr>
        <w:pBdr>
          <w:bottom w:val="single" w:sz="12" w:space="1" w:color="auto"/>
        </w:pBdr>
        <w:tabs>
          <w:tab w:val="left" w:pos="288"/>
          <w:tab w:val="left" w:pos="4752"/>
        </w:tabs>
        <w:jc w:val="both"/>
        <w:rPr>
          <w:color w:val="000000" w:themeColor="text1"/>
        </w:rPr>
      </w:pPr>
    </w:p>
    <w:p w:rsidR="004174F0" w:rsidRPr="00C16D0B" w:rsidRDefault="004174F0" w:rsidP="00BF0E94">
      <w:pPr>
        <w:tabs>
          <w:tab w:val="left" w:pos="288"/>
          <w:tab w:val="left" w:pos="4752"/>
        </w:tabs>
        <w:jc w:val="both"/>
        <w:rPr>
          <w:color w:val="000000" w:themeColor="text1"/>
        </w:rPr>
      </w:pPr>
    </w:p>
    <w:p w:rsidR="00ED5284" w:rsidRPr="007F5EBC" w:rsidRDefault="002C6E5B" w:rsidP="00BF0E94">
      <w:pPr>
        <w:tabs>
          <w:tab w:val="left" w:pos="288"/>
          <w:tab w:val="left" w:pos="4752"/>
        </w:tabs>
        <w:jc w:val="both"/>
        <w:rPr>
          <w:color w:val="000000" w:themeColor="text1"/>
        </w:rPr>
      </w:pPr>
      <w:r w:rsidRPr="00C16D0B">
        <w:rPr>
          <w:color w:val="000000" w:themeColor="text1"/>
          <w:u w:val="single"/>
        </w:rPr>
        <w:t xml:space="preserve">CI </w:t>
      </w:r>
      <w:r w:rsidRPr="00A22B04">
        <w:rPr>
          <w:color w:val="000000" w:themeColor="text1"/>
          <w:u w:val="single"/>
        </w:rPr>
        <w:t>CONTENTION</w:t>
      </w:r>
      <w:r w:rsidRPr="00A22B04">
        <w:rPr>
          <w:color w:val="000000" w:themeColor="text1"/>
        </w:rPr>
        <w:t>:</w:t>
      </w:r>
      <w:r w:rsidR="00C16D0B" w:rsidRPr="00A22B04">
        <w:rPr>
          <w:color w:val="000000" w:themeColor="text1"/>
        </w:rPr>
        <w:t xml:space="preserve">  “Bilateral L4-L5 microdiscectomy with laminectomy resulting in permanent L5 nerve root damage and right lower extremity radiculopathy and weakness.</w:t>
      </w:r>
      <w:r w:rsidR="007F5EBC" w:rsidRPr="00A22B04">
        <w:rPr>
          <w:color w:val="000000" w:themeColor="text1"/>
        </w:rPr>
        <w:t xml:space="preserve"> </w:t>
      </w:r>
      <w:r w:rsidR="00C16D0B" w:rsidRPr="00A22B04">
        <w:rPr>
          <w:color w:val="000000" w:themeColor="text1"/>
        </w:rPr>
        <w:t xml:space="preserve"> I have constant right leg pain and weakness, and chronic back pain.”</w:t>
      </w:r>
      <w:r w:rsidR="007F5EBC" w:rsidRPr="00A22B04">
        <w:rPr>
          <w:color w:val="000000" w:themeColor="text1"/>
        </w:rPr>
        <w:t xml:space="preserve">  </w:t>
      </w:r>
      <w:r w:rsidR="00D54DDB" w:rsidRPr="00A22B04">
        <w:rPr>
          <w:rFonts w:eastAsiaTheme="minorHAnsi"/>
          <w:color w:val="000000" w:themeColor="text1"/>
          <w:szCs w:val="24"/>
        </w:rPr>
        <w:t>She</w:t>
      </w:r>
      <w:r w:rsidR="00ED5284" w:rsidRPr="00A22B04">
        <w:rPr>
          <w:rFonts w:eastAsiaTheme="minorHAnsi"/>
          <w:color w:val="000000" w:themeColor="text1"/>
          <w:szCs w:val="24"/>
        </w:rPr>
        <w:t xml:space="preserve"> additionally lists all of </w:t>
      </w:r>
      <w:r w:rsidR="00D86AB5" w:rsidRPr="00A22B04">
        <w:rPr>
          <w:rFonts w:eastAsiaTheme="minorHAnsi"/>
          <w:color w:val="000000" w:themeColor="text1"/>
          <w:szCs w:val="24"/>
        </w:rPr>
        <w:t>her</w:t>
      </w:r>
      <w:r w:rsidR="00ED5284" w:rsidRPr="00A22B04">
        <w:rPr>
          <w:rFonts w:eastAsiaTheme="minorHAnsi"/>
          <w:color w:val="000000" w:themeColor="text1"/>
          <w:szCs w:val="24"/>
        </w:rPr>
        <w:t xml:space="preserve"> VA conditions and ratings as per the</w:t>
      </w:r>
      <w:r w:rsidR="00ED5284" w:rsidRPr="00C16D0B">
        <w:rPr>
          <w:rFonts w:eastAsiaTheme="minorHAnsi"/>
          <w:color w:val="000000" w:themeColor="text1"/>
          <w:szCs w:val="24"/>
        </w:rPr>
        <w:t xml:space="preserv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C16D0B" w:rsidRDefault="00C16D0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C8590C" w:rsidRPr="001F29F9" w:rsidRDefault="00C8590C" w:rsidP="00BF0E94">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C16D0B"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C16D0B">
            <w:pPr>
              <w:contextualSpacing/>
              <w:rPr>
                <w:rFonts w:cs="Calibri"/>
                <w:b/>
                <w:color w:val="000000" w:themeColor="text1"/>
                <w:sz w:val="18"/>
                <w:szCs w:val="18"/>
              </w:rPr>
            </w:pPr>
            <w:r w:rsidRPr="001F29F9">
              <w:rPr>
                <w:rFonts w:cs="Calibri"/>
                <w:b/>
                <w:color w:val="000000" w:themeColor="text1"/>
                <w:sz w:val="18"/>
                <w:szCs w:val="18"/>
              </w:rPr>
              <w:t>Service PEB – Dated 200</w:t>
            </w:r>
            <w:r w:rsidR="00C16D0B">
              <w:rPr>
                <w:rFonts w:cs="Calibri"/>
                <w:b/>
                <w:color w:val="000000" w:themeColor="text1"/>
                <w:sz w:val="18"/>
                <w:szCs w:val="18"/>
              </w:rPr>
              <w:t>50729</w:t>
            </w:r>
          </w:p>
        </w:tc>
        <w:tc>
          <w:tcPr>
            <w:tcW w:w="5220" w:type="dxa"/>
            <w:gridSpan w:val="4"/>
            <w:tcBorders>
              <w:left w:val="thinThickThinSmallGap" w:sz="24" w:space="0" w:color="auto"/>
            </w:tcBorders>
            <w:shd w:val="clear" w:color="auto" w:fill="D9D9D9" w:themeFill="background1" w:themeFillShade="D9"/>
            <w:vAlign w:val="center"/>
          </w:tcPr>
          <w:p w:rsidR="002B4E22" w:rsidRPr="00C16D0B" w:rsidRDefault="002B4E22" w:rsidP="00C16D0B">
            <w:pPr>
              <w:contextualSpacing/>
              <w:rPr>
                <w:rFonts w:cs="Calibri"/>
                <w:b/>
                <w:color w:val="000000" w:themeColor="text1"/>
                <w:sz w:val="18"/>
                <w:szCs w:val="18"/>
              </w:rPr>
            </w:pPr>
            <w:r w:rsidRPr="00C16D0B">
              <w:rPr>
                <w:rFonts w:cs="Calibri"/>
                <w:b/>
                <w:color w:val="000000" w:themeColor="text1"/>
                <w:sz w:val="18"/>
                <w:szCs w:val="18"/>
              </w:rPr>
              <w:t>VA (</w:t>
            </w:r>
            <w:r w:rsidR="00C16D0B" w:rsidRPr="00C16D0B">
              <w:rPr>
                <w:rFonts w:cs="Calibri"/>
                <w:b/>
                <w:color w:val="000000" w:themeColor="text1"/>
                <w:sz w:val="18"/>
                <w:szCs w:val="18"/>
              </w:rPr>
              <w:t>3</w:t>
            </w:r>
            <w:r w:rsidR="0079154B" w:rsidRPr="00C16D0B">
              <w:rPr>
                <w:rFonts w:cs="Calibri"/>
                <w:b/>
                <w:color w:val="000000" w:themeColor="text1"/>
                <w:sz w:val="18"/>
                <w:szCs w:val="18"/>
              </w:rPr>
              <w:t xml:space="preserve"> </w:t>
            </w:r>
            <w:r w:rsidRPr="00C16D0B">
              <w:rPr>
                <w:rFonts w:cs="Calibri"/>
                <w:b/>
                <w:color w:val="000000" w:themeColor="text1"/>
                <w:sz w:val="18"/>
                <w:szCs w:val="18"/>
              </w:rPr>
              <w:t>Mo. Pr</w:t>
            </w:r>
            <w:r w:rsidR="007272F1" w:rsidRPr="00C16D0B">
              <w:rPr>
                <w:rFonts w:cs="Calibri"/>
                <w:b/>
                <w:color w:val="000000" w:themeColor="text1"/>
                <w:sz w:val="18"/>
                <w:szCs w:val="18"/>
              </w:rPr>
              <w:t>e</w:t>
            </w:r>
            <w:r w:rsidRPr="00C16D0B">
              <w:rPr>
                <w:rFonts w:cs="Calibri"/>
                <w:b/>
                <w:color w:val="000000" w:themeColor="text1"/>
                <w:sz w:val="18"/>
                <w:szCs w:val="18"/>
              </w:rPr>
              <w:t xml:space="preserve"> Separation) – All Effective Date </w:t>
            </w:r>
            <w:r w:rsidR="002D08F3" w:rsidRPr="00C16D0B">
              <w:rPr>
                <w:rFonts w:cs="Calibri"/>
                <w:b/>
                <w:color w:val="000000" w:themeColor="text1"/>
                <w:sz w:val="18"/>
                <w:szCs w:val="18"/>
              </w:rPr>
              <w:t>200</w:t>
            </w:r>
            <w:r w:rsidR="00C16D0B" w:rsidRPr="00C16D0B">
              <w:rPr>
                <w:rFonts w:cs="Calibri"/>
                <w:b/>
                <w:color w:val="000000" w:themeColor="text1"/>
                <w:sz w:val="18"/>
                <w:szCs w:val="18"/>
              </w:rPr>
              <w:t>51111</w:t>
            </w:r>
          </w:p>
        </w:tc>
      </w:tr>
      <w:tr w:rsidR="002B4E22" w:rsidRPr="00C16D0B"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16D0B" w:rsidRDefault="002B4E22" w:rsidP="00BF0E94">
            <w:pPr>
              <w:contextualSpacing/>
              <w:rPr>
                <w:rFonts w:cs="Calibri"/>
                <w:b/>
                <w:color w:val="000000" w:themeColor="text1"/>
                <w:sz w:val="18"/>
                <w:szCs w:val="18"/>
              </w:rPr>
            </w:pPr>
            <w:r w:rsidRPr="00C16D0B">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C16D0B" w:rsidRDefault="002B4E22" w:rsidP="00BF0E94">
            <w:pPr>
              <w:contextualSpacing/>
              <w:rPr>
                <w:rFonts w:cs="Calibri"/>
                <w:b/>
                <w:color w:val="000000" w:themeColor="text1"/>
                <w:sz w:val="18"/>
                <w:szCs w:val="18"/>
              </w:rPr>
            </w:pPr>
            <w:r w:rsidRPr="00C16D0B">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C16D0B" w:rsidRDefault="002B4E22" w:rsidP="00BF0E94">
            <w:pPr>
              <w:contextualSpacing/>
              <w:rPr>
                <w:rFonts w:cs="Calibri"/>
                <w:b/>
                <w:color w:val="000000" w:themeColor="text1"/>
                <w:sz w:val="18"/>
                <w:szCs w:val="18"/>
              </w:rPr>
            </w:pPr>
            <w:r w:rsidRPr="00C16D0B">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C16D0B" w:rsidRDefault="002B4E22" w:rsidP="00BF0E94">
            <w:pPr>
              <w:contextualSpacing/>
              <w:rPr>
                <w:rFonts w:cs="Calibri"/>
                <w:b/>
                <w:color w:val="000000" w:themeColor="text1"/>
                <w:sz w:val="18"/>
                <w:szCs w:val="18"/>
              </w:rPr>
            </w:pPr>
            <w:r w:rsidRPr="00C16D0B">
              <w:rPr>
                <w:rFonts w:cs="Calibri"/>
                <w:b/>
                <w:color w:val="000000" w:themeColor="text1"/>
                <w:sz w:val="18"/>
                <w:szCs w:val="18"/>
              </w:rPr>
              <w:t>Exam</w:t>
            </w:r>
          </w:p>
        </w:tc>
      </w:tr>
      <w:tr w:rsidR="00C03C21" w:rsidRPr="00C16D0B" w:rsidTr="008051EB">
        <w:trPr>
          <w:trHeight w:val="287"/>
          <w:jc w:val="center"/>
        </w:trPr>
        <w:tc>
          <w:tcPr>
            <w:tcW w:w="2178" w:type="dxa"/>
            <w:tcBorders>
              <w:right w:val="single" w:sz="4" w:space="0" w:color="auto"/>
            </w:tcBorders>
            <w:shd w:val="clear" w:color="auto" w:fill="FFFFFF" w:themeFill="background1"/>
            <w:vAlign w:val="center"/>
          </w:tcPr>
          <w:p w:rsidR="00BC5860" w:rsidRPr="00A22B04" w:rsidRDefault="00C16D0B">
            <w:pPr>
              <w:spacing w:line="180" w:lineRule="exact"/>
              <w:contextualSpacing/>
              <w:jc w:val="left"/>
              <w:rPr>
                <w:rFonts w:cs="Calibri"/>
                <w:color w:val="000000" w:themeColor="text1"/>
                <w:sz w:val="18"/>
                <w:szCs w:val="18"/>
              </w:rPr>
            </w:pPr>
            <w:r w:rsidRPr="00A22B04">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BC5860" w:rsidRPr="00A22B04" w:rsidRDefault="00C16D0B">
            <w:pPr>
              <w:spacing w:line="180" w:lineRule="exact"/>
              <w:contextualSpacing/>
              <w:rPr>
                <w:rFonts w:cs="Calibri"/>
                <w:color w:val="000000" w:themeColor="text1"/>
                <w:sz w:val="18"/>
                <w:szCs w:val="18"/>
              </w:rPr>
            </w:pPr>
            <w:r w:rsidRPr="00A22B04">
              <w:rPr>
                <w:rFonts w:cs="Calibri"/>
                <w:color w:val="000000" w:themeColor="text1"/>
                <w:sz w:val="18"/>
                <w:szCs w:val="18"/>
              </w:rPr>
              <w:t>5243</w:t>
            </w:r>
          </w:p>
        </w:tc>
        <w:tc>
          <w:tcPr>
            <w:tcW w:w="900" w:type="dxa"/>
            <w:tcBorders>
              <w:right w:val="thinThickThinSmallGap" w:sz="24" w:space="0" w:color="auto"/>
            </w:tcBorders>
            <w:shd w:val="clear" w:color="auto" w:fill="FFFFFF" w:themeFill="background1"/>
            <w:vAlign w:val="center"/>
          </w:tcPr>
          <w:p w:rsidR="00BC5860" w:rsidRPr="00A22B04" w:rsidRDefault="00C16D0B">
            <w:pPr>
              <w:spacing w:line="180" w:lineRule="exact"/>
              <w:rPr>
                <w:rFonts w:cs="Calibri"/>
                <w:color w:val="000000" w:themeColor="text1"/>
                <w:sz w:val="18"/>
                <w:szCs w:val="18"/>
              </w:rPr>
            </w:pPr>
            <w:r w:rsidRPr="00A22B04">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A22B04" w:rsidRDefault="00C16D0B">
            <w:pPr>
              <w:spacing w:line="180" w:lineRule="exact"/>
              <w:contextualSpacing/>
              <w:jc w:val="left"/>
              <w:rPr>
                <w:rFonts w:cs="Calibri"/>
                <w:color w:val="000000" w:themeColor="text1"/>
                <w:sz w:val="18"/>
                <w:szCs w:val="18"/>
              </w:rPr>
            </w:pPr>
            <w:r w:rsidRPr="00A22B04">
              <w:rPr>
                <w:rFonts w:cs="Calibri"/>
                <w:color w:val="000000" w:themeColor="text1"/>
                <w:sz w:val="18"/>
                <w:szCs w:val="18"/>
              </w:rPr>
              <w:t>Status Post Bilateral L4-L5 Microdiscectomy</w:t>
            </w:r>
          </w:p>
        </w:tc>
        <w:tc>
          <w:tcPr>
            <w:tcW w:w="1080" w:type="dxa"/>
            <w:shd w:val="clear" w:color="auto" w:fill="FFFFFF" w:themeFill="background1"/>
            <w:vAlign w:val="center"/>
          </w:tcPr>
          <w:p w:rsidR="00BC5860" w:rsidRPr="00A22B04" w:rsidRDefault="00C16D0B">
            <w:pPr>
              <w:spacing w:line="180" w:lineRule="exact"/>
              <w:contextualSpacing/>
              <w:rPr>
                <w:rFonts w:cs="Calibri"/>
                <w:color w:val="000000" w:themeColor="text1"/>
                <w:sz w:val="18"/>
                <w:szCs w:val="18"/>
              </w:rPr>
            </w:pPr>
            <w:r w:rsidRPr="00A22B04">
              <w:rPr>
                <w:rFonts w:cs="Calibri"/>
                <w:color w:val="000000" w:themeColor="text1"/>
                <w:sz w:val="18"/>
                <w:szCs w:val="18"/>
              </w:rPr>
              <w:t>5243</w:t>
            </w:r>
          </w:p>
        </w:tc>
        <w:tc>
          <w:tcPr>
            <w:tcW w:w="828" w:type="dxa"/>
            <w:shd w:val="clear" w:color="auto" w:fill="FFFFFF" w:themeFill="background1"/>
            <w:vAlign w:val="center"/>
          </w:tcPr>
          <w:p w:rsidR="00BC5860" w:rsidRPr="00A22B04" w:rsidRDefault="00C16D0B">
            <w:pPr>
              <w:spacing w:line="180" w:lineRule="exact"/>
              <w:contextualSpacing/>
              <w:rPr>
                <w:rFonts w:cs="Calibri"/>
                <w:color w:val="000000" w:themeColor="text1"/>
                <w:sz w:val="18"/>
                <w:szCs w:val="18"/>
              </w:rPr>
            </w:pPr>
            <w:r w:rsidRPr="00A22B04">
              <w:rPr>
                <w:rFonts w:cs="Calibri"/>
                <w:color w:val="000000" w:themeColor="text1"/>
                <w:sz w:val="18"/>
                <w:szCs w:val="18"/>
              </w:rPr>
              <w:t>40%</w:t>
            </w:r>
          </w:p>
        </w:tc>
        <w:tc>
          <w:tcPr>
            <w:tcW w:w="990" w:type="dxa"/>
            <w:shd w:val="clear" w:color="auto" w:fill="FFFFFF" w:themeFill="background1"/>
            <w:vAlign w:val="center"/>
          </w:tcPr>
          <w:p w:rsidR="00BC5860" w:rsidRPr="00A22B04" w:rsidRDefault="00C16D0B">
            <w:pPr>
              <w:spacing w:line="180" w:lineRule="exact"/>
              <w:contextualSpacing/>
              <w:rPr>
                <w:rFonts w:cs="Calibri"/>
                <w:color w:val="000000" w:themeColor="text1"/>
                <w:sz w:val="18"/>
                <w:szCs w:val="18"/>
              </w:rPr>
            </w:pPr>
            <w:r w:rsidRPr="00A22B04">
              <w:rPr>
                <w:rFonts w:cs="Calibri"/>
                <w:color w:val="000000" w:themeColor="text1"/>
                <w:sz w:val="18"/>
                <w:szCs w:val="18"/>
              </w:rPr>
              <w:t>20050824</w:t>
            </w:r>
          </w:p>
        </w:tc>
      </w:tr>
      <w:tr w:rsidR="003D7828" w:rsidRPr="00C16D0B" w:rsidTr="00A6343F">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3D7828" w:rsidRPr="001F29F9" w:rsidRDefault="003D7828" w:rsidP="00A6343F">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3D7828" w:rsidRPr="00C16D0B" w:rsidRDefault="003D7828" w:rsidP="003D7828">
            <w:pPr>
              <w:spacing w:line="180" w:lineRule="exact"/>
              <w:contextualSpacing/>
              <w:jc w:val="left"/>
              <w:rPr>
                <w:rFonts w:cs="Calibri"/>
                <w:color w:val="000000" w:themeColor="text1"/>
                <w:sz w:val="18"/>
                <w:szCs w:val="18"/>
              </w:rPr>
            </w:pPr>
            <w:r w:rsidRPr="00C16D0B">
              <w:rPr>
                <w:rFonts w:cs="Calibri"/>
                <w:color w:val="000000" w:themeColor="text1"/>
                <w:sz w:val="18"/>
                <w:szCs w:val="18"/>
              </w:rPr>
              <w:t>Rt Lower Extremity Radiculopathy</w:t>
            </w:r>
          </w:p>
        </w:tc>
        <w:tc>
          <w:tcPr>
            <w:tcW w:w="1080" w:type="dxa"/>
            <w:tcBorders>
              <w:left w:val="single" w:sz="4" w:space="0" w:color="auto"/>
            </w:tcBorders>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8520</w:t>
            </w:r>
          </w:p>
        </w:tc>
        <w:tc>
          <w:tcPr>
            <w:tcW w:w="828"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10%</w:t>
            </w:r>
            <w:r w:rsidR="005F42BA">
              <w:rPr>
                <w:rFonts w:cs="Calibri"/>
                <w:color w:val="000000" w:themeColor="text1"/>
                <w:sz w:val="18"/>
                <w:szCs w:val="18"/>
              </w:rPr>
              <w:t>*</w:t>
            </w:r>
          </w:p>
        </w:tc>
        <w:tc>
          <w:tcPr>
            <w:tcW w:w="990"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20050824</w:t>
            </w:r>
          </w:p>
        </w:tc>
      </w:tr>
      <w:tr w:rsidR="003D7828" w:rsidRPr="00C16D0B" w:rsidTr="00A6343F">
        <w:trPr>
          <w:trHeight w:val="287"/>
          <w:jc w:val="center"/>
        </w:trPr>
        <w:tc>
          <w:tcPr>
            <w:tcW w:w="4158" w:type="dxa"/>
            <w:gridSpan w:val="3"/>
            <w:vMerge/>
            <w:tcBorders>
              <w:right w:val="thinThickThinSmallGap" w:sz="24" w:space="0" w:color="auto"/>
            </w:tcBorders>
            <w:shd w:val="clear" w:color="auto" w:fill="FFFFFF" w:themeFill="background1"/>
            <w:vAlign w:val="center"/>
          </w:tcPr>
          <w:p w:rsidR="003D7828" w:rsidRPr="001F29F9" w:rsidRDefault="003D7828" w:rsidP="00A6343F">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3D7828" w:rsidRPr="00C16D0B" w:rsidRDefault="003D7828" w:rsidP="003D7828">
            <w:pPr>
              <w:spacing w:line="180" w:lineRule="exact"/>
              <w:contextualSpacing/>
              <w:jc w:val="left"/>
              <w:rPr>
                <w:rFonts w:cs="Calibri"/>
                <w:color w:val="000000" w:themeColor="text1"/>
                <w:sz w:val="18"/>
                <w:szCs w:val="18"/>
              </w:rPr>
            </w:pPr>
            <w:r w:rsidRPr="00C16D0B">
              <w:rPr>
                <w:rFonts w:cs="Calibri"/>
                <w:color w:val="000000" w:themeColor="text1"/>
                <w:sz w:val="18"/>
                <w:szCs w:val="18"/>
              </w:rPr>
              <w:t>Temporomandibular Joint Dysfunction</w:t>
            </w:r>
          </w:p>
        </w:tc>
        <w:tc>
          <w:tcPr>
            <w:tcW w:w="1080" w:type="dxa"/>
            <w:tcBorders>
              <w:left w:val="single" w:sz="4" w:space="0" w:color="auto"/>
            </w:tcBorders>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9905</w:t>
            </w:r>
          </w:p>
        </w:tc>
        <w:tc>
          <w:tcPr>
            <w:tcW w:w="828"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20%</w:t>
            </w:r>
          </w:p>
        </w:tc>
        <w:tc>
          <w:tcPr>
            <w:tcW w:w="990"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20050823</w:t>
            </w:r>
          </w:p>
        </w:tc>
      </w:tr>
      <w:tr w:rsidR="003D7828" w:rsidRPr="00C16D0B" w:rsidTr="00A6343F">
        <w:trPr>
          <w:trHeight w:val="287"/>
          <w:jc w:val="center"/>
        </w:trPr>
        <w:tc>
          <w:tcPr>
            <w:tcW w:w="4158" w:type="dxa"/>
            <w:gridSpan w:val="3"/>
            <w:vMerge/>
            <w:tcBorders>
              <w:right w:val="thinThickThinSmallGap" w:sz="24" w:space="0" w:color="auto"/>
            </w:tcBorders>
            <w:shd w:val="clear" w:color="auto" w:fill="FFFFFF" w:themeFill="background1"/>
            <w:vAlign w:val="center"/>
          </w:tcPr>
          <w:p w:rsidR="003D7828" w:rsidRPr="001F29F9" w:rsidRDefault="003D7828" w:rsidP="00A6343F">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3D7828" w:rsidRPr="00C16D0B" w:rsidRDefault="003D7828" w:rsidP="002B36C8">
            <w:pPr>
              <w:spacing w:line="180" w:lineRule="exact"/>
              <w:contextualSpacing/>
              <w:jc w:val="left"/>
              <w:rPr>
                <w:rFonts w:cs="Calibri"/>
                <w:color w:val="000000" w:themeColor="text1"/>
                <w:sz w:val="18"/>
                <w:szCs w:val="18"/>
              </w:rPr>
            </w:pPr>
            <w:r w:rsidRPr="00C16D0B">
              <w:rPr>
                <w:rFonts w:cs="Calibri"/>
                <w:color w:val="000000" w:themeColor="text1"/>
                <w:sz w:val="18"/>
                <w:szCs w:val="18"/>
              </w:rPr>
              <w:t xml:space="preserve">Tinnitus </w:t>
            </w:r>
            <w:r w:rsidR="002B36C8">
              <w:rPr>
                <w:rFonts w:cs="Calibri"/>
                <w:color w:val="000000" w:themeColor="text1"/>
                <w:sz w:val="18"/>
                <w:szCs w:val="18"/>
              </w:rPr>
              <w:t>a</w:t>
            </w:r>
            <w:r w:rsidRPr="00C16D0B">
              <w:rPr>
                <w:rFonts w:cs="Calibri"/>
                <w:color w:val="000000" w:themeColor="text1"/>
                <w:sz w:val="18"/>
                <w:szCs w:val="18"/>
              </w:rPr>
              <w:t>ssoc w/ TMJ</w:t>
            </w:r>
          </w:p>
        </w:tc>
        <w:tc>
          <w:tcPr>
            <w:tcW w:w="1080" w:type="dxa"/>
            <w:tcBorders>
              <w:left w:val="single" w:sz="4" w:space="0" w:color="auto"/>
            </w:tcBorders>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6260</w:t>
            </w:r>
          </w:p>
        </w:tc>
        <w:tc>
          <w:tcPr>
            <w:tcW w:w="828"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10%</w:t>
            </w:r>
          </w:p>
        </w:tc>
        <w:tc>
          <w:tcPr>
            <w:tcW w:w="990" w:type="dxa"/>
            <w:shd w:val="clear" w:color="auto" w:fill="FFFFFF" w:themeFill="background1"/>
            <w:vAlign w:val="center"/>
          </w:tcPr>
          <w:p w:rsidR="003D7828" w:rsidRPr="00C16D0B" w:rsidRDefault="003D7828" w:rsidP="003D7828">
            <w:pPr>
              <w:spacing w:line="180" w:lineRule="exact"/>
              <w:contextualSpacing/>
              <w:rPr>
                <w:rFonts w:cs="Calibri"/>
                <w:color w:val="000000" w:themeColor="text1"/>
                <w:sz w:val="18"/>
                <w:szCs w:val="18"/>
              </w:rPr>
            </w:pPr>
            <w:r w:rsidRPr="00C16D0B">
              <w:rPr>
                <w:rFonts w:cs="Calibri"/>
                <w:color w:val="000000" w:themeColor="text1"/>
                <w:sz w:val="18"/>
                <w:szCs w:val="18"/>
              </w:rPr>
              <w:t>20060420</w:t>
            </w:r>
          </w:p>
        </w:tc>
      </w:tr>
      <w:tr w:rsidR="003D7828" w:rsidRPr="00C16D0B" w:rsidTr="00A6343F">
        <w:trPr>
          <w:trHeight w:val="557"/>
          <w:jc w:val="center"/>
        </w:trPr>
        <w:tc>
          <w:tcPr>
            <w:tcW w:w="4158" w:type="dxa"/>
            <w:gridSpan w:val="3"/>
            <w:vMerge/>
            <w:tcBorders>
              <w:right w:val="thinThickThinSmallGap" w:sz="24" w:space="0" w:color="auto"/>
            </w:tcBorders>
            <w:shd w:val="clear" w:color="auto" w:fill="FFFFFF" w:themeFill="background1"/>
            <w:vAlign w:val="center"/>
          </w:tcPr>
          <w:p w:rsidR="003D7828" w:rsidRPr="001F29F9" w:rsidRDefault="003D7828" w:rsidP="003D7828">
            <w:pPr>
              <w:spacing w:line="180" w:lineRule="exact"/>
              <w:contextualSpacing/>
              <w:rPr>
                <w:rFonts w:cs="Calibri"/>
                <w:color w:val="000000" w:themeColor="text1"/>
                <w:sz w:val="18"/>
                <w:szCs w:val="18"/>
                <w:highlight w:val="yellow"/>
              </w:rPr>
            </w:pPr>
          </w:p>
        </w:tc>
        <w:tc>
          <w:tcPr>
            <w:tcW w:w="5220" w:type="dxa"/>
            <w:gridSpan w:val="4"/>
            <w:tcBorders>
              <w:left w:val="thinThickThinSmallGap" w:sz="24" w:space="0" w:color="auto"/>
            </w:tcBorders>
            <w:shd w:val="clear" w:color="auto" w:fill="FFFFFF" w:themeFill="background1"/>
            <w:vAlign w:val="center"/>
          </w:tcPr>
          <w:p w:rsidR="003D7828" w:rsidRPr="001F29F9" w:rsidRDefault="003D7828" w:rsidP="003D7828">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2/</w:t>
            </w:r>
            <w:r w:rsidR="00044FE5">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4</w:t>
            </w:r>
          </w:p>
          <w:p w:rsidR="003D7828" w:rsidRPr="00C16D0B" w:rsidRDefault="003D7828" w:rsidP="00A6343F">
            <w:pPr>
              <w:spacing w:line="180" w:lineRule="exact"/>
              <w:contextualSpacing/>
              <w:rPr>
                <w:rFonts w:cs="Calibri"/>
                <w:color w:val="000000" w:themeColor="text1"/>
                <w:sz w:val="18"/>
                <w:szCs w:val="18"/>
              </w:rPr>
            </w:pPr>
          </w:p>
        </w:tc>
      </w:tr>
      <w:tr w:rsidR="003D7828"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D7828" w:rsidRPr="001F29F9" w:rsidRDefault="003D7828" w:rsidP="003D782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p>
        </w:tc>
        <w:tc>
          <w:tcPr>
            <w:tcW w:w="5220" w:type="dxa"/>
            <w:gridSpan w:val="4"/>
            <w:tcBorders>
              <w:left w:val="thinThickThinSmallGap" w:sz="24" w:space="0" w:color="auto"/>
            </w:tcBorders>
            <w:shd w:val="clear" w:color="auto" w:fill="D9D9D9" w:themeFill="background1" w:themeFillShade="D9"/>
            <w:vAlign w:val="center"/>
          </w:tcPr>
          <w:p w:rsidR="003D7828" w:rsidRPr="001F29F9" w:rsidRDefault="003D7828" w:rsidP="003D782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A97CD9" w:rsidRPr="005F42BA" w:rsidRDefault="005F42BA" w:rsidP="00A97CD9">
      <w:pPr>
        <w:pBdr>
          <w:bottom w:val="single" w:sz="12" w:space="1" w:color="auto"/>
        </w:pBdr>
        <w:tabs>
          <w:tab w:val="left" w:pos="288"/>
          <w:tab w:val="left" w:pos="4752"/>
        </w:tabs>
        <w:jc w:val="both"/>
        <w:rPr>
          <w:color w:val="000000" w:themeColor="text1"/>
          <w:sz w:val="18"/>
          <w:szCs w:val="18"/>
        </w:rPr>
      </w:pPr>
      <w:r w:rsidRPr="005F42BA">
        <w:rPr>
          <w:color w:val="000000" w:themeColor="text1"/>
          <w:sz w:val="18"/>
          <w:szCs w:val="18"/>
        </w:rPr>
        <w:t xml:space="preserve">* </w:t>
      </w:r>
      <w:r w:rsidR="00166D62" w:rsidRPr="005F42BA">
        <w:rPr>
          <w:color w:val="000000" w:themeColor="text1"/>
          <w:sz w:val="18"/>
          <w:szCs w:val="18"/>
        </w:rPr>
        <w:t>In</w:t>
      </w:r>
      <w:r w:rsidRPr="005F42BA">
        <w:rPr>
          <w:color w:val="000000" w:themeColor="text1"/>
          <w:sz w:val="18"/>
          <w:szCs w:val="18"/>
        </w:rPr>
        <w:t xml:space="preserve"> 20060525 </w:t>
      </w:r>
      <w:r>
        <w:rPr>
          <w:color w:val="000000" w:themeColor="text1"/>
          <w:sz w:val="18"/>
          <w:szCs w:val="18"/>
        </w:rPr>
        <w:t xml:space="preserve">rating decision </w:t>
      </w:r>
      <w:r w:rsidRPr="005F42BA">
        <w:rPr>
          <w:color w:val="000000" w:themeColor="text1"/>
          <w:sz w:val="18"/>
          <w:szCs w:val="18"/>
        </w:rPr>
        <w:t>proposed to decrease to 0% for a normal VA 2006 EMG</w:t>
      </w:r>
    </w:p>
    <w:p w:rsidR="00C16D0B" w:rsidRDefault="00C16D0B" w:rsidP="00C16D0B">
      <w:pPr>
        <w:jc w:val="both"/>
        <w:rPr>
          <w:color w:val="000000" w:themeColor="text1"/>
        </w:rPr>
      </w:pPr>
    </w:p>
    <w:p w:rsidR="004C60A3" w:rsidRPr="00D37D33" w:rsidRDefault="002C6E5B" w:rsidP="00D37D33">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7F5EBC" w:rsidRPr="007F5EBC">
        <w:rPr>
          <w:rFonts w:cs="Calibri"/>
          <w:color w:val="000000"/>
          <w:sz w:val="23"/>
          <w:szCs w:val="23"/>
        </w:rPr>
        <w:t xml:space="preserve"> </w:t>
      </w:r>
      <w:r w:rsidR="007F5EBC">
        <w:rPr>
          <w:rFonts w:cs="Calibri"/>
          <w:color w:val="000000"/>
          <w:sz w:val="23"/>
          <w:szCs w:val="23"/>
        </w:rPr>
        <w:t xml:space="preserve"> </w:t>
      </w:r>
      <w:r w:rsidR="007F5EBC" w:rsidRPr="007F5EBC">
        <w:rPr>
          <w:color w:val="000000" w:themeColor="text1"/>
          <w:szCs w:val="24"/>
        </w:rPr>
        <w:t>The Board acknowledges the sentiment expressed in the CI’s application regarding the significant impairment with which h</w:t>
      </w:r>
      <w:r w:rsidR="007F5EBC">
        <w:rPr>
          <w:color w:val="000000" w:themeColor="text1"/>
          <w:szCs w:val="24"/>
        </w:rPr>
        <w:t>er</w:t>
      </w:r>
      <w:r w:rsidR="007F5EBC" w:rsidRPr="007F5EBC">
        <w:rPr>
          <w:color w:val="000000" w:themeColor="text1"/>
          <w:szCs w:val="24"/>
        </w:rPr>
        <w:t xml:space="preserve"> service-incurred condition continues to burden h</w:t>
      </w:r>
      <w:r w:rsidR="007F5EBC">
        <w:rPr>
          <w:color w:val="000000" w:themeColor="text1"/>
          <w:szCs w:val="24"/>
        </w:rPr>
        <w:t>er</w:t>
      </w:r>
      <w:r w:rsidR="007F5EBC" w:rsidRPr="007F5EBC">
        <w:rPr>
          <w:color w:val="000000" w:themeColor="text1"/>
          <w:szCs w:val="24"/>
        </w:rPr>
        <w:t xml:space="preserve">. </w:t>
      </w:r>
      <w:r w:rsidR="007F5EBC">
        <w:rPr>
          <w:color w:val="000000" w:themeColor="text1"/>
          <w:szCs w:val="24"/>
        </w:rPr>
        <w:t xml:space="preserve"> </w:t>
      </w:r>
      <w:r w:rsidR="007F5EBC" w:rsidRPr="007F5EBC">
        <w:rPr>
          <w:color w:val="000000" w:themeColor="text1"/>
          <w:szCs w:val="24"/>
        </w:rPr>
        <w:t xml:space="preserve">The Board wishes to clarify that it is subject to the same laws for service disability entitlements as those under which the Disability Evaluation System (DES) operates. </w:t>
      </w:r>
      <w:r w:rsidR="007F5EBC">
        <w:rPr>
          <w:color w:val="000000" w:themeColor="text1"/>
          <w:szCs w:val="24"/>
        </w:rPr>
        <w:t xml:space="preserve"> </w:t>
      </w:r>
      <w:r w:rsidR="007F5EBC" w:rsidRPr="007F5EBC">
        <w:rPr>
          <w:color w:val="000000" w:themeColor="text1"/>
          <w:szCs w:val="24"/>
        </w:rPr>
        <w:t xml:space="preserve">The DES has neither the role nor the authority to compensate service members for anticipated future severity or potential complications of conditions resulting in medical separation. </w:t>
      </w:r>
      <w:r w:rsidR="007F5EBC">
        <w:rPr>
          <w:color w:val="000000" w:themeColor="text1"/>
          <w:szCs w:val="24"/>
        </w:rPr>
        <w:t xml:space="preserve"> </w:t>
      </w:r>
      <w:r w:rsidR="007F5EBC" w:rsidRPr="007F5EBC">
        <w:rPr>
          <w:color w:val="000000" w:themeColor="text1"/>
          <w:szCs w:val="24"/>
        </w:rPr>
        <w:t xml:space="preserve">That role and </w:t>
      </w:r>
      <w:r w:rsidR="007F5EBC" w:rsidRPr="007F5EBC">
        <w:rPr>
          <w:color w:val="000000" w:themeColor="text1"/>
          <w:szCs w:val="24"/>
        </w:rPr>
        <w:lastRenderedPageBreak/>
        <w:t>authority is granted by Congress to the Department of Veteran</w:t>
      </w:r>
      <w:r w:rsidR="00044FE5">
        <w:rPr>
          <w:color w:val="000000" w:themeColor="text1"/>
          <w:szCs w:val="24"/>
        </w:rPr>
        <w:t>s’</w:t>
      </w:r>
      <w:r w:rsidR="007F5EBC" w:rsidRPr="007F5EBC">
        <w:rPr>
          <w:color w:val="000000" w:themeColor="text1"/>
          <w:szCs w:val="24"/>
        </w:rPr>
        <w:t xml:space="preserve"> Affairs (DVA), operating under a different set of laws (Title 38, United States Code). </w:t>
      </w:r>
      <w:r w:rsidR="007F5EBC">
        <w:rPr>
          <w:color w:val="000000" w:themeColor="text1"/>
          <w:szCs w:val="24"/>
        </w:rPr>
        <w:t xml:space="preserve"> </w:t>
      </w:r>
      <w:r w:rsidR="009832CD" w:rsidRPr="009832CD">
        <w:rPr>
          <w:rFonts w:asciiTheme="minorHAnsi" w:hAnsiTheme="minorHAnsi"/>
          <w:color w:val="auto"/>
          <w:szCs w:val="24"/>
        </w:rPr>
        <w:t xml:space="preserve">The Board utilizes </w:t>
      </w:r>
      <w:r w:rsidR="00044FE5">
        <w:rPr>
          <w:rFonts w:asciiTheme="minorHAnsi" w:hAnsiTheme="minorHAnsi"/>
          <w:color w:val="auto"/>
          <w:szCs w:val="24"/>
        </w:rPr>
        <w:t>D</w:t>
      </w:r>
      <w:r w:rsidR="009832CD" w:rsidRPr="009832CD">
        <w:rPr>
          <w:rFonts w:asciiTheme="minorHAnsi" w:hAnsiTheme="minorHAnsi"/>
          <w:color w:val="auto"/>
          <w:szCs w:val="24"/>
        </w:rPr>
        <w:t xml:space="preserve">VA evidence proximal to separation in arriving at its recommendations; and, DoDI 6040.44 defines a 12-month interval for special consideration to post-separation evidence. </w:t>
      </w:r>
      <w:r w:rsidR="009832CD">
        <w:rPr>
          <w:rFonts w:asciiTheme="minorHAnsi" w:hAnsiTheme="minorHAnsi"/>
          <w:color w:val="auto"/>
          <w:szCs w:val="24"/>
        </w:rPr>
        <w:t xml:space="preserve"> </w:t>
      </w:r>
      <w:r w:rsidR="009832CD" w:rsidRPr="009832CD">
        <w:rPr>
          <w:rFonts w:asciiTheme="minorHAnsi" w:hAnsiTheme="minorHAnsi"/>
          <w:color w:val="auto"/>
          <w:szCs w:val="24"/>
        </w:rPr>
        <w:t xml:space="preserve">The Board’s authority as defined in DoDI 6040.44, however, resides in evaluating the fairness of DES fitness determinations and rating decisions for disability at the time of separation. </w:t>
      </w:r>
      <w:r w:rsidR="009832CD">
        <w:rPr>
          <w:rFonts w:asciiTheme="minorHAnsi" w:hAnsiTheme="minorHAnsi"/>
          <w:color w:val="auto"/>
          <w:szCs w:val="24"/>
        </w:rPr>
        <w:t xml:space="preserve"> </w:t>
      </w:r>
      <w:r w:rsidR="009832CD" w:rsidRPr="009832CD">
        <w:rPr>
          <w:rFonts w:asciiTheme="minorHAnsi" w:hAnsiTheme="minorHAnsi"/>
          <w:color w:val="auto"/>
          <w:szCs w:val="24"/>
        </w:rPr>
        <w:t xml:space="preserve">Post-separation evidence therefore is probative only to the extent that it reasonably reflects the disability and fitness implications at the time of separation.  </w:t>
      </w:r>
      <w:r w:rsidR="007F5EBC" w:rsidRPr="007F5EBC">
        <w:rPr>
          <w:color w:val="000000" w:themeColor="text1"/>
          <w:szCs w:val="24"/>
        </w:rPr>
        <w:t>The Board also acknowledges the CI's contention suggesting that service ratings</w:t>
      </w:r>
      <w:r w:rsidR="00617173">
        <w:rPr>
          <w:color w:val="000000" w:themeColor="text1"/>
          <w:szCs w:val="24"/>
        </w:rPr>
        <w:t xml:space="preserve"> should have been conferred </w:t>
      </w:r>
      <w:r w:rsidR="007F5EBC" w:rsidRPr="007F5EBC">
        <w:rPr>
          <w:color w:val="000000" w:themeColor="text1"/>
          <w:szCs w:val="24"/>
        </w:rPr>
        <w:t>for conditions not diagnosed while in the service (but la</w:t>
      </w:r>
      <w:r w:rsidR="00044FE5">
        <w:rPr>
          <w:color w:val="000000" w:themeColor="text1"/>
          <w:szCs w:val="24"/>
        </w:rPr>
        <w:t>ter determined to be service-</w:t>
      </w:r>
      <w:r w:rsidR="007F5EBC" w:rsidRPr="007F5EBC">
        <w:rPr>
          <w:color w:val="000000" w:themeColor="text1"/>
          <w:szCs w:val="24"/>
        </w:rPr>
        <w:t xml:space="preserve">connected by the </w:t>
      </w:r>
      <w:r w:rsidR="00044FE5">
        <w:rPr>
          <w:color w:val="000000" w:themeColor="text1"/>
          <w:szCs w:val="24"/>
        </w:rPr>
        <w:t>D</w:t>
      </w:r>
      <w:r w:rsidR="007F5EBC" w:rsidRPr="007F5EBC">
        <w:rPr>
          <w:color w:val="000000" w:themeColor="text1"/>
          <w:szCs w:val="24"/>
        </w:rPr>
        <w:t xml:space="preserve">VA). </w:t>
      </w:r>
      <w:r w:rsidR="007F5EBC">
        <w:rPr>
          <w:color w:val="000000" w:themeColor="text1"/>
          <w:szCs w:val="24"/>
        </w:rPr>
        <w:t xml:space="preserve"> </w:t>
      </w:r>
      <w:r w:rsidR="007F5EBC" w:rsidRPr="007F5EBC">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D37D33">
        <w:rPr>
          <w:color w:val="000000" w:themeColor="text1"/>
          <w:szCs w:val="24"/>
        </w:rPr>
        <w:t xml:space="preserve"> </w:t>
      </w:r>
      <w:r w:rsidR="007F5EBC" w:rsidRPr="007F5EBC">
        <w:rPr>
          <w:color w:val="000000" w:themeColor="text1"/>
          <w:szCs w:val="24"/>
        </w:rPr>
        <w:t xml:space="preserve">The DVA, however, is empowered to compensate </w:t>
      </w:r>
      <w:r w:rsidR="00D37D33">
        <w:rPr>
          <w:color w:val="000000" w:themeColor="text1"/>
          <w:szCs w:val="24"/>
        </w:rPr>
        <w:t xml:space="preserve">all </w:t>
      </w:r>
      <w:r w:rsidR="00044FE5">
        <w:rPr>
          <w:color w:val="000000" w:themeColor="text1"/>
          <w:szCs w:val="24"/>
        </w:rPr>
        <w:t>service-</w:t>
      </w:r>
      <w:r w:rsidR="007F5EBC" w:rsidRPr="007F5EBC">
        <w:rPr>
          <w:color w:val="000000" w:themeColor="text1"/>
          <w:szCs w:val="24"/>
        </w:rPr>
        <w:t>connected conditions and to periodically re-evaluate said conditions fo</w:t>
      </w:r>
      <w:r w:rsidR="00044FE5">
        <w:rPr>
          <w:color w:val="000000" w:themeColor="text1"/>
          <w:szCs w:val="24"/>
        </w:rPr>
        <w:t>r the purpose of adjusting the V</w:t>
      </w:r>
      <w:r w:rsidR="007F5EBC" w:rsidRPr="007F5EBC">
        <w:rPr>
          <w:color w:val="000000" w:themeColor="text1"/>
          <w:szCs w:val="24"/>
        </w:rPr>
        <w:t xml:space="preserve">eteran’s disability rating should </w:t>
      </w:r>
      <w:r w:rsidR="00044FE5">
        <w:rPr>
          <w:color w:val="000000" w:themeColor="text1"/>
          <w:szCs w:val="24"/>
        </w:rPr>
        <w:t>the</w:t>
      </w:r>
      <w:r w:rsidR="007F5EBC" w:rsidRPr="007F5EBC">
        <w:rPr>
          <w:color w:val="000000" w:themeColor="text1"/>
          <w:szCs w:val="24"/>
        </w:rPr>
        <w:t xml:space="preserve"> degree of impairment vary over time.</w:t>
      </w:r>
    </w:p>
    <w:p w:rsidR="003A76AB" w:rsidRPr="001F29F9" w:rsidRDefault="003A76AB" w:rsidP="00BF0E94">
      <w:pPr>
        <w:jc w:val="left"/>
        <w:rPr>
          <w:color w:val="000000" w:themeColor="text1"/>
          <w:szCs w:val="24"/>
          <w:highlight w:val="yellow"/>
        </w:rPr>
      </w:pPr>
    </w:p>
    <w:p w:rsidR="003D7828" w:rsidRPr="001F29F9" w:rsidRDefault="00F106BB" w:rsidP="00432E76">
      <w:pPr>
        <w:jc w:val="both"/>
        <w:rPr>
          <w:color w:val="000000" w:themeColor="text1"/>
          <w:szCs w:val="24"/>
        </w:rPr>
      </w:pPr>
      <w:r w:rsidRPr="006B5F90">
        <w:rPr>
          <w:color w:val="000000" w:themeColor="text1"/>
          <w:szCs w:val="24"/>
          <w:u w:val="single"/>
        </w:rPr>
        <w:t>Low Back</w:t>
      </w:r>
      <w:r w:rsidR="0080588E" w:rsidRPr="006B5F90">
        <w:rPr>
          <w:color w:val="000000" w:themeColor="text1"/>
          <w:szCs w:val="24"/>
          <w:u w:val="single"/>
        </w:rPr>
        <w:t xml:space="preserve"> </w:t>
      </w:r>
      <w:r w:rsidR="003F2EEE" w:rsidRPr="006B5F90">
        <w:rPr>
          <w:color w:val="000000" w:themeColor="text1"/>
          <w:szCs w:val="24"/>
          <w:u w:val="single"/>
        </w:rPr>
        <w:t>Condition</w:t>
      </w:r>
      <w:r w:rsidR="003F2EEE" w:rsidRPr="006B5F90">
        <w:rPr>
          <w:color w:val="000000" w:themeColor="text1"/>
          <w:szCs w:val="24"/>
        </w:rPr>
        <w:t xml:space="preserve">.  </w:t>
      </w:r>
      <w:r w:rsidR="00617173" w:rsidRPr="006B5F90">
        <w:rPr>
          <w:color w:val="000000" w:themeColor="text1"/>
          <w:szCs w:val="24"/>
        </w:rPr>
        <w:t>In February 2003 the CI injured h</w:t>
      </w:r>
      <w:r w:rsidR="00D65F33" w:rsidRPr="006B5F90">
        <w:rPr>
          <w:color w:val="000000" w:themeColor="text1"/>
          <w:szCs w:val="24"/>
        </w:rPr>
        <w:t>er</w:t>
      </w:r>
      <w:r w:rsidR="00617173" w:rsidRPr="006B5F90">
        <w:rPr>
          <w:color w:val="000000" w:themeColor="text1"/>
          <w:szCs w:val="24"/>
        </w:rPr>
        <w:t xml:space="preserve"> back weightlifting and</w:t>
      </w:r>
      <w:r w:rsidR="003D7828" w:rsidRPr="006B5F90">
        <w:rPr>
          <w:color w:val="000000" w:themeColor="text1"/>
          <w:szCs w:val="24"/>
        </w:rPr>
        <w:t xml:space="preserve"> </w:t>
      </w:r>
      <w:r w:rsidR="00617173" w:rsidRPr="006B5F90">
        <w:rPr>
          <w:color w:val="000000" w:themeColor="text1"/>
          <w:szCs w:val="24"/>
        </w:rPr>
        <w:t xml:space="preserve">was </w:t>
      </w:r>
      <w:r w:rsidR="00855811" w:rsidRPr="006B5F90">
        <w:rPr>
          <w:color w:val="000000" w:themeColor="text1"/>
          <w:szCs w:val="24"/>
        </w:rPr>
        <w:t xml:space="preserve">treated </w:t>
      </w:r>
      <w:r w:rsidR="00617173" w:rsidRPr="006B5F90">
        <w:rPr>
          <w:color w:val="000000" w:themeColor="text1"/>
          <w:szCs w:val="24"/>
        </w:rPr>
        <w:t xml:space="preserve">conservatively </w:t>
      </w:r>
      <w:r w:rsidR="003D7828" w:rsidRPr="006B5F90">
        <w:rPr>
          <w:color w:val="000000" w:themeColor="text1"/>
          <w:szCs w:val="24"/>
        </w:rPr>
        <w:t xml:space="preserve">for </w:t>
      </w:r>
      <w:r w:rsidR="00D65F33" w:rsidRPr="006B5F90">
        <w:rPr>
          <w:color w:val="000000" w:themeColor="text1"/>
          <w:szCs w:val="24"/>
        </w:rPr>
        <w:t xml:space="preserve">over </w:t>
      </w:r>
      <w:r w:rsidR="003D7828" w:rsidRPr="006B5F90">
        <w:rPr>
          <w:color w:val="000000" w:themeColor="text1"/>
          <w:szCs w:val="24"/>
        </w:rPr>
        <w:t>a year</w:t>
      </w:r>
      <w:r w:rsidR="00617173" w:rsidRPr="006B5F90">
        <w:rPr>
          <w:color w:val="000000" w:themeColor="text1"/>
          <w:szCs w:val="24"/>
        </w:rPr>
        <w:t xml:space="preserve">.  </w:t>
      </w:r>
      <w:r w:rsidR="00D65F33" w:rsidRPr="006B5F90">
        <w:rPr>
          <w:color w:val="000000" w:themeColor="text1"/>
          <w:szCs w:val="24"/>
        </w:rPr>
        <w:t>Sh</w:t>
      </w:r>
      <w:r w:rsidR="00617173" w:rsidRPr="006B5F90">
        <w:rPr>
          <w:color w:val="000000" w:themeColor="text1"/>
          <w:szCs w:val="24"/>
        </w:rPr>
        <w:t xml:space="preserve">e </w:t>
      </w:r>
      <w:r w:rsidR="00F54FDD" w:rsidRPr="006B5F90">
        <w:rPr>
          <w:color w:val="000000" w:themeColor="text1"/>
          <w:szCs w:val="24"/>
        </w:rPr>
        <w:t>had</w:t>
      </w:r>
      <w:r w:rsidR="00617173" w:rsidRPr="006B5F90">
        <w:rPr>
          <w:color w:val="000000" w:themeColor="text1"/>
          <w:szCs w:val="24"/>
        </w:rPr>
        <w:t xml:space="preserve"> worsening pain with radiation to h</w:t>
      </w:r>
      <w:r w:rsidR="00D65F33" w:rsidRPr="006B5F90">
        <w:rPr>
          <w:color w:val="000000" w:themeColor="text1"/>
          <w:szCs w:val="24"/>
        </w:rPr>
        <w:t xml:space="preserve">er </w:t>
      </w:r>
      <w:r w:rsidR="00617173" w:rsidRPr="006B5F90">
        <w:rPr>
          <w:color w:val="000000" w:themeColor="text1"/>
          <w:szCs w:val="24"/>
        </w:rPr>
        <w:t>right and left leg</w:t>
      </w:r>
      <w:r w:rsidR="00D65F33" w:rsidRPr="006B5F90">
        <w:rPr>
          <w:color w:val="000000" w:themeColor="text1"/>
          <w:szCs w:val="24"/>
        </w:rPr>
        <w:t xml:space="preserve"> </w:t>
      </w:r>
      <w:r w:rsidR="00F54FDD" w:rsidRPr="006B5F90">
        <w:rPr>
          <w:color w:val="000000" w:themeColor="text1"/>
          <w:szCs w:val="24"/>
        </w:rPr>
        <w:t>which prompted a neurosurg</w:t>
      </w:r>
      <w:r w:rsidR="00D36D4E">
        <w:rPr>
          <w:color w:val="000000" w:themeColor="text1"/>
          <w:szCs w:val="24"/>
        </w:rPr>
        <w:t xml:space="preserve">ical evaluation.  In March 2004 </w:t>
      </w:r>
      <w:r w:rsidR="00F54FDD" w:rsidRPr="006B5F90">
        <w:rPr>
          <w:color w:val="000000" w:themeColor="text1"/>
          <w:szCs w:val="24"/>
        </w:rPr>
        <w:t xml:space="preserve">neurosurgery performed definitive surgery for removal of a herniated nucleus </w:t>
      </w:r>
      <w:r w:rsidR="00166D62" w:rsidRPr="006B5F90">
        <w:rPr>
          <w:color w:val="000000" w:themeColor="text1"/>
          <w:szCs w:val="24"/>
        </w:rPr>
        <w:t>pulposus (</w:t>
      </w:r>
      <w:r w:rsidR="00F54FDD" w:rsidRPr="006B5F90">
        <w:rPr>
          <w:color w:val="000000" w:themeColor="text1"/>
          <w:szCs w:val="24"/>
        </w:rPr>
        <w:t xml:space="preserve">HNP) at L4 that was evident on </w:t>
      </w:r>
      <w:r w:rsidR="00D65F33" w:rsidRPr="006B5F90">
        <w:rPr>
          <w:color w:val="000000" w:themeColor="text1"/>
          <w:szCs w:val="24"/>
        </w:rPr>
        <w:t>MRI</w:t>
      </w:r>
      <w:r w:rsidR="00F54FDD" w:rsidRPr="006B5F90">
        <w:rPr>
          <w:color w:val="000000" w:themeColor="text1"/>
          <w:szCs w:val="24"/>
        </w:rPr>
        <w:t xml:space="preserve">.  </w:t>
      </w:r>
      <w:r w:rsidR="00253A29" w:rsidRPr="006B5F90">
        <w:rPr>
          <w:color w:val="000000" w:themeColor="text1"/>
          <w:szCs w:val="24"/>
        </w:rPr>
        <w:t>This surgery provided temporary improvement</w:t>
      </w:r>
      <w:r w:rsidR="00253A29">
        <w:rPr>
          <w:color w:val="000000" w:themeColor="text1"/>
          <w:szCs w:val="24"/>
        </w:rPr>
        <w:t xml:space="preserve"> but due to continued radiating</w:t>
      </w:r>
      <w:r w:rsidR="00253A29" w:rsidRPr="006B5F90">
        <w:rPr>
          <w:color w:val="000000" w:themeColor="text1"/>
          <w:szCs w:val="24"/>
        </w:rPr>
        <w:t xml:space="preserve"> pain </w:t>
      </w:r>
      <w:r w:rsidR="00253A29">
        <w:rPr>
          <w:color w:val="000000" w:themeColor="text1"/>
          <w:szCs w:val="24"/>
        </w:rPr>
        <w:t>a</w:t>
      </w:r>
      <w:r w:rsidR="00253A29" w:rsidRPr="006B5F90">
        <w:rPr>
          <w:color w:val="000000" w:themeColor="text1"/>
          <w:szCs w:val="24"/>
        </w:rPr>
        <w:t xml:space="preserve"> MRI was repeated 5 months </w:t>
      </w:r>
      <w:r w:rsidR="00345CD3">
        <w:rPr>
          <w:color w:val="000000" w:themeColor="text1"/>
          <w:szCs w:val="24"/>
        </w:rPr>
        <w:t>after</w:t>
      </w:r>
      <w:r w:rsidR="00253A29" w:rsidRPr="006B5F90">
        <w:rPr>
          <w:color w:val="000000" w:themeColor="text1"/>
          <w:szCs w:val="24"/>
        </w:rPr>
        <w:t xml:space="preserve"> surgery. </w:t>
      </w:r>
      <w:r w:rsidR="00253A29">
        <w:rPr>
          <w:color w:val="000000" w:themeColor="text1"/>
          <w:szCs w:val="24"/>
        </w:rPr>
        <w:t xml:space="preserve"> </w:t>
      </w:r>
      <w:r w:rsidR="00855811" w:rsidRPr="006B5F90">
        <w:rPr>
          <w:color w:val="000000" w:themeColor="text1"/>
          <w:szCs w:val="24"/>
        </w:rPr>
        <w:t>Th</w:t>
      </w:r>
      <w:r w:rsidR="004C26CD" w:rsidRPr="006B5F90">
        <w:rPr>
          <w:color w:val="000000" w:themeColor="text1"/>
          <w:szCs w:val="24"/>
        </w:rPr>
        <w:t>is</w:t>
      </w:r>
      <w:r w:rsidR="00855811" w:rsidRPr="006B5F90">
        <w:rPr>
          <w:color w:val="000000" w:themeColor="text1"/>
          <w:szCs w:val="24"/>
        </w:rPr>
        <w:t xml:space="preserve"> MRI</w:t>
      </w:r>
      <w:r w:rsidR="00F54FDD" w:rsidRPr="006B5F90">
        <w:rPr>
          <w:color w:val="000000" w:themeColor="text1"/>
          <w:szCs w:val="24"/>
        </w:rPr>
        <w:t xml:space="preserve"> </w:t>
      </w:r>
      <w:r w:rsidR="00D65F33" w:rsidRPr="006B5F90">
        <w:rPr>
          <w:color w:val="000000" w:themeColor="text1"/>
          <w:szCs w:val="24"/>
        </w:rPr>
        <w:t>demonstrated</w:t>
      </w:r>
      <w:r w:rsidR="00855811" w:rsidRPr="006B5F90">
        <w:rPr>
          <w:color w:val="000000" w:themeColor="text1"/>
          <w:szCs w:val="24"/>
        </w:rPr>
        <w:t xml:space="preserve"> multilevel DDD with </w:t>
      </w:r>
      <w:r w:rsidR="00432E76" w:rsidRPr="006B5F90">
        <w:rPr>
          <w:color w:val="000000" w:themeColor="text1"/>
          <w:szCs w:val="24"/>
        </w:rPr>
        <w:t>patent</w:t>
      </w:r>
      <w:r w:rsidR="00855811" w:rsidRPr="006B5F90">
        <w:rPr>
          <w:color w:val="000000" w:themeColor="text1"/>
          <w:szCs w:val="24"/>
        </w:rPr>
        <w:t xml:space="preserve"> foramina</w:t>
      </w:r>
      <w:r w:rsidR="00432E76" w:rsidRPr="006B5F90">
        <w:rPr>
          <w:color w:val="000000" w:themeColor="text1"/>
          <w:szCs w:val="24"/>
        </w:rPr>
        <w:t xml:space="preserve"> at all levels and </w:t>
      </w:r>
      <w:r w:rsidR="00F54FDD" w:rsidRPr="006B5F90">
        <w:rPr>
          <w:color w:val="000000" w:themeColor="text1"/>
          <w:szCs w:val="24"/>
        </w:rPr>
        <w:t>specifically noted</w:t>
      </w:r>
      <w:r w:rsidR="00432E76" w:rsidRPr="006B5F90">
        <w:rPr>
          <w:color w:val="000000" w:themeColor="text1"/>
          <w:szCs w:val="24"/>
        </w:rPr>
        <w:t xml:space="preserve"> improvement at L4-5</w:t>
      </w:r>
      <w:r w:rsidR="00F54FDD" w:rsidRPr="006B5F90">
        <w:rPr>
          <w:color w:val="000000" w:themeColor="text1"/>
          <w:szCs w:val="24"/>
        </w:rPr>
        <w:t xml:space="preserve"> level</w:t>
      </w:r>
      <w:r w:rsidR="00855811" w:rsidRPr="006B5F90">
        <w:rPr>
          <w:color w:val="000000" w:themeColor="text1"/>
          <w:szCs w:val="24"/>
        </w:rPr>
        <w:t xml:space="preserve"> since the interval surgical intervention</w:t>
      </w:r>
      <w:r w:rsidR="00432E76" w:rsidRPr="006B5F90">
        <w:rPr>
          <w:color w:val="000000" w:themeColor="text1"/>
          <w:szCs w:val="24"/>
        </w:rPr>
        <w:t>.</w:t>
      </w:r>
      <w:r w:rsidR="00F54FDD" w:rsidRPr="006B5F90">
        <w:rPr>
          <w:color w:val="000000" w:themeColor="text1"/>
          <w:szCs w:val="24"/>
        </w:rPr>
        <w:t xml:space="preserve">  </w:t>
      </w:r>
      <w:r w:rsidR="00855811" w:rsidRPr="006B5F90">
        <w:rPr>
          <w:color w:val="000000" w:themeColor="text1"/>
          <w:szCs w:val="24"/>
        </w:rPr>
        <w:t>A subsequent electromyelogram (EMG)</w:t>
      </w:r>
      <w:r w:rsidR="00432E76" w:rsidRPr="006B5F90">
        <w:rPr>
          <w:color w:val="000000" w:themeColor="text1"/>
          <w:szCs w:val="24"/>
        </w:rPr>
        <w:t xml:space="preserve"> </w:t>
      </w:r>
      <w:r w:rsidR="00855811" w:rsidRPr="006B5F90">
        <w:rPr>
          <w:color w:val="000000" w:themeColor="text1"/>
          <w:szCs w:val="24"/>
        </w:rPr>
        <w:t>was</w:t>
      </w:r>
      <w:r w:rsidR="00C12216" w:rsidRPr="006B5F90">
        <w:rPr>
          <w:color w:val="000000" w:themeColor="text1"/>
          <w:szCs w:val="24"/>
        </w:rPr>
        <w:t xml:space="preserve"> positive </w:t>
      </w:r>
      <w:r w:rsidR="00855811" w:rsidRPr="006B5F90">
        <w:rPr>
          <w:color w:val="000000" w:themeColor="text1"/>
          <w:szCs w:val="24"/>
        </w:rPr>
        <w:t xml:space="preserve">for </w:t>
      </w:r>
      <w:r w:rsidR="00C12216" w:rsidRPr="006B5F90">
        <w:rPr>
          <w:color w:val="000000" w:themeColor="text1"/>
          <w:szCs w:val="24"/>
        </w:rPr>
        <w:t xml:space="preserve">right </w:t>
      </w:r>
      <w:r w:rsidR="00855811" w:rsidRPr="006B5F90">
        <w:rPr>
          <w:color w:val="000000" w:themeColor="text1"/>
          <w:szCs w:val="24"/>
        </w:rPr>
        <w:t xml:space="preserve">L5-S1 </w:t>
      </w:r>
      <w:r w:rsidR="00C12216" w:rsidRPr="006B5F90">
        <w:rPr>
          <w:color w:val="000000" w:themeColor="text1"/>
          <w:szCs w:val="24"/>
        </w:rPr>
        <w:t xml:space="preserve">paraspinals </w:t>
      </w:r>
      <w:r w:rsidR="00855811" w:rsidRPr="006B5F90">
        <w:rPr>
          <w:color w:val="000000" w:themeColor="text1"/>
          <w:szCs w:val="24"/>
        </w:rPr>
        <w:t xml:space="preserve">disease with </w:t>
      </w:r>
      <w:r w:rsidR="00C12216" w:rsidRPr="006B5F90">
        <w:rPr>
          <w:color w:val="000000" w:themeColor="text1"/>
          <w:szCs w:val="24"/>
        </w:rPr>
        <w:t>no evidence of ongoing lumbar radiculopathy, plexopathy, or lower extremity peripheral neuropathy.</w:t>
      </w:r>
      <w:r w:rsidR="00855811" w:rsidRPr="006B5F90">
        <w:rPr>
          <w:color w:val="000000" w:themeColor="text1"/>
          <w:szCs w:val="24"/>
        </w:rPr>
        <w:t xml:space="preserve">  </w:t>
      </w:r>
      <w:r w:rsidR="00825CF2">
        <w:rPr>
          <w:color w:val="000000" w:themeColor="text1"/>
          <w:szCs w:val="24"/>
        </w:rPr>
        <w:t>She continued to be seen in physical therapy attempting all the modalities they had to offer to include</w:t>
      </w:r>
      <w:r w:rsidR="00A22B04">
        <w:rPr>
          <w:color w:val="000000" w:themeColor="text1"/>
          <w:szCs w:val="24"/>
        </w:rPr>
        <w:t>;</w:t>
      </w:r>
      <w:r w:rsidR="00825CF2">
        <w:rPr>
          <w:color w:val="000000" w:themeColor="text1"/>
          <w:szCs w:val="24"/>
        </w:rPr>
        <w:t xml:space="preserve"> traction, TENS, and rehabilitative back exercises.  </w:t>
      </w:r>
      <w:r w:rsidR="00A22B04">
        <w:rPr>
          <w:color w:val="000000" w:themeColor="text1"/>
          <w:szCs w:val="24"/>
        </w:rPr>
        <w:t xml:space="preserve">She was </w:t>
      </w:r>
      <w:r w:rsidR="00432E76" w:rsidRPr="006B5F90">
        <w:rPr>
          <w:color w:val="000000" w:themeColor="text1"/>
          <w:szCs w:val="24"/>
        </w:rPr>
        <w:t xml:space="preserve">seen </w:t>
      </w:r>
      <w:r w:rsidR="00A22B04">
        <w:rPr>
          <w:color w:val="000000" w:themeColor="text1"/>
          <w:szCs w:val="24"/>
        </w:rPr>
        <w:t xml:space="preserve">in follow-up </w:t>
      </w:r>
      <w:r w:rsidR="00432E76" w:rsidRPr="006B5F90">
        <w:rPr>
          <w:color w:val="000000" w:themeColor="text1"/>
          <w:szCs w:val="24"/>
        </w:rPr>
        <w:t xml:space="preserve">by </w:t>
      </w:r>
      <w:r w:rsidR="00855811" w:rsidRPr="006B5F90">
        <w:rPr>
          <w:color w:val="000000" w:themeColor="text1"/>
          <w:szCs w:val="24"/>
        </w:rPr>
        <w:t>orthopedics who documented a</w:t>
      </w:r>
      <w:r w:rsidR="00432E76" w:rsidRPr="006B5F90">
        <w:rPr>
          <w:color w:val="000000" w:themeColor="text1"/>
          <w:szCs w:val="24"/>
        </w:rPr>
        <w:t xml:space="preserve"> normal neuro</w:t>
      </w:r>
      <w:r w:rsidR="00855811" w:rsidRPr="006B5F90">
        <w:rPr>
          <w:color w:val="000000" w:themeColor="text1"/>
          <w:szCs w:val="24"/>
        </w:rPr>
        <w:t xml:space="preserve">logic exam and recommended an MEB </w:t>
      </w:r>
      <w:r w:rsidR="00432E76" w:rsidRPr="006B5F90">
        <w:rPr>
          <w:color w:val="000000" w:themeColor="text1"/>
          <w:szCs w:val="24"/>
        </w:rPr>
        <w:t xml:space="preserve">due to </w:t>
      </w:r>
      <w:r w:rsidR="00855811" w:rsidRPr="006B5F90">
        <w:rPr>
          <w:color w:val="000000" w:themeColor="text1"/>
          <w:szCs w:val="24"/>
        </w:rPr>
        <w:t xml:space="preserve">her current </w:t>
      </w:r>
      <w:r w:rsidR="00432E76" w:rsidRPr="006B5F90">
        <w:rPr>
          <w:color w:val="000000" w:themeColor="text1"/>
          <w:szCs w:val="24"/>
        </w:rPr>
        <w:t xml:space="preserve">limitations and not </w:t>
      </w:r>
      <w:r w:rsidR="00855811" w:rsidRPr="006B5F90">
        <w:rPr>
          <w:color w:val="000000" w:themeColor="text1"/>
          <w:szCs w:val="24"/>
        </w:rPr>
        <w:t>being worldwide deployable.  In</w:t>
      </w:r>
      <w:r w:rsidR="00432E76" w:rsidRPr="006B5F90">
        <w:rPr>
          <w:color w:val="000000" w:themeColor="text1"/>
          <w:szCs w:val="24"/>
        </w:rPr>
        <w:t xml:space="preserve"> April 2005</w:t>
      </w:r>
      <w:r w:rsidR="00855811" w:rsidRPr="006B5F90">
        <w:rPr>
          <w:color w:val="000000" w:themeColor="text1"/>
          <w:szCs w:val="24"/>
        </w:rPr>
        <w:t xml:space="preserve">, </w:t>
      </w:r>
      <w:r w:rsidR="004E48A5">
        <w:rPr>
          <w:color w:val="000000" w:themeColor="text1"/>
          <w:szCs w:val="24"/>
        </w:rPr>
        <w:t>a</w:t>
      </w:r>
      <w:r w:rsidR="00855811" w:rsidRPr="006B5F90">
        <w:rPr>
          <w:color w:val="000000" w:themeColor="text1"/>
          <w:szCs w:val="24"/>
        </w:rPr>
        <w:t xml:space="preserve"> year post</w:t>
      </w:r>
      <w:r w:rsidR="004E48A5">
        <w:rPr>
          <w:color w:val="000000" w:themeColor="text1"/>
          <w:szCs w:val="24"/>
        </w:rPr>
        <w:t>-</w:t>
      </w:r>
      <w:r w:rsidR="00855811" w:rsidRPr="006B5F90">
        <w:rPr>
          <w:color w:val="000000" w:themeColor="text1"/>
          <w:szCs w:val="24"/>
        </w:rPr>
        <w:t>operatively</w:t>
      </w:r>
      <w:r w:rsidR="004C26CD" w:rsidRPr="006B5F90">
        <w:rPr>
          <w:color w:val="000000" w:themeColor="text1"/>
          <w:szCs w:val="24"/>
        </w:rPr>
        <w:t>,</w:t>
      </w:r>
      <w:r w:rsidR="00855811" w:rsidRPr="006B5F90">
        <w:rPr>
          <w:color w:val="000000" w:themeColor="text1"/>
          <w:szCs w:val="24"/>
        </w:rPr>
        <w:t xml:space="preserve"> she was seen </w:t>
      </w:r>
      <w:r w:rsidR="004C26CD" w:rsidRPr="006B5F90">
        <w:rPr>
          <w:color w:val="000000" w:themeColor="text1"/>
          <w:szCs w:val="24"/>
        </w:rPr>
        <w:t xml:space="preserve">by </w:t>
      </w:r>
      <w:r w:rsidR="00855811" w:rsidRPr="006B5F90">
        <w:rPr>
          <w:color w:val="000000" w:themeColor="text1"/>
          <w:szCs w:val="24"/>
        </w:rPr>
        <w:t xml:space="preserve">another </w:t>
      </w:r>
      <w:r w:rsidR="00166D62" w:rsidRPr="006B5F90">
        <w:rPr>
          <w:color w:val="000000" w:themeColor="text1"/>
          <w:szCs w:val="24"/>
        </w:rPr>
        <w:t>neurosurgeon</w:t>
      </w:r>
      <w:r w:rsidR="004C26CD" w:rsidRPr="006B5F90">
        <w:rPr>
          <w:color w:val="000000" w:themeColor="text1"/>
          <w:szCs w:val="24"/>
        </w:rPr>
        <w:t xml:space="preserve"> who documented her </w:t>
      </w:r>
      <w:r w:rsidR="00135331" w:rsidRPr="006B5F90">
        <w:rPr>
          <w:color w:val="000000" w:themeColor="text1"/>
          <w:szCs w:val="24"/>
        </w:rPr>
        <w:t>symptomatic radiculopathy</w:t>
      </w:r>
      <w:r w:rsidR="004C26CD" w:rsidRPr="006B5F90">
        <w:rPr>
          <w:color w:val="000000" w:themeColor="text1"/>
          <w:szCs w:val="24"/>
        </w:rPr>
        <w:t xml:space="preserve"> and opined she had a moderate</w:t>
      </w:r>
      <w:r w:rsidR="00432E76" w:rsidRPr="006B5F90">
        <w:rPr>
          <w:color w:val="000000" w:themeColor="text1"/>
          <w:szCs w:val="24"/>
        </w:rPr>
        <w:t xml:space="preserve"> level of nerve root dysfunction at the L4-L5 level</w:t>
      </w:r>
      <w:r w:rsidR="004C26CD" w:rsidRPr="006B5F90">
        <w:rPr>
          <w:color w:val="000000" w:themeColor="text1"/>
          <w:szCs w:val="24"/>
        </w:rPr>
        <w:t xml:space="preserve"> and given her </w:t>
      </w:r>
      <w:r w:rsidR="00432E76" w:rsidRPr="006B5F90">
        <w:rPr>
          <w:color w:val="000000" w:themeColor="text1"/>
          <w:szCs w:val="24"/>
        </w:rPr>
        <w:t>limitations</w:t>
      </w:r>
      <w:r w:rsidR="004C26CD" w:rsidRPr="006B5F90">
        <w:rPr>
          <w:color w:val="000000" w:themeColor="text1"/>
          <w:szCs w:val="24"/>
        </w:rPr>
        <w:t xml:space="preserve"> </w:t>
      </w:r>
      <w:r w:rsidR="00432E76" w:rsidRPr="006B5F90">
        <w:rPr>
          <w:color w:val="000000" w:themeColor="text1"/>
          <w:szCs w:val="24"/>
        </w:rPr>
        <w:t xml:space="preserve">would be unable to perform repetitive motions of the lumbosacral spine such as sit-ups or to perform bending and </w:t>
      </w:r>
      <w:r w:rsidR="004C26CD" w:rsidRPr="006B5F90">
        <w:rPr>
          <w:color w:val="000000" w:themeColor="text1"/>
          <w:szCs w:val="24"/>
        </w:rPr>
        <w:t>lift</w:t>
      </w:r>
      <w:r w:rsidR="00361585">
        <w:rPr>
          <w:color w:val="000000" w:themeColor="text1"/>
          <w:szCs w:val="24"/>
        </w:rPr>
        <w:t xml:space="preserve">ing activities </w:t>
      </w:r>
      <w:r w:rsidR="00432E76" w:rsidRPr="006B5F90">
        <w:rPr>
          <w:color w:val="000000" w:themeColor="text1"/>
          <w:szCs w:val="24"/>
        </w:rPr>
        <w:t xml:space="preserve">which are </w:t>
      </w:r>
      <w:r w:rsidR="004C26CD" w:rsidRPr="006B5F90">
        <w:rPr>
          <w:color w:val="000000" w:themeColor="text1"/>
          <w:szCs w:val="24"/>
        </w:rPr>
        <w:t xml:space="preserve">necessary for her MOS.  </w:t>
      </w:r>
      <w:r w:rsidR="00A22B04">
        <w:rPr>
          <w:color w:val="000000" w:themeColor="text1"/>
          <w:szCs w:val="24"/>
        </w:rPr>
        <w:t>He further opined s</w:t>
      </w:r>
      <w:r w:rsidR="00432E76" w:rsidRPr="006B5F90">
        <w:rPr>
          <w:color w:val="000000" w:themeColor="text1"/>
          <w:szCs w:val="24"/>
        </w:rPr>
        <w:t xml:space="preserve">he will probably be able to bear about 50 pounds, but it was determined that her sustained long term </w:t>
      </w:r>
      <w:r w:rsidR="00166D62" w:rsidRPr="006B5F90">
        <w:rPr>
          <w:color w:val="000000" w:themeColor="text1"/>
          <w:szCs w:val="24"/>
        </w:rPr>
        <w:t>weight bearing</w:t>
      </w:r>
      <w:r w:rsidR="00432E76" w:rsidRPr="006B5F90">
        <w:rPr>
          <w:color w:val="000000" w:themeColor="text1"/>
          <w:szCs w:val="24"/>
        </w:rPr>
        <w:t xml:space="preserve"> would have to be 25 pounds or less</w:t>
      </w:r>
      <w:r w:rsidR="004C26CD" w:rsidRPr="006B5F90">
        <w:rPr>
          <w:color w:val="000000" w:themeColor="text1"/>
          <w:szCs w:val="24"/>
        </w:rPr>
        <w:t xml:space="preserve">.  </w:t>
      </w:r>
      <w:r w:rsidR="0040243C">
        <w:rPr>
          <w:rFonts w:eastAsia="HiddenHorzOCR"/>
          <w:color w:val="000000" w:themeColor="text1"/>
          <w:szCs w:val="24"/>
        </w:rPr>
        <w:t>The permanent profile limitations included inability</w:t>
      </w:r>
      <w:r w:rsidR="0040243C" w:rsidRPr="00432E76">
        <w:rPr>
          <w:rFonts w:eastAsia="HiddenHorzOCR"/>
          <w:color w:val="000000" w:themeColor="text1"/>
          <w:szCs w:val="24"/>
        </w:rPr>
        <w:t xml:space="preserve"> to c</w:t>
      </w:r>
      <w:r w:rsidR="0040243C">
        <w:rPr>
          <w:rFonts w:eastAsia="HiddenHorzOCR"/>
          <w:color w:val="000000" w:themeColor="text1"/>
          <w:szCs w:val="24"/>
        </w:rPr>
        <w:t xml:space="preserve">arry and fire </w:t>
      </w:r>
      <w:r w:rsidR="00A22B04">
        <w:rPr>
          <w:rFonts w:eastAsia="HiddenHorzOCR"/>
          <w:color w:val="000000" w:themeColor="text1"/>
          <w:szCs w:val="24"/>
        </w:rPr>
        <w:t xml:space="preserve">a </w:t>
      </w:r>
      <w:r w:rsidR="0040243C">
        <w:rPr>
          <w:rFonts w:eastAsia="HiddenHorzOCR"/>
          <w:color w:val="000000" w:themeColor="text1"/>
          <w:szCs w:val="24"/>
        </w:rPr>
        <w:t>weapon,</w:t>
      </w:r>
      <w:r w:rsidR="0040243C" w:rsidRPr="00432E76">
        <w:rPr>
          <w:rFonts w:eastAsia="HiddenHorzOCR"/>
          <w:color w:val="000000" w:themeColor="text1"/>
          <w:szCs w:val="24"/>
        </w:rPr>
        <w:t xml:space="preserve"> move </w:t>
      </w:r>
      <w:r w:rsidR="00345CD3">
        <w:rPr>
          <w:rFonts w:eastAsia="HiddenHorzOCR"/>
          <w:color w:val="000000" w:themeColor="text1"/>
          <w:szCs w:val="24"/>
        </w:rPr>
        <w:t>two</w:t>
      </w:r>
      <w:r w:rsidR="0040243C" w:rsidRPr="00432E76">
        <w:rPr>
          <w:rFonts w:eastAsia="HiddenHorzOCR"/>
          <w:color w:val="000000" w:themeColor="text1"/>
          <w:szCs w:val="24"/>
        </w:rPr>
        <w:t xml:space="preserve"> miles with a</w:t>
      </w:r>
      <w:r w:rsidR="0040243C">
        <w:rPr>
          <w:rFonts w:eastAsia="HiddenHorzOCR"/>
          <w:color w:val="000000" w:themeColor="text1"/>
          <w:szCs w:val="24"/>
        </w:rPr>
        <w:t xml:space="preserve"> fighting load, dig a fighting position,</w:t>
      </w:r>
      <w:r w:rsidR="0040243C" w:rsidRPr="00432E76">
        <w:rPr>
          <w:rFonts w:eastAsia="HiddenHorzOCR"/>
          <w:color w:val="000000" w:themeColor="text1"/>
          <w:szCs w:val="24"/>
        </w:rPr>
        <w:t xml:space="preserve"> do 3-5 second rushes, </w:t>
      </w:r>
      <w:r w:rsidR="0040243C">
        <w:rPr>
          <w:rFonts w:eastAsia="HiddenHorzOCR"/>
          <w:color w:val="000000" w:themeColor="text1"/>
          <w:szCs w:val="24"/>
        </w:rPr>
        <w:t>do repetitive exercise</w:t>
      </w:r>
      <w:r w:rsidR="0040243C" w:rsidRPr="00432E76">
        <w:rPr>
          <w:rFonts w:eastAsia="HiddenHorzOCR"/>
          <w:color w:val="000000" w:themeColor="text1"/>
          <w:szCs w:val="24"/>
        </w:rPr>
        <w:t>,</w:t>
      </w:r>
      <w:r w:rsidR="0040243C" w:rsidRPr="0040243C">
        <w:rPr>
          <w:rFonts w:eastAsia="HiddenHorzOCR"/>
          <w:color w:val="000000" w:themeColor="text1"/>
          <w:szCs w:val="24"/>
        </w:rPr>
        <w:t xml:space="preserve"> </w:t>
      </w:r>
      <w:r w:rsidR="0040243C">
        <w:rPr>
          <w:rFonts w:eastAsia="HiddenHorzOCR"/>
          <w:color w:val="000000" w:themeColor="text1"/>
          <w:szCs w:val="24"/>
        </w:rPr>
        <w:t xml:space="preserve">and </w:t>
      </w:r>
      <w:r w:rsidR="0040243C" w:rsidRPr="00432E76">
        <w:rPr>
          <w:rFonts w:eastAsia="HiddenHorzOCR"/>
          <w:color w:val="000000" w:themeColor="text1"/>
          <w:szCs w:val="24"/>
        </w:rPr>
        <w:t>restricted</w:t>
      </w:r>
      <w:r w:rsidR="00E25A98">
        <w:rPr>
          <w:rFonts w:eastAsia="HiddenHorzOCR"/>
          <w:color w:val="000000" w:themeColor="text1"/>
          <w:szCs w:val="24"/>
        </w:rPr>
        <w:t xml:space="preserve"> her</w:t>
      </w:r>
      <w:r w:rsidR="0040243C">
        <w:rPr>
          <w:rFonts w:eastAsia="HiddenHorzOCR"/>
          <w:color w:val="000000" w:themeColor="text1"/>
          <w:szCs w:val="24"/>
        </w:rPr>
        <w:t xml:space="preserve"> </w:t>
      </w:r>
      <w:r w:rsidR="0040243C" w:rsidRPr="00432E76">
        <w:rPr>
          <w:rFonts w:eastAsia="HiddenHorzOCR"/>
          <w:color w:val="000000" w:themeColor="text1"/>
          <w:szCs w:val="24"/>
        </w:rPr>
        <w:t>from all APFT events</w:t>
      </w:r>
      <w:r w:rsidR="0040243C">
        <w:rPr>
          <w:rFonts w:eastAsia="HiddenHorzOCR"/>
          <w:color w:val="000000" w:themeColor="text1"/>
          <w:szCs w:val="24"/>
        </w:rPr>
        <w:t xml:space="preserve">.  </w:t>
      </w:r>
      <w:r w:rsidR="004C26CD" w:rsidRPr="006B5F90">
        <w:rPr>
          <w:color w:val="000000" w:themeColor="text1"/>
          <w:szCs w:val="24"/>
        </w:rPr>
        <w:t xml:space="preserve">The </w:t>
      </w:r>
      <w:r w:rsidR="004E48A5">
        <w:rPr>
          <w:color w:val="000000" w:themeColor="text1"/>
          <w:szCs w:val="24"/>
        </w:rPr>
        <w:t>c</w:t>
      </w:r>
      <w:r w:rsidR="004C26CD" w:rsidRPr="006B5F90">
        <w:rPr>
          <w:color w:val="000000" w:themeColor="text1"/>
          <w:szCs w:val="24"/>
        </w:rPr>
        <w:t>ommander</w:t>
      </w:r>
      <w:r w:rsidR="00A22B04">
        <w:rPr>
          <w:color w:val="000000" w:themeColor="text1"/>
          <w:szCs w:val="24"/>
        </w:rPr>
        <w:t>’</w:t>
      </w:r>
      <w:r w:rsidR="004C26CD" w:rsidRPr="006B5F90">
        <w:rPr>
          <w:color w:val="000000" w:themeColor="text1"/>
          <w:szCs w:val="24"/>
        </w:rPr>
        <w:t xml:space="preserve">s </w:t>
      </w:r>
      <w:r w:rsidR="004E48A5">
        <w:rPr>
          <w:color w:val="000000" w:themeColor="text1"/>
          <w:szCs w:val="24"/>
        </w:rPr>
        <w:t>s</w:t>
      </w:r>
      <w:r w:rsidR="004C26CD" w:rsidRPr="006B5F90">
        <w:rPr>
          <w:color w:val="000000" w:themeColor="text1"/>
          <w:szCs w:val="24"/>
        </w:rPr>
        <w:t xml:space="preserve">tatement </w:t>
      </w:r>
      <w:r w:rsidR="00135331" w:rsidRPr="006B5F90">
        <w:rPr>
          <w:color w:val="000000" w:themeColor="text1"/>
          <w:szCs w:val="24"/>
        </w:rPr>
        <w:t>remark</w:t>
      </w:r>
      <w:r w:rsidR="004C26CD" w:rsidRPr="006B5F90">
        <w:rPr>
          <w:color w:val="000000" w:themeColor="text1"/>
          <w:szCs w:val="24"/>
        </w:rPr>
        <w:t xml:space="preserve">ed, despite her back surgery, she </w:t>
      </w:r>
      <w:r w:rsidR="006B5F90" w:rsidRPr="006B5F90">
        <w:rPr>
          <w:color w:val="000000" w:themeColor="text1"/>
          <w:szCs w:val="24"/>
        </w:rPr>
        <w:t>continued</w:t>
      </w:r>
      <w:r w:rsidR="00135331" w:rsidRPr="006B5F90">
        <w:rPr>
          <w:color w:val="000000" w:themeColor="text1"/>
          <w:szCs w:val="24"/>
        </w:rPr>
        <w:t xml:space="preserve"> to perform at the level that far exceeds all expectations, </w:t>
      </w:r>
      <w:r w:rsidR="004C26CD" w:rsidRPr="006B5F90">
        <w:rPr>
          <w:color w:val="000000" w:themeColor="text1"/>
          <w:szCs w:val="24"/>
        </w:rPr>
        <w:t xml:space="preserve">she </w:t>
      </w:r>
      <w:r w:rsidR="006B5F90" w:rsidRPr="006B5F90">
        <w:rPr>
          <w:color w:val="000000" w:themeColor="text1"/>
          <w:szCs w:val="24"/>
        </w:rPr>
        <w:t>was</w:t>
      </w:r>
      <w:r w:rsidR="004C26CD" w:rsidRPr="006B5F90">
        <w:rPr>
          <w:color w:val="000000" w:themeColor="text1"/>
          <w:szCs w:val="24"/>
        </w:rPr>
        <w:t xml:space="preserve"> fully capable to perform her duties</w:t>
      </w:r>
      <w:r w:rsidR="006B5F90" w:rsidRPr="006B5F90">
        <w:rPr>
          <w:color w:val="000000" w:themeColor="text1"/>
          <w:szCs w:val="24"/>
        </w:rPr>
        <w:t xml:space="preserve"> with certain limitations </w:t>
      </w:r>
      <w:r w:rsidR="004C26CD" w:rsidRPr="006B5F90">
        <w:rPr>
          <w:color w:val="000000" w:themeColor="text1"/>
          <w:szCs w:val="24"/>
        </w:rPr>
        <w:t xml:space="preserve">and </w:t>
      </w:r>
      <w:r w:rsidR="00135331" w:rsidRPr="006B5F90">
        <w:rPr>
          <w:color w:val="000000" w:themeColor="text1"/>
          <w:szCs w:val="24"/>
        </w:rPr>
        <w:t>her limitations will ne</w:t>
      </w:r>
      <w:r w:rsidR="004C26CD" w:rsidRPr="006B5F90">
        <w:rPr>
          <w:color w:val="000000" w:themeColor="text1"/>
          <w:szCs w:val="24"/>
        </w:rPr>
        <w:t>ver hamper her professionalism.</w:t>
      </w:r>
    </w:p>
    <w:p w:rsidR="00615A66" w:rsidRPr="001F29F9" w:rsidRDefault="00615A66" w:rsidP="00BF0E94">
      <w:pPr>
        <w:jc w:val="left"/>
        <w:rPr>
          <w:color w:val="000000" w:themeColor="text1"/>
          <w:szCs w:val="24"/>
        </w:rPr>
      </w:pPr>
    </w:p>
    <w:p w:rsidR="00615A66" w:rsidRDefault="00A57C35" w:rsidP="006B5F90">
      <w:pPr>
        <w:jc w:val="both"/>
        <w:rPr>
          <w:color w:val="000000" w:themeColor="text1"/>
          <w:szCs w:val="24"/>
        </w:rPr>
      </w:pPr>
      <w:r w:rsidRPr="006B5F90">
        <w:rPr>
          <w:color w:val="000000" w:themeColor="text1"/>
          <w:szCs w:val="24"/>
        </w:rPr>
        <w:t xml:space="preserve">There were </w:t>
      </w:r>
      <w:r w:rsidR="004E48A5">
        <w:rPr>
          <w:color w:val="000000" w:themeColor="text1"/>
          <w:szCs w:val="24"/>
        </w:rPr>
        <w:t>three</w:t>
      </w:r>
      <w:r w:rsidRPr="006B5F90">
        <w:rPr>
          <w:color w:val="000000" w:themeColor="text1"/>
          <w:szCs w:val="24"/>
        </w:rPr>
        <w:t xml:space="preserve"> </w:t>
      </w:r>
      <w:r w:rsidR="004E48A5">
        <w:rPr>
          <w:color w:val="000000" w:themeColor="text1"/>
          <w:szCs w:val="24"/>
        </w:rPr>
        <w:t>range-</w:t>
      </w:r>
      <w:r w:rsidRPr="006B5F90">
        <w:rPr>
          <w:color w:val="000000" w:themeColor="text1"/>
          <w:szCs w:val="24"/>
        </w:rPr>
        <w:t>of</w:t>
      </w:r>
      <w:r w:rsidR="004E48A5">
        <w:rPr>
          <w:color w:val="000000" w:themeColor="text1"/>
          <w:szCs w:val="24"/>
        </w:rPr>
        <w:t>-</w:t>
      </w:r>
      <w:r w:rsidRPr="006B5F90">
        <w:rPr>
          <w:color w:val="000000" w:themeColor="text1"/>
          <w:szCs w:val="24"/>
        </w:rPr>
        <w:t>motion (ROM) evaluations in evidence, with documentation of additional ratable criteria, which the Board weighed in arriving at its rating recommendation</w:t>
      </w:r>
      <w:r w:rsidRPr="001F29F9">
        <w:rPr>
          <w:color w:val="000000" w:themeColor="text1"/>
          <w:szCs w:val="24"/>
        </w:rPr>
        <w:t>.</w:t>
      </w:r>
    </w:p>
    <w:p w:rsidR="00D37D33" w:rsidRDefault="00D37D33" w:rsidP="00D37D33">
      <w:pPr>
        <w:jc w:val="left"/>
        <w:rPr>
          <w:color w:val="000000" w:themeColor="text1"/>
          <w:szCs w:val="24"/>
        </w:rPr>
      </w:pPr>
    </w:p>
    <w:tbl>
      <w:tblPr>
        <w:tblpPr w:leftFromText="180" w:rightFromText="180" w:vertAnchor="text" w:tblpXSpec="center" w:tblpY="1"/>
        <w:tblOverlap w:val="never"/>
        <w:tblW w:w="7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1775"/>
        <w:gridCol w:w="2064"/>
        <w:gridCol w:w="2064"/>
      </w:tblGrid>
      <w:tr w:rsidR="00A966B3" w:rsidRPr="001F29F9" w:rsidTr="00A966B3">
        <w:tc>
          <w:tcPr>
            <w:tcW w:w="18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66B3" w:rsidRPr="001F29F9" w:rsidRDefault="00A966B3" w:rsidP="00804646">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ROM - Thoracolumbar</w:t>
            </w:r>
          </w:p>
        </w:tc>
        <w:tc>
          <w:tcPr>
            <w:tcW w:w="177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66B3" w:rsidRPr="00A966B3" w:rsidRDefault="00A966B3" w:rsidP="00804646">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 xml:space="preserve">PT(for MEB) </w:t>
            </w:r>
          </w:p>
          <w:p w:rsidR="00A966B3" w:rsidRPr="00A966B3" w:rsidRDefault="00A966B3" w:rsidP="00A22B04">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 6 Mo. Pre-Sep</w:t>
            </w:r>
          </w:p>
        </w:tc>
        <w:tc>
          <w:tcPr>
            <w:tcW w:w="206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66B3" w:rsidRPr="00A966B3" w:rsidRDefault="00A966B3" w:rsidP="00A966B3">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VA</w:t>
            </w:r>
            <w:r w:rsidRPr="00A966B3">
              <w:rPr>
                <w:rFonts w:asciiTheme="minorHAnsi" w:eastAsiaTheme="minorHAnsi" w:hAnsiTheme="minorHAnsi"/>
                <w:color w:val="000000" w:themeColor="text1"/>
                <w:sz w:val="18"/>
                <w:szCs w:val="18"/>
              </w:rPr>
              <w:t xml:space="preserve"> C&amp;P </w:t>
            </w:r>
            <w:r w:rsidRPr="00A966B3">
              <w:rPr>
                <w:rFonts w:asciiTheme="minorHAnsi" w:eastAsia="Calibri" w:hAnsiTheme="minorHAnsi"/>
                <w:color w:val="000000" w:themeColor="text1"/>
                <w:sz w:val="18"/>
                <w:szCs w:val="18"/>
              </w:rPr>
              <w:t>~ 3 Mo. Pre-Sep</w:t>
            </w:r>
          </w:p>
        </w:tc>
        <w:tc>
          <w:tcPr>
            <w:tcW w:w="2064" w:type="dxa"/>
            <w:tcBorders>
              <w:top w:val="single" w:sz="4" w:space="0" w:color="000000"/>
              <w:left w:val="single" w:sz="4" w:space="0" w:color="000000"/>
              <w:bottom w:val="single" w:sz="4" w:space="0" w:color="000000"/>
              <w:right w:val="single" w:sz="4" w:space="0" w:color="000000"/>
            </w:tcBorders>
            <w:shd w:val="pct15" w:color="auto" w:fill="auto"/>
            <w:vAlign w:val="center"/>
          </w:tcPr>
          <w:p w:rsidR="00A966B3" w:rsidRPr="00A966B3" w:rsidRDefault="00A966B3" w:rsidP="00A966B3">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VA</w:t>
            </w:r>
            <w:r w:rsidRPr="00A966B3">
              <w:rPr>
                <w:rFonts w:asciiTheme="minorHAnsi" w:eastAsiaTheme="minorHAnsi" w:hAnsiTheme="minorHAnsi"/>
                <w:color w:val="000000" w:themeColor="text1"/>
                <w:sz w:val="18"/>
                <w:szCs w:val="18"/>
              </w:rPr>
              <w:t xml:space="preserve"> C&amp;P </w:t>
            </w:r>
            <w:r w:rsidRPr="00A966B3">
              <w:rPr>
                <w:rFonts w:asciiTheme="minorHAnsi" w:eastAsia="Calibri" w:hAnsiTheme="minorHAnsi"/>
                <w:color w:val="000000" w:themeColor="text1"/>
                <w:sz w:val="18"/>
                <w:szCs w:val="18"/>
              </w:rPr>
              <w:t>~ 6 Mo. Post-Sep</w:t>
            </w:r>
          </w:p>
        </w:tc>
      </w:tr>
      <w:tr w:rsidR="00A966B3" w:rsidRPr="001F29F9" w:rsidTr="00A966B3">
        <w:tc>
          <w:tcPr>
            <w:tcW w:w="1830" w:type="dxa"/>
            <w:tcBorders>
              <w:top w:val="single" w:sz="4" w:space="0" w:color="000000"/>
              <w:left w:val="single" w:sz="4" w:space="0" w:color="000000"/>
              <w:bottom w:val="single" w:sz="4" w:space="0" w:color="000000"/>
              <w:right w:val="single" w:sz="4" w:space="0" w:color="000000"/>
            </w:tcBorders>
            <w:vAlign w:val="center"/>
            <w:hideMark/>
          </w:tcPr>
          <w:p w:rsidR="00A966B3" w:rsidRPr="001F29F9" w:rsidRDefault="00A966B3" w:rsidP="0080464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775"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A966B3">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w:t>
            </w:r>
            <w:r w:rsidRPr="00A966B3">
              <w:rPr>
                <w:rFonts w:asciiTheme="minorHAnsi" w:eastAsia="Calibri" w:hAnsiTheme="minorHAnsi"/>
                <w:color w:val="000000" w:themeColor="text1"/>
                <w:sz w:val="18"/>
                <w:szCs w:val="18"/>
              </w:rPr>
              <w:t>⁰</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30⁰</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contextualSpacing/>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40⁰</w:t>
            </w:r>
          </w:p>
        </w:tc>
      </w:tr>
      <w:tr w:rsidR="00A966B3" w:rsidRPr="001F29F9" w:rsidTr="00A966B3">
        <w:tc>
          <w:tcPr>
            <w:tcW w:w="1830" w:type="dxa"/>
            <w:tcBorders>
              <w:top w:val="single" w:sz="4" w:space="0" w:color="000000"/>
              <w:left w:val="single" w:sz="4" w:space="0" w:color="000000"/>
              <w:bottom w:val="single" w:sz="4" w:space="0" w:color="000000"/>
              <w:right w:val="single" w:sz="4" w:space="0" w:color="000000"/>
            </w:tcBorders>
            <w:vAlign w:val="center"/>
            <w:hideMark/>
          </w:tcPr>
          <w:p w:rsidR="00A966B3" w:rsidRPr="001F29F9" w:rsidRDefault="00A966B3" w:rsidP="0080464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775"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A966B3">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240</w:t>
            </w:r>
            <w:r w:rsidRPr="00A966B3">
              <w:rPr>
                <w:rFonts w:eastAsia="Calibri" w:cstheme="minorHAnsi"/>
                <w:color w:val="000000" w:themeColor="text1"/>
                <w:sz w:val="18"/>
                <w:szCs w:val="18"/>
              </w:rPr>
              <w:t>⁰</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rPr>
                <w:rFonts w:asciiTheme="minorHAnsi" w:hAnsiTheme="minorHAnsi"/>
                <w:color w:val="000000" w:themeColor="text1"/>
                <w:sz w:val="18"/>
                <w:szCs w:val="18"/>
              </w:rPr>
            </w:pPr>
            <w:r w:rsidRPr="00A966B3">
              <w:rPr>
                <w:rFonts w:asciiTheme="minorHAnsi" w:eastAsia="Calibri" w:hAnsiTheme="minorHAnsi"/>
                <w:color w:val="000000" w:themeColor="text1"/>
                <w:sz w:val="18"/>
                <w:szCs w:val="18"/>
              </w:rPr>
              <w:t>Not measured</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rPr>
                <w:rFonts w:asciiTheme="minorHAnsi" w:eastAsia="Calibri" w:hAnsiTheme="minorHAnsi"/>
                <w:color w:val="000000" w:themeColor="text1"/>
                <w:sz w:val="18"/>
                <w:szCs w:val="18"/>
              </w:rPr>
            </w:pPr>
            <w:r w:rsidRPr="00A966B3">
              <w:rPr>
                <w:rFonts w:asciiTheme="minorHAnsi" w:eastAsia="Calibri" w:hAnsiTheme="minorHAnsi"/>
                <w:color w:val="000000" w:themeColor="text1"/>
                <w:sz w:val="18"/>
                <w:szCs w:val="18"/>
              </w:rPr>
              <w:t>150⁰</w:t>
            </w:r>
          </w:p>
        </w:tc>
      </w:tr>
      <w:tr w:rsidR="00A966B3" w:rsidRPr="001F29F9" w:rsidTr="00A966B3">
        <w:tc>
          <w:tcPr>
            <w:tcW w:w="1830" w:type="dxa"/>
            <w:tcBorders>
              <w:top w:val="single" w:sz="4" w:space="0" w:color="000000"/>
              <w:left w:val="single" w:sz="4" w:space="0" w:color="000000"/>
              <w:bottom w:val="single" w:sz="4" w:space="0" w:color="000000"/>
              <w:right w:val="single" w:sz="4" w:space="0" w:color="000000"/>
            </w:tcBorders>
            <w:vAlign w:val="center"/>
            <w:hideMark/>
          </w:tcPr>
          <w:p w:rsidR="00A966B3" w:rsidRPr="001F29F9" w:rsidRDefault="00A966B3" w:rsidP="0080464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1775"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r w:rsidRPr="00A966B3">
              <w:rPr>
                <w:rFonts w:asciiTheme="minorHAnsi" w:eastAsiaTheme="minorHAnsi" w:hAnsiTheme="minorHAnsi"/>
                <w:color w:val="000000" w:themeColor="text1"/>
                <w:sz w:val="18"/>
                <w:szCs w:val="18"/>
              </w:rPr>
              <w:t>SLR positive</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r w:rsidRPr="00A966B3">
              <w:rPr>
                <w:rFonts w:asciiTheme="minorHAnsi" w:eastAsiaTheme="minorHAnsi" w:hAnsiTheme="minorHAnsi"/>
                <w:color w:val="000000" w:themeColor="text1"/>
                <w:sz w:val="18"/>
                <w:szCs w:val="18"/>
              </w:rPr>
              <w:t>SLR negative, nl gait</w:t>
            </w:r>
          </w:p>
        </w:tc>
      </w:tr>
      <w:tr w:rsidR="00A966B3" w:rsidRPr="001F29F9" w:rsidTr="00A966B3">
        <w:tc>
          <w:tcPr>
            <w:tcW w:w="1830" w:type="dxa"/>
            <w:tcBorders>
              <w:top w:val="single" w:sz="4" w:space="0" w:color="000000"/>
              <w:left w:val="single" w:sz="4" w:space="0" w:color="000000"/>
              <w:bottom w:val="single" w:sz="4" w:space="0" w:color="000000"/>
              <w:right w:val="single" w:sz="4" w:space="0" w:color="000000"/>
            </w:tcBorders>
            <w:vAlign w:val="center"/>
            <w:hideMark/>
          </w:tcPr>
          <w:p w:rsidR="00A966B3" w:rsidRPr="001F29F9" w:rsidRDefault="00A966B3" w:rsidP="0080464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lastRenderedPageBreak/>
              <w:t>§4.71a Rating</w:t>
            </w:r>
          </w:p>
        </w:tc>
        <w:tc>
          <w:tcPr>
            <w:tcW w:w="1775"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r w:rsidRPr="00A966B3">
              <w:rPr>
                <w:rFonts w:asciiTheme="minorHAnsi" w:eastAsiaTheme="minorHAnsi" w:hAnsiTheme="minorHAnsi"/>
                <w:color w:val="000000" w:themeColor="text1"/>
                <w:sz w:val="18"/>
                <w:szCs w:val="18"/>
              </w:rPr>
              <w:t>20%</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r w:rsidRPr="00A966B3">
              <w:rPr>
                <w:rFonts w:asciiTheme="minorHAnsi" w:eastAsiaTheme="minorHAnsi" w:hAnsiTheme="minorHAnsi"/>
                <w:color w:val="000000" w:themeColor="text1"/>
                <w:sz w:val="18"/>
                <w:szCs w:val="18"/>
              </w:rPr>
              <w:t>40%</w:t>
            </w:r>
          </w:p>
        </w:tc>
        <w:tc>
          <w:tcPr>
            <w:tcW w:w="2064" w:type="dxa"/>
            <w:tcBorders>
              <w:top w:val="single" w:sz="4" w:space="0" w:color="000000"/>
              <w:left w:val="single" w:sz="4" w:space="0" w:color="000000"/>
              <w:bottom w:val="single" w:sz="4" w:space="0" w:color="000000"/>
              <w:right w:val="single" w:sz="4" w:space="0" w:color="000000"/>
            </w:tcBorders>
            <w:vAlign w:val="center"/>
          </w:tcPr>
          <w:p w:rsidR="00A966B3" w:rsidRPr="00A966B3" w:rsidRDefault="00A966B3" w:rsidP="00804646">
            <w:pPr>
              <w:tabs>
                <w:tab w:val="left" w:pos="288"/>
                <w:tab w:val="left" w:pos="4752"/>
              </w:tabs>
              <w:rPr>
                <w:rFonts w:asciiTheme="minorHAnsi" w:eastAsiaTheme="minorHAnsi" w:hAnsiTheme="minorHAnsi"/>
                <w:color w:val="000000" w:themeColor="text1"/>
                <w:sz w:val="18"/>
                <w:szCs w:val="18"/>
              </w:rPr>
            </w:pPr>
            <w:r w:rsidRPr="00A966B3">
              <w:rPr>
                <w:rFonts w:asciiTheme="minorHAnsi" w:eastAsiaTheme="minorHAnsi" w:hAnsiTheme="minorHAnsi"/>
                <w:color w:val="000000" w:themeColor="text1"/>
                <w:sz w:val="18"/>
                <w:szCs w:val="18"/>
              </w:rPr>
              <w:t>20%</w:t>
            </w:r>
          </w:p>
        </w:tc>
      </w:tr>
    </w:tbl>
    <w:p w:rsidR="006B5F90" w:rsidRDefault="006B5F90" w:rsidP="00BF0E94">
      <w:pPr>
        <w:jc w:val="left"/>
        <w:rPr>
          <w:rFonts w:eastAsia="HiddenHorzOCR"/>
          <w:color w:val="000000" w:themeColor="text1"/>
          <w:szCs w:val="24"/>
        </w:rPr>
      </w:pPr>
    </w:p>
    <w:p w:rsidR="00A966B3" w:rsidRDefault="00A966B3" w:rsidP="001A13CC">
      <w:pPr>
        <w:jc w:val="both"/>
        <w:rPr>
          <w:rFonts w:eastAsia="HiddenHorzOCR"/>
          <w:color w:val="000000" w:themeColor="text1"/>
          <w:szCs w:val="24"/>
        </w:rPr>
      </w:pPr>
    </w:p>
    <w:p w:rsidR="00A966B3" w:rsidRDefault="00A966B3" w:rsidP="001A13CC">
      <w:pPr>
        <w:jc w:val="both"/>
        <w:rPr>
          <w:rFonts w:eastAsia="HiddenHorzOCR"/>
          <w:color w:val="000000" w:themeColor="text1"/>
          <w:szCs w:val="24"/>
        </w:rPr>
      </w:pPr>
    </w:p>
    <w:p w:rsidR="00A966B3" w:rsidRDefault="00A966B3" w:rsidP="001A13CC">
      <w:pPr>
        <w:jc w:val="both"/>
        <w:rPr>
          <w:rFonts w:eastAsia="HiddenHorzOCR"/>
          <w:color w:val="000000" w:themeColor="text1"/>
          <w:szCs w:val="24"/>
        </w:rPr>
      </w:pPr>
    </w:p>
    <w:p w:rsidR="00A966B3" w:rsidRDefault="00A966B3" w:rsidP="001A13CC">
      <w:pPr>
        <w:jc w:val="both"/>
        <w:rPr>
          <w:rFonts w:eastAsia="HiddenHorzOCR"/>
          <w:color w:val="000000" w:themeColor="text1"/>
          <w:szCs w:val="24"/>
        </w:rPr>
      </w:pPr>
    </w:p>
    <w:p w:rsidR="00A966B3" w:rsidRDefault="00A966B3" w:rsidP="001A13CC">
      <w:pPr>
        <w:jc w:val="both"/>
        <w:rPr>
          <w:rFonts w:eastAsia="HiddenHorzOCR"/>
          <w:color w:val="000000" w:themeColor="text1"/>
          <w:szCs w:val="24"/>
        </w:rPr>
      </w:pPr>
    </w:p>
    <w:p w:rsidR="00A966B3" w:rsidRDefault="00A966B3" w:rsidP="001A13CC">
      <w:pPr>
        <w:jc w:val="both"/>
        <w:rPr>
          <w:rFonts w:eastAsia="HiddenHorzOCR"/>
          <w:color w:val="000000" w:themeColor="text1"/>
          <w:szCs w:val="24"/>
        </w:rPr>
      </w:pPr>
    </w:p>
    <w:p w:rsidR="004E48A5" w:rsidRDefault="006B5F90" w:rsidP="001A13CC">
      <w:pPr>
        <w:jc w:val="both"/>
        <w:rPr>
          <w:rFonts w:eastAsia="HiddenHorzOCR"/>
          <w:color w:val="000000" w:themeColor="text1"/>
          <w:szCs w:val="24"/>
        </w:rPr>
      </w:pPr>
      <w:r>
        <w:rPr>
          <w:rFonts w:eastAsia="HiddenHorzOCR"/>
          <w:color w:val="000000" w:themeColor="text1"/>
          <w:szCs w:val="24"/>
        </w:rPr>
        <w:t>The narrative summary</w:t>
      </w:r>
      <w:r w:rsidRPr="006B5F90">
        <w:rPr>
          <w:rFonts w:eastAsia="HiddenHorzOCR"/>
          <w:color w:val="000000" w:themeColor="text1"/>
          <w:szCs w:val="24"/>
        </w:rPr>
        <w:t xml:space="preserve"> </w:t>
      </w:r>
      <w:r w:rsidR="00D36D4E">
        <w:rPr>
          <w:rFonts w:eastAsia="HiddenHorzOCR"/>
          <w:color w:val="000000" w:themeColor="text1"/>
          <w:szCs w:val="24"/>
        </w:rPr>
        <w:t>(NARSUM)</w:t>
      </w:r>
      <w:r w:rsidR="0040243C">
        <w:rPr>
          <w:rFonts w:eastAsia="HiddenHorzOCR"/>
          <w:color w:val="000000" w:themeColor="text1"/>
          <w:szCs w:val="24"/>
        </w:rPr>
        <w:t xml:space="preserve"> completed for the MEB</w:t>
      </w:r>
      <w:r w:rsidR="00D36D4E">
        <w:rPr>
          <w:rFonts w:eastAsia="HiddenHorzOCR"/>
          <w:color w:val="000000" w:themeColor="text1"/>
          <w:szCs w:val="24"/>
        </w:rPr>
        <w:t xml:space="preserve"> historically documented </w:t>
      </w:r>
      <w:r w:rsidR="0040243C">
        <w:rPr>
          <w:rFonts w:eastAsia="HiddenHorzOCR"/>
          <w:color w:val="000000" w:themeColor="text1"/>
          <w:szCs w:val="24"/>
        </w:rPr>
        <w:t xml:space="preserve">the CI’s </w:t>
      </w:r>
      <w:r w:rsidR="00D36D4E">
        <w:rPr>
          <w:rFonts w:eastAsia="HiddenHorzOCR"/>
          <w:color w:val="000000" w:themeColor="text1"/>
          <w:szCs w:val="24"/>
        </w:rPr>
        <w:t xml:space="preserve">pain </w:t>
      </w:r>
      <w:r w:rsidR="0040243C">
        <w:rPr>
          <w:rFonts w:eastAsia="HiddenHorzOCR"/>
          <w:color w:val="000000" w:themeColor="text1"/>
          <w:szCs w:val="24"/>
        </w:rPr>
        <w:t>began</w:t>
      </w:r>
      <w:r w:rsidR="00D36D4E">
        <w:rPr>
          <w:rFonts w:eastAsia="HiddenHorzOCR"/>
          <w:color w:val="000000" w:themeColor="text1"/>
          <w:szCs w:val="24"/>
        </w:rPr>
        <w:t xml:space="preserve"> </w:t>
      </w:r>
      <w:r w:rsidR="0040243C">
        <w:rPr>
          <w:rFonts w:eastAsia="HiddenHorzOCR"/>
          <w:color w:val="000000" w:themeColor="text1"/>
          <w:szCs w:val="24"/>
        </w:rPr>
        <w:t>in t</w:t>
      </w:r>
      <w:r w:rsidR="0040243C" w:rsidRPr="00825CF2">
        <w:rPr>
          <w:rFonts w:asciiTheme="minorHAnsi" w:eastAsia="HiddenHorzOCR" w:hAnsiTheme="minorHAnsi"/>
          <w:color w:val="000000" w:themeColor="text1"/>
          <w:szCs w:val="24"/>
        </w:rPr>
        <w:t xml:space="preserve">he </w:t>
      </w:r>
      <w:r w:rsidR="00D36D4E" w:rsidRPr="00825CF2">
        <w:rPr>
          <w:rFonts w:asciiTheme="minorHAnsi" w:eastAsia="HiddenHorzOCR" w:hAnsiTheme="minorHAnsi"/>
          <w:color w:val="000000" w:themeColor="text1"/>
          <w:szCs w:val="24"/>
        </w:rPr>
        <w:t xml:space="preserve">back of her legs upon waking up in the morning, progressed to her low back then moved to her right upper thigh with increasing pain with standing greater than 10 minutes.  The pain was not characterized with a pain scale </w:t>
      </w:r>
      <w:r w:rsidR="00D835AE" w:rsidRPr="00825CF2">
        <w:rPr>
          <w:rFonts w:asciiTheme="minorHAnsi" w:eastAsia="HiddenHorzOCR" w:hAnsiTheme="minorHAnsi"/>
          <w:color w:val="000000" w:themeColor="text1"/>
          <w:szCs w:val="24"/>
        </w:rPr>
        <w:t xml:space="preserve">yet her pain medications reflected a broad range of therapy to include a nonsteriodal (Naprosyn), a narcotic (Vicodin) and </w:t>
      </w:r>
      <w:hyperlink r:id="rId8" w:tooltip="Serotonin-norepinephrine reuptake inhibitor" w:history="1">
        <w:r w:rsidR="00D835AE" w:rsidRPr="00825CF2">
          <w:rPr>
            <w:rStyle w:val="Hyperlink"/>
            <w:rFonts w:asciiTheme="minorHAnsi" w:eastAsia="HiddenHorzOCR" w:hAnsiTheme="minorHAnsi"/>
            <w:color w:val="auto"/>
            <w:szCs w:val="24"/>
            <w:u w:val="none"/>
          </w:rPr>
          <w:t>serotonin-norepinephrine reuptake inhibitor</w:t>
        </w:r>
      </w:hyperlink>
      <w:r w:rsidR="00D835AE" w:rsidRPr="00825CF2">
        <w:rPr>
          <w:rFonts w:asciiTheme="minorHAnsi" w:eastAsia="HiddenHorzOCR" w:hAnsiTheme="minorHAnsi"/>
          <w:color w:val="000000" w:themeColor="text1"/>
          <w:szCs w:val="24"/>
        </w:rPr>
        <w:t xml:space="preserve"> (SNRI, Duloxetine) which is used for radicular neuropathic conditions and for mental health conditions.  The physical </w:t>
      </w:r>
      <w:r w:rsidR="0040243C" w:rsidRPr="00825CF2">
        <w:rPr>
          <w:rFonts w:asciiTheme="minorHAnsi" w:eastAsia="HiddenHorzOCR" w:hAnsiTheme="minorHAnsi"/>
          <w:color w:val="000000" w:themeColor="text1"/>
          <w:szCs w:val="24"/>
        </w:rPr>
        <w:t xml:space="preserve">exam findings demonstrated diffuse tenderness in the lumbar region over the right sacroiliac joint with flexion of 50 to 60 degrees and referenced the physical therapy full ROM exam annotated in the chart above.  The examiner did not comment on </w:t>
      </w:r>
      <w:r w:rsidR="009832CD">
        <w:rPr>
          <w:rFonts w:asciiTheme="minorHAnsi" w:eastAsia="HiddenHorzOCR" w:hAnsiTheme="minorHAnsi"/>
          <w:color w:val="000000" w:themeColor="text1"/>
          <w:szCs w:val="24"/>
        </w:rPr>
        <w:t xml:space="preserve">neurologic exam, </w:t>
      </w:r>
      <w:r w:rsidR="0040243C" w:rsidRPr="00825CF2">
        <w:rPr>
          <w:rFonts w:asciiTheme="minorHAnsi" w:eastAsia="HiddenHorzOCR" w:hAnsiTheme="minorHAnsi"/>
          <w:color w:val="000000" w:themeColor="text1"/>
          <w:szCs w:val="24"/>
        </w:rPr>
        <w:t xml:space="preserve">spine contour, spasm </w:t>
      </w:r>
      <w:r w:rsidR="00166D62" w:rsidRPr="00825CF2">
        <w:rPr>
          <w:rFonts w:asciiTheme="minorHAnsi" w:eastAsia="HiddenHorzOCR" w:hAnsiTheme="minorHAnsi"/>
          <w:color w:val="000000" w:themeColor="text1"/>
          <w:szCs w:val="24"/>
        </w:rPr>
        <w:t>or</w:t>
      </w:r>
      <w:r w:rsidR="0040243C" w:rsidRPr="00825CF2">
        <w:rPr>
          <w:rFonts w:asciiTheme="minorHAnsi" w:eastAsia="HiddenHorzOCR" w:hAnsiTheme="minorHAnsi"/>
          <w:color w:val="000000" w:themeColor="text1"/>
          <w:szCs w:val="24"/>
        </w:rPr>
        <w:t xml:space="preserve"> gait.</w:t>
      </w:r>
      <w:r w:rsidR="00E25A98" w:rsidRPr="00825CF2">
        <w:rPr>
          <w:rFonts w:asciiTheme="minorHAnsi" w:eastAsia="HiddenHorzOCR" w:hAnsiTheme="minorHAnsi"/>
          <w:color w:val="000000" w:themeColor="text1"/>
          <w:szCs w:val="24"/>
        </w:rPr>
        <w:t xml:space="preserve">  In the DD </w:t>
      </w:r>
      <w:r w:rsidR="004E48A5">
        <w:rPr>
          <w:rFonts w:asciiTheme="minorHAnsi" w:eastAsia="HiddenHorzOCR" w:hAnsiTheme="minorHAnsi"/>
          <w:color w:val="000000" w:themeColor="text1"/>
          <w:szCs w:val="24"/>
        </w:rPr>
        <w:t xml:space="preserve">Form </w:t>
      </w:r>
      <w:r w:rsidR="00E25A98" w:rsidRPr="00825CF2">
        <w:rPr>
          <w:rFonts w:asciiTheme="minorHAnsi" w:eastAsia="HiddenHorzOCR" w:hAnsiTheme="minorHAnsi"/>
          <w:color w:val="000000" w:themeColor="text1"/>
          <w:szCs w:val="24"/>
        </w:rPr>
        <w:t>2807</w:t>
      </w:r>
      <w:r w:rsidR="00345CD3">
        <w:rPr>
          <w:rFonts w:asciiTheme="minorHAnsi" w:eastAsia="HiddenHorzOCR" w:hAnsiTheme="minorHAnsi"/>
          <w:color w:val="000000" w:themeColor="text1"/>
          <w:szCs w:val="24"/>
        </w:rPr>
        <w:t>,</w:t>
      </w:r>
      <w:r w:rsidR="00E25A98" w:rsidRPr="00825CF2">
        <w:rPr>
          <w:rFonts w:asciiTheme="minorHAnsi" w:eastAsia="HiddenHorzOCR" w:hAnsiTheme="minorHAnsi"/>
          <w:color w:val="000000" w:themeColor="text1"/>
          <w:szCs w:val="24"/>
        </w:rPr>
        <w:t xml:space="preserve"> the examiner documented a </w:t>
      </w:r>
      <w:r w:rsidR="00166D62">
        <w:rPr>
          <w:rFonts w:asciiTheme="minorHAnsi" w:eastAsia="HiddenHorzOCR" w:hAnsiTheme="minorHAnsi"/>
          <w:color w:val="000000" w:themeColor="text1"/>
          <w:szCs w:val="24"/>
        </w:rPr>
        <w:t>rein</w:t>
      </w:r>
      <w:r w:rsidR="00166D62" w:rsidRPr="00825CF2">
        <w:rPr>
          <w:rFonts w:asciiTheme="minorHAnsi" w:eastAsia="HiddenHorzOCR" w:hAnsiTheme="minorHAnsi"/>
          <w:color w:val="000000" w:themeColor="text1"/>
          <w:szCs w:val="24"/>
        </w:rPr>
        <w:t>jury</w:t>
      </w:r>
      <w:r w:rsidR="00E25A98" w:rsidRPr="00825CF2">
        <w:rPr>
          <w:rFonts w:asciiTheme="minorHAnsi" w:eastAsia="HiddenHorzOCR" w:hAnsiTheme="minorHAnsi"/>
          <w:color w:val="000000" w:themeColor="text1"/>
          <w:szCs w:val="24"/>
        </w:rPr>
        <w:t xml:space="preserve"> of the back after surgery from a </w:t>
      </w:r>
      <w:r w:rsidR="00166D62" w:rsidRPr="00825CF2">
        <w:rPr>
          <w:rFonts w:asciiTheme="minorHAnsi" w:eastAsia="HiddenHorzOCR" w:hAnsiTheme="minorHAnsi"/>
          <w:color w:val="000000" w:themeColor="text1"/>
          <w:szCs w:val="24"/>
        </w:rPr>
        <w:t>rappelling</w:t>
      </w:r>
      <w:r w:rsidR="00E25A98" w:rsidRPr="00825CF2">
        <w:rPr>
          <w:rFonts w:asciiTheme="minorHAnsi" w:eastAsia="HiddenHorzOCR" w:hAnsiTheme="minorHAnsi"/>
          <w:color w:val="000000" w:themeColor="text1"/>
          <w:szCs w:val="24"/>
        </w:rPr>
        <w:t xml:space="preserve"> incident yet there </w:t>
      </w:r>
      <w:r w:rsidR="00825CF2" w:rsidRPr="00825CF2">
        <w:rPr>
          <w:rFonts w:asciiTheme="minorHAnsi" w:eastAsia="HiddenHorzOCR" w:hAnsiTheme="minorHAnsi"/>
          <w:color w:val="000000" w:themeColor="text1"/>
          <w:szCs w:val="24"/>
        </w:rPr>
        <w:t>was no evidence in the</w:t>
      </w:r>
      <w:r w:rsidR="00E25A98" w:rsidRPr="00825CF2">
        <w:rPr>
          <w:rFonts w:asciiTheme="minorHAnsi" w:eastAsia="HiddenHorzOCR" w:hAnsiTheme="minorHAnsi"/>
          <w:color w:val="000000" w:themeColor="text1"/>
          <w:szCs w:val="24"/>
        </w:rPr>
        <w:t xml:space="preserve"> service treatment records (STR) to reflect seeking care for this incident.</w:t>
      </w:r>
      <w:r w:rsidR="009832CD">
        <w:rPr>
          <w:rFonts w:asciiTheme="minorHAnsi" w:eastAsia="HiddenHorzOCR" w:hAnsiTheme="minorHAnsi"/>
          <w:color w:val="000000" w:themeColor="text1"/>
          <w:szCs w:val="24"/>
        </w:rPr>
        <w:t xml:space="preserve">  </w:t>
      </w:r>
      <w:r w:rsidR="00E25A98" w:rsidRPr="00825CF2">
        <w:rPr>
          <w:rFonts w:asciiTheme="minorHAnsi" w:eastAsia="HiddenHorzOCR" w:hAnsiTheme="minorHAnsi"/>
          <w:color w:val="000000" w:themeColor="text1"/>
          <w:szCs w:val="24"/>
        </w:rPr>
        <w:t xml:space="preserve">Additional ROMs evident in the STR include </w:t>
      </w:r>
      <w:r w:rsidR="00B61034" w:rsidRPr="00825CF2">
        <w:rPr>
          <w:rFonts w:asciiTheme="minorHAnsi" w:eastAsia="HiddenHorzOCR" w:hAnsiTheme="minorHAnsi"/>
          <w:color w:val="000000" w:themeColor="text1"/>
          <w:szCs w:val="24"/>
        </w:rPr>
        <w:t xml:space="preserve">physical therapy </w:t>
      </w:r>
      <w:r w:rsidR="00E25A98" w:rsidRPr="00825CF2">
        <w:rPr>
          <w:rFonts w:asciiTheme="minorHAnsi" w:eastAsia="HiddenHorzOCR" w:hAnsiTheme="minorHAnsi"/>
          <w:color w:val="000000" w:themeColor="text1"/>
          <w:szCs w:val="24"/>
        </w:rPr>
        <w:t>entries 2 months after surgery which demonstrated full active ROMs</w:t>
      </w:r>
      <w:r w:rsidR="00B61034" w:rsidRPr="00825CF2">
        <w:rPr>
          <w:rFonts w:asciiTheme="minorHAnsi" w:eastAsia="HiddenHorzOCR" w:hAnsiTheme="minorHAnsi"/>
          <w:color w:val="000000" w:themeColor="text1"/>
          <w:szCs w:val="24"/>
        </w:rPr>
        <w:t xml:space="preserve">, </w:t>
      </w:r>
      <w:r w:rsidR="00E25A98" w:rsidRPr="00825CF2">
        <w:rPr>
          <w:rFonts w:asciiTheme="minorHAnsi" w:eastAsia="HiddenHorzOCR" w:hAnsiTheme="minorHAnsi"/>
          <w:color w:val="000000" w:themeColor="text1"/>
          <w:szCs w:val="24"/>
        </w:rPr>
        <w:t xml:space="preserve">and </w:t>
      </w:r>
      <w:r w:rsidR="00825CF2" w:rsidRPr="00825CF2">
        <w:rPr>
          <w:rFonts w:asciiTheme="minorHAnsi" w:eastAsia="HiddenHorzOCR" w:hAnsiTheme="minorHAnsi"/>
          <w:color w:val="000000" w:themeColor="text1"/>
          <w:szCs w:val="24"/>
        </w:rPr>
        <w:t xml:space="preserve">3 months after surgery </w:t>
      </w:r>
      <w:r w:rsidR="00A966B3">
        <w:rPr>
          <w:rFonts w:asciiTheme="minorHAnsi" w:eastAsia="HiddenHorzOCR" w:hAnsiTheme="minorHAnsi"/>
          <w:color w:val="000000" w:themeColor="text1"/>
          <w:szCs w:val="24"/>
        </w:rPr>
        <w:t xml:space="preserve">which </w:t>
      </w:r>
      <w:r w:rsidR="00825CF2" w:rsidRPr="00825CF2">
        <w:rPr>
          <w:rFonts w:asciiTheme="minorHAnsi" w:eastAsia="HiddenHorzOCR" w:hAnsiTheme="minorHAnsi"/>
          <w:color w:val="000000" w:themeColor="text1"/>
          <w:szCs w:val="24"/>
        </w:rPr>
        <w:t>demonstrated</w:t>
      </w:r>
      <w:r w:rsidR="00A966B3">
        <w:rPr>
          <w:rFonts w:asciiTheme="minorHAnsi" w:eastAsia="HiddenHorzOCR" w:hAnsiTheme="minorHAnsi"/>
          <w:color w:val="000000" w:themeColor="text1"/>
          <w:szCs w:val="24"/>
        </w:rPr>
        <w:t xml:space="preserve"> a </w:t>
      </w:r>
      <w:r w:rsidR="00B61034" w:rsidRPr="00825CF2">
        <w:rPr>
          <w:rFonts w:asciiTheme="minorHAnsi" w:eastAsia="HiddenHorzOCR" w:hAnsiTheme="minorHAnsi"/>
          <w:color w:val="000000" w:themeColor="text1"/>
          <w:szCs w:val="24"/>
        </w:rPr>
        <w:t xml:space="preserve">normal gait </w:t>
      </w:r>
      <w:r w:rsidR="00825CF2" w:rsidRPr="00825CF2">
        <w:rPr>
          <w:rFonts w:asciiTheme="minorHAnsi" w:eastAsia="HiddenHorzOCR" w:hAnsiTheme="minorHAnsi"/>
          <w:color w:val="000000" w:themeColor="text1"/>
          <w:szCs w:val="24"/>
        </w:rPr>
        <w:t xml:space="preserve">and </w:t>
      </w:r>
      <w:r w:rsidR="00B61034" w:rsidRPr="00825CF2">
        <w:rPr>
          <w:rFonts w:asciiTheme="minorHAnsi" w:eastAsia="HiddenHorzOCR" w:hAnsiTheme="minorHAnsi"/>
          <w:color w:val="000000" w:themeColor="text1"/>
          <w:szCs w:val="24"/>
        </w:rPr>
        <w:t>poor posture</w:t>
      </w:r>
      <w:r w:rsidR="00825CF2" w:rsidRPr="00825CF2">
        <w:rPr>
          <w:rFonts w:asciiTheme="minorHAnsi" w:eastAsia="HiddenHorzOCR" w:hAnsiTheme="minorHAnsi"/>
          <w:color w:val="000000" w:themeColor="text1"/>
          <w:szCs w:val="24"/>
        </w:rPr>
        <w:t xml:space="preserve"> </w:t>
      </w:r>
      <w:r w:rsidR="00825CF2">
        <w:rPr>
          <w:rFonts w:asciiTheme="minorHAnsi" w:eastAsia="HiddenHorzOCR" w:hAnsiTheme="minorHAnsi"/>
          <w:color w:val="000000" w:themeColor="text1"/>
          <w:szCs w:val="24"/>
        </w:rPr>
        <w:t xml:space="preserve">which </w:t>
      </w:r>
      <w:r w:rsidR="00825CF2" w:rsidRPr="00825CF2">
        <w:rPr>
          <w:rFonts w:asciiTheme="minorHAnsi" w:eastAsia="HiddenHorzOCR" w:hAnsiTheme="minorHAnsi"/>
          <w:color w:val="000000" w:themeColor="text1"/>
          <w:szCs w:val="24"/>
        </w:rPr>
        <w:t>likely contributed to her symptoms</w:t>
      </w:r>
      <w:r w:rsidR="00A966B3">
        <w:rPr>
          <w:rFonts w:asciiTheme="minorHAnsi" w:eastAsia="HiddenHorzOCR" w:hAnsiTheme="minorHAnsi"/>
          <w:color w:val="000000" w:themeColor="text1"/>
          <w:szCs w:val="24"/>
        </w:rPr>
        <w:t>.  Her pain scale then was documented a</w:t>
      </w:r>
      <w:r w:rsidR="004E48A5">
        <w:rPr>
          <w:rFonts w:asciiTheme="minorHAnsi" w:eastAsia="HiddenHorzOCR" w:hAnsiTheme="minorHAnsi"/>
          <w:color w:val="000000" w:themeColor="text1"/>
          <w:szCs w:val="24"/>
        </w:rPr>
        <w:t xml:space="preserve"> 5/</w:t>
      </w:r>
      <w:r w:rsidR="00825CF2" w:rsidRPr="00825CF2">
        <w:rPr>
          <w:rFonts w:asciiTheme="minorHAnsi" w:eastAsia="HiddenHorzOCR" w:hAnsiTheme="minorHAnsi"/>
          <w:color w:val="000000" w:themeColor="text1"/>
          <w:szCs w:val="24"/>
        </w:rPr>
        <w:t>10 with 10 being the worst.</w:t>
      </w:r>
      <w:r w:rsidR="00825CF2">
        <w:rPr>
          <w:rFonts w:asciiTheme="minorHAnsi" w:eastAsia="HiddenHorzOCR" w:hAnsiTheme="minorHAnsi"/>
          <w:color w:val="000000" w:themeColor="text1"/>
          <w:szCs w:val="24"/>
        </w:rPr>
        <w:t xml:space="preserve"> </w:t>
      </w:r>
      <w:r w:rsidR="00A966B3">
        <w:rPr>
          <w:rFonts w:asciiTheme="minorHAnsi" w:eastAsia="HiddenHorzOCR" w:hAnsiTheme="minorHAnsi"/>
          <w:color w:val="000000" w:themeColor="text1"/>
          <w:szCs w:val="24"/>
        </w:rPr>
        <w:t xml:space="preserve"> </w:t>
      </w:r>
      <w:r w:rsidR="00825CF2">
        <w:rPr>
          <w:rFonts w:asciiTheme="minorHAnsi" w:eastAsia="HiddenHorzOCR" w:hAnsiTheme="minorHAnsi"/>
          <w:color w:val="000000" w:themeColor="text1"/>
          <w:szCs w:val="24"/>
        </w:rPr>
        <w:t xml:space="preserve">The </w:t>
      </w:r>
      <w:r w:rsidR="00A6343F" w:rsidRPr="00A6343F">
        <w:rPr>
          <w:rFonts w:eastAsia="HiddenHorzOCR"/>
          <w:color w:val="000000" w:themeColor="text1"/>
          <w:szCs w:val="24"/>
        </w:rPr>
        <w:t xml:space="preserve">VA </w:t>
      </w:r>
      <w:r w:rsidR="001A13CC">
        <w:rPr>
          <w:rFonts w:eastAsia="HiddenHorzOCR"/>
          <w:color w:val="000000" w:themeColor="text1"/>
          <w:szCs w:val="24"/>
        </w:rPr>
        <w:t xml:space="preserve">Compensation </w:t>
      </w:r>
      <w:r w:rsidR="004E48A5">
        <w:rPr>
          <w:rFonts w:eastAsia="HiddenHorzOCR"/>
          <w:color w:val="000000" w:themeColor="text1"/>
          <w:szCs w:val="24"/>
        </w:rPr>
        <w:t>and</w:t>
      </w:r>
      <w:r w:rsidR="001A13CC">
        <w:rPr>
          <w:rFonts w:eastAsia="HiddenHorzOCR"/>
          <w:color w:val="000000" w:themeColor="text1"/>
          <w:szCs w:val="24"/>
        </w:rPr>
        <w:t xml:space="preserve"> Pension (C&amp;P) </w:t>
      </w:r>
      <w:r w:rsidR="00A966B3">
        <w:rPr>
          <w:rFonts w:eastAsia="HiddenHorzOCR"/>
          <w:color w:val="000000" w:themeColor="text1"/>
          <w:szCs w:val="24"/>
        </w:rPr>
        <w:t xml:space="preserve">exam </w:t>
      </w:r>
      <w:r w:rsidR="001A13CC">
        <w:rPr>
          <w:rFonts w:eastAsia="HiddenHorzOCR"/>
          <w:color w:val="000000" w:themeColor="text1"/>
          <w:szCs w:val="24"/>
        </w:rPr>
        <w:t>historically documented no additional history and specifically only labeled the weightlifting as the primary incident leading to her back condition</w:t>
      </w:r>
      <w:r w:rsidR="00E80F43">
        <w:rPr>
          <w:rFonts w:eastAsia="HiddenHorzOCR"/>
          <w:color w:val="000000" w:themeColor="text1"/>
          <w:szCs w:val="24"/>
        </w:rPr>
        <w:t xml:space="preserve">. </w:t>
      </w:r>
      <w:r w:rsidR="00B55363">
        <w:rPr>
          <w:rFonts w:eastAsia="HiddenHorzOCR"/>
          <w:color w:val="000000" w:themeColor="text1"/>
          <w:szCs w:val="24"/>
        </w:rPr>
        <w:t xml:space="preserve"> </w:t>
      </w:r>
    </w:p>
    <w:p w:rsidR="004E48A5" w:rsidRDefault="004E48A5" w:rsidP="001A13CC">
      <w:pPr>
        <w:jc w:val="both"/>
        <w:rPr>
          <w:rFonts w:eastAsia="HiddenHorzOCR"/>
          <w:color w:val="000000" w:themeColor="text1"/>
          <w:szCs w:val="24"/>
        </w:rPr>
      </w:pPr>
    </w:p>
    <w:p w:rsidR="00135331" w:rsidRDefault="001A13CC" w:rsidP="001A13CC">
      <w:pPr>
        <w:jc w:val="both"/>
        <w:rPr>
          <w:rFonts w:eastAsia="HiddenHorzOCR"/>
          <w:color w:val="000000" w:themeColor="text1"/>
          <w:szCs w:val="24"/>
        </w:rPr>
      </w:pPr>
      <w:r>
        <w:rPr>
          <w:rFonts w:eastAsia="HiddenHorzOCR"/>
          <w:color w:val="000000" w:themeColor="text1"/>
          <w:szCs w:val="24"/>
        </w:rPr>
        <w:t>Symptomatically the examiner documented daily medication use to include Naprosyn and Duloxetine but did not document any characteristics of her pain.  The physical exam findings included; s</w:t>
      </w:r>
      <w:r w:rsidR="00135331">
        <w:rPr>
          <w:rFonts w:eastAsia="HiddenHorzOCR"/>
          <w:color w:val="000000" w:themeColor="text1"/>
          <w:szCs w:val="24"/>
        </w:rPr>
        <w:t>tiff back</w:t>
      </w:r>
      <w:r>
        <w:rPr>
          <w:rFonts w:eastAsia="HiddenHorzOCR"/>
          <w:color w:val="000000" w:themeColor="text1"/>
          <w:szCs w:val="24"/>
        </w:rPr>
        <w:t xml:space="preserve"> which was </w:t>
      </w:r>
      <w:r w:rsidR="00135331">
        <w:rPr>
          <w:rFonts w:eastAsia="HiddenHorzOCR"/>
          <w:color w:val="000000" w:themeColor="text1"/>
          <w:szCs w:val="24"/>
        </w:rPr>
        <w:t>tilted forward to the pelvis approximately 3 degrees</w:t>
      </w:r>
      <w:r w:rsidR="005F42BA">
        <w:rPr>
          <w:rFonts w:eastAsia="HiddenHorzOCR"/>
          <w:color w:val="000000" w:themeColor="text1"/>
          <w:szCs w:val="24"/>
        </w:rPr>
        <w:t>,</w:t>
      </w:r>
      <w:r w:rsidR="00B55363">
        <w:rPr>
          <w:rFonts w:eastAsia="HiddenHorzOCR"/>
          <w:color w:val="000000" w:themeColor="text1"/>
          <w:szCs w:val="24"/>
        </w:rPr>
        <w:t xml:space="preserve"> inability to twist at the waist,</w:t>
      </w:r>
      <w:r>
        <w:rPr>
          <w:rFonts w:eastAsia="HiddenHorzOCR"/>
          <w:color w:val="000000" w:themeColor="text1"/>
          <w:szCs w:val="24"/>
        </w:rPr>
        <w:t xml:space="preserve"> a straight leg</w:t>
      </w:r>
      <w:r w:rsidR="00B55363">
        <w:rPr>
          <w:rFonts w:eastAsia="HiddenHorzOCR"/>
          <w:color w:val="000000" w:themeColor="text1"/>
          <w:szCs w:val="24"/>
        </w:rPr>
        <w:t xml:space="preserve"> positive at 50 degrees bilaterally with pain in the low back</w:t>
      </w:r>
      <w:r>
        <w:rPr>
          <w:rFonts w:eastAsia="HiddenHorzOCR"/>
          <w:color w:val="000000" w:themeColor="text1"/>
          <w:szCs w:val="24"/>
        </w:rPr>
        <w:t xml:space="preserve">, a normal </w:t>
      </w:r>
      <w:r w:rsidR="005F42BA">
        <w:rPr>
          <w:rFonts w:eastAsia="HiddenHorzOCR"/>
          <w:color w:val="000000" w:themeColor="text1"/>
          <w:szCs w:val="24"/>
        </w:rPr>
        <w:t>neuro</w:t>
      </w:r>
      <w:r>
        <w:rPr>
          <w:rFonts w:eastAsia="HiddenHorzOCR"/>
          <w:color w:val="000000" w:themeColor="text1"/>
          <w:szCs w:val="24"/>
        </w:rPr>
        <w:t>logic exam and opined her</w:t>
      </w:r>
      <w:r w:rsidR="009832CD">
        <w:rPr>
          <w:rFonts w:eastAsia="HiddenHorzOCR"/>
          <w:color w:val="000000" w:themeColor="text1"/>
          <w:szCs w:val="24"/>
        </w:rPr>
        <w:t xml:space="preserve"> back condition “appears to give</w:t>
      </w:r>
      <w:r>
        <w:rPr>
          <w:rFonts w:eastAsia="HiddenHorzOCR"/>
          <w:color w:val="000000" w:themeColor="text1"/>
          <w:szCs w:val="24"/>
        </w:rPr>
        <w:t xml:space="preserve"> her a </w:t>
      </w:r>
      <w:r w:rsidR="005F42BA">
        <w:rPr>
          <w:rFonts w:eastAsia="HiddenHorzOCR"/>
          <w:color w:val="000000" w:themeColor="text1"/>
          <w:szCs w:val="24"/>
        </w:rPr>
        <w:t>moderate</w:t>
      </w:r>
      <w:r>
        <w:rPr>
          <w:rFonts w:eastAsia="HiddenHorzOCR"/>
          <w:color w:val="000000" w:themeColor="text1"/>
          <w:szCs w:val="24"/>
        </w:rPr>
        <w:t xml:space="preserve"> amount of physical</w:t>
      </w:r>
      <w:r w:rsidR="005F42BA">
        <w:rPr>
          <w:rFonts w:eastAsia="HiddenHorzOCR"/>
          <w:color w:val="000000" w:themeColor="text1"/>
          <w:szCs w:val="24"/>
        </w:rPr>
        <w:t xml:space="preserve"> </w:t>
      </w:r>
      <w:r>
        <w:rPr>
          <w:rFonts w:eastAsia="HiddenHorzOCR"/>
          <w:color w:val="000000" w:themeColor="text1"/>
          <w:szCs w:val="24"/>
        </w:rPr>
        <w:t>impairment</w:t>
      </w:r>
      <w:r w:rsidR="004E48A5">
        <w:rPr>
          <w:rFonts w:eastAsia="HiddenHorzOCR"/>
          <w:color w:val="000000" w:themeColor="text1"/>
          <w:szCs w:val="24"/>
        </w:rPr>
        <w:t>.</w:t>
      </w:r>
      <w:r w:rsidR="009832CD">
        <w:rPr>
          <w:rFonts w:eastAsia="HiddenHorzOCR"/>
          <w:color w:val="000000" w:themeColor="text1"/>
          <w:szCs w:val="24"/>
        </w:rPr>
        <w:t>”</w:t>
      </w:r>
      <w:r w:rsidR="00B55363">
        <w:rPr>
          <w:rFonts w:eastAsia="HiddenHorzOCR"/>
          <w:color w:val="000000" w:themeColor="text1"/>
          <w:szCs w:val="24"/>
        </w:rPr>
        <w:t xml:space="preserve">  The examiner did not document exam findings regarding spine contour, spasm nor gait.  Review of the records up to 12 months after release from active duty reflected a </w:t>
      </w:r>
      <w:r w:rsidR="00166D62">
        <w:rPr>
          <w:rFonts w:eastAsia="HiddenHorzOCR"/>
          <w:color w:val="000000" w:themeColor="text1"/>
          <w:szCs w:val="24"/>
        </w:rPr>
        <w:t>VA exam 6 months</w:t>
      </w:r>
      <w:r w:rsidR="00E25A98">
        <w:rPr>
          <w:rFonts w:eastAsia="HiddenHorzOCR"/>
          <w:color w:val="000000" w:themeColor="text1"/>
          <w:szCs w:val="24"/>
        </w:rPr>
        <w:t xml:space="preserve"> </w:t>
      </w:r>
      <w:r w:rsidR="004E48A5">
        <w:rPr>
          <w:rFonts w:eastAsia="HiddenHorzOCR"/>
          <w:color w:val="000000" w:themeColor="text1"/>
          <w:szCs w:val="24"/>
        </w:rPr>
        <w:t>after</w:t>
      </w:r>
      <w:r w:rsidR="009832CD">
        <w:rPr>
          <w:rFonts w:eastAsia="HiddenHorzOCR"/>
          <w:color w:val="000000" w:themeColor="text1"/>
          <w:szCs w:val="24"/>
        </w:rPr>
        <w:t xml:space="preserve"> separation, without interval back injury or surgery, that</w:t>
      </w:r>
      <w:r w:rsidR="00B55363">
        <w:rPr>
          <w:rFonts w:eastAsia="HiddenHorzOCR"/>
          <w:color w:val="000000" w:themeColor="text1"/>
          <w:szCs w:val="24"/>
        </w:rPr>
        <w:t xml:space="preserve"> </w:t>
      </w:r>
      <w:r w:rsidR="00E25A98">
        <w:rPr>
          <w:rFonts w:eastAsia="HiddenHorzOCR"/>
          <w:color w:val="000000" w:themeColor="text1"/>
          <w:szCs w:val="24"/>
        </w:rPr>
        <w:t>demonstrated a normal gait</w:t>
      </w:r>
      <w:r w:rsidR="00B55363">
        <w:rPr>
          <w:rFonts w:eastAsia="HiddenHorzOCR"/>
          <w:color w:val="000000" w:themeColor="text1"/>
          <w:szCs w:val="24"/>
        </w:rPr>
        <w:t xml:space="preserve"> without the use of assisted devices </w:t>
      </w:r>
      <w:r w:rsidR="009832CD">
        <w:rPr>
          <w:rFonts w:eastAsia="HiddenHorzOCR"/>
          <w:color w:val="000000" w:themeColor="text1"/>
          <w:szCs w:val="24"/>
        </w:rPr>
        <w:t>and</w:t>
      </w:r>
      <w:r w:rsidR="00B55363">
        <w:rPr>
          <w:rFonts w:eastAsia="HiddenHorzOCR"/>
          <w:color w:val="000000" w:themeColor="text1"/>
          <w:szCs w:val="24"/>
        </w:rPr>
        <w:t xml:space="preserve"> new </w:t>
      </w:r>
      <w:r w:rsidR="009832CD">
        <w:rPr>
          <w:rFonts w:eastAsia="HiddenHorzOCR"/>
          <w:color w:val="000000" w:themeColor="text1"/>
          <w:szCs w:val="24"/>
        </w:rPr>
        <w:t>ROMs reflected in the chart above</w:t>
      </w:r>
      <w:r w:rsidR="00B55363">
        <w:rPr>
          <w:rFonts w:eastAsia="HiddenHorzOCR"/>
          <w:color w:val="000000" w:themeColor="text1"/>
          <w:szCs w:val="24"/>
        </w:rPr>
        <w:t>.</w:t>
      </w:r>
    </w:p>
    <w:p w:rsidR="009832CD" w:rsidRDefault="009832CD" w:rsidP="001A13CC">
      <w:pPr>
        <w:jc w:val="both"/>
        <w:rPr>
          <w:rFonts w:eastAsia="HiddenHorzOCR"/>
          <w:color w:val="000000" w:themeColor="text1"/>
          <w:szCs w:val="24"/>
        </w:rPr>
      </w:pPr>
    </w:p>
    <w:p w:rsidR="004E48A5" w:rsidRDefault="009832CD" w:rsidP="006746E4">
      <w:pPr>
        <w:jc w:val="both"/>
        <w:rPr>
          <w:color w:val="auto"/>
          <w:szCs w:val="24"/>
        </w:rPr>
      </w:pPr>
      <w:r w:rsidRPr="00DC3784">
        <w:rPr>
          <w:rFonts w:asciiTheme="minorHAnsi" w:eastAsia="HiddenHorzOCR" w:hAnsiTheme="minorHAnsi"/>
          <w:color w:val="auto"/>
          <w:szCs w:val="24"/>
        </w:rPr>
        <w:t>The Board directs its attention to its rating recommendations based on the evidence just described</w:t>
      </w:r>
      <w:r w:rsidR="00DC7B0A" w:rsidRPr="00DC3784">
        <w:rPr>
          <w:rFonts w:asciiTheme="minorHAnsi" w:eastAsia="HiddenHorzOCR" w:hAnsiTheme="minorHAnsi"/>
          <w:color w:val="auto"/>
          <w:szCs w:val="24"/>
        </w:rPr>
        <w:t>.</w:t>
      </w:r>
      <w:r w:rsidR="00DC7B0A" w:rsidRPr="00DC3784">
        <w:rPr>
          <w:rFonts w:asciiTheme="minorHAnsi" w:hAnsiTheme="minorHAnsi"/>
          <w:color w:val="auto"/>
          <w:szCs w:val="24"/>
        </w:rPr>
        <w:t xml:space="preserve">  </w:t>
      </w:r>
      <w:r w:rsidR="00DC7B0A" w:rsidRPr="00DC3784">
        <w:rPr>
          <w:rFonts w:asciiTheme="minorHAnsi" w:eastAsia="HiddenHorzOCR" w:hAnsiTheme="minorHAnsi"/>
          <w:color w:val="auto"/>
          <w:szCs w:val="24"/>
        </w:rPr>
        <w:t xml:space="preserve">The PEB and VA chose the same coding options for the condition, but this did not bear on rating.  The PEB’s DA Form 199 reflected application of the USAPDA pain policy for rating, and its 10% determination was inconsistent with §4.71a standards for the </w:t>
      </w:r>
      <w:r w:rsidR="00DC7B0A" w:rsidRPr="00DC3784">
        <w:rPr>
          <w:bCs/>
          <w:color w:val="auto"/>
          <w:szCs w:val="24"/>
        </w:rPr>
        <w:t>general rating formula for diseases and injuries of the spine</w:t>
      </w:r>
      <w:r w:rsidR="003355FA" w:rsidRPr="00DC3784">
        <w:rPr>
          <w:bCs/>
          <w:color w:val="auto"/>
          <w:szCs w:val="24"/>
        </w:rPr>
        <w:t xml:space="preserve"> and the</w:t>
      </w:r>
      <w:r w:rsidR="003355FA" w:rsidRPr="00DC3784">
        <w:rPr>
          <w:rFonts w:asciiTheme="minorHAnsi" w:eastAsia="HiddenHorzOCR" w:hAnsiTheme="minorHAnsi"/>
          <w:color w:val="auto"/>
          <w:szCs w:val="24"/>
        </w:rPr>
        <w:t xml:space="preserve"> VA’s </w:t>
      </w:r>
      <w:r w:rsidR="00DC7B0A" w:rsidRPr="00DC3784">
        <w:rPr>
          <w:rFonts w:asciiTheme="minorHAnsi" w:eastAsia="HiddenHorzOCR" w:hAnsiTheme="minorHAnsi"/>
          <w:color w:val="auto"/>
          <w:szCs w:val="24"/>
        </w:rPr>
        <w:t>40% determination was consistent with §4.71a standards</w:t>
      </w:r>
      <w:r w:rsidR="003355FA" w:rsidRPr="00DC3784">
        <w:rPr>
          <w:rFonts w:asciiTheme="minorHAnsi" w:eastAsia="HiddenHorzOCR" w:hAnsiTheme="minorHAnsi"/>
          <w:color w:val="auto"/>
          <w:szCs w:val="24"/>
        </w:rPr>
        <w:t xml:space="preserve"> based on forward flexion</w:t>
      </w:r>
      <w:r w:rsidR="00DC7B0A" w:rsidRPr="00DC3784">
        <w:rPr>
          <w:rFonts w:asciiTheme="minorHAnsi" w:eastAsia="HiddenHorzOCR" w:hAnsiTheme="minorHAnsi"/>
          <w:color w:val="auto"/>
          <w:szCs w:val="24"/>
        </w:rPr>
        <w:t xml:space="preserve">.  </w:t>
      </w:r>
      <w:r w:rsidR="00DC3784" w:rsidRPr="00DC3784">
        <w:rPr>
          <w:color w:val="auto"/>
          <w:szCs w:val="24"/>
        </w:rPr>
        <w:t xml:space="preserve">The Board thus carefully deliberated its probative value assignment to these disparate flexion results, and carefully reviewed the service file for corroborating evidence in the 12-month period prior to separation and post separation.  </w:t>
      </w:r>
      <w:r w:rsidR="003355FA" w:rsidRPr="00DC3784">
        <w:rPr>
          <w:color w:val="auto"/>
          <w:szCs w:val="24"/>
        </w:rPr>
        <w:t xml:space="preserve">In its assignment of probative value to the disparate flexion results, the Board must acknowledge that VA C&amp;P spine examinations may predispose a lowered pain threshold or increased symptom reporting since the examinee is generally quite aware that the severity of symptoms and pain tolerance on ROM and other testing is directly correlated with the resulting rating and financial gain.  </w:t>
      </w:r>
      <w:r w:rsidR="00DC3784" w:rsidRPr="00DC3784">
        <w:rPr>
          <w:color w:val="auto"/>
          <w:szCs w:val="24"/>
        </w:rPr>
        <w:t xml:space="preserve">The Board notes that both the MEB and VA exams were sufficiently well documented in terms of ratable data for the current VASRD, and that the CI’s overall </w:t>
      </w:r>
      <w:r w:rsidR="00DC3784" w:rsidRPr="00DC3784">
        <w:rPr>
          <w:color w:val="auto"/>
          <w:szCs w:val="24"/>
        </w:rPr>
        <w:lastRenderedPageBreak/>
        <w:t xml:space="preserve">condition and described physical findings were congruent between these two exams except for the degree of forward flexion.  </w:t>
      </w:r>
    </w:p>
    <w:p w:rsidR="004E48A5" w:rsidRDefault="004E48A5" w:rsidP="006746E4">
      <w:pPr>
        <w:jc w:val="both"/>
        <w:rPr>
          <w:color w:val="auto"/>
          <w:szCs w:val="24"/>
        </w:rPr>
      </w:pPr>
    </w:p>
    <w:p w:rsidR="00DC7B0A" w:rsidRPr="00DC3784" w:rsidRDefault="003355FA" w:rsidP="006746E4">
      <w:pPr>
        <w:jc w:val="both"/>
        <w:rPr>
          <w:color w:val="auto"/>
          <w:szCs w:val="24"/>
        </w:rPr>
      </w:pPr>
      <w:r w:rsidRPr="00DC3784">
        <w:rPr>
          <w:color w:val="auto"/>
          <w:szCs w:val="24"/>
        </w:rPr>
        <w:t>The Board carefully c</w:t>
      </w:r>
      <w:r w:rsidR="00E80F43">
        <w:rPr>
          <w:color w:val="auto"/>
          <w:szCs w:val="24"/>
        </w:rPr>
        <w:t xml:space="preserve">onsidered the whole record IAW </w:t>
      </w:r>
      <w:r w:rsidRPr="00DC3784">
        <w:rPr>
          <w:color w:val="auto"/>
          <w:szCs w:val="24"/>
        </w:rPr>
        <w:t xml:space="preserve">VASRD §4.2 (Interpretation of examination reports) in order to develop a consistent picture of the CI’s back condition and agreed in this case that the </w:t>
      </w:r>
      <w:r w:rsidR="004E48A5">
        <w:rPr>
          <w:color w:val="auto"/>
          <w:szCs w:val="24"/>
        </w:rPr>
        <w:t>ROM</w:t>
      </w:r>
      <w:r w:rsidRPr="00DC3784">
        <w:rPr>
          <w:color w:val="auto"/>
          <w:szCs w:val="24"/>
        </w:rPr>
        <w:t xml:space="preserve"> documented</w:t>
      </w:r>
      <w:r w:rsidR="00DC3784" w:rsidRPr="00DC3784">
        <w:rPr>
          <w:color w:val="auto"/>
          <w:szCs w:val="24"/>
        </w:rPr>
        <w:t xml:space="preserve"> in the STR and the VA exam 6 mo</w:t>
      </w:r>
      <w:r w:rsidR="00166D62">
        <w:rPr>
          <w:color w:val="auto"/>
          <w:szCs w:val="24"/>
        </w:rPr>
        <w:t>nths</w:t>
      </w:r>
      <w:r w:rsidR="00DC3784" w:rsidRPr="00DC3784">
        <w:rPr>
          <w:color w:val="auto"/>
          <w:szCs w:val="24"/>
        </w:rPr>
        <w:t xml:space="preserve"> </w:t>
      </w:r>
      <w:r w:rsidR="004E48A5">
        <w:rPr>
          <w:color w:val="auto"/>
          <w:szCs w:val="24"/>
        </w:rPr>
        <w:t>after</w:t>
      </w:r>
      <w:r w:rsidR="00DC3784" w:rsidRPr="00DC3784">
        <w:rPr>
          <w:color w:val="auto"/>
          <w:szCs w:val="24"/>
        </w:rPr>
        <w:t xml:space="preserve"> separation consistently reflected a forward flexion </w:t>
      </w:r>
      <w:r w:rsidR="00DC3784">
        <w:rPr>
          <w:color w:val="auto"/>
          <w:szCs w:val="24"/>
        </w:rPr>
        <w:t xml:space="preserve">found </w:t>
      </w:r>
      <w:r w:rsidR="00DC3784" w:rsidRPr="00DC3784">
        <w:rPr>
          <w:color w:val="auto"/>
          <w:szCs w:val="24"/>
        </w:rPr>
        <w:t xml:space="preserve">in the MEB exam.  </w:t>
      </w:r>
      <w:r w:rsidR="006746E4" w:rsidRPr="00DC3784">
        <w:rPr>
          <w:color w:val="auto"/>
          <w:szCs w:val="24"/>
        </w:rPr>
        <w:t xml:space="preserve">There is no record of recurrent injury or other development in explanation of the more marked </w:t>
      </w:r>
      <w:r w:rsidR="00DC3784" w:rsidRPr="00DC3784">
        <w:rPr>
          <w:color w:val="auto"/>
          <w:szCs w:val="24"/>
        </w:rPr>
        <w:t xml:space="preserve">flexion </w:t>
      </w:r>
      <w:r w:rsidR="006746E4" w:rsidRPr="00DC3784">
        <w:rPr>
          <w:color w:val="auto"/>
          <w:szCs w:val="24"/>
        </w:rPr>
        <w:t>impairment reflected by the VA measurements</w:t>
      </w:r>
      <w:r w:rsidR="00E80F43">
        <w:rPr>
          <w:color w:val="auto"/>
          <w:szCs w:val="24"/>
        </w:rPr>
        <w:t xml:space="preserve"> prior to separation</w:t>
      </w:r>
      <w:r w:rsidR="006746E4" w:rsidRPr="00DC3784">
        <w:rPr>
          <w:color w:val="auto"/>
          <w:szCs w:val="24"/>
        </w:rPr>
        <w:t>.</w:t>
      </w:r>
      <w:r w:rsidR="00DC3784" w:rsidRPr="00DC3784">
        <w:rPr>
          <w:color w:val="auto"/>
          <w:szCs w:val="24"/>
        </w:rPr>
        <w:t xml:space="preserve"> </w:t>
      </w:r>
      <w:r w:rsidR="006746E4" w:rsidRPr="00DC3784">
        <w:rPr>
          <w:color w:val="auto"/>
          <w:szCs w:val="24"/>
        </w:rPr>
        <w:t xml:space="preserve"> </w:t>
      </w:r>
      <w:r w:rsidR="00DC3784" w:rsidRPr="00DC3784">
        <w:rPr>
          <w:color w:val="auto"/>
          <w:szCs w:val="24"/>
        </w:rPr>
        <w:t xml:space="preserve">Board members agreed the condition most nearly approximated the 20% rating based on the preponderance of evidence of all examinations considered in their totality.  </w:t>
      </w:r>
      <w:r w:rsidR="00E80F43" w:rsidRPr="00E80F43">
        <w:rPr>
          <w:color w:val="auto"/>
          <w:szCs w:val="24"/>
        </w:rPr>
        <w:t>There was no evidence of documentation of incapacitating episodes which would provide for additional or higher rating.</w:t>
      </w:r>
      <w:r w:rsidR="00E80F43">
        <w:rPr>
          <w:color w:val="auto"/>
          <w:szCs w:val="24"/>
        </w:rPr>
        <w:t xml:space="preserve">  </w:t>
      </w:r>
      <w:r w:rsidR="001A163F" w:rsidRPr="00DC3784">
        <w:rPr>
          <w:rFonts w:asciiTheme="minorHAnsi" w:hAnsiTheme="minorHAnsi"/>
          <w:color w:val="auto"/>
          <w:szCs w:val="24"/>
        </w:rPr>
        <w:t>After due deliberation, considering all of the evidence and mindful of VASRD §4.3 (reasonable doubt), the Board recommends a separation rating of 20% for the low back condition.</w:t>
      </w:r>
    </w:p>
    <w:p w:rsidR="00D37D33" w:rsidRDefault="00D37D33" w:rsidP="00BF0E94">
      <w:pPr>
        <w:jc w:val="left"/>
        <w:rPr>
          <w:rFonts w:eastAsia="HiddenHorzOCR"/>
          <w:color w:val="000000" w:themeColor="text1"/>
          <w:szCs w:val="24"/>
          <w:u w:val="single"/>
        </w:rPr>
      </w:pPr>
    </w:p>
    <w:p w:rsidR="00EC337D" w:rsidRPr="001F1088" w:rsidRDefault="00EC337D" w:rsidP="001F1088">
      <w:pPr>
        <w:jc w:val="both"/>
        <w:rPr>
          <w:rFonts w:asciiTheme="minorHAnsi" w:eastAsia="HiddenHorzOCR" w:hAnsiTheme="minorHAnsi"/>
          <w:color w:val="000000" w:themeColor="text1"/>
          <w:szCs w:val="24"/>
        </w:rPr>
      </w:pPr>
      <w:r w:rsidRPr="009832CD">
        <w:rPr>
          <w:rFonts w:asciiTheme="minorHAnsi" w:eastAsia="HiddenHorzOCR" w:hAnsiTheme="minorHAnsi"/>
          <w:color w:val="000000" w:themeColor="text1"/>
          <w:szCs w:val="24"/>
          <w:u w:val="single"/>
        </w:rPr>
        <w:t>Other Contended Conditions</w:t>
      </w:r>
      <w:r w:rsidRPr="009832CD">
        <w:rPr>
          <w:rFonts w:asciiTheme="minorHAnsi" w:eastAsia="HiddenHorzOCR" w:hAnsiTheme="minorHAnsi"/>
          <w:color w:val="000000" w:themeColor="text1"/>
          <w:szCs w:val="24"/>
        </w:rPr>
        <w:t xml:space="preserve">. </w:t>
      </w:r>
      <w:r w:rsidR="00D37D33" w:rsidRPr="009832CD">
        <w:rPr>
          <w:rFonts w:asciiTheme="minorHAnsi" w:eastAsia="HiddenHorzOCR" w:hAnsiTheme="minorHAnsi"/>
          <w:i/>
          <w:color w:val="000000" w:themeColor="text1"/>
          <w:szCs w:val="24"/>
        </w:rPr>
        <w:t xml:space="preserve"> </w:t>
      </w:r>
      <w:r w:rsidRPr="009832CD">
        <w:rPr>
          <w:rFonts w:asciiTheme="minorHAnsi" w:eastAsia="HiddenHorzOCR" w:hAnsiTheme="minorHAnsi"/>
          <w:color w:val="000000" w:themeColor="text1"/>
          <w:szCs w:val="24"/>
        </w:rPr>
        <w:t xml:space="preserve">The CI’s application </w:t>
      </w:r>
      <w:r w:rsidRPr="00E80F43">
        <w:rPr>
          <w:rFonts w:asciiTheme="minorHAnsi" w:eastAsia="HiddenHorzOCR" w:hAnsiTheme="minorHAnsi"/>
          <w:color w:val="000000" w:themeColor="text1"/>
          <w:szCs w:val="24"/>
        </w:rPr>
        <w:t xml:space="preserve">asserts that compensable ratings should be considered for </w:t>
      </w:r>
      <w:r w:rsidR="00F76388" w:rsidRPr="00E80F43">
        <w:rPr>
          <w:rFonts w:asciiTheme="minorHAnsi" w:hAnsiTheme="minorHAnsi"/>
          <w:color w:val="000000" w:themeColor="text1"/>
        </w:rPr>
        <w:t>right lower extremity radiculopathy and weakness</w:t>
      </w:r>
      <w:r w:rsidRPr="00E80F43">
        <w:rPr>
          <w:rFonts w:asciiTheme="minorHAnsi" w:eastAsia="HiddenHorzOCR" w:hAnsiTheme="minorHAnsi"/>
          <w:color w:val="000000" w:themeColor="text1"/>
          <w:szCs w:val="24"/>
        </w:rPr>
        <w:t>.</w:t>
      </w:r>
      <w:r w:rsidR="00A6343F" w:rsidRPr="009832CD">
        <w:rPr>
          <w:rFonts w:asciiTheme="minorHAnsi" w:eastAsia="HiddenHorzOCR" w:hAnsiTheme="minorHAnsi"/>
          <w:color w:val="auto"/>
          <w:szCs w:val="24"/>
        </w:rPr>
        <w:t xml:space="preserve">  </w:t>
      </w:r>
      <w:r w:rsidR="00A6343F" w:rsidRPr="009832CD">
        <w:rPr>
          <w:rFonts w:asciiTheme="minorHAnsi" w:eastAsia="HiddenHorzOCR" w:hAnsiTheme="minorHAnsi"/>
          <w:color w:val="000000" w:themeColor="text1"/>
          <w:szCs w:val="24"/>
        </w:rPr>
        <w:t>All</w:t>
      </w:r>
      <w:r w:rsidR="00A6343F" w:rsidRPr="009832CD">
        <w:rPr>
          <w:rFonts w:asciiTheme="minorHAnsi" w:hAnsiTheme="minorHAnsi"/>
          <w:color w:val="000000" w:themeColor="text1"/>
        </w:rPr>
        <w:t xml:space="preserve"> </w:t>
      </w:r>
      <w:r w:rsidR="00A6343F" w:rsidRPr="009832CD">
        <w:rPr>
          <w:rFonts w:asciiTheme="minorHAnsi" w:hAnsiTheme="minorHAnsi"/>
          <w:color w:val="000000" w:themeColor="text1"/>
          <w:szCs w:val="24"/>
        </w:rPr>
        <w:t xml:space="preserve">of these conditions were reviewed by the </w:t>
      </w:r>
      <w:r w:rsidR="004E48A5">
        <w:rPr>
          <w:rFonts w:asciiTheme="minorHAnsi" w:hAnsiTheme="minorHAnsi"/>
          <w:color w:val="000000" w:themeColor="text1"/>
          <w:szCs w:val="24"/>
        </w:rPr>
        <w:t>a</w:t>
      </w:r>
      <w:r w:rsidR="00A6343F" w:rsidRPr="009832CD">
        <w:rPr>
          <w:rFonts w:asciiTheme="minorHAnsi" w:hAnsiTheme="minorHAnsi"/>
          <w:color w:val="000000" w:themeColor="text1"/>
          <w:szCs w:val="24"/>
        </w:rPr>
        <w:t xml:space="preserve">ction </w:t>
      </w:r>
      <w:r w:rsidR="004E48A5">
        <w:rPr>
          <w:rFonts w:asciiTheme="minorHAnsi" w:hAnsiTheme="minorHAnsi"/>
          <w:color w:val="auto"/>
          <w:szCs w:val="24"/>
        </w:rPr>
        <w:t>o</w:t>
      </w:r>
      <w:r w:rsidR="00A6343F" w:rsidRPr="001F1088">
        <w:rPr>
          <w:rFonts w:asciiTheme="minorHAnsi" w:hAnsiTheme="minorHAnsi"/>
          <w:color w:val="auto"/>
          <w:szCs w:val="24"/>
        </w:rPr>
        <w:t xml:space="preserve">fficer and considered by the Board.  </w:t>
      </w:r>
      <w:r w:rsidR="00A6343F" w:rsidRPr="001F1088">
        <w:rPr>
          <w:rFonts w:asciiTheme="minorHAnsi" w:eastAsia="HiddenHorzOCR" w:hAnsiTheme="minorHAnsi"/>
          <w:color w:val="auto"/>
          <w:szCs w:val="24"/>
        </w:rPr>
        <w:t xml:space="preserve">The Boards’ main charge in respect to this condition is an assessment of the appropriateness of the PEB’s fitness adjudication.  The Board’s threshold for countering DES fitness determinations is higher than the VASRD </w:t>
      </w:r>
      <w:r w:rsidR="00A6343F" w:rsidRPr="001F1088">
        <w:rPr>
          <w:rFonts w:asciiTheme="minorHAnsi" w:eastAsia="HiddenHorzOCR" w:hAnsiTheme="minorHAnsi"/>
          <w:bCs/>
          <w:color w:val="auto"/>
          <w:szCs w:val="24"/>
        </w:rPr>
        <w:t xml:space="preserve">§4.3 </w:t>
      </w:r>
      <w:r w:rsidR="00A6343F" w:rsidRPr="001F1088">
        <w:rPr>
          <w:rFonts w:asciiTheme="minorHAnsi" w:eastAsia="HiddenHorzOCR" w:hAnsiTheme="minorHAnsi"/>
          <w:color w:val="auto"/>
          <w:szCs w:val="24"/>
        </w:rPr>
        <w:t xml:space="preserve">(reasonable doubt) standard used for its rating recommendations, but remains adherent to the DoDI 6040.44 “fair and equitable” standard.  </w:t>
      </w:r>
      <w:r w:rsidR="00231087" w:rsidRPr="001F1088">
        <w:rPr>
          <w:color w:val="auto"/>
        </w:rPr>
        <w:t xml:space="preserve">While the neurosurgeon reported a moderate degree of L4-5 nerve root dysfunction, EMG performed in service was not consistent with </w:t>
      </w:r>
      <w:r w:rsidR="003C216D" w:rsidRPr="001F1088">
        <w:rPr>
          <w:color w:val="auto"/>
        </w:rPr>
        <w:t xml:space="preserve">an L4-5 </w:t>
      </w:r>
      <w:r w:rsidR="00231087" w:rsidRPr="001F1088">
        <w:rPr>
          <w:color w:val="auto"/>
        </w:rPr>
        <w:t>radiculopathy,</w:t>
      </w:r>
      <w:r w:rsidR="003C216D" w:rsidRPr="001F1088">
        <w:rPr>
          <w:color w:val="auto"/>
        </w:rPr>
        <w:t xml:space="preserve"> m</w:t>
      </w:r>
      <w:r w:rsidR="00231087" w:rsidRPr="001F1088">
        <w:rPr>
          <w:color w:val="auto"/>
        </w:rPr>
        <w:t>otor strength testing was consistently normal</w:t>
      </w:r>
      <w:r w:rsidR="001F1088" w:rsidRPr="001F1088">
        <w:rPr>
          <w:color w:val="auto"/>
        </w:rPr>
        <w:t xml:space="preserve"> in all exams</w:t>
      </w:r>
      <w:r w:rsidR="00231087" w:rsidRPr="001F1088">
        <w:rPr>
          <w:color w:val="auto"/>
        </w:rPr>
        <w:t xml:space="preserve"> and evidence of the record reflects that pain was the reason the CI was unable to perform all the functions of h</w:t>
      </w:r>
      <w:r w:rsidR="003C216D" w:rsidRPr="001F1088">
        <w:rPr>
          <w:color w:val="auto"/>
        </w:rPr>
        <w:t>er</w:t>
      </w:r>
      <w:r w:rsidR="00231087" w:rsidRPr="001F1088">
        <w:rPr>
          <w:color w:val="auto"/>
        </w:rPr>
        <w:t xml:space="preserve"> military specialty.  </w:t>
      </w:r>
      <w:r w:rsidR="003C216D" w:rsidRPr="001F1088">
        <w:rPr>
          <w:color w:val="auto"/>
        </w:rPr>
        <w:t>In addition</w:t>
      </w:r>
      <w:r w:rsidR="001F1088">
        <w:rPr>
          <w:color w:val="auto"/>
        </w:rPr>
        <w:t>,</w:t>
      </w:r>
      <w:r w:rsidR="003C216D" w:rsidRPr="001F1088">
        <w:rPr>
          <w:color w:val="auto"/>
        </w:rPr>
        <w:t xml:space="preserve"> while the VA rated the </w:t>
      </w:r>
      <w:r w:rsidR="00E80F43">
        <w:rPr>
          <w:color w:val="auto"/>
        </w:rPr>
        <w:t xml:space="preserve">right </w:t>
      </w:r>
      <w:r w:rsidR="003C216D" w:rsidRPr="001F1088">
        <w:rPr>
          <w:color w:val="auto"/>
        </w:rPr>
        <w:t xml:space="preserve">lower extremity </w:t>
      </w:r>
      <w:r w:rsidR="00253A29" w:rsidRPr="001F1088">
        <w:rPr>
          <w:color w:val="auto"/>
        </w:rPr>
        <w:t>radiculopat</w:t>
      </w:r>
      <w:r w:rsidR="00253A29">
        <w:rPr>
          <w:color w:val="auto"/>
        </w:rPr>
        <w:t>h</w:t>
      </w:r>
      <w:r w:rsidR="00253A29" w:rsidRPr="001F1088">
        <w:rPr>
          <w:color w:val="auto"/>
        </w:rPr>
        <w:t>y</w:t>
      </w:r>
      <w:r w:rsidR="003C216D" w:rsidRPr="001F1088">
        <w:rPr>
          <w:color w:val="auto"/>
        </w:rPr>
        <w:t xml:space="preserve"> with the or</w:t>
      </w:r>
      <w:r w:rsidR="00166D62">
        <w:rPr>
          <w:color w:val="auto"/>
        </w:rPr>
        <w:t>i</w:t>
      </w:r>
      <w:r w:rsidR="003C216D" w:rsidRPr="001F1088">
        <w:rPr>
          <w:color w:val="auto"/>
        </w:rPr>
        <w:t>ginal rating decision</w:t>
      </w:r>
      <w:r w:rsidR="001F1088">
        <w:rPr>
          <w:color w:val="auto"/>
        </w:rPr>
        <w:t>,</w:t>
      </w:r>
      <w:r w:rsidR="003C216D" w:rsidRPr="001F1088">
        <w:rPr>
          <w:color w:val="auto"/>
        </w:rPr>
        <w:t xml:space="preserve"> </w:t>
      </w:r>
      <w:r w:rsidR="001F1088" w:rsidRPr="001F1088">
        <w:rPr>
          <w:color w:val="auto"/>
        </w:rPr>
        <w:t>in a rating decision 6 months post separation</w:t>
      </w:r>
      <w:r w:rsidR="001F1088">
        <w:rPr>
          <w:color w:val="auto"/>
        </w:rPr>
        <w:t>,</w:t>
      </w:r>
      <w:r w:rsidR="001F1088" w:rsidRPr="001F1088">
        <w:rPr>
          <w:color w:val="auto"/>
        </w:rPr>
        <w:t xml:space="preserve"> the VA proposed to decrease the current 10%</w:t>
      </w:r>
      <w:r w:rsidR="001F1088" w:rsidRPr="001F1088">
        <w:rPr>
          <w:rFonts w:cs="Calibri"/>
          <w:color w:val="000000" w:themeColor="text1"/>
          <w:sz w:val="18"/>
          <w:szCs w:val="18"/>
        </w:rPr>
        <w:t xml:space="preserve"> </w:t>
      </w:r>
      <w:r w:rsidR="00E80F43">
        <w:rPr>
          <w:color w:val="auto"/>
        </w:rPr>
        <w:t xml:space="preserve">rating </w:t>
      </w:r>
      <w:r w:rsidR="001F1088" w:rsidRPr="001F1088">
        <w:rPr>
          <w:color w:val="auto"/>
        </w:rPr>
        <w:t>to 0% based on a normal 2006 EMG.</w:t>
      </w:r>
      <w:r w:rsidR="001F1088">
        <w:rPr>
          <w:color w:val="auto"/>
        </w:rPr>
        <w:t xml:space="preserve">  </w:t>
      </w:r>
      <w:r w:rsidR="00231087" w:rsidRPr="001F1088">
        <w:rPr>
          <w:color w:val="auto"/>
        </w:rPr>
        <w:t>VASRD rating criteria under the general rating formula for diseases and injuries of the spine takes into account pain, whether it radiates or not.  All evidence considered, there is not reasonable doubt in the CI’s favor supporting addition of lumbar radiculopathy as an unfitting condition for separation rating.</w:t>
      </w:r>
      <w:r w:rsidR="00231087">
        <w:t xml:space="preserve">  </w:t>
      </w:r>
    </w:p>
    <w:p w:rsidR="00EC337D" w:rsidRPr="001F29F9" w:rsidRDefault="00EC337D" w:rsidP="00BF0E94">
      <w:pPr>
        <w:jc w:val="both"/>
        <w:rPr>
          <w:color w:val="000000" w:themeColor="text1"/>
          <w:szCs w:val="24"/>
        </w:rPr>
      </w:pPr>
    </w:p>
    <w:p w:rsidR="00A02AA8" w:rsidRPr="001F29F9" w:rsidRDefault="003C5B54" w:rsidP="00A02AA8">
      <w:pPr>
        <w:jc w:val="both"/>
        <w:rPr>
          <w:color w:val="000000" w:themeColor="text1"/>
          <w:szCs w:val="24"/>
        </w:rPr>
      </w:pPr>
      <w:r w:rsidRPr="00E80F43">
        <w:rPr>
          <w:color w:val="000000" w:themeColor="text1"/>
          <w:szCs w:val="24"/>
          <w:u w:val="single"/>
        </w:rPr>
        <w:t>Remaining Conditions</w:t>
      </w:r>
      <w:r w:rsidRPr="00E80F43">
        <w:rPr>
          <w:color w:val="000000" w:themeColor="text1"/>
          <w:szCs w:val="24"/>
        </w:rPr>
        <w:t xml:space="preserve">.  </w:t>
      </w:r>
      <w:r w:rsidR="00A02AA8" w:rsidRPr="00E80F43">
        <w:rPr>
          <w:color w:val="000000" w:themeColor="text1"/>
          <w:szCs w:val="24"/>
        </w:rPr>
        <w:t xml:space="preserve">Other conditions identified in the DES file were </w:t>
      </w:r>
      <w:r w:rsidR="00F76388" w:rsidRPr="00E80F43">
        <w:rPr>
          <w:color w:val="000000" w:themeColor="text1"/>
          <w:szCs w:val="24"/>
        </w:rPr>
        <w:t>right s</w:t>
      </w:r>
      <w:r w:rsidR="00F106BB" w:rsidRPr="00E80F43">
        <w:rPr>
          <w:color w:val="000000" w:themeColor="text1"/>
          <w:szCs w:val="24"/>
        </w:rPr>
        <w:t xml:space="preserve">houlder </w:t>
      </w:r>
      <w:r w:rsidR="00F76388" w:rsidRPr="00E80F43">
        <w:rPr>
          <w:color w:val="000000" w:themeColor="text1"/>
          <w:szCs w:val="24"/>
        </w:rPr>
        <w:t>p</w:t>
      </w:r>
      <w:r w:rsidR="00F106BB" w:rsidRPr="00E80F43">
        <w:rPr>
          <w:color w:val="000000" w:themeColor="text1"/>
          <w:szCs w:val="24"/>
        </w:rPr>
        <w:t xml:space="preserve">ain, </w:t>
      </w:r>
      <w:r w:rsidR="00F76388" w:rsidRPr="00E80F43">
        <w:rPr>
          <w:color w:val="000000" w:themeColor="text1"/>
          <w:szCs w:val="24"/>
        </w:rPr>
        <w:t>temporomandibular joint disease (</w:t>
      </w:r>
      <w:r w:rsidR="00F106BB" w:rsidRPr="00E80F43">
        <w:rPr>
          <w:color w:val="000000" w:themeColor="text1"/>
          <w:szCs w:val="24"/>
        </w:rPr>
        <w:t>TMJ</w:t>
      </w:r>
      <w:r w:rsidR="00F76388" w:rsidRPr="00E80F43">
        <w:rPr>
          <w:color w:val="000000" w:themeColor="text1"/>
          <w:szCs w:val="24"/>
        </w:rPr>
        <w:t>)</w:t>
      </w:r>
      <w:r w:rsidR="00F106BB" w:rsidRPr="00E80F43">
        <w:rPr>
          <w:color w:val="000000" w:themeColor="text1"/>
          <w:szCs w:val="24"/>
        </w:rPr>
        <w:t xml:space="preserve"> and </w:t>
      </w:r>
      <w:r w:rsidR="00F76388" w:rsidRPr="00E80F43">
        <w:rPr>
          <w:color w:val="000000" w:themeColor="text1"/>
          <w:szCs w:val="24"/>
        </w:rPr>
        <w:t>left ear persistent effusion</w:t>
      </w:r>
      <w:r w:rsidR="00A02AA8" w:rsidRPr="00E80F43">
        <w:rPr>
          <w:color w:val="000000" w:themeColor="text1"/>
          <w:szCs w:val="24"/>
        </w:rPr>
        <w:t xml:space="preserve">.  Several additional non-acute conditions or medical complaints were also documented.  These conditions were reviewed by the </w:t>
      </w:r>
      <w:r w:rsidR="004E48A5">
        <w:rPr>
          <w:color w:val="000000" w:themeColor="text1"/>
          <w:szCs w:val="24"/>
        </w:rPr>
        <w:t>a</w:t>
      </w:r>
      <w:r w:rsidR="0080588E" w:rsidRPr="00E80F43">
        <w:rPr>
          <w:color w:val="000000" w:themeColor="text1"/>
          <w:szCs w:val="24"/>
        </w:rPr>
        <w:t xml:space="preserve">ction </w:t>
      </w:r>
      <w:r w:rsidR="004E48A5">
        <w:rPr>
          <w:color w:val="000000" w:themeColor="text1"/>
          <w:szCs w:val="24"/>
        </w:rPr>
        <w:t>o</w:t>
      </w:r>
      <w:r w:rsidR="0080588E" w:rsidRPr="00E80F43">
        <w:rPr>
          <w:color w:val="000000" w:themeColor="text1"/>
          <w:szCs w:val="24"/>
        </w:rPr>
        <w:t xml:space="preserve">fficer </w:t>
      </w:r>
      <w:r w:rsidR="00A02AA8" w:rsidRPr="00E80F43">
        <w:rPr>
          <w:color w:val="000000" w:themeColor="text1"/>
          <w:szCs w:val="24"/>
        </w:rPr>
        <w:t xml:space="preserve">and considered by the Board.  It was determined that none could be argued as unfitting and subject to separation rating.  Additionally </w:t>
      </w:r>
      <w:r w:rsidR="00E80F43" w:rsidRPr="00E80F43">
        <w:rPr>
          <w:color w:val="000000" w:themeColor="text1"/>
          <w:szCs w:val="24"/>
        </w:rPr>
        <w:t>t</w:t>
      </w:r>
      <w:r w:rsidR="00F106BB" w:rsidRPr="00E80F43">
        <w:rPr>
          <w:color w:val="000000" w:themeColor="text1"/>
          <w:szCs w:val="24"/>
        </w:rPr>
        <w:t>innitus</w:t>
      </w:r>
      <w:r w:rsidR="00A02AA8" w:rsidRPr="00E80F43">
        <w:rPr>
          <w:color w:val="000000" w:themeColor="text1"/>
          <w:szCs w:val="24"/>
        </w:rPr>
        <w:t xml:space="preserve"> and several other non-acute conditions were noted in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F1088" w:rsidRPr="001F29F9" w:rsidRDefault="001F1088" w:rsidP="001F1088">
      <w:pPr>
        <w:pBdr>
          <w:bottom w:val="single" w:sz="12" w:space="1" w:color="auto"/>
        </w:pBdr>
        <w:tabs>
          <w:tab w:val="left" w:pos="288"/>
          <w:tab w:val="left" w:pos="4752"/>
        </w:tabs>
        <w:jc w:val="both"/>
        <w:rPr>
          <w:color w:val="000000" w:themeColor="text1"/>
        </w:rPr>
      </w:pPr>
    </w:p>
    <w:p w:rsidR="001F1088" w:rsidRPr="001F29F9" w:rsidRDefault="001F1088" w:rsidP="001F1088">
      <w:pPr>
        <w:jc w:val="left"/>
        <w:rPr>
          <w:color w:val="000000" w:themeColor="text1"/>
          <w:szCs w:val="24"/>
        </w:rPr>
      </w:pPr>
    </w:p>
    <w:p w:rsidR="00BF4F49" w:rsidRPr="001F29F9" w:rsidRDefault="00C56FC8" w:rsidP="00C26B27">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F76388" w:rsidRPr="00F76388">
        <w:rPr>
          <w:rFonts w:asciiTheme="minorHAnsi" w:eastAsiaTheme="minorHAnsi" w:hAnsiTheme="minorHAnsi"/>
          <w:color w:val="auto"/>
          <w:szCs w:val="24"/>
        </w:rPr>
        <w:t xml:space="preserve"> </w:t>
      </w:r>
      <w:r w:rsidR="001F1088">
        <w:rPr>
          <w:rFonts w:asciiTheme="minorHAnsi" w:eastAsiaTheme="minorHAnsi" w:hAnsiTheme="minorHAnsi"/>
          <w:color w:val="auto"/>
          <w:szCs w:val="24"/>
        </w:rPr>
        <w:t xml:space="preserve"> </w:t>
      </w:r>
      <w:r w:rsidR="00F76388" w:rsidRPr="00F76388">
        <w:rPr>
          <w:rFonts w:eastAsiaTheme="minorHAnsi"/>
          <w:color w:val="000000" w:themeColor="text1"/>
          <w:szCs w:val="24"/>
        </w:rPr>
        <w:t>The Board did not surmise from the record or PEB ruling in this case that any prerogatives outside the VASRD were exercised.</w:t>
      </w:r>
      <w:r w:rsidR="00F76388" w:rsidRPr="00F76388">
        <w:rPr>
          <w:rFonts w:asciiTheme="minorHAnsi" w:eastAsiaTheme="minorHAnsi" w:hAnsiTheme="minorHAnsi"/>
          <w:color w:val="auto"/>
          <w:szCs w:val="24"/>
        </w:rPr>
        <w:t xml:space="preserve"> </w:t>
      </w:r>
      <w:r w:rsidR="001F1088">
        <w:rPr>
          <w:rFonts w:asciiTheme="minorHAnsi" w:eastAsiaTheme="minorHAnsi" w:hAnsiTheme="minorHAnsi"/>
          <w:color w:val="auto"/>
          <w:szCs w:val="24"/>
        </w:rPr>
        <w:t xml:space="preserve"> </w:t>
      </w:r>
      <w:r w:rsidR="00F76388" w:rsidRPr="00F76388">
        <w:rPr>
          <w:rFonts w:eastAsiaTheme="minorHAnsi"/>
          <w:color w:val="000000" w:themeColor="text1"/>
          <w:szCs w:val="24"/>
        </w:rPr>
        <w:t xml:space="preserve">As discussed above, PEB reliance on the USAPDA pain policy for rating </w:t>
      </w:r>
      <w:r w:rsidR="009832CD">
        <w:rPr>
          <w:rFonts w:eastAsiaTheme="minorHAnsi"/>
          <w:color w:val="000000" w:themeColor="text1"/>
          <w:szCs w:val="24"/>
        </w:rPr>
        <w:t xml:space="preserve">low </w:t>
      </w:r>
      <w:r w:rsidR="009832CD">
        <w:rPr>
          <w:rFonts w:eastAsiaTheme="minorHAnsi"/>
          <w:color w:val="000000" w:themeColor="text1"/>
          <w:szCs w:val="24"/>
        </w:rPr>
        <w:lastRenderedPageBreak/>
        <w:t>back condition</w:t>
      </w:r>
      <w:r w:rsidR="00F76388" w:rsidRPr="00F76388">
        <w:rPr>
          <w:rFonts w:eastAsiaTheme="minorHAnsi"/>
          <w:color w:val="000000" w:themeColor="text1"/>
          <w:szCs w:val="24"/>
        </w:rPr>
        <w:t xml:space="preserve"> was operant in this case and the condition was adjudicated independently of </w:t>
      </w:r>
      <w:r w:rsidR="00F76388" w:rsidRPr="00E80F43">
        <w:rPr>
          <w:rFonts w:eastAsiaTheme="minorHAnsi"/>
          <w:color w:val="000000" w:themeColor="text1"/>
          <w:szCs w:val="24"/>
        </w:rPr>
        <w:t>that policy by the Board.</w:t>
      </w:r>
      <w:r w:rsidR="00F76388" w:rsidRPr="00E80F43">
        <w:rPr>
          <w:rFonts w:asciiTheme="minorHAnsi" w:eastAsiaTheme="minorHAnsi" w:hAnsiTheme="minorHAnsi"/>
          <w:color w:val="auto"/>
          <w:szCs w:val="24"/>
        </w:rPr>
        <w:t xml:space="preserve"> </w:t>
      </w:r>
      <w:r w:rsidR="001F1088" w:rsidRPr="00E80F43">
        <w:rPr>
          <w:rFonts w:asciiTheme="minorHAnsi" w:eastAsiaTheme="minorHAnsi" w:hAnsiTheme="minorHAnsi"/>
          <w:color w:val="auto"/>
          <w:szCs w:val="24"/>
        </w:rPr>
        <w:t xml:space="preserve"> </w:t>
      </w:r>
      <w:r w:rsidR="00F76388" w:rsidRPr="00E80F43">
        <w:rPr>
          <w:rFonts w:eastAsiaTheme="minorHAnsi"/>
          <w:color w:val="000000" w:themeColor="text1"/>
          <w:szCs w:val="24"/>
        </w:rPr>
        <w:t xml:space="preserve">In the matter of the chronic low back pain condition, the Board unanimously recommends a rating of </w:t>
      </w:r>
      <w:r w:rsidR="009832CD" w:rsidRPr="00E80F43">
        <w:rPr>
          <w:rFonts w:eastAsiaTheme="minorHAnsi"/>
          <w:color w:val="000000" w:themeColor="text1"/>
          <w:szCs w:val="24"/>
        </w:rPr>
        <w:t>2</w:t>
      </w:r>
      <w:r w:rsidR="00F76388" w:rsidRPr="00E80F43">
        <w:rPr>
          <w:rFonts w:eastAsiaTheme="minorHAnsi"/>
          <w:color w:val="000000" w:themeColor="text1"/>
          <w:szCs w:val="24"/>
        </w:rPr>
        <w:t xml:space="preserve">0% coded </w:t>
      </w:r>
      <w:r w:rsidR="009832CD" w:rsidRPr="00E80F43">
        <w:rPr>
          <w:rFonts w:eastAsiaTheme="minorHAnsi"/>
          <w:color w:val="000000" w:themeColor="text1"/>
          <w:szCs w:val="24"/>
        </w:rPr>
        <w:t>5243</w:t>
      </w:r>
      <w:r w:rsidR="00F76388" w:rsidRPr="00E80F43">
        <w:rPr>
          <w:rFonts w:eastAsiaTheme="minorHAnsi"/>
          <w:color w:val="000000" w:themeColor="text1"/>
          <w:szCs w:val="24"/>
        </w:rPr>
        <w:t xml:space="preserve"> IAW VASRD §4.71a.</w:t>
      </w:r>
      <w:r w:rsidR="00F76388" w:rsidRPr="00F76388">
        <w:rPr>
          <w:rFonts w:eastAsiaTheme="minorHAnsi"/>
          <w:color w:val="000000" w:themeColor="text1"/>
          <w:szCs w:val="24"/>
        </w:rPr>
        <w:t xml:space="preserve">  </w:t>
      </w:r>
      <w:r w:rsidR="00F76388" w:rsidRPr="00E80F43">
        <w:rPr>
          <w:rFonts w:eastAsiaTheme="minorHAnsi"/>
          <w:color w:val="000000" w:themeColor="text1"/>
          <w:szCs w:val="24"/>
        </w:rPr>
        <w:t xml:space="preserve">In the matter of the </w:t>
      </w:r>
      <w:r w:rsidR="00F76388" w:rsidRPr="00E80F43">
        <w:rPr>
          <w:color w:val="000000" w:themeColor="text1"/>
        </w:rPr>
        <w:t>right lower extremity radiculopathy and weakness</w:t>
      </w:r>
      <w:r w:rsidR="00F76388" w:rsidRPr="00E80F43">
        <w:rPr>
          <w:rFonts w:eastAsiaTheme="minorHAnsi"/>
          <w:color w:val="000000" w:themeColor="text1"/>
          <w:szCs w:val="24"/>
        </w:rPr>
        <w:t xml:space="preserve"> condition, the Board unanimously agrees that it cannot recommend a finding of unfit for additional rating at separation.  In the matter of the </w:t>
      </w:r>
      <w:r w:rsidR="00F76388" w:rsidRPr="00E80F43">
        <w:rPr>
          <w:color w:val="000000" w:themeColor="text1"/>
          <w:szCs w:val="24"/>
        </w:rPr>
        <w:t>right shoulder pain, TMJ and left ear persistent effusion</w:t>
      </w:r>
      <w:r w:rsidR="009832CD" w:rsidRPr="00E80F43">
        <w:rPr>
          <w:color w:val="000000" w:themeColor="text1"/>
          <w:szCs w:val="24"/>
        </w:rPr>
        <w:t xml:space="preserve"> </w:t>
      </w:r>
      <w:r w:rsidR="00F76388" w:rsidRPr="00E80F43">
        <w:rPr>
          <w:rFonts w:eastAsiaTheme="minorHAnsi"/>
          <w:color w:val="000000" w:themeColor="text1"/>
          <w:szCs w:val="24"/>
        </w:rPr>
        <w:t>conditions 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56FC8" w:rsidRPr="00F76388" w:rsidRDefault="00C56FC8" w:rsidP="00F76388">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F76388">
        <w:rPr>
          <w:color w:val="000000" w:themeColor="text1"/>
        </w:rPr>
        <w:t xml:space="preserve">  </w:t>
      </w:r>
      <w:r w:rsidRPr="00F106BB">
        <w:rPr>
          <w:color w:val="000000" w:themeColor="text1"/>
          <w:szCs w:val="24"/>
        </w:rPr>
        <w:t>The Board recommends that the CI’s prior determination be modified as follows, effective as of the date of her</w:t>
      </w:r>
      <w:r w:rsidR="00911B11" w:rsidRPr="00F106BB">
        <w:rPr>
          <w:color w:val="000000" w:themeColor="text1"/>
          <w:szCs w:val="24"/>
        </w:rPr>
        <w:t xml:space="preserve"> prior medical</w:t>
      </w:r>
      <w:r w:rsidR="00911B11" w:rsidRPr="001F29F9">
        <w:rPr>
          <w:color w:val="000000" w:themeColor="text1"/>
          <w:szCs w:val="24"/>
        </w:rPr>
        <w:t xml:space="preserve">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F106BB" w:rsidP="00BF0E94">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95BBA" w:rsidRPr="001F29F9" w:rsidRDefault="00F106BB" w:rsidP="00BF0E94">
            <w:pPr>
              <w:tabs>
                <w:tab w:val="left" w:pos="288"/>
                <w:tab w:val="left" w:pos="4752"/>
              </w:tabs>
              <w:rPr>
                <w:color w:val="000000" w:themeColor="text1"/>
                <w:szCs w:val="24"/>
              </w:rPr>
            </w:pPr>
            <w:r>
              <w:rPr>
                <w:color w:val="000000" w:themeColor="text1"/>
                <w:szCs w:val="24"/>
              </w:rPr>
              <w:t>5243</w:t>
            </w:r>
          </w:p>
        </w:tc>
        <w:tc>
          <w:tcPr>
            <w:tcW w:w="1170" w:type="dxa"/>
            <w:vAlign w:val="center"/>
          </w:tcPr>
          <w:p w:rsidR="00A95BBA" w:rsidRPr="002B36C8" w:rsidRDefault="00F76388" w:rsidP="00BF0E94">
            <w:pPr>
              <w:tabs>
                <w:tab w:val="left" w:pos="288"/>
                <w:tab w:val="left" w:pos="4752"/>
              </w:tabs>
              <w:rPr>
                <w:color w:val="000000" w:themeColor="text1"/>
                <w:szCs w:val="24"/>
              </w:rPr>
            </w:pPr>
            <w:r w:rsidRPr="002B36C8">
              <w:rPr>
                <w:color w:val="000000" w:themeColor="text1"/>
                <w:szCs w:val="24"/>
              </w:rPr>
              <w:t>2</w:t>
            </w:r>
            <w:r w:rsidR="00A95BBA" w:rsidRPr="002B36C8">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2B36C8" w:rsidRDefault="00F76388" w:rsidP="00BF0E94">
            <w:pPr>
              <w:tabs>
                <w:tab w:val="left" w:pos="288"/>
                <w:tab w:val="left" w:pos="4752"/>
              </w:tabs>
              <w:rPr>
                <w:b/>
                <w:color w:val="000000" w:themeColor="text1"/>
                <w:szCs w:val="24"/>
              </w:rPr>
            </w:pPr>
            <w:r w:rsidRPr="002B36C8">
              <w:rPr>
                <w:b/>
                <w:color w:val="000000" w:themeColor="text1"/>
                <w:szCs w:val="24"/>
              </w:rPr>
              <w:t>2</w:t>
            </w:r>
            <w:r w:rsidR="00A95BBA" w:rsidRPr="002B36C8">
              <w:rPr>
                <w:b/>
                <w:color w:val="000000" w:themeColor="text1"/>
                <w:szCs w:val="24"/>
              </w:rPr>
              <w:t>0%</w:t>
            </w:r>
          </w:p>
        </w:tc>
      </w:tr>
    </w:tbl>
    <w:p w:rsidR="004E48A5" w:rsidRDefault="004E48A5" w:rsidP="00BF0E94">
      <w:pPr>
        <w:tabs>
          <w:tab w:val="left" w:pos="288"/>
          <w:tab w:val="left" w:pos="4752"/>
        </w:tabs>
        <w:jc w:val="both"/>
        <w:rPr>
          <w:color w:val="000000" w:themeColor="text1"/>
        </w:rPr>
      </w:pPr>
    </w:p>
    <w:p w:rsidR="004E48A5" w:rsidRDefault="004E48A5"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106BB">
        <w:rPr>
          <w:color w:val="000000" w:themeColor="text1"/>
          <w:szCs w:val="24"/>
        </w:rPr>
        <w:t>11228</w:t>
      </w:r>
      <w:r w:rsidR="00044FE5">
        <w:rPr>
          <w:color w:val="000000" w:themeColor="text1"/>
        </w:rPr>
        <w:t>, w/</w:t>
      </w:r>
      <w:proofErr w:type="spellStart"/>
      <w:r w:rsidR="00044FE5">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Treatment </w:t>
      </w:r>
      <w:r w:rsidR="00044FE5">
        <w:rPr>
          <w:color w:val="000000" w:themeColor="text1"/>
        </w:rPr>
        <w:t>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044FE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F14F93">
        <w:rPr>
          <w:color w:val="000000" w:themeColor="text1"/>
          <w:szCs w:val="24"/>
        </w:rPr>
        <w:t xml:space="preserve">       </w:t>
      </w:r>
      <w:r w:rsidR="00747292">
        <w:rPr>
          <w:color w:val="000000" w:themeColor="text1"/>
          <w:szCs w:val="24"/>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F14F93">
        <w:rPr>
          <w:color w:val="000000" w:themeColor="text1"/>
          <w:szCs w:val="24"/>
        </w:rPr>
        <w:t xml:space="preserve">       </w:t>
      </w:r>
      <w:r w:rsidR="005F73CA" w:rsidRPr="001F29F9">
        <w:rPr>
          <w:color w:val="000000" w:themeColor="text1"/>
          <w:szCs w:val="24"/>
        </w:rPr>
        <w:t>President</w:t>
      </w:r>
    </w:p>
    <w:p w:rsidR="001F1088" w:rsidRPr="001F1088" w:rsidRDefault="002F195B" w:rsidP="001F1088">
      <w:pPr>
        <w:rPr>
          <w:color w:val="000000" w:themeColor="text1"/>
          <w:szCs w:val="24"/>
        </w:rPr>
      </w:pPr>
      <w:r w:rsidRPr="001F29F9">
        <w:rPr>
          <w:color w:val="000000" w:themeColor="text1"/>
          <w:szCs w:val="24"/>
        </w:rPr>
        <w:tab/>
      </w:r>
      <w:r w:rsidR="00F14F93">
        <w:rPr>
          <w:color w:val="000000" w:themeColor="text1"/>
          <w:szCs w:val="24"/>
        </w:rPr>
        <w:tab/>
      </w:r>
      <w:r w:rsidR="00F14F93">
        <w:rPr>
          <w:color w:val="000000" w:themeColor="text1"/>
          <w:szCs w:val="24"/>
        </w:rPr>
        <w:tab/>
      </w:r>
      <w:r w:rsidR="00F14F93">
        <w:rPr>
          <w:color w:val="000000" w:themeColor="text1"/>
          <w:szCs w:val="24"/>
        </w:rPr>
        <w:tab/>
      </w:r>
      <w:r w:rsidR="004E48A5">
        <w:rPr>
          <w:color w:val="000000" w:themeColor="text1"/>
          <w:szCs w:val="24"/>
        </w:rPr>
        <w:t xml:space="preserve">          </w:t>
      </w:r>
      <w:r w:rsidR="00220FA9" w:rsidRPr="001F29F9">
        <w:rPr>
          <w:color w:val="000000" w:themeColor="text1"/>
          <w:szCs w:val="24"/>
        </w:rPr>
        <w:t>P</w:t>
      </w:r>
      <w:r w:rsidR="00E3077F" w:rsidRPr="001F29F9">
        <w:rPr>
          <w:color w:val="000000" w:themeColor="text1"/>
          <w:szCs w:val="24"/>
        </w:rPr>
        <w:t>hysical Disability Board of Review</w:t>
      </w:r>
    </w:p>
    <w:p w:rsidR="00747292" w:rsidRDefault="00747292">
      <w:pPr>
        <w:rPr>
          <w:b/>
          <w:bCs/>
          <w:color w:val="000000" w:themeColor="text1"/>
          <w:szCs w:val="24"/>
        </w:rPr>
      </w:pPr>
      <w:r>
        <w:rPr>
          <w:b/>
          <w:bCs/>
          <w:color w:val="000000" w:themeColor="text1"/>
          <w:szCs w:val="24"/>
        </w:rPr>
        <w:br w:type="page"/>
      </w:r>
    </w:p>
    <w:p w:rsidR="00747292" w:rsidRDefault="00747292" w:rsidP="00747292">
      <w:pPr>
        <w:sectPr w:rsidR="00747292">
          <w:pgSz w:w="12240" w:h="15840"/>
          <w:pgMar w:top="2160" w:right="1440" w:bottom="1440" w:left="1440" w:header="720" w:footer="720" w:gutter="0"/>
          <w:cols w:space="720"/>
        </w:sectPr>
      </w:pPr>
    </w:p>
    <w:p w:rsidR="00747292" w:rsidRDefault="00747292" w:rsidP="00747292">
      <w:pPr>
        <w:pStyle w:val="Header"/>
        <w:tabs>
          <w:tab w:val="left" w:pos="720"/>
        </w:tabs>
        <w:jc w:val="left"/>
      </w:pPr>
      <w:r>
        <w:lastRenderedPageBreak/>
        <w:t>SFMR-RB</w:t>
      </w:r>
      <w:r>
        <w:tab/>
      </w:r>
      <w:r>
        <w:tab/>
      </w:r>
      <w:r>
        <w:tab/>
      </w:r>
      <w:r>
        <w:tab/>
      </w:r>
      <w:r>
        <w:tab/>
      </w:r>
      <w:r>
        <w:tab/>
      </w:r>
      <w:r>
        <w:tab/>
      </w:r>
      <w:r>
        <w:tab/>
      </w:r>
      <w:r>
        <w:tab/>
      </w:r>
    </w:p>
    <w:p w:rsidR="00747292" w:rsidRDefault="00747292" w:rsidP="00747292">
      <w:pPr>
        <w:pStyle w:val="Header"/>
        <w:tabs>
          <w:tab w:val="left" w:pos="720"/>
        </w:tabs>
        <w:jc w:val="left"/>
      </w:pPr>
    </w:p>
    <w:p w:rsidR="00747292" w:rsidRDefault="00747292" w:rsidP="00747292">
      <w:pPr>
        <w:jc w:val="left"/>
      </w:pPr>
    </w:p>
    <w:p w:rsidR="00747292" w:rsidRDefault="00747292" w:rsidP="00747292">
      <w:pPr>
        <w:jc w:val="left"/>
      </w:pPr>
      <w:r>
        <w:t xml:space="preserve">MEMORANDUM FOR Commander, US Army Physical Disability Agency </w:t>
      </w:r>
    </w:p>
    <w:p w:rsidR="00747292" w:rsidRDefault="00747292" w:rsidP="00747292">
      <w:pPr>
        <w:jc w:val="left"/>
      </w:pPr>
      <w:r>
        <w:t>(TAPD-ZB /), 2900 Crystal Drive, Suite 300, Arlington, VA  22202</w:t>
      </w:r>
    </w:p>
    <w:p w:rsidR="00747292" w:rsidRDefault="00747292" w:rsidP="00747292">
      <w:pPr>
        <w:jc w:val="left"/>
      </w:pPr>
    </w:p>
    <w:p w:rsidR="00747292" w:rsidRDefault="00747292" w:rsidP="00747292">
      <w:pPr>
        <w:ind w:right="-180"/>
        <w:jc w:val="left"/>
      </w:pPr>
      <w:r>
        <w:t xml:space="preserve">SUBJECT:  Department of Defense Physical Disability Board of Review Recommendation </w:t>
      </w:r>
    </w:p>
    <w:p w:rsidR="00747292" w:rsidRDefault="00747292" w:rsidP="00747292">
      <w:pPr>
        <w:pStyle w:val="Header"/>
        <w:tabs>
          <w:tab w:val="left" w:pos="720"/>
        </w:tabs>
        <w:jc w:val="left"/>
      </w:pPr>
      <w:proofErr w:type="gramStart"/>
      <w:r>
        <w:t>for</w:t>
      </w:r>
      <w:proofErr w:type="gramEnd"/>
      <w:r>
        <w:t xml:space="preserve"> XXXXXXXXXXXX, AR20120008207 (PD201200015)</w:t>
      </w:r>
    </w:p>
    <w:p w:rsidR="00747292" w:rsidRDefault="00747292" w:rsidP="00747292">
      <w:pPr>
        <w:pStyle w:val="Header"/>
        <w:tabs>
          <w:tab w:val="left" w:pos="720"/>
        </w:tabs>
        <w:jc w:val="left"/>
      </w:pPr>
    </w:p>
    <w:p w:rsidR="00747292" w:rsidRDefault="00747292" w:rsidP="00747292">
      <w:pPr>
        <w:jc w:val="left"/>
      </w:pPr>
    </w:p>
    <w:p w:rsidR="00747292" w:rsidRDefault="00747292" w:rsidP="00747292">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47292" w:rsidRDefault="00747292" w:rsidP="00747292">
      <w:pPr>
        <w:jc w:val="left"/>
      </w:pPr>
    </w:p>
    <w:p w:rsidR="00747292" w:rsidRDefault="00747292" w:rsidP="00747292">
      <w:pPr>
        <w:jc w:val="left"/>
      </w:pPr>
      <w:r>
        <w:t xml:space="preserve">2.  I direct that all the Department of the Army records of the individual concerned be corrected accordingly no later than 120 days from the date of this memorandum.   </w:t>
      </w:r>
    </w:p>
    <w:p w:rsidR="00747292" w:rsidRDefault="00747292" w:rsidP="00747292">
      <w:pPr>
        <w:jc w:val="left"/>
      </w:pPr>
    </w:p>
    <w:p w:rsidR="00747292" w:rsidRDefault="00747292" w:rsidP="0074729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47292" w:rsidRDefault="00747292" w:rsidP="00747292">
      <w:pPr>
        <w:jc w:val="left"/>
      </w:pPr>
    </w:p>
    <w:p w:rsidR="00747292" w:rsidRDefault="00747292" w:rsidP="00747292">
      <w:pPr>
        <w:jc w:val="left"/>
      </w:pPr>
      <w:r>
        <w:t xml:space="preserve"> BY ORDER OF THE SECRETARY OF THE ARMY:</w:t>
      </w:r>
    </w:p>
    <w:p w:rsidR="00747292" w:rsidRDefault="00747292" w:rsidP="00747292">
      <w:pPr>
        <w:jc w:val="left"/>
      </w:pPr>
    </w:p>
    <w:p w:rsidR="00747292" w:rsidRDefault="00747292" w:rsidP="00747292">
      <w:pPr>
        <w:jc w:val="left"/>
      </w:pPr>
    </w:p>
    <w:p w:rsidR="00747292" w:rsidRDefault="00747292" w:rsidP="00747292">
      <w:pPr>
        <w:pStyle w:val="Header"/>
        <w:tabs>
          <w:tab w:val="left" w:pos="720"/>
        </w:tabs>
        <w:jc w:val="left"/>
      </w:pPr>
    </w:p>
    <w:p w:rsidR="00747292" w:rsidRDefault="00747292" w:rsidP="00747292">
      <w:pPr>
        <w:jc w:val="left"/>
      </w:pPr>
    </w:p>
    <w:p w:rsidR="00747292" w:rsidRDefault="00747292" w:rsidP="00747292">
      <w:pPr>
        <w:jc w:val="left"/>
      </w:pPr>
      <w:bookmarkStart w:id="0" w:name="OLE_LINK4"/>
      <w:bookmarkStart w:id="1" w:name="OLE_LINK3"/>
      <w:r>
        <w:t>Encl</w:t>
      </w:r>
      <w:r>
        <w:tab/>
      </w:r>
      <w:r>
        <w:tab/>
      </w:r>
      <w:r>
        <w:tab/>
      </w:r>
      <w:r>
        <w:tab/>
      </w:r>
      <w:r>
        <w:tab/>
      </w:r>
      <w:r>
        <w:tab/>
        <w:t xml:space="preserve">     XXXXXXXXXX</w:t>
      </w:r>
    </w:p>
    <w:p w:rsidR="00747292" w:rsidRDefault="00747292" w:rsidP="00747292">
      <w:pPr>
        <w:jc w:val="left"/>
      </w:pPr>
      <w:r>
        <w:tab/>
      </w:r>
      <w:r>
        <w:tab/>
      </w:r>
      <w:r>
        <w:tab/>
      </w:r>
      <w:r>
        <w:tab/>
      </w:r>
      <w:r>
        <w:tab/>
      </w:r>
      <w:r>
        <w:tab/>
        <w:t xml:space="preserve">     Deputy Assistant Secretary</w:t>
      </w:r>
    </w:p>
    <w:p w:rsidR="00747292" w:rsidRDefault="00747292" w:rsidP="00747292">
      <w:pPr>
        <w:jc w:val="left"/>
      </w:pPr>
      <w:r>
        <w:tab/>
      </w:r>
      <w:r>
        <w:tab/>
      </w:r>
      <w:r>
        <w:tab/>
      </w:r>
      <w:r>
        <w:tab/>
      </w:r>
      <w:r>
        <w:tab/>
      </w:r>
      <w:r>
        <w:tab/>
        <w:t xml:space="preserve">         (Army Review Boards)</w:t>
      </w:r>
      <w:bookmarkEnd w:id="0"/>
      <w:bookmarkEnd w:id="1"/>
    </w:p>
    <w:p w:rsidR="00747292" w:rsidRDefault="00747292" w:rsidP="00747292">
      <w:pPr>
        <w:jc w:val="left"/>
      </w:pPr>
    </w:p>
    <w:p w:rsidR="00747292" w:rsidRDefault="00747292" w:rsidP="00747292">
      <w:pPr>
        <w:jc w:val="left"/>
      </w:pPr>
      <w:r>
        <w:t xml:space="preserve">CF: </w:t>
      </w:r>
    </w:p>
    <w:p w:rsidR="00747292" w:rsidRDefault="00747292" w:rsidP="00747292">
      <w:pPr>
        <w:jc w:val="left"/>
      </w:pPr>
      <w:r>
        <w:t xml:space="preserve">(  ) </w:t>
      </w:r>
      <w:proofErr w:type="spellStart"/>
      <w:proofErr w:type="gramStart"/>
      <w:r>
        <w:t>DoD</w:t>
      </w:r>
      <w:proofErr w:type="spellEnd"/>
      <w:proofErr w:type="gramEnd"/>
      <w:r>
        <w:t xml:space="preserve"> PDBR</w:t>
      </w:r>
    </w:p>
    <w:p w:rsidR="00747292" w:rsidRDefault="00747292" w:rsidP="00747292">
      <w:pPr>
        <w:jc w:val="left"/>
      </w:pPr>
      <w:r>
        <w:t>(  ) DVA</w:t>
      </w:r>
    </w:p>
    <w:p w:rsidR="00327616" w:rsidRPr="00E80F43" w:rsidRDefault="00327616" w:rsidP="00E80F43">
      <w:pPr>
        <w:jc w:val="both"/>
        <w:rPr>
          <w:b/>
          <w:bCs/>
          <w:color w:val="000000" w:themeColor="text1"/>
          <w:szCs w:val="24"/>
        </w:rPr>
      </w:pPr>
    </w:p>
    <w:sectPr w:rsidR="00327616" w:rsidRPr="00E80F43"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3B" w:rsidRDefault="001E493B">
      <w:r>
        <w:separator/>
      </w:r>
    </w:p>
  </w:endnote>
  <w:endnote w:type="continuationSeparator" w:id="0">
    <w:p w:rsidR="001E493B" w:rsidRDefault="001E4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804646" w:rsidRPr="00374247" w:rsidRDefault="00804646" w:rsidP="00374247">
        <w:pPr>
          <w:pStyle w:val="Footer"/>
          <w:ind w:firstLine="4320"/>
          <w:rPr>
            <w:color w:val="auto"/>
            <w:szCs w:val="24"/>
          </w:rPr>
        </w:pPr>
        <w:r w:rsidRPr="00374247">
          <w:rPr>
            <w:color w:val="auto"/>
            <w:szCs w:val="24"/>
          </w:rPr>
          <w:t xml:space="preserve">   </w:t>
        </w:r>
        <w:r w:rsidR="00381311" w:rsidRPr="00374247">
          <w:rPr>
            <w:color w:val="auto"/>
            <w:szCs w:val="24"/>
          </w:rPr>
          <w:fldChar w:fldCharType="begin"/>
        </w:r>
        <w:r w:rsidRPr="00374247">
          <w:rPr>
            <w:color w:val="auto"/>
            <w:szCs w:val="24"/>
          </w:rPr>
          <w:instrText xml:space="preserve"> PAGE   \* MERGEFORMAT </w:instrText>
        </w:r>
        <w:r w:rsidR="00381311" w:rsidRPr="00374247">
          <w:rPr>
            <w:color w:val="auto"/>
            <w:szCs w:val="24"/>
          </w:rPr>
          <w:fldChar w:fldCharType="separate"/>
        </w:r>
        <w:r w:rsidR="00747292" w:rsidRPr="00747292">
          <w:rPr>
            <w:noProof/>
            <w:color w:val="auto"/>
          </w:rPr>
          <w:t>6</w:t>
        </w:r>
        <w:r w:rsidR="00381311"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015</w:t>
        </w:r>
      </w:p>
    </w:sdtContent>
  </w:sdt>
  <w:p w:rsidR="00804646" w:rsidRPr="00684CE6" w:rsidRDefault="0080464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3B" w:rsidRDefault="001E493B">
      <w:r>
        <w:separator/>
      </w:r>
    </w:p>
  </w:footnote>
  <w:footnote w:type="continuationSeparator" w:id="0">
    <w:p w:rsidR="001E493B" w:rsidRDefault="001E4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290"/>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FE5"/>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0E3"/>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729C"/>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31"/>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6D6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3CC"/>
    <w:rsid w:val="001A163F"/>
    <w:rsid w:val="001A2182"/>
    <w:rsid w:val="001A323E"/>
    <w:rsid w:val="001A5320"/>
    <w:rsid w:val="001A5E62"/>
    <w:rsid w:val="001A6848"/>
    <w:rsid w:val="001A7538"/>
    <w:rsid w:val="001B06FB"/>
    <w:rsid w:val="001B0B1A"/>
    <w:rsid w:val="001B20E6"/>
    <w:rsid w:val="001B4510"/>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3B"/>
    <w:rsid w:val="001E635C"/>
    <w:rsid w:val="001F0297"/>
    <w:rsid w:val="001F1088"/>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87"/>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A29"/>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6C8"/>
    <w:rsid w:val="002B4E22"/>
    <w:rsid w:val="002B6539"/>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5FA"/>
    <w:rsid w:val="0033601F"/>
    <w:rsid w:val="00336805"/>
    <w:rsid w:val="00337351"/>
    <w:rsid w:val="00341A54"/>
    <w:rsid w:val="00341EDC"/>
    <w:rsid w:val="00344A4F"/>
    <w:rsid w:val="00344D17"/>
    <w:rsid w:val="00345CD3"/>
    <w:rsid w:val="0034669F"/>
    <w:rsid w:val="003470C4"/>
    <w:rsid w:val="00351498"/>
    <w:rsid w:val="00352B22"/>
    <w:rsid w:val="00352CBF"/>
    <w:rsid w:val="00354547"/>
    <w:rsid w:val="003549F5"/>
    <w:rsid w:val="00355ACB"/>
    <w:rsid w:val="003567DE"/>
    <w:rsid w:val="003574F3"/>
    <w:rsid w:val="00357831"/>
    <w:rsid w:val="003604A5"/>
    <w:rsid w:val="0036114B"/>
    <w:rsid w:val="00361585"/>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311"/>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B3B"/>
    <w:rsid w:val="003A7FF8"/>
    <w:rsid w:val="003B17AC"/>
    <w:rsid w:val="003B2143"/>
    <w:rsid w:val="003B227A"/>
    <w:rsid w:val="003B3A77"/>
    <w:rsid w:val="003B4319"/>
    <w:rsid w:val="003B5770"/>
    <w:rsid w:val="003B5854"/>
    <w:rsid w:val="003B6764"/>
    <w:rsid w:val="003B7A8B"/>
    <w:rsid w:val="003C216D"/>
    <w:rsid w:val="003C247E"/>
    <w:rsid w:val="003C294B"/>
    <w:rsid w:val="003C5046"/>
    <w:rsid w:val="003C5B54"/>
    <w:rsid w:val="003C6068"/>
    <w:rsid w:val="003C7AEC"/>
    <w:rsid w:val="003D2BA3"/>
    <w:rsid w:val="003D316B"/>
    <w:rsid w:val="003D3C22"/>
    <w:rsid w:val="003D56A0"/>
    <w:rsid w:val="003D609F"/>
    <w:rsid w:val="003D69F5"/>
    <w:rsid w:val="003D7089"/>
    <w:rsid w:val="003D7828"/>
    <w:rsid w:val="003D7DDB"/>
    <w:rsid w:val="003E024F"/>
    <w:rsid w:val="003E02C7"/>
    <w:rsid w:val="003E0543"/>
    <w:rsid w:val="003E061D"/>
    <w:rsid w:val="003E0B5A"/>
    <w:rsid w:val="003E1682"/>
    <w:rsid w:val="003E31E3"/>
    <w:rsid w:val="003E3E93"/>
    <w:rsid w:val="003E46D1"/>
    <w:rsid w:val="003E6214"/>
    <w:rsid w:val="003F070E"/>
    <w:rsid w:val="003F1206"/>
    <w:rsid w:val="003F1CD7"/>
    <w:rsid w:val="003F2418"/>
    <w:rsid w:val="003F28DB"/>
    <w:rsid w:val="003F2EEE"/>
    <w:rsid w:val="003F58B0"/>
    <w:rsid w:val="003F776F"/>
    <w:rsid w:val="004007E9"/>
    <w:rsid w:val="00400810"/>
    <w:rsid w:val="00401825"/>
    <w:rsid w:val="00401BBC"/>
    <w:rsid w:val="0040243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2E76"/>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3E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26CD"/>
    <w:rsid w:val="004C47D5"/>
    <w:rsid w:val="004C4CAF"/>
    <w:rsid w:val="004C5E33"/>
    <w:rsid w:val="004C60A3"/>
    <w:rsid w:val="004C6CDA"/>
    <w:rsid w:val="004D10D4"/>
    <w:rsid w:val="004D16BD"/>
    <w:rsid w:val="004D2AAB"/>
    <w:rsid w:val="004D3C7F"/>
    <w:rsid w:val="004D42CB"/>
    <w:rsid w:val="004D6E90"/>
    <w:rsid w:val="004D6F2B"/>
    <w:rsid w:val="004E0248"/>
    <w:rsid w:val="004E16D6"/>
    <w:rsid w:val="004E21A3"/>
    <w:rsid w:val="004E32EA"/>
    <w:rsid w:val="004E3517"/>
    <w:rsid w:val="004E3F0D"/>
    <w:rsid w:val="004E48A5"/>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E87"/>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2A22"/>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2BA"/>
    <w:rsid w:val="005F55F5"/>
    <w:rsid w:val="005F5EC1"/>
    <w:rsid w:val="005F67A9"/>
    <w:rsid w:val="005F6B6D"/>
    <w:rsid w:val="005F73CA"/>
    <w:rsid w:val="006008F8"/>
    <w:rsid w:val="006036C2"/>
    <w:rsid w:val="00605507"/>
    <w:rsid w:val="00605AAB"/>
    <w:rsid w:val="00606BEB"/>
    <w:rsid w:val="0061014A"/>
    <w:rsid w:val="0061054B"/>
    <w:rsid w:val="006110FB"/>
    <w:rsid w:val="00612FB0"/>
    <w:rsid w:val="00612FC7"/>
    <w:rsid w:val="0061356D"/>
    <w:rsid w:val="00613E26"/>
    <w:rsid w:val="00615641"/>
    <w:rsid w:val="00615A66"/>
    <w:rsid w:val="00616959"/>
    <w:rsid w:val="00617173"/>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DBB"/>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46E4"/>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F90"/>
    <w:rsid w:val="006B63A2"/>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29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3A53"/>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46"/>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EBC"/>
    <w:rsid w:val="0080064F"/>
    <w:rsid w:val="00801B85"/>
    <w:rsid w:val="00803850"/>
    <w:rsid w:val="008039E8"/>
    <w:rsid w:val="00804385"/>
    <w:rsid w:val="00804646"/>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5CF2"/>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811"/>
    <w:rsid w:val="00856428"/>
    <w:rsid w:val="00856AC7"/>
    <w:rsid w:val="00856FA4"/>
    <w:rsid w:val="00860869"/>
    <w:rsid w:val="00860E60"/>
    <w:rsid w:val="0086102A"/>
    <w:rsid w:val="0086162B"/>
    <w:rsid w:val="00861710"/>
    <w:rsid w:val="00861D5C"/>
    <w:rsid w:val="00861E7C"/>
    <w:rsid w:val="00862DA9"/>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2CD"/>
    <w:rsid w:val="009842F3"/>
    <w:rsid w:val="00984EBF"/>
    <w:rsid w:val="00985099"/>
    <w:rsid w:val="00985D32"/>
    <w:rsid w:val="00986514"/>
    <w:rsid w:val="00986FCC"/>
    <w:rsid w:val="00990FD6"/>
    <w:rsid w:val="0099341E"/>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133"/>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3E3"/>
    <w:rsid w:val="00A2270B"/>
    <w:rsid w:val="00A22B04"/>
    <w:rsid w:val="00A23B89"/>
    <w:rsid w:val="00A23C4F"/>
    <w:rsid w:val="00A23FE3"/>
    <w:rsid w:val="00A248C3"/>
    <w:rsid w:val="00A2496E"/>
    <w:rsid w:val="00A2515A"/>
    <w:rsid w:val="00A253E8"/>
    <w:rsid w:val="00A258B7"/>
    <w:rsid w:val="00A25A0C"/>
    <w:rsid w:val="00A25A83"/>
    <w:rsid w:val="00A262B6"/>
    <w:rsid w:val="00A305AD"/>
    <w:rsid w:val="00A316AE"/>
    <w:rsid w:val="00A31FE2"/>
    <w:rsid w:val="00A32743"/>
    <w:rsid w:val="00A37597"/>
    <w:rsid w:val="00A40356"/>
    <w:rsid w:val="00A40FFB"/>
    <w:rsid w:val="00A41468"/>
    <w:rsid w:val="00A414A9"/>
    <w:rsid w:val="00A44141"/>
    <w:rsid w:val="00A44CCA"/>
    <w:rsid w:val="00A44D75"/>
    <w:rsid w:val="00A47CF1"/>
    <w:rsid w:val="00A50418"/>
    <w:rsid w:val="00A50B17"/>
    <w:rsid w:val="00A50D96"/>
    <w:rsid w:val="00A53A9B"/>
    <w:rsid w:val="00A54A47"/>
    <w:rsid w:val="00A56D26"/>
    <w:rsid w:val="00A571A7"/>
    <w:rsid w:val="00A5749A"/>
    <w:rsid w:val="00A575E1"/>
    <w:rsid w:val="00A57BA8"/>
    <w:rsid w:val="00A57C35"/>
    <w:rsid w:val="00A608FB"/>
    <w:rsid w:val="00A60D83"/>
    <w:rsid w:val="00A60F68"/>
    <w:rsid w:val="00A6343F"/>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66B3"/>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63"/>
    <w:rsid w:val="00B553B2"/>
    <w:rsid w:val="00B555C8"/>
    <w:rsid w:val="00B55917"/>
    <w:rsid w:val="00B55D87"/>
    <w:rsid w:val="00B5646A"/>
    <w:rsid w:val="00B56F3D"/>
    <w:rsid w:val="00B57921"/>
    <w:rsid w:val="00B57E78"/>
    <w:rsid w:val="00B57EB8"/>
    <w:rsid w:val="00B609F6"/>
    <w:rsid w:val="00B60E75"/>
    <w:rsid w:val="00B61034"/>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216"/>
    <w:rsid w:val="00C127F2"/>
    <w:rsid w:val="00C13B34"/>
    <w:rsid w:val="00C13F26"/>
    <w:rsid w:val="00C1474E"/>
    <w:rsid w:val="00C14C37"/>
    <w:rsid w:val="00C157AA"/>
    <w:rsid w:val="00C162E1"/>
    <w:rsid w:val="00C16BE4"/>
    <w:rsid w:val="00C16D0B"/>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73"/>
    <w:rsid w:val="00CD32BD"/>
    <w:rsid w:val="00CD34C7"/>
    <w:rsid w:val="00CD438A"/>
    <w:rsid w:val="00CD5653"/>
    <w:rsid w:val="00CD5E6D"/>
    <w:rsid w:val="00CD63C8"/>
    <w:rsid w:val="00CD69E4"/>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D4E"/>
    <w:rsid w:val="00D373F1"/>
    <w:rsid w:val="00D37567"/>
    <w:rsid w:val="00D37D33"/>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F33"/>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5AE"/>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784"/>
    <w:rsid w:val="00DC4001"/>
    <w:rsid w:val="00DC41C3"/>
    <w:rsid w:val="00DC4A3C"/>
    <w:rsid w:val="00DC4FA4"/>
    <w:rsid w:val="00DC5B37"/>
    <w:rsid w:val="00DC7B0A"/>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8"/>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256"/>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0F43"/>
    <w:rsid w:val="00E814D4"/>
    <w:rsid w:val="00E81A1A"/>
    <w:rsid w:val="00E81C3E"/>
    <w:rsid w:val="00E82359"/>
    <w:rsid w:val="00E82B6D"/>
    <w:rsid w:val="00E83187"/>
    <w:rsid w:val="00E831E9"/>
    <w:rsid w:val="00E84DDA"/>
    <w:rsid w:val="00E8608F"/>
    <w:rsid w:val="00E86C1D"/>
    <w:rsid w:val="00E90703"/>
    <w:rsid w:val="00E90A62"/>
    <w:rsid w:val="00E9265E"/>
    <w:rsid w:val="00E9563D"/>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178"/>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06BB"/>
    <w:rsid w:val="00F11EBE"/>
    <w:rsid w:val="00F12293"/>
    <w:rsid w:val="00F12BA8"/>
    <w:rsid w:val="00F12D7A"/>
    <w:rsid w:val="00F130D0"/>
    <w:rsid w:val="00F13AC6"/>
    <w:rsid w:val="00F14933"/>
    <w:rsid w:val="00F14F9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4FDD"/>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0E44"/>
    <w:rsid w:val="00F71436"/>
    <w:rsid w:val="00F718A8"/>
    <w:rsid w:val="00F7207E"/>
    <w:rsid w:val="00F72183"/>
    <w:rsid w:val="00F75C12"/>
    <w:rsid w:val="00F76388"/>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4729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256311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76768840">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0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rotonin-norepinephrine_reuptake_inhibi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11AE-3AB5-4413-BE51-FF1C8BF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2592</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2012-05-22T16:26:00Z</dcterms:created>
  <dcterms:modified xsi:type="dcterms:W3CDTF">2012-05-22T16:26:00Z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