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822FD6"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FA39EA">
        <w:rPr>
          <w:caps/>
          <w:color w:val="000000" w:themeColor="text1"/>
        </w:rPr>
        <w:t>xxxxxxxxxxxxxxxxxxxxx</w:t>
      </w:r>
      <w:r w:rsidR="00C12EC5">
        <w:rPr>
          <w:caps/>
          <w:color w:val="000000" w:themeColor="text1"/>
        </w:rPr>
        <w:tab/>
      </w:r>
      <w:r w:rsidR="00CE5D24">
        <w:rPr>
          <w:caps/>
          <w:color w:val="000000" w:themeColor="text1"/>
        </w:rPr>
        <w:t xml:space="preserve">     </w:t>
      </w:r>
      <w:r w:rsidR="00C12EC5">
        <w:rPr>
          <w:caps/>
          <w:color w:val="000000" w:themeColor="text1"/>
        </w:rPr>
        <w:tab/>
      </w:r>
      <w:r w:rsidR="00CE5D24">
        <w:rPr>
          <w:caps/>
          <w:color w:val="000000" w:themeColor="text1"/>
        </w:rPr>
        <w:t xml:space="preserve">             </w:t>
      </w:r>
      <w:r w:rsidRPr="00822FD6">
        <w:rPr>
          <w:caps/>
          <w:color w:val="000000" w:themeColor="text1"/>
        </w:rPr>
        <w:t xml:space="preserve">BRANCH OF SERVICE: </w:t>
      </w:r>
      <w:r w:rsidR="004C24C5" w:rsidRPr="00822FD6">
        <w:rPr>
          <w:caps/>
          <w:color w:val="000000" w:themeColor="text1"/>
        </w:rPr>
        <w:t xml:space="preserve"> </w:t>
      </w:r>
      <w:r w:rsidR="00332DE3" w:rsidRPr="00822FD6">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822FD6">
        <w:rPr>
          <w:caps/>
          <w:color w:val="000000" w:themeColor="text1"/>
        </w:rPr>
        <w:t>C</w:t>
      </w:r>
      <w:r w:rsidR="00DE3AAD" w:rsidRPr="00822FD6">
        <w:rPr>
          <w:caps/>
          <w:color w:val="000000" w:themeColor="text1"/>
        </w:rPr>
        <w:t>ASE NUMBER:  PD</w:t>
      </w:r>
      <w:r w:rsidR="008F58E1" w:rsidRPr="00822FD6">
        <w:rPr>
          <w:caps/>
          <w:color w:val="000000" w:themeColor="text1"/>
        </w:rPr>
        <w:t>1</w:t>
      </w:r>
      <w:r w:rsidR="00822FD6" w:rsidRPr="00822FD6">
        <w:rPr>
          <w:caps/>
          <w:color w:val="000000" w:themeColor="text1"/>
        </w:rPr>
        <w:t>2</w:t>
      </w:r>
      <w:r w:rsidR="00DE3AAD" w:rsidRPr="00822FD6">
        <w:rPr>
          <w:caps/>
          <w:color w:val="000000" w:themeColor="text1"/>
        </w:rPr>
        <w:t>00</w:t>
      </w:r>
      <w:r w:rsidR="00822FD6" w:rsidRPr="00822FD6">
        <w:rPr>
          <w:caps/>
          <w:color w:val="000000" w:themeColor="text1"/>
        </w:rPr>
        <w:t>013</w:t>
      </w:r>
      <w:r w:rsidR="00C12EC5">
        <w:rPr>
          <w:color w:val="000000" w:themeColor="text1"/>
        </w:rPr>
        <w:tab/>
      </w:r>
      <w:r w:rsidR="00C12EC5">
        <w:rPr>
          <w:color w:val="000000" w:themeColor="text1"/>
        </w:rPr>
        <w:tab/>
      </w:r>
      <w:r w:rsidR="00C12EC5">
        <w:rPr>
          <w:color w:val="000000" w:themeColor="text1"/>
        </w:rPr>
        <w:tab/>
      </w:r>
      <w:r w:rsidR="00CE5D24">
        <w:rPr>
          <w:color w:val="000000" w:themeColor="text1"/>
        </w:rPr>
        <w:t xml:space="preserve">             </w:t>
      </w:r>
      <w:r w:rsidR="00DE3AAD" w:rsidRPr="001F29F9">
        <w:rPr>
          <w:color w:val="000000" w:themeColor="text1"/>
        </w:rPr>
        <w:t>SEPARATION DATE:  200</w:t>
      </w:r>
      <w:r w:rsidR="00822FD6">
        <w:rPr>
          <w:color w:val="000000" w:themeColor="text1"/>
        </w:rPr>
        <w:t>50809</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C12EC5">
        <w:rPr>
          <w:caps/>
          <w:color w:val="000000" w:themeColor="text1"/>
        </w:rPr>
        <w:t>2</w:t>
      </w:r>
      <w:r w:rsidR="002C3C87">
        <w:rPr>
          <w:caps/>
          <w:color w:val="000000" w:themeColor="text1"/>
        </w:rPr>
        <w:t>0712</w:t>
      </w:r>
    </w:p>
    <w:p w:rsidR="00C12EC5" w:rsidRPr="001F29F9" w:rsidRDefault="00C12EC5" w:rsidP="00C12EC5">
      <w:pPr>
        <w:pBdr>
          <w:bottom w:val="single" w:sz="12" w:space="1" w:color="auto"/>
        </w:pBdr>
        <w:tabs>
          <w:tab w:val="left" w:pos="288"/>
          <w:tab w:val="left" w:pos="4752"/>
        </w:tabs>
        <w:jc w:val="both"/>
        <w:rPr>
          <w:color w:val="000000" w:themeColor="text1"/>
        </w:rPr>
      </w:pPr>
    </w:p>
    <w:p w:rsidR="00822FD6" w:rsidRPr="00822FD6" w:rsidRDefault="00822FD6" w:rsidP="00BF0E94">
      <w:pPr>
        <w:tabs>
          <w:tab w:val="left" w:pos="288"/>
          <w:tab w:val="left" w:pos="4752"/>
        </w:tabs>
        <w:jc w:val="both"/>
        <w:rPr>
          <w:color w:val="000000" w:themeColor="text1"/>
          <w:u w:val="single"/>
        </w:rPr>
      </w:pPr>
    </w:p>
    <w:p w:rsidR="00F63FC7" w:rsidRPr="00C12EC5" w:rsidRDefault="00FB0E80" w:rsidP="00BF0E94">
      <w:pPr>
        <w:tabs>
          <w:tab w:val="left" w:pos="288"/>
          <w:tab w:val="left" w:pos="4752"/>
        </w:tabs>
        <w:jc w:val="both"/>
        <w:rPr>
          <w:color w:val="000000" w:themeColor="text1"/>
          <w:szCs w:val="24"/>
        </w:rPr>
      </w:pPr>
      <w:r w:rsidRPr="00822FD6">
        <w:rPr>
          <w:color w:val="000000" w:themeColor="text1"/>
          <w:u w:val="single"/>
        </w:rPr>
        <w:t>SUMMARY OF CASE</w:t>
      </w:r>
      <w:r w:rsidRPr="00822FD6">
        <w:rPr>
          <w:color w:val="000000" w:themeColor="text1"/>
        </w:rPr>
        <w:t xml:space="preserve">:  </w:t>
      </w:r>
      <w:r w:rsidR="009759C2" w:rsidRPr="00822FD6">
        <w:rPr>
          <w:color w:val="000000" w:themeColor="text1"/>
        </w:rPr>
        <w:t>Data extracted from the available evidence of record reflects that this covered individual (CI)</w:t>
      </w:r>
      <w:r w:rsidR="00570754" w:rsidRPr="00822FD6">
        <w:rPr>
          <w:color w:val="000000" w:themeColor="text1"/>
        </w:rPr>
        <w:t xml:space="preserve"> </w:t>
      </w:r>
      <w:r w:rsidR="002C6E5B" w:rsidRPr="00822FD6">
        <w:rPr>
          <w:color w:val="000000" w:themeColor="text1"/>
          <w:szCs w:val="24"/>
        </w:rPr>
        <w:t xml:space="preserve">was </w:t>
      </w:r>
      <w:r w:rsidR="00E322F7" w:rsidRPr="00822FD6">
        <w:rPr>
          <w:color w:val="000000" w:themeColor="text1"/>
          <w:szCs w:val="24"/>
        </w:rPr>
        <w:t>an active duty</w:t>
      </w:r>
      <w:r w:rsidR="006D4E0E" w:rsidRPr="00822FD6">
        <w:rPr>
          <w:color w:val="000000" w:themeColor="text1"/>
          <w:szCs w:val="24"/>
        </w:rPr>
        <w:t xml:space="preserve"> </w:t>
      </w:r>
      <w:r w:rsidR="00822FD6" w:rsidRPr="00822FD6">
        <w:rPr>
          <w:color w:val="000000" w:themeColor="text1"/>
          <w:szCs w:val="24"/>
        </w:rPr>
        <w:t>PV2</w:t>
      </w:r>
      <w:r w:rsidR="00661BA2" w:rsidRPr="00822FD6">
        <w:rPr>
          <w:color w:val="000000" w:themeColor="text1"/>
          <w:szCs w:val="24"/>
        </w:rPr>
        <w:t>/E-</w:t>
      </w:r>
      <w:r w:rsidR="00822FD6" w:rsidRPr="00822FD6">
        <w:rPr>
          <w:color w:val="000000" w:themeColor="text1"/>
          <w:szCs w:val="24"/>
        </w:rPr>
        <w:t>2</w:t>
      </w:r>
      <w:r w:rsidR="00705C40" w:rsidRPr="00822FD6">
        <w:rPr>
          <w:color w:val="000000" w:themeColor="text1"/>
          <w:szCs w:val="24"/>
        </w:rPr>
        <w:t xml:space="preserve"> (</w:t>
      </w:r>
      <w:r w:rsidR="00822FD6" w:rsidRPr="00822FD6">
        <w:rPr>
          <w:color w:val="000000" w:themeColor="text1"/>
          <w:szCs w:val="24"/>
        </w:rPr>
        <w:t>25U10</w:t>
      </w:r>
      <w:r w:rsidR="00CE5D24">
        <w:rPr>
          <w:color w:val="000000" w:themeColor="text1"/>
          <w:szCs w:val="24"/>
        </w:rPr>
        <w:t>/</w:t>
      </w:r>
      <w:r w:rsidR="00822FD6" w:rsidRPr="00822FD6">
        <w:rPr>
          <w:color w:val="000000" w:themeColor="text1"/>
          <w:szCs w:val="24"/>
        </w:rPr>
        <w:t>Signal Support Specialist</w:t>
      </w:r>
      <w:r w:rsidR="00E322F7" w:rsidRPr="00822FD6">
        <w:rPr>
          <w:color w:val="000000" w:themeColor="text1"/>
          <w:szCs w:val="24"/>
        </w:rPr>
        <w:t>)</w:t>
      </w:r>
      <w:r w:rsidR="00C75F3D" w:rsidRPr="00822FD6">
        <w:rPr>
          <w:color w:val="000000" w:themeColor="text1"/>
          <w:szCs w:val="24"/>
        </w:rPr>
        <w:t xml:space="preserve">, </w:t>
      </w:r>
      <w:r w:rsidR="002C6E5B" w:rsidRPr="00822FD6">
        <w:rPr>
          <w:color w:val="000000" w:themeColor="text1"/>
          <w:szCs w:val="24"/>
        </w:rPr>
        <w:t xml:space="preserve">medically separated for </w:t>
      </w:r>
      <w:r w:rsidR="00C12EC5">
        <w:rPr>
          <w:color w:val="000000" w:themeColor="text1"/>
          <w:szCs w:val="24"/>
        </w:rPr>
        <w:t>a bilateral hip condition</w:t>
      </w:r>
      <w:r w:rsidR="00822FD6" w:rsidRPr="00822FD6">
        <w:rPr>
          <w:color w:val="000000" w:themeColor="text1"/>
          <w:szCs w:val="24"/>
        </w:rPr>
        <w:t>.</w:t>
      </w:r>
      <w:r w:rsidR="00C12EC5">
        <w:rPr>
          <w:color w:val="000000" w:themeColor="text1"/>
          <w:szCs w:val="24"/>
        </w:rPr>
        <w:t xml:space="preserve">  </w:t>
      </w:r>
      <w:r w:rsidR="00643C8F" w:rsidRPr="00822FD6">
        <w:rPr>
          <w:color w:val="000000" w:themeColor="text1"/>
          <w:szCs w:val="24"/>
        </w:rPr>
        <w:t xml:space="preserve">She did not respond adequately to treatment and was unable to perform within her Military Occupational Specialty (MOS) or meet physical fitness standards.  </w:t>
      </w:r>
      <w:r w:rsidR="00822FD6" w:rsidRPr="00822FD6">
        <w:rPr>
          <w:color w:val="000000" w:themeColor="text1"/>
          <w:szCs w:val="24"/>
        </w:rPr>
        <w:t>She</w:t>
      </w:r>
      <w:r w:rsidR="00643C8F" w:rsidRPr="00822FD6">
        <w:rPr>
          <w:color w:val="000000" w:themeColor="text1"/>
          <w:szCs w:val="24"/>
        </w:rPr>
        <w:t xml:space="preserve"> was issued a permanent </w:t>
      </w:r>
      <w:r w:rsidR="00822FD6" w:rsidRPr="00822FD6">
        <w:rPr>
          <w:color w:val="000000" w:themeColor="text1"/>
          <w:szCs w:val="24"/>
        </w:rPr>
        <w:t>L3</w:t>
      </w:r>
      <w:r w:rsidR="00643C8F" w:rsidRPr="00822FD6">
        <w:rPr>
          <w:color w:val="000000" w:themeColor="text1"/>
          <w:szCs w:val="24"/>
        </w:rPr>
        <w:t xml:space="preserve"> profile and underwent a Medical Evaluation Board (MEB).</w:t>
      </w:r>
      <w:r w:rsidR="00C12EC5">
        <w:rPr>
          <w:color w:val="000000" w:themeColor="text1"/>
          <w:szCs w:val="24"/>
        </w:rPr>
        <w:t xml:space="preserve">  </w:t>
      </w:r>
      <w:r w:rsidR="00822FD6" w:rsidRPr="00822FD6">
        <w:rPr>
          <w:color w:val="000000" w:themeColor="text1"/>
          <w:szCs w:val="24"/>
        </w:rPr>
        <w:t xml:space="preserve">Bilateral </w:t>
      </w:r>
      <w:r w:rsidR="00CE5D24">
        <w:rPr>
          <w:color w:val="000000" w:themeColor="text1"/>
          <w:szCs w:val="24"/>
        </w:rPr>
        <w:t>f</w:t>
      </w:r>
      <w:r w:rsidR="00822FD6" w:rsidRPr="00822FD6">
        <w:rPr>
          <w:color w:val="000000" w:themeColor="text1"/>
          <w:szCs w:val="24"/>
        </w:rPr>
        <w:t xml:space="preserve">emoral </w:t>
      </w:r>
      <w:r w:rsidR="00CE5D24">
        <w:rPr>
          <w:color w:val="000000" w:themeColor="text1"/>
          <w:szCs w:val="24"/>
        </w:rPr>
        <w:t>n</w:t>
      </w:r>
      <w:r w:rsidR="00822FD6" w:rsidRPr="00822FD6">
        <w:rPr>
          <w:color w:val="000000" w:themeColor="text1"/>
          <w:szCs w:val="24"/>
        </w:rPr>
        <w:t xml:space="preserve">eck </w:t>
      </w:r>
      <w:r w:rsidR="00CE5D24">
        <w:rPr>
          <w:color w:val="000000" w:themeColor="text1"/>
          <w:szCs w:val="24"/>
        </w:rPr>
        <w:t>s</w:t>
      </w:r>
      <w:r w:rsidR="00822FD6" w:rsidRPr="00822FD6">
        <w:rPr>
          <w:color w:val="000000" w:themeColor="text1"/>
          <w:szCs w:val="24"/>
        </w:rPr>
        <w:t xml:space="preserve">tress </w:t>
      </w:r>
      <w:proofErr w:type="gramStart"/>
      <w:r w:rsidR="00CE5D24">
        <w:rPr>
          <w:color w:val="000000" w:themeColor="text1"/>
          <w:szCs w:val="24"/>
        </w:rPr>
        <w:t>f</w:t>
      </w:r>
      <w:r w:rsidR="00822FD6" w:rsidRPr="00822FD6">
        <w:rPr>
          <w:color w:val="000000" w:themeColor="text1"/>
          <w:szCs w:val="24"/>
        </w:rPr>
        <w:t>ractures was</w:t>
      </w:r>
      <w:proofErr w:type="gramEnd"/>
      <w:r w:rsidR="000A33C8" w:rsidRPr="00822FD6">
        <w:rPr>
          <w:color w:val="000000" w:themeColor="text1"/>
          <w:szCs w:val="24"/>
        </w:rPr>
        <w:t xml:space="preserve"> forwarded to the Physical Evaluation Board (PEB) as medically unacceptable IAW AR 40-501</w:t>
      </w:r>
      <w:r w:rsidR="00376E08" w:rsidRPr="00822FD6">
        <w:rPr>
          <w:color w:val="000000" w:themeColor="text1"/>
          <w:szCs w:val="24"/>
        </w:rPr>
        <w:t>.</w:t>
      </w:r>
      <w:r w:rsidR="00C12EC5">
        <w:rPr>
          <w:color w:val="000000" w:themeColor="text1"/>
          <w:szCs w:val="24"/>
        </w:rPr>
        <w:t xml:space="preserve">  </w:t>
      </w:r>
      <w:r w:rsidR="001A5E62" w:rsidRPr="00822FD6">
        <w:rPr>
          <w:color w:val="000000" w:themeColor="text1"/>
          <w:szCs w:val="24"/>
        </w:rPr>
        <w:t xml:space="preserve">No other conditions appeared on the MEB’s </w:t>
      </w:r>
      <w:r w:rsidR="001A5E62" w:rsidRPr="002C3C87">
        <w:rPr>
          <w:color w:val="000000" w:themeColor="text1"/>
          <w:szCs w:val="24"/>
        </w:rPr>
        <w:t>submission.  Other conditions included in the</w:t>
      </w:r>
      <w:r w:rsidR="00DC17F2" w:rsidRPr="002C3C87">
        <w:rPr>
          <w:color w:val="000000" w:themeColor="text1"/>
          <w:szCs w:val="24"/>
        </w:rPr>
        <w:t xml:space="preserve"> </w:t>
      </w:r>
      <w:r w:rsidR="00555C66" w:rsidRPr="002C3C87">
        <w:rPr>
          <w:color w:val="000000" w:themeColor="text1"/>
          <w:szCs w:val="24"/>
        </w:rPr>
        <w:t xml:space="preserve">Disability Evaluation System (DES) </w:t>
      </w:r>
      <w:r w:rsidR="001A5E62" w:rsidRPr="002C3C87">
        <w:rPr>
          <w:color w:val="000000" w:themeColor="text1"/>
          <w:szCs w:val="24"/>
        </w:rPr>
        <w:t>packet will be discussed below.</w:t>
      </w:r>
      <w:r w:rsidR="00C12EC5" w:rsidRPr="002C3C87">
        <w:rPr>
          <w:color w:val="000000" w:themeColor="text1"/>
          <w:szCs w:val="24"/>
        </w:rPr>
        <w:t xml:space="preserve">  </w:t>
      </w:r>
      <w:r w:rsidR="00842BAA" w:rsidRPr="002C3C87">
        <w:rPr>
          <w:color w:val="000000" w:themeColor="text1"/>
          <w:szCs w:val="24"/>
        </w:rPr>
        <w:t xml:space="preserve">The PEB adjudicated the </w:t>
      </w:r>
      <w:r w:rsidR="00C12EC5" w:rsidRPr="002C3C87">
        <w:rPr>
          <w:color w:val="000000" w:themeColor="text1"/>
          <w:szCs w:val="24"/>
        </w:rPr>
        <w:t>bilateral h</w:t>
      </w:r>
      <w:r w:rsidR="00822FD6" w:rsidRPr="002C3C87">
        <w:rPr>
          <w:color w:val="000000" w:themeColor="text1"/>
          <w:szCs w:val="24"/>
        </w:rPr>
        <w:t xml:space="preserve">ip </w:t>
      </w:r>
      <w:r w:rsidR="00842BAA" w:rsidRPr="002C3C87">
        <w:rPr>
          <w:color w:val="000000" w:themeColor="text1"/>
          <w:szCs w:val="24"/>
        </w:rPr>
        <w:t xml:space="preserve">condition as unfitting, rated </w:t>
      </w:r>
      <w:r w:rsidR="00822FD6" w:rsidRPr="002C3C87">
        <w:rPr>
          <w:color w:val="000000" w:themeColor="text1"/>
          <w:szCs w:val="24"/>
        </w:rPr>
        <w:t>10</w:t>
      </w:r>
      <w:r w:rsidR="00842BAA" w:rsidRPr="002C3C87">
        <w:rPr>
          <w:color w:val="000000" w:themeColor="text1"/>
          <w:szCs w:val="24"/>
        </w:rPr>
        <w:t xml:space="preserve">% </w:t>
      </w:r>
      <w:r w:rsidR="00822FD6" w:rsidRPr="002C3C87">
        <w:rPr>
          <w:color w:val="000000" w:themeColor="text1"/>
          <w:szCs w:val="24"/>
        </w:rPr>
        <w:t xml:space="preserve">with likely </w:t>
      </w:r>
      <w:r w:rsidR="00842BAA" w:rsidRPr="002C3C87">
        <w:rPr>
          <w:color w:val="000000" w:themeColor="text1"/>
          <w:szCs w:val="24"/>
        </w:rPr>
        <w:t>application of the US Army Physical Disability Agency (USAPDA) pain policy.</w:t>
      </w:r>
      <w:r w:rsidR="00C12EC5" w:rsidRPr="002C3C87">
        <w:rPr>
          <w:color w:val="000000" w:themeColor="text1"/>
          <w:szCs w:val="24"/>
        </w:rPr>
        <w:t xml:space="preserve">  </w:t>
      </w:r>
      <w:r w:rsidR="00B20624" w:rsidRPr="002C3C87">
        <w:rPr>
          <w:color w:val="000000" w:themeColor="text1"/>
        </w:rPr>
        <w:t xml:space="preserve">The CI </w:t>
      </w:r>
      <w:r w:rsidR="00190E48" w:rsidRPr="002C3C87">
        <w:rPr>
          <w:color w:val="000000" w:themeColor="text1"/>
        </w:rPr>
        <w:t xml:space="preserve">made no appeals, </w:t>
      </w:r>
      <w:r w:rsidR="00B20624" w:rsidRPr="002C3C87">
        <w:rPr>
          <w:color w:val="000000" w:themeColor="text1"/>
        </w:rPr>
        <w:t xml:space="preserve">and was medically separated with a </w:t>
      </w:r>
      <w:r w:rsidR="00822FD6" w:rsidRPr="002C3C87">
        <w:rPr>
          <w:color w:val="000000" w:themeColor="text1"/>
        </w:rPr>
        <w:t>10</w:t>
      </w:r>
      <w:r w:rsidR="00B20624" w:rsidRPr="002C3C87">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C12EC5"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822FD6">
        <w:rPr>
          <w:color w:val="000000" w:themeColor="text1"/>
        </w:rPr>
        <w:t xml:space="preserve"> “After separation form the military I still have flare-ups where my legs and hips gives me problems. Swelling of both legs. Flare-ups come from sitting or standing longer than 30 mins to an hour.”</w:t>
      </w:r>
      <w:r w:rsidR="00C12EC5">
        <w:rPr>
          <w:color w:val="000000" w:themeColor="text1"/>
        </w:rPr>
        <w:t xml:space="preserve">  </w:t>
      </w:r>
      <w:r w:rsidR="00D54DDB" w:rsidRPr="00822FD6">
        <w:rPr>
          <w:rFonts w:eastAsiaTheme="minorHAnsi"/>
          <w:color w:val="000000" w:themeColor="text1"/>
          <w:szCs w:val="24"/>
        </w:rPr>
        <w:t>She</w:t>
      </w:r>
      <w:r w:rsidR="00ED5284" w:rsidRPr="00822FD6">
        <w:rPr>
          <w:rFonts w:eastAsiaTheme="minorHAnsi"/>
          <w:color w:val="000000" w:themeColor="text1"/>
          <w:szCs w:val="24"/>
        </w:rPr>
        <w:t xml:space="preserve"> elaborates</w:t>
      </w:r>
      <w:r w:rsidR="00ED5284" w:rsidRPr="001F29F9">
        <w:rPr>
          <w:rFonts w:eastAsiaTheme="minorHAnsi"/>
          <w:color w:val="000000" w:themeColor="text1"/>
          <w:szCs w:val="24"/>
        </w:rPr>
        <w:t xml:space="preserve">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C12EC5" w:rsidRPr="00C566C9" w:rsidRDefault="00C12EC5" w:rsidP="00C12EC5">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EB6428">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CE5D24">
        <w:rPr>
          <w:color w:val="auto"/>
        </w:rPr>
        <w:t>.</w:t>
      </w:r>
      <w:r w:rsidRPr="00C566C9">
        <w:rPr>
          <w:color w:val="auto"/>
        </w:rPr>
        <w:t>”</w:t>
      </w:r>
      <w:r>
        <w:rPr>
          <w:color w:val="auto"/>
        </w:rPr>
        <w:t xml:space="preserve">  </w:t>
      </w:r>
      <w:r w:rsidRPr="009239C0">
        <w:rPr>
          <w:color w:val="auto"/>
        </w:rPr>
        <w:t xml:space="preserve">The </w:t>
      </w:r>
      <w:r w:rsidRPr="00134053">
        <w:rPr>
          <w:color w:val="auto"/>
        </w:rPr>
        <w:t>ratings for unfitting conditions will be reviewed in all cases.  Any conditions or contention not requested in this application, or otherwise outside the Board’s defined scope of review, remain eligible for future consideration by the Army Board for the Correction of Military Records (BCMR)</w:t>
      </w:r>
      <w:r w:rsidR="00134053" w:rsidRPr="00134053">
        <w:rPr>
          <w:color w:val="auto"/>
        </w:rPr>
        <w:t>.</w:t>
      </w:r>
    </w:p>
    <w:p w:rsidR="00C12EC5" w:rsidRPr="001F29F9" w:rsidRDefault="00C12EC5" w:rsidP="00C12EC5">
      <w:pPr>
        <w:pBdr>
          <w:bottom w:val="single" w:sz="12" w:space="1" w:color="auto"/>
        </w:pBdr>
        <w:tabs>
          <w:tab w:val="left" w:pos="288"/>
          <w:tab w:val="left" w:pos="4752"/>
        </w:tabs>
        <w:jc w:val="both"/>
        <w:rPr>
          <w:color w:val="000000" w:themeColor="text1"/>
        </w:rPr>
      </w:pPr>
    </w:p>
    <w:p w:rsidR="00C12EC5" w:rsidRDefault="00C12EC5" w:rsidP="00C12EC5">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822FD6">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822F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822FD6">
              <w:rPr>
                <w:rFonts w:ascii="Calibri" w:hAnsi="Calibri" w:cs="Calibri"/>
                <w:b/>
                <w:color w:val="000000" w:themeColor="text1"/>
                <w:sz w:val="18"/>
                <w:szCs w:val="18"/>
              </w:rPr>
              <w:t>50722</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822F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822FD6">
              <w:rPr>
                <w:rFonts w:ascii="Calibri" w:hAnsi="Calibri" w:cs="Calibri"/>
                <w:b/>
                <w:color w:val="000000" w:themeColor="text1"/>
                <w:sz w:val="18"/>
                <w:szCs w:val="18"/>
              </w:rPr>
              <w:t>2</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822FD6">
              <w:rPr>
                <w:rFonts w:ascii="Calibri" w:hAnsi="Calibri" w:cs="Calibri"/>
                <w:b/>
                <w:color w:val="000000" w:themeColor="text1"/>
                <w:sz w:val="18"/>
                <w:szCs w:val="18"/>
              </w:rPr>
              <w:t>. After Separation</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822FD6">
              <w:rPr>
                <w:rFonts w:ascii="Calibri" w:hAnsi="Calibri" w:cs="Calibri"/>
                <w:b/>
                <w:color w:val="000000" w:themeColor="text1"/>
                <w:sz w:val="18"/>
                <w:szCs w:val="18"/>
              </w:rPr>
              <w:t>50810</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2C3C87" w:rsidRDefault="002B4E22" w:rsidP="00BF0E94">
            <w:pPr>
              <w:contextualSpacing/>
              <w:rPr>
                <w:rFonts w:ascii="Calibri" w:hAnsi="Calibri" w:cs="Calibri"/>
                <w:b/>
                <w:color w:val="000000" w:themeColor="text1"/>
                <w:sz w:val="18"/>
                <w:szCs w:val="18"/>
              </w:rPr>
            </w:pPr>
            <w:r w:rsidRPr="002C3C87">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2C3C87" w:rsidRDefault="00822FD6">
            <w:pPr>
              <w:spacing w:line="180" w:lineRule="exact"/>
              <w:contextualSpacing/>
              <w:jc w:val="left"/>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Bilateral Femoral Neck Fractures</w:t>
            </w:r>
          </w:p>
        </w:tc>
        <w:tc>
          <w:tcPr>
            <w:tcW w:w="1080" w:type="dxa"/>
            <w:tcBorders>
              <w:left w:val="single" w:sz="4" w:space="0" w:color="auto"/>
            </w:tcBorders>
            <w:shd w:val="clear" w:color="auto" w:fill="FFFFFF" w:themeFill="background1"/>
            <w:vAlign w:val="center"/>
          </w:tcPr>
          <w:p w:rsidR="00BC5860" w:rsidRPr="002C3C87" w:rsidRDefault="00822FD6">
            <w:pPr>
              <w:spacing w:line="180" w:lineRule="exact"/>
              <w:contextualSpacing/>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5099-5022</w:t>
            </w:r>
          </w:p>
        </w:tc>
        <w:tc>
          <w:tcPr>
            <w:tcW w:w="900" w:type="dxa"/>
            <w:tcBorders>
              <w:right w:val="thinThickThinSmallGap" w:sz="24" w:space="0" w:color="auto"/>
            </w:tcBorders>
            <w:shd w:val="clear" w:color="auto" w:fill="FFFFFF" w:themeFill="background1"/>
            <w:vAlign w:val="center"/>
          </w:tcPr>
          <w:p w:rsidR="00BC5860" w:rsidRPr="002C3C87" w:rsidRDefault="00822FD6">
            <w:pPr>
              <w:spacing w:line="180" w:lineRule="exact"/>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2C3C87" w:rsidRDefault="00822FD6">
            <w:pPr>
              <w:spacing w:line="180" w:lineRule="exact"/>
              <w:contextualSpacing/>
              <w:jc w:val="left"/>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Stress Fracture Bilateral Hips</w:t>
            </w:r>
          </w:p>
        </w:tc>
        <w:tc>
          <w:tcPr>
            <w:tcW w:w="1080" w:type="dxa"/>
            <w:shd w:val="clear" w:color="auto" w:fill="FFFFFF" w:themeFill="background1"/>
            <w:vAlign w:val="center"/>
          </w:tcPr>
          <w:p w:rsidR="00BC5860" w:rsidRPr="002C3C87" w:rsidRDefault="00822FD6">
            <w:pPr>
              <w:spacing w:line="180" w:lineRule="exact"/>
              <w:contextualSpacing/>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5255</w:t>
            </w:r>
          </w:p>
        </w:tc>
        <w:tc>
          <w:tcPr>
            <w:tcW w:w="828" w:type="dxa"/>
            <w:shd w:val="clear" w:color="auto" w:fill="FFFFFF" w:themeFill="background1"/>
            <w:vAlign w:val="center"/>
          </w:tcPr>
          <w:p w:rsidR="00BC5860" w:rsidRPr="002C3C87" w:rsidRDefault="00822FD6">
            <w:pPr>
              <w:spacing w:line="180" w:lineRule="exact"/>
              <w:contextualSpacing/>
              <w:rPr>
                <w:rFonts w:ascii="Calibri" w:eastAsia="Times New Roman" w:hAnsi="Calibri" w:cs="Calibri"/>
                <w:color w:val="000000" w:themeColor="text1"/>
                <w:sz w:val="18"/>
                <w:szCs w:val="18"/>
              </w:rPr>
            </w:pPr>
            <w:r w:rsidRPr="002C3C87">
              <w:rPr>
                <w:rFonts w:ascii="Calibri" w:hAnsi="Calibri" w:cs="Calibri"/>
                <w:color w:val="000000" w:themeColor="text1"/>
                <w:sz w:val="18"/>
                <w:szCs w:val="18"/>
              </w:rPr>
              <w:t>0%</w:t>
            </w:r>
            <w:r w:rsidR="007A73B3" w:rsidRPr="002C3C87">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822FD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20051020</w:t>
            </w:r>
          </w:p>
        </w:tc>
      </w:tr>
      <w:tr w:rsidR="007A65A9" w:rsidRPr="001F29F9" w:rsidTr="008051EB">
        <w:trPr>
          <w:trHeight w:val="260"/>
          <w:jc w:val="center"/>
        </w:trPr>
        <w:tc>
          <w:tcPr>
            <w:tcW w:w="4158" w:type="dxa"/>
            <w:gridSpan w:val="3"/>
            <w:tcBorders>
              <w:right w:val="thinThickThinSmallGap" w:sz="24" w:space="0" w:color="auto"/>
            </w:tcBorders>
            <w:shd w:val="clear" w:color="auto" w:fill="FFFFFF" w:themeFill="background1"/>
          </w:tcPr>
          <w:p w:rsidR="00BC5860" w:rsidRPr="001F29F9" w:rsidRDefault="00822FD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822FD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822FD6">
              <w:rPr>
                <w:rFonts w:ascii="Calibri" w:hAnsi="Calibri" w:cs="Calibri"/>
                <w:color w:val="000000" w:themeColor="text1"/>
                <w:sz w:val="18"/>
                <w:szCs w:val="18"/>
              </w:rPr>
              <w:t>1</w:t>
            </w:r>
            <w:r w:rsidR="00CE5D24">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822FD6">
              <w:rPr>
                <w:rFonts w:ascii="Calibri" w:hAnsi="Calibri" w:cs="Calibri"/>
                <w:color w:val="000000" w:themeColor="text1"/>
                <w:sz w:val="18"/>
                <w:szCs w:val="18"/>
              </w:rPr>
              <w:t>3</w:t>
            </w:r>
          </w:p>
        </w:tc>
        <w:tc>
          <w:tcPr>
            <w:tcW w:w="990" w:type="dxa"/>
            <w:shd w:val="clear" w:color="auto" w:fill="FFFFFF" w:themeFill="background1"/>
            <w:vAlign w:val="center"/>
          </w:tcPr>
          <w:p w:rsidR="00BC5860" w:rsidRPr="001F29F9" w:rsidRDefault="002D08F3" w:rsidP="00822FD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822FD6">
              <w:rPr>
                <w:rFonts w:ascii="Calibri" w:hAnsi="Calibri" w:cs="Calibri"/>
                <w:color w:val="000000" w:themeColor="text1"/>
                <w:sz w:val="18"/>
                <w:szCs w:val="18"/>
              </w:rPr>
              <w:t>51020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822F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822FD6">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822F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7A73B3" w:rsidRDefault="007A73B3" w:rsidP="00A97CD9">
      <w:pPr>
        <w:pBdr>
          <w:bottom w:val="single" w:sz="12" w:space="1" w:color="auto"/>
        </w:pBdr>
        <w:tabs>
          <w:tab w:val="left" w:pos="288"/>
          <w:tab w:val="left" w:pos="4752"/>
        </w:tabs>
        <w:jc w:val="both"/>
        <w:rPr>
          <w:color w:val="000000" w:themeColor="text1"/>
          <w:sz w:val="18"/>
          <w:szCs w:val="18"/>
        </w:rPr>
      </w:pPr>
      <w:r w:rsidRPr="007A73B3">
        <w:rPr>
          <w:color w:val="000000" w:themeColor="text1"/>
          <w:sz w:val="18"/>
          <w:szCs w:val="18"/>
        </w:rPr>
        <w:t xml:space="preserve">*Rating Decision </w:t>
      </w:r>
      <w:proofErr w:type="gramStart"/>
      <w:r w:rsidRPr="007A73B3">
        <w:rPr>
          <w:color w:val="000000" w:themeColor="text1"/>
          <w:sz w:val="18"/>
          <w:szCs w:val="18"/>
        </w:rPr>
        <w:t>Denied</w:t>
      </w:r>
      <w:proofErr w:type="gramEnd"/>
      <w:r w:rsidRPr="007A73B3">
        <w:rPr>
          <w:color w:val="000000" w:themeColor="text1"/>
          <w:sz w:val="18"/>
          <w:szCs w:val="18"/>
        </w:rPr>
        <w:t xml:space="preserve"> </w:t>
      </w:r>
      <w:r w:rsidR="002650DA">
        <w:rPr>
          <w:color w:val="000000" w:themeColor="text1"/>
          <w:sz w:val="18"/>
          <w:szCs w:val="18"/>
        </w:rPr>
        <w:t>service-</w:t>
      </w:r>
      <w:r w:rsidRPr="007A73B3">
        <w:rPr>
          <w:color w:val="000000" w:themeColor="text1"/>
          <w:sz w:val="18"/>
          <w:szCs w:val="18"/>
        </w:rPr>
        <w:t>connection 20051214 and granted it 20051222</w:t>
      </w:r>
      <w:r w:rsidR="00DF41B9">
        <w:rPr>
          <w:color w:val="000000" w:themeColor="text1"/>
          <w:sz w:val="18"/>
          <w:szCs w:val="18"/>
        </w:rPr>
        <w:t xml:space="preserve"> and a Decision Review Officer upheld this decision in 20070814</w:t>
      </w:r>
      <w:r w:rsidR="004D53BB">
        <w:rPr>
          <w:color w:val="000000" w:themeColor="text1"/>
          <w:sz w:val="18"/>
          <w:szCs w:val="18"/>
        </w:rPr>
        <w:t>.</w:t>
      </w:r>
    </w:p>
    <w:p w:rsidR="007A73B3" w:rsidRPr="001F29F9" w:rsidRDefault="007A73B3" w:rsidP="00A97CD9">
      <w:pPr>
        <w:pBdr>
          <w:bottom w:val="single" w:sz="12" w:space="1" w:color="auto"/>
        </w:pBdr>
        <w:tabs>
          <w:tab w:val="left" w:pos="288"/>
          <w:tab w:val="left" w:pos="4752"/>
        </w:tabs>
        <w:jc w:val="both"/>
        <w:rPr>
          <w:color w:val="000000" w:themeColor="text1"/>
          <w:szCs w:val="24"/>
        </w:rPr>
      </w:pPr>
    </w:p>
    <w:p w:rsidR="00822FD6" w:rsidRDefault="00822FD6" w:rsidP="00822FD6">
      <w:pPr>
        <w:jc w:val="both"/>
        <w:rPr>
          <w:color w:val="000000" w:themeColor="text1"/>
        </w:rPr>
      </w:pPr>
    </w:p>
    <w:p w:rsidR="004D53BB" w:rsidRDefault="004D53BB" w:rsidP="00822FD6">
      <w:pPr>
        <w:jc w:val="both"/>
        <w:rPr>
          <w:rFonts w:asciiTheme="minorHAnsi" w:hAnsiTheme="minorHAnsi"/>
          <w:color w:val="000000" w:themeColor="text1"/>
          <w:szCs w:val="24"/>
          <w:u w:val="single"/>
        </w:rPr>
      </w:pPr>
    </w:p>
    <w:p w:rsidR="00CE5D24" w:rsidRDefault="00CE5D24" w:rsidP="00822FD6">
      <w:pPr>
        <w:jc w:val="both"/>
        <w:rPr>
          <w:rFonts w:asciiTheme="minorHAnsi" w:hAnsiTheme="minorHAnsi"/>
          <w:color w:val="000000" w:themeColor="text1"/>
          <w:szCs w:val="24"/>
          <w:u w:val="single"/>
        </w:rPr>
      </w:pPr>
    </w:p>
    <w:p w:rsidR="002C6E5B" w:rsidRPr="00134053" w:rsidRDefault="002C6E5B" w:rsidP="00822FD6">
      <w:pPr>
        <w:jc w:val="both"/>
        <w:rPr>
          <w:rFonts w:asciiTheme="minorHAnsi" w:hAnsiTheme="minorHAnsi"/>
          <w:color w:val="000000" w:themeColor="text1"/>
          <w:szCs w:val="24"/>
        </w:rPr>
      </w:pPr>
      <w:r w:rsidRPr="00134053">
        <w:rPr>
          <w:rFonts w:asciiTheme="minorHAnsi" w:hAnsiTheme="minorHAnsi"/>
          <w:color w:val="000000" w:themeColor="text1"/>
          <w:szCs w:val="24"/>
          <w:u w:val="single"/>
        </w:rPr>
        <w:t>ANALYSIS SUMMARY</w:t>
      </w:r>
      <w:r w:rsidRPr="00134053">
        <w:rPr>
          <w:rFonts w:asciiTheme="minorHAnsi" w:hAnsiTheme="minorHAnsi"/>
          <w:color w:val="000000" w:themeColor="text1"/>
          <w:szCs w:val="24"/>
        </w:rPr>
        <w:t>:</w:t>
      </w:r>
      <w:r w:rsidR="00134053" w:rsidRPr="00134053">
        <w:rPr>
          <w:rFonts w:asciiTheme="minorHAnsi" w:hAnsiTheme="minorHAnsi"/>
          <w:szCs w:val="24"/>
        </w:rPr>
        <w:t xml:space="preserve">  </w:t>
      </w:r>
      <w:r w:rsidR="00134053" w:rsidRPr="00134053">
        <w:rPr>
          <w:rFonts w:asciiTheme="minorHAnsi" w:hAnsiTheme="minorHAnsi"/>
          <w:color w:val="auto"/>
          <w:szCs w:val="24"/>
        </w:rPr>
        <w:t xml:space="preserve">The Board acknowledges the sentiment expressed in the CI’s application regarding the significant impairment with which her service-incurred condition continues to burden her.  The Board wishes to clarify that it is subject to the same laws for disability entitlements as those under which the </w:t>
      </w:r>
      <w:r w:rsidR="00CE5D24">
        <w:rPr>
          <w:rFonts w:asciiTheme="minorHAnsi" w:hAnsiTheme="minorHAnsi"/>
          <w:color w:val="auto"/>
          <w:szCs w:val="24"/>
        </w:rPr>
        <w:t>DES</w:t>
      </w:r>
      <w:r w:rsidR="00134053" w:rsidRPr="00134053">
        <w:rPr>
          <w:rFonts w:asciiTheme="minorHAnsi" w:hAnsiTheme="minorHAnsi"/>
          <w:color w:val="auto"/>
          <w:szCs w:val="24"/>
        </w:rPr>
        <w:t xml:space="preserve">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CE5D24">
        <w:rPr>
          <w:rFonts w:asciiTheme="minorHAnsi" w:hAnsiTheme="minorHAnsi"/>
          <w:color w:val="auto"/>
          <w:szCs w:val="24"/>
        </w:rPr>
        <w:t>s’</w:t>
      </w:r>
      <w:r w:rsidR="00134053" w:rsidRPr="00134053">
        <w:rPr>
          <w:rFonts w:asciiTheme="minorHAnsi" w:hAnsiTheme="minorHAnsi"/>
          <w:color w:val="auto"/>
          <w:szCs w:val="24"/>
        </w:rPr>
        <w:t xml:space="preserve"> Affairs (DVA), operating under a different set of laws (Title 38, United States Code).  The Board evaluates </w:t>
      </w:r>
      <w:r w:rsidR="00CE5D24">
        <w:rPr>
          <w:rFonts w:asciiTheme="minorHAnsi" w:hAnsiTheme="minorHAnsi"/>
          <w:color w:val="auto"/>
          <w:szCs w:val="24"/>
        </w:rPr>
        <w:t>D</w:t>
      </w:r>
      <w:r w:rsidR="00134053" w:rsidRPr="00134053">
        <w:rPr>
          <w:rFonts w:asciiTheme="minorHAnsi" w:hAnsiTheme="minorHAnsi"/>
          <w:color w:val="auto"/>
          <w:szCs w:val="24"/>
        </w:rPr>
        <w:t>VA evidence proximal to separation in arriving at its recommendations, but its authority resides in evaluating the fairness of DES fitness decisions and rating determinations for disability at the time of separation.</w:t>
      </w:r>
    </w:p>
    <w:p w:rsidR="002F6AD8" w:rsidRPr="001F29F9" w:rsidRDefault="002F6AD8" w:rsidP="00BF0E94">
      <w:pPr>
        <w:jc w:val="left"/>
        <w:rPr>
          <w:color w:val="000000" w:themeColor="text1"/>
          <w:szCs w:val="24"/>
          <w:u w:val="single"/>
        </w:rPr>
      </w:pPr>
    </w:p>
    <w:p w:rsidR="00C12EC5" w:rsidRPr="00CE5D24" w:rsidRDefault="00E310AF" w:rsidP="00C12EC5">
      <w:pPr>
        <w:jc w:val="both"/>
        <w:rPr>
          <w:color w:val="auto"/>
        </w:rPr>
      </w:pPr>
      <w:r w:rsidRPr="008828F6">
        <w:rPr>
          <w:color w:val="000000" w:themeColor="text1"/>
          <w:szCs w:val="24"/>
          <w:u w:val="single"/>
        </w:rPr>
        <w:t xml:space="preserve">Bilateral </w:t>
      </w:r>
      <w:r w:rsidR="00822FD6" w:rsidRPr="008828F6">
        <w:rPr>
          <w:color w:val="000000" w:themeColor="text1"/>
          <w:szCs w:val="24"/>
          <w:u w:val="single"/>
        </w:rPr>
        <w:t>Hip</w:t>
      </w:r>
      <w:r w:rsidR="0080588E" w:rsidRPr="008828F6">
        <w:rPr>
          <w:color w:val="000000" w:themeColor="text1"/>
          <w:szCs w:val="24"/>
          <w:u w:val="single"/>
        </w:rPr>
        <w:t xml:space="preserve"> </w:t>
      </w:r>
      <w:r w:rsidR="003F2EEE" w:rsidRPr="008828F6">
        <w:rPr>
          <w:color w:val="000000" w:themeColor="text1"/>
          <w:szCs w:val="24"/>
          <w:u w:val="single"/>
        </w:rPr>
        <w:t>Condition</w:t>
      </w:r>
      <w:r w:rsidR="003F2EEE" w:rsidRPr="008828F6">
        <w:rPr>
          <w:color w:val="000000" w:themeColor="text1"/>
          <w:szCs w:val="24"/>
        </w:rPr>
        <w:t xml:space="preserve">.  </w:t>
      </w:r>
      <w:r w:rsidR="008828F6" w:rsidRPr="008828F6">
        <w:rPr>
          <w:color w:val="000000" w:themeColor="text1"/>
          <w:szCs w:val="24"/>
        </w:rPr>
        <w:t xml:space="preserve">The CI developed bilateral hip pain while in basic training.  She was evaluated and treated for bilateral hip stress fractures yet continued to have pain and </w:t>
      </w:r>
      <w:r w:rsidR="002C3C87">
        <w:rPr>
          <w:color w:val="000000" w:themeColor="text1"/>
          <w:szCs w:val="24"/>
        </w:rPr>
        <w:t xml:space="preserve">was </w:t>
      </w:r>
      <w:r w:rsidR="008828F6" w:rsidRPr="008828F6">
        <w:rPr>
          <w:color w:val="000000" w:themeColor="text1"/>
          <w:szCs w:val="24"/>
        </w:rPr>
        <w:t>not return</w:t>
      </w:r>
      <w:r w:rsidR="002C3C87">
        <w:rPr>
          <w:color w:val="000000" w:themeColor="text1"/>
          <w:szCs w:val="24"/>
        </w:rPr>
        <w:t>ed</w:t>
      </w:r>
      <w:r w:rsidR="008828F6" w:rsidRPr="008828F6">
        <w:rPr>
          <w:color w:val="000000" w:themeColor="text1"/>
          <w:szCs w:val="24"/>
        </w:rPr>
        <w:t xml:space="preserve"> to active duty.</w:t>
      </w:r>
      <w:r w:rsidR="008828F6">
        <w:rPr>
          <w:color w:val="auto"/>
        </w:rPr>
        <w:t xml:space="preserve">  </w:t>
      </w:r>
      <w:r w:rsidR="00C12EC5" w:rsidRPr="00F64312">
        <w:rPr>
          <w:color w:val="auto"/>
          <w:szCs w:val="24"/>
        </w:rPr>
        <w:t xml:space="preserve">There were </w:t>
      </w:r>
      <w:r>
        <w:rPr>
          <w:color w:val="auto"/>
          <w:szCs w:val="24"/>
        </w:rPr>
        <w:t>two</w:t>
      </w:r>
      <w:r w:rsidR="00CE5D24">
        <w:rPr>
          <w:color w:val="auto"/>
          <w:szCs w:val="24"/>
        </w:rPr>
        <w:t xml:space="preserve"> goniometric range-of-</w:t>
      </w:r>
      <w:r w:rsidR="00C12EC5" w:rsidRPr="00F64312">
        <w:rPr>
          <w:color w:val="auto"/>
          <w:szCs w:val="24"/>
        </w:rPr>
        <w:t xml:space="preserve">motion (ROM) evaluations in evidence, with documentation of additional ratable criteria, which the Board weighed in arriving at its rating recommendation; as summarized in the chart below.  </w:t>
      </w:r>
    </w:p>
    <w:p w:rsidR="00E310AF" w:rsidRDefault="00E310AF" w:rsidP="00C12EC5">
      <w:pPr>
        <w:jc w:val="both"/>
        <w:rPr>
          <w:color w:val="auto"/>
          <w:szCs w:val="24"/>
        </w:rPr>
      </w:pPr>
    </w:p>
    <w:tbl>
      <w:tblPr>
        <w:tblpPr w:leftFromText="180" w:rightFromText="180" w:vertAnchor="text" w:tblpXSpec="center" w:tblpY="1"/>
        <w:tblOverlap w:val="never"/>
        <w:tblW w:w="7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2"/>
        <w:gridCol w:w="1039"/>
        <w:gridCol w:w="1037"/>
        <w:gridCol w:w="1222"/>
        <w:gridCol w:w="1220"/>
      </w:tblGrid>
      <w:tr w:rsidR="00E310AF" w:rsidRPr="002C3C87" w:rsidTr="007A157D">
        <w:trPr>
          <w:trHeight w:val="109"/>
        </w:trPr>
        <w:tc>
          <w:tcPr>
            <w:tcW w:w="25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10AF" w:rsidRPr="00134053" w:rsidRDefault="00E310AF" w:rsidP="008828F6">
            <w:pPr>
              <w:tabs>
                <w:tab w:val="left" w:pos="288"/>
                <w:tab w:val="left" w:pos="4752"/>
              </w:tabs>
              <w:jc w:val="both"/>
              <w:rPr>
                <w:rFonts w:asciiTheme="minorHAnsi" w:hAnsiTheme="minorHAnsi"/>
                <w:color w:val="auto"/>
                <w:szCs w:val="24"/>
              </w:rPr>
            </w:pPr>
            <w:r w:rsidRPr="00134053">
              <w:rPr>
                <w:rFonts w:asciiTheme="minorHAnsi" w:hAnsiTheme="minorHAnsi"/>
                <w:color w:val="auto"/>
                <w:szCs w:val="24"/>
              </w:rPr>
              <w:t>Goniometric ROM –</w:t>
            </w:r>
          </w:p>
          <w:p w:rsidR="00E310AF" w:rsidRPr="00134053" w:rsidRDefault="00E310AF" w:rsidP="008828F6">
            <w:pPr>
              <w:tabs>
                <w:tab w:val="left" w:pos="288"/>
                <w:tab w:val="left" w:pos="4752"/>
              </w:tabs>
              <w:jc w:val="both"/>
              <w:rPr>
                <w:rFonts w:asciiTheme="minorHAnsi" w:hAnsiTheme="minorHAnsi"/>
                <w:color w:val="auto"/>
                <w:szCs w:val="24"/>
              </w:rPr>
            </w:pP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Cs w:val="24"/>
              </w:rPr>
            </w:pPr>
            <w:r w:rsidRPr="002C3C87">
              <w:rPr>
                <w:rFonts w:asciiTheme="minorHAnsi" w:hAnsiTheme="minorHAnsi"/>
                <w:color w:val="auto"/>
                <w:szCs w:val="24"/>
              </w:rPr>
              <w:t>MEB ~ 1 Mo. Pre-Sep</w:t>
            </w:r>
          </w:p>
          <w:p w:rsidR="00E310AF" w:rsidRPr="002C3C87" w:rsidRDefault="00F115D3" w:rsidP="00E310AF">
            <w:pPr>
              <w:tabs>
                <w:tab w:val="left" w:pos="288"/>
                <w:tab w:val="left" w:pos="4752"/>
              </w:tabs>
              <w:rPr>
                <w:rFonts w:asciiTheme="minorHAnsi" w:hAnsiTheme="minorHAnsi"/>
                <w:color w:val="auto"/>
                <w:szCs w:val="24"/>
              </w:rPr>
            </w:pPr>
            <w:r>
              <w:rPr>
                <w:rFonts w:asciiTheme="minorHAnsi" w:hAnsiTheme="minorHAnsi"/>
                <w:color w:val="auto"/>
                <w:szCs w:val="24"/>
              </w:rPr>
              <w:t>(20050713</w:t>
            </w:r>
            <w:r w:rsidR="00E310AF" w:rsidRPr="002C3C87">
              <w:rPr>
                <w:rFonts w:asciiTheme="minorHAnsi" w:hAnsiTheme="minorHAnsi"/>
                <w:color w:val="auto"/>
                <w:szCs w:val="24"/>
              </w:rPr>
              <w:t>)</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Cs w:val="24"/>
              </w:rPr>
            </w:pPr>
            <w:r w:rsidRPr="002C3C87">
              <w:rPr>
                <w:rFonts w:asciiTheme="minorHAnsi" w:hAnsiTheme="minorHAnsi"/>
                <w:color w:val="auto"/>
                <w:szCs w:val="24"/>
              </w:rPr>
              <w:t>VA C&amp;P ~ 2 Mo. After-Sep</w:t>
            </w:r>
          </w:p>
          <w:p w:rsidR="00E310AF" w:rsidRPr="002C3C87" w:rsidRDefault="00E310AF" w:rsidP="00E310AF">
            <w:pPr>
              <w:tabs>
                <w:tab w:val="left" w:pos="288"/>
                <w:tab w:val="left" w:pos="4752"/>
              </w:tabs>
              <w:rPr>
                <w:rFonts w:asciiTheme="minorHAnsi" w:hAnsiTheme="minorHAnsi"/>
                <w:color w:val="auto"/>
                <w:szCs w:val="24"/>
              </w:rPr>
            </w:pPr>
            <w:r w:rsidRPr="002C3C87">
              <w:rPr>
                <w:rFonts w:asciiTheme="minorHAnsi" w:hAnsiTheme="minorHAnsi"/>
                <w:color w:val="auto"/>
                <w:szCs w:val="24"/>
              </w:rPr>
              <w:t>(20051020)</w:t>
            </w:r>
          </w:p>
        </w:tc>
      </w:tr>
      <w:tr w:rsidR="00E310AF" w:rsidRPr="002C3C87" w:rsidTr="007A157D">
        <w:trPr>
          <w:trHeight w:val="108"/>
        </w:trPr>
        <w:tc>
          <w:tcPr>
            <w:tcW w:w="25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asciiTheme="minorHAnsi" w:hAnsiTheme="minorHAnsi"/>
                <w:color w:val="auto"/>
                <w:sz w:val="22"/>
                <w:szCs w:val="22"/>
              </w:rPr>
              <w:t>L/R Hip (Thigh)</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L Hip</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R Hip</w:t>
            </w:r>
          </w:p>
        </w:tc>
        <w:tc>
          <w:tcPr>
            <w:tcW w:w="12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L Hip</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R Hip</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asciiTheme="minorHAnsi" w:hAnsiTheme="minorHAnsi"/>
                <w:color w:val="auto"/>
                <w:sz w:val="22"/>
                <w:szCs w:val="22"/>
              </w:rPr>
              <w:t>Flexion (0-125)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F115D3" w:rsidP="007A157D">
            <w:pPr>
              <w:tabs>
                <w:tab w:val="left" w:pos="288"/>
                <w:tab w:val="left" w:pos="4752"/>
              </w:tabs>
              <w:rPr>
                <w:rFonts w:asciiTheme="minorHAnsi" w:hAnsiTheme="minorHAnsi"/>
                <w:color w:val="auto"/>
                <w:sz w:val="22"/>
                <w:szCs w:val="22"/>
              </w:rPr>
            </w:pPr>
            <w:r>
              <w:rPr>
                <w:rFonts w:asciiTheme="minorHAnsi" w:hAnsiTheme="minorHAnsi"/>
                <w:color w:val="auto"/>
                <w:sz w:val="22"/>
                <w:szCs w:val="22"/>
              </w:rPr>
              <w:t>5</w:t>
            </w:r>
            <w:r w:rsidR="007A157D" w:rsidRPr="002C3C87">
              <w:rPr>
                <w:rFonts w:asciiTheme="minorHAnsi" w:hAnsiTheme="minorHAnsi"/>
                <w:color w:val="auto"/>
                <w:sz w:val="22"/>
                <w:szCs w:val="22"/>
              </w:rPr>
              <w:t>5</w:t>
            </w:r>
            <w:r w:rsidR="00E310AF" w:rsidRPr="002C3C87">
              <w:rPr>
                <w:rFonts w:asciiTheme="minorHAnsi" w:hAnsiTheme="minorHAnsi"/>
                <w:color w:val="auto"/>
                <w:sz w:val="22"/>
                <w:szCs w:val="22"/>
              </w:rPr>
              <w:t>⁰</w:t>
            </w: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F115D3" w:rsidP="007A157D">
            <w:pPr>
              <w:tabs>
                <w:tab w:val="left" w:pos="288"/>
                <w:tab w:val="left" w:pos="4752"/>
              </w:tabs>
              <w:rPr>
                <w:rFonts w:asciiTheme="minorHAnsi" w:hAnsiTheme="minorHAnsi"/>
                <w:color w:val="auto"/>
                <w:sz w:val="22"/>
                <w:szCs w:val="22"/>
              </w:rPr>
            </w:pPr>
            <w:r>
              <w:rPr>
                <w:rFonts w:eastAsia="Calibri"/>
                <w:color w:val="000000" w:themeColor="text1"/>
                <w:sz w:val="22"/>
                <w:szCs w:val="22"/>
              </w:rPr>
              <w:t>4</w:t>
            </w:r>
            <w:r w:rsidR="007A157D" w:rsidRPr="002C3C87">
              <w:rPr>
                <w:rFonts w:eastAsia="Calibri"/>
                <w:color w:val="000000" w:themeColor="text1"/>
                <w:sz w:val="22"/>
                <w:szCs w:val="22"/>
              </w:rPr>
              <w:t>5</w:t>
            </w:r>
            <w:r w:rsidR="00E310AF" w:rsidRPr="002C3C87">
              <w:rPr>
                <w:rFonts w:eastAsia="Calibri"/>
                <w:color w:val="000000" w:themeColor="text1"/>
                <w:sz w:val="22"/>
                <w:szCs w:val="22"/>
              </w:rPr>
              <w:t>⁰</w:t>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125⁰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eastAsia="Calibri"/>
                <w:color w:val="000000" w:themeColor="text1"/>
                <w:sz w:val="22"/>
                <w:szCs w:val="22"/>
              </w:rPr>
              <w:t>125⁰</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asciiTheme="minorHAnsi" w:hAnsiTheme="minorHAnsi"/>
                <w:color w:val="auto"/>
                <w:sz w:val="22"/>
                <w:szCs w:val="22"/>
              </w:rPr>
              <w:t>Extension (10-20)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2</w:t>
            </w:r>
            <w:r w:rsidR="00E310AF" w:rsidRPr="002C3C87">
              <w:rPr>
                <w:rFonts w:asciiTheme="minorHAnsi" w:hAnsiTheme="minorHAnsi"/>
                <w:color w:val="auto"/>
                <w:sz w:val="22"/>
                <w:szCs w:val="22"/>
              </w:rPr>
              <w:t>0⁰</w:t>
            </w: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eastAsia="Calibri"/>
                <w:color w:val="000000" w:themeColor="text1"/>
                <w:sz w:val="22"/>
                <w:szCs w:val="22"/>
              </w:rPr>
              <w:t>20</w:t>
            </w:r>
            <w:r w:rsidR="00E310AF" w:rsidRPr="002C3C87">
              <w:rPr>
                <w:rFonts w:eastAsia="Calibri"/>
                <w:color w:val="000000" w:themeColor="text1"/>
                <w:sz w:val="22"/>
                <w:szCs w:val="22"/>
              </w:rPr>
              <w:t>⁰</w:t>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2</w:t>
            </w:r>
            <w:r w:rsidR="00E310AF" w:rsidRPr="002C3C87">
              <w:rPr>
                <w:rFonts w:asciiTheme="minorHAnsi" w:hAnsiTheme="minorHAnsi"/>
                <w:color w:val="auto"/>
                <w:sz w:val="22"/>
                <w:szCs w:val="22"/>
              </w:rPr>
              <w:t>0⁰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eastAsia="Calibri"/>
                <w:color w:val="000000" w:themeColor="text1"/>
                <w:sz w:val="22"/>
                <w:szCs w:val="22"/>
              </w:rPr>
              <w:t>2</w:t>
            </w:r>
            <w:r w:rsidR="00E310AF" w:rsidRPr="002C3C87">
              <w:rPr>
                <w:rFonts w:eastAsia="Calibri"/>
                <w:color w:val="000000" w:themeColor="text1"/>
                <w:sz w:val="22"/>
                <w:szCs w:val="22"/>
              </w:rPr>
              <w:t>0⁰</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asciiTheme="minorHAnsi" w:hAnsiTheme="minorHAnsi"/>
                <w:color w:val="auto"/>
                <w:sz w:val="22"/>
                <w:szCs w:val="22"/>
              </w:rPr>
              <w:t>Abduction (0-45)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E310AF" w:rsidP="00E310AF">
            <w:pPr>
              <w:tabs>
                <w:tab w:val="left" w:pos="288"/>
                <w:tab w:val="left" w:pos="4752"/>
              </w:tabs>
              <w:rPr>
                <w:rFonts w:asciiTheme="minorHAnsi" w:hAnsiTheme="minorHAnsi"/>
                <w:color w:val="auto"/>
                <w:sz w:val="22"/>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E310AF" w:rsidP="00E310AF">
            <w:pPr>
              <w:tabs>
                <w:tab w:val="left" w:pos="288"/>
                <w:tab w:val="left" w:pos="4752"/>
              </w:tabs>
              <w:rPr>
                <w:rFonts w:asciiTheme="minorHAnsi" w:hAnsiTheme="minorHAnsi"/>
                <w:color w:val="auto"/>
                <w:sz w:val="22"/>
                <w:szCs w:val="22"/>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45⁰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eastAsia="Calibri"/>
                <w:color w:val="000000" w:themeColor="text1"/>
                <w:sz w:val="22"/>
                <w:szCs w:val="22"/>
              </w:rPr>
              <w:t>45⁰</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asciiTheme="minorHAnsi" w:hAnsiTheme="minorHAnsi"/>
                <w:color w:val="auto"/>
                <w:sz w:val="22"/>
                <w:szCs w:val="22"/>
              </w:rPr>
              <w:t>Adduction (0-45)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E310AF" w:rsidP="00E310AF">
            <w:pPr>
              <w:tabs>
                <w:tab w:val="left" w:pos="288"/>
                <w:tab w:val="left" w:pos="4752"/>
              </w:tabs>
              <w:rPr>
                <w:rFonts w:asciiTheme="minorHAnsi" w:hAnsiTheme="minorHAnsi"/>
                <w:color w:val="auto"/>
                <w:sz w:val="22"/>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E310AF" w:rsidP="00E310AF">
            <w:pPr>
              <w:tabs>
                <w:tab w:val="left" w:pos="288"/>
                <w:tab w:val="left" w:pos="4752"/>
              </w:tabs>
              <w:rPr>
                <w:rFonts w:asciiTheme="minorHAnsi" w:hAnsiTheme="minorHAnsi"/>
                <w:color w:val="auto"/>
                <w:sz w:val="22"/>
                <w:szCs w:val="22"/>
              </w:rPr>
            </w:pP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25⁰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E310AF" w:rsidP="00E310AF">
            <w:pPr>
              <w:tabs>
                <w:tab w:val="left" w:pos="288"/>
                <w:tab w:val="left" w:pos="4752"/>
              </w:tabs>
              <w:rPr>
                <w:rFonts w:asciiTheme="minorHAnsi" w:hAnsiTheme="minorHAnsi"/>
                <w:color w:val="auto"/>
                <w:sz w:val="22"/>
                <w:szCs w:val="22"/>
              </w:rPr>
            </w:pPr>
            <w:r w:rsidRPr="002C3C87">
              <w:rPr>
                <w:rFonts w:eastAsia="Calibri"/>
                <w:color w:val="000000" w:themeColor="text1"/>
                <w:sz w:val="22"/>
                <w:szCs w:val="22"/>
              </w:rPr>
              <w:t>25⁰</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asciiTheme="minorHAnsi" w:hAnsiTheme="minorHAnsi"/>
                <w:color w:val="auto"/>
                <w:sz w:val="22"/>
                <w:szCs w:val="22"/>
              </w:rPr>
            </w:pPr>
            <w:r w:rsidRPr="00134053">
              <w:rPr>
                <w:rFonts w:eastAsia="Calibri"/>
                <w:color w:val="auto"/>
                <w:sz w:val="22"/>
                <w:szCs w:val="22"/>
              </w:rPr>
              <w:t>External Rotation (0-45⁰)</w:t>
            </w: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45⁰</w:t>
            </w: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45⁰</w:t>
            </w:r>
          </w:p>
        </w:tc>
        <w:tc>
          <w:tcPr>
            <w:tcW w:w="1222"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B46BB0"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45⁰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B46BB0"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45⁰</w:t>
            </w:r>
          </w:p>
        </w:tc>
      </w:tr>
      <w:tr w:rsidR="00E310AF" w:rsidRPr="002C3C87"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134053" w:rsidRDefault="00E310AF" w:rsidP="008828F6">
            <w:pPr>
              <w:tabs>
                <w:tab w:val="left" w:pos="288"/>
                <w:tab w:val="left" w:pos="4752"/>
              </w:tabs>
              <w:jc w:val="both"/>
              <w:rPr>
                <w:rFonts w:eastAsia="Calibri"/>
                <w:color w:val="auto"/>
                <w:sz w:val="22"/>
                <w:szCs w:val="22"/>
              </w:rPr>
            </w:pPr>
            <w:r w:rsidRPr="00134053">
              <w:rPr>
                <w:rFonts w:eastAsia="Calibri"/>
                <w:color w:val="auto"/>
                <w:sz w:val="22"/>
                <w:szCs w:val="22"/>
              </w:rPr>
              <w:t>Internal Rotation (0-35⁰)</w:t>
            </w:r>
          </w:p>
        </w:tc>
        <w:tc>
          <w:tcPr>
            <w:tcW w:w="1037" w:type="dxa"/>
            <w:tcBorders>
              <w:top w:val="single" w:sz="4" w:space="0" w:color="000000"/>
              <w:left w:val="single" w:sz="4" w:space="0" w:color="000000"/>
              <w:bottom w:val="single" w:sz="4" w:space="0" w:color="000000"/>
              <w:right w:val="single" w:sz="4" w:space="0" w:color="auto"/>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30⁰</w:t>
            </w:r>
          </w:p>
        </w:tc>
        <w:tc>
          <w:tcPr>
            <w:tcW w:w="1037" w:type="dxa"/>
            <w:tcBorders>
              <w:top w:val="single" w:sz="4" w:space="0" w:color="000000"/>
              <w:left w:val="single" w:sz="4" w:space="0" w:color="auto"/>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30⁰</w:t>
            </w:r>
          </w:p>
        </w:tc>
        <w:tc>
          <w:tcPr>
            <w:tcW w:w="1222"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40⁰</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2C3C87" w:rsidRDefault="007A157D" w:rsidP="00E310AF">
            <w:pPr>
              <w:tabs>
                <w:tab w:val="left" w:pos="288"/>
                <w:tab w:val="left" w:pos="4752"/>
              </w:tabs>
              <w:rPr>
                <w:rFonts w:asciiTheme="minorHAnsi" w:hAnsiTheme="minorHAnsi"/>
                <w:color w:val="auto"/>
                <w:sz w:val="22"/>
                <w:szCs w:val="22"/>
              </w:rPr>
            </w:pPr>
            <w:r w:rsidRPr="002C3C87">
              <w:rPr>
                <w:rFonts w:asciiTheme="minorHAnsi" w:hAnsiTheme="minorHAnsi"/>
                <w:color w:val="auto"/>
                <w:sz w:val="22"/>
                <w:szCs w:val="22"/>
              </w:rPr>
              <w:t>40⁰</w:t>
            </w:r>
          </w:p>
        </w:tc>
      </w:tr>
      <w:tr w:rsidR="007A157D" w:rsidRPr="008E269E"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7A157D" w:rsidRPr="008E269E" w:rsidRDefault="007A157D" w:rsidP="008828F6">
            <w:pPr>
              <w:tabs>
                <w:tab w:val="left" w:pos="288"/>
                <w:tab w:val="left" w:pos="4752"/>
              </w:tabs>
              <w:jc w:val="both"/>
              <w:rPr>
                <w:rFonts w:asciiTheme="minorHAnsi" w:hAnsiTheme="minorHAnsi"/>
                <w:color w:val="auto"/>
                <w:sz w:val="22"/>
                <w:szCs w:val="22"/>
              </w:rPr>
            </w:pPr>
            <w:r w:rsidRPr="008E269E">
              <w:rPr>
                <w:rFonts w:asciiTheme="minorHAnsi" w:hAnsiTheme="minorHAnsi"/>
                <w:color w:val="auto"/>
                <w:sz w:val="22"/>
                <w:szCs w:val="22"/>
              </w:rPr>
              <w:t>Comment</w:t>
            </w:r>
          </w:p>
        </w:tc>
        <w:tc>
          <w:tcPr>
            <w:tcW w:w="1039" w:type="dxa"/>
            <w:tcBorders>
              <w:top w:val="single" w:sz="4" w:space="0" w:color="000000"/>
              <w:left w:val="single" w:sz="4" w:space="0" w:color="000000"/>
              <w:bottom w:val="single" w:sz="4" w:space="0" w:color="000000"/>
              <w:right w:val="single" w:sz="4" w:space="0" w:color="auto"/>
            </w:tcBorders>
            <w:vAlign w:val="center"/>
          </w:tcPr>
          <w:p w:rsidR="007A157D" w:rsidRPr="008E269E" w:rsidRDefault="007A157D" w:rsidP="00E310AF">
            <w:pPr>
              <w:tabs>
                <w:tab w:val="left" w:pos="288"/>
                <w:tab w:val="left" w:pos="4752"/>
              </w:tabs>
              <w:rPr>
                <w:rFonts w:asciiTheme="minorHAnsi" w:hAnsiTheme="minorHAnsi"/>
                <w:color w:val="auto"/>
                <w:sz w:val="22"/>
                <w:szCs w:val="22"/>
              </w:rPr>
            </w:pPr>
          </w:p>
        </w:tc>
        <w:tc>
          <w:tcPr>
            <w:tcW w:w="1035" w:type="dxa"/>
            <w:tcBorders>
              <w:top w:val="single" w:sz="4" w:space="0" w:color="000000"/>
              <w:left w:val="single" w:sz="4" w:space="0" w:color="auto"/>
              <w:bottom w:val="single" w:sz="4" w:space="0" w:color="000000"/>
              <w:right w:val="single" w:sz="4" w:space="0" w:color="000000"/>
            </w:tcBorders>
            <w:vAlign w:val="center"/>
          </w:tcPr>
          <w:p w:rsidR="007A157D" w:rsidRPr="008E269E" w:rsidRDefault="007A157D" w:rsidP="00E310AF">
            <w:pPr>
              <w:tabs>
                <w:tab w:val="left" w:pos="288"/>
                <w:tab w:val="left" w:pos="4752"/>
              </w:tabs>
              <w:rPr>
                <w:rFonts w:asciiTheme="minorHAnsi" w:hAnsiTheme="minorHAnsi"/>
                <w:color w:val="auto"/>
                <w:sz w:val="22"/>
                <w:szCs w:val="22"/>
              </w:rPr>
            </w:pPr>
          </w:p>
        </w:tc>
        <w:tc>
          <w:tcPr>
            <w:tcW w:w="1222" w:type="dxa"/>
            <w:tcBorders>
              <w:top w:val="single" w:sz="4" w:space="0" w:color="000000"/>
              <w:left w:val="single" w:sz="4" w:space="0" w:color="000000"/>
              <w:bottom w:val="single" w:sz="4" w:space="0" w:color="000000"/>
              <w:right w:val="single" w:sz="4" w:space="0" w:color="auto"/>
            </w:tcBorders>
            <w:vAlign w:val="center"/>
          </w:tcPr>
          <w:p w:rsidR="007A157D" w:rsidRPr="008E269E" w:rsidRDefault="007A73B3" w:rsidP="00E310AF">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Painful motion</w:t>
            </w:r>
          </w:p>
        </w:tc>
        <w:tc>
          <w:tcPr>
            <w:tcW w:w="1220" w:type="dxa"/>
            <w:tcBorders>
              <w:top w:val="single" w:sz="4" w:space="0" w:color="000000"/>
              <w:left w:val="single" w:sz="4" w:space="0" w:color="auto"/>
              <w:bottom w:val="single" w:sz="4" w:space="0" w:color="000000"/>
              <w:right w:val="single" w:sz="4" w:space="0" w:color="000000"/>
            </w:tcBorders>
            <w:vAlign w:val="center"/>
          </w:tcPr>
          <w:p w:rsidR="007A157D" w:rsidRPr="008E269E" w:rsidRDefault="007A73B3" w:rsidP="00E310AF">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Painful motion</w:t>
            </w:r>
          </w:p>
        </w:tc>
      </w:tr>
      <w:tr w:rsidR="00E310AF" w:rsidRPr="008E269E" w:rsidTr="007A157D">
        <w:tc>
          <w:tcPr>
            <w:tcW w:w="2504" w:type="dxa"/>
            <w:tcBorders>
              <w:top w:val="single" w:sz="4" w:space="0" w:color="000000"/>
              <w:left w:val="single" w:sz="4" w:space="0" w:color="000000"/>
              <w:bottom w:val="single" w:sz="4" w:space="0" w:color="000000"/>
              <w:right w:val="single" w:sz="4" w:space="0" w:color="000000"/>
            </w:tcBorders>
            <w:vAlign w:val="center"/>
            <w:hideMark/>
          </w:tcPr>
          <w:p w:rsidR="00E310AF" w:rsidRPr="008E269E" w:rsidRDefault="00E310AF" w:rsidP="008828F6">
            <w:pPr>
              <w:tabs>
                <w:tab w:val="left" w:pos="288"/>
                <w:tab w:val="left" w:pos="4752"/>
              </w:tabs>
              <w:jc w:val="both"/>
              <w:rPr>
                <w:rFonts w:asciiTheme="minorHAnsi" w:hAnsiTheme="minorHAnsi"/>
                <w:color w:val="auto"/>
                <w:sz w:val="22"/>
                <w:szCs w:val="22"/>
              </w:rPr>
            </w:pPr>
            <w:r w:rsidRPr="008E269E">
              <w:rPr>
                <w:rFonts w:asciiTheme="minorHAnsi" w:hAnsiTheme="minorHAnsi"/>
                <w:color w:val="auto"/>
                <w:sz w:val="22"/>
                <w:szCs w:val="22"/>
              </w:rPr>
              <w:t>§4.71a Rating</w:t>
            </w:r>
            <w:r w:rsidR="002C3C87" w:rsidRPr="008E269E">
              <w:rPr>
                <w:rFonts w:asciiTheme="minorHAnsi" w:hAnsiTheme="minorHAnsi"/>
                <w:color w:val="auto"/>
                <w:sz w:val="22"/>
                <w:szCs w:val="22"/>
              </w:rPr>
              <w:t>*</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310AF" w:rsidRPr="008E269E" w:rsidRDefault="007A157D" w:rsidP="00E310AF">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10</w:t>
            </w:r>
            <w:r w:rsidR="00E310AF" w:rsidRPr="008E269E">
              <w:rPr>
                <w:rFonts w:asciiTheme="minorHAnsi" w:hAnsiTheme="minorHAnsi"/>
                <w:color w:val="auto"/>
                <w:sz w:val="22"/>
                <w:szCs w:val="22"/>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E310AF" w:rsidRPr="008E269E" w:rsidRDefault="007A73B3" w:rsidP="00E310AF">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1</w:t>
            </w:r>
            <w:r w:rsidR="008828F6" w:rsidRPr="008E269E">
              <w:rPr>
                <w:rFonts w:asciiTheme="minorHAnsi" w:hAnsiTheme="minorHAnsi"/>
                <w:color w:val="auto"/>
                <w:sz w:val="22"/>
                <w:szCs w:val="22"/>
              </w:rPr>
              <w:t>0%</w:t>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E310AF" w:rsidRPr="008E269E" w:rsidRDefault="00E310AF" w:rsidP="007A157D">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10%</w:t>
            </w:r>
          </w:p>
        </w:tc>
        <w:tc>
          <w:tcPr>
            <w:tcW w:w="1220" w:type="dxa"/>
            <w:tcBorders>
              <w:top w:val="single" w:sz="4" w:space="0" w:color="000000"/>
              <w:left w:val="single" w:sz="4" w:space="0" w:color="000000"/>
              <w:bottom w:val="single" w:sz="4" w:space="0" w:color="000000"/>
              <w:right w:val="single" w:sz="4" w:space="0" w:color="000000"/>
            </w:tcBorders>
            <w:vAlign w:val="center"/>
          </w:tcPr>
          <w:p w:rsidR="00E310AF" w:rsidRPr="008E269E" w:rsidRDefault="007A157D" w:rsidP="00E310AF">
            <w:pPr>
              <w:tabs>
                <w:tab w:val="left" w:pos="288"/>
                <w:tab w:val="left" w:pos="4752"/>
              </w:tabs>
              <w:rPr>
                <w:rFonts w:asciiTheme="minorHAnsi" w:hAnsiTheme="minorHAnsi"/>
                <w:color w:val="auto"/>
                <w:sz w:val="22"/>
                <w:szCs w:val="22"/>
              </w:rPr>
            </w:pPr>
            <w:r w:rsidRPr="008E269E">
              <w:rPr>
                <w:rFonts w:asciiTheme="minorHAnsi" w:hAnsiTheme="minorHAnsi"/>
                <w:color w:val="auto"/>
                <w:sz w:val="22"/>
                <w:szCs w:val="22"/>
              </w:rPr>
              <w:t>10%</w:t>
            </w:r>
          </w:p>
        </w:tc>
      </w:tr>
    </w:tbl>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E310AF" w:rsidRPr="008E269E" w:rsidRDefault="00E310AF" w:rsidP="00C12EC5">
      <w:pPr>
        <w:jc w:val="both"/>
        <w:rPr>
          <w:color w:val="auto"/>
          <w:szCs w:val="24"/>
        </w:rPr>
      </w:pPr>
    </w:p>
    <w:p w:rsidR="009918C5" w:rsidRDefault="002C3C87" w:rsidP="00CE5D24">
      <w:pPr>
        <w:rPr>
          <w:color w:val="auto"/>
          <w:szCs w:val="24"/>
        </w:rPr>
      </w:pPr>
      <w:r w:rsidRPr="008E269E">
        <w:rPr>
          <w:bCs/>
          <w:color w:val="auto"/>
          <w:szCs w:val="24"/>
        </w:rPr>
        <w:t>*§4.59 Painful motion</w:t>
      </w:r>
    </w:p>
    <w:p w:rsidR="00CE5D24" w:rsidRDefault="00CE5D24" w:rsidP="00CE5D24">
      <w:pPr>
        <w:rPr>
          <w:color w:val="auto"/>
          <w:szCs w:val="24"/>
        </w:rPr>
      </w:pPr>
    </w:p>
    <w:p w:rsidR="00C12EC5" w:rsidRPr="00F64312" w:rsidRDefault="00C12EC5" w:rsidP="00C12EC5">
      <w:pPr>
        <w:jc w:val="both"/>
        <w:rPr>
          <w:color w:val="auto"/>
          <w:szCs w:val="24"/>
        </w:rPr>
      </w:pPr>
      <w:r w:rsidRPr="00F64312">
        <w:rPr>
          <w:color w:val="auto"/>
          <w:szCs w:val="24"/>
        </w:rPr>
        <w:t>A</w:t>
      </w:r>
      <w:r w:rsidR="008828F6">
        <w:rPr>
          <w:color w:val="auto"/>
          <w:szCs w:val="24"/>
        </w:rPr>
        <w:t xml:space="preserve">t the MEB exam, the CI reported her legs hurt.  </w:t>
      </w:r>
      <w:r w:rsidRPr="00F64312">
        <w:rPr>
          <w:color w:val="auto"/>
          <w:szCs w:val="24"/>
        </w:rPr>
        <w:t xml:space="preserve">The MEB physical exam </w:t>
      </w:r>
      <w:r>
        <w:rPr>
          <w:color w:val="auto"/>
          <w:szCs w:val="24"/>
        </w:rPr>
        <w:t>demonstrated</w:t>
      </w:r>
      <w:r w:rsidR="008828F6">
        <w:rPr>
          <w:color w:val="auto"/>
          <w:szCs w:val="24"/>
        </w:rPr>
        <w:t xml:space="preserve"> tender lower limbs, normal neuromuscular findings and a</w:t>
      </w:r>
      <w:r w:rsidR="00005C38">
        <w:rPr>
          <w:color w:val="auto"/>
          <w:szCs w:val="24"/>
        </w:rPr>
        <w:t>n</w:t>
      </w:r>
      <w:r w:rsidR="008828F6">
        <w:rPr>
          <w:color w:val="auto"/>
          <w:szCs w:val="24"/>
        </w:rPr>
        <w:t xml:space="preserve"> unassisted gait with a limp.  The bone scan in May 2005 demonstrated resolution of the stress abnormalities noted on the prior </w:t>
      </w:r>
      <w:bookmarkStart w:id="0" w:name="_GoBack"/>
      <w:bookmarkEnd w:id="0"/>
      <w:r w:rsidR="008828F6">
        <w:rPr>
          <w:color w:val="auto"/>
          <w:szCs w:val="24"/>
        </w:rPr>
        <w:t xml:space="preserve">February 2005 scan.  </w:t>
      </w:r>
      <w:r w:rsidRPr="00F64312">
        <w:rPr>
          <w:color w:val="auto"/>
          <w:szCs w:val="24"/>
        </w:rPr>
        <w:t xml:space="preserve">At the </w:t>
      </w:r>
      <w:r w:rsidR="00CE5D24">
        <w:rPr>
          <w:color w:val="auto"/>
          <w:szCs w:val="24"/>
        </w:rPr>
        <w:t>VA</w:t>
      </w:r>
      <w:r w:rsidRPr="00F64312">
        <w:rPr>
          <w:color w:val="auto"/>
          <w:szCs w:val="24"/>
        </w:rPr>
        <w:t xml:space="preserve"> Compensation and Pension (C&amp;P) exam</w:t>
      </w:r>
      <w:r w:rsidR="00CE5D24">
        <w:rPr>
          <w:color w:val="auto"/>
          <w:szCs w:val="24"/>
        </w:rPr>
        <w:t>, 2</w:t>
      </w:r>
      <w:r w:rsidR="008828F6" w:rsidRPr="00005C38">
        <w:rPr>
          <w:color w:val="auto"/>
          <w:szCs w:val="24"/>
        </w:rPr>
        <w:t xml:space="preserve"> months </w:t>
      </w:r>
      <w:r w:rsidRPr="00005C38">
        <w:rPr>
          <w:color w:val="auto"/>
          <w:szCs w:val="24"/>
        </w:rPr>
        <w:t>after separation</w:t>
      </w:r>
      <w:r w:rsidR="008828F6" w:rsidRPr="00005C38">
        <w:rPr>
          <w:color w:val="auto"/>
          <w:szCs w:val="24"/>
        </w:rPr>
        <w:t>, the</w:t>
      </w:r>
      <w:r w:rsidR="008828F6">
        <w:rPr>
          <w:color w:val="auto"/>
          <w:szCs w:val="24"/>
        </w:rPr>
        <w:t xml:space="preserve"> CI reported constant pain without incapacitation, worsened with </w:t>
      </w:r>
      <w:r w:rsidR="00005C38">
        <w:rPr>
          <w:color w:val="auto"/>
          <w:szCs w:val="24"/>
        </w:rPr>
        <w:t>standing or walking for prolong periods of time and relieved with anti-infl</w:t>
      </w:r>
      <w:r w:rsidR="00EB6428">
        <w:rPr>
          <w:color w:val="auto"/>
          <w:szCs w:val="24"/>
        </w:rPr>
        <w:t>ammatory</w:t>
      </w:r>
      <w:r w:rsidR="00005C38">
        <w:rPr>
          <w:color w:val="auto"/>
          <w:szCs w:val="24"/>
        </w:rPr>
        <w:t xml:space="preserve"> medication or rest.</w:t>
      </w:r>
      <w:r w:rsidRPr="003D549E">
        <w:rPr>
          <w:color w:val="auto"/>
          <w:szCs w:val="24"/>
        </w:rPr>
        <w:t xml:space="preserve"> </w:t>
      </w:r>
      <w:r w:rsidR="00005C38">
        <w:rPr>
          <w:color w:val="auto"/>
          <w:szCs w:val="24"/>
        </w:rPr>
        <w:t xml:space="preserve"> </w:t>
      </w:r>
      <w:r w:rsidRPr="00F64312">
        <w:rPr>
          <w:color w:val="auto"/>
          <w:szCs w:val="24"/>
        </w:rPr>
        <w:t xml:space="preserve">The </w:t>
      </w:r>
      <w:r>
        <w:rPr>
          <w:color w:val="auto"/>
          <w:szCs w:val="24"/>
        </w:rPr>
        <w:t>C&amp;P</w:t>
      </w:r>
      <w:r w:rsidRPr="00F64312">
        <w:rPr>
          <w:color w:val="auto"/>
          <w:szCs w:val="24"/>
        </w:rPr>
        <w:t xml:space="preserve"> physical exam </w:t>
      </w:r>
      <w:r>
        <w:rPr>
          <w:color w:val="auto"/>
          <w:szCs w:val="24"/>
        </w:rPr>
        <w:t>demonstrated</w:t>
      </w:r>
      <w:r w:rsidR="00005C38">
        <w:rPr>
          <w:color w:val="auto"/>
          <w:szCs w:val="24"/>
        </w:rPr>
        <w:t xml:space="preserve"> normal unassisted gait, and painful flexion of the hips bilaterally, otherwise normal </w:t>
      </w:r>
      <w:r w:rsidR="00EB6428">
        <w:rPr>
          <w:color w:val="auto"/>
          <w:szCs w:val="24"/>
        </w:rPr>
        <w:t>anatomic</w:t>
      </w:r>
      <w:r w:rsidR="00005C38">
        <w:rPr>
          <w:color w:val="auto"/>
          <w:szCs w:val="24"/>
        </w:rPr>
        <w:t xml:space="preserve"> and neuromuscular findings.</w:t>
      </w:r>
      <w:r w:rsidR="007A73B3">
        <w:rPr>
          <w:color w:val="auto"/>
          <w:szCs w:val="24"/>
        </w:rPr>
        <w:t xml:space="preserve">  The radiograph of each hip was normal.  </w:t>
      </w:r>
    </w:p>
    <w:p w:rsidR="00C12EC5" w:rsidRPr="00F64312" w:rsidRDefault="00C12EC5" w:rsidP="00C12EC5">
      <w:pPr>
        <w:jc w:val="both"/>
        <w:rPr>
          <w:color w:val="auto"/>
          <w:szCs w:val="24"/>
        </w:rPr>
      </w:pPr>
    </w:p>
    <w:p w:rsidR="00C12EC5" w:rsidRPr="003E74B9" w:rsidRDefault="00C12EC5" w:rsidP="003E74B9">
      <w:pPr>
        <w:tabs>
          <w:tab w:val="left" w:pos="288"/>
          <w:tab w:val="left" w:pos="4752"/>
        </w:tabs>
        <w:jc w:val="both"/>
        <w:rPr>
          <w:rFonts w:asciiTheme="minorHAnsi" w:hAnsiTheme="minorHAnsi"/>
          <w:color w:val="auto"/>
          <w:szCs w:val="24"/>
        </w:rPr>
      </w:pPr>
      <w:r w:rsidRPr="00F64312">
        <w:rPr>
          <w:rFonts w:cs="Times New Roman"/>
          <w:color w:val="auto"/>
        </w:rPr>
        <w:t xml:space="preserve">The Board directs attention to its rating recommendation based on the above evidence.  </w:t>
      </w:r>
      <w:r w:rsidRPr="007B6528">
        <w:rPr>
          <w:rFonts w:cs="Times New Roman"/>
          <w:color w:val="auto"/>
        </w:rPr>
        <w:t>The Board notes that both the ME</w:t>
      </w:r>
      <w:r w:rsidRPr="002C3C87">
        <w:rPr>
          <w:rFonts w:cs="Times New Roman"/>
          <w:color w:val="auto"/>
        </w:rPr>
        <w:t xml:space="preserve">B and VA exams were, well documented, and similar in terms of ratable data; </w:t>
      </w:r>
      <w:r w:rsidR="00005C38" w:rsidRPr="002C3C87">
        <w:rPr>
          <w:rFonts w:cs="Times New Roman"/>
          <w:color w:val="auto"/>
        </w:rPr>
        <w:t>however the VA exam was more complete</w:t>
      </w:r>
      <w:r w:rsidR="002C3C87" w:rsidRPr="002C3C87">
        <w:rPr>
          <w:color w:val="000000"/>
        </w:rPr>
        <w:t xml:space="preserve"> and compliant with VASRD §4.46 (accurate measurement)</w:t>
      </w:r>
      <w:r w:rsidR="002C3C87">
        <w:rPr>
          <w:color w:val="000000"/>
        </w:rPr>
        <w:t xml:space="preserve"> </w:t>
      </w:r>
      <w:r w:rsidR="002C3C87">
        <w:rPr>
          <w:rFonts w:cs="Times New Roman"/>
          <w:color w:val="auto"/>
        </w:rPr>
        <w:t>and</w:t>
      </w:r>
      <w:r w:rsidRPr="007B6528">
        <w:rPr>
          <w:rFonts w:cs="Times New Roman"/>
          <w:color w:val="auto"/>
        </w:rPr>
        <w:t xml:space="preserve"> therefore </w:t>
      </w:r>
      <w:r w:rsidR="00005C38">
        <w:rPr>
          <w:rFonts w:cs="Times New Roman"/>
          <w:color w:val="auto"/>
        </w:rPr>
        <w:t xml:space="preserve">the Board </w:t>
      </w:r>
      <w:r w:rsidRPr="007B6528">
        <w:rPr>
          <w:rFonts w:cs="Times New Roman"/>
          <w:color w:val="auto"/>
        </w:rPr>
        <w:t xml:space="preserve">assigns the </w:t>
      </w:r>
      <w:r w:rsidR="00005C38">
        <w:rPr>
          <w:rFonts w:cs="Times New Roman"/>
          <w:color w:val="auto"/>
        </w:rPr>
        <w:t>VA exam more</w:t>
      </w:r>
      <w:r w:rsidRPr="007B6528">
        <w:rPr>
          <w:rFonts w:cs="Times New Roman"/>
          <w:color w:val="auto"/>
        </w:rPr>
        <w:t xml:space="preserve"> probative value.  </w:t>
      </w:r>
      <w:r w:rsidRPr="001E07D8">
        <w:rPr>
          <w:rFonts w:cs="Times New Roman"/>
          <w:color w:val="auto"/>
        </w:rPr>
        <w:t xml:space="preserve">The PEB and </w:t>
      </w:r>
      <w:r w:rsidRPr="00005C38">
        <w:rPr>
          <w:rFonts w:asciiTheme="minorHAnsi" w:hAnsiTheme="minorHAnsi"/>
          <w:color w:val="auto"/>
          <w:szCs w:val="24"/>
        </w:rPr>
        <w:t>VA chose different coding opti</w:t>
      </w:r>
      <w:r w:rsidR="002C3C87">
        <w:rPr>
          <w:rFonts w:asciiTheme="minorHAnsi" w:hAnsiTheme="minorHAnsi"/>
          <w:color w:val="auto"/>
          <w:szCs w:val="24"/>
        </w:rPr>
        <w:t xml:space="preserve">ons for the condition and this had </w:t>
      </w:r>
      <w:r w:rsidR="002C3C87">
        <w:rPr>
          <w:color w:val="000000" w:themeColor="text1"/>
        </w:rPr>
        <w:t xml:space="preserve">significant implications on the </w:t>
      </w:r>
      <w:r w:rsidR="002C3C87" w:rsidRPr="00A56072">
        <w:rPr>
          <w:color w:val="000000" w:themeColor="text1"/>
        </w:rPr>
        <w:t>rating</w:t>
      </w:r>
      <w:r w:rsidR="002C3C87">
        <w:rPr>
          <w:color w:val="000000" w:themeColor="text1"/>
        </w:rPr>
        <w:t xml:space="preserve"> for the Board to consider</w:t>
      </w:r>
      <w:r w:rsidR="002C3C87">
        <w:rPr>
          <w:rFonts w:asciiTheme="minorHAnsi" w:hAnsiTheme="minorHAnsi"/>
          <w:color w:val="auto"/>
          <w:szCs w:val="24"/>
        </w:rPr>
        <w:t xml:space="preserve">.  </w:t>
      </w:r>
      <w:r w:rsidR="00005C38">
        <w:rPr>
          <w:rFonts w:asciiTheme="minorHAnsi" w:hAnsiTheme="minorHAnsi"/>
          <w:color w:val="auto"/>
          <w:szCs w:val="24"/>
        </w:rPr>
        <w:t>The PEB assigned a 10% rating coded analogous to 5022</w:t>
      </w:r>
      <w:r w:rsidR="007A73B3">
        <w:rPr>
          <w:rFonts w:asciiTheme="minorHAnsi" w:hAnsiTheme="minorHAnsi"/>
          <w:color w:val="auto"/>
          <w:szCs w:val="24"/>
        </w:rPr>
        <w:t xml:space="preserve"> (periostitis)</w:t>
      </w:r>
      <w:r w:rsidR="00005C38">
        <w:rPr>
          <w:rFonts w:asciiTheme="minorHAnsi" w:hAnsiTheme="minorHAnsi"/>
          <w:color w:val="auto"/>
          <w:szCs w:val="24"/>
        </w:rPr>
        <w:t xml:space="preserve"> </w:t>
      </w:r>
      <w:r w:rsidR="002C3C87">
        <w:rPr>
          <w:rFonts w:asciiTheme="minorHAnsi" w:hAnsiTheme="minorHAnsi"/>
          <w:color w:val="auto"/>
          <w:szCs w:val="24"/>
        </w:rPr>
        <w:t xml:space="preserve">which defaults to the 5003 </w:t>
      </w:r>
      <w:r w:rsidR="00005C38">
        <w:rPr>
          <w:rFonts w:asciiTheme="minorHAnsi" w:hAnsiTheme="minorHAnsi"/>
          <w:color w:val="auto"/>
          <w:szCs w:val="24"/>
        </w:rPr>
        <w:t>code</w:t>
      </w:r>
      <w:r w:rsidR="007A73B3">
        <w:rPr>
          <w:rFonts w:asciiTheme="minorHAnsi" w:hAnsiTheme="minorHAnsi"/>
          <w:color w:val="auto"/>
          <w:szCs w:val="24"/>
        </w:rPr>
        <w:t xml:space="preserve"> </w:t>
      </w:r>
      <w:r w:rsidR="002C3C87">
        <w:rPr>
          <w:rFonts w:asciiTheme="minorHAnsi" w:hAnsiTheme="minorHAnsi"/>
          <w:color w:val="auto"/>
          <w:szCs w:val="24"/>
        </w:rPr>
        <w:t xml:space="preserve">and </w:t>
      </w:r>
      <w:r w:rsidR="007A73B3">
        <w:rPr>
          <w:rFonts w:asciiTheme="minorHAnsi" w:hAnsiTheme="minorHAnsi"/>
          <w:color w:val="auto"/>
          <w:szCs w:val="24"/>
        </w:rPr>
        <w:t xml:space="preserve">based </w:t>
      </w:r>
      <w:r w:rsidR="002C3C87">
        <w:rPr>
          <w:rFonts w:asciiTheme="minorHAnsi" w:hAnsiTheme="minorHAnsi"/>
          <w:color w:val="auto"/>
          <w:szCs w:val="24"/>
        </w:rPr>
        <w:t xml:space="preserve">this </w:t>
      </w:r>
      <w:r w:rsidR="007A73B3">
        <w:rPr>
          <w:rFonts w:asciiTheme="minorHAnsi" w:hAnsiTheme="minorHAnsi"/>
          <w:color w:val="auto"/>
          <w:szCs w:val="24"/>
        </w:rPr>
        <w:t xml:space="preserve">on </w:t>
      </w:r>
      <w:r w:rsidR="002C3C87">
        <w:rPr>
          <w:rFonts w:asciiTheme="minorHAnsi" w:hAnsiTheme="minorHAnsi"/>
          <w:color w:val="auto"/>
          <w:szCs w:val="24"/>
        </w:rPr>
        <w:t xml:space="preserve">pain limited </w:t>
      </w:r>
      <w:r w:rsidR="002C3C87">
        <w:rPr>
          <w:rFonts w:asciiTheme="minorHAnsi" w:hAnsiTheme="minorHAnsi"/>
          <w:color w:val="auto"/>
          <w:szCs w:val="24"/>
        </w:rPr>
        <w:lastRenderedPageBreak/>
        <w:t>motion</w:t>
      </w:r>
      <w:r w:rsidR="007A73B3">
        <w:rPr>
          <w:rFonts w:asciiTheme="minorHAnsi" w:hAnsiTheme="minorHAnsi"/>
          <w:color w:val="auto"/>
          <w:szCs w:val="24"/>
        </w:rPr>
        <w:t xml:space="preserve"> and a gait with a noticeable limp.</w:t>
      </w:r>
      <w:r w:rsidR="00197DA2">
        <w:rPr>
          <w:rFonts w:asciiTheme="minorHAnsi" w:hAnsiTheme="minorHAnsi"/>
          <w:color w:val="auto"/>
          <w:szCs w:val="24"/>
        </w:rPr>
        <w:t xml:space="preserve">  This was inconsistent with the </w:t>
      </w:r>
      <w:r w:rsidR="00197DA2" w:rsidRPr="00976E60">
        <w:rPr>
          <w:rFonts w:asciiTheme="minorHAnsi" w:hAnsiTheme="minorHAnsi"/>
          <w:color w:val="auto"/>
          <w:szCs w:val="24"/>
        </w:rPr>
        <w:t>criteria of this code, which specifies, “</w:t>
      </w:r>
      <w:r w:rsidR="00CE5D24">
        <w:rPr>
          <w:rFonts w:asciiTheme="minorHAnsi" w:hAnsiTheme="minorHAnsi"/>
          <w:color w:val="auto"/>
          <w:szCs w:val="24"/>
        </w:rPr>
        <w:t>w</w:t>
      </w:r>
      <w:r w:rsidR="00197DA2" w:rsidRPr="00976E60">
        <w:rPr>
          <w:rFonts w:asciiTheme="minorHAnsi" w:hAnsiTheme="minorHAnsi"/>
          <w:color w:val="auto"/>
          <w:szCs w:val="24"/>
        </w:rPr>
        <w:t>hen however, the limitation of motion of the specific joint or joints involved is noncompensable under the appropriate diagnostic codes, a rating of 10 pct is for applic</w:t>
      </w:r>
      <w:r w:rsidR="00CE5D24">
        <w:rPr>
          <w:rFonts w:asciiTheme="minorHAnsi" w:hAnsiTheme="minorHAnsi"/>
          <w:color w:val="auto"/>
          <w:szCs w:val="24"/>
        </w:rPr>
        <w:t>ation for each such major joint</w:t>
      </w:r>
      <w:r w:rsidR="00197DA2" w:rsidRPr="00976E60">
        <w:rPr>
          <w:rFonts w:asciiTheme="minorHAnsi" w:hAnsiTheme="minorHAnsi"/>
          <w:color w:val="auto"/>
          <w:szCs w:val="24"/>
        </w:rPr>
        <w:t>”</w:t>
      </w:r>
      <w:r w:rsidR="00976E60" w:rsidRPr="00976E60">
        <w:rPr>
          <w:rFonts w:asciiTheme="minorHAnsi" w:hAnsiTheme="minorHAnsi"/>
          <w:color w:val="auto"/>
          <w:szCs w:val="24"/>
        </w:rPr>
        <w:t xml:space="preserve"> and </w:t>
      </w:r>
      <w:r w:rsidR="002C3C87">
        <w:rPr>
          <w:rFonts w:asciiTheme="minorHAnsi" w:hAnsiTheme="minorHAnsi"/>
          <w:color w:val="auto"/>
          <w:szCs w:val="24"/>
        </w:rPr>
        <w:t xml:space="preserve">VASRD </w:t>
      </w:r>
      <w:r w:rsidR="00976E60" w:rsidRPr="00976E60">
        <w:rPr>
          <w:rFonts w:asciiTheme="minorHAnsi" w:hAnsiTheme="minorHAnsi"/>
          <w:bCs/>
          <w:color w:val="000000"/>
          <w:szCs w:val="24"/>
        </w:rPr>
        <w:t xml:space="preserve">§4.45 </w:t>
      </w:r>
      <w:r w:rsidR="002C3C87" w:rsidRPr="00976E60">
        <w:rPr>
          <w:rFonts w:asciiTheme="minorHAnsi" w:hAnsiTheme="minorHAnsi"/>
          <w:bCs/>
          <w:color w:val="000000"/>
          <w:szCs w:val="24"/>
        </w:rPr>
        <w:t xml:space="preserve">defines </w:t>
      </w:r>
      <w:r w:rsidR="00976E60" w:rsidRPr="00976E60">
        <w:rPr>
          <w:rFonts w:asciiTheme="minorHAnsi" w:hAnsiTheme="minorHAnsi"/>
          <w:bCs/>
          <w:color w:val="000000"/>
          <w:szCs w:val="24"/>
        </w:rPr>
        <w:t>each hip as a major joint</w:t>
      </w:r>
      <w:r w:rsidR="00976E60" w:rsidRPr="00976E60">
        <w:rPr>
          <w:rFonts w:asciiTheme="minorHAnsi" w:hAnsiTheme="minorHAnsi"/>
          <w:color w:val="auto"/>
          <w:szCs w:val="24"/>
        </w:rPr>
        <w:t>.</w:t>
      </w:r>
      <w:r w:rsidR="00976E60">
        <w:rPr>
          <w:rFonts w:asciiTheme="minorHAnsi" w:hAnsiTheme="minorHAnsi"/>
          <w:color w:val="auto"/>
          <w:szCs w:val="24"/>
        </w:rPr>
        <w:t xml:space="preserve">  </w:t>
      </w:r>
      <w:r w:rsidR="007A73B3">
        <w:rPr>
          <w:rFonts w:asciiTheme="minorHAnsi" w:hAnsiTheme="minorHAnsi"/>
          <w:color w:val="auto"/>
          <w:szCs w:val="24"/>
        </w:rPr>
        <w:t xml:space="preserve">The VA originally </w:t>
      </w:r>
      <w:r w:rsidR="00CE5D24">
        <w:rPr>
          <w:rFonts w:asciiTheme="minorHAnsi" w:hAnsiTheme="minorHAnsi"/>
          <w:color w:val="auto"/>
          <w:szCs w:val="24"/>
        </w:rPr>
        <w:t>denied service-</w:t>
      </w:r>
      <w:r w:rsidR="007A73B3">
        <w:rPr>
          <w:rFonts w:asciiTheme="minorHAnsi" w:hAnsiTheme="minorHAnsi"/>
          <w:color w:val="auto"/>
          <w:szCs w:val="24"/>
        </w:rPr>
        <w:t xml:space="preserve">connection due </w:t>
      </w:r>
      <w:r w:rsidR="00197DA2">
        <w:rPr>
          <w:rFonts w:asciiTheme="minorHAnsi" w:hAnsiTheme="minorHAnsi"/>
          <w:color w:val="auto"/>
          <w:szCs w:val="24"/>
        </w:rPr>
        <w:t xml:space="preserve">to </w:t>
      </w:r>
      <w:r w:rsidR="007A73B3">
        <w:rPr>
          <w:rFonts w:asciiTheme="minorHAnsi" w:hAnsiTheme="minorHAnsi"/>
          <w:color w:val="auto"/>
          <w:szCs w:val="24"/>
        </w:rPr>
        <w:t>normal radiographs</w:t>
      </w:r>
      <w:r w:rsidR="00197DA2">
        <w:rPr>
          <w:rFonts w:asciiTheme="minorHAnsi" w:hAnsiTheme="minorHAnsi"/>
          <w:color w:val="auto"/>
          <w:szCs w:val="24"/>
        </w:rPr>
        <w:t xml:space="preserve"> and </w:t>
      </w:r>
      <w:r w:rsidR="007A73B3">
        <w:rPr>
          <w:rFonts w:asciiTheme="minorHAnsi" w:hAnsiTheme="minorHAnsi"/>
          <w:color w:val="auto"/>
          <w:szCs w:val="24"/>
        </w:rPr>
        <w:t xml:space="preserve">normal ROM’s therefore </w:t>
      </w:r>
      <w:r w:rsidR="00197DA2">
        <w:rPr>
          <w:rFonts w:asciiTheme="minorHAnsi" w:hAnsiTheme="minorHAnsi"/>
          <w:color w:val="auto"/>
          <w:szCs w:val="24"/>
        </w:rPr>
        <w:t xml:space="preserve">there was </w:t>
      </w:r>
      <w:r w:rsidR="007A73B3">
        <w:rPr>
          <w:rFonts w:asciiTheme="minorHAnsi" w:hAnsiTheme="minorHAnsi"/>
          <w:color w:val="auto"/>
          <w:szCs w:val="24"/>
        </w:rPr>
        <w:t xml:space="preserve">no pathology to render a diagnosis.  </w:t>
      </w:r>
      <w:r w:rsidR="00197DA2">
        <w:rPr>
          <w:rFonts w:asciiTheme="minorHAnsi" w:hAnsiTheme="minorHAnsi"/>
          <w:color w:val="auto"/>
          <w:szCs w:val="24"/>
        </w:rPr>
        <w:t xml:space="preserve">The VA reconsidered their decision and assigned a rating of 0% with the 5255 code (malunion of the femur) for no residuals of malunion or </w:t>
      </w:r>
      <w:r w:rsidR="00197DA2" w:rsidRPr="008E269E">
        <w:rPr>
          <w:rFonts w:asciiTheme="minorHAnsi" w:hAnsiTheme="minorHAnsi"/>
          <w:color w:val="auto"/>
          <w:szCs w:val="24"/>
        </w:rPr>
        <w:t xml:space="preserve">limitation of motion for either hip.  </w:t>
      </w:r>
      <w:r w:rsidR="003E74B9" w:rsidRPr="008E269E">
        <w:rPr>
          <w:rFonts w:asciiTheme="minorHAnsi" w:hAnsiTheme="minorHAnsi"/>
          <w:color w:val="auto"/>
          <w:szCs w:val="24"/>
        </w:rPr>
        <w:t xml:space="preserve">The Board agreed </w:t>
      </w:r>
      <w:r w:rsidR="00F115D3">
        <w:rPr>
          <w:rFonts w:asciiTheme="minorHAnsi" w:hAnsiTheme="minorHAnsi"/>
          <w:color w:val="auto"/>
          <w:szCs w:val="24"/>
        </w:rPr>
        <w:t xml:space="preserve">that </w:t>
      </w:r>
      <w:r w:rsidR="003E74B9" w:rsidRPr="008E269E">
        <w:rPr>
          <w:rFonts w:asciiTheme="minorHAnsi" w:hAnsiTheme="minorHAnsi"/>
          <w:color w:val="auto"/>
          <w:szCs w:val="24"/>
        </w:rPr>
        <w:t>the VA was consistent with the criteria of the 5255 code</w:t>
      </w:r>
      <w:r w:rsidR="00B87E85">
        <w:rPr>
          <w:rFonts w:asciiTheme="minorHAnsi" w:hAnsiTheme="minorHAnsi"/>
          <w:color w:val="auto"/>
          <w:szCs w:val="24"/>
        </w:rPr>
        <w:t>;</w:t>
      </w:r>
      <w:r w:rsidR="003E74B9" w:rsidRPr="008E269E">
        <w:rPr>
          <w:rFonts w:asciiTheme="minorHAnsi" w:hAnsiTheme="minorHAnsi"/>
          <w:color w:val="auto"/>
          <w:szCs w:val="24"/>
        </w:rPr>
        <w:t xml:space="preserve"> however, IAW </w:t>
      </w:r>
      <w:r w:rsidR="003E74B9" w:rsidRPr="008E269E">
        <w:rPr>
          <w:bCs/>
          <w:color w:val="auto"/>
          <w:sz w:val="23"/>
          <w:szCs w:val="23"/>
        </w:rPr>
        <w:t>§</w:t>
      </w:r>
      <w:r w:rsidR="003E74B9" w:rsidRPr="008E269E">
        <w:rPr>
          <w:rFonts w:asciiTheme="minorHAnsi" w:hAnsiTheme="minorHAnsi"/>
          <w:color w:val="auto"/>
          <w:szCs w:val="24"/>
        </w:rPr>
        <w:t xml:space="preserve">4.7 the higher of two evaluations, the Board agreed there was still evidence of </w:t>
      </w:r>
      <w:r w:rsidR="00197DA2" w:rsidRPr="008E269E">
        <w:rPr>
          <w:rFonts w:asciiTheme="minorHAnsi" w:hAnsiTheme="minorHAnsi"/>
          <w:color w:val="auto"/>
          <w:szCs w:val="24"/>
        </w:rPr>
        <w:t xml:space="preserve">non compensable </w:t>
      </w:r>
      <w:r w:rsidR="002C3C87" w:rsidRPr="008E269E">
        <w:rPr>
          <w:rFonts w:asciiTheme="minorHAnsi" w:hAnsiTheme="minorHAnsi"/>
          <w:color w:val="auto"/>
          <w:szCs w:val="24"/>
        </w:rPr>
        <w:t>pain limited motion</w:t>
      </w:r>
      <w:r w:rsidR="00197DA2" w:rsidRPr="008E269E">
        <w:rPr>
          <w:rFonts w:asciiTheme="minorHAnsi" w:hAnsiTheme="minorHAnsi"/>
          <w:color w:val="auto"/>
          <w:szCs w:val="24"/>
        </w:rPr>
        <w:t xml:space="preserve"> with adduction</w:t>
      </w:r>
      <w:r w:rsidR="003E74B9" w:rsidRPr="008E269E">
        <w:rPr>
          <w:rFonts w:asciiTheme="minorHAnsi" w:hAnsiTheme="minorHAnsi"/>
          <w:color w:val="auto"/>
          <w:szCs w:val="24"/>
        </w:rPr>
        <w:t xml:space="preserve"> </w:t>
      </w:r>
      <w:r w:rsidR="008E269E">
        <w:rPr>
          <w:rFonts w:asciiTheme="minorHAnsi" w:hAnsiTheme="minorHAnsi"/>
          <w:color w:val="auto"/>
          <w:szCs w:val="24"/>
        </w:rPr>
        <w:t xml:space="preserve">and pain with flexion demonstrated by the VA exam </w:t>
      </w:r>
      <w:r w:rsidR="00197DA2" w:rsidRPr="008E269E">
        <w:rPr>
          <w:rFonts w:asciiTheme="minorHAnsi" w:hAnsiTheme="minorHAnsi"/>
          <w:color w:val="auto"/>
          <w:szCs w:val="24"/>
        </w:rPr>
        <w:t xml:space="preserve">which allows a 10% </w:t>
      </w:r>
      <w:r w:rsidR="003E74B9" w:rsidRPr="008E269E">
        <w:rPr>
          <w:rFonts w:asciiTheme="minorHAnsi" w:hAnsiTheme="minorHAnsi"/>
          <w:color w:val="auto"/>
          <w:szCs w:val="24"/>
        </w:rPr>
        <w:t>minimum rating for each hip</w:t>
      </w:r>
      <w:r w:rsidR="00197DA2" w:rsidRPr="008E269E">
        <w:rPr>
          <w:rFonts w:asciiTheme="minorHAnsi" w:hAnsiTheme="minorHAnsi"/>
          <w:color w:val="auto"/>
          <w:szCs w:val="24"/>
        </w:rPr>
        <w:t xml:space="preserve">.  </w:t>
      </w:r>
      <w:r w:rsidR="008E269E" w:rsidRPr="008E269E">
        <w:rPr>
          <w:rFonts w:asciiTheme="minorHAnsi" w:hAnsiTheme="minorHAnsi"/>
          <w:color w:val="auto"/>
          <w:szCs w:val="24"/>
        </w:rPr>
        <w:t xml:space="preserve">There was no evidence of documentation of incapacitating episodes which would provide for additional or higher rating.  </w:t>
      </w:r>
      <w:r w:rsidR="003E74B9" w:rsidRPr="008E269E">
        <w:rPr>
          <w:rFonts w:asciiTheme="minorHAnsi" w:hAnsiTheme="minorHAnsi"/>
          <w:color w:val="auto"/>
          <w:szCs w:val="24"/>
        </w:rPr>
        <w:t xml:space="preserve">There was no other viable approach to a higher rating for either hip which was countenanced by the VASRD.  </w:t>
      </w:r>
      <w:r w:rsidRPr="008E269E">
        <w:rPr>
          <w:rFonts w:eastAsia="Calibri" w:cs="Times New Roman"/>
          <w:color w:val="auto"/>
          <w:szCs w:val="24"/>
        </w:rPr>
        <w:t xml:space="preserve">After due deliberation, considering all of the evidence and mindful of VASRD §4.3 (reasonable doubt), the Board recommends a </w:t>
      </w:r>
      <w:r w:rsidR="008E269E">
        <w:rPr>
          <w:rFonts w:eastAsia="Calibri" w:cs="Times New Roman"/>
          <w:color w:val="auto"/>
          <w:szCs w:val="24"/>
        </w:rPr>
        <w:t xml:space="preserve">combined </w:t>
      </w:r>
      <w:r w:rsidRPr="008E269E">
        <w:rPr>
          <w:rFonts w:eastAsia="Calibri" w:cs="Times New Roman"/>
          <w:color w:val="auto"/>
          <w:szCs w:val="24"/>
        </w:rPr>
        <w:t xml:space="preserve">disability rating of </w:t>
      </w:r>
      <w:r w:rsidR="008E269E" w:rsidRPr="008E269E">
        <w:rPr>
          <w:rFonts w:eastAsia="Calibri" w:cs="Times New Roman"/>
          <w:color w:val="auto"/>
          <w:szCs w:val="24"/>
        </w:rPr>
        <w:t>2</w:t>
      </w:r>
      <w:r w:rsidR="003E74B9" w:rsidRPr="008E269E">
        <w:rPr>
          <w:rFonts w:eastAsia="Calibri" w:cs="Times New Roman"/>
          <w:color w:val="auto"/>
          <w:szCs w:val="24"/>
        </w:rPr>
        <w:t>0</w:t>
      </w:r>
      <w:r w:rsidRPr="008E269E">
        <w:rPr>
          <w:rFonts w:eastAsia="Calibri" w:cs="Times New Roman"/>
          <w:color w:val="auto"/>
          <w:szCs w:val="24"/>
        </w:rPr>
        <w:t xml:space="preserve">% for the </w:t>
      </w:r>
      <w:r w:rsidR="003E74B9" w:rsidRPr="008E269E">
        <w:rPr>
          <w:rFonts w:eastAsia="Calibri" w:cs="Times New Roman"/>
          <w:color w:val="auto"/>
          <w:szCs w:val="24"/>
        </w:rPr>
        <w:t>bilateral hip</w:t>
      </w:r>
      <w:r w:rsidRPr="008E269E">
        <w:rPr>
          <w:rFonts w:eastAsia="Calibri" w:cs="Times New Roman"/>
          <w:color w:val="auto"/>
          <w:szCs w:val="24"/>
        </w:rPr>
        <w:t xml:space="preserve"> condition.</w:t>
      </w:r>
      <w:r w:rsidRPr="00F64312">
        <w:rPr>
          <w:rFonts w:eastAsia="Calibri" w:cs="Times New Roman"/>
          <w:color w:val="auto"/>
          <w:szCs w:val="24"/>
        </w:rPr>
        <w:t xml:space="preserve">  </w:t>
      </w:r>
    </w:p>
    <w:p w:rsidR="00DF41B9" w:rsidRPr="001F29F9" w:rsidRDefault="00DF41B9"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E269E" w:rsidRPr="00F64312" w:rsidRDefault="00C56FC8" w:rsidP="008E269E">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w:t>
      </w:r>
      <w:r w:rsidRPr="008E269E">
        <w:rPr>
          <w:rFonts w:eastAsiaTheme="minorHAnsi"/>
          <w:color w:val="000000" w:themeColor="text1"/>
          <w:szCs w:val="24"/>
        </w:rPr>
        <w:t>ent with the VASRD in effect at the time of the adjudication.</w:t>
      </w:r>
      <w:r w:rsidR="003E74B9" w:rsidRPr="008E269E">
        <w:rPr>
          <w:rFonts w:eastAsia="Calibri" w:cs="Times New Roman"/>
          <w:color w:val="auto"/>
          <w:szCs w:val="24"/>
        </w:rPr>
        <w:t xml:space="preserve">  As discussed above, PEB reliance on the USAPDA pain policy for rating bilateral hip condition was operant in this case and the condition was adjudicated independently of that policy by the Board.  In the matter of the bilateral hip condition, the Board unanimously recommends a </w:t>
      </w:r>
      <w:r w:rsidR="008E269E" w:rsidRPr="008E269E">
        <w:rPr>
          <w:rFonts w:eastAsia="Calibri" w:cs="Times New Roman"/>
          <w:color w:val="auto"/>
          <w:szCs w:val="24"/>
        </w:rPr>
        <w:t xml:space="preserve">combined </w:t>
      </w:r>
      <w:r w:rsidR="003E74B9" w:rsidRPr="008E269E">
        <w:rPr>
          <w:rFonts w:eastAsia="Calibri" w:cs="Times New Roman"/>
          <w:color w:val="auto"/>
          <w:szCs w:val="24"/>
        </w:rPr>
        <w:t xml:space="preserve">disability rating of 20%, coded 5099-5022 </w:t>
      </w:r>
      <w:r w:rsidR="008E269E" w:rsidRPr="008E269E">
        <w:rPr>
          <w:rFonts w:eastAsia="Calibri" w:cs="Times New Roman"/>
          <w:color w:val="auto"/>
          <w:szCs w:val="24"/>
        </w:rPr>
        <w:t xml:space="preserve">for each hip </w:t>
      </w:r>
      <w:r w:rsidR="003E74B9" w:rsidRPr="008E269E">
        <w:rPr>
          <w:rFonts w:eastAsia="Calibri" w:cs="Times New Roman"/>
          <w:color w:val="auto"/>
          <w:szCs w:val="24"/>
        </w:rPr>
        <w:t>IAW VASRD §4.71a.</w:t>
      </w:r>
      <w:r w:rsidR="003E74B9" w:rsidRPr="00F64312">
        <w:rPr>
          <w:rFonts w:eastAsia="Calibri" w:cs="Times New Roman"/>
          <w:color w:val="auto"/>
          <w:szCs w:val="24"/>
        </w:rPr>
        <w:t xml:space="preserve">  </w:t>
      </w:r>
      <w:r w:rsidR="008E269E" w:rsidRPr="00F64312">
        <w:rPr>
          <w:rFonts w:eastAsia="Calibri" w:cs="Times New Roman"/>
          <w:color w:val="auto"/>
          <w:szCs w:val="24"/>
        </w:rPr>
        <w:t xml:space="preserve">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76E60" w:rsidRPr="00F64312" w:rsidRDefault="00C56FC8" w:rsidP="00976E60">
      <w:pPr>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7A157D">
        <w:rPr>
          <w:color w:val="000000" w:themeColor="text1"/>
        </w:rPr>
        <w:t xml:space="preserve">  </w:t>
      </w:r>
      <w:r w:rsidR="00976E60" w:rsidRPr="00F64312">
        <w:rPr>
          <w:rFonts w:eastAsia="Calibri" w:cs="Times New Roman"/>
          <w:color w:val="auto"/>
          <w:szCs w:val="24"/>
        </w:rPr>
        <w:t xml:space="preserve">The Board recommends that the CI’s prior determination be modified as follows, effective as of the date </w:t>
      </w:r>
      <w:r w:rsidR="00976E60" w:rsidRPr="00976E60">
        <w:rPr>
          <w:rFonts w:eastAsia="Calibri" w:cs="Times New Roman"/>
          <w:color w:val="auto"/>
          <w:szCs w:val="24"/>
        </w:rPr>
        <w:t>of her</w:t>
      </w:r>
      <w:r w:rsidR="00976E60" w:rsidRPr="00F64312">
        <w:rPr>
          <w:rFonts w:eastAsia="Calibri" w:cs="Times New Roman"/>
          <w:color w:val="auto"/>
          <w:szCs w:val="24"/>
        </w:rPr>
        <w:t xml:space="preserve"> prior medical separation:  </w:t>
      </w:r>
    </w:p>
    <w:p w:rsidR="00976E60" w:rsidRDefault="00976E60" w:rsidP="007A157D">
      <w:pPr>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976E60" w:rsidRPr="001F29F9" w:rsidTr="00672189">
        <w:trPr>
          <w:trHeight w:val="206"/>
          <w:jc w:val="center"/>
        </w:trPr>
        <w:tc>
          <w:tcPr>
            <w:tcW w:w="6462" w:type="dxa"/>
            <w:gridSpan w:val="2"/>
            <w:tcBorders>
              <w:right w:val="single" w:sz="4" w:space="0" w:color="auto"/>
            </w:tcBorders>
            <w:shd w:val="clear" w:color="auto" w:fill="D9D9D9"/>
            <w:vAlign w:val="center"/>
          </w:tcPr>
          <w:p w:rsidR="00976E60" w:rsidRPr="001F29F9" w:rsidRDefault="00976E60" w:rsidP="00672189">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976E60" w:rsidRPr="001F29F9" w:rsidRDefault="00976E60" w:rsidP="00672189">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976E60" w:rsidRPr="001F29F9" w:rsidRDefault="00976E60" w:rsidP="00672189">
            <w:pPr>
              <w:tabs>
                <w:tab w:val="left" w:pos="288"/>
                <w:tab w:val="left" w:pos="4752"/>
              </w:tabs>
              <w:rPr>
                <w:b/>
                <w:color w:val="000000" w:themeColor="text1"/>
                <w:szCs w:val="24"/>
              </w:rPr>
            </w:pPr>
            <w:r w:rsidRPr="001F29F9">
              <w:rPr>
                <w:b/>
                <w:color w:val="000000" w:themeColor="text1"/>
                <w:szCs w:val="24"/>
              </w:rPr>
              <w:t>RATING</w:t>
            </w:r>
          </w:p>
        </w:tc>
      </w:tr>
      <w:tr w:rsidR="00976E60" w:rsidRPr="001F29F9" w:rsidTr="00672189">
        <w:trPr>
          <w:jc w:val="center"/>
        </w:trPr>
        <w:tc>
          <w:tcPr>
            <w:tcW w:w="6462" w:type="dxa"/>
            <w:gridSpan w:val="2"/>
            <w:tcBorders>
              <w:right w:val="single" w:sz="4" w:space="0" w:color="auto"/>
            </w:tcBorders>
            <w:vAlign w:val="center"/>
          </w:tcPr>
          <w:p w:rsidR="00976E60" w:rsidRPr="009918C5" w:rsidRDefault="009918C5" w:rsidP="00672189">
            <w:pPr>
              <w:tabs>
                <w:tab w:val="left" w:pos="288"/>
                <w:tab w:val="left" w:pos="4752"/>
              </w:tabs>
              <w:jc w:val="left"/>
              <w:rPr>
                <w:color w:val="000000" w:themeColor="text1"/>
                <w:szCs w:val="24"/>
              </w:rPr>
            </w:pPr>
            <w:r w:rsidRPr="009918C5">
              <w:rPr>
                <w:color w:val="000000" w:themeColor="text1"/>
                <w:szCs w:val="24"/>
              </w:rPr>
              <w:t>Right</w:t>
            </w:r>
            <w:r w:rsidR="00976E60" w:rsidRPr="009918C5">
              <w:rPr>
                <w:color w:val="000000" w:themeColor="text1"/>
                <w:szCs w:val="24"/>
              </w:rPr>
              <w:t xml:space="preserve"> Femoral Neck Fractures</w:t>
            </w:r>
          </w:p>
        </w:tc>
        <w:tc>
          <w:tcPr>
            <w:tcW w:w="1724" w:type="dxa"/>
            <w:tcBorders>
              <w:left w:val="single" w:sz="4" w:space="0" w:color="auto"/>
            </w:tcBorders>
            <w:vAlign w:val="center"/>
          </w:tcPr>
          <w:p w:rsidR="00976E60" w:rsidRPr="008E269E" w:rsidRDefault="00976E60" w:rsidP="00672189">
            <w:pPr>
              <w:tabs>
                <w:tab w:val="left" w:pos="288"/>
                <w:tab w:val="left" w:pos="4752"/>
              </w:tabs>
              <w:rPr>
                <w:color w:val="000000" w:themeColor="text1"/>
                <w:szCs w:val="24"/>
              </w:rPr>
            </w:pPr>
            <w:r w:rsidRPr="008E269E">
              <w:rPr>
                <w:color w:val="000000" w:themeColor="text1"/>
                <w:szCs w:val="24"/>
              </w:rPr>
              <w:t>5099-5022</w:t>
            </w:r>
          </w:p>
        </w:tc>
        <w:tc>
          <w:tcPr>
            <w:tcW w:w="1084" w:type="dxa"/>
            <w:vAlign w:val="center"/>
          </w:tcPr>
          <w:p w:rsidR="00976E60" w:rsidRPr="008E269E" w:rsidRDefault="009918C5" w:rsidP="00672189">
            <w:pPr>
              <w:tabs>
                <w:tab w:val="left" w:pos="288"/>
                <w:tab w:val="left" w:pos="4752"/>
              </w:tabs>
              <w:rPr>
                <w:color w:val="000000" w:themeColor="text1"/>
                <w:szCs w:val="24"/>
              </w:rPr>
            </w:pPr>
            <w:r w:rsidRPr="008E269E">
              <w:rPr>
                <w:color w:val="000000" w:themeColor="text1"/>
                <w:szCs w:val="24"/>
              </w:rPr>
              <w:t>1</w:t>
            </w:r>
            <w:r w:rsidR="00976E60" w:rsidRPr="008E269E">
              <w:rPr>
                <w:color w:val="000000" w:themeColor="text1"/>
                <w:szCs w:val="24"/>
              </w:rPr>
              <w:t>0%</w:t>
            </w:r>
          </w:p>
        </w:tc>
      </w:tr>
      <w:tr w:rsidR="009918C5" w:rsidRPr="001F29F9" w:rsidTr="00672189">
        <w:trPr>
          <w:jc w:val="center"/>
        </w:trPr>
        <w:tc>
          <w:tcPr>
            <w:tcW w:w="6462" w:type="dxa"/>
            <w:gridSpan w:val="2"/>
            <w:tcBorders>
              <w:right w:val="single" w:sz="4" w:space="0" w:color="auto"/>
            </w:tcBorders>
            <w:vAlign w:val="center"/>
          </w:tcPr>
          <w:p w:rsidR="009918C5" w:rsidRPr="009918C5" w:rsidRDefault="009918C5" w:rsidP="00672189">
            <w:pPr>
              <w:tabs>
                <w:tab w:val="left" w:pos="288"/>
                <w:tab w:val="left" w:pos="4752"/>
              </w:tabs>
              <w:jc w:val="left"/>
              <w:rPr>
                <w:color w:val="000000" w:themeColor="text1"/>
                <w:szCs w:val="24"/>
              </w:rPr>
            </w:pPr>
            <w:r w:rsidRPr="009918C5">
              <w:rPr>
                <w:color w:val="000000" w:themeColor="text1"/>
                <w:szCs w:val="24"/>
              </w:rPr>
              <w:t>Left Femoral Neck Fractures</w:t>
            </w:r>
          </w:p>
        </w:tc>
        <w:tc>
          <w:tcPr>
            <w:tcW w:w="1724" w:type="dxa"/>
            <w:tcBorders>
              <w:left w:val="single" w:sz="4" w:space="0" w:color="auto"/>
            </w:tcBorders>
            <w:vAlign w:val="center"/>
          </w:tcPr>
          <w:p w:rsidR="009918C5" w:rsidRPr="008E269E" w:rsidRDefault="009918C5" w:rsidP="00672189">
            <w:pPr>
              <w:tabs>
                <w:tab w:val="left" w:pos="288"/>
                <w:tab w:val="left" w:pos="4752"/>
              </w:tabs>
              <w:rPr>
                <w:color w:val="000000" w:themeColor="text1"/>
                <w:szCs w:val="24"/>
              </w:rPr>
            </w:pPr>
            <w:r w:rsidRPr="008E269E">
              <w:rPr>
                <w:color w:val="000000" w:themeColor="text1"/>
                <w:szCs w:val="24"/>
              </w:rPr>
              <w:t>5099-5022</w:t>
            </w:r>
          </w:p>
        </w:tc>
        <w:tc>
          <w:tcPr>
            <w:tcW w:w="1084" w:type="dxa"/>
            <w:vAlign w:val="center"/>
          </w:tcPr>
          <w:p w:rsidR="009918C5" w:rsidRPr="008E269E" w:rsidRDefault="009918C5" w:rsidP="00672189">
            <w:pPr>
              <w:tabs>
                <w:tab w:val="left" w:pos="288"/>
                <w:tab w:val="left" w:pos="4752"/>
              </w:tabs>
              <w:rPr>
                <w:color w:val="000000" w:themeColor="text1"/>
                <w:szCs w:val="24"/>
              </w:rPr>
            </w:pPr>
            <w:r w:rsidRPr="008E269E">
              <w:rPr>
                <w:color w:val="000000" w:themeColor="text1"/>
                <w:szCs w:val="24"/>
              </w:rPr>
              <w:t>10%</w:t>
            </w:r>
          </w:p>
        </w:tc>
      </w:tr>
      <w:tr w:rsidR="00976E60" w:rsidRPr="001F29F9" w:rsidTr="00672189">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976E60" w:rsidRPr="008E269E" w:rsidRDefault="00976E60" w:rsidP="00672189">
            <w:pPr>
              <w:tabs>
                <w:tab w:val="left" w:pos="288"/>
                <w:tab w:val="left" w:pos="4752"/>
              </w:tabs>
              <w:rPr>
                <w:b/>
                <w:color w:val="000000" w:themeColor="text1"/>
                <w:szCs w:val="24"/>
              </w:rPr>
            </w:pPr>
            <w:r w:rsidRPr="008E269E">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976E60" w:rsidRPr="008E269E" w:rsidRDefault="00976E60" w:rsidP="00672189">
            <w:pPr>
              <w:tabs>
                <w:tab w:val="left" w:pos="288"/>
                <w:tab w:val="left" w:pos="4752"/>
              </w:tabs>
              <w:rPr>
                <w:b/>
                <w:color w:val="000000" w:themeColor="text1"/>
                <w:szCs w:val="24"/>
              </w:rPr>
            </w:pPr>
            <w:r w:rsidRPr="008E269E">
              <w:rPr>
                <w:b/>
                <w:color w:val="000000" w:themeColor="text1"/>
                <w:szCs w:val="24"/>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7A157D">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8A49B7">
        <w:rPr>
          <w:color w:val="000000" w:themeColor="text1"/>
          <w:szCs w:val="24"/>
        </w:rPr>
        <w:t>11227</w:t>
      </w:r>
      <w:r w:rsidR="00CE5D24">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CE5D2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CE5D2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A39EA">
        <w:rPr>
          <w:color w:val="000000" w:themeColor="text1"/>
          <w:szCs w:val="24"/>
        </w:rPr>
        <w:t>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FA39E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A39EA" w:rsidRDefault="00FA39EA">
      <w:pPr>
        <w:rPr>
          <w:color w:val="000000" w:themeColor="text1"/>
          <w:szCs w:val="24"/>
        </w:rPr>
      </w:pPr>
      <w:r>
        <w:rPr>
          <w:color w:val="000000" w:themeColor="text1"/>
          <w:szCs w:val="24"/>
        </w:rPr>
        <w:br w:type="page"/>
      </w:r>
    </w:p>
    <w:p w:rsidR="00FA39EA" w:rsidRDefault="00FA39EA" w:rsidP="00FA39EA">
      <w:pPr>
        <w:sectPr w:rsidR="00FA39EA">
          <w:pgSz w:w="12240" w:h="15840"/>
          <w:pgMar w:top="2160" w:right="1440" w:bottom="1440" w:left="1440" w:header="720" w:footer="720" w:gutter="0"/>
          <w:cols w:space="720"/>
        </w:sectPr>
      </w:pPr>
    </w:p>
    <w:p w:rsidR="00FA39EA" w:rsidRDefault="00FA39EA" w:rsidP="00FA39EA">
      <w:pPr>
        <w:pStyle w:val="Header"/>
        <w:tabs>
          <w:tab w:val="left" w:pos="720"/>
        </w:tabs>
        <w:jc w:val="left"/>
      </w:pPr>
      <w:r>
        <w:lastRenderedPageBreak/>
        <w:t>SFMR-RB</w:t>
      </w:r>
      <w:r>
        <w:tab/>
      </w:r>
      <w:r>
        <w:tab/>
      </w:r>
      <w:r>
        <w:tab/>
      </w:r>
      <w:r>
        <w:tab/>
      </w:r>
      <w:r>
        <w:tab/>
      </w:r>
      <w:r>
        <w:tab/>
      </w:r>
      <w:r>
        <w:tab/>
      </w:r>
      <w:r>
        <w:tab/>
      </w:r>
      <w:r>
        <w:tab/>
      </w:r>
    </w:p>
    <w:p w:rsidR="00FA39EA" w:rsidRDefault="00FA39EA" w:rsidP="00FA39EA">
      <w:pPr>
        <w:pStyle w:val="Header"/>
        <w:tabs>
          <w:tab w:val="left" w:pos="720"/>
        </w:tabs>
        <w:jc w:val="left"/>
      </w:pPr>
    </w:p>
    <w:p w:rsidR="00FA39EA" w:rsidRDefault="00FA39EA" w:rsidP="00FA39EA">
      <w:pPr>
        <w:jc w:val="left"/>
      </w:pPr>
    </w:p>
    <w:p w:rsidR="00FA39EA" w:rsidRDefault="00FA39EA" w:rsidP="00FA39EA">
      <w:pPr>
        <w:jc w:val="left"/>
      </w:pPr>
      <w:r>
        <w:t xml:space="preserve">MEMORANDUM FOR Commander, US Army Physical Disability Agency </w:t>
      </w:r>
    </w:p>
    <w:p w:rsidR="00FA39EA" w:rsidRDefault="00FA39EA" w:rsidP="00FA39EA">
      <w:pPr>
        <w:jc w:val="left"/>
      </w:pPr>
      <w:r>
        <w:t xml:space="preserve">(TAPD-ZB </w:t>
      </w:r>
      <w:proofErr w:type="gramStart"/>
      <w:r>
        <w:t>/  )</w:t>
      </w:r>
      <w:proofErr w:type="gramEnd"/>
      <w:r>
        <w:t>, 2900 Crystal Drive, Suite 300, Arlington, VA  22202</w:t>
      </w:r>
    </w:p>
    <w:p w:rsidR="00FA39EA" w:rsidRDefault="00FA39EA" w:rsidP="00FA39EA">
      <w:pPr>
        <w:jc w:val="left"/>
      </w:pPr>
    </w:p>
    <w:p w:rsidR="00FA39EA" w:rsidRDefault="00FA39EA" w:rsidP="00FA39EA">
      <w:pPr>
        <w:ind w:right="-180"/>
        <w:jc w:val="left"/>
      </w:pPr>
      <w:r>
        <w:t xml:space="preserve">SUBJECT:  Department of Defense Physical Disability Board of Review Recommendation </w:t>
      </w:r>
    </w:p>
    <w:p w:rsidR="00FA39EA" w:rsidRDefault="00FA39EA" w:rsidP="00FA39EA">
      <w:pPr>
        <w:pStyle w:val="Header"/>
        <w:tabs>
          <w:tab w:val="left" w:pos="720"/>
        </w:tabs>
        <w:jc w:val="left"/>
      </w:pPr>
      <w:proofErr w:type="gramStart"/>
      <w:r>
        <w:t>for</w:t>
      </w:r>
      <w:proofErr w:type="gramEnd"/>
      <w:r>
        <w:t xml:space="preserve"> XXXXXXXXXXXXXXXXXXXXX, AR20120013398 (PD201200013)</w:t>
      </w:r>
    </w:p>
    <w:p w:rsidR="00FA39EA" w:rsidRDefault="00FA39EA" w:rsidP="00FA39EA">
      <w:pPr>
        <w:pStyle w:val="Header"/>
        <w:tabs>
          <w:tab w:val="left" w:pos="720"/>
        </w:tabs>
        <w:jc w:val="left"/>
      </w:pPr>
    </w:p>
    <w:p w:rsidR="00FA39EA" w:rsidRDefault="00FA39EA" w:rsidP="00FA39EA">
      <w:pPr>
        <w:jc w:val="left"/>
      </w:pPr>
    </w:p>
    <w:p w:rsidR="00FA39EA" w:rsidRDefault="00FA39EA" w:rsidP="00FA39E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A39EA" w:rsidRDefault="00FA39EA" w:rsidP="00FA39EA">
      <w:pPr>
        <w:jc w:val="left"/>
      </w:pPr>
    </w:p>
    <w:p w:rsidR="00FA39EA" w:rsidRDefault="00FA39EA" w:rsidP="00FA39EA">
      <w:pPr>
        <w:jc w:val="left"/>
      </w:pPr>
      <w:r>
        <w:t xml:space="preserve">2.  I direct that all the Department of the Army records of the individual concerned be corrected accordingly no later than 120 days from the date of this memorandum.   </w:t>
      </w:r>
    </w:p>
    <w:p w:rsidR="00FA39EA" w:rsidRDefault="00FA39EA" w:rsidP="00FA39EA">
      <w:pPr>
        <w:jc w:val="left"/>
      </w:pPr>
    </w:p>
    <w:p w:rsidR="00FA39EA" w:rsidRDefault="00FA39EA" w:rsidP="00FA39E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A39EA" w:rsidRDefault="00FA39EA" w:rsidP="00FA39EA">
      <w:pPr>
        <w:jc w:val="left"/>
      </w:pPr>
    </w:p>
    <w:p w:rsidR="00FA39EA" w:rsidRDefault="00FA39EA" w:rsidP="00FA39EA">
      <w:pPr>
        <w:jc w:val="left"/>
      </w:pPr>
      <w:r>
        <w:t xml:space="preserve"> BY ORDER OF THE SECRETARY OF THE ARMY:</w:t>
      </w:r>
    </w:p>
    <w:p w:rsidR="00FA39EA" w:rsidRDefault="00FA39EA" w:rsidP="00FA39EA">
      <w:pPr>
        <w:jc w:val="left"/>
      </w:pPr>
    </w:p>
    <w:p w:rsidR="00FA39EA" w:rsidRDefault="00FA39EA" w:rsidP="00FA39EA">
      <w:pPr>
        <w:jc w:val="left"/>
      </w:pPr>
    </w:p>
    <w:p w:rsidR="00FA39EA" w:rsidRDefault="00FA39EA" w:rsidP="00FA39EA">
      <w:pPr>
        <w:pStyle w:val="Header"/>
        <w:tabs>
          <w:tab w:val="left" w:pos="720"/>
        </w:tabs>
        <w:jc w:val="left"/>
      </w:pPr>
    </w:p>
    <w:p w:rsidR="00FA39EA" w:rsidRDefault="00FA39EA" w:rsidP="00FA39EA">
      <w:pPr>
        <w:jc w:val="left"/>
      </w:pPr>
    </w:p>
    <w:p w:rsidR="00FA39EA" w:rsidRDefault="00FA39EA" w:rsidP="00FA39EA">
      <w:pPr>
        <w:jc w:val="left"/>
      </w:pPr>
      <w:bookmarkStart w:id="1" w:name="OLE_LINK4"/>
      <w:bookmarkStart w:id="2" w:name="OLE_LINK3"/>
      <w:r>
        <w:t>Encl</w:t>
      </w:r>
      <w:r>
        <w:tab/>
      </w:r>
      <w:r>
        <w:tab/>
      </w:r>
      <w:r>
        <w:tab/>
      </w:r>
      <w:r>
        <w:tab/>
      </w:r>
      <w:r>
        <w:tab/>
      </w:r>
      <w:r>
        <w:tab/>
        <w:t xml:space="preserve">     XXXXXXXXXXXXXXXXXXXXXXXXXXXX</w:t>
      </w:r>
    </w:p>
    <w:p w:rsidR="00FA39EA" w:rsidRDefault="00FA39EA" w:rsidP="00FA39EA">
      <w:pPr>
        <w:jc w:val="left"/>
      </w:pPr>
      <w:r>
        <w:tab/>
      </w:r>
      <w:r>
        <w:tab/>
      </w:r>
      <w:r>
        <w:tab/>
      </w:r>
      <w:r>
        <w:tab/>
      </w:r>
      <w:r>
        <w:tab/>
      </w:r>
      <w:r>
        <w:tab/>
        <w:t xml:space="preserve">     Deputy Assistant Secretary</w:t>
      </w:r>
    </w:p>
    <w:p w:rsidR="00FA39EA" w:rsidRDefault="00FA39EA" w:rsidP="00FA39EA">
      <w:pPr>
        <w:jc w:val="left"/>
      </w:pPr>
      <w:r>
        <w:tab/>
      </w:r>
      <w:r>
        <w:tab/>
      </w:r>
      <w:r>
        <w:tab/>
      </w:r>
      <w:r>
        <w:tab/>
      </w:r>
      <w:r>
        <w:tab/>
      </w:r>
      <w:r>
        <w:tab/>
        <w:t xml:space="preserve">         (Army Review Boards)</w:t>
      </w:r>
      <w:bookmarkEnd w:id="1"/>
      <w:bookmarkEnd w:id="2"/>
    </w:p>
    <w:p w:rsidR="00FA39EA" w:rsidRDefault="00FA39EA" w:rsidP="00FA39EA">
      <w:pPr>
        <w:jc w:val="left"/>
      </w:pPr>
    </w:p>
    <w:p w:rsidR="00FA39EA" w:rsidRDefault="00FA39EA" w:rsidP="00FA39EA">
      <w:pPr>
        <w:jc w:val="left"/>
      </w:pPr>
      <w:r>
        <w:t xml:space="preserve">CF: </w:t>
      </w:r>
    </w:p>
    <w:p w:rsidR="00FA39EA" w:rsidRDefault="00FA39EA" w:rsidP="00FA39EA">
      <w:pPr>
        <w:jc w:val="left"/>
      </w:pPr>
      <w:r>
        <w:t xml:space="preserve">(  ) </w:t>
      </w:r>
      <w:proofErr w:type="spellStart"/>
      <w:proofErr w:type="gramStart"/>
      <w:r>
        <w:t>DoD</w:t>
      </w:r>
      <w:proofErr w:type="spellEnd"/>
      <w:proofErr w:type="gramEnd"/>
      <w:r>
        <w:t xml:space="preserve"> PDBR</w:t>
      </w:r>
    </w:p>
    <w:p w:rsidR="00FA39EA" w:rsidRDefault="00FA39EA" w:rsidP="00FA39EA">
      <w:pPr>
        <w:jc w:val="left"/>
      </w:pPr>
      <w:r>
        <w:t>(  ) DVA</w:t>
      </w:r>
    </w:p>
    <w:p w:rsidR="00E3077F" w:rsidRPr="001F29F9" w:rsidRDefault="00E3077F" w:rsidP="00FA39EA">
      <w:pPr>
        <w:tabs>
          <w:tab w:val="left" w:pos="0"/>
          <w:tab w:val="left" w:pos="4320"/>
        </w:tabs>
        <w:jc w:val="left"/>
        <w:rPr>
          <w:color w:val="000000" w:themeColor="text1"/>
          <w:szCs w:val="24"/>
        </w:rPr>
      </w:pPr>
    </w:p>
    <w:p w:rsidR="00327616" w:rsidRPr="008E269E" w:rsidRDefault="00327616" w:rsidP="00FA39EA">
      <w:pPr>
        <w:jc w:val="left"/>
        <w:rPr>
          <w:color w:val="000000" w:themeColor="text1"/>
          <w:szCs w:val="24"/>
          <w:u w:val="single"/>
        </w:rPr>
      </w:pPr>
    </w:p>
    <w:sectPr w:rsidR="00327616" w:rsidRPr="008E269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A7" w:rsidRDefault="006359A7">
      <w:r>
        <w:separator/>
      </w:r>
    </w:p>
  </w:endnote>
  <w:endnote w:type="continuationSeparator" w:id="0">
    <w:p w:rsidR="006359A7" w:rsidRDefault="00635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97DA2" w:rsidRPr="00374247" w:rsidRDefault="00197DA2" w:rsidP="00374247">
        <w:pPr>
          <w:pStyle w:val="Footer"/>
          <w:ind w:firstLine="4320"/>
          <w:rPr>
            <w:color w:val="auto"/>
            <w:szCs w:val="24"/>
          </w:rPr>
        </w:pPr>
        <w:r w:rsidRPr="00374247">
          <w:rPr>
            <w:color w:val="auto"/>
            <w:szCs w:val="24"/>
          </w:rPr>
          <w:t xml:space="preserve">   </w:t>
        </w:r>
        <w:r w:rsidR="0057610D" w:rsidRPr="00374247">
          <w:rPr>
            <w:color w:val="auto"/>
            <w:szCs w:val="24"/>
          </w:rPr>
          <w:fldChar w:fldCharType="begin"/>
        </w:r>
        <w:r w:rsidRPr="00374247">
          <w:rPr>
            <w:color w:val="auto"/>
            <w:szCs w:val="24"/>
          </w:rPr>
          <w:instrText xml:space="preserve"> PAGE   \* MERGEFORMAT </w:instrText>
        </w:r>
        <w:r w:rsidR="0057610D" w:rsidRPr="00374247">
          <w:rPr>
            <w:color w:val="auto"/>
            <w:szCs w:val="24"/>
          </w:rPr>
          <w:fldChar w:fldCharType="separate"/>
        </w:r>
        <w:r w:rsidR="00FA39EA" w:rsidRPr="00FA39EA">
          <w:rPr>
            <w:noProof/>
            <w:color w:val="auto"/>
          </w:rPr>
          <w:t>4</w:t>
        </w:r>
        <w:r w:rsidR="0057610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013</w:t>
        </w:r>
      </w:p>
    </w:sdtContent>
  </w:sdt>
  <w:p w:rsidR="00197DA2" w:rsidRPr="00684CE6" w:rsidRDefault="00197DA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A7" w:rsidRDefault="006359A7">
      <w:r>
        <w:separator/>
      </w:r>
    </w:p>
  </w:footnote>
  <w:footnote w:type="continuationSeparator" w:id="0">
    <w:p w:rsidR="006359A7" w:rsidRDefault="00635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59FA"/>
    <w:rsid w:val="00005C38"/>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0FE3"/>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601"/>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945"/>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053"/>
    <w:rsid w:val="0013525F"/>
    <w:rsid w:val="00135385"/>
    <w:rsid w:val="00136204"/>
    <w:rsid w:val="001364D1"/>
    <w:rsid w:val="001374C7"/>
    <w:rsid w:val="001405FE"/>
    <w:rsid w:val="00140FA4"/>
    <w:rsid w:val="00141BC9"/>
    <w:rsid w:val="001421FD"/>
    <w:rsid w:val="001425C8"/>
    <w:rsid w:val="00142EBA"/>
    <w:rsid w:val="00143B79"/>
    <w:rsid w:val="00145965"/>
    <w:rsid w:val="00150B8A"/>
    <w:rsid w:val="00150DCB"/>
    <w:rsid w:val="00151912"/>
    <w:rsid w:val="001533B9"/>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7DA2"/>
    <w:rsid w:val="001A025E"/>
    <w:rsid w:val="001A08CD"/>
    <w:rsid w:val="001A0A1E"/>
    <w:rsid w:val="001A2182"/>
    <w:rsid w:val="001A323E"/>
    <w:rsid w:val="001A5320"/>
    <w:rsid w:val="001A5E62"/>
    <w:rsid w:val="001A6848"/>
    <w:rsid w:val="001A7538"/>
    <w:rsid w:val="001B06FB"/>
    <w:rsid w:val="001B0B1A"/>
    <w:rsid w:val="001B20E6"/>
    <w:rsid w:val="001B30D1"/>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8F9"/>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50DA"/>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C87"/>
    <w:rsid w:val="002C3F59"/>
    <w:rsid w:val="002C5D9D"/>
    <w:rsid w:val="002C5F10"/>
    <w:rsid w:val="002C6E5B"/>
    <w:rsid w:val="002D08F3"/>
    <w:rsid w:val="002D15A6"/>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C5C"/>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E7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4B9"/>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72B"/>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53B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10D"/>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59A7"/>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9C4"/>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0994"/>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57D"/>
    <w:rsid w:val="007A168F"/>
    <w:rsid w:val="007A2346"/>
    <w:rsid w:val="007A28E4"/>
    <w:rsid w:val="007A3BB3"/>
    <w:rsid w:val="007A3F91"/>
    <w:rsid w:val="007A3F9C"/>
    <w:rsid w:val="007A5AD1"/>
    <w:rsid w:val="007A5B7B"/>
    <w:rsid w:val="007A65A9"/>
    <w:rsid w:val="007A73B3"/>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2FD6"/>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8F6"/>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4B9"/>
    <w:rsid w:val="0089750B"/>
    <w:rsid w:val="00897589"/>
    <w:rsid w:val="008A0C99"/>
    <w:rsid w:val="008A0D4F"/>
    <w:rsid w:val="008A1CC3"/>
    <w:rsid w:val="008A39D7"/>
    <w:rsid w:val="008A49B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69E"/>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6E60"/>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8C5"/>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2C9"/>
    <w:rsid w:val="00AF25B2"/>
    <w:rsid w:val="00AF28DE"/>
    <w:rsid w:val="00AF41EE"/>
    <w:rsid w:val="00AF4FA5"/>
    <w:rsid w:val="00AF5BB4"/>
    <w:rsid w:val="00AF5FF1"/>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BB0"/>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E85"/>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2EC5"/>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E55"/>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D24"/>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1B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0AF"/>
    <w:rsid w:val="00E322F7"/>
    <w:rsid w:val="00E3369B"/>
    <w:rsid w:val="00E362D2"/>
    <w:rsid w:val="00E36D76"/>
    <w:rsid w:val="00E40478"/>
    <w:rsid w:val="00E405EA"/>
    <w:rsid w:val="00E408B7"/>
    <w:rsid w:val="00E412EB"/>
    <w:rsid w:val="00E41637"/>
    <w:rsid w:val="00E42789"/>
    <w:rsid w:val="00E42C01"/>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428"/>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5D3"/>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9EA"/>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FA39EA"/>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0163310">
      <w:bodyDiv w:val="1"/>
      <w:marLeft w:val="0"/>
      <w:marRight w:val="0"/>
      <w:marTop w:val="0"/>
      <w:marBottom w:val="0"/>
      <w:divBdr>
        <w:top w:val="none" w:sz="0" w:space="0" w:color="auto"/>
        <w:left w:val="none" w:sz="0" w:space="0" w:color="auto"/>
        <w:bottom w:val="none" w:sz="0" w:space="0" w:color="auto"/>
        <w:right w:val="none" w:sz="0" w:space="0" w:color="auto"/>
      </w:divBdr>
    </w:div>
    <w:div w:id="729377345">
      <w:bodyDiv w:val="1"/>
      <w:marLeft w:val="0"/>
      <w:marRight w:val="0"/>
      <w:marTop w:val="0"/>
      <w:marBottom w:val="0"/>
      <w:divBdr>
        <w:top w:val="none" w:sz="0" w:space="0" w:color="auto"/>
        <w:left w:val="none" w:sz="0" w:space="0" w:color="auto"/>
        <w:bottom w:val="none" w:sz="0" w:space="0" w:color="auto"/>
        <w:right w:val="none" w:sz="0" w:space="0" w:color="auto"/>
      </w:divBdr>
    </w:div>
    <w:div w:id="88016519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7537984">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51952205">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803238">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917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0151-A56D-4439-A2FD-4382934B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2012-07-23T19:01:00Z</cp:lastPrinted>
  <dcterms:created xsi:type="dcterms:W3CDTF">2012-08-07T13:46:00Z</dcterms:created>
  <dcterms:modified xsi:type="dcterms:W3CDTF">2012-08-07T13:46:00Z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