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C660A">
        <w:rPr>
          <w:caps/>
          <w:color w:val="000000" w:themeColor="text1"/>
        </w:rPr>
        <w:t>XXXXXXXXXXXXXXXX</w:t>
      </w:r>
      <w:r w:rsidRPr="001F29F9">
        <w:rPr>
          <w:caps/>
          <w:color w:val="000000" w:themeColor="text1"/>
        </w:rPr>
        <w:t xml:space="preserve">      </w:t>
      </w:r>
      <w:r>
        <w:rPr>
          <w:caps/>
          <w:color w:val="000000" w:themeColor="text1"/>
        </w:rPr>
        <w:tab/>
        <w:t xml:space="preserve">                 </w:t>
      </w:r>
      <w:r w:rsidR="00400AB7">
        <w:rPr>
          <w:caps/>
          <w:color w:val="000000" w:themeColor="text1"/>
        </w:rPr>
        <w:t xml:space="preserve"> </w:t>
      </w:r>
      <w:r>
        <w:rPr>
          <w:caps/>
          <w:color w:val="000000" w:themeColor="text1"/>
        </w:rPr>
        <w:t xml:space="preserve">      </w:t>
      </w:r>
      <w:r w:rsidR="00400AB7">
        <w:rPr>
          <w:caps/>
          <w:color w:val="000000" w:themeColor="text1"/>
        </w:rPr>
        <w:t xml:space="preserve">   </w:t>
      </w:r>
      <w:r>
        <w:rPr>
          <w:caps/>
          <w:color w:val="000000" w:themeColor="text1"/>
        </w:rPr>
        <w:t xml:space="preserve">      </w:t>
      </w:r>
      <w:r w:rsidRPr="001F29F9">
        <w:rPr>
          <w:caps/>
          <w:color w:val="000000" w:themeColor="text1"/>
        </w:rPr>
        <w:t xml:space="preserve">BRANCH OF </w:t>
      </w:r>
      <w:r w:rsidRPr="00040AC2">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040AC2" w:rsidRPr="00E41080">
        <w:rPr>
          <w:caps/>
          <w:color w:val="000000" w:themeColor="text1"/>
        </w:rPr>
        <w:t>PD1200008</w:t>
      </w:r>
      <w:r>
        <w:rPr>
          <w:color w:val="000000" w:themeColor="text1"/>
        </w:rPr>
        <w:tab/>
      </w:r>
      <w:r>
        <w:rPr>
          <w:color w:val="000000" w:themeColor="text1"/>
        </w:rPr>
        <w:tab/>
        <w:t xml:space="preserve">          </w:t>
      </w:r>
      <w:r w:rsidRPr="001F29F9">
        <w:rPr>
          <w:color w:val="000000" w:themeColor="text1"/>
        </w:rPr>
        <w:t xml:space="preserve"> SEPARATION DATE:  </w:t>
      </w:r>
      <w:r w:rsidR="00040AC2" w:rsidRPr="001F29F9">
        <w:rPr>
          <w:color w:val="000000" w:themeColor="text1"/>
        </w:rPr>
        <w:t>200</w:t>
      </w:r>
      <w:r w:rsidR="00040AC2">
        <w:rPr>
          <w:color w:val="000000" w:themeColor="text1"/>
        </w:rPr>
        <w:t>20420</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081148">
        <w:rPr>
          <w:caps/>
          <w:color w:val="000000"/>
        </w:rPr>
        <w:t>1017</w:t>
      </w:r>
    </w:p>
    <w:p w:rsidR="00EB192F" w:rsidRPr="001F29F9" w:rsidRDefault="00EB192F"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040AC2" w:rsidRPr="00192A48" w:rsidRDefault="00D50B3F" w:rsidP="00040AC2">
      <w:pPr>
        <w:jc w:val="both"/>
        <w:rPr>
          <w:rFonts w:cstheme="minorHAnsi"/>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Pr>
          <w:color w:val="000000"/>
        </w:rPr>
        <w:t xml:space="preserve">an active duty </w:t>
      </w:r>
      <w:r w:rsidR="00040AC2" w:rsidRPr="00E41080">
        <w:rPr>
          <w:color w:val="000000" w:themeColor="text1"/>
          <w:szCs w:val="24"/>
        </w:rPr>
        <w:t>SSG/E-6 (</w:t>
      </w:r>
      <w:r w:rsidR="00040AC2">
        <w:rPr>
          <w:color w:val="000000" w:themeColor="text1"/>
          <w:szCs w:val="24"/>
        </w:rPr>
        <w:t>54B</w:t>
      </w:r>
      <w:r w:rsidR="00BC4E8B">
        <w:rPr>
          <w:color w:val="000000" w:themeColor="text1"/>
          <w:szCs w:val="24"/>
        </w:rPr>
        <w:t>/</w:t>
      </w:r>
      <w:r w:rsidR="00040AC2" w:rsidRPr="00E41080">
        <w:rPr>
          <w:color w:val="000000" w:themeColor="text1"/>
          <w:szCs w:val="24"/>
        </w:rPr>
        <w:t xml:space="preserve">Chemical Operations) </w:t>
      </w:r>
      <w:r w:rsidRPr="001F29F9">
        <w:rPr>
          <w:color w:val="000000"/>
        </w:rPr>
        <w:t xml:space="preserve">medically separated for </w:t>
      </w:r>
      <w:r w:rsidR="00040AC2">
        <w:rPr>
          <w:color w:val="000000"/>
        </w:rPr>
        <w:t>right shoulder and right knee</w:t>
      </w:r>
      <w:r w:rsidRPr="001F29F9">
        <w:rPr>
          <w:color w:val="000000"/>
        </w:rPr>
        <w:t xml:space="preserve"> </w:t>
      </w:r>
      <w:r>
        <w:rPr>
          <w:color w:val="000000"/>
        </w:rPr>
        <w:t>condition</w:t>
      </w:r>
      <w:r w:rsidR="00040AC2">
        <w:rPr>
          <w:color w:val="000000"/>
        </w:rPr>
        <w:t xml:space="preserve">s.  </w:t>
      </w:r>
      <w:r w:rsidR="00CB32F3">
        <w:rPr>
          <w:color w:val="000000"/>
        </w:rPr>
        <w:t>He</w:t>
      </w:r>
      <w:r w:rsidR="0052589C">
        <w:rPr>
          <w:color w:val="000000"/>
        </w:rPr>
        <w:t xml:space="preserve"> dislocated his (dominant) right shoulder in 1994, and required surgical stabilization in 1998 for recurrent dislocations.  Although he suffered no further dislocations, he continued to experience pain and subjective instability.  </w:t>
      </w:r>
      <w:r w:rsidR="004C5D24">
        <w:rPr>
          <w:color w:val="000000"/>
        </w:rPr>
        <w:t xml:space="preserve">The shoulder </w:t>
      </w:r>
      <w:r w:rsidR="00040AC2" w:rsidRPr="00192A48">
        <w:rPr>
          <w:rFonts w:cstheme="minorHAnsi"/>
          <w:color w:val="000000"/>
          <w:szCs w:val="24"/>
        </w:rPr>
        <w:t xml:space="preserve">could not be adequately rehabilitated to meet the physical requirements of </w:t>
      </w:r>
      <w:r w:rsidR="00040AC2">
        <w:rPr>
          <w:rFonts w:cstheme="minorHAnsi"/>
          <w:color w:val="000000"/>
          <w:szCs w:val="24"/>
        </w:rPr>
        <w:t>his</w:t>
      </w:r>
      <w:r w:rsidR="00040AC2" w:rsidRPr="00192A48">
        <w:rPr>
          <w:rFonts w:cstheme="minorHAnsi"/>
          <w:color w:val="000000"/>
          <w:szCs w:val="24"/>
        </w:rPr>
        <w:t xml:space="preserve"> Military Occupational Specialty (MOS) or satisfy</w:t>
      </w:r>
      <w:r w:rsidR="00040AC2">
        <w:rPr>
          <w:rFonts w:cstheme="minorHAnsi"/>
          <w:color w:val="000000"/>
          <w:szCs w:val="24"/>
        </w:rPr>
        <w:t xml:space="preserve"> physical fitness standards.  H</w:t>
      </w:r>
      <w:r w:rsidR="00040AC2" w:rsidRPr="00192A48">
        <w:rPr>
          <w:rFonts w:cstheme="minorHAnsi"/>
          <w:color w:val="000000"/>
          <w:szCs w:val="24"/>
        </w:rPr>
        <w:t xml:space="preserve">e was </w:t>
      </w:r>
      <w:r w:rsidR="00040AC2">
        <w:rPr>
          <w:rFonts w:cstheme="minorHAnsi"/>
          <w:color w:val="000000"/>
          <w:szCs w:val="24"/>
        </w:rPr>
        <w:t>issued a permanent U</w:t>
      </w:r>
      <w:r w:rsidR="00040AC2" w:rsidRPr="00192A48">
        <w:rPr>
          <w:rFonts w:cstheme="minorHAnsi"/>
          <w:color w:val="000000"/>
          <w:szCs w:val="24"/>
        </w:rPr>
        <w:t xml:space="preserve">3 profile and referred for a Medical Evaluation Board (MEB).  </w:t>
      </w:r>
      <w:r w:rsidR="004C5D24">
        <w:rPr>
          <w:rFonts w:cstheme="minorHAnsi"/>
          <w:color w:val="000000"/>
          <w:szCs w:val="24"/>
        </w:rPr>
        <w:t xml:space="preserve">Additionally the CI was evaluated by the MEB for chronic pain of the right knee.  </w:t>
      </w:r>
      <w:r w:rsidR="00040AC2" w:rsidRPr="00192A48">
        <w:rPr>
          <w:rFonts w:cstheme="minorHAnsi"/>
          <w:color w:val="000000"/>
          <w:szCs w:val="24"/>
        </w:rPr>
        <w:t xml:space="preserve">The </w:t>
      </w:r>
      <w:r w:rsidR="006273CA">
        <w:rPr>
          <w:color w:val="000000"/>
        </w:rPr>
        <w:t>right shoulder and right knee</w:t>
      </w:r>
      <w:r w:rsidR="006273CA" w:rsidRPr="00192A48">
        <w:rPr>
          <w:rFonts w:cstheme="minorHAnsi"/>
          <w:color w:val="000000"/>
          <w:szCs w:val="24"/>
        </w:rPr>
        <w:t xml:space="preserve"> </w:t>
      </w:r>
      <w:r w:rsidR="004C5D24">
        <w:rPr>
          <w:rFonts w:cstheme="minorHAnsi"/>
          <w:color w:val="000000"/>
          <w:szCs w:val="24"/>
        </w:rPr>
        <w:t xml:space="preserve">conditions </w:t>
      </w:r>
      <w:r w:rsidR="004C5D24" w:rsidRPr="00192A48">
        <w:rPr>
          <w:rFonts w:cstheme="minorHAnsi"/>
          <w:color w:val="000000"/>
          <w:szCs w:val="24"/>
        </w:rPr>
        <w:t xml:space="preserve">were forwarded to the Physical Evaluation Board (PEB) as separate </w:t>
      </w:r>
      <w:r w:rsidR="00040AC2" w:rsidRPr="00192A48">
        <w:rPr>
          <w:rFonts w:cstheme="minorHAnsi"/>
          <w:color w:val="000000"/>
          <w:szCs w:val="24"/>
        </w:rPr>
        <w:t>diagnoses</w:t>
      </w:r>
      <w:r w:rsidR="004C5D24">
        <w:rPr>
          <w:rFonts w:cstheme="minorHAnsi"/>
          <w:color w:val="000000"/>
          <w:szCs w:val="24"/>
        </w:rPr>
        <w:t xml:space="preserve">: </w:t>
      </w:r>
      <w:r w:rsidR="006273CA">
        <w:rPr>
          <w:rFonts w:cstheme="minorHAnsi"/>
          <w:color w:val="000000"/>
          <w:szCs w:val="24"/>
        </w:rPr>
        <w:t>“</w:t>
      </w:r>
      <w:r w:rsidR="006273CA">
        <w:rPr>
          <w:color w:val="000000" w:themeColor="text1"/>
          <w:szCs w:val="24"/>
        </w:rPr>
        <w:t>r</w:t>
      </w:r>
      <w:r w:rsidR="006273CA" w:rsidRPr="00E41080">
        <w:rPr>
          <w:color w:val="000000" w:themeColor="text1"/>
          <w:szCs w:val="24"/>
        </w:rPr>
        <w:t>ight shoulder chronic instability</w:t>
      </w:r>
      <w:r w:rsidR="006273CA">
        <w:rPr>
          <w:color w:val="000000" w:themeColor="text1"/>
          <w:szCs w:val="24"/>
        </w:rPr>
        <w:t>,</w:t>
      </w:r>
      <w:r w:rsidR="006273CA" w:rsidRPr="00E41080">
        <w:rPr>
          <w:color w:val="000000" w:themeColor="text1"/>
          <w:szCs w:val="24"/>
        </w:rPr>
        <w:t xml:space="preserve"> status post surgery</w:t>
      </w:r>
      <w:r w:rsidR="006273CA">
        <w:rPr>
          <w:color w:val="000000" w:themeColor="text1"/>
          <w:szCs w:val="24"/>
        </w:rPr>
        <w:t>” and “</w:t>
      </w:r>
      <w:r w:rsidR="006273CA" w:rsidRPr="00E41080">
        <w:rPr>
          <w:color w:val="000000" w:themeColor="text1"/>
          <w:szCs w:val="24"/>
        </w:rPr>
        <w:t>right knee chondromalacia</w:t>
      </w:r>
      <w:r w:rsidR="00390EAD">
        <w:rPr>
          <w:rFonts w:cstheme="minorHAnsi"/>
          <w:color w:val="000000"/>
          <w:szCs w:val="24"/>
        </w:rPr>
        <w:t>.</w:t>
      </w:r>
      <w:r w:rsidR="00BC4E8B">
        <w:rPr>
          <w:rFonts w:cstheme="minorHAnsi"/>
          <w:color w:val="000000"/>
          <w:szCs w:val="24"/>
        </w:rPr>
        <w:t>”</w:t>
      </w:r>
      <w:r w:rsidR="00390EAD">
        <w:rPr>
          <w:rFonts w:cstheme="minorHAnsi"/>
          <w:color w:val="000000"/>
          <w:szCs w:val="24"/>
        </w:rPr>
        <w:t xml:space="preserve">  The right shoulder condition was designated in the narrative summary (NARSUM) as</w:t>
      </w:r>
      <w:r w:rsidR="00390EAD" w:rsidRPr="00192A48">
        <w:rPr>
          <w:rFonts w:cstheme="minorHAnsi"/>
          <w:color w:val="000000"/>
          <w:szCs w:val="24"/>
        </w:rPr>
        <w:t xml:space="preserve"> </w:t>
      </w:r>
      <w:r w:rsidR="00040AC2" w:rsidRPr="00192A48">
        <w:rPr>
          <w:rFonts w:cstheme="minorHAnsi"/>
          <w:color w:val="000000"/>
          <w:szCs w:val="24"/>
        </w:rPr>
        <w:t>medically unacceptable IAW AR 40-501</w:t>
      </w:r>
      <w:r w:rsidR="004C5D24">
        <w:rPr>
          <w:rFonts w:cstheme="minorHAnsi"/>
          <w:color w:val="000000"/>
          <w:szCs w:val="24"/>
        </w:rPr>
        <w:t>.</w:t>
      </w:r>
      <w:r w:rsidR="00390EAD">
        <w:rPr>
          <w:rFonts w:cstheme="minorHAnsi"/>
          <w:color w:val="000000"/>
          <w:szCs w:val="24"/>
        </w:rPr>
        <w:t xml:space="preserve"> </w:t>
      </w:r>
      <w:r w:rsidR="004C5D24">
        <w:rPr>
          <w:rFonts w:cstheme="minorHAnsi"/>
          <w:color w:val="000000"/>
          <w:szCs w:val="24"/>
        </w:rPr>
        <w:t xml:space="preserve"> T</w:t>
      </w:r>
      <w:r w:rsidR="00390EAD">
        <w:rPr>
          <w:rFonts w:cstheme="minorHAnsi"/>
          <w:color w:val="000000"/>
          <w:szCs w:val="24"/>
        </w:rPr>
        <w:t xml:space="preserve">he addendum to the </w:t>
      </w:r>
      <w:r w:rsidR="00390EAD" w:rsidRPr="00E8572D">
        <w:rPr>
          <w:rFonts w:cstheme="minorHAnsi"/>
          <w:color w:val="000000"/>
          <w:szCs w:val="24"/>
        </w:rPr>
        <w:t>NARSUM</w:t>
      </w:r>
      <w:r w:rsidR="00390EAD">
        <w:rPr>
          <w:rFonts w:cstheme="minorHAnsi"/>
          <w:color w:val="000000"/>
          <w:szCs w:val="24"/>
        </w:rPr>
        <w:t xml:space="preserve"> </w:t>
      </w:r>
      <w:r w:rsidR="00C72281">
        <w:rPr>
          <w:rFonts w:cstheme="minorHAnsi"/>
          <w:color w:val="000000"/>
          <w:szCs w:val="24"/>
        </w:rPr>
        <w:t>for</w:t>
      </w:r>
      <w:r w:rsidR="00390EAD">
        <w:rPr>
          <w:rFonts w:cstheme="minorHAnsi"/>
          <w:color w:val="000000"/>
          <w:szCs w:val="24"/>
        </w:rPr>
        <w:t xml:space="preserve"> the knee condition </w:t>
      </w:r>
      <w:r w:rsidR="00EB05B6">
        <w:rPr>
          <w:rFonts w:cstheme="minorHAnsi"/>
          <w:color w:val="000000"/>
          <w:szCs w:val="24"/>
        </w:rPr>
        <w:t xml:space="preserve">did not address compatibility </w:t>
      </w:r>
      <w:r w:rsidR="00390EAD">
        <w:rPr>
          <w:rFonts w:cstheme="minorHAnsi"/>
          <w:color w:val="000000"/>
          <w:szCs w:val="24"/>
        </w:rPr>
        <w:t>with retention standards</w:t>
      </w:r>
      <w:r w:rsidR="00EB05B6">
        <w:rPr>
          <w:rFonts w:cstheme="minorHAnsi"/>
          <w:color w:val="000000"/>
          <w:szCs w:val="24"/>
        </w:rPr>
        <w:t xml:space="preserve">; and, </w:t>
      </w:r>
      <w:r w:rsidR="00C72281">
        <w:rPr>
          <w:rFonts w:cstheme="minorHAnsi"/>
          <w:color w:val="000000"/>
          <w:szCs w:val="24"/>
        </w:rPr>
        <w:t xml:space="preserve">the MEB’s DA Form 3947 made no reference to medical acceptability </w:t>
      </w:r>
      <w:r w:rsidR="00EB05B6">
        <w:rPr>
          <w:rFonts w:cstheme="minorHAnsi"/>
          <w:color w:val="000000"/>
          <w:szCs w:val="24"/>
        </w:rPr>
        <w:t>for either condition</w:t>
      </w:r>
      <w:r w:rsidR="00040AC2" w:rsidRPr="00192A48">
        <w:rPr>
          <w:rFonts w:cstheme="minorHAnsi"/>
          <w:color w:val="000000"/>
          <w:szCs w:val="24"/>
        </w:rPr>
        <w:t xml:space="preserve">.  </w:t>
      </w:r>
      <w:r w:rsidR="006273CA" w:rsidRPr="00F566B7">
        <w:rPr>
          <w:color w:val="000000"/>
        </w:rPr>
        <w:t>No other condi</w:t>
      </w:r>
      <w:r w:rsidR="006273CA">
        <w:rPr>
          <w:color w:val="000000"/>
        </w:rPr>
        <w:t>tions were submitted by the MEB</w:t>
      </w:r>
      <w:r w:rsidR="006273CA" w:rsidRPr="00F566B7">
        <w:rPr>
          <w:color w:val="000000"/>
        </w:rPr>
        <w:t>.</w:t>
      </w:r>
      <w:r w:rsidR="006273CA">
        <w:rPr>
          <w:color w:val="000000"/>
        </w:rPr>
        <w:t xml:space="preserve">  </w:t>
      </w:r>
      <w:r w:rsidR="00040AC2" w:rsidRPr="00192A48">
        <w:rPr>
          <w:rFonts w:cstheme="minorHAnsi"/>
          <w:color w:val="000000"/>
          <w:szCs w:val="24"/>
        </w:rPr>
        <w:t xml:space="preserve">The PEB adjudicated the </w:t>
      </w:r>
      <w:r w:rsidR="006273CA">
        <w:rPr>
          <w:color w:val="000000"/>
        </w:rPr>
        <w:t>right shoulder and right knee</w:t>
      </w:r>
      <w:r w:rsidR="006273CA" w:rsidRPr="00192A48">
        <w:rPr>
          <w:rFonts w:cstheme="minorHAnsi"/>
          <w:color w:val="000000"/>
          <w:szCs w:val="24"/>
        </w:rPr>
        <w:t xml:space="preserve"> </w:t>
      </w:r>
      <w:r w:rsidR="00040AC2" w:rsidRPr="00192A48">
        <w:rPr>
          <w:rFonts w:cstheme="minorHAnsi"/>
          <w:color w:val="000000"/>
          <w:szCs w:val="24"/>
        </w:rPr>
        <w:t>diagnoses as a single unfitting condition, coded analogously to 5003 (degenerat</w:t>
      </w:r>
      <w:r w:rsidR="006273CA">
        <w:rPr>
          <w:rFonts w:cstheme="minorHAnsi"/>
          <w:color w:val="000000"/>
          <w:szCs w:val="24"/>
        </w:rPr>
        <w:t>ive arthritis) and rated 10%,</w:t>
      </w:r>
      <w:r w:rsidR="006273CA" w:rsidRPr="006273CA">
        <w:rPr>
          <w:color w:val="000000"/>
        </w:rPr>
        <w:t xml:space="preserve"> </w:t>
      </w:r>
      <w:r w:rsidR="006273CA">
        <w:rPr>
          <w:color w:val="000000"/>
        </w:rPr>
        <w:t>citing criteria of</w:t>
      </w:r>
      <w:r w:rsidR="00040AC2" w:rsidRPr="00192A48">
        <w:rPr>
          <w:rFonts w:cstheme="minorHAnsi"/>
          <w:color w:val="000000"/>
          <w:szCs w:val="24"/>
        </w:rPr>
        <w:t xml:space="preserve"> the </w:t>
      </w:r>
      <w:r w:rsidR="00040AC2" w:rsidRPr="00192A48">
        <w:rPr>
          <w:rFonts w:cstheme="minorHAnsi"/>
          <w:color w:val="000000" w:themeColor="text1"/>
          <w:szCs w:val="24"/>
        </w:rPr>
        <w:t>US Army Physical Disability Agency (USAPDA) pain policy.</w:t>
      </w:r>
      <w:r w:rsidR="00040AC2" w:rsidRPr="00192A48">
        <w:rPr>
          <w:rFonts w:cstheme="minorHAnsi"/>
          <w:color w:val="000000"/>
          <w:szCs w:val="24"/>
        </w:rPr>
        <w:t xml:space="preserve">  The CI made no appeals, and was medically separated with a 10% disability rating.</w:t>
      </w:r>
    </w:p>
    <w:p w:rsidR="006273CA" w:rsidRPr="001F29F9" w:rsidRDefault="006273CA" w:rsidP="006273CA">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D50B3F" w:rsidRPr="00966FC9" w:rsidRDefault="00D50B3F" w:rsidP="00D50B3F">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Pr="00966FC9">
        <w:rPr>
          <w:color w:val="000000"/>
        </w:rPr>
        <w:t xml:space="preserve">The application states </w:t>
      </w:r>
      <w:r w:rsidR="00081148">
        <w:rPr>
          <w:color w:val="000000"/>
        </w:rPr>
        <w:t>(r</w:t>
      </w:r>
      <w:r w:rsidRPr="00966FC9">
        <w:rPr>
          <w:color w:val="000000"/>
        </w:rPr>
        <w:t>edacted for brevity, with preservation of content relevant to the Boar</w:t>
      </w:r>
      <w:r w:rsidR="00081148">
        <w:rPr>
          <w:color w:val="000000"/>
        </w:rPr>
        <w:t>d’s scope and recommendations):</w:t>
      </w:r>
      <w:r w:rsidRPr="00966FC9">
        <w:rPr>
          <w:color w:val="000000"/>
        </w:rPr>
        <w:t xml:space="preserve"> </w:t>
      </w:r>
      <w:r w:rsidR="00966FC9" w:rsidRPr="00966FC9">
        <w:rPr>
          <w:color w:val="000000" w:themeColor="text1"/>
        </w:rPr>
        <w:t xml:space="preserve">“I was medically discharged with 10% after a 2 year Medical Board while stationed in Germany. </w:t>
      </w:r>
      <w:r w:rsidR="00966FC9">
        <w:rPr>
          <w:color w:val="000000" w:themeColor="text1"/>
        </w:rPr>
        <w:t xml:space="preserve"> </w:t>
      </w:r>
      <w:r w:rsidR="00966FC9" w:rsidRPr="00966FC9">
        <w:rPr>
          <w:color w:val="000000" w:themeColor="text1"/>
        </w:rPr>
        <w:t>I filed with</w:t>
      </w:r>
      <w:r w:rsidR="00966FC9" w:rsidRPr="000947BB">
        <w:rPr>
          <w:color w:val="000000" w:themeColor="text1"/>
        </w:rPr>
        <w:t xml:space="preserve"> VA when I got out. </w:t>
      </w:r>
      <w:r w:rsidR="00966FC9">
        <w:rPr>
          <w:color w:val="000000" w:themeColor="text1"/>
        </w:rPr>
        <w:t xml:space="preserve"> </w:t>
      </w:r>
      <w:r w:rsidR="00966FC9" w:rsidRPr="000947BB">
        <w:rPr>
          <w:color w:val="000000" w:themeColor="text1"/>
        </w:rPr>
        <w:t>VA immediately</w:t>
      </w:r>
      <w:r w:rsidR="00966FC9">
        <w:rPr>
          <w:color w:val="000000" w:themeColor="text1"/>
        </w:rPr>
        <w:t xml:space="preserve"> </w:t>
      </w:r>
      <w:r w:rsidR="00966FC9" w:rsidRPr="000947BB">
        <w:rPr>
          <w:color w:val="000000" w:themeColor="text1"/>
        </w:rPr>
        <w:t>upgraded my disability to 30% which if I had received that at my time of discharge, I would have a retirement card and benefits.</w:t>
      </w:r>
      <w:r w:rsidR="00081148">
        <w:rPr>
          <w:color w:val="000000" w:themeColor="text1"/>
        </w:rPr>
        <w:t xml:space="preserve"> </w:t>
      </w:r>
      <w:r w:rsidR="00966FC9" w:rsidRPr="000947BB">
        <w:rPr>
          <w:color w:val="000000" w:themeColor="text1"/>
        </w:rPr>
        <w:t xml:space="preserve"> I have recently</w:t>
      </w:r>
      <w:r w:rsidR="00966FC9">
        <w:rPr>
          <w:color w:val="000000" w:themeColor="text1"/>
        </w:rPr>
        <w:t xml:space="preserve"> </w:t>
      </w:r>
      <w:r w:rsidR="00966FC9" w:rsidRPr="000947BB">
        <w:rPr>
          <w:color w:val="000000" w:themeColor="text1"/>
        </w:rPr>
        <w:t>been diagnosed with Tinnitus and was discharged with a service connected hearing loss.</w:t>
      </w:r>
      <w:r w:rsidR="00966FC9">
        <w:rPr>
          <w:color w:val="000000" w:themeColor="text1"/>
        </w:rPr>
        <w:t xml:space="preserve"> ... [Details post separation co</w:t>
      </w:r>
      <w:r w:rsidR="00EA6F78">
        <w:rPr>
          <w:color w:val="000000" w:themeColor="text1"/>
        </w:rPr>
        <w:t>urse of complications, repeat surgery</w:t>
      </w:r>
      <w:r w:rsidR="00966FC9">
        <w:rPr>
          <w:color w:val="000000" w:themeColor="text1"/>
        </w:rPr>
        <w:t xml:space="preserve"> and related diagnoses relevant to the right shoulder condition.]  </w:t>
      </w:r>
      <w:r w:rsidR="00966FC9" w:rsidRPr="000947BB">
        <w:rPr>
          <w:color w:val="000000" w:themeColor="text1"/>
        </w:rPr>
        <w:t>My quality of</w:t>
      </w:r>
      <w:r w:rsidR="00966FC9">
        <w:rPr>
          <w:color w:val="000000" w:themeColor="text1"/>
        </w:rPr>
        <w:t xml:space="preserve"> </w:t>
      </w:r>
      <w:r w:rsidR="00966FC9" w:rsidRPr="000947BB">
        <w:rPr>
          <w:color w:val="000000" w:themeColor="text1"/>
        </w:rPr>
        <w:t>life to include normal daily living functions and sleeping have been greatly impaired.</w:t>
      </w:r>
      <w:r w:rsidR="00966FC9">
        <w:rPr>
          <w:color w:val="000000" w:themeColor="text1"/>
        </w:rPr>
        <w:t xml:space="preserve">  ... I </w:t>
      </w:r>
      <w:r w:rsidR="00966FC9" w:rsidRPr="000947BB">
        <w:rPr>
          <w:color w:val="000000" w:themeColor="text1"/>
        </w:rPr>
        <w:t xml:space="preserve">gave ten years of my life to the Army and was on the fast track until my injuries stopped me. </w:t>
      </w:r>
      <w:r w:rsidR="00966FC9">
        <w:rPr>
          <w:color w:val="000000" w:themeColor="text1"/>
        </w:rPr>
        <w:t xml:space="preserve"> </w:t>
      </w:r>
      <w:r w:rsidR="00966FC9" w:rsidRPr="000947BB">
        <w:rPr>
          <w:color w:val="000000" w:themeColor="text1"/>
        </w:rPr>
        <w:t>I feel that I am warranted for medical retirement and I</w:t>
      </w:r>
      <w:r w:rsidR="00966FC9">
        <w:rPr>
          <w:color w:val="000000" w:themeColor="text1"/>
        </w:rPr>
        <w:t xml:space="preserve"> </w:t>
      </w:r>
      <w:r w:rsidR="00966FC9" w:rsidRPr="000947BB">
        <w:rPr>
          <w:color w:val="000000" w:themeColor="text1"/>
        </w:rPr>
        <w:t xml:space="preserve">asking </w:t>
      </w:r>
      <w:r w:rsidR="00081148">
        <w:rPr>
          <w:color w:val="000000" w:themeColor="text1"/>
        </w:rPr>
        <w:t>[</w:t>
      </w:r>
      <w:r w:rsidR="00081148" w:rsidRPr="00081148">
        <w:rPr>
          <w:i/>
          <w:color w:val="000000" w:themeColor="text1"/>
        </w:rPr>
        <w:t>sic</w:t>
      </w:r>
      <w:r w:rsidR="00081148">
        <w:rPr>
          <w:color w:val="000000" w:themeColor="text1"/>
        </w:rPr>
        <w:t xml:space="preserve">] </w:t>
      </w:r>
      <w:r w:rsidR="00966FC9" w:rsidRPr="000947BB">
        <w:rPr>
          <w:color w:val="000000" w:themeColor="text1"/>
        </w:rPr>
        <w:t>the board to please review my case.</w:t>
      </w:r>
      <w:r w:rsidR="00966FC9">
        <w:rPr>
          <w:color w:val="000000" w:themeColor="text1"/>
        </w:rPr>
        <w:t>”</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E25A29" w:rsidRPr="00400AB7" w:rsidRDefault="00D50B3F" w:rsidP="00E25A29">
      <w:pPr>
        <w:jc w:val="both"/>
        <w:rPr>
          <w:rFonts w:eastAsia="Calibri" w:cs="Times New Roman"/>
          <w:color w:val="auto"/>
          <w:szCs w:val="24"/>
        </w:rPr>
      </w:pPr>
      <w:r w:rsidRPr="006A714F">
        <w:rPr>
          <w:color w:val="auto"/>
          <w:u w:val="single"/>
        </w:rPr>
        <w:t>SCOPE OF REVIEW</w:t>
      </w:r>
      <w:r>
        <w:rPr>
          <w:color w:val="auto"/>
        </w:rPr>
        <w:t xml:space="preserve">:  </w:t>
      </w:r>
      <w:r w:rsidR="00E25A29" w:rsidRPr="00E25A29">
        <w:rPr>
          <w:rFonts w:eastAsia="Calibri" w:cs="Times New Roman"/>
          <w:color w:val="auto"/>
          <w:szCs w:val="24"/>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C574BC">
        <w:rPr>
          <w:rFonts w:eastAsia="Calibri" w:cs="Times New Roman"/>
          <w:color w:val="auto"/>
          <w:szCs w:val="24"/>
        </w:rPr>
        <w:t>”</w:t>
      </w:r>
      <w:r w:rsidR="00E25A29" w:rsidRPr="00E25A29">
        <w:rPr>
          <w:rFonts w:eastAsia="Calibri" w:cs="Times New Roman"/>
          <w:color w:val="auto"/>
          <w:szCs w:val="24"/>
        </w:rPr>
        <w:t xml:space="preserve">  The rating for the</w:t>
      </w:r>
      <w:r w:rsidR="00E25A29">
        <w:rPr>
          <w:rFonts w:eastAsia="Calibri" w:cs="Times New Roman"/>
          <w:color w:val="auto"/>
          <w:szCs w:val="24"/>
        </w:rPr>
        <w:t xml:space="preserve"> </w:t>
      </w:r>
      <w:r w:rsidR="00E25A29" w:rsidRPr="00E25A29">
        <w:rPr>
          <w:rFonts w:eastAsia="Calibri" w:cs="Times New Roman"/>
          <w:color w:val="auto"/>
          <w:szCs w:val="24"/>
        </w:rPr>
        <w:t xml:space="preserve">unfitting </w:t>
      </w:r>
      <w:r w:rsidR="00E25A29">
        <w:rPr>
          <w:rFonts w:eastAsia="Calibri" w:cs="Times New Roman"/>
          <w:color w:val="auto"/>
          <w:szCs w:val="24"/>
        </w:rPr>
        <w:t>right</w:t>
      </w:r>
      <w:r w:rsidR="00E25A29" w:rsidRPr="00E25A29">
        <w:rPr>
          <w:rFonts w:eastAsia="Calibri" w:cs="Times New Roman"/>
          <w:color w:val="auto"/>
          <w:szCs w:val="24"/>
        </w:rPr>
        <w:t xml:space="preserve"> </w:t>
      </w:r>
      <w:r w:rsidR="00E25A29">
        <w:rPr>
          <w:rFonts w:eastAsia="Calibri" w:cs="Times New Roman"/>
          <w:color w:val="auto"/>
          <w:szCs w:val="24"/>
        </w:rPr>
        <w:t xml:space="preserve">shoulder and knee disability is addressed below.  </w:t>
      </w:r>
      <w:r w:rsidR="00E25A29" w:rsidRPr="007A2B9A">
        <w:rPr>
          <w:color w:val="auto"/>
        </w:rPr>
        <w:t xml:space="preserve">The </w:t>
      </w:r>
      <w:r w:rsidR="00E25A29">
        <w:rPr>
          <w:color w:val="auto"/>
        </w:rPr>
        <w:t>tinnitus</w:t>
      </w:r>
      <w:r w:rsidR="00E25A29" w:rsidRPr="007A2B9A">
        <w:rPr>
          <w:color w:val="auto"/>
        </w:rPr>
        <w:t xml:space="preserve"> and </w:t>
      </w:r>
      <w:r w:rsidR="00E25A29">
        <w:rPr>
          <w:color w:val="auto"/>
        </w:rPr>
        <w:t>hearing loss</w:t>
      </w:r>
      <w:r w:rsidR="00E25A29" w:rsidRPr="007A2B9A">
        <w:rPr>
          <w:color w:val="auto"/>
        </w:rPr>
        <w:t xml:space="preserve"> conditions specified in the application were not identified and adjudicated by the PEB; </w:t>
      </w:r>
      <w:r w:rsidR="00E25A29">
        <w:rPr>
          <w:color w:val="auto"/>
        </w:rPr>
        <w:t>e.g.</w:t>
      </w:r>
      <w:r w:rsidR="00E25A29" w:rsidRPr="007A2B9A">
        <w:rPr>
          <w:color w:val="auto"/>
        </w:rPr>
        <w:t xml:space="preserve">, they do not satisfy scope requirements.  </w:t>
      </w:r>
      <w:r w:rsidR="00E25A29" w:rsidRPr="00E25A29">
        <w:rPr>
          <w:rFonts w:eastAsia="Calibri" w:cs="Times New Roman"/>
          <w:color w:val="auto"/>
          <w:szCs w:val="24"/>
        </w:rPr>
        <w:t>Those, and any other conditions or contention not requested in this application, remain eligible for future consideration by the Army Board for Correction of Military Records</w:t>
      </w:r>
      <w:r w:rsidR="00E25A29" w:rsidRPr="00400AB7">
        <w:rPr>
          <w:rFonts w:eastAsia="Calibri" w:cs="Times New Roman"/>
          <w:color w:val="auto"/>
          <w:szCs w:val="24"/>
        </w:rPr>
        <w:t xml:space="preserve">. </w:t>
      </w:r>
    </w:p>
    <w:p w:rsidR="00C574BC" w:rsidRDefault="00C574BC" w:rsidP="00C72281">
      <w:pPr>
        <w:spacing w:line="240" w:lineRule="auto"/>
        <w:jc w:val="left"/>
        <w:rPr>
          <w:color w:val="000000"/>
          <w:u w:val="single"/>
        </w:rPr>
      </w:pPr>
    </w:p>
    <w:p w:rsidR="00AD2379" w:rsidRPr="00C72281" w:rsidRDefault="00AD2379" w:rsidP="00C72281">
      <w:pPr>
        <w:spacing w:line="240" w:lineRule="auto"/>
        <w:jc w:val="left"/>
        <w:rPr>
          <w:color w:val="000000"/>
          <w:u w:val="single"/>
        </w:rPr>
      </w:pPr>
      <w:r w:rsidRPr="001F29F9">
        <w:rPr>
          <w:color w:val="000000"/>
          <w:u w:val="single"/>
        </w:rPr>
        <w:lastRenderedPageBreak/>
        <w:t>RATING COMPARISON</w:t>
      </w:r>
      <w:r w:rsidRPr="001F29F9">
        <w:rPr>
          <w:color w:val="000000"/>
        </w:rPr>
        <w:t>:</w:t>
      </w:r>
      <w:r w:rsidRPr="00726F84">
        <w:rPr>
          <w:color w:val="000000"/>
        </w:rPr>
        <w:t xml:space="preserve"> </w:t>
      </w:r>
    </w:p>
    <w:p w:rsidR="00EA6F78" w:rsidRDefault="00EA6F78" w:rsidP="00BF0E94">
      <w:pPr>
        <w:jc w:val="left"/>
        <w:rPr>
          <w:color w:val="000000"/>
        </w:rPr>
      </w:pPr>
    </w:p>
    <w:tbl>
      <w:tblPr>
        <w:tblStyle w:val="TableGrid"/>
        <w:tblpPr w:leftFromText="187" w:rightFromText="187" w:vertAnchor="text" w:tblpXSpec="center" w:tblpY="1"/>
        <w:tblOverlap w:val="never"/>
        <w:tblW w:w="9450" w:type="dxa"/>
        <w:tblLayout w:type="fixed"/>
        <w:tblLook w:val="04A0"/>
      </w:tblPr>
      <w:tblGrid>
        <w:gridCol w:w="2520"/>
        <w:gridCol w:w="1008"/>
        <w:gridCol w:w="698"/>
        <w:gridCol w:w="2434"/>
        <w:gridCol w:w="1080"/>
        <w:gridCol w:w="718"/>
        <w:gridCol w:w="992"/>
      </w:tblGrid>
      <w:tr w:rsidR="00EA6F78" w:rsidRPr="001F29F9" w:rsidTr="00400AB7">
        <w:trPr>
          <w:trHeight w:val="233"/>
        </w:trPr>
        <w:tc>
          <w:tcPr>
            <w:tcW w:w="4226" w:type="dxa"/>
            <w:gridSpan w:val="3"/>
            <w:tcBorders>
              <w:right w:val="thinThickThinSmallGap" w:sz="24" w:space="0" w:color="auto"/>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20107</w:t>
            </w:r>
          </w:p>
        </w:tc>
        <w:tc>
          <w:tcPr>
            <w:tcW w:w="5224" w:type="dxa"/>
            <w:gridSpan w:val="4"/>
            <w:tcBorders>
              <w:left w:val="thinThickThinSmallGap" w:sz="24" w:space="0" w:color="auto"/>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VA (</w:t>
            </w:r>
            <w:r w:rsidR="00E02F20">
              <w:rPr>
                <w:rFonts w:cs="Calibri"/>
                <w:b/>
                <w:color w:val="000000" w:themeColor="text1"/>
                <w:sz w:val="18"/>
                <w:szCs w:val="18"/>
              </w:rPr>
              <w:t>~</w:t>
            </w:r>
            <w:r>
              <w:rPr>
                <w:rFonts w:cs="Calibri"/>
                <w:b/>
                <w:color w:val="000000" w:themeColor="text1"/>
                <w:sz w:val="18"/>
                <w:szCs w:val="18"/>
              </w:rPr>
              <w:t>10</w:t>
            </w:r>
            <w:r w:rsidRPr="001F29F9">
              <w:rPr>
                <w:rFonts w:cs="Calibri"/>
                <w:b/>
                <w:color w:val="000000" w:themeColor="text1"/>
                <w:sz w:val="18"/>
                <w:szCs w:val="18"/>
              </w:rPr>
              <w:t xml:space="preserve"> Mo. </w:t>
            </w:r>
            <w:r>
              <w:rPr>
                <w:rFonts w:cs="Calibri"/>
                <w:b/>
                <w:color w:val="000000" w:themeColor="text1"/>
                <w:sz w:val="18"/>
                <w:szCs w:val="18"/>
              </w:rPr>
              <w:t>Post-</w:t>
            </w:r>
            <w:r w:rsidRPr="001F29F9">
              <w:rPr>
                <w:rFonts w:cs="Calibri"/>
                <w:b/>
                <w:color w:val="000000" w:themeColor="text1"/>
                <w:sz w:val="18"/>
                <w:szCs w:val="18"/>
              </w:rPr>
              <w:t>Separation) –</w:t>
            </w:r>
            <w:r>
              <w:rPr>
                <w:rFonts w:cs="Calibri"/>
                <w:b/>
                <w:color w:val="000000" w:themeColor="text1"/>
                <w:sz w:val="18"/>
                <w:szCs w:val="18"/>
              </w:rPr>
              <w:t xml:space="preserve"> </w:t>
            </w:r>
            <w:r w:rsidRPr="001F29F9">
              <w:rPr>
                <w:rFonts w:cs="Calibri"/>
                <w:b/>
                <w:color w:val="000000" w:themeColor="text1"/>
                <w:sz w:val="18"/>
                <w:szCs w:val="18"/>
              </w:rPr>
              <w:t>Effective 200</w:t>
            </w:r>
            <w:r>
              <w:rPr>
                <w:rFonts w:cs="Calibri"/>
                <w:b/>
                <w:color w:val="000000" w:themeColor="text1"/>
                <w:sz w:val="18"/>
                <w:szCs w:val="18"/>
              </w:rPr>
              <w:t>20421</w:t>
            </w:r>
          </w:p>
        </w:tc>
      </w:tr>
      <w:tr w:rsidR="00EA6F78" w:rsidRPr="001F29F9" w:rsidTr="00400AB7">
        <w:trPr>
          <w:trHeight w:val="99"/>
        </w:trPr>
        <w:tc>
          <w:tcPr>
            <w:tcW w:w="2520" w:type="dxa"/>
            <w:tcBorders>
              <w:bottom w:val="single" w:sz="4" w:space="0" w:color="000000" w:themeColor="text1"/>
              <w:right w:val="single" w:sz="4" w:space="0" w:color="auto"/>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Condition</w:t>
            </w:r>
          </w:p>
        </w:tc>
        <w:tc>
          <w:tcPr>
            <w:tcW w:w="1008" w:type="dxa"/>
            <w:tcBorders>
              <w:left w:val="single" w:sz="4" w:space="0" w:color="auto"/>
              <w:bottom w:val="single" w:sz="4" w:space="0" w:color="000000" w:themeColor="text1"/>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Code</w:t>
            </w:r>
          </w:p>
        </w:tc>
        <w:tc>
          <w:tcPr>
            <w:tcW w:w="698" w:type="dxa"/>
            <w:tcBorders>
              <w:bottom w:val="single" w:sz="4" w:space="0" w:color="000000" w:themeColor="text1"/>
              <w:right w:val="thinThickThinSmallGap" w:sz="24" w:space="0" w:color="auto"/>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Rating</w:t>
            </w:r>
          </w:p>
        </w:tc>
        <w:tc>
          <w:tcPr>
            <w:tcW w:w="2434" w:type="dxa"/>
            <w:tcBorders>
              <w:left w:val="thinThickThinSmallGap" w:sz="24" w:space="0" w:color="auto"/>
              <w:bottom w:val="single" w:sz="4" w:space="0" w:color="000000" w:themeColor="text1"/>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Code</w:t>
            </w:r>
          </w:p>
        </w:tc>
        <w:tc>
          <w:tcPr>
            <w:tcW w:w="718" w:type="dxa"/>
            <w:tcBorders>
              <w:bottom w:val="single" w:sz="4" w:space="0" w:color="000000" w:themeColor="text1"/>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Rating</w:t>
            </w:r>
          </w:p>
        </w:tc>
        <w:tc>
          <w:tcPr>
            <w:tcW w:w="992" w:type="dxa"/>
            <w:tcBorders>
              <w:bottom w:val="single" w:sz="4" w:space="0" w:color="000000" w:themeColor="text1"/>
            </w:tcBorders>
            <w:shd w:val="clear" w:color="auto" w:fill="D9D9D9" w:themeFill="background1" w:themeFillShade="D9"/>
            <w:vAlign w:val="center"/>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Exam</w:t>
            </w:r>
          </w:p>
        </w:tc>
      </w:tr>
      <w:tr w:rsidR="00EA6F78" w:rsidRPr="001F29F9" w:rsidTr="00400AB7">
        <w:trPr>
          <w:trHeight w:val="66"/>
        </w:trPr>
        <w:tc>
          <w:tcPr>
            <w:tcW w:w="2520" w:type="dxa"/>
            <w:vMerge w:val="restart"/>
            <w:tcBorders>
              <w:right w:val="single" w:sz="4" w:space="0" w:color="auto"/>
            </w:tcBorders>
            <w:shd w:val="clear" w:color="auto" w:fill="FFFFFF" w:themeFill="background1"/>
            <w:vAlign w:val="center"/>
          </w:tcPr>
          <w:p w:rsidR="00EA6F78" w:rsidRPr="001F29F9" w:rsidRDefault="00EA6F78" w:rsidP="00400AB7">
            <w:pPr>
              <w:spacing w:line="180" w:lineRule="exact"/>
              <w:contextualSpacing/>
              <w:jc w:val="left"/>
              <w:rPr>
                <w:rFonts w:cs="Calibri"/>
                <w:color w:val="000000" w:themeColor="text1"/>
                <w:sz w:val="18"/>
                <w:szCs w:val="18"/>
              </w:rPr>
            </w:pPr>
            <w:r>
              <w:rPr>
                <w:rFonts w:cs="Calibri"/>
                <w:color w:val="000000" w:themeColor="text1"/>
                <w:sz w:val="18"/>
                <w:szCs w:val="18"/>
              </w:rPr>
              <w:t>Right Shoulder/Right Knee</w:t>
            </w:r>
            <w:r w:rsidR="00400AB7">
              <w:rPr>
                <w:rFonts w:cs="Calibri"/>
                <w:color w:val="000000" w:themeColor="text1"/>
                <w:sz w:val="18"/>
                <w:szCs w:val="18"/>
              </w:rPr>
              <w:t xml:space="preserve"> </w:t>
            </w:r>
            <w:r>
              <w:rPr>
                <w:rFonts w:cs="Calibri"/>
                <w:color w:val="000000" w:themeColor="text1"/>
                <w:sz w:val="18"/>
                <w:szCs w:val="18"/>
              </w:rPr>
              <w:t>Pain</w:t>
            </w:r>
          </w:p>
        </w:tc>
        <w:tc>
          <w:tcPr>
            <w:tcW w:w="1008" w:type="dxa"/>
            <w:vMerge w:val="restart"/>
            <w:tcBorders>
              <w:lef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698" w:type="dxa"/>
            <w:vMerge w:val="restart"/>
            <w:tcBorders>
              <w:right w:val="thinThickThinSmallGap" w:sz="24" w:space="0" w:color="auto"/>
            </w:tcBorders>
            <w:shd w:val="clear" w:color="auto" w:fill="FFFFFF" w:themeFill="background1"/>
            <w:vAlign w:val="center"/>
          </w:tcPr>
          <w:p w:rsidR="00EA6F78" w:rsidRPr="001F29F9" w:rsidRDefault="00EA6F78" w:rsidP="002A121C">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434" w:type="dxa"/>
            <w:tcBorders>
              <w:left w:val="thinThickThinSmallGap" w:sz="24" w:space="0" w:color="auto"/>
              <w:right w:val="single" w:sz="4" w:space="0" w:color="auto"/>
            </w:tcBorders>
            <w:shd w:val="clear" w:color="auto" w:fill="FFFFFF" w:themeFill="background1"/>
            <w:vAlign w:val="center"/>
          </w:tcPr>
          <w:p w:rsidR="00EA6F78" w:rsidRPr="001F29F9" w:rsidRDefault="00EA6F78" w:rsidP="002A121C">
            <w:pPr>
              <w:spacing w:line="220" w:lineRule="exact"/>
              <w:contextualSpacing/>
              <w:jc w:val="left"/>
              <w:rPr>
                <w:rFonts w:cs="Calibri"/>
                <w:color w:val="000000" w:themeColor="text1"/>
                <w:sz w:val="18"/>
                <w:szCs w:val="18"/>
              </w:rPr>
            </w:pPr>
            <w:r>
              <w:rPr>
                <w:rFonts w:cs="Calibri"/>
                <w:color w:val="000000" w:themeColor="text1"/>
                <w:sz w:val="18"/>
                <w:szCs w:val="18"/>
              </w:rPr>
              <w:t>Right Shoulder Dislocation</w:t>
            </w:r>
          </w:p>
        </w:tc>
        <w:tc>
          <w:tcPr>
            <w:tcW w:w="1080" w:type="dxa"/>
            <w:tcBorders>
              <w:lef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5299-5201</w:t>
            </w:r>
          </w:p>
        </w:tc>
        <w:tc>
          <w:tcPr>
            <w:tcW w:w="718" w:type="dxa"/>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2" w:type="dxa"/>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21008</w:t>
            </w:r>
          </w:p>
        </w:tc>
      </w:tr>
      <w:tr w:rsidR="00EA6F78" w:rsidRPr="001F29F9" w:rsidTr="00400AB7">
        <w:trPr>
          <w:trHeight w:val="66"/>
        </w:trPr>
        <w:tc>
          <w:tcPr>
            <w:tcW w:w="2520" w:type="dxa"/>
            <w:vMerge/>
            <w:tcBorders>
              <w:right w:val="single" w:sz="4" w:space="0" w:color="auto"/>
            </w:tcBorders>
            <w:shd w:val="clear" w:color="auto" w:fill="FFFFFF" w:themeFill="background1"/>
            <w:vAlign w:val="center"/>
          </w:tcPr>
          <w:p w:rsidR="00EA6F78" w:rsidRPr="001F29F9" w:rsidRDefault="00EA6F78" w:rsidP="002A121C">
            <w:pPr>
              <w:spacing w:line="220" w:lineRule="exact"/>
              <w:contextualSpacing/>
              <w:jc w:val="left"/>
              <w:rPr>
                <w:rFonts w:cs="Calibri"/>
                <w:color w:val="000000" w:themeColor="text1"/>
                <w:sz w:val="18"/>
                <w:szCs w:val="18"/>
              </w:rPr>
            </w:pPr>
          </w:p>
        </w:tc>
        <w:tc>
          <w:tcPr>
            <w:tcW w:w="1008" w:type="dxa"/>
            <w:vMerge/>
            <w:tcBorders>
              <w:lef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p>
        </w:tc>
        <w:tc>
          <w:tcPr>
            <w:tcW w:w="698" w:type="dxa"/>
            <w:vMerge/>
            <w:tcBorders>
              <w:right w:val="thinThickThinSmallGap" w:sz="24" w:space="0" w:color="auto"/>
            </w:tcBorders>
            <w:shd w:val="clear" w:color="auto" w:fill="FFFFFF" w:themeFill="background1"/>
            <w:vAlign w:val="center"/>
          </w:tcPr>
          <w:p w:rsidR="00EA6F78" w:rsidRPr="001F29F9" w:rsidRDefault="00EA6F78" w:rsidP="002A121C">
            <w:pPr>
              <w:spacing w:line="220" w:lineRule="exact"/>
              <w:rPr>
                <w:rFonts w:cs="Calibri"/>
                <w:color w:val="000000" w:themeColor="text1"/>
                <w:sz w:val="18"/>
                <w:szCs w:val="18"/>
              </w:rPr>
            </w:pPr>
          </w:p>
        </w:tc>
        <w:tc>
          <w:tcPr>
            <w:tcW w:w="2434" w:type="dxa"/>
            <w:tcBorders>
              <w:left w:val="thinThickThinSmallGap" w:sz="24" w:space="0" w:color="auto"/>
              <w:right w:val="single" w:sz="4" w:space="0" w:color="auto"/>
            </w:tcBorders>
            <w:shd w:val="clear" w:color="auto" w:fill="FFFFFF" w:themeFill="background1"/>
            <w:vAlign w:val="center"/>
          </w:tcPr>
          <w:p w:rsidR="00EA6F78" w:rsidRPr="001F29F9" w:rsidRDefault="00EA6F78" w:rsidP="002A121C">
            <w:pPr>
              <w:spacing w:line="220" w:lineRule="exact"/>
              <w:contextualSpacing/>
              <w:jc w:val="left"/>
              <w:rPr>
                <w:rFonts w:cs="Calibri"/>
                <w:color w:val="000000" w:themeColor="text1"/>
                <w:sz w:val="18"/>
                <w:szCs w:val="18"/>
              </w:rPr>
            </w:pPr>
            <w:r>
              <w:rPr>
                <w:rFonts w:cs="Calibri"/>
                <w:color w:val="000000" w:themeColor="text1"/>
                <w:sz w:val="18"/>
                <w:szCs w:val="18"/>
              </w:rPr>
              <w:t>RPS, Right Knee</w:t>
            </w:r>
          </w:p>
        </w:tc>
        <w:tc>
          <w:tcPr>
            <w:tcW w:w="1080" w:type="dxa"/>
            <w:tcBorders>
              <w:left w:val="single" w:sz="4" w:space="0" w:color="auto"/>
              <w:righ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5257</w:t>
            </w:r>
          </w:p>
        </w:tc>
        <w:tc>
          <w:tcPr>
            <w:tcW w:w="718" w:type="dxa"/>
            <w:tcBorders>
              <w:lef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2" w:type="dxa"/>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21008</w:t>
            </w:r>
          </w:p>
        </w:tc>
      </w:tr>
      <w:tr w:rsidR="00EA6F78" w:rsidRPr="001F29F9" w:rsidTr="00400AB7">
        <w:trPr>
          <w:trHeight w:val="66"/>
        </w:trPr>
        <w:tc>
          <w:tcPr>
            <w:tcW w:w="4226" w:type="dxa"/>
            <w:gridSpan w:val="3"/>
            <w:tcBorders>
              <w:right w:val="thinThickThinSmallGap" w:sz="2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434" w:type="dxa"/>
            <w:tcBorders>
              <w:left w:val="thinThickThinSmallGap" w:sz="24" w:space="0" w:color="auto"/>
              <w:right w:val="single" w:sz="4" w:space="0" w:color="auto"/>
            </w:tcBorders>
            <w:shd w:val="clear" w:color="auto" w:fill="FFFFFF" w:themeFill="background1"/>
            <w:vAlign w:val="center"/>
          </w:tcPr>
          <w:p w:rsidR="00EA6F78" w:rsidRPr="001F29F9" w:rsidRDefault="00EA6F78" w:rsidP="002A121C">
            <w:pPr>
              <w:spacing w:line="220" w:lineRule="exact"/>
              <w:contextualSpacing/>
              <w:jc w:val="left"/>
              <w:rPr>
                <w:rFonts w:cs="Calibri"/>
                <w:color w:val="000000" w:themeColor="text1"/>
                <w:sz w:val="18"/>
                <w:szCs w:val="18"/>
              </w:rPr>
            </w:pPr>
            <w:r>
              <w:rPr>
                <w:rFonts w:cs="Calibri"/>
                <w:color w:val="000000" w:themeColor="text1"/>
                <w:sz w:val="18"/>
                <w:szCs w:val="18"/>
              </w:rPr>
              <w:t>Bilateral Hearing Loss</w:t>
            </w:r>
          </w:p>
        </w:tc>
        <w:tc>
          <w:tcPr>
            <w:tcW w:w="1080" w:type="dxa"/>
            <w:tcBorders>
              <w:left w:val="single" w:sz="4" w:space="0" w:color="auto"/>
              <w:right w:val="single" w:sz="4" w:space="0" w:color="auto"/>
            </w:tcBorders>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Pr>
                <w:rFonts w:cs="Calibri"/>
                <w:color w:val="000000" w:themeColor="text1"/>
                <w:sz w:val="18"/>
                <w:szCs w:val="18"/>
              </w:rPr>
              <w:t>6100</w:t>
            </w:r>
          </w:p>
        </w:tc>
        <w:tc>
          <w:tcPr>
            <w:tcW w:w="718" w:type="dxa"/>
            <w:tcBorders>
              <w:left w:val="single" w:sz="4" w:space="0" w:color="auto"/>
            </w:tcBorders>
            <w:shd w:val="clear" w:color="auto" w:fill="FFFFFF" w:themeFill="background1"/>
            <w:vAlign w:val="center"/>
          </w:tcPr>
          <w:p w:rsidR="00EA6F78" w:rsidRPr="001F29F9" w:rsidRDefault="00EA6F78" w:rsidP="002A121C">
            <w:pPr>
              <w:spacing w:line="220" w:lineRule="exact"/>
              <w:contextualSpacing/>
              <w:rPr>
                <w:rFonts w:asciiTheme="minorHAnsi" w:eastAsiaTheme="minorHAnsi" w:hAnsiTheme="minorHAnsi" w:cs="Calibri"/>
                <w:color w:val="000000" w:themeColor="text1"/>
                <w:sz w:val="18"/>
                <w:szCs w:val="18"/>
              </w:rPr>
            </w:pPr>
            <w:r>
              <w:rPr>
                <w:rFonts w:cs="Calibri"/>
                <w:color w:val="000000" w:themeColor="text1"/>
                <w:sz w:val="18"/>
                <w:szCs w:val="18"/>
              </w:rPr>
              <w:t>0%</w:t>
            </w:r>
          </w:p>
        </w:tc>
        <w:tc>
          <w:tcPr>
            <w:tcW w:w="992" w:type="dxa"/>
            <w:shd w:val="clear" w:color="auto" w:fill="FFFFFF" w:themeFill="background1"/>
            <w:vAlign w:val="center"/>
          </w:tcPr>
          <w:p w:rsidR="00EA6F78" w:rsidRPr="001F29F9" w:rsidRDefault="00EA6F78" w:rsidP="002A121C">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21008</w:t>
            </w:r>
          </w:p>
        </w:tc>
      </w:tr>
      <w:tr w:rsidR="00EA6F78" w:rsidRPr="001F29F9" w:rsidTr="00400AB7">
        <w:trPr>
          <w:trHeight w:val="242"/>
        </w:trPr>
        <w:tc>
          <w:tcPr>
            <w:tcW w:w="4226" w:type="dxa"/>
            <w:gridSpan w:val="3"/>
            <w:tcBorders>
              <w:right w:val="thinThickThinSmallGap" w:sz="24" w:space="0" w:color="auto"/>
            </w:tcBorders>
            <w:shd w:val="clear" w:color="auto" w:fill="D9D9D9" w:themeFill="background1" w:themeFillShade="D9"/>
          </w:tcPr>
          <w:p w:rsidR="00EA6F78" w:rsidRPr="001F29F9" w:rsidRDefault="00EA6F78" w:rsidP="002A121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4" w:type="dxa"/>
            <w:gridSpan w:val="4"/>
            <w:tcBorders>
              <w:left w:val="thinThickThinSmallGap" w:sz="24" w:space="0" w:color="auto"/>
            </w:tcBorders>
            <w:shd w:val="clear" w:color="auto" w:fill="D9D9D9" w:themeFill="background1" w:themeFillShade="D9"/>
          </w:tcPr>
          <w:p w:rsidR="00EA6F78" w:rsidRPr="001F29F9" w:rsidRDefault="00EA6F78" w:rsidP="002A121C">
            <w:pPr>
              <w:contextualSpacing/>
              <w:rPr>
                <w:rFonts w:eastAsiaTheme="minorHAnsi"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3</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E41C21" w:rsidRPr="00DE23B7" w:rsidRDefault="00E41C21" w:rsidP="00E41C21">
      <w:pPr>
        <w:jc w:val="both"/>
        <w:rPr>
          <w:color w:val="000000"/>
        </w:rPr>
      </w:pPr>
      <w:r w:rsidRPr="001F29F9">
        <w:rPr>
          <w:color w:val="000000"/>
          <w:u w:val="single"/>
        </w:rPr>
        <w:t>ANALYSIS SUMMARY</w:t>
      </w:r>
      <w:r w:rsidRPr="001F29F9">
        <w:rPr>
          <w:color w:val="000000"/>
        </w:rPr>
        <w:t>:</w:t>
      </w:r>
      <w:r>
        <w:rPr>
          <w:color w:val="000000"/>
        </w:rPr>
        <w:t xml:space="preserve"> </w:t>
      </w:r>
      <w:r w:rsidR="00914554">
        <w:rPr>
          <w:color w:val="000000"/>
        </w:rPr>
        <w:t xml:space="preserve"> </w:t>
      </w:r>
      <w:r w:rsidR="00081148" w:rsidRPr="00081148">
        <w:rPr>
          <w:color w:val="000000"/>
        </w:rPr>
        <w:t>IAW DoDI 6040.44, the Board’s authority is limited to making recommendations on correcting disability determinations.  The Board’s role is thus confined to the review of medical records and all evidence at hand to assess the fairness of PEB rating determinations, compared to Veteran</w:t>
      </w:r>
      <w:r w:rsidR="00FB0CEC">
        <w:rPr>
          <w:color w:val="000000"/>
        </w:rPr>
        <w:t>’</w:t>
      </w:r>
      <w:r w:rsidR="00081148" w:rsidRPr="00081148">
        <w:rPr>
          <w:color w:val="000000"/>
        </w:rPr>
        <w:t>s A</w:t>
      </w:r>
      <w:r w:rsidR="0032306F">
        <w:rPr>
          <w:color w:val="000000"/>
        </w:rPr>
        <w:t>ffairs</w:t>
      </w:r>
      <w:bookmarkStart w:id="0" w:name="_GoBack"/>
      <w:bookmarkEnd w:id="0"/>
      <w:r w:rsidR="00081148" w:rsidRPr="00081148">
        <w:rPr>
          <w:color w:val="000000"/>
        </w:rPr>
        <w:t xml:space="preserve"> Schedule for Rating Disabilities (VASRD) VASRD standards, based on ratable severity at the time of separation; and, to review those fitness determinations within its scope (as elaborated above) based on MOS performance limitations in evidence at separation.</w:t>
      </w:r>
      <w:r w:rsidR="00081148">
        <w:rPr>
          <w:color w:val="000000"/>
        </w:rPr>
        <w:t xml:space="preserve">  </w:t>
      </w:r>
      <w:r w:rsidR="00081148" w:rsidRPr="00081148">
        <w:rPr>
          <w:color w:val="000000"/>
        </w:rPr>
        <w:t xml:space="preserve">The Board acknowledges the CI’s information regarding the significant impairment with which his service-connected condition continues to burden him; but, must emphasize that the Disability Evaluation System </w:t>
      </w:r>
      <w:r w:rsidR="00E8572D">
        <w:rPr>
          <w:color w:val="000000"/>
        </w:rPr>
        <w:t xml:space="preserve">(DES) </w:t>
      </w:r>
      <w:r w:rsidR="00081148" w:rsidRPr="00081148">
        <w:rPr>
          <w:color w:val="000000"/>
        </w:rPr>
        <w:t>has neither the role nor the authority to compensate service members for anticipated future severity or potential complications of conditions resulting in medical separation.  That role and authority is granted by Congress to the Department of Veteran</w:t>
      </w:r>
      <w:r w:rsidR="00E8572D">
        <w:rPr>
          <w:color w:val="000000"/>
        </w:rPr>
        <w:t>s’</w:t>
      </w:r>
      <w:r w:rsidR="00081148" w:rsidRPr="00081148">
        <w:rPr>
          <w:color w:val="000000"/>
        </w:rPr>
        <w:t xml:space="preserve"> Affairs</w:t>
      </w:r>
      <w:r w:rsidR="00E8572D">
        <w:rPr>
          <w:color w:val="000000"/>
        </w:rPr>
        <w:t xml:space="preserve"> (DVA)</w:t>
      </w:r>
      <w:r w:rsidR="00081148" w:rsidRPr="00081148">
        <w:rPr>
          <w:color w:val="000000"/>
        </w:rPr>
        <w:t>, operating under a different set of laws</w:t>
      </w:r>
      <w:r w:rsidR="00081148">
        <w:rPr>
          <w:color w:val="000000"/>
        </w:rPr>
        <w:t>.</w:t>
      </w:r>
      <w:r w:rsidR="00081148" w:rsidRPr="00081148">
        <w:rPr>
          <w:color w:val="000000"/>
        </w:rPr>
        <w:t xml:space="preserve">  Post-separation evidence is probative to the Board’s recommendations only to the extent that it reasonably reflects the disability at the time of separation.</w:t>
      </w:r>
    </w:p>
    <w:p w:rsidR="00914554" w:rsidRDefault="00914554" w:rsidP="00E41C21">
      <w:pPr>
        <w:jc w:val="both"/>
        <w:rPr>
          <w:rFonts w:eastAsia="Calibri"/>
          <w:color w:val="auto"/>
          <w:szCs w:val="24"/>
        </w:rPr>
      </w:pPr>
    </w:p>
    <w:p w:rsidR="00CB32F3" w:rsidRPr="00CB32F3" w:rsidRDefault="00CB32F3" w:rsidP="00CB32F3">
      <w:pPr>
        <w:tabs>
          <w:tab w:val="left" w:pos="288"/>
          <w:tab w:val="left" w:pos="4752"/>
        </w:tabs>
        <w:jc w:val="both"/>
        <w:rPr>
          <w:rFonts w:eastAsia="Calibri"/>
          <w:color w:val="auto"/>
          <w:szCs w:val="24"/>
        </w:rPr>
      </w:pPr>
      <w:r w:rsidRPr="00CB32F3">
        <w:rPr>
          <w:color w:val="000000"/>
        </w:rPr>
        <w:t xml:space="preserve">The PEB combined </w:t>
      </w:r>
      <w:r>
        <w:rPr>
          <w:rFonts w:eastAsia="Calibri"/>
          <w:color w:val="auto"/>
          <w:szCs w:val="24"/>
        </w:rPr>
        <w:t>right shoulder and right knee disabilities</w:t>
      </w:r>
      <w:r w:rsidRPr="00CB32F3">
        <w:rPr>
          <w:color w:val="000000"/>
        </w:rPr>
        <w:t xml:space="preserve"> as </w:t>
      </w:r>
      <w:r>
        <w:rPr>
          <w:color w:val="000000"/>
        </w:rPr>
        <w:t>a</w:t>
      </w:r>
      <w:r w:rsidRPr="00CB32F3">
        <w:rPr>
          <w:color w:val="000000"/>
        </w:rPr>
        <w:t xml:space="preserve"> single unfitting condition</w:t>
      </w:r>
      <w:r>
        <w:rPr>
          <w:color w:val="000000"/>
        </w:rPr>
        <w:t>, which was com</w:t>
      </w:r>
      <w:r w:rsidR="00A90ED6">
        <w:rPr>
          <w:color w:val="000000"/>
        </w:rPr>
        <w:t>pliant with AR 635-40 in effect; although</w:t>
      </w:r>
      <w:r>
        <w:rPr>
          <w:color w:val="000000"/>
        </w:rPr>
        <w:t xml:space="preserve"> </w:t>
      </w:r>
      <w:r w:rsidR="00A90ED6">
        <w:rPr>
          <w:color w:val="000000"/>
        </w:rPr>
        <w:t>the</w:t>
      </w:r>
      <w:r w:rsidRPr="00CB32F3">
        <w:rPr>
          <w:color w:val="000000"/>
        </w:rPr>
        <w:t xml:space="preserve"> Board must apply separate codes and ratings in its recommendations</w:t>
      </w:r>
      <w:r w:rsidR="00A90ED6">
        <w:rPr>
          <w:color w:val="000000"/>
        </w:rPr>
        <w:t xml:space="preserve"> </w:t>
      </w:r>
      <w:r w:rsidRPr="00CB32F3">
        <w:rPr>
          <w:color w:val="000000"/>
        </w:rPr>
        <w:t>if compensable ratings for each condition are achieved IAW VASRD §4.71a.</w:t>
      </w:r>
      <w:r w:rsidR="00A90ED6">
        <w:rPr>
          <w:color w:val="000000"/>
        </w:rPr>
        <w:t xml:space="preserve"> </w:t>
      </w:r>
      <w:r w:rsidRPr="00CB32F3">
        <w:rPr>
          <w:color w:val="000000"/>
        </w:rPr>
        <w:t xml:space="preserve"> </w:t>
      </w:r>
      <w:r w:rsidR="00A90ED6" w:rsidRPr="00A90ED6">
        <w:rPr>
          <w:rFonts w:eastAsia="Calibri"/>
          <w:color w:val="auto"/>
          <w:szCs w:val="24"/>
        </w:rPr>
        <w:t xml:space="preserve">If the Board judges that separate ratings are </w:t>
      </w:r>
      <w:r w:rsidR="00A90ED6">
        <w:rPr>
          <w:rFonts w:eastAsia="Calibri"/>
          <w:color w:val="auto"/>
          <w:szCs w:val="24"/>
        </w:rPr>
        <w:t>warranted under the VASRD</w:t>
      </w:r>
      <w:r w:rsidR="00A90ED6" w:rsidRPr="00A90ED6">
        <w:rPr>
          <w:rFonts w:eastAsia="Calibri"/>
          <w:color w:val="auto"/>
          <w:szCs w:val="24"/>
        </w:rPr>
        <w:t xml:space="preserve">, however, </w:t>
      </w:r>
      <w:r w:rsidR="00A90ED6">
        <w:rPr>
          <w:rFonts w:eastAsia="Calibri"/>
          <w:color w:val="auto"/>
          <w:szCs w:val="24"/>
        </w:rPr>
        <w:t xml:space="preserve">each </w:t>
      </w:r>
      <w:r w:rsidR="00A90ED6" w:rsidRPr="00A90ED6">
        <w:rPr>
          <w:rFonts w:eastAsia="Calibri"/>
          <w:color w:val="auto"/>
          <w:szCs w:val="24"/>
        </w:rPr>
        <w:t xml:space="preserve">‘unbundled’ </w:t>
      </w:r>
      <w:r w:rsidR="00A90ED6">
        <w:rPr>
          <w:rFonts w:eastAsia="Calibri"/>
          <w:color w:val="auto"/>
          <w:szCs w:val="24"/>
        </w:rPr>
        <w:t xml:space="preserve">condition </w:t>
      </w:r>
      <w:r w:rsidR="00A90ED6" w:rsidRPr="00A90ED6">
        <w:rPr>
          <w:rFonts w:eastAsia="Calibri"/>
          <w:color w:val="auto"/>
          <w:szCs w:val="24"/>
        </w:rPr>
        <w:t xml:space="preserve">must satisfy the requirement that </w:t>
      </w:r>
      <w:r w:rsidR="00A90ED6">
        <w:rPr>
          <w:rFonts w:eastAsia="Calibri"/>
          <w:color w:val="auto"/>
          <w:szCs w:val="24"/>
        </w:rPr>
        <w:t>it</w:t>
      </w:r>
      <w:r w:rsidR="00A90ED6" w:rsidRPr="00A90ED6">
        <w:rPr>
          <w:rFonts w:eastAsia="Calibri"/>
          <w:color w:val="auto"/>
          <w:szCs w:val="24"/>
        </w:rPr>
        <w:t xml:space="preserve"> was </w:t>
      </w:r>
      <w:r w:rsidR="00A90ED6">
        <w:rPr>
          <w:rFonts w:eastAsia="Calibri"/>
          <w:color w:val="auto"/>
          <w:szCs w:val="24"/>
        </w:rPr>
        <w:t xml:space="preserve">independently </w:t>
      </w:r>
      <w:r w:rsidR="00A90ED6" w:rsidRPr="00A90ED6">
        <w:rPr>
          <w:rFonts w:eastAsia="Calibri"/>
          <w:color w:val="auto"/>
          <w:szCs w:val="24"/>
        </w:rPr>
        <w:t xml:space="preserve">unfitting </w:t>
      </w:r>
      <w:r w:rsidR="00A90ED6">
        <w:rPr>
          <w:rFonts w:eastAsia="Calibri"/>
          <w:color w:val="auto"/>
          <w:szCs w:val="24"/>
        </w:rPr>
        <w:t>to be eligible</w:t>
      </w:r>
      <w:r w:rsidR="00081081">
        <w:rPr>
          <w:rFonts w:eastAsia="Calibri"/>
          <w:color w:val="auto"/>
          <w:szCs w:val="24"/>
        </w:rPr>
        <w:t xml:space="preserve"> for disability rating; since,</w:t>
      </w:r>
      <w:r w:rsidR="00A90ED6">
        <w:rPr>
          <w:rFonts w:eastAsia="Calibri"/>
          <w:color w:val="auto"/>
          <w:szCs w:val="24"/>
        </w:rPr>
        <w:t xml:space="preserve"> </w:t>
      </w:r>
      <w:r w:rsidR="00081081">
        <w:rPr>
          <w:rFonts w:eastAsia="Calibri"/>
          <w:color w:val="auto"/>
          <w:szCs w:val="24"/>
        </w:rPr>
        <w:t>n</w:t>
      </w:r>
      <w:r w:rsidR="00081081" w:rsidRPr="00A90ED6">
        <w:rPr>
          <w:rFonts w:eastAsia="Calibri"/>
          <w:color w:val="auto"/>
          <w:szCs w:val="24"/>
        </w:rPr>
        <w:t>ot uncommonl</w:t>
      </w:r>
      <w:r w:rsidR="00081081">
        <w:rPr>
          <w:rFonts w:eastAsia="Calibri"/>
          <w:color w:val="auto"/>
          <w:szCs w:val="24"/>
        </w:rPr>
        <w:t xml:space="preserve">y, </w:t>
      </w:r>
      <w:r w:rsidR="00A90ED6" w:rsidRPr="00A90ED6">
        <w:rPr>
          <w:rFonts w:eastAsia="Calibri"/>
          <w:color w:val="auto"/>
          <w:szCs w:val="24"/>
        </w:rPr>
        <w:t>this approach by the PEB reflects its judgment that the constellat</w:t>
      </w:r>
      <w:r w:rsidR="00A90ED6">
        <w:rPr>
          <w:rFonts w:eastAsia="Calibri"/>
          <w:color w:val="auto"/>
          <w:szCs w:val="24"/>
        </w:rPr>
        <w:t>ion of conditions was unfitting,</w:t>
      </w:r>
      <w:r w:rsidR="00A90ED6" w:rsidRPr="00A90ED6">
        <w:rPr>
          <w:rFonts w:eastAsia="Calibri"/>
          <w:color w:val="auto"/>
          <w:szCs w:val="24"/>
        </w:rPr>
        <w:t xml:space="preserve"> not a judgment that each condition was independently unfitting. </w:t>
      </w:r>
      <w:r w:rsidR="00A90ED6">
        <w:rPr>
          <w:rFonts w:eastAsia="Calibri"/>
          <w:color w:val="auto"/>
          <w:szCs w:val="24"/>
        </w:rPr>
        <w:t xml:space="preserve"> </w:t>
      </w:r>
      <w:r w:rsidRPr="00CB32F3">
        <w:rPr>
          <w:rFonts w:eastAsia="Calibri"/>
          <w:color w:val="auto"/>
          <w:szCs w:val="24"/>
        </w:rPr>
        <w:t>The Board’s analysis and recommendations regarding the separate fitness issue and potential separate rating for each condition entrained in the PEB’s combined rating approach is as follows.</w:t>
      </w:r>
    </w:p>
    <w:p w:rsidR="00914554" w:rsidRPr="00726F84" w:rsidRDefault="00914554" w:rsidP="00E41C21">
      <w:pPr>
        <w:jc w:val="both"/>
        <w:rPr>
          <w:color w:val="000000"/>
        </w:rPr>
      </w:pPr>
    </w:p>
    <w:p w:rsidR="0082654A" w:rsidRPr="0082654A" w:rsidRDefault="00081081" w:rsidP="0082654A">
      <w:pPr>
        <w:jc w:val="both"/>
        <w:rPr>
          <w:color w:val="000000"/>
        </w:rPr>
      </w:pPr>
      <w:r>
        <w:rPr>
          <w:color w:val="000000"/>
          <w:u w:val="single"/>
        </w:rPr>
        <w:t>Right Shoulder</w:t>
      </w:r>
      <w:r w:rsidR="00E41C21" w:rsidRPr="009A7578">
        <w:rPr>
          <w:color w:val="000000"/>
          <w:u w:val="single"/>
        </w:rPr>
        <w:t xml:space="preserve"> Condition</w:t>
      </w:r>
      <w:r w:rsidR="00E41C21" w:rsidRPr="009A7578">
        <w:rPr>
          <w:color w:val="000000"/>
        </w:rPr>
        <w:t xml:space="preserve">. </w:t>
      </w:r>
      <w:r w:rsidR="00E41C21">
        <w:rPr>
          <w:color w:val="000000"/>
        </w:rPr>
        <w:t xml:space="preserve"> </w:t>
      </w:r>
      <w:r>
        <w:rPr>
          <w:color w:val="000000"/>
        </w:rPr>
        <w:t xml:space="preserve">The shoulder was dislocated in 1994 during a tour in Korea, although a subsequent sports injury in 1998 was also noted by the PEB.  The right shoulder was not profiled until 1998 after the CI underwent </w:t>
      </w:r>
      <w:r w:rsidR="009648A4">
        <w:rPr>
          <w:color w:val="000000"/>
        </w:rPr>
        <w:t xml:space="preserve">an </w:t>
      </w:r>
      <w:r>
        <w:rPr>
          <w:color w:val="000000"/>
        </w:rPr>
        <w:t xml:space="preserve">open </w:t>
      </w:r>
      <w:r w:rsidR="009648A4">
        <w:rPr>
          <w:color w:val="000000"/>
        </w:rPr>
        <w:t xml:space="preserve">Bankart </w:t>
      </w:r>
      <w:r>
        <w:rPr>
          <w:color w:val="000000"/>
        </w:rPr>
        <w:t xml:space="preserve">repair </w:t>
      </w:r>
      <w:r w:rsidR="009648A4">
        <w:rPr>
          <w:color w:val="000000"/>
        </w:rPr>
        <w:t xml:space="preserve">for recurrent anterior dislocations.  Interval records between the surgery and MEB proceedings indicate continuing pain managed by physical therapy and conservative measures, but no repeat dislocations.  </w:t>
      </w:r>
      <w:r w:rsidR="00E8572D">
        <w:rPr>
          <w:color w:val="000000"/>
        </w:rPr>
        <w:t>Magnetic resonance i</w:t>
      </w:r>
      <w:r w:rsidR="009648A4">
        <w:rPr>
          <w:color w:val="000000"/>
        </w:rPr>
        <w:t>maging</w:t>
      </w:r>
      <w:r w:rsidR="00E8572D">
        <w:rPr>
          <w:color w:val="000000"/>
        </w:rPr>
        <w:t xml:space="preserve"> (MRI)</w:t>
      </w:r>
      <w:r w:rsidR="009648A4">
        <w:rPr>
          <w:color w:val="000000"/>
        </w:rPr>
        <w:t xml:space="preserve"> revealed post-operative changes without further surgical pathology.  The CI began to experience subjective instability with anterior shoulder maneuvers, and the MEB was initiated when it was clear that the persistent limitations and continuing profile restrictions were incompatible with MOS </w:t>
      </w:r>
      <w:r w:rsidR="0082654A">
        <w:rPr>
          <w:color w:val="000000"/>
        </w:rPr>
        <w:t>demands</w:t>
      </w:r>
      <w:r w:rsidR="009648A4">
        <w:rPr>
          <w:color w:val="000000"/>
        </w:rPr>
        <w:t xml:space="preserve">.  </w:t>
      </w:r>
      <w:r w:rsidR="0082654A">
        <w:rPr>
          <w:color w:val="000000"/>
        </w:rPr>
        <w:t xml:space="preserve">The </w:t>
      </w:r>
      <w:r w:rsidR="0082654A" w:rsidRPr="00E8572D">
        <w:rPr>
          <w:color w:val="000000"/>
        </w:rPr>
        <w:t>NARSUM</w:t>
      </w:r>
      <w:r w:rsidR="0082654A">
        <w:rPr>
          <w:color w:val="000000"/>
        </w:rPr>
        <w:t xml:space="preserve"> noted that the shoulder was “essentially painful with any kind of activities, relieved only by rest.”  The physical exam noted anterior apprehension, but forward flexion to 170</w:t>
      </w:r>
      <w:r w:rsidR="00E8572D">
        <w:rPr>
          <w:color w:val="000000"/>
        </w:rPr>
        <w:t xml:space="preserve"> degree</w:t>
      </w:r>
      <w:r w:rsidR="0082654A">
        <w:rPr>
          <w:color w:val="000000"/>
        </w:rPr>
        <w:t xml:space="preserve"> </w:t>
      </w:r>
      <w:r w:rsidR="0082654A">
        <w:rPr>
          <w:color w:val="000000"/>
          <w:szCs w:val="24"/>
        </w:rPr>
        <w:t>(normal 180</w:t>
      </w:r>
      <w:r w:rsidR="00E8572D">
        <w:rPr>
          <w:color w:val="000000"/>
          <w:szCs w:val="24"/>
        </w:rPr>
        <w:t xml:space="preserve"> degree</w:t>
      </w:r>
      <w:r w:rsidR="0082654A" w:rsidRPr="0087277D">
        <w:rPr>
          <w:color w:val="000000"/>
          <w:szCs w:val="24"/>
        </w:rPr>
        <w:t xml:space="preserve">; minimal compensable </w:t>
      </w:r>
      <w:r w:rsidR="0082654A">
        <w:rPr>
          <w:color w:val="000000"/>
          <w:szCs w:val="24"/>
        </w:rPr>
        <w:t>90</w:t>
      </w:r>
      <w:r w:rsidR="00E8572D">
        <w:rPr>
          <w:color w:val="000000"/>
          <w:szCs w:val="24"/>
        </w:rPr>
        <w:t xml:space="preserve"> degree</w:t>
      </w:r>
      <w:r w:rsidR="0082654A" w:rsidRPr="0087277D">
        <w:rPr>
          <w:color w:val="000000"/>
          <w:szCs w:val="24"/>
        </w:rPr>
        <w:t>)</w:t>
      </w:r>
      <w:r w:rsidR="0082654A">
        <w:rPr>
          <w:color w:val="000000"/>
          <w:szCs w:val="24"/>
        </w:rPr>
        <w:t xml:space="preserve"> with “notable pain at extremes of motion.</w:t>
      </w:r>
      <w:r w:rsidR="00E8572D">
        <w:rPr>
          <w:color w:val="000000"/>
          <w:szCs w:val="24"/>
        </w:rPr>
        <w:t>”</w:t>
      </w:r>
      <w:r w:rsidR="0082654A">
        <w:rPr>
          <w:color w:val="000000"/>
          <w:szCs w:val="24"/>
        </w:rPr>
        <w:t xml:space="preserve">  MEB outpatient notes noted ligamental stability to stress and no signs of impingement.  The VA </w:t>
      </w:r>
      <w:r w:rsidR="0082654A" w:rsidRPr="00CF0280">
        <w:rPr>
          <w:color w:val="000000"/>
          <w:szCs w:val="24"/>
        </w:rPr>
        <w:t>Compensation and Pension (C&amp;P)</w:t>
      </w:r>
      <w:r w:rsidR="0082654A">
        <w:rPr>
          <w:color w:val="000000"/>
          <w:szCs w:val="24"/>
        </w:rPr>
        <w:t xml:space="preserve"> </w:t>
      </w:r>
      <w:r w:rsidR="0082654A" w:rsidRPr="000A1E73">
        <w:rPr>
          <w:color w:val="000000"/>
          <w:szCs w:val="24"/>
        </w:rPr>
        <w:t xml:space="preserve">exam </w:t>
      </w:r>
      <w:r w:rsidR="000A1E73" w:rsidRPr="000A1E73">
        <w:rPr>
          <w:color w:val="000000"/>
          <w:szCs w:val="24"/>
        </w:rPr>
        <w:t>(10</w:t>
      </w:r>
      <w:r w:rsidR="0082654A" w:rsidRPr="000A1E73">
        <w:rPr>
          <w:color w:val="000000"/>
          <w:szCs w:val="24"/>
        </w:rPr>
        <w:t xml:space="preserve"> months </w:t>
      </w:r>
      <w:r w:rsidR="000A1E73" w:rsidRPr="000A1E73">
        <w:rPr>
          <w:color w:val="000000"/>
          <w:szCs w:val="24"/>
        </w:rPr>
        <w:t>post</w:t>
      </w:r>
      <w:r w:rsidR="0082654A" w:rsidRPr="000A1E73">
        <w:rPr>
          <w:color w:val="000000"/>
          <w:szCs w:val="24"/>
        </w:rPr>
        <w:t>-separation)</w:t>
      </w:r>
      <w:r w:rsidR="000A1E73">
        <w:rPr>
          <w:color w:val="000000"/>
          <w:szCs w:val="24"/>
        </w:rPr>
        <w:t xml:space="preserve"> noted that the shoulder was “troublesome approximately 50% of the days”, and that the CI modified some work activities to preferential use of his left arm.  The VA physical exam noted forward flexion and abduction </w:t>
      </w:r>
      <w:r w:rsidR="00DE23B7">
        <w:rPr>
          <w:color w:val="000000"/>
          <w:szCs w:val="24"/>
        </w:rPr>
        <w:t>to 110</w:t>
      </w:r>
      <w:r w:rsidR="00E8572D">
        <w:rPr>
          <w:color w:val="000000"/>
          <w:szCs w:val="24"/>
        </w:rPr>
        <w:t xml:space="preserve"> degrees</w:t>
      </w:r>
      <w:r w:rsidR="00DE23B7">
        <w:rPr>
          <w:color w:val="000000"/>
          <w:szCs w:val="24"/>
        </w:rPr>
        <w:t xml:space="preserve"> (limited by pain), </w:t>
      </w:r>
      <w:r w:rsidR="000A1E73">
        <w:rPr>
          <w:color w:val="000000"/>
          <w:szCs w:val="24"/>
        </w:rPr>
        <w:t xml:space="preserve">with intact ligaments. </w:t>
      </w:r>
    </w:p>
    <w:p w:rsidR="007043C8" w:rsidRPr="007043C8" w:rsidRDefault="000A1E73" w:rsidP="007043C8">
      <w:pPr>
        <w:jc w:val="both"/>
        <w:rPr>
          <w:rFonts w:eastAsia="Calibri" w:cs="Times New Roman"/>
          <w:color w:val="auto"/>
          <w:szCs w:val="24"/>
        </w:rPr>
      </w:pPr>
      <w:r w:rsidRPr="009A7578">
        <w:rPr>
          <w:rFonts w:cs="Times New Roman"/>
          <w:color w:val="auto"/>
        </w:rPr>
        <w:lastRenderedPageBreak/>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DE23B7">
        <w:rPr>
          <w:rFonts w:cs="Times New Roman"/>
          <w:color w:val="auto"/>
        </w:rPr>
        <w:t xml:space="preserve">All members agreed that the shoulder condition was well established as independently unfitting.  </w:t>
      </w:r>
      <w:r>
        <w:rPr>
          <w:rFonts w:cs="Times New Roman"/>
          <w:color w:val="auto"/>
        </w:rPr>
        <w:t>The PEB’s DA Form 199 cited “good</w:t>
      </w:r>
      <w:r w:rsidR="00776CF1">
        <w:rPr>
          <w:rFonts w:cs="Times New Roman"/>
          <w:color w:val="auto"/>
        </w:rPr>
        <w:t>”</w:t>
      </w:r>
      <w:r>
        <w:rPr>
          <w:rFonts w:cs="Times New Roman"/>
          <w:color w:val="auto"/>
        </w:rPr>
        <w:t xml:space="preserve"> range</w:t>
      </w:r>
      <w:r w:rsidR="00E8572D">
        <w:rPr>
          <w:rFonts w:cs="Times New Roman"/>
          <w:color w:val="auto"/>
        </w:rPr>
        <w:t>-</w:t>
      </w:r>
      <w:r>
        <w:rPr>
          <w:rFonts w:cs="Times New Roman"/>
          <w:color w:val="auto"/>
        </w:rPr>
        <w:t>of</w:t>
      </w:r>
      <w:r w:rsidR="00E8572D">
        <w:rPr>
          <w:rFonts w:cs="Times New Roman"/>
          <w:color w:val="auto"/>
        </w:rPr>
        <w:t>-</w:t>
      </w:r>
      <w:r>
        <w:rPr>
          <w:rFonts w:cs="Times New Roman"/>
          <w:color w:val="auto"/>
        </w:rPr>
        <w:t xml:space="preserve">motion </w:t>
      </w:r>
      <w:r w:rsidR="00776CF1">
        <w:rPr>
          <w:rFonts w:cs="Times New Roman"/>
          <w:color w:val="auto"/>
        </w:rPr>
        <w:t xml:space="preserve">(ROM) </w:t>
      </w:r>
      <w:r>
        <w:rPr>
          <w:rFonts w:cs="Times New Roman"/>
          <w:color w:val="auto"/>
        </w:rPr>
        <w:t>and stated that the joint was “rated for pain.</w:t>
      </w:r>
      <w:r w:rsidR="00E8572D">
        <w:rPr>
          <w:rFonts w:cs="Times New Roman"/>
          <w:color w:val="auto"/>
        </w:rPr>
        <w:t>”</w:t>
      </w:r>
      <w:r>
        <w:rPr>
          <w:rFonts w:cs="Times New Roman"/>
          <w:color w:val="auto"/>
        </w:rPr>
        <w:t xml:space="preserve">  </w:t>
      </w:r>
      <w:r w:rsidR="00776CF1">
        <w:rPr>
          <w:rFonts w:cs="Times New Roman"/>
          <w:color w:val="auto"/>
        </w:rPr>
        <w:t xml:space="preserve">The VA’s 20% rating was under </w:t>
      </w:r>
      <w:r w:rsidR="00E8572D">
        <w:rPr>
          <w:rFonts w:cs="Times New Roman"/>
          <w:color w:val="auto"/>
        </w:rPr>
        <w:t xml:space="preserve">VASRD code </w:t>
      </w:r>
      <w:r w:rsidR="00776CF1">
        <w:rPr>
          <w:rFonts w:cs="Times New Roman"/>
          <w:color w:val="auto"/>
        </w:rPr>
        <w:t>5201 for limitation of motion, citing the C&amp;P ROM measurements stated above; although, 5201 requires limitation “at shoulder level” (i.e., 90</w:t>
      </w:r>
      <w:r w:rsidR="00E8572D">
        <w:rPr>
          <w:rFonts w:cs="Times New Roman"/>
          <w:color w:val="auto"/>
        </w:rPr>
        <w:t xml:space="preserve"> degrees</w:t>
      </w:r>
      <w:r w:rsidR="00776CF1">
        <w:rPr>
          <w:rFonts w:cs="Times New Roman"/>
          <w:color w:val="auto"/>
        </w:rPr>
        <w:t xml:space="preserve">) to support a 20% rating.  Especially considering the </w:t>
      </w:r>
      <w:r w:rsidR="00FE64FD">
        <w:rPr>
          <w:rFonts w:cs="Times New Roman"/>
          <w:color w:val="auto"/>
        </w:rPr>
        <w:t>near normal ROM</w:t>
      </w:r>
      <w:r w:rsidR="0067463E">
        <w:rPr>
          <w:rFonts w:cs="Times New Roman"/>
          <w:color w:val="auto"/>
        </w:rPr>
        <w:t xml:space="preserve"> recorded in the NARSUM (more probative to separation), all members agreed that a 20% rating under 5201 could not be supported.  The Board considered analogous application of code 5202</w:t>
      </w:r>
      <w:r w:rsidR="00514AEE">
        <w:rPr>
          <w:rFonts w:cs="Times New Roman"/>
          <w:color w:val="auto"/>
        </w:rPr>
        <w:t>,</w:t>
      </w:r>
      <w:r w:rsidR="0067463E">
        <w:rPr>
          <w:rFonts w:cs="Times New Roman"/>
          <w:color w:val="auto"/>
        </w:rPr>
        <w:t xml:space="preserve"> which includes provision for rating instability, and would achieve a 30% rating for “</w:t>
      </w:r>
      <w:r w:rsidR="0067463E" w:rsidRPr="0067463E">
        <w:rPr>
          <w:color w:val="000000"/>
        </w:rPr>
        <w:t>frequent episodes and guarding of all arm movements</w:t>
      </w:r>
      <w:r w:rsidR="0067463E">
        <w:rPr>
          <w:rFonts w:cs="Times New Roman"/>
          <w:color w:val="auto"/>
        </w:rPr>
        <w:t>” or 20% for “</w:t>
      </w:r>
      <w:r w:rsidR="0067463E" w:rsidRPr="0067463E">
        <w:rPr>
          <w:color w:val="000000"/>
        </w:rPr>
        <w:t>infrequent episodes, and guarding of movement only at shoulder level</w:t>
      </w:r>
      <w:r w:rsidR="0067463E">
        <w:rPr>
          <w:rFonts w:cs="Times New Roman"/>
          <w:color w:val="auto"/>
        </w:rPr>
        <w:t>”.  The code stipulates, however, that those ratings are for “r</w:t>
      </w:r>
      <w:r w:rsidR="0067463E" w:rsidRPr="0067463E">
        <w:rPr>
          <w:rFonts w:cs="Times New Roman"/>
          <w:color w:val="auto"/>
        </w:rPr>
        <w:t>ecurrent dislocation</w:t>
      </w:r>
      <w:r w:rsidR="0067463E">
        <w:rPr>
          <w:rFonts w:cs="Times New Roman"/>
          <w:color w:val="auto"/>
        </w:rPr>
        <w:t xml:space="preserve">”; and, members </w:t>
      </w:r>
      <w:r w:rsidR="00894DD8">
        <w:rPr>
          <w:rFonts w:cs="Times New Roman"/>
          <w:color w:val="auto"/>
        </w:rPr>
        <w:t xml:space="preserve">agreed </w:t>
      </w:r>
      <w:r w:rsidR="0067463E">
        <w:rPr>
          <w:rFonts w:cs="Times New Roman"/>
          <w:color w:val="auto"/>
        </w:rPr>
        <w:t>that</w:t>
      </w:r>
      <w:r w:rsidR="00B800FB">
        <w:rPr>
          <w:rFonts w:cs="Times New Roman"/>
          <w:color w:val="auto"/>
        </w:rPr>
        <w:t>,</w:t>
      </w:r>
      <w:r w:rsidR="0067463E">
        <w:rPr>
          <w:rFonts w:cs="Times New Roman"/>
          <w:color w:val="auto"/>
        </w:rPr>
        <w:t xml:space="preserve"> </w:t>
      </w:r>
      <w:r w:rsidR="00B800FB">
        <w:rPr>
          <w:rFonts w:cs="Times New Roman"/>
          <w:color w:val="auto"/>
        </w:rPr>
        <w:t xml:space="preserve">even with analogous interpretation of 5201, it could not be applied for recurrent dislocations that had been surgically corrected without recurrence for several years preceding separation.  </w:t>
      </w:r>
      <w:r w:rsidR="00894DD8" w:rsidRPr="00894DD8">
        <w:rPr>
          <w:rFonts w:cs="Times New Roman"/>
          <w:color w:val="auto"/>
        </w:rPr>
        <w:t>There was no clinical and/or radiologic evidence that suggested ankylosis, loss of the humeral head, nonunion, malunion, fibrous union, deformity, nonunio</w:t>
      </w:r>
      <w:r w:rsidR="00894DD8">
        <w:rPr>
          <w:rFonts w:cs="Times New Roman"/>
          <w:color w:val="auto"/>
        </w:rPr>
        <w:t>n or dislocation of the scapula</w:t>
      </w:r>
      <w:r w:rsidR="00894DD8" w:rsidRPr="00894DD8">
        <w:rPr>
          <w:rFonts w:cs="Times New Roman"/>
          <w:color w:val="auto"/>
        </w:rPr>
        <w:t xml:space="preserve"> that would have justified </w:t>
      </w:r>
      <w:r w:rsidR="00894DD8">
        <w:rPr>
          <w:rFonts w:cs="Times New Roman"/>
          <w:color w:val="auto"/>
        </w:rPr>
        <w:t>application of any other available joint</w:t>
      </w:r>
      <w:r w:rsidR="00894DD8" w:rsidRPr="00894DD8">
        <w:rPr>
          <w:rFonts w:cs="Times New Roman"/>
          <w:color w:val="auto"/>
        </w:rPr>
        <w:t xml:space="preserve"> code </w:t>
      </w:r>
      <w:r w:rsidR="00894DD8">
        <w:rPr>
          <w:rFonts w:cs="Times New Roman"/>
          <w:color w:val="auto"/>
        </w:rPr>
        <w:t xml:space="preserve">to achieve a rating higher than 10% for the shoulder </w:t>
      </w:r>
      <w:r w:rsidR="007043C8">
        <w:rPr>
          <w:rFonts w:cs="Times New Roman"/>
          <w:color w:val="auto"/>
        </w:rPr>
        <w:t>impairment in this case</w:t>
      </w:r>
      <w:r w:rsidR="00894DD8" w:rsidRPr="00894DD8">
        <w:rPr>
          <w:rFonts w:cs="Times New Roman"/>
          <w:color w:val="auto"/>
        </w:rPr>
        <w:t xml:space="preserve">.  </w:t>
      </w:r>
      <w:r w:rsidR="007043C8">
        <w:rPr>
          <w:rFonts w:cs="Times New Roman"/>
          <w:color w:val="auto"/>
        </w:rPr>
        <w:t xml:space="preserve">All members concurred that VASRD §4.59 (painful motion) was adequately supported to achieve the minimal compensable rating of 10%.  </w:t>
      </w:r>
      <w:r w:rsidR="007043C8" w:rsidRPr="00241B01">
        <w:rPr>
          <w:rFonts w:eastAsia="Calibri" w:cs="Times New Roman"/>
          <w:color w:val="auto"/>
          <w:szCs w:val="24"/>
        </w:rPr>
        <w:t xml:space="preserve">After due deliberation, considering all of the evidence and mindful of VASRD §4.3 (reasonable doubt), the Board recommends a disability rating of </w:t>
      </w:r>
      <w:r w:rsidR="007043C8">
        <w:rPr>
          <w:rFonts w:eastAsia="Calibri" w:cs="Times New Roman"/>
          <w:color w:val="auto"/>
          <w:szCs w:val="24"/>
        </w:rPr>
        <w:t>1</w:t>
      </w:r>
      <w:r w:rsidR="007043C8" w:rsidRPr="00241B01">
        <w:rPr>
          <w:rFonts w:eastAsia="Calibri" w:cs="Times New Roman"/>
          <w:color w:val="auto"/>
          <w:szCs w:val="24"/>
        </w:rPr>
        <w:t xml:space="preserve">0% for the </w:t>
      </w:r>
      <w:r w:rsidR="007043C8">
        <w:rPr>
          <w:rFonts w:cs="Times New Roman"/>
          <w:color w:val="auto"/>
        </w:rPr>
        <w:t>right shoulder condition</w:t>
      </w:r>
      <w:r w:rsidR="007043C8" w:rsidRPr="00241B01">
        <w:rPr>
          <w:rFonts w:eastAsia="Calibri" w:cs="Times New Roman"/>
          <w:color w:val="auto"/>
          <w:szCs w:val="24"/>
        </w:rPr>
        <w:t>.</w:t>
      </w:r>
      <w:r w:rsidR="007043C8">
        <w:rPr>
          <w:rFonts w:eastAsia="Calibri" w:cs="Times New Roman"/>
          <w:color w:val="auto"/>
          <w:szCs w:val="24"/>
        </w:rPr>
        <w:t xml:space="preserve">  </w:t>
      </w:r>
      <w:r w:rsidR="007043C8">
        <w:rPr>
          <w:color w:val="000000"/>
          <w:szCs w:val="24"/>
        </w:rPr>
        <w:t xml:space="preserve">The </w:t>
      </w:r>
      <w:r w:rsidR="00E8572D">
        <w:rPr>
          <w:color w:val="000000"/>
          <w:szCs w:val="24"/>
        </w:rPr>
        <w:t>a</w:t>
      </w:r>
      <w:r w:rsidR="007043C8">
        <w:rPr>
          <w:color w:val="000000"/>
          <w:szCs w:val="24"/>
        </w:rPr>
        <w:t xml:space="preserve">ction </w:t>
      </w:r>
      <w:r w:rsidR="00E8572D">
        <w:rPr>
          <w:color w:val="000000"/>
          <w:szCs w:val="24"/>
        </w:rPr>
        <w:t>o</w:t>
      </w:r>
      <w:r w:rsidR="007043C8">
        <w:rPr>
          <w:color w:val="000000"/>
          <w:szCs w:val="24"/>
        </w:rPr>
        <w:t xml:space="preserve">fficer recommended, and the Board concurred with, the code </w:t>
      </w:r>
      <w:r w:rsidR="00567711">
        <w:rPr>
          <w:color w:val="000000"/>
          <w:szCs w:val="24"/>
        </w:rPr>
        <w:t>5099-</w:t>
      </w:r>
      <w:r w:rsidR="007043C8" w:rsidRPr="007043C8">
        <w:rPr>
          <w:rFonts w:eastAsia="Calibri" w:cs="Times New Roman"/>
          <w:color w:val="auto"/>
          <w:szCs w:val="24"/>
        </w:rPr>
        <w:t>5024 (tenosynovitis)</w:t>
      </w:r>
      <w:r w:rsidR="007043C8">
        <w:rPr>
          <w:color w:val="000000"/>
          <w:szCs w:val="24"/>
        </w:rPr>
        <w:t xml:space="preserve"> for its clinical compatibility.</w:t>
      </w:r>
    </w:p>
    <w:p w:rsidR="007043C8" w:rsidRDefault="007043C8" w:rsidP="007043C8">
      <w:pPr>
        <w:jc w:val="both"/>
        <w:rPr>
          <w:rFonts w:eastAsia="Calibri" w:cs="Times New Roman"/>
          <w:color w:val="auto"/>
          <w:szCs w:val="24"/>
        </w:rPr>
      </w:pPr>
    </w:p>
    <w:p w:rsidR="00894DD8" w:rsidRDefault="007043C8" w:rsidP="00894DD8">
      <w:pPr>
        <w:jc w:val="both"/>
        <w:rPr>
          <w:rFonts w:cs="Times New Roman"/>
          <w:color w:val="auto"/>
        </w:rPr>
      </w:pPr>
      <w:r w:rsidRPr="007043C8">
        <w:rPr>
          <w:rFonts w:cs="Times New Roman"/>
          <w:color w:val="auto"/>
          <w:u w:val="single"/>
        </w:rPr>
        <w:t>Right Knee Condition</w:t>
      </w:r>
      <w:r>
        <w:rPr>
          <w:rFonts w:cs="Times New Roman"/>
          <w:color w:val="auto"/>
        </w:rPr>
        <w:t xml:space="preserve">.  </w:t>
      </w:r>
      <w:r w:rsidR="005A5D1D">
        <w:rPr>
          <w:rFonts w:cs="Times New Roman"/>
          <w:color w:val="auto"/>
        </w:rPr>
        <w:t xml:space="preserve">An addendum to the NARSUM for the right knee condition (dated </w:t>
      </w:r>
      <w:r w:rsidR="000259FD">
        <w:rPr>
          <w:rFonts w:cs="Times New Roman"/>
          <w:color w:val="auto"/>
        </w:rPr>
        <w:t xml:space="preserve">approximately </w:t>
      </w:r>
      <w:r w:rsidR="00E8572D">
        <w:rPr>
          <w:rFonts w:cs="Times New Roman"/>
          <w:color w:val="auto"/>
        </w:rPr>
        <w:t>3</w:t>
      </w:r>
      <w:r w:rsidR="000259FD">
        <w:rPr>
          <w:rFonts w:cs="Times New Roman"/>
          <w:color w:val="auto"/>
        </w:rPr>
        <w:t xml:space="preserve"> </w:t>
      </w:r>
      <w:r w:rsidR="005A5D1D">
        <w:rPr>
          <w:rFonts w:cs="Times New Roman"/>
          <w:color w:val="auto"/>
        </w:rPr>
        <w:t xml:space="preserve">months </w:t>
      </w:r>
      <w:r w:rsidR="00D56666">
        <w:rPr>
          <w:rFonts w:cs="Times New Roman"/>
          <w:color w:val="auto"/>
        </w:rPr>
        <w:t>later</w:t>
      </w:r>
      <w:r w:rsidR="005A5D1D">
        <w:rPr>
          <w:rFonts w:cs="Times New Roman"/>
          <w:color w:val="auto"/>
        </w:rPr>
        <w:t>) stated that the knee was injured “during a road-march between 1993-1994.</w:t>
      </w:r>
      <w:r w:rsidR="00E8572D">
        <w:rPr>
          <w:rFonts w:cs="Times New Roman"/>
          <w:color w:val="auto"/>
        </w:rPr>
        <w:t>”</w:t>
      </w:r>
      <w:r w:rsidR="005A5D1D">
        <w:rPr>
          <w:rFonts w:cs="Times New Roman"/>
          <w:color w:val="auto"/>
        </w:rPr>
        <w:t xml:space="preserve">  The PEB requested clarification since the only LOD (line of duty</w:t>
      </w:r>
      <w:r w:rsidR="003C717B">
        <w:rPr>
          <w:rFonts w:cs="Times New Roman"/>
          <w:color w:val="auto"/>
        </w:rPr>
        <w:t>)</w:t>
      </w:r>
      <w:r w:rsidR="005A5D1D">
        <w:rPr>
          <w:rFonts w:cs="Times New Roman"/>
          <w:color w:val="auto"/>
        </w:rPr>
        <w:t xml:space="preserve"> authorization</w:t>
      </w:r>
      <w:r w:rsidR="003C717B">
        <w:rPr>
          <w:rFonts w:cs="Times New Roman"/>
          <w:color w:val="auto"/>
        </w:rPr>
        <w:t xml:space="preserve"> </w:t>
      </w:r>
      <w:r w:rsidR="005A5D1D">
        <w:rPr>
          <w:rFonts w:cs="Times New Roman"/>
          <w:color w:val="auto"/>
        </w:rPr>
        <w:t xml:space="preserve">for the knee related to a motorcycle accident in 1996; which the PEB stated was not valid per regulations.  Although an amendment to the NARSUM specifying the 1996 injury was directed, no such amendment is in evidence; and, the only LOD for the knee </w:t>
      </w:r>
      <w:r w:rsidR="00952FF4">
        <w:rPr>
          <w:rFonts w:cs="Times New Roman"/>
          <w:color w:val="auto"/>
        </w:rPr>
        <w:t xml:space="preserve">in evidence is related to the motorcycle accident. </w:t>
      </w:r>
      <w:r w:rsidR="00EB192F">
        <w:rPr>
          <w:rFonts w:cs="Times New Roman"/>
          <w:color w:val="auto"/>
        </w:rPr>
        <w:t xml:space="preserve"> </w:t>
      </w:r>
      <w:r w:rsidR="00952FF4">
        <w:rPr>
          <w:rFonts w:cs="Times New Roman"/>
          <w:color w:val="auto"/>
        </w:rPr>
        <w:t>The earliest treatment note for the knee condition was in 1996 following the motorcycle injury.</w:t>
      </w:r>
      <w:r w:rsidR="00EB192F">
        <w:rPr>
          <w:rFonts w:cs="Times New Roman"/>
          <w:color w:val="auto"/>
        </w:rPr>
        <w:t xml:space="preserve"> </w:t>
      </w:r>
      <w:r w:rsidR="00952FF4">
        <w:rPr>
          <w:rFonts w:cs="Times New Roman"/>
          <w:color w:val="auto"/>
        </w:rPr>
        <w:t xml:space="preserve"> The condition was diagnosed as retropatellar pain syndrome (RPS)</w:t>
      </w:r>
      <w:r w:rsidR="00DE23B7">
        <w:rPr>
          <w:rFonts w:cs="Times New Roman"/>
          <w:color w:val="auto"/>
        </w:rPr>
        <w:t>;</w:t>
      </w:r>
      <w:r w:rsidR="00952FF4">
        <w:rPr>
          <w:rFonts w:cs="Times New Roman"/>
          <w:color w:val="auto"/>
        </w:rPr>
        <w:t xml:space="preserve"> and chondromalacia (cartil</w:t>
      </w:r>
      <w:r w:rsidR="00EB192F">
        <w:rPr>
          <w:rFonts w:cs="Times New Roman"/>
          <w:color w:val="auto"/>
        </w:rPr>
        <w:t xml:space="preserve">age defect) was noted on </w:t>
      </w:r>
      <w:r w:rsidR="00E8572D">
        <w:rPr>
          <w:rFonts w:cs="Times New Roman"/>
          <w:color w:val="auto"/>
        </w:rPr>
        <w:t>X</w:t>
      </w:r>
      <w:r w:rsidR="00EB192F">
        <w:rPr>
          <w:rFonts w:cs="Times New Roman"/>
          <w:color w:val="auto"/>
        </w:rPr>
        <w:t>-ray.</w:t>
      </w:r>
      <w:r w:rsidR="003C5051">
        <w:rPr>
          <w:rFonts w:cs="Times New Roman"/>
          <w:color w:val="auto"/>
        </w:rPr>
        <w:t xml:space="preserve">  An entry from December 1999 (&gt; 2 years </w:t>
      </w:r>
      <w:r w:rsidR="00E8572D">
        <w:rPr>
          <w:rFonts w:cs="Times New Roman"/>
          <w:color w:val="auto"/>
        </w:rPr>
        <w:t xml:space="preserve">prior to </w:t>
      </w:r>
      <w:r w:rsidR="003C5051">
        <w:rPr>
          <w:rFonts w:cs="Times New Roman"/>
          <w:color w:val="auto"/>
        </w:rPr>
        <w:t xml:space="preserve">separation) requested a downgrade of the knee profile to P2, stating </w:t>
      </w:r>
      <w:r w:rsidR="00DE23B7">
        <w:rPr>
          <w:rFonts w:cs="Times New Roman"/>
          <w:color w:val="auto"/>
        </w:rPr>
        <w:t xml:space="preserve">that the CI was </w:t>
      </w:r>
      <w:r w:rsidR="003C5051">
        <w:rPr>
          <w:rFonts w:cs="Times New Roman"/>
          <w:color w:val="auto"/>
        </w:rPr>
        <w:t>“able to march and run at own pace.</w:t>
      </w:r>
      <w:r w:rsidR="00E8572D">
        <w:rPr>
          <w:rFonts w:cs="Times New Roman"/>
          <w:color w:val="auto"/>
        </w:rPr>
        <w:t>”</w:t>
      </w:r>
      <w:r w:rsidR="003C5051">
        <w:rPr>
          <w:rFonts w:cs="Times New Roman"/>
          <w:color w:val="auto"/>
        </w:rPr>
        <w:t xml:space="preserve">  There are no treatment notes in evidence after this entry, and the profile at separation was L1 with no mention of the knee condition.  The commander’s statement did not mention the knee condition, and specified only “the </w:t>
      </w:r>
      <w:r w:rsidR="003C5051" w:rsidRPr="003C5051">
        <w:rPr>
          <w:rFonts w:cs="Times New Roman"/>
          <w:color w:val="auto"/>
        </w:rPr>
        <w:t>profile limitations of limited use of right hand and the</w:t>
      </w:r>
      <w:r w:rsidR="003C5051">
        <w:rPr>
          <w:rFonts w:cs="Times New Roman"/>
          <w:color w:val="auto"/>
        </w:rPr>
        <w:t xml:space="preserve"> </w:t>
      </w:r>
      <w:r w:rsidR="003C5051" w:rsidRPr="003C5051">
        <w:rPr>
          <w:rFonts w:cs="Times New Roman"/>
          <w:color w:val="auto"/>
        </w:rPr>
        <w:t>inability to carry or fire a rifle</w:t>
      </w:r>
      <w:r w:rsidR="003C5051">
        <w:rPr>
          <w:rFonts w:cs="Times New Roman"/>
          <w:color w:val="auto"/>
        </w:rPr>
        <w:t xml:space="preserve">.”  The NARSUM documented </w:t>
      </w:r>
      <w:r w:rsidR="00103213">
        <w:rPr>
          <w:rFonts w:cs="Times New Roman"/>
          <w:color w:val="auto"/>
        </w:rPr>
        <w:t>right knee flexion to 135</w:t>
      </w:r>
      <w:r w:rsidR="00E8572D">
        <w:rPr>
          <w:rFonts w:cs="Times New Roman"/>
          <w:color w:val="auto"/>
        </w:rPr>
        <w:t xml:space="preserve"> degrees</w:t>
      </w:r>
      <w:r w:rsidR="00103213">
        <w:rPr>
          <w:rFonts w:cs="Times New Roman"/>
          <w:color w:val="auto"/>
        </w:rPr>
        <w:t xml:space="preserve"> (normal 140</w:t>
      </w:r>
      <w:r w:rsidR="00E8572D">
        <w:rPr>
          <w:rFonts w:cs="Times New Roman"/>
          <w:color w:val="auto"/>
        </w:rPr>
        <w:t xml:space="preserve"> degree</w:t>
      </w:r>
      <w:r w:rsidR="00103213">
        <w:rPr>
          <w:rFonts w:cs="Times New Roman"/>
          <w:color w:val="auto"/>
        </w:rPr>
        <w:t>; rating 0%) without notation of painful motion.  All exams indicated that the knee was stable without other ratable findings.  The post-separation C&amp;P examination documented flexion to 140</w:t>
      </w:r>
      <w:r w:rsidR="00E8572D">
        <w:rPr>
          <w:rFonts w:cs="Times New Roman"/>
          <w:color w:val="auto"/>
        </w:rPr>
        <w:t xml:space="preserve"> degree</w:t>
      </w:r>
      <w:r w:rsidR="00103213">
        <w:rPr>
          <w:rFonts w:cs="Times New Roman"/>
          <w:color w:val="auto"/>
        </w:rPr>
        <w:t xml:space="preserve"> without notation of painful motion.  The joint was stable, although the VA examiner stated “His right patella is somewhat mobile.”  The VA rating decision invoked </w:t>
      </w:r>
      <w:r w:rsidR="00DE23B7">
        <w:rPr>
          <w:rFonts w:cs="Times New Roman"/>
          <w:color w:val="auto"/>
        </w:rPr>
        <w:t>the patellar</w:t>
      </w:r>
      <w:r w:rsidR="00103213">
        <w:rPr>
          <w:rFonts w:cs="Times New Roman"/>
          <w:color w:val="auto"/>
        </w:rPr>
        <w:t xml:space="preserve"> </w:t>
      </w:r>
      <w:r w:rsidR="00197915">
        <w:rPr>
          <w:rFonts w:cs="Times New Roman"/>
          <w:color w:val="auto"/>
        </w:rPr>
        <w:t>finding</w:t>
      </w:r>
      <w:r w:rsidR="00103213">
        <w:rPr>
          <w:rFonts w:cs="Times New Roman"/>
          <w:color w:val="auto"/>
        </w:rPr>
        <w:t xml:space="preserve"> in support of a 10% rating under code 5257 (knee subluxation and instability); which is </w:t>
      </w:r>
      <w:r w:rsidR="00197915">
        <w:rPr>
          <w:rFonts w:cs="Times New Roman"/>
          <w:color w:val="auto"/>
        </w:rPr>
        <w:t>clearly not clinically applicable to patellar mobility.</w:t>
      </w:r>
    </w:p>
    <w:p w:rsidR="00197915" w:rsidRDefault="00197915" w:rsidP="00894DD8">
      <w:pPr>
        <w:jc w:val="both"/>
        <w:rPr>
          <w:rFonts w:cs="Times New Roman"/>
          <w:color w:val="auto"/>
        </w:rPr>
      </w:pPr>
    </w:p>
    <w:p w:rsidR="00E41C21" w:rsidRPr="000E4EE2" w:rsidRDefault="003C717B" w:rsidP="000E4EE2">
      <w:pPr>
        <w:jc w:val="both"/>
        <w:rPr>
          <w:rFonts w:cs="Times New Roman"/>
          <w:color w:val="auto"/>
        </w:rPr>
      </w:pPr>
      <w:r w:rsidRPr="003C717B">
        <w:rPr>
          <w:rFonts w:eastAsia="Calibri"/>
          <w:color w:val="auto"/>
          <w:szCs w:val="24"/>
        </w:rPr>
        <w:t xml:space="preserve">As previously elaborated, having de-coupled </w:t>
      </w:r>
      <w:r>
        <w:rPr>
          <w:rFonts w:eastAsia="Calibri"/>
          <w:color w:val="auto"/>
          <w:szCs w:val="24"/>
        </w:rPr>
        <w:t xml:space="preserve">the </w:t>
      </w:r>
      <w:r w:rsidR="00BD3DC5">
        <w:rPr>
          <w:rFonts w:eastAsia="Calibri"/>
          <w:color w:val="auto"/>
          <w:szCs w:val="24"/>
        </w:rPr>
        <w:t>right knee</w:t>
      </w:r>
      <w:r w:rsidRPr="003C717B">
        <w:rPr>
          <w:rFonts w:eastAsia="Calibri"/>
          <w:color w:val="auto"/>
          <w:szCs w:val="24"/>
        </w:rPr>
        <w:t xml:space="preserve"> </w:t>
      </w:r>
      <w:r>
        <w:rPr>
          <w:rFonts w:eastAsia="Calibri"/>
          <w:color w:val="auto"/>
          <w:szCs w:val="24"/>
        </w:rPr>
        <w:t>condition</w:t>
      </w:r>
      <w:r w:rsidRPr="003C717B">
        <w:rPr>
          <w:rFonts w:eastAsia="Calibri"/>
          <w:color w:val="auto"/>
          <w:szCs w:val="24"/>
        </w:rPr>
        <w:t xml:space="preserve"> from </w:t>
      </w:r>
      <w:r>
        <w:rPr>
          <w:rFonts w:eastAsia="Calibri"/>
          <w:color w:val="auto"/>
          <w:szCs w:val="24"/>
        </w:rPr>
        <w:t xml:space="preserve">a combined PEB </w:t>
      </w:r>
      <w:r w:rsidRPr="003C717B">
        <w:rPr>
          <w:rFonts w:eastAsia="Calibri"/>
          <w:color w:val="auto"/>
          <w:szCs w:val="24"/>
        </w:rPr>
        <w:t>adjudication</w:t>
      </w:r>
      <w:r>
        <w:rPr>
          <w:rFonts w:eastAsia="Calibri"/>
          <w:color w:val="auto"/>
          <w:szCs w:val="24"/>
        </w:rPr>
        <w:t>,</w:t>
      </w:r>
      <w:r w:rsidRPr="003C717B">
        <w:rPr>
          <w:rFonts w:eastAsia="Calibri"/>
          <w:color w:val="auto"/>
          <w:szCs w:val="24"/>
        </w:rPr>
        <w:t xml:space="preserve"> the Board must first consider whether </w:t>
      </w:r>
      <w:r>
        <w:rPr>
          <w:rFonts w:eastAsia="Calibri"/>
          <w:color w:val="auto"/>
          <w:szCs w:val="24"/>
        </w:rPr>
        <w:t>it remained</w:t>
      </w:r>
      <w:r w:rsidRPr="003C717B">
        <w:rPr>
          <w:rFonts w:eastAsia="Calibri"/>
          <w:color w:val="auto"/>
          <w:szCs w:val="24"/>
        </w:rPr>
        <w:t xml:space="preserve"> separately unfitting</w:t>
      </w:r>
      <w:r>
        <w:rPr>
          <w:rFonts w:eastAsia="Calibri"/>
          <w:color w:val="auto"/>
          <w:szCs w:val="24"/>
        </w:rPr>
        <w:t xml:space="preserve"> as required for disability rating</w:t>
      </w:r>
      <w:r w:rsidRPr="003C717B">
        <w:rPr>
          <w:rFonts w:eastAsia="Calibri"/>
          <w:color w:val="auto"/>
          <w:szCs w:val="24"/>
        </w:rPr>
        <w:t xml:space="preserve">.  </w:t>
      </w:r>
      <w:r>
        <w:rPr>
          <w:rFonts w:eastAsia="Calibri"/>
          <w:color w:val="auto"/>
          <w:szCs w:val="24"/>
        </w:rPr>
        <w:t>Based on the above evidence, t</w:t>
      </w:r>
      <w:r w:rsidRPr="003C717B">
        <w:rPr>
          <w:rFonts w:eastAsia="Calibri"/>
          <w:color w:val="auto"/>
          <w:szCs w:val="24"/>
        </w:rPr>
        <w:t xml:space="preserve">he Board is left with a questionable basis for arguing that </w:t>
      </w:r>
      <w:r>
        <w:rPr>
          <w:rFonts w:eastAsia="Calibri"/>
          <w:color w:val="auto"/>
          <w:szCs w:val="24"/>
        </w:rPr>
        <w:t>it</w:t>
      </w:r>
      <w:r w:rsidRPr="003C717B">
        <w:rPr>
          <w:rFonts w:eastAsia="Calibri"/>
          <w:color w:val="auto"/>
          <w:szCs w:val="24"/>
        </w:rPr>
        <w:t xml:space="preserve"> was independently unfitting.  The well established principle for fitness determinations is that they are performance-based.  The Board </w:t>
      </w:r>
      <w:r w:rsidR="000259FD">
        <w:rPr>
          <w:rFonts w:eastAsia="Calibri"/>
          <w:color w:val="auto"/>
          <w:szCs w:val="24"/>
        </w:rPr>
        <w:t>could not find evidence in the c</w:t>
      </w:r>
      <w:r w:rsidRPr="003C717B">
        <w:rPr>
          <w:rFonts w:eastAsia="Calibri"/>
          <w:color w:val="auto"/>
          <w:szCs w:val="24"/>
        </w:rPr>
        <w:t xml:space="preserve">ommander’s statement or elsewhere in the file that documented any </w:t>
      </w:r>
      <w:r w:rsidR="00E805BB">
        <w:rPr>
          <w:rFonts w:eastAsia="Calibri"/>
          <w:color w:val="auto"/>
          <w:szCs w:val="24"/>
        </w:rPr>
        <w:t xml:space="preserve">significant </w:t>
      </w:r>
      <w:r w:rsidRPr="003C717B">
        <w:rPr>
          <w:rFonts w:eastAsia="Calibri"/>
          <w:color w:val="auto"/>
          <w:szCs w:val="24"/>
        </w:rPr>
        <w:t xml:space="preserve">interference of the </w:t>
      </w:r>
      <w:r w:rsidR="00BD3DC5">
        <w:rPr>
          <w:rFonts w:eastAsia="Calibri"/>
          <w:color w:val="auto"/>
          <w:szCs w:val="24"/>
        </w:rPr>
        <w:t>knee</w:t>
      </w:r>
      <w:r w:rsidRPr="003C717B">
        <w:rPr>
          <w:rFonts w:eastAsia="Calibri"/>
          <w:color w:val="auto"/>
          <w:szCs w:val="24"/>
        </w:rPr>
        <w:t xml:space="preserve"> condition with performance of duties</w:t>
      </w:r>
      <w:r w:rsidR="00BD3DC5">
        <w:rPr>
          <w:rFonts w:eastAsia="Calibri"/>
          <w:color w:val="auto"/>
          <w:szCs w:val="24"/>
        </w:rPr>
        <w:t xml:space="preserve"> at the time of separation</w:t>
      </w:r>
      <w:r w:rsidRPr="003C717B">
        <w:rPr>
          <w:rFonts w:eastAsia="Calibri"/>
          <w:color w:val="auto"/>
          <w:szCs w:val="24"/>
        </w:rPr>
        <w:t xml:space="preserve">, nor were any physical findings documented by the MEB </w:t>
      </w:r>
      <w:r w:rsidR="00BD3DC5">
        <w:rPr>
          <w:rFonts w:eastAsia="Calibri"/>
          <w:color w:val="auto"/>
          <w:szCs w:val="24"/>
        </w:rPr>
        <w:t>or</w:t>
      </w:r>
      <w:r w:rsidRPr="003C717B">
        <w:rPr>
          <w:rFonts w:eastAsia="Calibri"/>
          <w:color w:val="auto"/>
          <w:szCs w:val="24"/>
        </w:rPr>
        <w:t xml:space="preserve"> VA examiners which would logically be associated </w:t>
      </w:r>
      <w:r w:rsidRPr="003C717B">
        <w:rPr>
          <w:rFonts w:eastAsia="Calibri"/>
          <w:color w:val="auto"/>
          <w:szCs w:val="24"/>
        </w:rPr>
        <w:lastRenderedPageBreak/>
        <w:t xml:space="preserve">with significant disability. </w:t>
      </w:r>
      <w:r w:rsidR="00E8572D">
        <w:rPr>
          <w:rFonts w:eastAsia="Calibri"/>
          <w:color w:val="auto"/>
          <w:szCs w:val="24"/>
        </w:rPr>
        <w:t xml:space="preserve"> </w:t>
      </w:r>
      <w:r w:rsidR="00BD3DC5">
        <w:rPr>
          <w:rFonts w:eastAsia="Calibri"/>
          <w:color w:val="auto"/>
          <w:szCs w:val="24"/>
        </w:rPr>
        <w:t>The condition was not profiled at separation, and it is dubious that the MEB examiner considered it to fail retention standards.</w:t>
      </w:r>
      <w:r w:rsidRPr="003C717B">
        <w:rPr>
          <w:rFonts w:eastAsia="Calibri"/>
          <w:color w:val="auto"/>
          <w:szCs w:val="24"/>
        </w:rPr>
        <w:t xml:space="preserve"> </w:t>
      </w:r>
      <w:r w:rsidR="00BD3DC5">
        <w:rPr>
          <w:rFonts w:eastAsia="Calibri"/>
          <w:color w:val="auto"/>
          <w:szCs w:val="24"/>
        </w:rPr>
        <w:t xml:space="preserve"> It should also be noted that there is no clear evidence in support of a compensable rating for the knee, even if were conceded as unfitting.  </w:t>
      </w:r>
      <w:r w:rsidRPr="003C717B">
        <w:rPr>
          <w:rFonts w:eastAsia="Calibri"/>
          <w:color w:val="auto"/>
          <w:szCs w:val="24"/>
        </w:rPr>
        <w:t xml:space="preserve">After due deliberation, </w:t>
      </w:r>
      <w:r w:rsidR="000E4EE2" w:rsidRPr="000E4EE2">
        <w:rPr>
          <w:rFonts w:eastAsia="Calibri"/>
          <w:color w:val="auto"/>
          <w:szCs w:val="24"/>
        </w:rPr>
        <w:t xml:space="preserve">the members agreed </w:t>
      </w:r>
      <w:r w:rsidRPr="003C717B">
        <w:rPr>
          <w:rFonts w:eastAsia="Calibri"/>
          <w:color w:val="auto"/>
          <w:szCs w:val="24"/>
        </w:rPr>
        <w:t xml:space="preserve">that </w:t>
      </w:r>
      <w:r w:rsidR="000E4EE2">
        <w:rPr>
          <w:rFonts w:eastAsia="Calibri"/>
          <w:color w:val="auto"/>
          <w:szCs w:val="24"/>
        </w:rPr>
        <w:t xml:space="preserve">the </w:t>
      </w:r>
      <w:r w:rsidR="005F6B44">
        <w:rPr>
          <w:rFonts w:eastAsia="Calibri"/>
          <w:color w:val="auto"/>
          <w:szCs w:val="24"/>
        </w:rPr>
        <w:t xml:space="preserve">preponderance of the </w:t>
      </w:r>
      <w:r w:rsidRPr="003C717B">
        <w:rPr>
          <w:rFonts w:eastAsia="Calibri"/>
          <w:color w:val="auto"/>
          <w:szCs w:val="24"/>
        </w:rPr>
        <w:t xml:space="preserve">evidence does not support a conclusion that </w:t>
      </w:r>
      <w:r w:rsidR="000E4EE2">
        <w:rPr>
          <w:rFonts w:eastAsia="Calibri"/>
          <w:color w:val="auto"/>
          <w:szCs w:val="24"/>
        </w:rPr>
        <w:t xml:space="preserve">the right knee </w:t>
      </w:r>
      <w:r w:rsidR="000E4EE2" w:rsidRPr="003C717B">
        <w:rPr>
          <w:rFonts w:eastAsia="Calibri"/>
          <w:color w:val="auto"/>
          <w:szCs w:val="24"/>
        </w:rPr>
        <w:t>condition</w:t>
      </w:r>
      <w:r w:rsidRPr="003C717B">
        <w:rPr>
          <w:rFonts w:eastAsia="Calibri"/>
          <w:color w:val="auto"/>
          <w:szCs w:val="24"/>
        </w:rPr>
        <w:t>, as an isolated</w:t>
      </w:r>
      <w:r w:rsidR="000E4EE2" w:rsidRPr="000E4EE2">
        <w:rPr>
          <w:rFonts w:eastAsia="Calibri"/>
          <w:color w:val="auto"/>
          <w:szCs w:val="24"/>
        </w:rPr>
        <w:t xml:space="preserve"> </w:t>
      </w:r>
      <w:r w:rsidR="000E4EE2">
        <w:rPr>
          <w:rFonts w:eastAsia="Calibri"/>
          <w:color w:val="auto"/>
          <w:szCs w:val="24"/>
        </w:rPr>
        <w:t>impairment</w:t>
      </w:r>
      <w:r w:rsidRPr="003C717B">
        <w:rPr>
          <w:rFonts w:eastAsia="Calibri"/>
          <w:color w:val="auto"/>
          <w:szCs w:val="24"/>
        </w:rPr>
        <w:t xml:space="preserve">, would have rendered the CI incapable of </w:t>
      </w:r>
      <w:r w:rsidR="00E8572D">
        <w:rPr>
          <w:rFonts w:eastAsia="Calibri"/>
          <w:color w:val="auto"/>
          <w:szCs w:val="24"/>
        </w:rPr>
        <w:t>performing</w:t>
      </w:r>
      <w:r w:rsidRPr="003C717B">
        <w:rPr>
          <w:rFonts w:eastAsia="Calibri"/>
          <w:color w:val="auto"/>
          <w:szCs w:val="24"/>
        </w:rPr>
        <w:t xml:space="preserve"> </w:t>
      </w:r>
      <w:r w:rsidRPr="000E4EE2">
        <w:rPr>
          <w:rFonts w:eastAsia="Calibri"/>
          <w:color w:val="auto"/>
          <w:szCs w:val="24"/>
        </w:rPr>
        <w:t>within his MOS; and, accordingly cannot recommend a separate rating for it.</w:t>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E41C21" w:rsidRPr="00EB192F" w:rsidRDefault="00E41C21" w:rsidP="00E41C2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Pr>
          <w:rFonts w:cs="Times New Roman"/>
          <w:color w:val="auto"/>
        </w:rPr>
        <w:t xml:space="preserve"> </w:t>
      </w:r>
      <w:r w:rsidR="00567711" w:rsidRPr="00241B01">
        <w:rPr>
          <w:rFonts w:eastAsia="Calibri" w:cs="Times New Roman"/>
          <w:color w:val="auto"/>
          <w:szCs w:val="24"/>
        </w:rPr>
        <w:t xml:space="preserve">As discussed above, PEB reliance on the USAPDA pain policy </w:t>
      </w:r>
      <w:r w:rsidR="00567711">
        <w:rPr>
          <w:rFonts w:eastAsia="Calibri" w:cs="Times New Roman"/>
          <w:color w:val="auto"/>
          <w:szCs w:val="24"/>
        </w:rPr>
        <w:t xml:space="preserve">and </w:t>
      </w:r>
      <w:r w:rsidR="00567711" w:rsidRPr="00EB192F">
        <w:rPr>
          <w:rFonts w:eastAsia="Calibri" w:cs="Times New Roman"/>
          <w:color w:val="auto"/>
          <w:szCs w:val="24"/>
        </w:rPr>
        <w:t xml:space="preserve">likely on </w:t>
      </w:r>
      <w:r w:rsidR="00567711" w:rsidRPr="00EB192F">
        <w:rPr>
          <w:color w:val="000000"/>
        </w:rPr>
        <w:t xml:space="preserve">AR 635-40 </w:t>
      </w:r>
      <w:r w:rsidR="00567711" w:rsidRPr="00EB192F">
        <w:rPr>
          <w:rFonts w:eastAsia="Calibri" w:cs="Times New Roman"/>
          <w:color w:val="auto"/>
          <w:szCs w:val="24"/>
        </w:rPr>
        <w:t xml:space="preserve">for rating the shoulder and knee conditions was operant in this case, and they were adjudicated independently of that policy by the Board.  In the matter of the right shoulder condition, the Board unanimously recommends a disability rating of </w:t>
      </w:r>
      <w:r w:rsidR="00EB192F" w:rsidRPr="00EB192F">
        <w:rPr>
          <w:rFonts w:eastAsia="Calibri" w:cs="Times New Roman"/>
          <w:color w:val="auto"/>
          <w:szCs w:val="24"/>
        </w:rPr>
        <w:t>10</w:t>
      </w:r>
      <w:r w:rsidR="00567711" w:rsidRPr="00EB192F">
        <w:rPr>
          <w:rFonts w:eastAsia="Calibri" w:cs="Times New Roman"/>
          <w:color w:val="auto"/>
          <w:szCs w:val="24"/>
        </w:rPr>
        <w:t>%, coded 5099-5024, IAW VASRD §4.71a.  In the matter of the right knee condition, the Board unanimously agrees that it cannot</w:t>
      </w:r>
      <w:r w:rsidR="00567711" w:rsidRPr="00EB192F">
        <w:rPr>
          <w:rFonts w:eastAsia="Calibri" w:cs="Times New Roman"/>
          <w:color w:val="000080"/>
          <w:szCs w:val="24"/>
        </w:rPr>
        <w:t xml:space="preserve"> </w:t>
      </w:r>
      <w:r w:rsidR="00567711" w:rsidRPr="00EB192F">
        <w:rPr>
          <w:rFonts w:eastAsia="Calibri" w:cs="Times New Roman"/>
          <w:color w:val="auto"/>
          <w:szCs w:val="24"/>
        </w:rPr>
        <w:t xml:space="preserve">recommend a finding of unfit for additional disability rating.  </w:t>
      </w:r>
      <w:r w:rsidR="001D7800" w:rsidRPr="00EB192F">
        <w:rPr>
          <w:rFonts w:eastAsia="Calibri" w:cs="Times New Roman"/>
          <w:color w:val="auto"/>
          <w:szCs w:val="24"/>
        </w:rPr>
        <w:t>There were no other conditions within the Board’s scope of review for consideration.</w:t>
      </w:r>
    </w:p>
    <w:p w:rsidR="00E41C21" w:rsidRPr="00EB192F" w:rsidRDefault="00E41C21" w:rsidP="00E41C21">
      <w:pPr>
        <w:pBdr>
          <w:bottom w:val="single" w:sz="12" w:space="1" w:color="auto"/>
        </w:pBdr>
        <w:tabs>
          <w:tab w:val="left" w:pos="288"/>
          <w:tab w:val="left" w:pos="4752"/>
        </w:tabs>
        <w:jc w:val="both"/>
        <w:rPr>
          <w:color w:val="000000"/>
        </w:rPr>
      </w:pPr>
    </w:p>
    <w:p w:rsidR="00E41C21" w:rsidRPr="00EB192F" w:rsidRDefault="00E41C21" w:rsidP="00E41C21">
      <w:pPr>
        <w:jc w:val="left"/>
        <w:rPr>
          <w:color w:val="000000"/>
        </w:rPr>
      </w:pPr>
    </w:p>
    <w:p w:rsidR="00E41C21" w:rsidRPr="000259FD" w:rsidRDefault="00E41C21" w:rsidP="00DB7ACF">
      <w:pPr>
        <w:jc w:val="both"/>
        <w:rPr>
          <w:rFonts w:eastAsia="Calibri" w:cs="Times New Roman"/>
          <w:color w:val="auto"/>
          <w:szCs w:val="24"/>
        </w:rPr>
      </w:pPr>
      <w:r w:rsidRPr="00EB192F">
        <w:rPr>
          <w:color w:val="000000"/>
          <w:u w:val="single"/>
        </w:rPr>
        <w:t>RECOMMENDATION</w:t>
      </w:r>
      <w:r w:rsidRPr="00EB192F">
        <w:rPr>
          <w:color w:val="000000"/>
        </w:rPr>
        <w:t xml:space="preserve">: </w:t>
      </w:r>
      <w:r w:rsidR="00DB7ACF" w:rsidRPr="00EB192F">
        <w:rPr>
          <w:rFonts w:eastAsia="Calibri" w:cs="Times New Roman"/>
          <w:color w:val="auto"/>
          <w:szCs w:val="24"/>
        </w:rPr>
        <w:t xml:space="preserve">The Board recommends that the CI’s prior determination be modified as follows, effective as of the date of his prior medical </w:t>
      </w:r>
      <w:r w:rsidR="00DB7ACF" w:rsidRPr="000259FD">
        <w:rPr>
          <w:rFonts w:eastAsia="Calibri" w:cs="Times New Roman"/>
          <w:color w:val="auto"/>
          <w:szCs w:val="24"/>
        </w:rPr>
        <w:t>separation:</w:t>
      </w:r>
    </w:p>
    <w:p w:rsidR="00E41C21" w:rsidRPr="00EB192F"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EB192F" w:rsidTr="00D64A61">
        <w:trPr>
          <w:trHeight w:val="233"/>
          <w:jc w:val="center"/>
        </w:trPr>
        <w:tc>
          <w:tcPr>
            <w:tcW w:w="6768" w:type="dxa"/>
            <w:shd w:val="clear" w:color="auto" w:fill="D9D9D9"/>
            <w:vAlign w:val="center"/>
          </w:tcPr>
          <w:p w:rsidR="00E41C21" w:rsidRPr="00EB192F" w:rsidRDefault="00E41C21" w:rsidP="00D64A61">
            <w:pPr>
              <w:tabs>
                <w:tab w:val="left" w:pos="288"/>
                <w:tab w:val="left" w:pos="4752"/>
              </w:tabs>
              <w:rPr>
                <w:b/>
                <w:color w:val="000000"/>
              </w:rPr>
            </w:pPr>
            <w:r w:rsidRPr="00EB192F">
              <w:rPr>
                <w:b/>
                <w:color w:val="000000"/>
              </w:rPr>
              <w:t>UNFITTING CONDITION</w:t>
            </w:r>
          </w:p>
        </w:tc>
        <w:tc>
          <w:tcPr>
            <w:tcW w:w="1530" w:type="dxa"/>
            <w:shd w:val="clear" w:color="auto" w:fill="D9D9D9"/>
            <w:vAlign w:val="center"/>
          </w:tcPr>
          <w:p w:rsidR="00E41C21" w:rsidRPr="00EB192F" w:rsidRDefault="00E41C21" w:rsidP="00D64A61">
            <w:pPr>
              <w:tabs>
                <w:tab w:val="left" w:pos="288"/>
                <w:tab w:val="left" w:pos="4752"/>
              </w:tabs>
              <w:rPr>
                <w:b/>
                <w:color w:val="000000"/>
              </w:rPr>
            </w:pPr>
            <w:r w:rsidRPr="00EB192F">
              <w:rPr>
                <w:b/>
                <w:color w:val="000000"/>
              </w:rPr>
              <w:t>VASRD CODE</w:t>
            </w:r>
          </w:p>
        </w:tc>
        <w:tc>
          <w:tcPr>
            <w:tcW w:w="1026" w:type="dxa"/>
            <w:shd w:val="clear" w:color="auto" w:fill="D9D9D9"/>
            <w:vAlign w:val="center"/>
          </w:tcPr>
          <w:p w:rsidR="00E41C21" w:rsidRPr="00EB192F" w:rsidRDefault="00E41C21" w:rsidP="00D64A61">
            <w:pPr>
              <w:tabs>
                <w:tab w:val="left" w:pos="288"/>
                <w:tab w:val="left" w:pos="4752"/>
              </w:tabs>
              <w:rPr>
                <w:b/>
                <w:color w:val="000000"/>
              </w:rPr>
            </w:pPr>
            <w:r w:rsidRPr="00EB192F">
              <w:rPr>
                <w:b/>
                <w:color w:val="000000"/>
              </w:rPr>
              <w:t>RATING</w:t>
            </w:r>
          </w:p>
        </w:tc>
      </w:tr>
      <w:tr w:rsidR="00E41C21" w:rsidRPr="00EB192F" w:rsidTr="00D64A61">
        <w:trPr>
          <w:jc w:val="center"/>
        </w:trPr>
        <w:tc>
          <w:tcPr>
            <w:tcW w:w="6768" w:type="dxa"/>
            <w:vAlign w:val="center"/>
          </w:tcPr>
          <w:p w:rsidR="00E41C21" w:rsidRPr="00EB192F" w:rsidRDefault="00DB7ACF" w:rsidP="00D64A61">
            <w:pPr>
              <w:tabs>
                <w:tab w:val="left" w:pos="288"/>
                <w:tab w:val="left" w:pos="4752"/>
              </w:tabs>
              <w:jc w:val="left"/>
              <w:rPr>
                <w:color w:val="000000"/>
              </w:rPr>
            </w:pPr>
            <w:r w:rsidRPr="00EB192F">
              <w:rPr>
                <w:color w:val="000000"/>
              </w:rPr>
              <w:t>Surgical Residuals, Right Shoulder</w:t>
            </w:r>
          </w:p>
        </w:tc>
        <w:tc>
          <w:tcPr>
            <w:tcW w:w="1530" w:type="dxa"/>
            <w:vAlign w:val="center"/>
          </w:tcPr>
          <w:p w:rsidR="00DB7ACF" w:rsidRPr="00EB192F" w:rsidRDefault="00DB7ACF" w:rsidP="00D64A61">
            <w:pPr>
              <w:tabs>
                <w:tab w:val="left" w:pos="288"/>
                <w:tab w:val="left" w:pos="4752"/>
              </w:tabs>
              <w:rPr>
                <w:rFonts w:eastAsia="Calibri" w:cs="Times New Roman"/>
                <w:color w:val="auto"/>
                <w:szCs w:val="24"/>
              </w:rPr>
            </w:pPr>
            <w:r w:rsidRPr="00EB192F">
              <w:rPr>
                <w:rFonts w:eastAsia="Calibri" w:cs="Times New Roman"/>
                <w:color w:val="auto"/>
                <w:szCs w:val="24"/>
              </w:rPr>
              <w:t>5099-5024</w:t>
            </w:r>
          </w:p>
        </w:tc>
        <w:tc>
          <w:tcPr>
            <w:tcW w:w="1026" w:type="dxa"/>
            <w:vAlign w:val="center"/>
          </w:tcPr>
          <w:p w:rsidR="00DB7ACF" w:rsidRPr="00EB192F" w:rsidRDefault="00DB7ACF" w:rsidP="00D64A61">
            <w:pPr>
              <w:tabs>
                <w:tab w:val="left" w:pos="288"/>
                <w:tab w:val="left" w:pos="4752"/>
              </w:tabs>
              <w:rPr>
                <w:color w:val="000000"/>
              </w:rPr>
            </w:pPr>
            <w:r w:rsidRPr="00EB192F">
              <w:rPr>
                <w:color w:val="000000"/>
              </w:rPr>
              <w:t>1</w:t>
            </w:r>
            <w:r w:rsidR="00E41C21" w:rsidRPr="00EB192F">
              <w:rPr>
                <w:color w:val="000000"/>
              </w:rPr>
              <w:t>0%</w:t>
            </w:r>
          </w:p>
        </w:tc>
      </w:tr>
      <w:tr w:rsidR="00DB7ACF" w:rsidRPr="00EB192F" w:rsidTr="004618FA">
        <w:trPr>
          <w:jc w:val="center"/>
        </w:trPr>
        <w:tc>
          <w:tcPr>
            <w:tcW w:w="6768" w:type="dxa"/>
            <w:vAlign w:val="center"/>
          </w:tcPr>
          <w:p w:rsidR="00DB7ACF" w:rsidRPr="00EB192F" w:rsidRDefault="00DB7ACF" w:rsidP="00D64A61">
            <w:pPr>
              <w:tabs>
                <w:tab w:val="left" w:pos="288"/>
                <w:tab w:val="left" w:pos="4752"/>
              </w:tabs>
              <w:jc w:val="left"/>
              <w:rPr>
                <w:color w:val="000000"/>
              </w:rPr>
            </w:pPr>
            <w:r w:rsidRPr="00EB192F">
              <w:rPr>
                <w:color w:val="000000"/>
              </w:rPr>
              <w:t>Retropatellar Pain Syndrome, Right Knee</w:t>
            </w:r>
          </w:p>
        </w:tc>
        <w:tc>
          <w:tcPr>
            <w:tcW w:w="2556" w:type="dxa"/>
            <w:gridSpan w:val="2"/>
            <w:vAlign w:val="center"/>
          </w:tcPr>
          <w:p w:rsidR="00DB7ACF" w:rsidRPr="00EB192F" w:rsidRDefault="00DB7ACF" w:rsidP="00D64A61">
            <w:pPr>
              <w:tabs>
                <w:tab w:val="left" w:pos="288"/>
                <w:tab w:val="left" w:pos="4752"/>
              </w:tabs>
              <w:rPr>
                <w:color w:val="000000"/>
              </w:rPr>
            </w:pPr>
            <w:r w:rsidRPr="00EB192F">
              <w:rPr>
                <w:color w:val="000000"/>
              </w:rPr>
              <w:t>Not Unfitting</w:t>
            </w:r>
          </w:p>
        </w:tc>
      </w:tr>
      <w:tr w:rsidR="00E41C21" w:rsidRPr="000D5DBE"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EB192F" w:rsidRDefault="00E41C21" w:rsidP="00D64A61">
            <w:pPr>
              <w:tabs>
                <w:tab w:val="left" w:pos="288"/>
                <w:tab w:val="left" w:pos="4752"/>
              </w:tabs>
              <w:rPr>
                <w:b/>
                <w:color w:val="000000"/>
              </w:rPr>
            </w:pPr>
            <w:r w:rsidRPr="00EB192F">
              <w:rPr>
                <w:b/>
                <w:color w:val="000000"/>
              </w:rPr>
              <w:t>COMBINED</w:t>
            </w:r>
          </w:p>
        </w:tc>
        <w:tc>
          <w:tcPr>
            <w:tcW w:w="1026" w:type="dxa"/>
            <w:shd w:val="clear" w:color="auto" w:fill="D9D9D9"/>
            <w:vAlign w:val="center"/>
          </w:tcPr>
          <w:p w:rsidR="00E41C21" w:rsidRPr="000D5DBE" w:rsidRDefault="00DB7ACF" w:rsidP="00D64A61">
            <w:pPr>
              <w:tabs>
                <w:tab w:val="left" w:pos="288"/>
                <w:tab w:val="left" w:pos="4752"/>
              </w:tabs>
              <w:rPr>
                <w:b/>
                <w:color w:val="000000"/>
              </w:rPr>
            </w:pPr>
            <w:r w:rsidRPr="00EB192F">
              <w:rPr>
                <w:b/>
                <w:color w:val="000000"/>
              </w:rPr>
              <w:t>1</w:t>
            </w:r>
            <w:r w:rsidR="00E41C21" w:rsidRPr="00EB192F">
              <w:rPr>
                <w:b/>
                <w:color w:val="000000"/>
              </w:rPr>
              <w:t>0%</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040AC2" w:rsidRPr="001F29F9">
        <w:rPr>
          <w:color w:val="000000" w:themeColor="text1"/>
          <w:szCs w:val="24"/>
        </w:rPr>
        <w:t>201</w:t>
      </w:r>
      <w:r w:rsidR="00040AC2">
        <w:rPr>
          <w:color w:val="000000" w:themeColor="text1"/>
          <w:szCs w:val="24"/>
        </w:rPr>
        <w:t>11226</w:t>
      </w:r>
      <w:r w:rsidRPr="001F29F9">
        <w:rPr>
          <w:color w:val="000000"/>
        </w:rPr>
        <w:t>, w/atchs.</w:t>
      </w:r>
    </w:p>
    <w:p w:rsidR="00E41C21" w:rsidRPr="001F29F9" w:rsidRDefault="00E41C21" w:rsidP="00E41C21">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E41C21" w:rsidRPr="001F29F9" w:rsidRDefault="00E41C21" w:rsidP="00E41C21">
      <w:pPr>
        <w:tabs>
          <w:tab w:val="left" w:pos="288"/>
          <w:tab w:val="left" w:pos="4752"/>
        </w:tabs>
        <w:jc w:val="both"/>
        <w:rPr>
          <w:color w:val="000000"/>
        </w:rPr>
      </w:pPr>
      <w:r w:rsidRPr="001F29F9">
        <w:rPr>
          <w:color w:val="000000"/>
        </w:rPr>
        <w:t>Exhibit C.  Department of Veterans</w:t>
      </w:r>
      <w:r w:rsidR="00E8572D">
        <w:rPr>
          <w:color w:val="000000"/>
        </w:rPr>
        <w:t>’</w:t>
      </w:r>
      <w:r w:rsidRPr="001F29F9">
        <w:rPr>
          <w:color w:val="000000"/>
        </w:rPr>
        <w:t xml:space="preserve"> Affairs Treatment Record.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8C660A">
        <w:rPr>
          <w:color w:val="000000"/>
        </w:rPr>
        <w:t>XXXXXXXXXXXXXXXXXXXXXXXX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8C660A" w:rsidRDefault="00E41C21" w:rsidP="000259FD">
      <w:pPr>
        <w:tabs>
          <w:tab w:val="left" w:pos="0"/>
          <w:tab w:val="left" w:pos="4320"/>
        </w:tabs>
        <w:jc w:val="both"/>
        <w:rPr>
          <w:color w:val="000000"/>
        </w:rPr>
      </w:pPr>
      <w:r w:rsidRPr="001F29F9">
        <w:rPr>
          <w:color w:val="000000"/>
        </w:rPr>
        <w:tab/>
        <w:t xml:space="preserve">           Physical Disability Board of Review</w:t>
      </w:r>
    </w:p>
    <w:p w:rsidR="008C660A" w:rsidRDefault="008C660A">
      <w:pPr>
        <w:spacing w:line="240" w:lineRule="auto"/>
        <w:jc w:val="left"/>
        <w:rPr>
          <w:color w:val="000000"/>
        </w:rPr>
      </w:pPr>
      <w:r>
        <w:rPr>
          <w:color w:val="000000"/>
        </w:rPr>
        <w:br w:type="page"/>
      </w:r>
    </w:p>
    <w:p w:rsidR="008C660A" w:rsidRDefault="008C660A" w:rsidP="008C660A">
      <w:pPr>
        <w:pStyle w:val="Header"/>
        <w:tabs>
          <w:tab w:val="left" w:pos="720"/>
        </w:tabs>
        <w:jc w:val="left"/>
      </w:pPr>
      <w:r>
        <w:lastRenderedPageBreak/>
        <w:t>SFMR-RB</w:t>
      </w:r>
      <w:r>
        <w:tab/>
      </w:r>
      <w:r>
        <w:tab/>
      </w:r>
      <w:r>
        <w:tab/>
      </w:r>
      <w:r>
        <w:tab/>
      </w:r>
      <w:r>
        <w:tab/>
      </w:r>
      <w:r>
        <w:tab/>
      </w:r>
      <w:r>
        <w:tab/>
      </w:r>
      <w:r>
        <w:tab/>
      </w:r>
      <w:r>
        <w:tab/>
      </w:r>
    </w:p>
    <w:p w:rsidR="008C660A" w:rsidRDefault="008C660A" w:rsidP="008C660A">
      <w:pPr>
        <w:pStyle w:val="Header"/>
        <w:tabs>
          <w:tab w:val="left" w:pos="720"/>
        </w:tabs>
        <w:jc w:val="left"/>
      </w:pPr>
    </w:p>
    <w:p w:rsidR="008C660A" w:rsidRDefault="008C660A" w:rsidP="008C660A">
      <w:pPr>
        <w:jc w:val="left"/>
      </w:pPr>
    </w:p>
    <w:p w:rsidR="008C660A" w:rsidRDefault="008C660A" w:rsidP="008C660A">
      <w:pPr>
        <w:jc w:val="left"/>
      </w:pPr>
      <w:r>
        <w:t xml:space="preserve">MEMORANDUM FOR Commander, US Army Physical Disability Agency </w:t>
      </w:r>
    </w:p>
    <w:p w:rsidR="008C660A" w:rsidRDefault="008C660A" w:rsidP="008C660A">
      <w:pPr>
        <w:jc w:val="left"/>
      </w:pPr>
      <w:r>
        <w:t xml:space="preserve">(TAPD-ZB </w:t>
      </w:r>
      <w:proofErr w:type="gramStart"/>
      <w:r>
        <w:t>/  )</w:t>
      </w:r>
      <w:proofErr w:type="gramEnd"/>
      <w:r>
        <w:t>, 2900 Crystal Drive, Suite 300, Arlington, VA  22202-3557</w:t>
      </w:r>
    </w:p>
    <w:p w:rsidR="008C660A" w:rsidRDefault="008C660A" w:rsidP="008C660A">
      <w:pPr>
        <w:jc w:val="left"/>
      </w:pPr>
    </w:p>
    <w:p w:rsidR="008C660A" w:rsidRDefault="008C660A" w:rsidP="008C660A">
      <w:pPr>
        <w:jc w:val="left"/>
      </w:pPr>
    </w:p>
    <w:p w:rsidR="008C660A" w:rsidRDefault="008C660A" w:rsidP="008C660A">
      <w:pPr>
        <w:ind w:right="-180"/>
        <w:jc w:val="left"/>
      </w:pPr>
      <w:r>
        <w:t xml:space="preserve">SUBJECT:  Department of Defense Physical Disability Board of Review Recommendation </w:t>
      </w:r>
    </w:p>
    <w:p w:rsidR="008C660A" w:rsidRDefault="008C660A" w:rsidP="008C660A">
      <w:pPr>
        <w:pStyle w:val="Header"/>
        <w:tabs>
          <w:tab w:val="left" w:pos="720"/>
        </w:tabs>
        <w:jc w:val="left"/>
      </w:pPr>
      <w:proofErr w:type="gramStart"/>
      <w:r>
        <w:t>for</w:t>
      </w:r>
      <w:proofErr w:type="gramEnd"/>
      <w:r>
        <w:t xml:space="preserve"> XXXXXXXXXXXXXXXXXXXX, AR20120019910 (PD201200008)</w:t>
      </w:r>
    </w:p>
    <w:p w:rsidR="008C660A" w:rsidRDefault="008C660A" w:rsidP="008C660A">
      <w:pPr>
        <w:pStyle w:val="Header"/>
        <w:tabs>
          <w:tab w:val="left" w:pos="720"/>
        </w:tabs>
        <w:jc w:val="left"/>
      </w:pPr>
    </w:p>
    <w:p w:rsidR="008C660A" w:rsidRDefault="008C660A" w:rsidP="008C660A">
      <w:pPr>
        <w:jc w:val="left"/>
      </w:pPr>
    </w:p>
    <w:p w:rsidR="008C660A" w:rsidRDefault="008C660A" w:rsidP="008C660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8C660A" w:rsidRDefault="008C660A" w:rsidP="008C660A">
      <w:pPr>
        <w:jc w:val="left"/>
      </w:pPr>
    </w:p>
    <w:p w:rsidR="008C660A" w:rsidRDefault="008C660A" w:rsidP="008C660A">
      <w:pPr>
        <w:jc w:val="left"/>
      </w:pPr>
      <w:r>
        <w:t xml:space="preserve">2.  I direct that all the Department of the Army records of the individual concerned be corrected accordingly no later than 120 days from the date of this memorandum.   </w:t>
      </w:r>
    </w:p>
    <w:p w:rsidR="008C660A" w:rsidRDefault="008C660A" w:rsidP="008C660A">
      <w:pPr>
        <w:jc w:val="left"/>
      </w:pPr>
    </w:p>
    <w:p w:rsidR="008C660A" w:rsidRDefault="008C660A" w:rsidP="008C660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C660A" w:rsidRDefault="008C660A" w:rsidP="008C660A">
      <w:pPr>
        <w:jc w:val="left"/>
      </w:pPr>
    </w:p>
    <w:p w:rsidR="008C660A" w:rsidRDefault="008C660A" w:rsidP="008C660A">
      <w:pPr>
        <w:jc w:val="left"/>
      </w:pPr>
      <w:r>
        <w:t xml:space="preserve"> BY ORDER OF THE SECRETARY OF THE ARMY:</w:t>
      </w:r>
    </w:p>
    <w:p w:rsidR="008C660A" w:rsidRDefault="008C660A" w:rsidP="008C660A">
      <w:pPr>
        <w:jc w:val="left"/>
      </w:pPr>
    </w:p>
    <w:p w:rsidR="008C660A" w:rsidRDefault="008C660A" w:rsidP="008C660A">
      <w:pPr>
        <w:jc w:val="left"/>
      </w:pPr>
    </w:p>
    <w:p w:rsidR="008C660A" w:rsidRDefault="008C660A" w:rsidP="008C660A">
      <w:pPr>
        <w:pStyle w:val="Header"/>
        <w:tabs>
          <w:tab w:val="left" w:pos="720"/>
        </w:tabs>
        <w:jc w:val="left"/>
      </w:pPr>
    </w:p>
    <w:p w:rsidR="008C660A" w:rsidRDefault="008C660A" w:rsidP="008C660A">
      <w:pPr>
        <w:jc w:val="left"/>
      </w:pPr>
    </w:p>
    <w:p w:rsidR="008C660A" w:rsidRDefault="008C660A" w:rsidP="008C660A">
      <w:pPr>
        <w:jc w:val="left"/>
      </w:pPr>
      <w:bookmarkStart w:id="1" w:name="OLE_LINK4"/>
      <w:bookmarkStart w:id="2" w:name="OLE_LINK3"/>
      <w:r>
        <w:t>Encl</w:t>
      </w:r>
      <w:r>
        <w:tab/>
      </w:r>
      <w:r>
        <w:tab/>
      </w:r>
      <w:r>
        <w:tab/>
      </w:r>
      <w:r>
        <w:tab/>
      </w:r>
      <w:r>
        <w:tab/>
      </w:r>
      <w:r>
        <w:tab/>
        <w:t xml:space="preserve">     XXXXXXXXXXXXXXXX</w:t>
      </w:r>
    </w:p>
    <w:p w:rsidR="008C660A" w:rsidRDefault="008C660A" w:rsidP="008C660A">
      <w:pPr>
        <w:jc w:val="left"/>
      </w:pPr>
      <w:r>
        <w:tab/>
      </w:r>
      <w:r>
        <w:tab/>
      </w:r>
      <w:r>
        <w:tab/>
      </w:r>
      <w:r>
        <w:tab/>
      </w:r>
      <w:r>
        <w:tab/>
      </w:r>
      <w:r>
        <w:tab/>
        <w:t xml:space="preserve">     Deputy Assistant Secretary</w:t>
      </w:r>
    </w:p>
    <w:p w:rsidR="008C660A" w:rsidRDefault="008C660A" w:rsidP="008C660A">
      <w:pPr>
        <w:jc w:val="left"/>
      </w:pPr>
      <w:r>
        <w:tab/>
      </w:r>
      <w:r>
        <w:tab/>
      </w:r>
      <w:r>
        <w:tab/>
      </w:r>
      <w:r>
        <w:tab/>
      </w:r>
      <w:r>
        <w:tab/>
      </w:r>
      <w:r>
        <w:tab/>
        <w:t xml:space="preserve">         (Army Review Boards)</w:t>
      </w:r>
      <w:bookmarkEnd w:id="1"/>
      <w:bookmarkEnd w:id="2"/>
    </w:p>
    <w:p w:rsidR="008C660A" w:rsidRDefault="008C660A" w:rsidP="008C660A">
      <w:pPr>
        <w:jc w:val="left"/>
      </w:pPr>
    </w:p>
    <w:p w:rsidR="008C660A" w:rsidRDefault="008C660A" w:rsidP="008C660A">
      <w:pPr>
        <w:jc w:val="left"/>
      </w:pPr>
      <w:r>
        <w:t xml:space="preserve">CF: </w:t>
      </w:r>
    </w:p>
    <w:p w:rsidR="008C660A" w:rsidRDefault="008C660A" w:rsidP="008C660A">
      <w:pPr>
        <w:jc w:val="left"/>
      </w:pPr>
      <w:r>
        <w:t xml:space="preserve">(  ) </w:t>
      </w:r>
      <w:proofErr w:type="spellStart"/>
      <w:proofErr w:type="gramStart"/>
      <w:r>
        <w:t>DoD</w:t>
      </w:r>
      <w:proofErr w:type="spellEnd"/>
      <w:proofErr w:type="gramEnd"/>
      <w:r>
        <w:t xml:space="preserve"> PDBR</w:t>
      </w:r>
    </w:p>
    <w:p w:rsidR="008C660A" w:rsidRDefault="008C660A" w:rsidP="008C660A">
      <w:pPr>
        <w:jc w:val="left"/>
      </w:pPr>
      <w:r>
        <w:t>(  ) DVA</w:t>
      </w:r>
    </w:p>
    <w:p w:rsidR="00390EAD" w:rsidRPr="000259FD" w:rsidRDefault="00390EAD" w:rsidP="000259FD">
      <w:pPr>
        <w:tabs>
          <w:tab w:val="left" w:pos="0"/>
          <w:tab w:val="left" w:pos="4320"/>
        </w:tabs>
        <w:jc w:val="both"/>
        <w:rPr>
          <w:rFonts w:eastAsia="Calibri" w:cs="Times New Roman"/>
          <w:color w:val="auto"/>
          <w:szCs w:val="24"/>
        </w:rPr>
      </w:pPr>
    </w:p>
    <w:sectPr w:rsidR="00390EAD" w:rsidRPr="000259FD"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D7" w:rsidRDefault="009D5FD7">
      <w:r>
        <w:separator/>
      </w:r>
    </w:p>
  </w:endnote>
  <w:endnote w:type="continuationSeparator" w:id="0">
    <w:p w:rsidR="009D5FD7" w:rsidRDefault="009D5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FC61A9" w:rsidRPr="00FC61A9">
      <w:fldChar w:fldCharType="begin"/>
    </w:r>
    <w:r w:rsidR="00447A11">
      <w:instrText xml:space="preserve"> PAGE   \* MERGEFORMAT </w:instrText>
    </w:r>
    <w:r w:rsidR="00FC61A9" w:rsidRPr="00FC61A9">
      <w:fldChar w:fldCharType="separate"/>
    </w:r>
    <w:r w:rsidR="008C660A" w:rsidRPr="008C660A">
      <w:rPr>
        <w:noProof/>
        <w:color w:val="auto"/>
      </w:rPr>
      <w:t>5</w:t>
    </w:r>
    <w:r w:rsidR="00FC61A9">
      <w:rPr>
        <w:noProof/>
        <w:color w:val="auto"/>
      </w:rPr>
      <w:fldChar w:fldCharType="end"/>
    </w:r>
    <w:r w:rsidRPr="00374247">
      <w:rPr>
        <w:color w:val="auto"/>
      </w:rPr>
      <w:t xml:space="preserve">                                                           </w:t>
    </w:r>
    <w:r w:rsidRPr="001D64F3">
      <w:rPr>
        <w:color w:val="auto"/>
      </w:rPr>
      <w:t>PD1</w:t>
    </w:r>
    <w:r w:rsidR="00E824DE">
      <w:rPr>
        <w:color w:val="auto"/>
      </w:rPr>
      <w:t>2</w:t>
    </w:r>
    <w:r w:rsidRPr="009369A6">
      <w:rPr>
        <w:color w:val="auto"/>
      </w:rPr>
      <w:t>00</w:t>
    </w:r>
    <w:r w:rsidR="00040AC2">
      <w:rPr>
        <w:color w:val="auto"/>
      </w:rPr>
      <w:t>008</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D7" w:rsidRDefault="009D5FD7">
      <w:r>
        <w:separator/>
      </w:r>
    </w:p>
  </w:footnote>
  <w:footnote w:type="continuationSeparator" w:id="0">
    <w:p w:rsidR="009D5FD7" w:rsidRDefault="009D5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0A64"/>
    <w:rsid w:val="00021361"/>
    <w:rsid w:val="00022CF3"/>
    <w:rsid w:val="00023913"/>
    <w:rsid w:val="00023D43"/>
    <w:rsid w:val="00024002"/>
    <w:rsid w:val="00024DE7"/>
    <w:rsid w:val="000259FD"/>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AC2"/>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1081"/>
    <w:rsid w:val="00081148"/>
    <w:rsid w:val="00082482"/>
    <w:rsid w:val="00082CA0"/>
    <w:rsid w:val="00083F73"/>
    <w:rsid w:val="00084CF2"/>
    <w:rsid w:val="00085D7B"/>
    <w:rsid w:val="0008708B"/>
    <w:rsid w:val="00092619"/>
    <w:rsid w:val="00092C66"/>
    <w:rsid w:val="00092CC9"/>
    <w:rsid w:val="000949DD"/>
    <w:rsid w:val="00094E4F"/>
    <w:rsid w:val="00097B9B"/>
    <w:rsid w:val="000A1E73"/>
    <w:rsid w:val="000A2BCE"/>
    <w:rsid w:val="000A31E2"/>
    <w:rsid w:val="000A33C8"/>
    <w:rsid w:val="000A41E3"/>
    <w:rsid w:val="000A4BBA"/>
    <w:rsid w:val="000A5071"/>
    <w:rsid w:val="000A6548"/>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4EE2"/>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213"/>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97915"/>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800"/>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2397"/>
    <w:rsid w:val="00292998"/>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06F"/>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0EAD"/>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051"/>
    <w:rsid w:val="003C53E8"/>
    <w:rsid w:val="003C5B54"/>
    <w:rsid w:val="003C6068"/>
    <w:rsid w:val="003C717B"/>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0AB7"/>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47A11"/>
    <w:rsid w:val="0045027B"/>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52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D24"/>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4AEE"/>
    <w:rsid w:val="00515419"/>
    <w:rsid w:val="005157BD"/>
    <w:rsid w:val="005214A3"/>
    <w:rsid w:val="005222E7"/>
    <w:rsid w:val="00523488"/>
    <w:rsid w:val="00523A8B"/>
    <w:rsid w:val="00523E04"/>
    <w:rsid w:val="00524D3A"/>
    <w:rsid w:val="00525003"/>
    <w:rsid w:val="0052589C"/>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5BEB"/>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67711"/>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D1D"/>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44"/>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3CA"/>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463E"/>
    <w:rsid w:val="006770AA"/>
    <w:rsid w:val="00680450"/>
    <w:rsid w:val="0068098E"/>
    <w:rsid w:val="006810BD"/>
    <w:rsid w:val="00682486"/>
    <w:rsid w:val="006833A7"/>
    <w:rsid w:val="00684CE6"/>
    <w:rsid w:val="00684E2B"/>
    <w:rsid w:val="006857A0"/>
    <w:rsid w:val="006870CE"/>
    <w:rsid w:val="00687226"/>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313"/>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3C8"/>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76CF1"/>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6C5F"/>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654A"/>
    <w:rsid w:val="00827B29"/>
    <w:rsid w:val="00827DB6"/>
    <w:rsid w:val="008304B2"/>
    <w:rsid w:val="00830999"/>
    <w:rsid w:val="00830D5E"/>
    <w:rsid w:val="00830F69"/>
    <w:rsid w:val="00831940"/>
    <w:rsid w:val="008324D9"/>
    <w:rsid w:val="00833170"/>
    <w:rsid w:val="00833418"/>
    <w:rsid w:val="0083387F"/>
    <w:rsid w:val="00834105"/>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4DD8"/>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660A"/>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A4"/>
    <w:rsid w:val="00907FE6"/>
    <w:rsid w:val="009102BF"/>
    <w:rsid w:val="00911490"/>
    <w:rsid w:val="009115F2"/>
    <w:rsid w:val="00911B11"/>
    <w:rsid w:val="00914554"/>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2FF4"/>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48A4"/>
    <w:rsid w:val="00966FC9"/>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EE"/>
    <w:rsid w:val="009842F3"/>
    <w:rsid w:val="00984EBF"/>
    <w:rsid w:val="00985099"/>
    <w:rsid w:val="00985D32"/>
    <w:rsid w:val="00986514"/>
    <w:rsid w:val="00986FCC"/>
    <w:rsid w:val="0098733B"/>
    <w:rsid w:val="00990FD6"/>
    <w:rsid w:val="009935C3"/>
    <w:rsid w:val="0099421F"/>
    <w:rsid w:val="00994D33"/>
    <w:rsid w:val="00994F19"/>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5FD7"/>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0ED6"/>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5F99"/>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38D"/>
    <w:rsid w:val="00AD5771"/>
    <w:rsid w:val="00AD672F"/>
    <w:rsid w:val="00AD6870"/>
    <w:rsid w:val="00AD68C5"/>
    <w:rsid w:val="00AD6CA3"/>
    <w:rsid w:val="00AD7F8F"/>
    <w:rsid w:val="00AE0BF9"/>
    <w:rsid w:val="00AE1273"/>
    <w:rsid w:val="00AE18C5"/>
    <w:rsid w:val="00AE20EF"/>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27BB"/>
    <w:rsid w:val="00B43BA2"/>
    <w:rsid w:val="00B449EE"/>
    <w:rsid w:val="00B454AE"/>
    <w:rsid w:val="00B47B1B"/>
    <w:rsid w:val="00B501F5"/>
    <w:rsid w:val="00B50227"/>
    <w:rsid w:val="00B50510"/>
    <w:rsid w:val="00B505E9"/>
    <w:rsid w:val="00B5175D"/>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0FB"/>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4E8B"/>
    <w:rsid w:val="00BC5860"/>
    <w:rsid w:val="00BC7F82"/>
    <w:rsid w:val="00BD1844"/>
    <w:rsid w:val="00BD2A49"/>
    <w:rsid w:val="00BD3683"/>
    <w:rsid w:val="00BD3DC5"/>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574BC"/>
    <w:rsid w:val="00C60F23"/>
    <w:rsid w:val="00C6170B"/>
    <w:rsid w:val="00C62EB2"/>
    <w:rsid w:val="00C63431"/>
    <w:rsid w:val="00C64C87"/>
    <w:rsid w:val="00C65414"/>
    <w:rsid w:val="00C665FE"/>
    <w:rsid w:val="00C71BEC"/>
    <w:rsid w:val="00C72281"/>
    <w:rsid w:val="00C73942"/>
    <w:rsid w:val="00C73A83"/>
    <w:rsid w:val="00C74D3A"/>
    <w:rsid w:val="00C75F3D"/>
    <w:rsid w:val="00C80511"/>
    <w:rsid w:val="00C80655"/>
    <w:rsid w:val="00C81937"/>
    <w:rsid w:val="00C81C1D"/>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2F3"/>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56666"/>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4B07"/>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ACF"/>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3B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2F20"/>
    <w:rsid w:val="00E0346A"/>
    <w:rsid w:val="00E041E4"/>
    <w:rsid w:val="00E04AEE"/>
    <w:rsid w:val="00E06BBD"/>
    <w:rsid w:val="00E100E3"/>
    <w:rsid w:val="00E1012B"/>
    <w:rsid w:val="00E103C8"/>
    <w:rsid w:val="00E1085B"/>
    <w:rsid w:val="00E10FA5"/>
    <w:rsid w:val="00E1308B"/>
    <w:rsid w:val="00E13F0C"/>
    <w:rsid w:val="00E14581"/>
    <w:rsid w:val="00E14623"/>
    <w:rsid w:val="00E15539"/>
    <w:rsid w:val="00E16541"/>
    <w:rsid w:val="00E17EC9"/>
    <w:rsid w:val="00E202F4"/>
    <w:rsid w:val="00E207C3"/>
    <w:rsid w:val="00E21386"/>
    <w:rsid w:val="00E2421B"/>
    <w:rsid w:val="00E242AF"/>
    <w:rsid w:val="00E24849"/>
    <w:rsid w:val="00E2536E"/>
    <w:rsid w:val="00E25A29"/>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C21"/>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5BB"/>
    <w:rsid w:val="00E809C3"/>
    <w:rsid w:val="00E814D4"/>
    <w:rsid w:val="00E814DB"/>
    <w:rsid w:val="00E81A1A"/>
    <w:rsid w:val="00E81C3E"/>
    <w:rsid w:val="00E81E62"/>
    <w:rsid w:val="00E82359"/>
    <w:rsid w:val="00E824DE"/>
    <w:rsid w:val="00E82B6D"/>
    <w:rsid w:val="00E83187"/>
    <w:rsid w:val="00E831E9"/>
    <w:rsid w:val="00E84DDA"/>
    <w:rsid w:val="00E84DF2"/>
    <w:rsid w:val="00E8572D"/>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A6F78"/>
    <w:rsid w:val="00EB04C6"/>
    <w:rsid w:val="00EB05B6"/>
    <w:rsid w:val="00EB06A6"/>
    <w:rsid w:val="00EB192F"/>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25F"/>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5FD"/>
    <w:rsid w:val="00F908D5"/>
    <w:rsid w:val="00F912A0"/>
    <w:rsid w:val="00F913B9"/>
    <w:rsid w:val="00F93C74"/>
    <w:rsid w:val="00F93DCC"/>
    <w:rsid w:val="00F9435D"/>
    <w:rsid w:val="00F966F9"/>
    <w:rsid w:val="00F96F61"/>
    <w:rsid w:val="00F97740"/>
    <w:rsid w:val="00FA0C8F"/>
    <w:rsid w:val="00FA1592"/>
    <w:rsid w:val="00FA17E8"/>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CEC"/>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1A9"/>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64FD"/>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43440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4C96-DA13-4124-8C88-AC50FA7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2012-10-23T13:25:00Z</cp:lastPrinted>
  <dcterms:created xsi:type="dcterms:W3CDTF">2012-11-21T16:06:00Z</dcterms:created>
  <dcterms:modified xsi:type="dcterms:W3CDTF">2012-11-21T16:06:00Z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