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B32E30">
        <w:rPr>
          <w:caps/>
          <w:color w:val="000000" w:themeColor="text1"/>
        </w:rPr>
        <w:t>XXXXXXXXXXXXXXXXXX</w:t>
      </w:r>
      <w:r w:rsidR="009F5E3D" w:rsidRPr="005B4A8C">
        <w:rPr>
          <w:caps/>
          <w:color w:val="000000" w:themeColor="text1"/>
        </w:rPr>
        <w:t xml:space="preserve">           </w:t>
      </w:r>
      <w:r w:rsidR="008B2347">
        <w:rPr>
          <w:caps/>
          <w:color w:val="auto"/>
        </w:rPr>
        <w:t xml:space="preserve">                                                   </w:t>
      </w:r>
      <w:r w:rsidRPr="00F64312">
        <w:rPr>
          <w:caps/>
          <w:color w:val="auto"/>
        </w:rPr>
        <w:t>BRANCH OF SERVICE</w:t>
      </w:r>
      <w:r w:rsidRPr="009F5E3D">
        <w:rPr>
          <w:caps/>
          <w:color w:val="auto"/>
        </w:rPr>
        <w:t xml:space="preserve">:  </w:t>
      </w:r>
      <w:r w:rsidR="0018208F" w:rsidRPr="009F5E3D">
        <w:rPr>
          <w:caps/>
          <w:color w:val="auto"/>
        </w:rPr>
        <w:t xml:space="preserve"> </w:t>
      </w:r>
      <w:r w:rsidR="00DF70F4" w:rsidRPr="009F5E3D">
        <w:rPr>
          <w:caps/>
          <w:color w:val="auto"/>
        </w:rPr>
        <w:t xml:space="preserve">Army </w:t>
      </w:r>
    </w:p>
    <w:p w:rsidR="0095270D" w:rsidRPr="00F64312" w:rsidRDefault="0095270D" w:rsidP="00DD5558">
      <w:pPr>
        <w:tabs>
          <w:tab w:val="right" w:pos="9360"/>
        </w:tabs>
        <w:jc w:val="both"/>
        <w:rPr>
          <w:color w:val="auto"/>
        </w:rPr>
      </w:pPr>
      <w:r w:rsidRPr="00F64312">
        <w:rPr>
          <w:caps/>
          <w:color w:val="auto"/>
        </w:rPr>
        <w:t xml:space="preserve">CASE NUMBER:  </w:t>
      </w:r>
      <w:r w:rsidR="009F5E3D" w:rsidRPr="005B4A8C">
        <w:rPr>
          <w:caps/>
          <w:color w:val="000000" w:themeColor="text1"/>
        </w:rPr>
        <w:t>PD1101096</w:t>
      </w:r>
      <w:r w:rsidR="00DD5558">
        <w:rPr>
          <w:color w:val="auto"/>
        </w:rPr>
        <w:tab/>
      </w:r>
      <w:r w:rsidR="0018208F" w:rsidRPr="00F64312">
        <w:rPr>
          <w:color w:val="auto"/>
        </w:rPr>
        <w:t>SE</w:t>
      </w:r>
      <w:r w:rsidRPr="00F64312">
        <w:rPr>
          <w:color w:val="auto"/>
        </w:rPr>
        <w:t xml:space="preserve">PARATION DATE:  </w:t>
      </w:r>
      <w:r w:rsidR="009F5E3D" w:rsidRPr="005B4A8C">
        <w:rPr>
          <w:color w:val="000000" w:themeColor="text1"/>
        </w:rPr>
        <w:t>20080205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4E1BAB">
        <w:rPr>
          <w:caps/>
          <w:color w:val="auto"/>
        </w:rPr>
        <w:t>0801</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A72557">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3A160C" w:rsidRPr="001F29F9">
        <w:rPr>
          <w:color w:val="000000" w:themeColor="text1"/>
        </w:rPr>
        <w:t xml:space="preserve">Data extracted from the available evidence of record reflects that this covered individual (CI) </w:t>
      </w:r>
      <w:r w:rsidR="003A160C" w:rsidRPr="001F29F9">
        <w:rPr>
          <w:color w:val="000000" w:themeColor="text1"/>
          <w:szCs w:val="24"/>
        </w:rPr>
        <w:t xml:space="preserve">was </w:t>
      </w:r>
      <w:r w:rsidR="003A160C" w:rsidRPr="00F817FE">
        <w:rPr>
          <w:color w:val="000000" w:themeColor="text1"/>
          <w:szCs w:val="24"/>
        </w:rPr>
        <w:t>an active duty</w:t>
      </w:r>
      <w:r w:rsidR="003A160C" w:rsidRPr="001F29F9">
        <w:rPr>
          <w:color w:val="000000" w:themeColor="text1"/>
          <w:szCs w:val="24"/>
        </w:rPr>
        <w:t xml:space="preserve"> SGT/E-5 (</w:t>
      </w:r>
      <w:r w:rsidR="008B2347">
        <w:rPr>
          <w:color w:val="000000" w:themeColor="text1"/>
          <w:szCs w:val="24"/>
        </w:rPr>
        <w:t>15S2 OH-58D/</w:t>
      </w:r>
      <w:r w:rsidR="003A160C">
        <w:rPr>
          <w:color w:val="000000" w:themeColor="text1"/>
          <w:szCs w:val="24"/>
        </w:rPr>
        <w:t>Helicopter Rep</w:t>
      </w:r>
      <w:r w:rsidR="003A160C" w:rsidRPr="001F29F9">
        <w:rPr>
          <w:color w:val="000000" w:themeColor="text1"/>
          <w:szCs w:val="24"/>
        </w:rPr>
        <w:t xml:space="preserve">), medically separated for </w:t>
      </w:r>
      <w:r w:rsidR="008B2347">
        <w:rPr>
          <w:color w:val="000000" w:themeColor="text1"/>
          <w:szCs w:val="24"/>
        </w:rPr>
        <w:t>c</w:t>
      </w:r>
      <w:r w:rsidR="003A160C">
        <w:rPr>
          <w:color w:val="000000" w:themeColor="text1"/>
          <w:szCs w:val="24"/>
        </w:rPr>
        <w:t xml:space="preserve">hronic </w:t>
      </w:r>
      <w:r w:rsidR="008B2347">
        <w:rPr>
          <w:color w:val="000000" w:themeColor="text1"/>
          <w:szCs w:val="24"/>
        </w:rPr>
        <w:t>l</w:t>
      </w:r>
      <w:r w:rsidR="003A160C">
        <w:rPr>
          <w:color w:val="000000" w:themeColor="text1"/>
          <w:szCs w:val="24"/>
        </w:rPr>
        <w:t xml:space="preserve">eft </w:t>
      </w:r>
      <w:r w:rsidR="008B2347">
        <w:rPr>
          <w:color w:val="000000" w:themeColor="text1"/>
          <w:szCs w:val="24"/>
        </w:rPr>
        <w:t>A</w:t>
      </w:r>
      <w:r w:rsidR="003A160C">
        <w:rPr>
          <w:color w:val="000000" w:themeColor="text1"/>
          <w:szCs w:val="24"/>
        </w:rPr>
        <w:t xml:space="preserve">chilles </w:t>
      </w:r>
      <w:r w:rsidR="008B2347">
        <w:rPr>
          <w:color w:val="000000" w:themeColor="text1"/>
          <w:szCs w:val="24"/>
        </w:rPr>
        <w:t>t</w:t>
      </w:r>
      <w:r w:rsidR="003A160C">
        <w:rPr>
          <w:color w:val="000000" w:themeColor="text1"/>
          <w:szCs w:val="24"/>
        </w:rPr>
        <w:t>endonitis</w:t>
      </w:r>
      <w:r w:rsidR="003A160C" w:rsidRPr="001F29F9">
        <w:rPr>
          <w:i/>
          <w:color w:val="000000" w:themeColor="text1"/>
          <w:szCs w:val="24"/>
        </w:rPr>
        <w:t>.</w:t>
      </w:r>
      <w:r w:rsidR="00594EAA">
        <w:rPr>
          <w:i/>
          <w:color w:val="000000" w:themeColor="text1"/>
          <w:szCs w:val="24"/>
        </w:rPr>
        <w:t xml:space="preserve"> </w:t>
      </w:r>
      <w:r w:rsidR="00594EAA">
        <w:rPr>
          <w:color w:val="000000" w:themeColor="text1"/>
          <w:szCs w:val="24"/>
        </w:rPr>
        <w:t xml:space="preserve"> The CI had significant left posterior heel pain that persisted despite months of conservative therapy.  The chronic left Achilles tendonitis condition did not improve with treatment, surgery was not indicated, and the CI was not able to </w:t>
      </w:r>
      <w:r w:rsidR="00F566B7" w:rsidRPr="00F64312">
        <w:rPr>
          <w:color w:val="auto"/>
        </w:rPr>
        <w:t xml:space="preserve">meet the physical requirements </w:t>
      </w:r>
      <w:r w:rsidR="00F566B7" w:rsidRPr="003A160C">
        <w:rPr>
          <w:color w:val="auto"/>
        </w:rPr>
        <w:t>of his Military Occupational Specialty (MOS)</w:t>
      </w:r>
      <w:r w:rsidR="0021565F" w:rsidRPr="003A160C">
        <w:rPr>
          <w:color w:val="auto"/>
        </w:rPr>
        <w:t xml:space="preserve"> </w:t>
      </w:r>
      <w:r w:rsidR="00F566B7" w:rsidRPr="003A160C">
        <w:rPr>
          <w:color w:val="auto"/>
        </w:rPr>
        <w:t>or satis</w:t>
      </w:r>
      <w:r w:rsidR="009C12A1" w:rsidRPr="003A160C">
        <w:rPr>
          <w:color w:val="auto"/>
        </w:rPr>
        <w:t>fy physical fitness standards.</w:t>
      </w:r>
      <w:r w:rsidR="00F566B7" w:rsidRPr="003A160C">
        <w:rPr>
          <w:color w:val="auto"/>
        </w:rPr>
        <w:t xml:space="preserve"> </w:t>
      </w:r>
      <w:r w:rsidR="009C12A1" w:rsidRPr="003A160C">
        <w:rPr>
          <w:color w:val="auto"/>
        </w:rPr>
        <w:t xml:space="preserve"> He </w:t>
      </w:r>
      <w:r w:rsidR="00F566B7" w:rsidRPr="003A160C">
        <w:rPr>
          <w:color w:val="auto"/>
        </w:rPr>
        <w:t>was issued a permanent L3 profile and</w:t>
      </w:r>
      <w:r w:rsidR="009C12A1" w:rsidRPr="003A160C">
        <w:rPr>
          <w:color w:val="auto"/>
        </w:rPr>
        <w:t xml:space="preserve"> </w:t>
      </w:r>
      <w:r w:rsidR="00F566B7" w:rsidRPr="003A160C">
        <w:rPr>
          <w:color w:val="auto"/>
        </w:rPr>
        <w:t>referred for a Medical Evaluation Board (MEB).</w:t>
      </w:r>
      <w:r w:rsidR="00594EAA">
        <w:rPr>
          <w:color w:val="auto"/>
        </w:rPr>
        <w:t xml:space="preserve">  </w:t>
      </w:r>
      <w:r w:rsidR="007E3633" w:rsidRPr="007E3633">
        <w:rPr>
          <w:color w:val="000000" w:themeColor="text1"/>
          <w:szCs w:val="24"/>
        </w:rPr>
        <w:t>N</w:t>
      </w:r>
      <w:r w:rsidR="00387E9C">
        <w:rPr>
          <w:color w:val="000000" w:themeColor="text1"/>
          <w:szCs w:val="24"/>
        </w:rPr>
        <w:t xml:space="preserve">on-radicular </w:t>
      </w:r>
      <w:r w:rsidR="007E3633" w:rsidRPr="007E3633">
        <w:rPr>
          <w:color w:val="000000" w:themeColor="text1"/>
          <w:szCs w:val="24"/>
        </w:rPr>
        <w:t>lumbar back pain, chronic knee pain, and left shoulder discomfort</w:t>
      </w:r>
      <w:r w:rsidR="007E3633" w:rsidRPr="007E3633">
        <w:rPr>
          <w:color w:val="auto"/>
        </w:rPr>
        <w:t xml:space="preserve"> </w:t>
      </w:r>
      <w:r w:rsidR="00D81C71">
        <w:rPr>
          <w:color w:val="auto"/>
        </w:rPr>
        <w:t>conditions</w:t>
      </w:r>
      <w:r w:rsidR="00071F0D" w:rsidRPr="007E3633">
        <w:rPr>
          <w:color w:val="auto"/>
        </w:rPr>
        <w:t>, identified in the rating chart below, were also identified and forwarded by the MEB</w:t>
      </w:r>
      <w:r w:rsidR="00594EAA">
        <w:rPr>
          <w:color w:val="auto"/>
        </w:rPr>
        <w:t xml:space="preserve">.  </w:t>
      </w:r>
      <w:r w:rsidR="009B19B8">
        <w:rPr>
          <w:color w:val="auto"/>
        </w:rPr>
        <w:t xml:space="preserve">An initial Physical Evaluation Board </w:t>
      </w:r>
      <w:r w:rsidR="008B2347">
        <w:rPr>
          <w:color w:val="auto"/>
        </w:rPr>
        <w:t>(PEB</w:t>
      </w:r>
      <w:proofErr w:type="gramStart"/>
      <w:r w:rsidR="008B2347">
        <w:rPr>
          <w:color w:val="auto"/>
        </w:rPr>
        <w:t>),</w:t>
      </w:r>
      <w:proofErr w:type="gramEnd"/>
      <w:r w:rsidR="009B19B8">
        <w:rPr>
          <w:color w:val="auto"/>
        </w:rPr>
        <w:t xml:space="preserve"> adjudicated the chronic left Achilles tendonitis as unfitting and rated it as 5099-5003 at 0% disability with application of the </w:t>
      </w:r>
      <w:r w:rsidR="009B19B8" w:rsidRPr="009B19B8">
        <w:rPr>
          <w:color w:val="auto"/>
        </w:rPr>
        <w:t xml:space="preserve">US Army Physical Disability Agency (USAPDA) pain policy.  </w:t>
      </w:r>
      <w:r w:rsidR="009B19B8" w:rsidRPr="007E3633">
        <w:rPr>
          <w:color w:val="auto"/>
        </w:rPr>
        <w:t>The remaining condition(s) were determined to be not unfitting.</w:t>
      </w:r>
      <w:r w:rsidR="009B19B8">
        <w:rPr>
          <w:color w:val="auto"/>
        </w:rPr>
        <w:t xml:space="preserve"> </w:t>
      </w:r>
      <w:r w:rsidR="00594EAA">
        <w:rPr>
          <w:color w:val="auto"/>
        </w:rPr>
        <w:t xml:space="preserve"> </w:t>
      </w:r>
      <w:r w:rsidR="009B19B8">
        <w:rPr>
          <w:color w:val="auto"/>
        </w:rPr>
        <w:t xml:space="preserve">The DA </w:t>
      </w:r>
      <w:r w:rsidR="008B2347">
        <w:rPr>
          <w:color w:val="auto"/>
        </w:rPr>
        <w:t xml:space="preserve">Form </w:t>
      </w:r>
      <w:r w:rsidR="009B19B8">
        <w:rPr>
          <w:color w:val="auto"/>
        </w:rPr>
        <w:t xml:space="preserve">199 was revised on </w:t>
      </w:r>
      <w:r w:rsidR="008B2347">
        <w:rPr>
          <w:color w:val="auto"/>
        </w:rPr>
        <w:t xml:space="preserve">11 December </w:t>
      </w:r>
      <w:r w:rsidR="009B19B8">
        <w:rPr>
          <w:color w:val="auto"/>
        </w:rPr>
        <w:t xml:space="preserve">2007 but the rating was not changed. </w:t>
      </w:r>
      <w:r w:rsidR="00594EAA">
        <w:rPr>
          <w:color w:val="auto"/>
        </w:rPr>
        <w:t xml:space="preserve"> </w:t>
      </w:r>
      <w:r w:rsidR="009B19B8" w:rsidRPr="00AA7BF6">
        <w:rPr>
          <w:color w:val="auto"/>
        </w:rPr>
        <w:t>The CI made no appeals, and was medically separated with a 0% disability rating.</w:t>
      </w:r>
      <w:r w:rsidR="009B19B8">
        <w:rPr>
          <w:color w:val="auto"/>
        </w:rPr>
        <w:t xml:space="preserve"> </w:t>
      </w:r>
      <w:r w:rsidR="00594EAA">
        <w:rPr>
          <w:color w:val="auto"/>
        </w:rPr>
        <w:t xml:space="preserve"> </w:t>
      </w:r>
      <w:r w:rsidR="009B19B8">
        <w:rPr>
          <w:color w:val="auto"/>
        </w:rPr>
        <w:t xml:space="preserve">The DA </w:t>
      </w:r>
      <w:r w:rsidR="008B2347">
        <w:rPr>
          <w:color w:val="auto"/>
        </w:rPr>
        <w:t xml:space="preserve">Form </w:t>
      </w:r>
      <w:r w:rsidR="009B19B8">
        <w:rPr>
          <w:color w:val="auto"/>
        </w:rPr>
        <w:t xml:space="preserve">199 was revised a second time on </w:t>
      </w:r>
      <w:r w:rsidR="008B2347">
        <w:rPr>
          <w:color w:val="auto"/>
        </w:rPr>
        <w:t xml:space="preserve">17 March </w:t>
      </w:r>
      <w:r w:rsidR="009B19B8">
        <w:rPr>
          <w:color w:val="auto"/>
        </w:rPr>
        <w:t>2009</w:t>
      </w:r>
      <w:r w:rsidR="008B2347">
        <w:rPr>
          <w:color w:val="auto"/>
        </w:rPr>
        <w:t xml:space="preserve"> </w:t>
      </w:r>
      <w:r w:rsidR="009B19B8">
        <w:rPr>
          <w:color w:val="auto"/>
        </w:rPr>
        <w:t xml:space="preserve">when the code was changed to 5099-5024 and the rating was increased to 10%. This revision applied the </w:t>
      </w:r>
      <w:r w:rsidRPr="007E3633">
        <w:rPr>
          <w:color w:val="auto"/>
        </w:rPr>
        <w:t>Veteran</w:t>
      </w:r>
      <w:r w:rsidR="00BF72CA" w:rsidRPr="007E3633">
        <w:rPr>
          <w:color w:val="auto"/>
        </w:rPr>
        <w:t>’</w:t>
      </w:r>
      <w:r w:rsidRPr="007E3633">
        <w:rPr>
          <w:color w:val="auto"/>
        </w:rPr>
        <w:t>s A</w:t>
      </w:r>
      <w:r w:rsidR="00BF72CA" w:rsidRPr="007E3633">
        <w:rPr>
          <w:color w:val="auto"/>
        </w:rPr>
        <w:t>ffairs</w:t>
      </w:r>
      <w:r w:rsidRPr="007E3633">
        <w:rPr>
          <w:color w:val="auto"/>
        </w:rPr>
        <w:t xml:space="preserve"> Schedule for Rating Disabilities (VASRD)</w:t>
      </w:r>
      <w:r w:rsidR="009B19B8">
        <w:rPr>
          <w:color w:val="auto"/>
        </w:rPr>
        <w:t xml:space="preserve"> and included consideration of VASRD </w:t>
      </w:r>
      <w:r w:rsidR="009B19B8" w:rsidRPr="00F64312">
        <w:rPr>
          <w:rFonts w:eastAsia="Calibri" w:cs="Times New Roman"/>
          <w:color w:val="auto"/>
          <w:szCs w:val="24"/>
        </w:rPr>
        <w:t>§4</w:t>
      </w:r>
      <w:r w:rsidR="00BF72CA" w:rsidRPr="007E3633">
        <w:rPr>
          <w:color w:val="auto"/>
        </w:rPr>
        <w:t>.</w:t>
      </w:r>
      <w:r w:rsidR="009B19B8">
        <w:rPr>
          <w:color w:val="auto"/>
        </w:rPr>
        <w:t xml:space="preserve">10 Functional impairment, </w:t>
      </w:r>
      <w:r w:rsidR="009B19B8" w:rsidRPr="00F64312">
        <w:rPr>
          <w:rFonts w:eastAsia="Calibri" w:cs="Times New Roman"/>
          <w:color w:val="auto"/>
          <w:szCs w:val="24"/>
        </w:rPr>
        <w:t>§4</w:t>
      </w:r>
      <w:r w:rsidR="009B19B8">
        <w:rPr>
          <w:rFonts w:eastAsia="Calibri" w:cs="Times New Roman"/>
          <w:color w:val="auto"/>
          <w:szCs w:val="24"/>
        </w:rPr>
        <w:t xml:space="preserve">.40 Functional loss, and </w:t>
      </w:r>
      <w:r w:rsidR="009B19B8" w:rsidRPr="00F64312">
        <w:rPr>
          <w:rFonts w:eastAsia="Calibri" w:cs="Times New Roman"/>
          <w:color w:val="auto"/>
          <w:szCs w:val="24"/>
        </w:rPr>
        <w:t>§4</w:t>
      </w:r>
      <w:r w:rsidR="009B19B8">
        <w:rPr>
          <w:rFonts w:eastAsia="Calibri" w:cs="Times New Roman"/>
          <w:color w:val="auto"/>
          <w:szCs w:val="24"/>
        </w:rPr>
        <w:t>.45 The joints.</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A7BF6">
        <w:rPr>
          <w:color w:val="000000" w:themeColor="text1"/>
        </w:rPr>
        <w:t>“I was afforded sev. and received more from the DVA.”</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C23900">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C35EE">
        <w:rPr>
          <w:color w:val="auto"/>
        </w:rPr>
        <w:t>.</w:t>
      </w:r>
      <w:r w:rsidRPr="00C566C9">
        <w:rPr>
          <w:color w:val="auto"/>
        </w:rPr>
        <w:t>”</w:t>
      </w:r>
      <w:r>
        <w:rPr>
          <w:color w:val="auto"/>
        </w:rPr>
        <w:t xml:space="preserve">  </w:t>
      </w:r>
      <w:r w:rsidR="008B2347">
        <w:rPr>
          <w:color w:val="auto"/>
        </w:rPr>
        <w:t xml:space="preserve">The </w:t>
      </w:r>
      <w:r w:rsidRPr="009239C0">
        <w:rPr>
          <w:color w:val="auto"/>
        </w:rPr>
        <w:t xml:space="preserve">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w:t>
      </w:r>
      <w:r w:rsidRPr="00AA7BF6">
        <w:rPr>
          <w:color w:val="auto"/>
        </w:rPr>
        <w:t>eligible for future 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E70B4E" w:rsidRDefault="00E70B4E" w:rsidP="003133F1">
      <w:pPr>
        <w:jc w:val="left"/>
        <w:rPr>
          <w:color w:val="000000" w:themeColor="text1"/>
          <w:u w:val="single"/>
        </w:rPr>
      </w:pPr>
    </w:p>
    <w:p w:rsidR="002D5E86" w:rsidRDefault="002D5E86">
      <w:pPr>
        <w:spacing w:line="240" w:lineRule="auto"/>
        <w:jc w:val="left"/>
        <w:rPr>
          <w:color w:val="000000" w:themeColor="text1"/>
          <w:u w:val="single"/>
        </w:rPr>
      </w:pPr>
      <w:r>
        <w:rPr>
          <w:color w:val="000000" w:themeColor="text1"/>
          <w:u w:val="single"/>
        </w:rPr>
        <w:br w:type="page"/>
      </w:r>
    </w:p>
    <w:p w:rsidR="003133F1" w:rsidRPr="001F29F9" w:rsidRDefault="003133F1" w:rsidP="003133F1">
      <w:pPr>
        <w:jc w:val="left"/>
        <w:rPr>
          <w:color w:val="000000" w:themeColor="text1"/>
        </w:rPr>
      </w:pPr>
      <w:r w:rsidRPr="001F29F9">
        <w:rPr>
          <w:color w:val="000000" w:themeColor="text1"/>
          <w:u w:val="single"/>
        </w:rPr>
        <w:lastRenderedPageBreak/>
        <w:t>RATING COMPARISON</w:t>
      </w:r>
      <w:r w:rsidRPr="001F29F9">
        <w:rPr>
          <w:color w:val="000000" w:themeColor="text1"/>
        </w:rPr>
        <w:t>:</w:t>
      </w:r>
    </w:p>
    <w:p w:rsidR="003133F1" w:rsidRPr="001F29F9" w:rsidRDefault="003133F1" w:rsidP="003133F1">
      <w:pPr>
        <w:jc w:val="left"/>
        <w:rPr>
          <w:color w:val="000000" w:themeColor="text1"/>
          <w:szCs w:val="28"/>
          <w:highlight w:val="magenta"/>
        </w:rPr>
      </w:pPr>
    </w:p>
    <w:tbl>
      <w:tblPr>
        <w:tblStyle w:val="TableGrid"/>
        <w:tblpPr w:leftFromText="187" w:rightFromText="187" w:vertAnchor="text" w:tblpXSpec="center" w:tblpY="1"/>
        <w:tblOverlap w:val="never"/>
        <w:tblW w:w="9378" w:type="dxa"/>
        <w:jc w:val="center"/>
        <w:tblLayout w:type="fixed"/>
        <w:tblLook w:val="04A0"/>
      </w:tblPr>
      <w:tblGrid>
        <w:gridCol w:w="2538"/>
        <w:gridCol w:w="1080"/>
        <w:gridCol w:w="810"/>
        <w:gridCol w:w="2070"/>
        <w:gridCol w:w="90"/>
        <w:gridCol w:w="1080"/>
        <w:gridCol w:w="720"/>
        <w:gridCol w:w="990"/>
      </w:tblGrid>
      <w:tr w:rsidR="003133F1" w:rsidRPr="001F29F9" w:rsidTr="00412B25">
        <w:trPr>
          <w:trHeight w:val="233"/>
          <w:jc w:val="center"/>
        </w:trPr>
        <w:tc>
          <w:tcPr>
            <w:tcW w:w="4428" w:type="dxa"/>
            <w:gridSpan w:val="3"/>
            <w:tcBorders>
              <w:right w:val="thinThickThinSmallGap" w:sz="24" w:space="0" w:color="auto"/>
            </w:tcBorders>
            <w:shd w:val="clear" w:color="auto" w:fill="D9D9D9" w:themeFill="background1" w:themeFillShade="D9"/>
            <w:vAlign w:val="center"/>
          </w:tcPr>
          <w:p w:rsidR="003133F1" w:rsidRPr="001F29F9" w:rsidRDefault="000E51EF" w:rsidP="00412B25">
            <w:pPr>
              <w:spacing w:line="200" w:lineRule="exact"/>
              <w:contextualSpacing/>
              <w:rPr>
                <w:rFonts w:cs="Calibri"/>
                <w:b/>
                <w:color w:val="000000" w:themeColor="text1"/>
                <w:sz w:val="18"/>
                <w:szCs w:val="18"/>
              </w:rPr>
            </w:pPr>
            <w:r>
              <w:rPr>
                <w:rFonts w:cs="Calibri"/>
                <w:b/>
                <w:color w:val="000000" w:themeColor="text1"/>
                <w:sz w:val="18"/>
                <w:szCs w:val="18"/>
              </w:rPr>
              <w:t xml:space="preserve">Revised </w:t>
            </w:r>
            <w:r w:rsidR="003133F1" w:rsidRPr="001F29F9">
              <w:rPr>
                <w:rFonts w:cs="Calibri"/>
                <w:b/>
                <w:color w:val="000000" w:themeColor="text1"/>
                <w:sz w:val="18"/>
                <w:szCs w:val="18"/>
              </w:rPr>
              <w:t>Service PEB – Dated 200</w:t>
            </w:r>
            <w:r w:rsidR="003133F1">
              <w:rPr>
                <w:rFonts w:cs="Calibri"/>
                <w:b/>
                <w:color w:val="000000" w:themeColor="text1"/>
                <w:sz w:val="18"/>
                <w:szCs w:val="18"/>
              </w:rPr>
              <w:t>90317</w:t>
            </w:r>
          </w:p>
        </w:tc>
        <w:tc>
          <w:tcPr>
            <w:tcW w:w="4950" w:type="dxa"/>
            <w:gridSpan w:val="5"/>
            <w:tcBorders>
              <w:left w:val="thinThickThinSmallGap" w:sz="24" w:space="0" w:color="auto"/>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 xml:space="preserve">VA </w:t>
            </w:r>
            <w:r>
              <w:rPr>
                <w:rFonts w:cs="Calibri"/>
                <w:b/>
                <w:color w:val="000000" w:themeColor="text1"/>
                <w:sz w:val="18"/>
                <w:szCs w:val="18"/>
              </w:rPr>
              <w:t>(4</w:t>
            </w:r>
            <w:r w:rsidRPr="001F29F9">
              <w:rPr>
                <w:rFonts w:cs="Calibri"/>
                <w:b/>
                <w:color w:val="000000" w:themeColor="text1"/>
                <w:sz w:val="18"/>
                <w:szCs w:val="18"/>
              </w:rPr>
              <w:t xml:space="preserve"> Mo. </w:t>
            </w:r>
            <w:r w:rsidRPr="004B5479">
              <w:rPr>
                <w:rFonts w:cs="Calibri"/>
                <w:b/>
                <w:color w:val="000000" w:themeColor="text1"/>
                <w:sz w:val="18"/>
                <w:szCs w:val="18"/>
              </w:rPr>
              <w:t>After</w:t>
            </w:r>
            <w:r w:rsidRPr="001F29F9">
              <w:rPr>
                <w:rFonts w:cs="Calibri"/>
                <w:b/>
                <w:color w:val="000000" w:themeColor="text1"/>
                <w:sz w:val="18"/>
                <w:szCs w:val="18"/>
              </w:rPr>
              <w:t xml:space="preserve"> Separation) – All Effective Date 200</w:t>
            </w:r>
            <w:r>
              <w:rPr>
                <w:rFonts w:cs="Calibri"/>
                <w:b/>
                <w:color w:val="000000" w:themeColor="text1"/>
                <w:sz w:val="18"/>
                <w:szCs w:val="18"/>
              </w:rPr>
              <w:t>80206</w:t>
            </w:r>
          </w:p>
        </w:tc>
      </w:tr>
      <w:tr w:rsidR="00BC35EE" w:rsidRPr="001F29F9" w:rsidTr="00412B25">
        <w:trPr>
          <w:trHeight w:val="278"/>
          <w:jc w:val="center"/>
        </w:trPr>
        <w:tc>
          <w:tcPr>
            <w:tcW w:w="2538" w:type="dxa"/>
            <w:tcBorders>
              <w:bottom w:val="single" w:sz="4" w:space="0" w:color="000000" w:themeColor="text1"/>
              <w:right w:val="single" w:sz="4" w:space="0" w:color="auto"/>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Rating</w:t>
            </w:r>
          </w:p>
        </w:tc>
        <w:tc>
          <w:tcPr>
            <w:tcW w:w="2160" w:type="dxa"/>
            <w:gridSpan w:val="2"/>
            <w:tcBorders>
              <w:left w:val="thinThickThinSmallGap" w:sz="24" w:space="0" w:color="auto"/>
              <w:bottom w:val="single" w:sz="4" w:space="0" w:color="000000" w:themeColor="text1"/>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Exam</w:t>
            </w:r>
          </w:p>
        </w:tc>
      </w:tr>
      <w:tr w:rsidR="00BC35EE" w:rsidRPr="001F29F9" w:rsidTr="00412B25">
        <w:trPr>
          <w:trHeight w:val="287"/>
          <w:jc w:val="center"/>
        </w:trPr>
        <w:tc>
          <w:tcPr>
            <w:tcW w:w="2538" w:type="dxa"/>
            <w:tcBorders>
              <w:bottom w:val="nil"/>
              <w:right w:val="single" w:sz="4" w:space="0" w:color="auto"/>
            </w:tcBorders>
            <w:shd w:val="clear" w:color="auto" w:fill="FFFFFF" w:themeFill="background1"/>
            <w:vAlign w:val="center"/>
          </w:tcPr>
          <w:p w:rsidR="003133F1" w:rsidRPr="001F29F9" w:rsidRDefault="002D5E86" w:rsidP="00412B25">
            <w:pPr>
              <w:spacing w:line="200" w:lineRule="exact"/>
              <w:contextualSpacing/>
              <w:jc w:val="left"/>
              <w:rPr>
                <w:rFonts w:cs="Calibri"/>
                <w:color w:val="000000" w:themeColor="text1"/>
                <w:sz w:val="18"/>
                <w:szCs w:val="18"/>
              </w:rPr>
            </w:pPr>
            <w:r>
              <w:rPr>
                <w:rFonts w:cs="Calibri"/>
                <w:color w:val="000000" w:themeColor="text1"/>
                <w:sz w:val="18"/>
                <w:szCs w:val="18"/>
              </w:rPr>
              <w:t>Chronic left achilles tendo</w:t>
            </w:r>
            <w:r w:rsidR="003133F1">
              <w:rPr>
                <w:rFonts w:cs="Calibri"/>
                <w:color w:val="000000" w:themeColor="text1"/>
                <w:sz w:val="18"/>
                <w:szCs w:val="18"/>
              </w:rPr>
              <w:t>nitis</w:t>
            </w:r>
          </w:p>
        </w:tc>
        <w:tc>
          <w:tcPr>
            <w:tcW w:w="1080" w:type="dxa"/>
            <w:tcBorders>
              <w:left w:val="single" w:sz="4" w:space="0" w:color="auto"/>
              <w:bottom w:val="nil"/>
              <w:right w:val="single" w:sz="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5099-5024</w:t>
            </w:r>
          </w:p>
        </w:tc>
        <w:tc>
          <w:tcPr>
            <w:tcW w:w="810" w:type="dxa"/>
            <w:tcBorders>
              <w:left w:val="single" w:sz="4" w:space="0" w:color="auto"/>
              <w:bottom w:val="nil"/>
              <w:right w:val="thinThickThinSmallGap" w:sz="24" w:space="0" w:color="auto"/>
            </w:tcBorders>
            <w:shd w:val="clear" w:color="auto" w:fill="FFFFFF" w:themeFill="background1"/>
            <w:vAlign w:val="center"/>
          </w:tcPr>
          <w:p w:rsidR="003133F1" w:rsidRPr="001F29F9" w:rsidRDefault="003133F1" w:rsidP="00412B25">
            <w:pPr>
              <w:spacing w:line="20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160" w:type="dxa"/>
            <w:gridSpan w:val="2"/>
            <w:tcBorders>
              <w:left w:val="thinThickThinSmallGap" w:sz="24" w:space="0" w:color="auto"/>
            </w:tcBorders>
            <w:shd w:val="clear" w:color="auto" w:fill="FFFFFF" w:themeFill="background1"/>
            <w:vAlign w:val="center"/>
          </w:tcPr>
          <w:p w:rsidR="003133F1" w:rsidRPr="001F29F9" w:rsidRDefault="003133F1" w:rsidP="00412B25">
            <w:pPr>
              <w:spacing w:line="200" w:lineRule="exact"/>
              <w:contextualSpacing/>
              <w:jc w:val="left"/>
              <w:rPr>
                <w:rFonts w:cs="Calibri"/>
                <w:color w:val="000000" w:themeColor="text1"/>
                <w:sz w:val="18"/>
                <w:szCs w:val="18"/>
              </w:rPr>
            </w:pPr>
            <w:r>
              <w:rPr>
                <w:rFonts w:cs="Calibri"/>
                <w:color w:val="000000" w:themeColor="text1"/>
                <w:sz w:val="18"/>
                <w:szCs w:val="18"/>
              </w:rPr>
              <w:t>L</w:t>
            </w:r>
            <w:r w:rsidR="00BC35EE">
              <w:rPr>
                <w:rFonts w:cs="Calibri"/>
                <w:color w:val="000000" w:themeColor="text1"/>
                <w:sz w:val="18"/>
                <w:szCs w:val="18"/>
              </w:rPr>
              <w:t>ef</w:t>
            </w:r>
            <w:r>
              <w:rPr>
                <w:rFonts w:cs="Calibri"/>
                <w:color w:val="000000" w:themeColor="text1"/>
                <w:sz w:val="18"/>
                <w:szCs w:val="18"/>
              </w:rPr>
              <w:t xml:space="preserve">t </w:t>
            </w:r>
            <w:r w:rsidR="00BC35EE">
              <w:rPr>
                <w:rFonts w:cs="Calibri"/>
                <w:color w:val="000000" w:themeColor="text1"/>
                <w:sz w:val="18"/>
                <w:szCs w:val="18"/>
              </w:rPr>
              <w:t>Achilles Tendonitis</w:t>
            </w:r>
          </w:p>
        </w:tc>
        <w:tc>
          <w:tcPr>
            <w:tcW w:w="1080" w:type="dxa"/>
            <w:shd w:val="clear" w:color="auto" w:fill="FFFFFF" w:themeFill="background1"/>
            <w:vAlign w:val="center"/>
          </w:tcPr>
          <w:p w:rsidR="003133F1" w:rsidRPr="001F29F9" w:rsidRDefault="00BC35EE" w:rsidP="00412B25">
            <w:pPr>
              <w:spacing w:line="200" w:lineRule="exact"/>
              <w:contextualSpacing/>
              <w:rPr>
                <w:rFonts w:cs="Calibri"/>
                <w:color w:val="000000" w:themeColor="text1"/>
                <w:sz w:val="18"/>
                <w:szCs w:val="18"/>
              </w:rPr>
            </w:pPr>
            <w:r>
              <w:rPr>
                <w:rFonts w:cs="Calibri"/>
                <w:color w:val="000000" w:themeColor="text1"/>
                <w:sz w:val="18"/>
                <w:szCs w:val="18"/>
              </w:rPr>
              <w:t>5099-5024</w:t>
            </w:r>
          </w:p>
        </w:tc>
        <w:tc>
          <w:tcPr>
            <w:tcW w:w="72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99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80611</w:t>
            </w:r>
          </w:p>
        </w:tc>
      </w:tr>
      <w:tr w:rsidR="003133F1" w:rsidRPr="001F29F9" w:rsidTr="00412B25">
        <w:trPr>
          <w:trHeight w:val="287"/>
          <w:jc w:val="center"/>
        </w:trPr>
        <w:tc>
          <w:tcPr>
            <w:tcW w:w="2538" w:type="dxa"/>
            <w:tcBorders>
              <w:right w:val="single" w:sz="4" w:space="0" w:color="auto"/>
            </w:tcBorders>
            <w:shd w:val="clear" w:color="auto" w:fill="FFFFFF" w:themeFill="background1"/>
            <w:vAlign w:val="center"/>
          </w:tcPr>
          <w:p w:rsidR="003133F1" w:rsidRPr="008177F1" w:rsidRDefault="003133F1" w:rsidP="00412B25">
            <w:pPr>
              <w:spacing w:line="200" w:lineRule="exact"/>
              <w:contextualSpacing/>
              <w:jc w:val="left"/>
              <w:rPr>
                <w:rFonts w:cs="Calibri"/>
                <w:color w:val="000000" w:themeColor="text1"/>
                <w:sz w:val="18"/>
                <w:szCs w:val="18"/>
              </w:rPr>
            </w:pPr>
            <w:r w:rsidRPr="008177F1">
              <w:rPr>
                <w:color w:val="000000" w:themeColor="text1"/>
                <w:sz w:val="18"/>
                <w:szCs w:val="18"/>
              </w:rPr>
              <w:t>Nonradicular lumbar back pain</w:t>
            </w:r>
          </w:p>
        </w:tc>
        <w:tc>
          <w:tcPr>
            <w:tcW w:w="1890" w:type="dxa"/>
            <w:gridSpan w:val="2"/>
            <w:tcBorders>
              <w:left w:val="single" w:sz="4" w:space="0" w:color="auto"/>
              <w:righ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160" w:type="dxa"/>
            <w:gridSpan w:val="2"/>
            <w:tcBorders>
              <w:left w:val="thinThickThinSmallGap" w:sz="24" w:space="0" w:color="auto"/>
              <w:right w:val="single" w:sz="4" w:space="0" w:color="auto"/>
            </w:tcBorders>
            <w:shd w:val="clear" w:color="auto" w:fill="FFFFFF" w:themeFill="background1"/>
            <w:vAlign w:val="center"/>
          </w:tcPr>
          <w:p w:rsidR="003133F1" w:rsidRDefault="003133F1" w:rsidP="00412B25">
            <w:pPr>
              <w:spacing w:line="200" w:lineRule="exact"/>
              <w:contextualSpacing/>
              <w:jc w:val="left"/>
              <w:rPr>
                <w:rFonts w:cs="Calibri"/>
                <w:color w:val="000000" w:themeColor="text1"/>
                <w:sz w:val="18"/>
                <w:szCs w:val="18"/>
              </w:rPr>
            </w:pPr>
            <w:r>
              <w:rPr>
                <w:rFonts w:cs="Calibri"/>
                <w:color w:val="000000" w:themeColor="text1"/>
                <w:sz w:val="18"/>
                <w:szCs w:val="18"/>
              </w:rPr>
              <w:t xml:space="preserve">Degenerative </w:t>
            </w:r>
            <w:r w:rsidR="00BC35EE">
              <w:rPr>
                <w:rFonts w:cs="Calibri"/>
                <w:color w:val="000000" w:themeColor="text1"/>
                <w:sz w:val="18"/>
                <w:szCs w:val="18"/>
              </w:rPr>
              <w:t xml:space="preserve">Arthritis, </w:t>
            </w:r>
          </w:p>
          <w:p w:rsidR="003133F1" w:rsidRPr="001F29F9" w:rsidRDefault="00BC35EE" w:rsidP="00412B25">
            <w:pPr>
              <w:spacing w:line="200" w:lineRule="exact"/>
              <w:contextualSpacing/>
              <w:jc w:val="left"/>
              <w:rPr>
                <w:rFonts w:cs="Calibri"/>
                <w:color w:val="000000" w:themeColor="text1"/>
                <w:sz w:val="18"/>
                <w:szCs w:val="18"/>
              </w:rPr>
            </w:pPr>
            <w:r>
              <w:rPr>
                <w:rFonts w:cs="Calibri"/>
                <w:color w:val="000000" w:themeColor="text1"/>
                <w:sz w:val="18"/>
                <w:szCs w:val="18"/>
              </w:rPr>
              <w:t>Lumbar S</w:t>
            </w:r>
            <w:r w:rsidR="003133F1">
              <w:rPr>
                <w:rFonts w:cs="Calibri"/>
                <w:color w:val="000000" w:themeColor="text1"/>
                <w:sz w:val="18"/>
                <w:szCs w:val="18"/>
              </w:rPr>
              <w:t>pine</w:t>
            </w:r>
          </w:p>
        </w:tc>
        <w:tc>
          <w:tcPr>
            <w:tcW w:w="1080" w:type="dxa"/>
            <w:tcBorders>
              <w:left w:val="single" w:sz="4" w:space="0" w:color="auto"/>
            </w:tcBorders>
            <w:shd w:val="clear" w:color="auto" w:fill="FFFFFF" w:themeFill="background1"/>
            <w:vAlign w:val="center"/>
          </w:tcPr>
          <w:p w:rsidR="003133F1" w:rsidRPr="001F29F9" w:rsidRDefault="00BC35EE" w:rsidP="00412B25">
            <w:pPr>
              <w:spacing w:line="200" w:lineRule="exact"/>
              <w:contextualSpacing/>
              <w:rPr>
                <w:rFonts w:cs="Calibri"/>
                <w:color w:val="000000" w:themeColor="text1"/>
                <w:sz w:val="18"/>
                <w:szCs w:val="18"/>
              </w:rPr>
            </w:pPr>
            <w:r>
              <w:rPr>
                <w:rFonts w:cs="Calibri"/>
                <w:color w:val="000000" w:themeColor="text1"/>
                <w:sz w:val="18"/>
                <w:szCs w:val="18"/>
              </w:rPr>
              <w:t>5242</w:t>
            </w:r>
          </w:p>
        </w:tc>
        <w:tc>
          <w:tcPr>
            <w:tcW w:w="72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80611</w:t>
            </w:r>
          </w:p>
        </w:tc>
      </w:tr>
      <w:tr w:rsidR="003133F1" w:rsidRPr="001F29F9" w:rsidTr="00412B25">
        <w:trPr>
          <w:trHeight w:val="287"/>
          <w:jc w:val="center"/>
        </w:trPr>
        <w:tc>
          <w:tcPr>
            <w:tcW w:w="2538" w:type="dxa"/>
            <w:vMerge w:val="restart"/>
            <w:tcBorders>
              <w:right w:val="single" w:sz="4" w:space="0" w:color="auto"/>
            </w:tcBorders>
            <w:shd w:val="clear" w:color="auto" w:fill="FFFFFF" w:themeFill="background1"/>
            <w:vAlign w:val="center"/>
          </w:tcPr>
          <w:p w:rsidR="003133F1" w:rsidRPr="008177F1" w:rsidRDefault="003133F1" w:rsidP="00412B25">
            <w:pPr>
              <w:spacing w:line="200" w:lineRule="exact"/>
              <w:contextualSpacing/>
              <w:jc w:val="left"/>
              <w:rPr>
                <w:rFonts w:cs="Calibri"/>
                <w:color w:val="000000" w:themeColor="text1"/>
                <w:sz w:val="18"/>
                <w:szCs w:val="18"/>
              </w:rPr>
            </w:pPr>
            <w:r w:rsidRPr="008177F1">
              <w:rPr>
                <w:color w:val="000000" w:themeColor="text1"/>
                <w:sz w:val="18"/>
                <w:szCs w:val="18"/>
              </w:rPr>
              <w:t xml:space="preserve">Chronic knee pain </w:t>
            </w:r>
          </w:p>
        </w:tc>
        <w:tc>
          <w:tcPr>
            <w:tcW w:w="1890" w:type="dxa"/>
            <w:gridSpan w:val="2"/>
            <w:vMerge w:val="restart"/>
            <w:tcBorders>
              <w:left w:val="single" w:sz="4" w:space="0" w:color="auto"/>
              <w:righ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160" w:type="dxa"/>
            <w:gridSpan w:val="2"/>
            <w:tcBorders>
              <w:left w:val="thinThickThinSmallGap" w:sz="24" w:space="0" w:color="auto"/>
              <w:right w:val="single" w:sz="4" w:space="0" w:color="auto"/>
            </w:tcBorders>
            <w:shd w:val="clear" w:color="auto" w:fill="FFFFFF" w:themeFill="background1"/>
            <w:vAlign w:val="center"/>
          </w:tcPr>
          <w:p w:rsidR="003133F1" w:rsidRPr="001F29F9" w:rsidRDefault="003133F1" w:rsidP="00412B25">
            <w:pPr>
              <w:spacing w:line="200" w:lineRule="exact"/>
              <w:contextualSpacing/>
              <w:jc w:val="left"/>
              <w:rPr>
                <w:rFonts w:cs="Calibri"/>
                <w:color w:val="000000" w:themeColor="text1"/>
                <w:sz w:val="18"/>
                <w:szCs w:val="18"/>
              </w:rPr>
            </w:pPr>
            <w:r>
              <w:rPr>
                <w:rFonts w:cs="Calibri"/>
                <w:color w:val="000000" w:themeColor="text1"/>
                <w:sz w:val="18"/>
                <w:szCs w:val="18"/>
              </w:rPr>
              <w:t>L</w:t>
            </w:r>
            <w:r w:rsidR="00BC35EE">
              <w:rPr>
                <w:rFonts w:cs="Calibri"/>
                <w:color w:val="000000" w:themeColor="text1"/>
                <w:sz w:val="18"/>
                <w:szCs w:val="18"/>
              </w:rPr>
              <w:t>ef</w:t>
            </w:r>
            <w:r>
              <w:rPr>
                <w:rFonts w:cs="Calibri"/>
                <w:color w:val="000000" w:themeColor="text1"/>
                <w:sz w:val="18"/>
                <w:szCs w:val="18"/>
              </w:rPr>
              <w:t xml:space="preserve">t </w:t>
            </w:r>
            <w:r w:rsidR="00BC35EE">
              <w:rPr>
                <w:rFonts w:cs="Calibri"/>
                <w:color w:val="000000" w:themeColor="text1"/>
                <w:sz w:val="18"/>
                <w:szCs w:val="18"/>
              </w:rPr>
              <w:t>Knee Strain</w:t>
            </w:r>
          </w:p>
        </w:tc>
        <w:tc>
          <w:tcPr>
            <w:tcW w:w="1080" w:type="dxa"/>
            <w:tcBorders>
              <w:left w:val="single" w:sz="4" w:space="0" w:color="auto"/>
            </w:tcBorders>
            <w:shd w:val="clear" w:color="auto" w:fill="FFFFFF" w:themeFill="background1"/>
            <w:vAlign w:val="center"/>
          </w:tcPr>
          <w:p w:rsidR="003133F1" w:rsidRPr="001F29F9" w:rsidRDefault="00BC35EE" w:rsidP="00412B25">
            <w:pPr>
              <w:spacing w:line="200" w:lineRule="exact"/>
              <w:contextualSpacing/>
              <w:rPr>
                <w:rFonts w:cs="Calibri"/>
                <w:color w:val="000000" w:themeColor="text1"/>
                <w:sz w:val="18"/>
                <w:szCs w:val="18"/>
              </w:rPr>
            </w:pPr>
            <w:r>
              <w:rPr>
                <w:rFonts w:cs="Calibri"/>
                <w:color w:val="000000" w:themeColor="text1"/>
                <w:sz w:val="18"/>
                <w:szCs w:val="18"/>
              </w:rPr>
              <w:t>5260</w:t>
            </w:r>
          </w:p>
        </w:tc>
        <w:tc>
          <w:tcPr>
            <w:tcW w:w="72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80611</w:t>
            </w:r>
          </w:p>
        </w:tc>
      </w:tr>
      <w:tr w:rsidR="003133F1" w:rsidRPr="001F29F9" w:rsidTr="00412B25">
        <w:trPr>
          <w:trHeight w:val="287"/>
          <w:jc w:val="center"/>
        </w:trPr>
        <w:tc>
          <w:tcPr>
            <w:tcW w:w="2538" w:type="dxa"/>
            <w:vMerge/>
            <w:tcBorders>
              <w:right w:val="single" w:sz="4" w:space="0" w:color="auto"/>
            </w:tcBorders>
            <w:shd w:val="clear" w:color="auto" w:fill="FFFFFF" w:themeFill="background1"/>
            <w:vAlign w:val="center"/>
          </w:tcPr>
          <w:p w:rsidR="003133F1" w:rsidRPr="008177F1" w:rsidRDefault="003133F1" w:rsidP="00412B25">
            <w:pPr>
              <w:spacing w:line="200" w:lineRule="exact"/>
              <w:contextualSpacing/>
              <w:jc w:val="left"/>
              <w:rPr>
                <w:rFonts w:cs="Calibri"/>
                <w:color w:val="000000" w:themeColor="text1"/>
                <w:sz w:val="18"/>
                <w:szCs w:val="18"/>
              </w:rPr>
            </w:pP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p>
        </w:tc>
        <w:tc>
          <w:tcPr>
            <w:tcW w:w="2160" w:type="dxa"/>
            <w:gridSpan w:val="2"/>
            <w:tcBorders>
              <w:left w:val="thinThickThinSmallGap" w:sz="24" w:space="0" w:color="auto"/>
              <w:right w:val="single" w:sz="4" w:space="0" w:color="auto"/>
            </w:tcBorders>
            <w:shd w:val="clear" w:color="auto" w:fill="FFFFFF" w:themeFill="background1"/>
            <w:vAlign w:val="center"/>
          </w:tcPr>
          <w:p w:rsidR="003133F1" w:rsidRPr="001F29F9" w:rsidRDefault="003133F1" w:rsidP="00412B25">
            <w:pPr>
              <w:spacing w:line="200" w:lineRule="exact"/>
              <w:contextualSpacing/>
              <w:jc w:val="left"/>
              <w:rPr>
                <w:rFonts w:cs="Calibri"/>
                <w:color w:val="000000" w:themeColor="text1"/>
                <w:sz w:val="18"/>
                <w:szCs w:val="18"/>
              </w:rPr>
            </w:pPr>
            <w:r>
              <w:rPr>
                <w:rFonts w:cs="Calibri"/>
                <w:color w:val="000000" w:themeColor="text1"/>
                <w:sz w:val="18"/>
                <w:szCs w:val="18"/>
              </w:rPr>
              <w:t>R</w:t>
            </w:r>
            <w:r w:rsidR="00BC35EE">
              <w:rPr>
                <w:rFonts w:cs="Calibri"/>
                <w:color w:val="000000" w:themeColor="text1"/>
                <w:sz w:val="18"/>
                <w:szCs w:val="18"/>
              </w:rPr>
              <w:t>igh</w:t>
            </w:r>
            <w:r>
              <w:rPr>
                <w:rFonts w:cs="Calibri"/>
                <w:color w:val="000000" w:themeColor="text1"/>
                <w:sz w:val="18"/>
                <w:szCs w:val="18"/>
              </w:rPr>
              <w:t xml:space="preserve">t  </w:t>
            </w:r>
            <w:r w:rsidR="00BC35EE">
              <w:rPr>
                <w:rFonts w:cs="Calibri"/>
                <w:color w:val="000000" w:themeColor="text1"/>
                <w:sz w:val="18"/>
                <w:szCs w:val="18"/>
              </w:rPr>
              <w:t>Knee Strain</w:t>
            </w:r>
          </w:p>
        </w:tc>
        <w:tc>
          <w:tcPr>
            <w:tcW w:w="1080" w:type="dxa"/>
            <w:tcBorders>
              <w:left w:val="single" w:sz="4" w:space="0" w:color="auto"/>
              <w:right w:val="single" w:sz="4" w:space="0" w:color="auto"/>
            </w:tcBorders>
            <w:shd w:val="clear" w:color="auto" w:fill="FFFFFF" w:themeFill="background1"/>
            <w:vAlign w:val="center"/>
          </w:tcPr>
          <w:p w:rsidR="003133F1" w:rsidRPr="001F29F9" w:rsidRDefault="00BC35EE" w:rsidP="00412B25">
            <w:pPr>
              <w:spacing w:line="200" w:lineRule="exact"/>
              <w:contextualSpacing/>
              <w:rPr>
                <w:rFonts w:cs="Calibri"/>
                <w:color w:val="000000" w:themeColor="text1"/>
                <w:sz w:val="18"/>
                <w:szCs w:val="18"/>
              </w:rPr>
            </w:pPr>
            <w:r>
              <w:rPr>
                <w:rFonts w:cs="Calibri"/>
                <w:color w:val="000000" w:themeColor="text1"/>
                <w:sz w:val="18"/>
                <w:szCs w:val="18"/>
              </w:rPr>
              <w:t>5260</w:t>
            </w:r>
          </w:p>
        </w:tc>
        <w:tc>
          <w:tcPr>
            <w:tcW w:w="720" w:type="dxa"/>
            <w:tcBorders>
              <w:left w:val="single" w:sz="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80611</w:t>
            </w:r>
          </w:p>
        </w:tc>
      </w:tr>
      <w:tr w:rsidR="003133F1" w:rsidRPr="001F29F9" w:rsidTr="00412B25">
        <w:trPr>
          <w:trHeight w:val="287"/>
          <w:jc w:val="center"/>
        </w:trPr>
        <w:tc>
          <w:tcPr>
            <w:tcW w:w="2538" w:type="dxa"/>
            <w:tcBorders>
              <w:right w:val="single" w:sz="4" w:space="0" w:color="auto"/>
            </w:tcBorders>
            <w:shd w:val="clear" w:color="auto" w:fill="FFFFFF" w:themeFill="background1"/>
            <w:vAlign w:val="center"/>
          </w:tcPr>
          <w:p w:rsidR="003133F1" w:rsidRPr="001F29F9" w:rsidRDefault="003133F1" w:rsidP="00412B25">
            <w:pPr>
              <w:spacing w:line="200" w:lineRule="exact"/>
              <w:contextualSpacing/>
              <w:jc w:val="left"/>
              <w:rPr>
                <w:rFonts w:cs="Calibri"/>
                <w:color w:val="000000" w:themeColor="text1"/>
                <w:sz w:val="18"/>
                <w:szCs w:val="18"/>
              </w:rPr>
            </w:pPr>
            <w:r w:rsidRPr="008177F1">
              <w:rPr>
                <w:rFonts w:cs="Calibri"/>
                <w:color w:val="000000" w:themeColor="text1"/>
                <w:sz w:val="18"/>
                <w:szCs w:val="18"/>
              </w:rPr>
              <w:t>L</w:t>
            </w:r>
            <w:r w:rsidR="00BC35EE">
              <w:rPr>
                <w:rFonts w:cs="Calibri"/>
                <w:color w:val="000000" w:themeColor="text1"/>
                <w:sz w:val="18"/>
                <w:szCs w:val="18"/>
              </w:rPr>
              <w:t>ef</w:t>
            </w:r>
            <w:r w:rsidRPr="008177F1">
              <w:rPr>
                <w:rFonts w:cs="Calibri"/>
                <w:color w:val="000000" w:themeColor="text1"/>
                <w:sz w:val="18"/>
                <w:szCs w:val="18"/>
              </w:rPr>
              <w:t>t</w:t>
            </w:r>
            <w:r>
              <w:rPr>
                <w:color w:val="000000" w:themeColor="text1"/>
                <w:sz w:val="18"/>
                <w:szCs w:val="18"/>
              </w:rPr>
              <w:t xml:space="preserve"> s</w:t>
            </w:r>
            <w:r w:rsidRPr="008177F1">
              <w:rPr>
                <w:color w:val="000000" w:themeColor="text1"/>
                <w:sz w:val="18"/>
                <w:szCs w:val="18"/>
              </w:rPr>
              <w:t>houlder discomfort</w:t>
            </w:r>
          </w:p>
        </w:tc>
        <w:tc>
          <w:tcPr>
            <w:tcW w:w="1890" w:type="dxa"/>
            <w:gridSpan w:val="2"/>
            <w:tcBorders>
              <w:left w:val="single" w:sz="4" w:space="0" w:color="auto"/>
              <w:righ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4950" w:type="dxa"/>
            <w:gridSpan w:val="5"/>
            <w:tcBorders>
              <w:left w:val="thinThickThinSmallGap" w:sz="24" w:space="0" w:color="auto"/>
            </w:tcBorders>
            <w:shd w:val="clear" w:color="auto" w:fill="FFFFFF" w:themeFill="background1"/>
            <w:vAlign w:val="center"/>
          </w:tcPr>
          <w:p w:rsidR="003133F1" w:rsidRPr="001F29F9" w:rsidRDefault="00BC35EE" w:rsidP="00412B25">
            <w:pPr>
              <w:spacing w:line="200" w:lineRule="exact"/>
              <w:contextualSpacing/>
              <w:rPr>
                <w:rFonts w:cs="Calibri"/>
                <w:color w:val="000000" w:themeColor="text1"/>
                <w:sz w:val="18"/>
                <w:szCs w:val="18"/>
                <w:highlight w:val="yellow"/>
              </w:rPr>
            </w:pPr>
            <w:r w:rsidRPr="00BC35EE">
              <w:rPr>
                <w:rFonts w:cs="Calibri"/>
                <w:color w:val="000000" w:themeColor="text1"/>
                <w:sz w:val="18"/>
                <w:szCs w:val="18"/>
              </w:rPr>
              <w:t>Not Service Connected</w:t>
            </w:r>
          </w:p>
        </w:tc>
      </w:tr>
      <w:tr w:rsidR="003133F1" w:rsidRPr="001F29F9" w:rsidTr="00412B25">
        <w:trPr>
          <w:trHeight w:val="260"/>
          <w:jc w:val="center"/>
        </w:trPr>
        <w:tc>
          <w:tcPr>
            <w:tcW w:w="4428" w:type="dxa"/>
            <w:gridSpan w:val="3"/>
            <w:vMerge w:val="restart"/>
            <w:tcBorders>
              <w:righ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070" w:type="dxa"/>
            <w:tcBorders>
              <w:left w:val="thinThickThinSmallGap" w:sz="24" w:space="0" w:color="auto"/>
              <w:right w:val="single" w:sz="4" w:space="0" w:color="auto"/>
            </w:tcBorders>
            <w:shd w:val="clear" w:color="auto" w:fill="FFFFFF" w:themeFill="background1"/>
            <w:vAlign w:val="center"/>
          </w:tcPr>
          <w:p w:rsidR="003133F1" w:rsidRPr="001F29F9" w:rsidRDefault="003133F1" w:rsidP="00412B25">
            <w:pPr>
              <w:spacing w:line="200" w:lineRule="exact"/>
              <w:jc w:val="left"/>
              <w:rPr>
                <w:rFonts w:cs="Calibri"/>
                <w:color w:val="000000" w:themeColor="text1"/>
                <w:sz w:val="18"/>
                <w:szCs w:val="18"/>
              </w:rPr>
            </w:pPr>
            <w:r>
              <w:rPr>
                <w:rFonts w:cs="Calibri"/>
                <w:color w:val="000000" w:themeColor="text1"/>
                <w:sz w:val="18"/>
                <w:szCs w:val="18"/>
              </w:rPr>
              <w:t>R</w:t>
            </w:r>
            <w:r w:rsidR="00BC35EE">
              <w:rPr>
                <w:rFonts w:cs="Calibri"/>
                <w:color w:val="000000" w:themeColor="text1"/>
                <w:sz w:val="18"/>
                <w:szCs w:val="18"/>
              </w:rPr>
              <w:t>igh</w:t>
            </w:r>
            <w:r>
              <w:rPr>
                <w:rFonts w:cs="Calibri"/>
                <w:color w:val="000000" w:themeColor="text1"/>
                <w:sz w:val="18"/>
                <w:szCs w:val="18"/>
              </w:rPr>
              <w:t xml:space="preserve">t </w:t>
            </w:r>
            <w:r w:rsidR="00BC35EE">
              <w:rPr>
                <w:rFonts w:cs="Calibri"/>
                <w:color w:val="000000" w:themeColor="text1"/>
                <w:sz w:val="18"/>
                <w:szCs w:val="18"/>
              </w:rPr>
              <w:t>Groin Strain</w:t>
            </w:r>
          </w:p>
        </w:tc>
        <w:tc>
          <w:tcPr>
            <w:tcW w:w="1170" w:type="dxa"/>
            <w:gridSpan w:val="2"/>
            <w:tcBorders>
              <w:left w:val="single" w:sz="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5315</w:t>
            </w:r>
          </w:p>
        </w:tc>
        <w:tc>
          <w:tcPr>
            <w:tcW w:w="72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80611</w:t>
            </w:r>
          </w:p>
        </w:tc>
      </w:tr>
      <w:tr w:rsidR="003133F1" w:rsidRPr="001F29F9" w:rsidTr="00412B25">
        <w:trPr>
          <w:trHeight w:val="530"/>
          <w:jc w:val="center"/>
        </w:trPr>
        <w:tc>
          <w:tcPr>
            <w:tcW w:w="4428" w:type="dxa"/>
            <w:gridSpan w:val="3"/>
            <w:vMerge/>
            <w:tcBorders>
              <w:righ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p>
        </w:tc>
        <w:tc>
          <w:tcPr>
            <w:tcW w:w="3960" w:type="dxa"/>
            <w:gridSpan w:val="4"/>
            <w:tcBorders>
              <w:left w:val="thinThickThinSmallGap" w:sz="24" w:space="0" w:color="auto"/>
            </w:tcBorders>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sidRPr="001F29F9">
              <w:rPr>
                <w:rFonts w:cs="Calibri"/>
                <w:color w:val="000000" w:themeColor="text1"/>
                <w:sz w:val="18"/>
                <w:szCs w:val="18"/>
              </w:rPr>
              <w:t xml:space="preserve">0% x </w:t>
            </w:r>
            <w:r w:rsidR="00BC35EE">
              <w:rPr>
                <w:rFonts w:cs="Calibri"/>
                <w:color w:val="000000" w:themeColor="text1"/>
                <w:sz w:val="18"/>
                <w:szCs w:val="18"/>
              </w:rPr>
              <w:t>2 others</w:t>
            </w:r>
            <w:r w:rsidR="008B2347">
              <w:rPr>
                <w:rFonts w:cs="Calibri"/>
                <w:color w:val="000000" w:themeColor="text1"/>
                <w:sz w:val="18"/>
                <w:szCs w:val="18"/>
              </w:rPr>
              <w:t>/Not Service-</w:t>
            </w:r>
            <w:r w:rsidRPr="001F29F9">
              <w:rPr>
                <w:rFonts w:cs="Calibri"/>
                <w:color w:val="000000" w:themeColor="text1"/>
                <w:sz w:val="18"/>
                <w:szCs w:val="18"/>
              </w:rPr>
              <w:t xml:space="preserve">Connected x </w:t>
            </w:r>
            <w:r w:rsidR="00BC35EE">
              <w:rPr>
                <w:rFonts w:cs="Calibri"/>
                <w:color w:val="000000" w:themeColor="text1"/>
                <w:sz w:val="18"/>
                <w:szCs w:val="18"/>
              </w:rPr>
              <w:t>2 others</w:t>
            </w:r>
          </w:p>
        </w:tc>
        <w:tc>
          <w:tcPr>
            <w:tcW w:w="990" w:type="dxa"/>
            <w:shd w:val="clear" w:color="auto" w:fill="FFFFFF" w:themeFill="background1"/>
            <w:vAlign w:val="center"/>
          </w:tcPr>
          <w:p w:rsidR="003133F1" w:rsidRPr="001F29F9" w:rsidRDefault="003133F1" w:rsidP="00412B25">
            <w:pPr>
              <w:spacing w:line="20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80611</w:t>
            </w:r>
          </w:p>
        </w:tc>
      </w:tr>
      <w:tr w:rsidR="003133F1" w:rsidRPr="001F29F9" w:rsidTr="00412B25">
        <w:trPr>
          <w:trHeight w:val="242"/>
          <w:jc w:val="center"/>
        </w:trPr>
        <w:tc>
          <w:tcPr>
            <w:tcW w:w="4428" w:type="dxa"/>
            <w:gridSpan w:val="3"/>
            <w:tcBorders>
              <w:right w:val="thinThickThinSmallGap" w:sz="24" w:space="0" w:color="auto"/>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4950" w:type="dxa"/>
            <w:gridSpan w:val="5"/>
            <w:tcBorders>
              <w:left w:val="thinThickThinSmallGap" w:sz="24" w:space="0" w:color="auto"/>
            </w:tcBorders>
            <w:shd w:val="clear" w:color="auto" w:fill="D9D9D9" w:themeFill="background1" w:themeFillShade="D9"/>
            <w:vAlign w:val="center"/>
          </w:tcPr>
          <w:p w:rsidR="003133F1" w:rsidRPr="001F29F9" w:rsidRDefault="003133F1" w:rsidP="00412B25">
            <w:pPr>
              <w:spacing w:line="200" w:lineRule="exact"/>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4</w:t>
            </w:r>
            <w:r w:rsidRPr="001F29F9">
              <w:rPr>
                <w:rFonts w:cs="Calibri"/>
                <w:b/>
                <w:color w:val="000000" w:themeColor="text1"/>
                <w:sz w:val="18"/>
                <w:szCs w:val="18"/>
              </w:rPr>
              <w:t>0%</w:t>
            </w:r>
            <w:r w:rsidR="00BC35EE">
              <w:rPr>
                <w:rFonts w:cs="Calibri"/>
                <w:b/>
                <w:color w:val="000000" w:themeColor="text1"/>
                <w:sz w:val="18"/>
                <w:szCs w:val="18"/>
              </w:rPr>
              <w:t>**</w:t>
            </w:r>
            <w:r w:rsidR="000E51EF">
              <w:rPr>
                <w:rFonts w:cs="Calibri"/>
                <w:b/>
                <w:color w:val="000000" w:themeColor="text1"/>
                <w:sz w:val="18"/>
                <w:szCs w:val="18"/>
              </w:rPr>
              <w:t xml:space="preserve"> with Bilateral Factor 2.7</w:t>
            </w:r>
          </w:p>
        </w:tc>
      </w:tr>
    </w:tbl>
    <w:p w:rsidR="003133F1" w:rsidRPr="00412B25" w:rsidRDefault="003133F1" w:rsidP="00412B25">
      <w:pPr>
        <w:pBdr>
          <w:bottom w:val="single" w:sz="12" w:space="1" w:color="auto"/>
        </w:pBdr>
        <w:tabs>
          <w:tab w:val="left" w:pos="288"/>
          <w:tab w:val="left" w:pos="4752"/>
        </w:tabs>
        <w:spacing w:line="200" w:lineRule="exact"/>
        <w:jc w:val="both"/>
        <w:rPr>
          <w:color w:val="000000" w:themeColor="text1"/>
          <w:sz w:val="18"/>
          <w:szCs w:val="18"/>
        </w:rPr>
      </w:pPr>
      <w:r w:rsidRPr="00412B25">
        <w:rPr>
          <w:color w:val="000000" w:themeColor="text1"/>
          <w:sz w:val="18"/>
          <w:szCs w:val="18"/>
        </w:rPr>
        <w:t xml:space="preserve">* </w:t>
      </w:r>
      <w:r w:rsidR="00BC35EE" w:rsidRPr="00412B25">
        <w:rPr>
          <w:color w:val="000000" w:themeColor="text1"/>
          <w:sz w:val="18"/>
          <w:szCs w:val="18"/>
        </w:rPr>
        <w:t>Increased to 10% effective 20090511.</w:t>
      </w:r>
    </w:p>
    <w:p w:rsidR="00BC35EE" w:rsidRPr="00412B25" w:rsidRDefault="00BC35EE" w:rsidP="00412B25">
      <w:pPr>
        <w:pBdr>
          <w:bottom w:val="single" w:sz="12" w:space="1" w:color="auto"/>
        </w:pBdr>
        <w:tabs>
          <w:tab w:val="left" w:pos="288"/>
          <w:tab w:val="left" w:pos="4752"/>
        </w:tabs>
        <w:spacing w:line="200" w:lineRule="exact"/>
        <w:jc w:val="both"/>
        <w:rPr>
          <w:color w:val="000000" w:themeColor="text1"/>
          <w:sz w:val="18"/>
          <w:szCs w:val="18"/>
        </w:rPr>
      </w:pPr>
      <w:r w:rsidRPr="00412B25">
        <w:rPr>
          <w:color w:val="000000" w:themeColor="text1"/>
          <w:sz w:val="18"/>
          <w:szCs w:val="18"/>
        </w:rPr>
        <w:t>**Increased to 70% effecti</w:t>
      </w:r>
      <w:r w:rsidR="000E51EF">
        <w:rPr>
          <w:color w:val="000000" w:themeColor="text1"/>
          <w:sz w:val="18"/>
          <w:szCs w:val="18"/>
        </w:rPr>
        <w:t>ve 20090511 due to increase in Left Achilles Tendonitis 5</w:t>
      </w:r>
      <w:r w:rsidRPr="00412B25">
        <w:rPr>
          <w:color w:val="000000" w:themeColor="text1"/>
          <w:sz w:val="18"/>
          <w:szCs w:val="18"/>
        </w:rPr>
        <w:t xml:space="preserve">099-5024 to 10% and increase in </w:t>
      </w:r>
      <w:r w:rsidR="00412B25" w:rsidRPr="00412B25">
        <w:rPr>
          <w:color w:val="000000" w:themeColor="text1"/>
          <w:sz w:val="18"/>
          <w:szCs w:val="18"/>
        </w:rPr>
        <w:t>previous 0% to 10% for Right Achilles Tendonitis, and change from 0% for Bilateral Shin Splints t</w:t>
      </w:r>
      <w:r w:rsidR="000E51EF">
        <w:rPr>
          <w:color w:val="000000" w:themeColor="text1"/>
          <w:sz w:val="18"/>
          <w:szCs w:val="18"/>
        </w:rPr>
        <w:t>o 10% for Left Lower Extremity Shin Splints and 10% for Ri</w:t>
      </w:r>
      <w:r w:rsidR="00412B25" w:rsidRPr="00412B25">
        <w:rPr>
          <w:color w:val="000000" w:themeColor="text1"/>
          <w:sz w:val="18"/>
          <w:szCs w:val="18"/>
        </w:rPr>
        <w:t>ght Lower Extremity Shin Splints. Increased to 80% effective 20090608 with addition of PTSD at 50%.</w:t>
      </w:r>
    </w:p>
    <w:p w:rsidR="003133F1" w:rsidRPr="001F29F9" w:rsidRDefault="003133F1" w:rsidP="00412B25">
      <w:pPr>
        <w:pBdr>
          <w:bottom w:val="single" w:sz="12" w:space="1" w:color="auto"/>
        </w:pBdr>
        <w:tabs>
          <w:tab w:val="left" w:pos="288"/>
          <w:tab w:val="left" w:pos="4752"/>
        </w:tabs>
        <w:spacing w:line="200" w:lineRule="exact"/>
        <w:jc w:val="both"/>
        <w:rPr>
          <w:color w:val="000000" w:themeColor="text1"/>
          <w:szCs w:val="24"/>
        </w:rPr>
      </w:pPr>
    </w:p>
    <w:p w:rsidR="000B63CF" w:rsidRPr="00F64312" w:rsidRDefault="000B63CF" w:rsidP="000B63CF">
      <w:pPr>
        <w:jc w:val="both"/>
        <w:rPr>
          <w:color w:val="auto"/>
          <w:u w:val="single"/>
        </w:rPr>
      </w:pPr>
    </w:p>
    <w:p w:rsidR="00870AEB" w:rsidRPr="00F64312" w:rsidRDefault="00AD2379" w:rsidP="00870AEB">
      <w:pPr>
        <w:jc w:val="both"/>
        <w:rPr>
          <w:color w:val="auto"/>
        </w:rPr>
      </w:pPr>
      <w:r w:rsidRPr="00870AEB">
        <w:rPr>
          <w:color w:val="auto"/>
          <w:u w:val="single"/>
        </w:rPr>
        <w:t>ANALYSIS SUMMARY</w:t>
      </w:r>
      <w:r w:rsidRPr="00870AEB">
        <w:rPr>
          <w:color w:val="auto"/>
        </w:rPr>
        <w:t>:</w:t>
      </w:r>
      <w:r w:rsidR="00870AEB" w:rsidRPr="00870AEB">
        <w:rPr>
          <w:color w:val="auto"/>
        </w:rPr>
        <w:t xml:space="preserve">  The Board acknowledges the sentiment expressed in the CI’s application, i.e., that the gravity of his condition merits consideration for a higher separation rating. </w:t>
      </w:r>
      <w:r w:rsidR="00E54EF8">
        <w:rPr>
          <w:color w:val="auto"/>
        </w:rPr>
        <w:t xml:space="preserve"> </w:t>
      </w:r>
      <w:r w:rsidR="00870AEB" w:rsidRPr="00870AEB">
        <w:rPr>
          <w:color w:val="auto"/>
        </w:rPr>
        <w:t xml:space="preserve">The Board wishes to clarify that it is subject to the same laws for disability entitlements as those under which the Disability Evaluation System (DES) operates. </w:t>
      </w:r>
      <w:r w:rsidR="00E54EF8">
        <w:rPr>
          <w:color w:val="auto"/>
        </w:rPr>
        <w:t xml:space="preserve"> </w:t>
      </w:r>
      <w:r w:rsidR="00870AEB" w:rsidRPr="00870AEB">
        <w:rPr>
          <w:color w:val="auto"/>
        </w:rPr>
        <w:t>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8B2347">
        <w:rPr>
          <w:color w:val="auto"/>
        </w:rPr>
        <w:t>s’</w:t>
      </w:r>
      <w:r w:rsidR="00870AEB" w:rsidRPr="00870AEB">
        <w:rPr>
          <w:color w:val="auto"/>
        </w:rPr>
        <w:t xml:space="preserve"> Affairs (DVA), operating under a different set of laws (Title 38, United States Code), is empo</w:t>
      </w:r>
      <w:r w:rsidR="008B2347">
        <w:rPr>
          <w:color w:val="auto"/>
        </w:rPr>
        <w:t>wered to compensate all service-</w:t>
      </w:r>
      <w:r w:rsidR="00870AEB" w:rsidRPr="00870AEB">
        <w:rPr>
          <w:color w:val="auto"/>
        </w:rPr>
        <w:t xml:space="preserve">connected conditions and to periodically reevaluate said conditions for the purpose of adjusting the </w:t>
      </w:r>
      <w:r w:rsidR="008B2347">
        <w:rPr>
          <w:color w:val="auto"/>
        </w:rPr>
        <w:t>V</w:t>
      </w:r>
      <w:r w:rsidR="00870AEB" w:rsidRPr="00870AEB">
        <w:rPr>
          <w:color w:val="auto"/>
        </w:rPr>
        <w:t>eteran’s disability rating</w:t>
      </w:r>
      <w:r w:rsidR="00870AEB" w:rsidRPr="009A376C">
        <w:rPr>
          <w:color w:val="auto"/>
        </w:rPr>
        <w:t xml:space="preserve"> should </w:t>
      </w:r>
      <w:r w:rsidR="008B2347">
        <w:rPr>
          <w:color w:val="auto"/>
        </w:rPr>
        <w:t>the</w:t>
      </w:r>
      <w:r w:rsidR="00870AEB" w:rsidRPr="009A376C">
        <w:rPr>
          <w:color w:val="auto"/>
        </w:rPr>
        <w:t xml:space="preserve"> degree of impairment vary over time.</w:t>
      </w:r>
      <w:r w:rsidR="00870AEB">
        <w:rPr>
          <w:color w:val="auto"/>
        </w:rPr>
        <w:t xml:space="preserve"> </w:t>
      </w:r>
      <w:r w:rsidR="00E54EF8">
        <w:rPr>
          <w:color w:val="auto"/>
        </w:rPr>
        <w:t xml:space="preserve"> </w:t>
      </w:r>
      <w:r w:rsidR="00870AEB" w:rsidRPr="009A376C">
        <w:rPr>
          <w:color w:val="auto"/>
        </w:rPr>
        <w:t xml:space="preserve">The Board utilizes </w:t>
      </w:r>
      <w:r w:rsidR="008B2347">
        <w:rPr>
          <w:color w:val="auto"/>
        </w:rPr>
        <w:t>D</w:t>
      </w:r>
      <w:r w:rsidR="00870AEB" w:rsidRPr="009A376C">
        <w:rPr>
          <w:color w:val="auto"/>
        </w:rPr>
        <w:t xml:space="preserve">VA evidence proximal to separation in arriving at its recommendations; and, DoDI 6040.44 defines a 12-month interval for special consideration to post-separation evidence. </w:t>
      </w:r>
      <w:r w:rsidR="00E54EF8">
        <w:rPr>
          <w:color w:val="auto"/>
        </w:rPr>
        <w:t xml:space="preserve"> </w:t>
      </w:r>
      <w:r w:rsidR="00870AEB" w:rsidRPr="009A376C">
        <w:rPr>
          <w:color w:val="auto"/>
        </w:rPr>
        <w:t xml:space="preserve">The Board’s authority as defined in DoDI 6040.44, however, resides in evaluating the fairness of DES fitness determinations and rating decisions for disability at the time of separation. </w:t>
      </w:r>
      <w:r w:rsidR="00E54EF8">
        <w:rPr>
          <w:color w:val="auto"/>
        </w:rPr>
        <w:t xml:space="preserve"> </w:t>
      </w:r>
      <w:r w:rsidR="00870AEB" w:rsidRPr="009A376C">
        <w:rPr>
          <w:color w:val="auto"/>
        </w:rPr>
        <w:t>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AD2379" w:rsidRPr="004E1BAB" w:rsidRDefault="003133F1" w:rsidP="00E9113F">
      <w:pPr>
        <w:jc w:val="both"/>
        <w:rPr>
          <w:color w:val="auto"/>
        </w:rPr>
      </w:pPr>
      <w:r w:rsidRPr="009F07FB">
        <w:rPr>
          <w:color w:val="000000" w:themeColor="text1"/>
          <w:szCs w:val="24"/>
          <w:u w:val="single"/>
        </w:rPr>
        <w:t>Chronic Left Achilles Tendonitis</w:t>
      </w:r>
      <w:r w:rsidR="00AD2379" w:rsidRPr="00F64312">
        <w:rPr>
          <w:color w:val="auto"/>
        </w:rPr>
        <w:t xml:space="preserve">. </w:t>
      </w:r>
      <w:r w:rsidR="00385708" w:rsidRPr="00F64312">
        <w:rPr>
          <w:color w:val="auto"/>
        </w:rPr>
        <w:t xml:space="preserve"> </w:t>
      </w:r>
      <w:r w:rsidR="00870AEB">
        <w:rPr>
          <w:color w:val="auto"/>
        </w:rPr>
        <w:t xml:space="preserve">Without any known traumatic event, the CI had intractable pain at the posterior aspect </w:t>
      </w:r>
      <w:r w:rsidR="004D5EBC">
        <w:rPr>
          <w:color w:val="auto"/>
        </w:rPr>
        <w:t>o</w:t>
      </w:r>
      <w:r w:rsidR="00870AEB">
        <w:rPr>
          <w:color w:val="auto"/>
        </w:rPr>
        <w:t xml:space="preserve">f his left heel at the insertion of the Achilles tendon. </w:t>
      </w:r>
      <w:r w:rsidR="00E54EF8">
        <w:rPr>
          <w:color w:val="auto"/>
        </w:rPr>
        <w:t xml:space="preserve"> </w:t>
      </w:r>
      <w:r w:rsidR="006D5C3D">
        <w:rPr>
          <w:color w:val="auto"/>
        </w:rPr>
        <w:t xml:space="preserve">The condition did not improve despite extensive treatment which included </w:t>
      </w:r>
      <w:r w:rsidR="006D5C3D">
        <w:rPr>
          <w:color w:val="000000" w:themeColor="text1"/>
          <w:szCs w:val="24"/>
        </w:rPr>
        <w:t xml:space="preserve">profiling, nonsteroidal anti-inflammatory medications, rest, physical therapy, heel lifts, and stretching. </w:t>
      </w:r>
      <w:r w:rsidR="00E54EF8">
        <w:rPr>
          <w:color w:val="000000" w:themeColor="text1"/>
          <w:szCs w:val="24"/>
        </w:rPr>
        <w:t xml:space="preserve"> </w:t>
      </w:r>
      <w:r w:rsidR="006D5C3D">
        <w:rPr>
          <w:color w:val="000000" w:themeColor="text1"/>
          <w:szCs w:val="24"/>
        </w:rPr>
        <w:t>No surgical options were indicate</w:t>
      </w:r>
      <w:r w:rsidR="00E70B4E">
        <w:rPr>
          <w:color w:val="000000" w:themeColor="text1"/>
          <w:szCs w:val="24"/>
        </w:rPr>
        <w:t xml:space="preserve">d. </w:t>
      </w:r>
      <w:r w:rsidR="00E54EF8">
        <w:rPr>
          <w:color w:val="000000" w:themeColor="text1"/>
          <w:szCs w:val="24"/>
        </w:rPr>
        <w:t xml:space="preserve"> </w:t>
      </w:r>
      <w:r w:rsidR="00E70B4E">
        <w:rPr>
          <w:color w:val="000000" w:themeColor="text1"/>
          <w:szCs w:val="24"/>
        </w:rPr>
        <w:t>At th</w:t>
      </w:r>
      <w:r w:rsidR="006D5C3D">
        <w:rPr>
          <w:color w:val="000000" w:themeColor="text1"/>
          <w:szCs w:val="24"/>
        </w:rPr>
        <w:t>e</w:t>
      </w:r>
      <w:r w:rsidR="00E70B4E">
        <w:rPr>
          <w:color w:val="000000" w:themeColor="text1"/>
          <w:szCs w:val="24"/>
        </w:rPr>
        <w:t xml:space="preserve"> time</w:t>
      </w:r>
      <w:r w:rsidR="006D5C3D">
        <w:rPr>
          <w:color w:val="000000" w:themeColor="text1"/>
          <w:szCs w:val="24"/>
        </w:rPr>
        <w:t xml:space="preserve"> </w:t>
      </w:r>
      <w:r w:rsidR="00E70B4E" w:rsidRPr="004E1BAB">
        <w:rPr>
          <w:color w:val="000000" w:themeColor="text1"/>
          <w:szCs w:val="24"/>
        </w:rPr>
        <w:t>of</w:t>
      </w:r>
      <w:r w:rsidR="006D5C3D" w:rsidRPr="004E1BAB">
        <w:rPr>
          <w:color w:val="000000" w:themeColor="text1"/>
          <w:szCs w:val="24"/>
        </w:rPr>
        <w:t xml:space="preserve"> the </w:t>
      </w:r>
      <w:r w:rsidR="008B2347">
        <w:rPr>
          <w:color w:val="000000" w:themeColor="text1"/>
          <w:szCs w:val="24"/>
        </w:rPr>
        <w:t>p</w:t>
      </w:r>
      <w:r w:rsidR="00E70B4E" w:rsidRPr="004E1BAB">
        <w:rPr>
          <w:color w:val="000000" w:themeColor="text1"/>
          <w:szCs w:val="24"/>
        </w:rPr>
        <w:t xml:space="preserve">odiatry </w:t>
      </w:r>
      <w:r w:rsidR="008B2347">
        <w:rPr>
          <w:color w:val="000000" w:themeColor="text1"/>
          <w:szCs w:val="24"/>
        </w:rPr>
        <w:t>a</w:t>
      </w:r>
      <w:r w:rsidR="00E70B4E" w:rsidRPr="004E1BAB">
        <w:rPr>
          <w:color w:val="000000" w:themeColor="text1"/>
          <w:szCs w:val="24"/>
        </w:rPr>
        <w:t xml:space="preserve">ddendum to the </w:t>
      </w:r>
      <w:r w:rsidR="006D5C3D" w:rsidRPr="004E1BAB">
        <w:rPr>
          <w:color w:val="000000" w:themeColor="text1"/>
          <w:szCs w:val="24"/>
        </w:rPr>
        <w:t xml:space="preserve">MEB </w:t>
      </w:r>
      <w:r w:rsidR="008B2347">
        <w:rPr>
          <w:color w:val="000000" w:themeColor="text1"/>
          <w:szCs w:val="24"/>
        </w:rPr>
        <w:t>n</w:t>
      </w:r>
      <w:r w:rsidR="00E70B4E" w:rsidRPr="004E1BAB">
        <w:rPr>
          <w:color w:val="000000" w:themeColor="text1"/>
          <w:szCs w:val="24"/>
        </w:rPr>
        <w:t xml:space="preserve">arrative </w:t>
      </w:r>
      <w:r w:rsidR="008B2347">
        <w:rPr>
          <w:color w:val="000000" w:themeColor="text1"/>
          <w:szCs w:val="24"/>
        </w:rPr>
        <w:t>s</w:t>
      </w:r>
      <w:r w:rsidR="00E70B4E" w:rsidRPr="004E1BAB">
        <w:rPr>
          <w:color w:val="000000" w:themeColor="text1"/>
          <w:szCs w:val="24"/>
        </w:rPr>
        <w:t xml:space="preserve">ummary (NARSUM) </w:t>
      </w:r>
      <w:r w:rsidR="006D5C3D" w:rsidRPr="004E1BAB">
        <w:rPr>
          <w:color w:val="000000" w:themeColor="text1"/>
          <w:szCs w:val="24"/>
        </w:rPr>
        <w:t>examination</w:t>
      </w:r>
      <w:r w:rsidR="00E70B4E" w:rsidRPr="004E1BAB">
        <w:rPr>
          <w:color w:val="000000" w:themeColor="text1"/>
          <w:szCs w:val="24"/>
        </w:rPr>
        <w:t xml:space="preserve">, approximately </w:t>
      </w:r>
      <w:r w:rsidR="008B2347">
        <w:rPr>
          <w:color w:val="000000" w:themeColor="text1"/>
          <w:szCs w:val="24"/>
        </w:rPr>
        <w:t xml:space="preserve">6 </w:t>
      </w:r>
      <w:r w:rsidR="00E70B4E" w:rsidRPr="004E1BAB">
        <w:rPr>
          <w:color w:val="000000" w:themeColor="text1"/>
          <w:szCs w:val="24"/>
        </w:rPr>
        <w:t xml:space="preserve">months prior to separation, the podiatrist noted the CI had tenderness to palpation at the insertion of the left Achilles tendon but none on the right side. </w:t>
      </w:r>
      <w:r w:rsidR="00E54EF8" w:rsidRPr="004E1BAB">
        <w:rPr>
          <w:color w:val="000000" w:themeColor="text1"/>
          <w:szCs w:val="24"/>
        </w:rPr>
        <w:t xml:space="preserve"> </w:t>
      </w:r>
      <w:r w:rsidR="00E70B4E" w:rsidRPr="004E1BAB">
        <w:rPr>
          <w:color w:val="000000" w:themeColor="text1"/>
          <w:szCs w:val="24"/>
        </w:rPr>
        <w:t xml:space="preserve">The examiner also noted a mildly lower medial longitudinal arch bilaterally and </w:t>
      </w:r>
      <w:r w:rsidR="00A36CAD" w:rsidRPr="004E1BAB">
        <w:rPr>
          <w:color w:val="000000" w:themeColor="text1"/>
          <w:szCs w:val="24"/>
        </w:rPr>
        <w:t>c</w:t>
      </w:r>
      <w:r w:rsidR="00E70B4E" w:rsidRPr="004E1BAB">
        <w:rPr>
          <w:color w:val="000000" w:themeColor="text1"/>
          <w:szCs w:val="24"/>
        </w:rPr>
        <w:t>alcaneal eversion or tilting outward of the foot noted to the distal third of the leg</w:t>
      </w:r>
      <w:r w:rsidR="00A36CAD" w:rsidRPr="004E1BAB">
        <w:rPr>
          <w:color w:val="000000" w:themeColor="text1"/>
          <w:szCs w:val="24"/>
        </w:rPr>
        <w:t xml:space="preserve">, indicating a mild flat foot deformity. </w:t>
      </w:r>
      <w:r w:rsidR="00E54EF8" w:rsidRPr="004E1BAB">
        <w:rPr>
          <w:color w:val="000000" w:themeColor="text1"/>
          <w:szCs w:val="24"/>
        </w:rPr>
        <w:t xml:space="preserve"> </w:t>
      </w:r>
      <w:r w:rsidR="00A36CAD" w:rsidRPr="004E1BAB">
        <w:rPr>
          <w:color w:val="000000" w:themeColor="text1"/>
          <w:szCs w:val="24"/>
        </w:rPr>
        <w:t xml:space="preserve">The examiner also noted that on the CI’s entrance physical mild asymptomatic pes planus was noted and there were no foot related complaints. </w:t>
      </w:r>
      <w:r w:rsidR="00E54EF8" w:rsidRPr="004E1BAB">
        <w:rPr>
          <w:color w:val="000000" w:themeColor="text1"/>
          <w:szCs w:val="24"/>
        </w:rPr>
        <w:t xml:space="preserve"> </w:t>
      </w:r>
      <w:r w:rsidR="00A36CAD" w:rsidRPr="004E1BAB">
        <w:rPr>
          <w:color w:val="000000" w:themeColor="text1"/>
          <w:szCs w:val="24"/>
        </w:rPr>
        <w:t xml:space="preserve">X-rays taken at the time of the exam noted a mild left bunion, a slight inferior left heel spur, and an accessory bone (os peroneum) which appeared to be fragmented. </w:t>
      </w:r>
      <w:r w:rsidR="00E54EF8" w:rsidRPr="004E1BAB">
        <w:rPr>
          <w:color w:val="000000" w:themeColor="text1"/>
          <w:szCs w:val="24"/>
        </w:rPr>
        <w:t xml:space="preserve"> </w:t>
      </w:r>
      <w:r w:rsidR="00A36CAD" w:rsidRPr="004E1BAB">
        <w:rPr>
          <w:color w:val="000000" w:themeColor="text1"/>
          <w:szCs w:val="24"/>
        </w:rPr>
        <w:t xml:space="preserve">The right foot also showed a small inferior heel </w:t>
      </w:r>
      <w:r w:rsidR="00A36CAD" w:rsidRPr="004E1BAB">
        <w:rPr>
          <w:color w:val="000000" w:themeColor="text1"/>
          <w:szCs w:val="24"/>
        </w:rPr>
        <w:lastRenderedPageBreak/>
        <w:t xml:space="preserve">spur. </w:t>
      </w:r>
      <w:r w:rsidR="00E54EF8" w:rsidRPr="004E1BAB">
        <w:rPr>
          <w:color w:val="000000" w:themeColor="text1"/>
          <w:szCs w:val="24"/>
        </w:rPr>
        <w:t xml:space="preserve"> </w:t>
      </w:r>
      <w:r w:rsidR="00A36CAD" w:rsidRPr="004E1BAB">
        <w:rPr>
          <w:color w:val="000000" w:themeColor="text1"/>
          <w:szCs w:val="24"/>
        </w:rPr>
        <w:t>The impact on duty performance</w:t>
      </w:r>
      <w:r w:rsidR="00E54EF8" w:rsidRPr="004E1BAB">
        <w:rPr>
          <w:color w:val="000000" w:themeColor="text1"/>
          <w:szCs w:val="24"/>
        </w:rPr>
        <w:t xml:space="preserve"> was noted to be severe</w:t>
      </w:r>
      <w:r w:rsidR="00A36CAD" w:rsidRPr="004E1BAB">
        <w:rPr>
          <w:color w:val="000000" w:themeColor="text1"/>
          <w:szCs w:val="24"/>
        </w:rPr>
        <w:t xml:space="preserve"> and limited and the examiner opined the CI’s prognosis was poor and the condition was unacceptable for military duty. </w:t>
      </w:r>
      <w:r w:rsidR="00E54EF8" w:rsidRPr="004E1BAB">
        <w:rPr>
          <w:color w:val="000000" w:themeColor="text1"/>
          <w:szCs w:val="24"/>
        </w:rPr>
        <w:t xml:space="preserve"> </w:t>
      </w:r>
      <w:r w:rsidR="00A36CAD" w:rsidRPr="004E1BAB">
        <w:rPr>
          <w:color w:val="000000" w:themeColor="text1"/>
          <w:szCs w:val="24"/>
        </w:rPr>
        <w:t xml:space="preserve">He was issued a permanent L3 profile with significant limitations. </w:t>
      </w:r>
      <w:r w:rsidR="00E54EF8" w:rsidRPr="004E1BAB">
        <w:rPr>
          <w:color w:val="000000" w:themeColor="text1"/>
          <w:szCs w:val="24"/>
        </w:rPr>
        <w:t xml:space="preserve"> </w:t>
      </w:r>
      <w:r w:rsidR="00A36CAD" w:rsidRPr="004E1BAB">
        <w:rPr>
          <w:color w:val="000000" w:themeColor="text1"/>
          <w:szCs w:val="24"/>
        </w:rPr>
        <w:t>The VA Compensation and Pension (C&amp;P) examination</w:t>
      </w:r>
      <w:r w:rsidR="008B2347">
        <w:rPr>
          <w:color w:val="000000" w:themeColor="text1"/>
          <w:szCs w:val="24"/>
        </w:rPr>
        <w:t xml:space="preserve">, </w:t>
      </w:r>
      <w:r w:rsidR="00A36CAD" w:rsidRPr="004E1BAB">
        <w:rPr>
          <w:color w:val="000000" w:themeColor="text1"/>
          <w:szCs w:val="24"/>
        </w:rPr>
        <w:t xml:space="preserve">completed approximately </w:t>
      </w:r>
      <w:r w:rsidR="008B2347">
        <w:rPr>
          <w:color w:val="000000" w:themeColor="text1"/>
          <w:szCs w:val="24"/>
        </w:rPr>
        <w:t xml:space="preserve">4 </w:t>
      </w:r>
      <w:r w:rsidR="00A36CAD" w:rsidRPr="004E1BAB">
        <w:rPr>
          <w:color w:val="000000" w:themeColor="text1"/>
          <w:szCs w:val="24"/>
        </w:rPr>
        <w:t>months after the CI separated</w:t>
      </w:r>
      <w:r w:rsidR="008B2347">
        <w:rPr>
          <w:color w:val="000000" w:themeColor="text1"/>
          <w:szCs w:val="24"/>
        </w:rPr>
        <w:t>,</w:t>
      </w:r>
      <w:r w:rsidR="00E9113F" w:rsidRPr="004E1BAB">
        <w:rPr>
          <w:color w:val="000000" w:themeColor="text1"/>
          <w:szCs w:val="24"/>
        </w:rPr>
        <w:t xml:space="preserve"> </w:t>
      </w:r>
      <w:r w:rsidR="008B2347">
        <w:rPr>
          <w:color w:val="000000" w:themeColor="text1"/>
          <w:szCs w:val="24"/>
        </w:rPr>
        <w:t>noted a 2</w:t>
      </w:r>
      <w:r w:rsidR="00E9113F" w:rsidRPr="004E1BAB">
        <w:rPr>
          <w:color w:val="000000" w:themeColor="text1"/>
          <w:szCs w:val="24"/>
        </w:rPr>
        <w:t xml:space="preserve"> year history of left Achilles tendonitis. </w:t>
      </w:r>
      <w:r w:rsidR="00E54EF8" w:rsidRPr="004E1BAB">
        <w:rPr>
          <w:color w:val="000000" w:themeColor="text1"/>
          <w:szCs w:val="24"/>
        </w:rPr>
        <w:t xml:space="preserve"> </w:t>
      </w:r>
      <w:r w:rsidR="00E9113F" w:rsidRPr="004E1BAB">
        <w:rPr>
          <w:color w:val="000000" w:themeColor="text1"/>
          <w:szCs w:val="24"/>
        </w:rPr>
        <w:t xml:space="preserve">The CI reported weakness, stiffness, swelling, heat, redness, lack of endurance and fatigability. </w:t>
      </w:r>
      <w:r w:rsidR="00E54EF8" w:rsidRPr="004E1BAB">
        <w:rPr>
          <w:color w:val="000000" w:themeColor="text1"/>
          <w:szCs w:val="24"/>
        </w:rPr>
        <w:t xml:space="preserve"> </w:t>
      </w:r>
      <w:r w:rsidR="00E9113F" w:rsidRPr="004E1BAB">
        <w:rPr>
          <w:color w:val="000000" w:themeColor="text1"/>
          <w:szCs w:val="24"/>
        </w:rPr>
        <w:t xml:space="preserve">He did not have giving way, locking, or dislocation. </w:t>
      </w:r>
      <w:r w:rsidR="00E54EF8" w:rsidRPr="004E1BAB">
        <w:rPr>
          <w:color w:val="000000" w:themeColor="text1"/>
          <w:szCs w:val="24"/>
        </w:rPr>
        <w:t xml:space="preserve"> </w:t>
      </w:r>
      <w:r w:rsidR="00E9113F" w:rsidRPr="004E1BAB">
        <w:rPr>
          <w:color w:val="000000" w:themeColor="text1"/>
          <w:szCs w:val="24"/>
        </w:rPr>
        <w:t xml:space="preserve">The pain occurred constantly and was localized. </w:t>
      </w:r>
      <w:r w:rsidR="00E54EF8" w:rsidRPr="004E1BAB">
        <w:rPr>
          <w:color w:val="000000" w:themeColor="text1"/>
          <w:szCs w:val="24"/>
        </w:rPr>
        <w:t xml:space="preserve"> </w:t>
      </w:r>
      <w:r w:rsidR="00E9113F" w:rsidRPr="004E1BAB">
        <w:rPr>
          <w:color w:val="000000" w:themeColor="text1"/>
          <w:szCs w:val="24"/>
        </w:rPr>
        <w:t>The pain was described as squeezing, burning, aching, sharp, a</w:t>
      </w:r>
      <w:r w:rsidR="008B2347">
        <w:rPr>
          <w:color w:val="000000" w:themeColor="text1"/>
          <w:szCs w:val="24"/>
        </w:rPr>
        <w:t>nd cramping and was rated at 10/</w:t>
      </w:r>
      <w:r w:rsidR="00E9113F" w:rsidRPr="004E1BAB">
        <w:rPr>
          <w:color w:val="000000" w:themeColor="text1"/>
          <w:szCs w:val="24"/>
        </w:rPr>
        <w:t xml:space="preserve">10. </w:t>
      </w:r>
      <w:r w:rsidR="00E54EF8" w:rsidRPr="004E1BAB">
        <w:rPr>
          <w:color w:val="000000" w:themeColor="text1"/>
          <w:szCs w:val="24"/>
        </w:rPr>
        <w:t xml:space="preserve"> </w:t>
      </w:r>
      <w:r w:rsidR="00E9113F" w:rsidRPr="004E1BAB">
        <w:rPr>
          <w:color w:val="000000" w:themeColor="text1"/>
          <w:szCs w:val="24"/>
        </w:rPr>
        <w:t xml:space="preserve">The pain was elicited by physical activity and by touch but also occurred spontaneously. It was relieved by medication, Flexeril and sometimes resolved spontaneously. </w:t>
      </w:r>
      <w:r w:rsidR="00E54EF8" w:rsidRPr="004E1BAB">
        <w:rPr>
          <w:color w:val="000000" w:themeColor="text1"/>
          <w:szCs w:val="24"/>
        </w:rPr>
        <w:t xml:space="preserve"> </w:t>
      </w:r>
      <w:r w:rsidR="00E9113F" w:rsidRPr="004E1BAB">
        <w:rPr>
          <w:color w:val="000000" w:themeColor="text1"/>
          <w:szCs w:val="24"/>
        </w:rPr>
        <w:t xml:space="preserve">When he had pain, he could still function with medication. </w:t>
      </w:r>
      <w:r w:rsidR="00E54EF8" w:rsidRPr="004E1BAB">
        <w:rPr>
          <w:color w:val="000000" w:themeColor="text1"/>
          <w:szCs w:val="24"/>
        </w:rPr>
        <w:t xml:space="preserve"> </w:t>
      </w:r>
      <w:r w:rsidR="00E9113F" w:rsidRPr="004E1BAB">
        <w:rPr>
          <w:color w:val="000000" w:themeColor="text1"/>
          <w:szCs w:val="24"/>
        </w:rPr>
        <w:t xml:space="preserve">The current treatment was Flexeril, Motrin, shoe inserts, and tennis shoes. </w:t>
      </w:r>
      <w:r w:rsidR="00E54EF8" w:rsidRPr="004E1BAB">
        <w:rPr>
          <w:color w:val="000000" w:themeColor="text1"/>
          <w:szCs w:val="24"/>
        </w:rPr>
        <w:t xml:space="preserve"> </w:t>
      </w:r>
      <w:r w:rsidR="00E9113F" w:rsidRPr="004E1BAB">
        <w:rPr>
          <w:color w:val="000000" w:themeColor="text1"/>
          <w:szCs w:val="24"/>
        </w:rPr>
        <w:t>He had not had any prosthetic implants of the joint and was unable to: run, stand, or walk for prolong periods, or jump or put weight on his heels.</w:t>
      </w:r>
      <w:r w:rsidR="000772A7" w:rsidRPr="004E1BAB">
        <w:rPr>
          <w:color w:val="000000" w:themeColor="text1"/>
          <w:szCs w:val="24"/>
        </w:rPr>
        <w:t xml:space="preserve"> </w:t>
      </w:r>
      <w:r w:rsidR="00E54EF8" w:rsidRPr="004E1BAB">
        <w:rPr>
          <w:color w:val="000000" w:themeColor="text1"/>
          <w:szCs w:val="24"/>
        </w:rPr>
        <w:t xml:space="preserve"> </w:t>
      </w:r>
      <w:r w:rsidR="000772A7" w:rsidRPr="004E1BAB">
        <w:rPr>
          <w:color w:val="000000" w:themeColor="text1"/>
          <w:szCs w:val="24"/>
        </w:rPr>
        <w:t xml:space="preserve">The bilateral foot examination documented no signs of abnormal weight bearing or breakdown, callosities or unusually shoe wear pattern and the CI did not require any assistive device for ambulation. </w:t>
      </w:r>
      <w:r w:rsidR="00E54EF8" w:rsidRPr="004E1BAB">
        <w:rPr>
          <w:color w:val="000000" w:themeColor="text1"/>
          <w:szCs w:val="24"/>
        </w:rPr>
        <w:t xml:space="preserve"> </w:t>
      </w:r>
      <w:r w:rsidR="000772A7" w:rsidRPr="004E1BAB">
        <w:rPr>
          <w:color w:val="000000" w:themeColor="text1"/>
          <w:szCs w:val="24"/>
        </w:rPr>
        <w:t xml:space="preserve">Gait and posture were normal. </w:t>
      </w:r>
      <w:r w:rsidR="00E54EF8" w:rsidRPr="004E1BAB">
        <w:rPr>
          <w:color w:val="000000" w:themeColor="text1"/>
          <w:szCs w:val="24"/>
        </w:rPr>
        <w:t xml:space="preserve"> </w:t>
      </w:r>
      <w:r w:rsidR="000B1554" w:rsidRPr="004E1BAB">
        <w:rPr>
          <w:color w:val="000000" w:themeColor="text1"/>
          <w:szCs w:val="24"/>
        </w:rPr>
        <w:t xml:space="preserve">There was tenderness to palpation over the distal Achilles tendon on both the right and left sides. </w:t>
      </w:r>
      <w:r w:rsidR="00E54EF8" w:rsidRPr="004E1BAB">
        <w:rPr>
          <w:color w:val="000000" w:themeColor="text1"/>
          <w:szCs w:val="24"/>
        </w:rPr>
        <w:t xml:space="preserve"> </w:t>
      </w:r>
      <w:r w:rsidR="000B1554" w:rsidRPr="004E1BAB">
        <w:rPr>
          <w:color w:val="000000" w:themeColor="text1"/>
          <w:szCs w:val="24"/>
        </w:rPr>
        <w:t xml:space="preserve">There was no edema, effusion, weakness, redness, heat, or guarding of movement. </w:t>
      </w:r>
      <w:r w:rsidR="00E54EF8" w:rsidRPr="004E1BAB">
        <w:rPr>
          <w:color w:val="000000" w:themeColor="text1"/>
          <w:szCs w:val="24"/>
        </w:rPr>
        <w:t xml:space="preserve"> </w:t>
      </w:r>
      <w:r w:rsidR="000772A7" w:rsidRPr="004E1BAB">
        <w:rPr>
          <w:color w:val="000000" w:themeColor="text1"/>
          <w:szCs w:val="24"/>
        </w:rPr>
        <w:t xml:space="preserve">There was no limitation of motion of either ankle joint. </w:t>
      </w:r>
      <w:r w:rsidR="00E54EF8" w:rsidRPr="004E1BAB">
        <w:rPr>
          <w:color w:val="000000" w:themeColor="text1"/>
          <w:szCs w:val="24"/>
        </w:rPr>
        <w:t xml:space="preserve"> </w:t>
      </w:r>
      <w:r w:rsidR="000772A7" w:rsidRPr="004E1BAB">
        <w:rPr>
          <w:color w:val="000000" w:themeColor="text1"/>
          <w:szCs w:val="24"/>
        </w:rPr>
        <w:t xml:space="preserve">Motor, sensory, and reflex examination of the bilateral lower extremities was normal and right </w:t>
      </w:r>
      <w:r w:rsidR="000B1554" w:rsidRPr="004E1BAB">
        <w:rPr>
          <w:color w:val="000000" w:themeColor="text1"/>
          <w:szCs w:val="24"/>
        </w:rPr>
        <w:t>and</w:t>
      </w:r>
      <w:r w:rsidR="000772A7" w:rsidRPr="004E1BAB">
        <w:rPr>
          <w:color w:val="000000" w:themeColor="text1"/>
          <w:szCs w:val="24"/>
        </w:rPr>
        <w:t xml:space="preserve"> left </w:t>
      </w:r>
      <w:r w:rsidR="000B1554" w:rsidRPr="004E1BAB">
        <w:rPr>
          <w:color w:val="000000" w:themeColor="text1"/>
          <w:szCs w:val="24"/>
        </w:rPr>
        <w:t>ankle</w:t>
      </w:r>
      <w:r w:rsidR="008B2347">
        <w:rPr>
          <w:color w:val="000000" w:themeColor="text1"/>
          <w:szCs w:val="24"/>
        </w:rPr>
        <w:t xml:space="preserve"> X</w:t>
      </w:r>
      <w:r w:rsidR="000772A7" w:rsidRPr="004E1BAB">
        <w:rPr>
          <w:color w:val="000000" w:themeColor="text1"/>
          <w:szCs w:val="24"/>
        </w:rPr>
        <w:t>-rays were normal.</w:t>
      </w:r>
    </w:p>
    <w:p w:rsidR="00542022" w:rsidRPr="004E1BAB" w:rsidRDefault="00542022" w:rsidP="00B22D42">
      <w:pPr>
        <w:jc w:val="both"/>
        <w:rPr>
          <w:color w:val="auto"/>
        </w:rPr>
      </w:pPr>
    </w:p>
    <w:p w:rsidR="0069687C" w:rsidRDefault="0069687C" w:rsidP="0069687C">
      <w:pPr>
        <w:jc w:val="both"/>
        <w:rPr>
          <w:color w:val="auto"/>
          <w:szCs w:val="24"/>
        </w:rPr>
      </w:pPr>
      <w:r w:rsidRPr="004E1BAB">
        <w:rPr>
          <w:color w:val="auto"/>
          <w:szCs w:val="24"/>
        </w:rPr>
        <w:t>There w</w:t>
      </w:r>
      <w:r w:rsidR="00631E6B" w:rsidRPr="004E1BAB">
        <w:rPr>
          <w:color w:val="auto"/>
          <w:szCs w:val="24"/>
        </w:rPr>
        <w:t>as</w:t>
      </w:r>
      <w:r w:rsidRPr="004E1BAB">
        <w:rPr>
          <w:color w:val="auto"/>
          <w:szCs w:val="24"/>
        </w:rPr>
        <w:t xml:space="preserve"> </w:t>
      </w:r>
      <w:r w:rsidR="006D5C3D" w:rsidRPr="004E1BAB">
        <w:rPr>
          <w:color w:val="auto"/>
          <w:szCs w:val="24"/>
        </w:rPr>
        <w:t>one</w:t>
      </w:r>
      <w:r w:rsidR="008B2347">
        <w:rPr>
          <w:color w:val="auto"/>
          <w:szCs w:val="24"/>
        </w:rPr>
        <w:t xml:space="preserve"> goniometric range-of-</w:t>
      </w:r>
      <w:r w:rsidR="006D5C3D" w:rsidRPr="004E1BAB">
        <w:rPr>
          <w:color w:val="auto"/>
          <w:szCs w:val="24"/>
        </w:rPr>
        <w:t>motion (ROM) evaluation of the ankles</w:t>
      </w:r>
      <w:r w:rsidRPr="004E1BAB">
        <w:rPr>
          <w:color w:val="auto"/>
          <w:szCs w:val="24"/>
        </w:rPr>
        <w:t xml:space="preserve"> in evidence, with documentation of additional ratable criteria, which the Board weighed in arriving at its rating recommendation; as summarized in the chart below.</w:t>
      </w:r>
      <w:r w:rsidR="00165C7B" w:rsidRPr="004E1BAB">
        <w:rPr>
          <w:color w:val="auto"/>
          <w:szCs w:val="24"/>
        </w:rPr>
        <w:t xml:space="preserve">  </w:t>
      </w:r>
    </w:p>
    <w:p w:rsidR="004E1BAB" w:rsidRPr="004E1BAB" w:rsidRDefault="004E1BAB" w:rsidP="0069687C">
      <w:pPr>
        <w:jc w:val="both"/>
        <w:rPr>
          <w:color w:val="auto"/>
          <w:szCs w:val="24"/>
        </w:rPr>
      </w:pPr>
    </w:p>
    <w:tbl>
      <w:tblPr>
        <w:tblpPr w:leftFromText="180" w:rightFromText="180" w:vertAnchor="text" w:tblpXSpec="center" w:tblpY="1"/>
        <w:tblOverlap w:val="never"/>
        <w:tblW w:w="5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4"/>
        <w:gridCol w:w="3204"/>
      </w:tblGrid>
      <w:tr w:rsidR="00631E6B" w:rsidRPr="004E1BAB" w:rsidTr="006D5C3D">
        <w:trPr>
          <w:trHeight w:val="467"/>
        </w:trPr>
        <w:tc>
          <w:tcPr>
            <w:tcW w:w="2664" w:type="dxa"/>
            <w:shd w:val="clear" w:color="auto" w:fill="D9D9D9" w:themeFill="background1" w:themeFillShade="D9"/>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Goniometric ROM –</w:t>
            </w:r>
          </w:p>
          <w:p w:rsidR="00631E6B" w:rsidRPr="004E1BAB" w:rsidRDefault="006D5C3D"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Right and Left</w:t>
            </w:r>
            <w:r w:rsidR="00631E6B" w:rsidRPr="004E1BAB">
              <w:rPr>
                <w:rFonts w:asciiTheme="majorHAnsi" w:eastAsia="Calibri" w:hAnsiTheme="majorHAnsi"/>
                <w:color w:val="000000" w:themeColor="text1"/>
                <w:sz w:val="18"/>
                <w:szCs w:val="18"/>
              </w:rPr>
              <w:t xml:space="preserve"> Ankle</w:t>
            </w:r>
          </w:p>
        </w:tc>
        <w:tc>
          <w:tcPr>
            <w:tcW w:w="3204" w:type="dxa"/>
            <w:shd w:val="clear" w:color="auto" w:fill="D9D9D9" w:themeFill="background1" w:themeFillShade="D9"/>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VA</w:t>
            </w:r>
            <w:r w:rsidRPr="004E1BAB">
              <w:rPr>
                <w:rFonts w:asciiTheme="majorHAnsi" w:eastAsiaTheme="minorHAnsi" w:hAnsiTheme="majorHAnsi"/>
                <w:color w:val="000000" w:themeColor="text1"/>
                <w:sz w:val="18"/>
                <w:szCs w:val="18"/>
              </w:rPr>
              <w:t xml:space="preserve"> C&amp;P </w:t>
            </w:r>
            <w:r w:rsidRPr="004E1BAB">
              <w:rPr>
                <w:rFonts w:asciiTheme="majorHAnsi" w:eastAsia="Calibri" w:hAnsiTheme="majorHAnsi"/>
                <w:color w:val="000000" w:themeColor="text1"/>
                <w:sz w:val="18"/>
                <w:szCs w:val="18"/>
              </w:rPr>
              <w:t>~ 4 Mo</w:t>
            </w:r>
            <w:r w:rsidR="006D5C3D" w:rsidRPr="004E1BAB">
              <w:rPr>
                <w:rFonts w:asciiTheme="majorHAnsi" w:eastAsia="Calibri" w:hAnsiTheme="majorHAnsi"/>
                <w:color w:val="000000" w:themeColor="text1"/>
                <w:sz w:val="18"/>
                <w:szCs w:val="18"/>
              </w:rPr>
              <w:t>nths</w:t>
            </w:r>
            <w:r w:rsidRPr="004E1BAB">
              <w:rPr>
                <w:rFonts w:asciiTheme="majorHAnsi" w:eastAsia="Calibri" w:hAnsiTheme="majorHAnsi"/>
                <w:color w:val="000000" w:themeColor="text1"/>
                <w:sz w:val="18"/>
                <w:szCs w:val="18"/>
              </w:rPr>
              <w:t xml:space="preserve"> </w:t>
            </w:r>
            <w:r w:rsidR="006D5C3D" w:rsidRPr="004E1BAB">
              <w:rPr>
                <w:rFonts w:asciiTheme="majorHAnsi" w:eastAsia="Calibri" w:hAnsiTheme="majorHAnsi"/>
                <w:color w:val="000000" w:themeColor="text1"/>
                <w:sz w:val="18"/>
                <w:szCs w:val="18"/>
              </w:rPr>
              <w:t>Post</w:t>
            </w:r>
            <w:r w:rsidRPr="004E1BAB">
              <w:rPr>
                <w:rFonts w:asciiTheme="majorHAnsi" w:eastAsia="Calibri" w:hAnsiTheme="majorHAnsi"/>
                <w:color w:val="000000" w:themeColor="text1"/>
                <w:sz w:val="18"/>
                <w:szCs w:val="18"/>
              </w:rPr>
              <w:t>-Sep</w:t>
            </w:r>
            <w:r w:rsidR="006D5C3D" w:rsidRPr="004E1BAB">
              <w:rPr>
                <w:rFonts w:asciiTheme="majorHAnsi" w:eastAsia="Calibri" w:hAnsiTheme="majorHAnsi"/>
                <w:color w:val="000000" w:themeColor="text1"/>
                <w:sz w:val="18"/>
                <w:szCs w:val="18"/>
              </w:rPr>
              <w:t>aration</w:t>
            </w:r>
          </w:p>
          <w:p w:rsidR="00631E6B" w:rsidRPr="004E1BAB" w:rsidRDefault="00631E6B" w:rsidP="00F91D70">
            <w:pPr>
              <w:contextualSpacing/>
              <w:rPr>
                <w:rFonts w:asciiTheme="majorHAnsi" w:eastAsiaTheme="minorHAnsi" w:hAnsiTheme="majorHAnsi"/>
                <w:color w:val="000000" w:themeColor="text1"/>
                <w:sz w:val="18"/>
                <w:szCs w:val="18"/>
              </w:rPr>
            </w:pPr>
            <w:r w:rsidRPr="004E1BAB">
              <w:rPr>
                <w:rFonts w:asciiTheme="majorHAnsi" w:eastAsia="Calibri" w:hAnsiTheme="majorHAnsi"/>
                <w:color w:val="000000" w:themeColor="text1"/>
                <w:sz w:val="18"/>
                <w:szCs w:val="18"/>
              </w:rPr>
              <w:t>(20080611)</w:t>
            </w:r>
          </w:p>
        </w:tc>
      </w:tr>
      <w:tr w:rsidR="00631E6B" w:rsidRPr="004E1BAB" w:rsidTr="006D5C3D">
        <w:tc>
          <w:tcPr>
            <w:tcW w:w="266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Right Dorsiflexion  (0-20)</w:t>
            </w:r>
          </w:p>
        </w:tc>
        <w:tc>
          <w:tcPr>
            <w:tcW w:w="320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20⁰</w:t>
            </w:r>
          </w:p>
        </w:tc>
      </w:tr>
      <w:tr w:rsidR="00631E6B" w:rsidRPr="004E1BAB" w:rsidTr="006D5C3D">
        <w:tc>
          <w:tcPr>
            <w:tcW w:w="266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Right Plantar Flexion (0-45)</w:t>
            </w:r>
          </w:p>
        </w:tc>
        <w:tc>
          <w:tcPr>
            <w:tcW w:w="320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45⁰</w:t>
            </w:r>
          </w:p>
        </w:tc>
      </w:tr>
      <w:tr w:rsidR="00631E6B" w:rsidRPr="004E1BAB" w:rsidTr="006D5C3D">
        <w:tc>
          <w:tcPr>
            <w:tcW w:w="266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Left Dorsiflexion (0-20)</w:t>
            </w:r>
          </w:p>
        </w:tc>
        <w:tc>
          <w:tcPr>
            <w:tcW w:w="320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20⁰</w:t>
            </w:r>
          </w:p>
        </w:tc>
      </w:tr>
      <w:tr w:rsidR="00631E6B" w:rsidRPr="004E1BAB" w:rsidTr="006D5C3D">
        <w:tc>
          <w:tcPr>
            <w:tcW w:w="266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Left Plantar Flexion (0-45)</w:t>
            </w:r>
          </w:p>
        </w:tc>
        <w:tc>
          <w:tcPr>
            <w:tcW w:w="3204" w:type="dxa"/>
            <w:vAlign w:val="center"/>
          </w:tcPr>
          <w:p w:rsidR="00631E6B" w:rsidRPr="004E1BAB" w:rsidRDefault="00631E6B" w:rsidP="00F91D70">
            <w:pPr>
              <w:contextualSpacing/>
              <w:rPr>
                <w:rFonts w:asciiTheme="majorHAnsi" w:eastAsia="Calibri" w:hAnsiTheme="majorHAnsi"/>
                <w:color w:val="000000" w:themeColor="text1"/>
                <w:sz w:val="18"/>
                <w:szCs w:val="18"/>
              </w:rPr>
            </w:pPr>
            <w:r w:rsidRPr="004E1BAB">
              <w:rPr>
                <w:rFonts w:asciiTheme="majorHAnsi" w:eastAsia="Calibri" w:hAnsiTheme="majorHAnsi"/>
                <w:color w:val="000000" w:themeColor="text1"/>
                <w:sz w:val="18"/>
                <w:szCs w:val="18"/>
              </w:rPr>
              <w:t>45⁰</w:t>
            </w:r>
          </w:p>
        </w:tc>
      </w:tr>
      <w:tr w:rsidR="00631E6B" w:rsidRPr="004E1BAB" w:rsidTr="006D5C3D">
        <w:tc>
          <w:tcPr>
            <w:tcW w:w="2664" w:type="dxa"/>
            <w:vAlign w:val="center"/>
          </w:tcPr>
          <w:p w:rsidR="00631E6B" w:rsidRPr="004E1BAB" w:rsidRDefault="00631E6B" w:rsidP="00F91D70">
            <w:pPr>
              <w:tabs>
                <w:tab w:val="left" w:pos="288"/>
                <w:tab w:val="left" w:pos="4752"/>
              </w:tabs>
              <w:rPr>
                <w:rFonts w:asciiTheme="majorHAnsi" w:eastAsiaTheme="minorHAnsi" w:hAnsiTheme="majorHAnsi"/>
                <w:color w:val="000000" w:themeColor="text1"/>
                <w:sz w:val="18"/>
                <w:szCs w:val="18"/>
              </w:rPr>
            </w:pPr>
            <w:r w:rsidRPr="004E1BAB">
              <w:rPr>
                <w:rFonts w:asciiTheme="majorHAnsi" w:eastAsiaTheme="minorHAnsi" w:hAnsiTheme="majorHAnsi"/>
                <w:color w:val="000000" w:themeColor="text1"/>
                <w:sz w:val="18"/>
                <w:szCs w:val="18"/>
              </w:rPr>
              <w:t>Comment</w:t>
            </w:r>
          </w:p>
        </w:tc>
        <w:tc>
          <w:tcPr>
            <w:tcW w:w="3204" w:type="dxa"/>
            <w:vAlign w:val="center"/>
          </w:tcPr>
          <w:p w:rsidR="00631E6B" w:rsidRPr="004E1BAB" w:rsidRDefault="000B1554" w:rsidP="00374A14">
            <w:pPr>
              <w:pStyle w:val="ListParagraph"/>
              <w:spacing w:after="0" w:line="240" w:lineRule="exact"/>
              <w:ind w:left="0"/>
              <w:rPr>
                <w:rFonts w:asciiTheme="majorHAnsi" w:eastAsia="Calibri" w:hAnsiTheme="majorHAnsi" w:cstheme="minorHAnsi"/>
                <w:color w:val="000000" w:themeColor="text1"/>
                <w:sz w:val="18"/>
                <w:szCs w:val="18"/>
              </w:rPr>
            </w:pPr>
            <w:r w:rsidRPr="004E1BAB">
              <w:rPr>
                <w:rFonts w:asciiTheme="majorHAnsi" w:eastAsia="Calibri" w:hAnsiTheme="majorHAnsi" w:cstheme="minorHAnsi"/>
                <w:color w:val="000000" w:themeColor="text1"/>
                <w:sz w:val="18"/>
                <w:szCs w:val="18"/>
              </w:rPr>
              <w:t>No painful motion</w:t>
            </w:r>
          </w:p>
        </w:tc>
      </w:tr>
      <w:tr w:rsidR="00631E6B" w:rsidRPr="004E1BAB" w:rsidTr="006D5C3D">
        <w:tc>
          <w:tcPr>
            <w:tcW w:w="2664" w:type="dxa"/>
            <w:vAlign w:val="center"/>
          </w:tcPr>
          <w:p w:rsidR="00631E6B" w:rsidRPr="004E1BAB" w:rsidRDefault="00631E6B" w:rsidP="00F91D70">
            <w:pPr>
              <w:tabs>
                <w:tab w:val="left" w:pos="288"/>
                <w:tab w:val="left" w:pos="4752"/>
              </w:tabs>
              <w:rPr>
                <w:rFonts w:asciiTheme="majorHAnsi" w:eastAsiaTheme="minorHAnsi" w:hAnsiTheme="majorHAnsi"/>
                <w:color w:val="000000" w:themeColor="text1"/>
                <w:sz w:val="18"/>
                <w:szCs w:val="18"/>
              </w:rPr>
            </w:pPr>
            <w:r w:rsidRPr="004E1BAB">
              <w:rPr>
                <w:rFonts w:asciiTheme="majorHAnsi" w:eastAsiaTheme="minorHAnsi" w:hAnsiTheme="majorHAnsi"/>
                <w:color w:val="000000" w:themeColor="text1"/>
                <w:sz w:val="18"/>
                <w:szCs w:val="18"/>
              </w:rPr>
              <w:t>§4.71a Rating</w:t>
            </w:r>
          </w:p>
        </w:tc>
        <w:tc>
          <w:tcPr>
            <w:tcW w:w="3204" w:type="dxa"/>
            <w:vAlign w:val="center"/>
          </w:tcPr>
          <w:p w:rsidR="00631E6B" w:rsidRPr="004E1BAB" w:rsidRDefault="000B1554" w:rsidP="00F91D70">
            <w:pPr>
              <w:pStyle w:val="ListParagraph"/>
              <w:spacing w:after="0" w:line="240" w:lineRule="exact"/>
              <w:ind w:left="0"/>
              <w:rPr>
                <w:rFonts w:asciiTheme="majorHAnsi" w:eastAsia="Calibri" w:hAnsiTheme="majorHAnsi" w:cstheme="minorHAnsi"/>
                <w:color w:val="000000" w:themeColor="text1"/>
                <w:sz w:val="18"/>
                <w:szCs w:val="18"/>
              </w:rPr>
            </w:pPr>
            <w:r w:rsidRPr="004E1BAB">
              <w:rPr>
                <w:rFonts w:asciiTheme="majorHAnsi" w:eastAsia="Calibri" w:hAnsiTheme="majorHAnsi" w:cstheme="minorHAnsi"/>
                <w:color w:val="000000" w:themeColor="text1"/>
                <w:sz w:val="18"/>
                <w:szCs w:val="18"/>
              </w:rPr>
              <w:t>0</w:t>
            </w:r>
            <w:r w:rsidR="00631E6B" w:rsidRPr="004E1BAB">
              <w:rPr>
                <w:rFonts w:asciiTheme="majorHAnsi" w:eastAsia="Calibri" w:hAnsiTheme="majorHAnsi" w:cstheme="minorHAnsi"/>
                <w:color w:val="000000" w:themeColor="text1"/>
                <w:sz w:val="18"/>
                <w:szCs w:val="18"/>
              </w:rPr>
              <w:t>%</w:t>
            </w:r>
          </w:p>
        </w:tc>
      </w:tr>
    </w:tbl>
    <w:p w:rsidR="00CF0280" w:rsidRPr="004E1BAB" w:rsidRDefault="00CF0280"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631E6B" w:rsidRPr="004E1BAB" w:rsidRDefault="00631E6B" w:rsidP="0069687C">
      <w:pPr>
        <w:jc w:val="both"/>
        <w:rPr>
          <w:color w:val="auto"/>
          <w:szCs w:val="24"/>
        </w:rPr>
      </w:pPr>
    </w:p>
    <w:p w:rsidR="000772A7" w:rsidRPr="004E1BAB" w:rsidRDefault="008B2347" w:rsidP="00FB00AD">
      <w:pPr>
        <w:tabs>
          <w:tab w:val="left" w:pos="288"/>
          <w:tab w:val="left" w:pos="4752"/>
        </w:tabs>
        <w:jc w:val="both"/>
        <w:rPr>
          <w:rFonts w:cs="Times New Roman"/>
          <w:color w:val="auto"/>
        </w:rPr>
      </w:pPr>
      <w:r>
        <w:rPr>
          <w:rFonts w:cs="Times New Roman"/>
          <w:color w:val="auto"/>
        </w:rPr>
        <w:t xml:space="preserve">Both the </w:t>
      </w:r>
      <w:r w:rsidR="000772A7" w:rsidRPr="004E1BAB">
        <w:rPr>
          <w:rFonts w:cs="Times New Roman"/>
          <w:color w:val="auto"/>
        </w:rPr>
        <w:t xml:space="preserve">PEB and the VA used the analogous code </w:t>
      </w:r>
      <w:r w:rsidR="000772A7" w:rsidRPr="004E1BAB">
        <w:rPr>
          <w:rFonts w:asciiTheme="majorHAnsi" w:hAnsiTheme="majorHAnsi" w:cs="Times New Roman"/>
          <w:color w:val="auto"/>
          <w:szCs w:val="24"/>
        </w:rPr>
        <w:t xml:space="preserve">5099-5024 </w:t>
      </w:r>
      <w:proofErr w:type="spellStart"/>
      <w:r>
        <w:rPr>
          <w:rFonts w:asciiTheme="majorHAnsi" w:hAnsiTheme="majorHAnsi" w:cs="Arial"/>
          <w:color w:val="000000"/>
          <w:szCs w:val="24"/>
        </w:rPr>
        <w:t>t</w:t>
      </w:r>
      <w:r w:rsidR="000772A7" w:rsidRPr="004E1BAB">
        <w:rPr>
          <w:rFonts w:asciiTheme="majorHAnsi" w:hAnsiTheme="majorHAnsi" w:cs="Arial"/>
          <w:color w:val="000000"/>
          <w:szCs w:val="24"/>
        </w:rPr>
        <w:t>enosynovitis</w:t>
      </w:r>
      <w:proofErr w:type="spellEnd"/>
      <w:r>
        <w:rPr>
          <w:rFonts w:asciiTheme="majorHAnsi" w:hAnsiTheme="majorHAnsi" w:cs="Arial"/>
          <w:color w:val="000000"/>
          <w:szCs w:val="24"/>
        </w:rPr>
        <w:t xml:space="preserve"> and both the </w:t>
      </w:r>
      <w:r w:rsidR="00A82B1B" w:rsidRPr="004E1BAB">
        <w:rPr>
          <w:rFonts w:asciiTheme="majorHAnsi" w:hAnsiTheme="majorHAnsi" w:cs="Arial"/>
          <w:color w:val="000000"/>
          <w:szCs w:val="24"/>
        </w:rPr>
        <w:t xml:space="preserve">PEB and the VA initially applied a 0% rating. The PEB arrived at a 0% IAW with the </w:t>
      </w:r>
      <w:r w:rsidR="00A82B1B" w:rsidRPr="004E1BAB">
        <w:rPr>
          <w:color w:val="auto"/>
        </w:rPr>
        <w:t xml:space="preserve">USAPDA pain policy. </w:t>
      </w:r>
      <w:r w:rsidR="00E54EF8" w:rsidRPr="004E1BAB">
        <w:rPr>
          <w:color w:val="auto"/>
        </w:rPr>
        <w:t xml:space="preserve"> </w:t>
      </w:r>
      <w:r w:rsidR="00A82B1B" w:rsidRPr="004E1BAB">
        <w:rPr>
          <w:color w:val="auto"/>
        </w:rPr>
        <w:t xml:space="preserve">However, it revised its rating to 10% in March 2009 citing VASRD </w:t>
      </w:r>
      <w:r w:rsidR="00A82B1B" w:rsidRPr="004E1BAB">
        <w:rPr>
          <w:rFonts w:eastAsia="Calibri" w:cs="Times New Roman"/>
          <w:color w:val="auto"/>
          <w:szCs w:val="24"/>
        </w:rPr>
        <w:t>§4</w:t>
      </w:r>
      <w:r w:rsidR="00A82B1B" w:rsidRPr="004E1BAB">
        <w:rPr>
          <w:color w:val="auto"/>
        </w:rPr>
        <w:t xml:space="preserve">.10 Functional impairment, </w:t>
      </w:r>
      <w:r w:rsidR="00A82B1B" w:rsidRPr="004E1BAB">
        <w:rPr>
          <w:rFonts w:eastAsia="Calibri" w:cs="Times New Roman"/>
          <w:color w:val="auto"/>
          <w:szCs w:val="24"/>
        </w:rPr>
        <w:t xml:space="preserve">§4.40 </w:t>
      </w:r>
      <w:r>
        <w:rPr>
          <w:rFonts w:eastAsia="Calibri" w:cs="Times New Roman"/>
          <w:color w:val="auto"/>
          <w:szCs w:val="24"/>
        </w:rPr>
        <w:t>f</w:t>
      </w:r>
      <w:r w:rsidR="00A82B1B" w:rsidRPr="004E1BAB">
        <w:rPr>
          <w:rFonts w:eastAsia="Calibri" w:cs="Times New Roman"/>
          <w:color w:val="auto"/>
          <w:szCs w:val="24"/>
        </w:rPr>
        <w:t xml:space="preserve">unctional loss, and §4.45 </w:t>
      </w:r>
      <w:r>
        <w:rPr>
          <w:rFonts w:eastAsia="Calibri" w:cs="Times New Roman"/>
          <w:color w:val="auto"/>
          <w:szCs w:val="24"/>
        </w:rPr>
        <w:t>t</w:t>
      </w:r>
      <w:r w:rsidR="00A82B1B" w:rsidRPr="004E1BAB">
        <w:rPr>
          <w:rFonts w:eastAsia="Calibri" w:cs="Times New Roman"/>
          <w:color w:val="auto"/>
          <w:szCs w:val="24"/>
        </w:rPr>
        <w:t>he joints.</w:t>
      </w:r>
      <w:r w:rsidR="00A82B1B" w:rsidRPr="004E1BAB">
        <w:rPr>
          <w:color w:val="auto"/>
        </w:rPr>
        <w:t xml:space="preserve">  The VA initially applied a 0% based on the lack of </w:t>
      </w:r>
      <w:r w:rsidR="002D5E86" w:rsidRPr="004E1BAB">
        <w:rPr>
          <w:color w:val="auto"/>
        </w:rPr>
        <w:t xml:space="preserve">functional limitation and </w:t>
      </w:r>
      <w:r w:rsidR="00A82B1B" w:rsidRPr="004E1BAB">
        <w:rPr>
          <w:color w:val="auto"/>
        </w:rPr>
        <w:t xml:space="preserve">painful or limited motion. </w:t>
      </w:r>
      <w:r w:rsidR="00E54EF8" w:rsidRPr="004E1BAB">
        <w:rPr>
          <w:color w:val="auto"/>
        </w:rPr>
        <w:t xml:space="preserve"> </w:t>
      </w:r>
      <w:r w:rsidR="00A82B1B" w:rsidRPr="004E1BAB">
        <w:rPr>
          <w:color w:val="auto"/>
        </w:rPr>
        <w:t xml:space="preserve">The rating was increased to 10% after a new C&amp;P examination was completed </w:t>
      </w:r>
      <w:r>
        <w:rPr>
          <w:color w:val="auto"/>
        </w:rPr>
        <w:t xml:space="preserve">30 September </w:t>
      </w:r>
      <w:r w:rsidR="00A82B1B" w:rsidRPr="004E1BAB">
        <w:rPr>
          <w:color w:val="auto"/>
        </w:rPr>
        <w:t xml:space="preserve">2009 and it documented functional impairment due to pain. </w:t>
      </w:r>
      <w:r w:rsidR="00E54EF8" w:rsidRPr="004E1BAB">
        <w:rPr>
          <w:color w:val="auto"/>
        </w:rPr>
        <w:t xml:space="preserve"> </w:t>
      </w:r>
      <w:r w:rsidR="00A82B1B" w:rsidRPr="004E1BAB">
        <w:rPr>
          <w:color w:val="auto"/>
        </w:rPr>
        <w:t>Whereas previously the CI had been able to function when pain was present if he took medication, he w</w:t>
      </w:r>
      <w:r w:rsidR="000B1554" w:rsidRPr="004E1BAB">
        <w:rPr>
          <w:color w:val="auto"/>
        </w:rPr>
        <w:t>a</w:t>
      </w:r>
      <w:r w:rsidR="00A82B1B" w:rsidRPr="004E1BAB">
        <w:rPr>
          <w:color w:val="auto"/>
        </w:rPr>
        <w:t xml:space="preserve">s </w:t>
      </w:r>
      <w:r w:rsidR="000B1554" w:rsidRPr="004E1BAB">
        <w:rPr>
          <w:color w:val="auto"/>
        </w:rPr>
        <w:t>now</w:t>
      </w:r>
      <w:r w:rsidR="00A82B1B" w:rsidRPr="004E1BAB">
        <w:rPr>
          <w:color w:val="auto"/>
        </w:rPr>
        <w:t xml:space="preserve"> unable to function during flare-ups of his pain.</w:t>
      </w:r>
      <w:r w:rsidR="000B1554" w:rsidRPr="004E1BAB">
        <w:rPr>
          <w:color w:val="auto"/>
        </w:rPr>
        <w:t xml:space="preserve"> </w:t>
      </w:r>
      <w:r w:rsidR="004E1BAB">
        <w:rPr>
          <w:color w:val="auto"/>
        </w:rPr>
        <w:t xml:space="preserve"> </w:t>
      </w:r>
      <w:r w:rsidR="000B1554" w:rsidRPr="004E1BAB">
        <w:rPr>
          <w:color w:val="auto"/>
        </w:rPr>
        <w:t xml:space="preserve">He also reported that narcotic pain medication was sometimes the only thing that brought him pain relief. </w:t>
      </w:r>
      <w:r w:rsidR="00E54EF8" w:rsidRPr="004E1BAB">
        <w:rPr>
          <w:color w:val="auto"/>
        </w:rPr>
        <w:t xml:space="preserve"> </w:t>
      </w:r>
      <w:r w:rsidR="000B1554" w:rsidRPr="004E1BAB">
        <w:rPr>
          <w:color w:val="auto"/>
        </w:rPr>
        <w:t xml:space="preserve">The examination was similar to the previous examination except for bilateral plantar flexion was now limited to 40°. </w:t>
      </w:r>
      <w:r w:rsidR="00E54EF8" w:rsidRPr="004E1BAB">
        <w:rPr>
          <w:color w:val="auto"/>
        </w:rPr>
        <w:t xml:space="preserve"> </w:t>
      </w:r>
      <w:r w:rsidR="000B1554" w:rsidRPr="004E1BAB">
        <w:rPr>
          <w:color w:val="auto"/>
        </w:rPr>
        <w:t>The VA then applied a 10% rating for each foot.</w:t>
      </w:r>
    </w:p>
    <w:p w:rsidR="000772A7" w:rsidRPr="004E1BAB" w:rsidRDefault="000772A7" w:rsidP="00FB00AD">
      <w:pPr>
        <w:tabs>
          <w:tab w:val="left" w:pos="288"/>
          <w:tab w:val="left" w:pos="4752"/>
        </w:tabs>
        <w:jc w:val="both"/>
        <w:rPr>
          <w:rFonts w:cs="Times New Roman"/>
          <w:color w:val="auto"/>
        </w:rPr>
      </w:pPr>
    </w:p>
    <w:p w:rsidR="00417999" w:rsidRPr="004E1BAB" w:rsidRDefault="00AD2379" w:rsidP="00FB00AD">
      <w:pPr>
        <w:tabs>
          <w:tab w:val="left" w:pos="288"/>
          <w:tab w:val="left" w:pos="4752"/>
        </w:tabs>
        <w:jc w:val="both"/>
        <w:rPr>
          <w:rFonts w:cs="Times New Roman"/>
          <w:color w:val="auto"/>
        </w:rPr>
      </w:pPr>
      <w:r w:rsidRPr="004E1BAB">
        <w:rPr>
          <w:rFonts w:cs="Times New Roman"/>
          <w:color w:val="auto"/>
        </w:rPr>
        <w:t>The Board directs attenti</w:t>
      </w:r>
      <w:r w:rsidR="00782CC1" w:rsidRPr="004E1BAB">
        <w:rPr>
          <w:rFonts w:cs="Times New Roman"/>
          <w:color w:val="auto"/>
        </w:rPr>
        <w:t>on to its rating recommendation</w:t>
      </w:r>
      <w:r w:rsidRPr="004E1BAB">
        <w:rPr>
          <w:rFonts w:cs="Times New Roman"/>
          <w:color w:val="auto"/>
        </w:rPr>
        <w:t xml:space="preserve"> </w:t>
      </w:r>
      <w:r w:rsidR="00B13A51" w:rsidRPr="004E1BAB">
        <w:rPr>
          <w:rFonts w:cs="Times New Roman"/>
          <w:color w:val="auto"/>
        </w:rPr>
        <w:t>based on the above evidence</w:t>
      </w:r>
      <w:r w:rsidRPr="004E1BAB">
        <w:rPr>
          <w:rFonts w:cs="Times New Roman"/>
          <w:color w:val="auto"/>
        </w:rPr>
        <w:t>.</w:t>
      </w:r>
      <w:r w:rsidR="00165C7B" w:rsidRPr="004E1BAB">
        <w:rPr>
          <w:rFonts w:cs="Times New Roman"/>
          <w:color w:val="auto"/>
        </w:rPr>
        <w:t xml:space="preserve"> </w:t>
      </w:r>
      <w:r w:rsidR="00E54EF8" w:rsidRPr="004E1BAB">
        <w:rPr>
          <w:rFonts w:cs="Times New Roman"/>
          <w:color w:val="auto"/>
        </w:rPr>
        <w:t xml:space="preserve"> </w:t>
      </w:r>
      <w:r w:rsidR="002D5E86" w:rsidRPr="004E1BAB">
        <w:rPr>
          <w:rFonts w:cs="Times New Roman"/>
          <w:color w:val="auto"/>
        </w:rPr>
        <w:t xml:space="preserve">While painful or limited motion was not noted on either the </w:t>
      </w:r>
      <w:r w:rsidR="008B2347">
        <w:rPr>
          <w:rFonts w:cs="Times New Roman"/>
          <w:color w:val="auto"/>
        </w:rPr>
        <w:t>p</w:t>
      </w:r>
      <w:r w:rsidR="002D5E86" w:rsidRPr="004E1BAB">
        <w:rPr>
          <w:rFonts w:cs="Times New Roman"/>
          <w:color w:val="auto"/>
        </w:rPr>
        <w:t xml:space="preserve">odiatry </w:t>
      </w:r>
      <w:r w:rsidR="008B2347">
        <w:rPr>
          <w:rFonts w:cs="Times New Roman"/>
          <w:color w:val="auto"/>
        </w:rPr>
        <w:t>a</w:t>
      </w:r>
      <w:r w:rsidR="002D5E86" w:rsidRPr="004E1BAB">
        <w:rPr>
          <w:rFonts w:cs="Times New Roman"/>
          <w:color w:val="auto"/>
        </w:rPr>
        <w:t xml:space="preserve">ddendum or the initial VA C&amp;P examination, the CI did have significant functional limitations and was not able to perform the duties required of his MOS. </w:t>
      </w:r>
      <w:r w:rsidR="00E54EF8" w:rsidRPr="004E1BAB">
        <w:rPr>
          <w:rFonts w:cs="Times New Roman"/>
          <w:color w:val="auto"/>
        </w:rPr>
        <w:t xml:space="preserve"> </w:t>
      </w:r>
      <w:r w:rsidR="002D5E86" w:rsidRPr="004E1BAB">
        <w:rPr>
          <w:rFonts w:cs="Times New Roman"/>
          <w:color w:val="auto"/>
        </w:rPr>
        <w:t xml:space="preserve">Therefore, a 10% rating is warranted from the time of separation. Chronic Achilles tendonitis does not have a specific VASRD code and is rated analogously. </w:t>
      </w:r>
      <w:r w:rsidR="00E54EF8" w:rsidRPr="004E1BAB">
        <w:rPr>
          <w:rFonts w:cs="Times New Roman"/>
          <w:color w:val="auto"/>
        </w:rPr>
        <w:t xml:space="preserve"> </w:t>
      </w:r>
      <w:r w:rsidR="002D5E86" w:rsidRPr="004E1BAB">
        <w:rPr>
          <w:rFonts w:cs="Times New Roman"/>
          <w:color w:val="auto"/>
        </w:rPr>
        <w:t xml:space="preserve">After due deliberation, exploring all coding options, </w:t>
      </w:r>
      <w:r w:rsidR="002D5E86" w:rsidRPr="004E1BAB">
        <w:rPr>
          <w:rFonts w:eastAsia="Calibri" w:cs="Times New Roman"/>
          <w:color w:val="auto"/>
          <w:szCs w:val="24"/>
        </w:rPr>
        <w:t xml:space="preserve">considering all of the evidence, and remaining </w:t>
      </w:r>
      <w:r w:rsidR="002D5E86" w:rsidRPr="004E1BAB">
        <w:rPr>
          <w:rFonts w:eastAsia="Calibri" w:cs="Times New Roman"/>
          <w:color w:val="auto"/>
          <w:szCs w:val="24"/>
        </w:rPr>
        <w:lastRenderedPageBreak/>
        <w:t xml:space="preserve">mindful of VASRD §4.3 (reasonable doubt), the Board concluded that there was insufficient cause to recommend a change in the PEB adjudication for the chronic left Achilles tendonitis condition.  </w:t>
      </w:r>
    </w:p>
    <w:p w:rsidR="00AD2379" w:rsidRDefault="00AD2379" w:rsidP="006364ED">
      <w:pPr>
        <w:jc w:val="left"/>
        <w:rPr>
          <w:color w:val="auto"/>
        </w:rPr>
      </w:pPr>
    </w:p>
    <w:p w:rsidR="008B2347" w:rsidRPr="004E1BAB" w:rsidRDefault="008B2347" w:rsidP="006364ED">
      <w:pPr>
        <w:jc w:val="left"/>
        <w:rPr>
          <w:color w:val="auto"/>
        </w:rPr>
      </w:pPr>
    </w:p>
    <w:p w:rsidR="00417BED" w:rsidRPr="004E1BAB" w:rsidRDefault="00AD2379" w:rsidP="00417BED">
      <w:pPr>
        <w:jc w:val="both"/>
        <w:rPr>
          <w:rFonts w:eastAsia="Calibri" w:cs="Times New Roman"/>
          <w:color w:val="auto"/>
          <w:szCs w:val="24"/>
        </w:rPr>
      </w:pPr>
      <w:r w:rsidRPr="004E1BAB">
        <w:rPr>
          <w:color w:val="auto"/>
          <w:u w:val="single"/>
        </w:rPr>
        <w:t>BOARD FINDINGS</w:t>
      </w:r>
      <w:r w:rsidRPr="004E1BAB">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4E1BAB">
        <w:rPr>
          <w:rFonts w:cs="Times New Roman"/>
          <w:color w:val="auto"/>
        </w:rPr>
        <w:t>.</w:t>
      </w:r>
      <w:r w:rsidR="006B690F" w:rsidRPr="004E1BAB">
        <w:rPr>
          <w:rFonts w:cs="Times New Roman"/>
          <w:color w:val="auto"/>
        </w:rPr>
        <w:t xml:space="preserve">  </w:t>
      </w:r>
      <w:r w:rsidRPr="004E1BAB">
        <w:rPr>
          <w:rFonts w:cs="Times New Roman"/>
          <w:color w:val="auto"/>
        </w:rPr>
        <w:t>The Board did not surmise from the record or PEB ruling in this case that any prerogatives outside the VASRD were exercised.</w:t>
      </w:r>
      <w:r w:rsidR="006B690F" w:rsidRPr="004E1BAB">
        <w:rPr>
          <w:rFonts w:cs="Times New Roman"/>
          <w:color w:val="auto"/>
        </w:rPr>
        <w:t xml:space="preserve">  </w:t>
      </w:r>
      <w:r w:rsidR="00241B01" w:rsidRPr="004E1BAB">
        <w:rPr>
          <w:rFonts w:eastAsia="Calibri" w:cs="Times New Roman"/>
          <w:color w:val="auto"/>
          <w:szCs w:val="24"/>
        </w:rPr>
        <w:t xml:space="preserve">As discussed above, PEB reliance on the USAPDA pain policy for rating </w:t>
      </w:r>
      <w:r w:rsidR="002D5E86" w:rsidRPr="004E1BAB">
        <w:rPr>
          <w:rFonts w:eastAsia="Calibri" w:cs="Times New Roman"/>
          <w:color w:val="auto"/>
          <w:szCs w:val="24"/>
        </w:rPr>
        <w:t>chronic left Achilles tendonitis</w:t>
      </w:r>
      <w:r w:rsidR="00241B01" w:rsidRPr="004E1BAB">
        <w:rPr>
          <w:rFonts w:eastAsia="Calibri" w:cs="Times New Roman"/>
          <w:color w:val="auto"/>
          <w:szCs w:val="24"/>
        </w:rPr>
        <w:t xml:space="preserve"> was operant in this case</w:t>
      </w:r>
      <w:r w:rsidR="002D5E86" w:rsidRPr="004E1BAB">
        <w:rPr>
          <w:rFonts w:eastAsia="Calibri" w:cs="Times New Roman"/>
          <w:color w:val="auto"/>
          <w:szCs w:val="24"/>
        </w:rPr>
        <w:t xml:space="preserve"> in the initi</w:t>
      </w:r>
      <w:r w:rsidR="008B2347">
        <w:rPr>
          <w:rFonts w:eastAsia="Calibri" w:cs="Times New Roman"/>
          <w:color w:val="auto"/>
          <w:szCs w:val="24"/>
        </w:rPr>
        <w:t xml:space="preserve">al </w:t>
      </w:r>
      <w:r w:rsidR="002D5E86" w:rsidRPr="004E1BAB">
        <w:rPr>
          <w:rFonts w:eastAsia="Calibri" w:cs="Times New Roman"/>
          <w:color w:val="auto"/>
          <w:szCs w:val="24"/>
        </w:rPr>
        <w:t>PEB rating</w:t>
      </w:r>
      <w:r w:rsidR="00241B01" w:rsidRPr="004E1BAB">
        <w:rPr>
          <w:rFonts w:eastAsia="Calibri" w:cs="Times New Roman"/>
          <w:color w:val="auto"/>
          <w:szCs w:val="24"/>
        </w:rPr>
        <w:t xml:space="preserve"> </w:t>
      </w:r>
      <w:r w:rsidR="002D5E86" w:rsidRPr="004E1BAB">
        <w:rPr>
          <w:rFonts w:eastAsia="Calibri" w:cs="Times New Roman"/>
          <w:color w:val="auto"/>
          <w:szCs w:val="24"/>
        </w:rPr>
        <w:t>but was not in the final revised rating.</w:t>
      </w:r>
      <w:r w:rsidR="004E1BAB">
        <w:rPr>
          <w:rFonts w:eastAsia="Calibri" w:cs="Times New Roman"/>
          <w:color w:val="auto"/>
          <w:szCs w:val="24"/>
        </w:rPr>
        <w:t xml:space="preserve">  </w:t>
      </w:r>
      <w:r w:rsidR="00560F12" w:rsidRPr="004E1BAB">
        <w:rPr>
          <w:rFonts w:eastAsia="Calibri" w:cs="Times New Roman"/>
          <w:color w:val="auto"/>
          <w:szCs w:val="24"/>
        </w:rPr>
        <w:t xml:space="preserve">In the matter of the </w:t>
      </w:r>
      <w:r w:rsidR="002D5E86" w:rsidRPr="004E1BAB">
        <w:rPr>
          <w:rFonts w:eastAsia="Calibri" w:cs="Times New Roman"/>
          <w:color w:val="auto"/>
          <w:szCs w:val="24"/>
        </w:rPr>
        <w:t>chronic left Achilles tendonitis</w:t>
      </w:r>
      <w:r w:rsidR="00560F12" w:rsidRPr="004E1BAB">
        <w:rPr>
          <w:rFonts w:eastAsia="Calibri" w:cs="Times New Roman"/>
          <w:color w:val="auto"/>
          <w:szCs w:val="24"/>
        </w:rPr>
        <w:t xml:space="preserve"> condition and IAW VASRD §4.71a, the Board unanimously recommends no change in the PEB adjudication.</w:t>
      </w:r>
      <w:r w:rsidR="004E1BAB">
        <w:rPr>
          <w:rFonts w:eastAsia="Calibri" w:cs="Times New Roman"/>
          <w:color w:val="auto"/>
          <w:szCs w:val="24"/>
        </w:rPr>
        <w:t xml:space="preserve">  </w:t>
      </w:r>
      <w:r w:rsidR="00417BED" w:rsidRPr="004E1BAB">
        <w:rPr>
          <w:rFonts w:eastAsia="Calibri" w:cs="Times New Roman"/>
          <w:color w:val="auto"/>
          <w:szCs w:val="24"/>
        </w:rPr>
        <w:t>There were no other conditions within the Board’s scope of review for consideration.</w:t>
      </w:r>
      <w:r w:rsidR="00165C7B" w:rsidRPr="004E1BAB">
        <w:rPr>
          <w:rFonts w:eastAsia="Calibri" w:cs="Times New Roman"/>
          <w:color w:val="auto"/>
          <w:szCs w:val="24"/>
        </w:rPr>
        <w:t xml:space="preserve">  </w:t>
      </w:r>
    </w:p>
    <w:p w:rsidR="00AD2379" w:rsidRPr="004E1BAB" w:rsidRDefault="00AD2379" w:rsidP="00BF0E94">
      <w:pPr>
        <w:pBdr>
          <w:bottom w:val="single" w:sz="12" w:space="1" w:color="auto"/>
        </w:pBdr>
        <w:tabs>
          <w:tab w:val="left" w:pos="288"/>
          <w:tab w:val="left" w:pos="4752"/>
        </w:tabs>
        <w:jc w:val="both"/>
        <w:rPr>
          <w:color w:val="auto"/>
        </w:rPr>
      </w:pPr>
    </w:p>
    <w:p w:rsidR="00AD2379" w:rsidRPr="004E1BAB" w:rsidRDefault="00AD2379" w:rsidP="006364ED">
      <w:pPr>
        <w:jc w:val="left"/>
        <w:rPr>
          <w:color w:val="auto"/>
        </w:rPr>
      </w:pPr>
    </w:p>
    <w:p w:rsidR="00AD2379" w:rsidRPr="004E1BAB" w:rsidRDefault="00AD2379" w:rsidP="00B22D42">
      <w:pPr>
        <w:jc w:val="left"/>
        <w:rPr>
          <w:color w:val="auto"/>
        </w:rPr>
      </w:pPr>
      <w:r w:rsidRPr="004E1BAB">
        <w:rPr>
          <w:color w:val="auto"/>
          <w:u w:val="single"/>
        </w:rPr>
        <w:t>RECOMMENDATION</w:t>
      </w:r>
      <w:r w:rsidRPr="004E1BAB">
        <w:rPr>
          <w:color w:val="auto"/>
        </w:rPr>
        <w:t xml:space="preserve">: </w:t>
      </w:r>
      <w:r w:rsidR="006B690F" w:rsidRPr="004E1BAB">
        <w:rPr>
          <w:color w:val="auto"/>
        </w:rPr>
        <w:t xml:space="preserve"> </w:t>
      </w:r>
      <w:r w:rsidRPr="004E1BAB">
        <w:rPr>
          <w:color w:val="auto"/>
        </w:rPr>
        <w:t>The Board, therefore, recommends that there be no recharacterization of the CI’s disability and separation determination, as follows:</w:t>
      </w:r>
      <w:r w:rsidR="006B690F" w:rsidRPr="004E1BAB">
        <w:rPr>
          <w:color w:val="auto"/>
        </w:rPr>
        <w:t xml:space="preserve">  </w:t>
      </w:r>
    </w:p>
    <w:p w:rsidR="00AD2379" w:rsidRPr="004E1BAB"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4E1BAB" w:rsidTr="006B690F">
        <w:trPr>
          <w:trHeight w:val="233"/>
          <w:jc w:val="center"/>
        </w:trPr>
        <w:tc>
          <w:tcPr>
            <w:tcW w:w="6768" w:type="dxa"/>
            <w:shd w:val="clear" w:color="auto" w:fill="D9D9D9"/>
            <w:vAlign w:val="center"/>
          </w:tcPr>
          <w:p w:rsidR="00AD2379" w:rsidRPr="004E1BAB" w:rsidRDefault="00AD2379" w:rsidP="006B690F">
            <w:pPr>
              <w:tabs>
                <w:tab w:val="left" w:pos="288"/>
                <w:tab w:val="left" w:pos="4752"/>
              </w:tabs>
              <w:rPr>
                <w:b/>
                <w:color w:val="auto"/>
              </w:rPr>
            </w:pPr>
            <w:r w:rsidRPr="004E1BAB">
              <w:rPr>
                <w:b/>
                <w:color w:val="auto"/>
              </w:rPr>
              <w:t>UNFITTING CONDITION</w:t>
            </w:r>
          </w:p>
        </w:tc>
        <w:tc>
          <w:tcPr>
            <w:tcW w:w="1530" w:type="dxa"/>
            <w:shd w:val="clear" w:color="auto" w:fill="D9D9D9"/>
            <w:vAlign w:val="center"/>
          </w:tcPr>
          <w:p w:rsidR="00AD2379" w:rsidRPr="004E1BAB" w:rsidRDefault="00AD2379" w:rsidP="006B690F">
            <w:pPr>
              <w:tabs>
                <w:tab w:val="left" w:pos="288"/>
                <w:tab w:val="left" w:pos="4752"/>
              </w:tabs>
              <w:rPr>
                <w:b/>
                <w:color w:val="auto"/>
              </w:rPr>
            </w:pPr>
            <w:r w:rsidRPr="004E1BAB">
              <w:rPr>
                <w:b/>
                <w:color w:val="auto"/>
              </w:rPr>
              <w:t>VASRD CODE</w:t>
            </w:r>
          </w:p>
        </w:tc>
        <w:tc>
          <w:tcPr>
            <w:tcW w:w="1026" w:type="dxa"/>
            <w:shd w:val="clear" w:color="auto" w:fill="D9D9D9"/>
            <w:vAlign w:val="center"/>
          </w:tcPr>
          <w:p w:rsidR="00AD2379" w:rsidRPr="004E1BAB" w:rsidRDefault="00AD2379" w:rsidP="006B690F">
            <w:pPr>
              <w:tabs>
                <w:tab w:val="left" w:pos="288"/>
                <w:tab w:val="left" w:pos="4752"/>
              </w:tabs>
              <w:rPr>
                <w:b/>
                <w:color w:val="auto"/>
              </w:rPr>
            </w:pPr>
            <w:r w:rsidRPr="004E1BAB">
              <w:rPr>
                <w:b/>
                <w:color w:val="auto"/>
              </w:rPr>
              <w:t>RATING</w:t>
            </w:r>
          </w:p>
        </w:tc>
      </w:tr>
      <w:tr w:rsidR="00AD2379" w:rsidRPr="004E1BAB" w:rsidTr="006B690F">
        <w:trPr>
          <w:jc w:val="center"/>
        </w:trPr>
        <w:tc>
          <w:tcPr>
            <w:tcW w:w="6768" w:type="dxa"/>
            <w:vAlign w:val="center"/>
          </w:tcPr>
          <w:p w:rsidR="00AD2379" w:rsidRPr="004E1BAB" w:rsidRDefault="003133F1" w:rsidP="006B690F">
            <w:pPr>
              <w:tabs>
                <w:tab w:val="left" w:pos="288"/>
                <w:tab w:val="left" w:pos="4752"/>
              </w:tabs>
              <w:jc w:val="left"/>
              <w:rPr>
                <w:color w:val="auto"/>
              </w:rPr>
            </w:pPr>
            <w:r w:rsidRPr="004E1BAB">
              <w:rPr>
                <w:color w:val="000000" w:themeColor="text1"/>
                <w:szCs w:val="24"/>
              </w:rPr>
              <w:t>Chronic left achilles tendonitis</w:t>
            </w:r>
          </w:p>
        </w:tc>
        <w:tc>
          <w:tcPr>
            <w:tcW w:w="1530" w:type="dxa"/>
            <w:vAlign w:val="center"/>
          </w:tcPr>
          <w:p w:rsidR="00AD2379" w:rsidRPr="004E1BAB" w:rsidRDefault="003133F1" w:rsidP="006B690F">
            <w:pPr>
              <w:tabs>
                <w:tab w:val="left" w:pos="288"/>
                <w:tab w:val="left" w:pos="4752"/>
              </w:tabs>
              <w:rPr>
                <w:color w:val="auto"/>
              </w:rPr>
            </w:pPr>
            <w:r w:rsidRPr="004E1BAB">
              <w:rPr>
                <w:color w:val="000000" w:themeColor="text1"/>
                <w:szCs w:val="24"/>
              </w:rPr>
              <w:t>5099-5024</w:t>
            </w:r>
          </w:p>
        </w:tc>
        <w:tc>
          <w:tcPr>
            <w:tcW w:w="1026" w:type="dxa"/>
            <w:vAlign w:val="center"/>
          </w:tcPr>
          <w:p w:rsidR="00AD2379" w:rsidRPr="004E1BAB" w:rsidRDefault="002D5E86" w:rsidP="006B690F">
            <w:pPr>
              <w:tabs>
                <w:tab w:val="left" w:pos="288"/>
                <w:tab w:val="left" w:pos="4752"/>
              </w:tabs>
              <w:rPr>
                <w:color w:val="auto"/>
              </w:rPr>
            </w:pPr>
            <w:r w:rsidRPr="004E1BAB">
              <w:rPr>
                <w:color w:val="auto"/>
              </w:rPr>
              <w:t>1</w:t>
            </w:r>
            <w:r w:rsidR="00AD2379" w:rsidRPr="004E1BAB">
              <w:rPr>
                <w:color w:val="auto"/>
              </w:rPr>
              <w:t>0%</w:t>
            </w:r>
          </w:p>
        </w:tc>
      </w:tr>
      <w:tr w:rsidR="00AD2379" w:rsidRPr="004E1BAB"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E1BAB" w:rsidRDefault="00AD2379" w:rsidP="006B690F">
            <w:pPr>
              <w:tabs>
                <w:tab w:val="left" w:pos="288"/>
                <w:tab w:val="left" w:pos="4752"/>
              </w:tabs>
              <w:rPr>
                <w:b/>
                <w:color w:val="auto"/>
              </w:rPr>
            </w:pPr>
            <w:r w:rsidRPr="004E1BAB">
              <w:rPr>
                <w:b/>
                <w:color w:val="auto"/>
              </w:rPr>
              <w:t>COMBINED</w:t>
            </w:r>
          </w:p>
        </w:tc>
        <w:tc>
          <w:tcPr>
            <w:tcW w:w="1026" w:type="dxa"/>
            <w:shd w:val="clear" w:color="auto" w:fill="D9D9D9"/>
            <w:vAlign w:val="center"/>
          </w:tcPr>
          <w:p w:rsidR="00AD2379" w:rsidRPr="004E1BAB" w:rsidRDefault="002D5E86" w:rsidP="006B690F">
            <w:pPr>
              <w:tabs>
                <w:tab w:val="left" w:pos="288"/>
                <w:tab w:val="left" w:pos="4752"/>
              </w:tabs>
              <w:rPr>
                <w:b/>
                <w:color w:val="auto"/>
              </w:rPr>
            </w:pPr>
            <w:r w:rsidRPr="004E1BAB">
              <w:rPr>
                <w:b/>
                <w:color w:val="auto"/>
              </w:rPr>
              <w:t>1</w:t>
            </w:r>
            <w:r w:rsidR="00AD2379" w:rsidRPr="004E1BAB">
              <w:rPr>
                <w:b/>
                <w:color w:val="auto"/>
              </w:rPr>
              <w:t>0%</w:t>
            </w:r>
          </w:p>
        </w:tc>
      </w:tr>
    </w:tbl>
    <w:p w:rsidR="00AD2379" w:rsidRPr="004E1BAB" w:rsidRDefault="00AD2379" w:rsidP="006B690F">
      <w:pPr>
        <w:pBdr>
          <w:bottom w:val="single" w:sz="12" w:space="1" w:color="auto"/>
        </w:pBdr>
        <w:tabs>
          <w:tab w:val="left" w:pos="288"/>
          <w:tab w:val="left" w:pos="4752"/>
        </w:tabs>
        <w:jc w:val="both"/>
        <w:rPr>
          <w:color w:val="auto"/>
        </w:rPr>
      </w:pPr>
    </w:p>
    <w:p w:rsidR="00AD2379" w:rsidRPr="004E1BAB" w:rsidRDefault="00AD2379" w:rsidP="006B690F">
      <w:pPr>
        <w:jc w:val="both"/>
        <w:rPr>
          <w:color w:val="auto"/>
        </w:rPr>
      </w:pPr>
    </w:p>
    <w:p w:rsidR="00AD2379" w:rsidRPr="004E1BAB" w:rsidRDefault="00AD2379" w:rsidP="006B690F">
      <w:pPr>
        <w:tabs>
          <w:tab w:val="left" w:pos="288"/>
          <w:tab w:val="left" w:pos="4752"/>
        </w:tabs>
        <w:jc w:val="both"/>
        <w:rPr>
          <w:color w:val="auto"/>
        </w:rPr>
      </w:pPr>
      <w:r w:rsidRPr="004E1BAB">
        <w:rPr>
          <w:color w:val="auto"/>
        </w:rPr>
        <w:t>The following documentary evidence was considered:</w:t>
      </w:r>
    </w:p>
    <w:p w:rsidR="005144A7" w:rsidRPr="004E1BAB" w:rsidRDefault="005144A7" w:rsidP="006B690F">
      <w:pPr>
        <w:tabs>
          <w:tab w:val="left" w:pos="288"/>
          <w:tab w:val="left" w:pos="4752"/>
        </w:tabs>
        <w:jc w:val="both"/>
        <w:rPr>
          <w:color w:val="auto"/>
        </w:rPr>
      </w:pPr>
    </w:p>
    <w:p w:rsidR="00AD2379" w:rsidRPr="004E1BAB" w:rsidRDefault="00AD2379" w:rsidP="006B690F">
      <w:pPr>
        <w:tabs>
          <w:tab w:val="left" w:pos="288"/>
          <w:tab w:val="left" w:pos="4752"/>
        </w:tabs>
        <w:jc w:val="both"/>
        <w:rPr>
          <w:color w:val="auto"/>
        </w:rPr>
      </w:pPr>
      <w:r w:rsidRPr="004E1BAB">
        <w:rPr>
          <w:color w:val="auto"/>
        </w:rPr>
        <w:t xml:space="preserve">Exhibit A.  DD Form 294, dated </w:t>
      </w:r>
      <w:r w:rsidR="003133F1" w:rsidRPr="004E1BAB">
        <w:rPr>
          <w:color w:val="000000" w:themeColor="text1"/>
          <w:szCs w:val="24"/>
        </w:rPr>
        <w:t>20111102</w:t>
      </w:r>
      <w:r w:rsidR="00ED7820" w:rsidRPr="004E1BAB">
        <w:rPr>
          <w:color w:val="auto"/>
        </w:rPr>
        <w:t>, w/atchs</w:t>
      </w:r>
    </w:p>
    <w:p w:rsidR="00AD2379" w:rsidRPr="004E1BAB" w:rsidRDefault="00AD2379" w:rsidP="006B690F">
      <w:pPr>
        <w:tabs>
          <w:tab w:val="left" w:pos="288"/>
          <w:tab w:val="left" w:pos="4752"/>
        </w:tabs>
        <w:jc w:val="both"/>
        <w:rPr>
          <w:color w:val="auto"/>
        </w:rPr>
      </w:pPr>
      <w:r w:rsidRPr="004E1BAB">
        <w:rPr>
          <w:color w:val="auto"/>
        </w:rPr>
        <w:t>Exhib</w:t>
      </w:r>
      <w:r w:rsidR="00ED7820" w:rsidRPr="004E1BAB">
        <w:rPr>
          <w:color w:val="auto"/>
        </w:rPr>
        <w:t>it B.  Service Treatment Record</w:t>
      </w:r>
    </w:p>
    <w:p w:rsidR="00AD2379" w:rsidRPr="004E1BAB" w:rsidRDefault="00AD2379" w:rsidP="006B690F">
      <w:pPr>
        <w:tabs>
          <w:tab w:val="left" w:pos="288"/>
          <w:tab w:val="left" w:pos="4752"/>
        </w:tabs>
        <w:jc w:val="both"/>
        <w:rPr>
          <w:color w:val="auto"/>
        </w:rPr>
      </w:pPr>
      <w:r w:rsidRPr="004E1BAB">
        <w:rPr>
          <w:color w:val="auto"/>
        </w:rPr>
        <w:t>Exhibit C.  Department of Veterans</w:t>
      </w:r>
      <w:r w:rsidR="00ED7820" w:rsidRPr="004E1BAB">
        <w:rPr>
          <w:color w:val="auto"/>
        </w:rPr>
        <w:t>’ Affairs Treatment Record</w:t>
      </w:r>
    </w:p>
    <w:p w:rsidR="00AD2379" w:rsidRPr="004E1BAB" w:rsidRDefault="00AD2379" w:rsidP="006B690F">
      <w:pPr>
        <w:tabs>
          <w:tab w:val="left" w:pos="288"/>
          <w:tab w:val="left" w:pos="4752"/>
        </w:tabs>
        <w:jc w:val="both"/>
        <w:rPr>
          <w:color w:val="auto"/>
        </w:rPr>
      </w:pPr>
    </w:p>
    <w:p w:rsidR="00AD2379" w:rsidRPr="004E1BAB" w:rsidRDefault="00AD2379" w:rsidP="006B690F">
      <w:pPr>
        <w:tabs>
          <w:tab w:val="left" w:pos="288"/>
          <w:tab w:val="left" w:pos="4752"/>
        </w:tabs>
        <w:jc w:val="both"/>
        <w:rPr>
          <w:color w:val="auto"/>
        </w:rPr>
      </w:pPr>
    </w:p>
    <w:p w:rsidR="00AD2379" w:rsidRPr="004E1BAB" w:rsidRDefault="00AD2379" w:rsidP="006B690F">
      <w:pPr>
        <w:tabs>
          <w:tab w:val="left" w:pos="288"/>
          <w:tab w:val="left" w:pos="4752"/>
        </w:tabs>
        <w:jc w:val="both"/>
        <w:rPr>
          <w:color w:val="auto"/>
        </w:rPr>
      </w:pPr>
    </w:p>
    <w:p w:rsidR="00AD2379" w:rsidRPr="004E1BAB" w:rsidRDefault="00AD2379" w:rsidP="006B690F">
      <w:pPr>
        <w:tabs>
          <w:tab w:val="left" w:pos="288"/>
          <w:tab w:val="left" w:pos="4752"/>
        </w:tabs>
        <w:jc w:val="both"/>
        <w:rPr>
          <w:color w:val="auto"/>
        </w:rPr>
      </w:pPr>
    </w:p>
    <w:p w:rsidR="00AD2379" w:rsidRPr="004E1BAB" w:rsidRDefault="00AD2379" w:rsidP="006B690F">
      <w:pPr>
        <w:tabs>
          <w:tab w:val="left" w:pos="0"/>
          <w:tab w:val="left" w:pos="4320"/>
        </w:tabs>
        <w:jc w:val="both"/>
        <w:rPr>
          <w:color w:val="auto"/>
        </w:rPr>
      </w:pPr>
      <w:r w:rsidRPr="004E1BAB">
        <w:rPr>
          <w:color w:val="auto"/>
        </w:rPr>
        <w:tab/>
        <w:t xml:space="preserve">           </w:t>
      </w:r>
      <w:r w:rsidR="00B32E30">
        <w:rPr>
          <w:color w:val="auto"/>
        </w:rPr>
        <w:t>XXXXXXXXXXXXXXXXXXXXXXXX</w:t>
      </w:r>
    </w:p>
    <w:p w:rsidR="00AD2379" w:rsidRPr="004E1BAB" w:rsidRDefault="00AD2379" w:rsidP="006B690F">
      <w:pPr>
        <w:tabs>
          <w:tab w:val="left" w:pos="0"/>
          <w:tab w:val="left" w:pos="4320"/>
        </w:tabs>
        <w:jc w:val="both"/>
        <w:rPr>
          <w:color w:val="auto"/>
        </w:rPr>
      </w:pPr>
      <w:r w:rsidRPr="004E1BAB">
        <w:rPr>
          <w:color w:val="auto"/>
        </w:rPr>
        <w:tab/>
        <w:t xml:space="preserve">           President</w:t>
      </w:r>
    </w:p>
    <w:p w:rsidR="00B32E30" w:rsidRDefault="00AD2379" w:rsidP="004E1BAB">
      <w:pPr>
        <w:tabs>
          <w:tab w:val="left" w:pos="0"/>
          <w:tab w:val="left" w:pos="4320"/>
        </w:tabs>
        <w:jc w:val="both"/>
        <w:rPr>
          <w:color w:val="auto"/>
        </w:rPr>
      </w:pPr>
      <w:r w:rsidRPr="004E1BAB">
        <w:rPr>
          <w:color w:val="auto"/>
        </w:rPr>
        <w:tab/>
        <w:t xml:space="preserve">           Physical Disability Board of Review</w:t>
      </w:r>
    </w:p>
    <w:p w:rsidR="00B32E30" w:rsidRDefault="00B32E30">
      <w:pPr>
        <w:spacing w:line="240" w:lineRule="auto"/>
        <w:jc w:val="left"/>
        <w:rPr>
          <w:color w:val="auto"/>
        </w:rPr>
      </w:pPr>
      <w:r>
        <w:rPr>
          <w:color w:val="auto"/>
        </w:rPr>
        <w:br w:type="page"/>
      </w:r>
    </w:p>
    <w:p w:rsidR="00B32E30" w:rsidRDefault="00B32E30" w:rsidP="00B32E30">
      <w:pPr>
        <w:sectPr w:rsidR="00B32E30">
          <w:pgSz w:w="12240" w:h="15840"/>
          <w:pgMar w:top="2160" w:right="1440" w:bottom="1440" w:left="1440" w:header="720" w:footer="720" w:gutter="0"/>
          <w:cols w:space="720"/>
        </w:sectPr>
      </w:pPr>
    </w:p>
    <w:p w:rsidR="00B32E30" w:rsidRDefault="00B32E30" w:rsidP="00B32E30">
      <w:pPr>
        <w:pStyle w:val="Header"/>
        <w:tabs>
          <w:tab w:val="left" w:pos="720"/>
        </w:tabs>
        <w:jc w:val="left"/>
      </w:pPr>
      <w:r>
        <w:lastRenderedPageBreak/>
        <w:t>SFMR-RB</w:t>
      </w:r>
      <w:r>
        <w:tab/>
      </w:r>
      <w:r>
        <w:tab/>
      </w:r>
      <w:r>
        <w:tab/>
      </w:r>
      <w:r>
        <w:tab/>
      </w:r>
      <w:r>
        <w:tab/>
      </w:r>
      <w:r>
        <w:tab/>
      </w:r>
      <w:r>
        <w:tab/>
      </w:r>
      <w:r>
        <w:tab/>
      </w:r>
      <w:r>
        <w:tab/>
      </w:r>
    </w:p>
    <w:p w:rsidR="00B32E30" w:rsidRDefault="00B32E30" w:rsidP="00B32E30">
      <w:pPr>
        <w:pStyle w:val="Header"/>
        <w:tabs>
          <w:tab w:val="left" w:pos="720"/>
        </w:tabs>
        <w:jc w:val="left"/>
      </w:pPr>
    </w:p>
    <w:p w:rsidR="00B32E30" w:rsidRDefault="00B32E30" w:rsidP="00B32E30">
      <w:pPr>
        <w:jc w:val="left"/>
      </w:pPr>
    </w:p>
    <w:p w:rsidR="00B32E30" w:rsidRDefault="00B32E30" w:rsidP="00B32E30">
      <w:pPr>
        <w:jc w:val="left"/>
      </w:pPr>
      <w:r>
        <w:t xml:space="preserve">MEMORANDUM FOR Commander, US Army Physical Disability Agency </w:t>
      </w:r>
    </w:p>
    <w:p w:rsidR="00B32E30" w:rsidRDefault="00B32E30" w:rsidP="00B32E30">
      <w:pPr>
        <w:jc w:val="left"/>
      </w:pPr>
      <w:r>
        <w:t xml:space="preserve">(TAPD-ZB </w:t>
      </w:r>
      <w:proofErr w:type="gramStart"/>
      <w:r>
        <w:t>/  )</w:t>
      </w:r>
      <w:proofErr w:type="gramEnd"/>
      <w:r>
        <w:t>, 2900 Crystal Drive, Suite 300, Arlington, VA  22202</w:t>
      </w:r>
    </w:p>
    <w:p w:rsidR="00B32E30" w:rsidRDefault="00B32E30" w:rsidP="00B32E30">
      <w:pPr>
        <w:jc w:val="left"/>
      </w:pPr>
    </w:p>
    <w:p w:rsidR="00B32E30" w:rsidRDefault="00B32E30" w:rsidP="00B32E30">
      <w:pPr>
        <w:ind w:right="-180"/>
        <w:jc w:val="left"/>
      </w:pPr>
      <w:r>
        <w:t>SUBJECT:  Department of Defense Physical Disability Board of Review Recommendation for XXXXXXXXXXXXXXXXXXXXX, AR20120013943 (PD201101096)</w:t>
      </w:r>
    </w:p>
    <w:p w:rsidR="00B32E30" w:rsidRDefault="00B32E30" w:rsidP="00B32E30">
      <w:pPr>
        <w:pStyle w:val="Header"/>
        <w:tabs>
          <w:tab w:val="left" w:pos="720"/>
        </w:tabs>
        <w:jc w:val="left"/>
      </w:pPr>
    </w:p>
    <w:p w:rsidR="00B32E30" w:rsidRDefault="00B32E30" w:rsidP="00B32E30">
      <w:pPr>
        <w:jc w:val="left"/>
      </w:pPr>
    </w:p>
    <w:p w:rsidR="00B32E30" w:rsidRDefault="00B32E30" w:rsidP="00B32E3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32E30" w:rsidRDefault="00B32E30" w:rsidP="00B32E30">
      <w:pPr>
        <w:jc w:val="left"/>
      </w:pPr>
      <w:r>
        <w:t>This decision is final.  The individual concerned, counsel (if any), and any Members of Congress who have shown interest in this application have been notified of this decision by mail.</w:t>
      </w:r>
    </w:p>
    <w:p w:rsidR="00B32E30" w:rsidRDefault="00B32E30" w:rsidP="00B32E30">
      <w:pPr>
        <w:jc w:val="left"/>
      </w:pPr>
    </w:p>
    <w:p w:rsidR="00B32E30" w:rsidRDefault="00B32E30" w:rsidP="00B32E30">
      <w:pPr>
        <w:jc w:val="left"/>
      </w:pPr>
      <w:r>
        <w:t xml:space="preserve"> BY ORDER OF THE SECRETARY OF THE ARMY:</w:t>
      </w:r>
    </w:p>
    <w:p w:rsidR="00B32E30" w:rsidRDefault="00B32E30" w:rsidP="00B32E30">
      <w:pPr>
        <w:jc w:val="left"/>
      </w:pPr>
    </w:p>
    <w:p w:rsidR="00B32E30" w:rsidRDefault="00B32E30" w:rsidP="00B32E30">
      <w:pPr>
        <w:jc w:val="left"/>
      </w:pPr>
    </w:p>
    <w:p w:rsidR="00B32E30" w:rsidRDefault="00B32E30" w:rsidP="00B32E30">
      <w:pPr>
        <w:pStyle w:val="Header"/>
        <w:tabs>
          <w:tab w:val="left" w:pos="720"/>
        </w:tabs>
        <w:jc w:val="left"/>
      </w:pPr>
    </w:p>
    <w:p w:rsidR="00B32E30" w:rsidRDefault="00B32E30" w:rsidP="00B32E30">
      <w:pPr>
        <w:jc w:val="left"/>
      </w:pPr>
    </w:p>
    <w:p w:rsidR="00B32E30" w:rsidRDefault="00B32E30" w:rsidP="00B32E30">
      <w:pPr>
        <w:jc w:val="left"/>
      </w:pPr>
      <w:bookmarkStart w:id="0" w:name="OLE_LINK4"/>
      <w:bookmarkStart w:id="1" w:name="OLE_LINK3"/>
      <w:r>
        <w:t>Encl</w:t>
      </w:r>
      <w:r>
        <w:tab/>
      </w:r>
      <w:r>
        <w:tab/>
      </w:r>
      <w:r>
        <w:tab/>
      </w:r>
      <w:r>
        <w:tab/>
      </w:r>
      <w:r>
        <w:tab/>
      </w:r>
      <w:r>
        <w:tab/>
        <w:t xml:space="preserve">     XXXXXXXXXXXXXXXXXXX</w:t>
      </w:r>
    </w:p>
    <w:p w:rsidR="00B32E30" w:rsidRDefault="00B32E30" w:rsidP="00B32E30">
      <w:pPr>
        <w:jc w:val="left"/>
      </w:pPr>
      <w:r>
        <w:tab/>
      </w:r>
      <w:r>
        <w:tab/>
      </w:r>
      <w:r>
        <w:tab/>
      </w:r>
      <w:r>
        <w:tab/>
      </w:r>
      <w:r>
        <w:tab/>
      </w:r>
      <w:r>
        <w:tab/>
        <w:t xml:space="preserve">     Deputy Assistant Secretary</w:t>
      </w:r>
    </w:p>
    <w:p w:rsidR="00B32E30" w:rsidRDefault="00B32E30" w:rsidP="00B32E30">
      <w:pPr>
        <w:jc w:val="left"/>
      </w:pPr>
      <w:r>
        <w:tab/>
      </w:r>
      <w:r>
        <w:tab/>
      </w:r>
      <w:r>
        <w:tab/>
      </w:r>
      <w:r>
        <w:tab/>
      </w:r>
      <w:r>
        <w:tab/>
      </w:r>
      <w:r>
        <w:tab/>
        <w:t xml:space="preserve">         (Army Review Boards)</w:t>
      </w:r>
      <w:bookmarkEnd w:id="0"/>
      <w:bookmarkEnd w:id="1"/>
    </w:p>
    <w:p w:rsidR="00B32E30" w:rsidRDefault="00B32E30" w:rsidP="00B32E30">
      <w:pPr>
        <w:jc w:val="left"/>
      </w:pPr>
    </w:p>
    <w:p w:rsidR="00B32E30" w:rsidRDefault="00B32E30" w:rsidP="00B32E30">
      <w:pPr>
        <w:jc w:val="left"/>
      </w:pPr>
      <w:r>
        <w:t xml:space="preserve">CF: </w:t>
      </w:r>
    </w:p>
    <w:p w:rsidR="00B32E30" w:rsidRDefault="00B32E30" w:rsidP="00B32E30">
      <w:pPr>
        <w:jc w:val="left"/>
      </w:pPr>
      <w:r>
        <w:t xml:space="preserve">(  ) </w:t>
      </w:r>
      <w:proofErr w:type="spellStart"/>
      <w:proofErr w:type="gramStart"/>
      <w:r>
        <w:t>DoD</w:t>
      </w:r>
      <w:proofErr w:type="spellEnd"/>
      <w:proofErr w:type="gramEnd"/>
      <w:r>
        <w:t xml:space="preserve"> PDBR</w:t>
      </w:r>
    </w:p>
    <w:p w:rsidR="00B32E30" w:rsidRDefault="00B32E30" w:rsidP="00B32E30">
      <w:pPr>
        <w:jc w:val="left"/>
      </w:pPr>
      <w:r>
        <w:t>(  ) DVA</w:t>
      </w:r>
    </w:p>
    <w:p w:rsidR="00B32E30" w:rsidRDefault="00B32E30" w:rsidP="00B32E30">
      <w:pPr>
        <w:jc w:val="left"/>
      </w:pPr>
    </w:p>
    <w:p w:rsidR="00832FE5" w:rsidRDefault="00832FE5" w:rsidP="004E1BAB">
      <w:pPr>
        <w:tabs>
          <w:tab w:val="left" w:pos="0"/>
          <w:tab w:val="left" w:pos="4320"/>
        </w:tabs>
        <w:jc w:val="both"/>
        <w:rPr>
          <w:rFonts w:ascii="Arial" w:hAnsi="Arial" w:cs="Arial"/>
          <w:b/>
          <w:bCs/>
          <w:color w:val="000000"/>
          <w:sz w:val="23"/>
          <w:szCs w:val="23"/>
        </w:rPr>
      </w:pPr>
    </w:p>
    <w:sectPr w:rsidR="00832FE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FF" w:rsidRDefault="009B34FF">
      <w:r>
        <w:separator/>
      </w:r>
    </w:p>
  </w:endnote>
  <w:endnote w:type="continuationSeparator" w:id="0">
    <w:p w:rsidR="009B34FF" w:rsidRDefault="009B3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86" w:rsidRPr="00374247" w:rsidRDefault="002D5E86" w:rsidP="00726F84">
    <w:pPr>
      <w:pStyle w:val="Footer"/>
      <w:ind w:firstLine="4320"/>
      <w:rPr>
        <w:color w:val="auto"/>
      </w:rPr>
    </w:pPr>
    <w:r w:rsidRPr="00374247">
      <w:rPr>
        <w:color w:val="auto"/>
      </w:rPr>
      <w:t xml:space="preserve">   </w:t>
    </w:r>
    <w:fldSimple w:instr=" PAGE   \* MERGEFORMAT ">
      <w:r w:rsidR="00B32E30" w:rsidRPr="00B32E30">
        <w:rPr>
          <w:noProof/>
          <w:color w:val="auto"/>
        </w:rPr>
        <w:t>5</w:t>
      </w:r>
    </w:fldSimple>
    <w:r w:rsidRPr="00374247">
      <w:rPr>
        <w:color w:val="auto"/>
      </w:rPr>
      <w:t xml:space="preserve">                                                           </w:t>
    </w:r>
    <w:r w:rsidR="008B2347">
      <w:rPr>
        <w:color w:val="auto"/>
      </w:rPr>
      <w:t>PD11</w:t>
    </w:r>
    <w:r w:rsidRPr="003133F1">
      <w:rPr>
        <w:color w:val="auto"/>
      </w:rPr>
      <w:t>01096</w:t>
    </w:r>
  </w:p>
  <w:p w:rsidR="002D5E86" w:rsidRPr="00684CE6" w:rsidRDefault="002D5E8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FF" w:rsidRDefault="009B34FF">
      <w:r>
        <w:separator/>
      </w:r>
    </w:p>
  </w:footnote>
  <w:footnote w:type="continuationSeparator" w:id="0">
    <w:p w:rsidR="009B34FF" w:rsidRDefault="009B3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2A7"/>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479"/>
    <w:rsid w:val="000B1554"/>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1E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2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CD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9A8"/>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E86"/>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3F1"/>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74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A14"/>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87E9C"/>
    <w:rsid w:val="00390092"/>
    <w:rsid w:val="00390CFA"/>
    <w:rsid w:val="00391858"/>
    <w:rsid w:val="00393651"/>
    <w:rsid w:val="00393D7D"/>
    <w:rsid w:val="00394926"/>
    <w:rsid w:val="00394FF9"/>
    <w:rsid w:val="00395651"/>
    <w:rsid w:val="00395E12"/>
    <w:rsid w:val="003962A8"/>
    <w:rsid w:val="00396779"/>
    <w:rsid w:val="00397DB7"/>
    <w:rsid w:val="003A160C"/>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56E"/>
    <w:rsid w:val="00404B45"/>
    <w:rsid w:val="00405BCF"/>
    <w:rsid w:val="004068E0"/>
    <w:rsid w:val="00406CC5"/>
    <w:rsid w:val="00406FCA"/>
    <w:rsid w:val="004074A4"/>
    <w:rsid w:val="004101B2"/>
    <w:rsid w:val="004123D7"/>
    <w:rsid w:val="00412658"/>
    <w:rsid w:val="004129DA"/>
    <w:rsid w:val="00412B25"/>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A5A"/>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EBC"/>
    <w:rsid w:val="004D6E90"/>
    <w:rsid w:val="004D6F2B"/>
    <w:rsid w:val="004E0248"/>
    <w:rsid w:val="004E1BAB"/>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599E"/>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EAA"/>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912"/>
    <w:rsid w:val="00626902"/>
    <w:rsid w:val="00626A0F"/>
    <w:rsid w:val="00627198"/>
    <w:rsid w:val="006274B4"/>
    <w:rsid w:val="006307BA"/>
    <w:rsid w:val="006315BA"/>
    <w:rsid w:val="006315CB"/>
    <w:rsid w:val="00631E6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241"/>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3D"/>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343"/>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633"/>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2FE5"/>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AEB"/>
    <w:rsid w:val="00871262"/>
    <w:rsid w:val="0087170E"/>
    <w:rsid w:val="00871D4E"/>
    <w:rsid w:val="00871E7B"/>
    <w:rsid w:val="008721BB"/>
    <w:rsid w:val="008734E7"/>
    <w:rsid w:val="0087566D"/>
    <w:rsid w:val="00875B50"/>
    <w:rsid w:val="00875B51"/>
    <w:rsid w:val="00875F2D"/>
    <w:rsid w:val="008762E7"/>
    <w:rsid w:val="008764DC"/>
    <w:rsid w:val="00880DF0"/>
    <w:rsid w:val="00880E22"/>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347"/>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3EA"/>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23DF"/>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400"/>
    <w:rsid w:val="0096168C"/>
    <w:rsid w:val="00961840"/>
    <w:rsid w:val="009625E3"/>
    <w:rsid w:val="00962F2D"/>
    <w:rsid w:val="00963A7A"/>
    <w:rsid w:val="0096653E"/>
    <w:rsid w:val="009672CD"/>
    <w:rsid w:val="00971810"/>
    <w:rsid w:val="00972266"/>
    <w:rsid w:val="00972996"/>
    <w:rsid w:val="009730B4"/>
    <w:rsid w:val="0097320E"/>
    <w:rsid w:val="009732B8"/>
    <w:rsid w:val="0097432F"/>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3FB4"/>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19B8"/>
    <w:rsid w:val="009B34FF"/>
    <w:rsid w:val="009B4963"/>
    <w:rsid w:val="009B4A3B"/>
    <w:rsid w:val="009B56C8"/>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96D"/>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5E3D"/>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AD"/>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2557"/>
    <w:rsid w:val="00A730B0"/>
    <w:rsid w:val="00A7387A"/>
    <w:rsid w:val="00A73B84"/>
    <w:rsid w:val="00A7411D"/>
    <w:rsid w:val="00A756C4"/>
    <w:rsid w:val="00A7592B"/>
    <w:rsid w:val="00A75ED7"/>
    <w:rsid w:val="00A76094"/>
    <w:rsid w:val="00A768E2"/>
    <w:rsid w:val="00A82B1B"/>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A7BF6"/>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2E30"/>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35EE"/>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900"/>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059D"/>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1C71"/>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3283"/>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4EF8"/>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B4E"/>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13F"/>
    <w:rsid w:val="00E9265E"/>
    <w:rsid w:val="00E956DB"/>
    <w:rsid w:val="00E957D7"/>
    <w:rsid w:val="00E9763D"/>
    <w:rsid w:val="00EA00A4"/>
    <w:rsid w:val="00EA1177"/>
    <w:rsid w:val="00EA118B"/>
    <w:rsid w:val="00EA11B6"/>
    <w:rsid w:val="00EA2181"/>
    <w:rsid w:val="00EA2DD8"/>
    <w:rsid w:val="00EA30FC"/>
    <w:rsid w:val="00EA3881"/>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5A44"/>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5B59"/>
    <w:rsid w:val="00F90376"/>
    <w:rsid w:val="00F908D5"/>
    <w:rsid w:val="00F912A0"/>
    <w:rsid w:val="00F913B9"/>
    <w:rsid w:val="00F91B14"/>
    <w:rsid w:val="00F91D70"/>
    <w:rsid w:val="00F938FB"/>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06"/>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454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2012-08-17T19:06:00Z</dcterms:created>
  <dcterms:modified xsi:type="dcterms:W3CDTF">2012-08-17T19:06:00Z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