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072C60" w:rsidRDefault="00F629C0" w:rsidP="00610388">
      <w:pPr>
        <w:tabs>
          <w:tab w:val="left" w:pos="288"/>
          <w:tab w:val="left" w:pos="4752"/>
          <w:tab w:val="left" w:pos="5130"/>
          <w:tab w:val="left" w:pos="6300"/>
          <w:tab w:val="left" w:pos="9270"/>
        </w:tabs>
        <w:jc w:val="both"/>
        <w:rPr>
          <w:caps/>
          <w:color w:val="000000" w:themeColor="text1"/>
        </w:rPr>
      </w:pPr>
      <w:r w:rsidRPr="001F29F9">
        <w:rPr>
          <w:caps/>
          <w:color w:val="000000" w:themeColor="text1"/>
        </w:rPr>
        <w:t xml:space="preserve">NAME:  </w:t>
      </w:r>
      <w:r w:rsidR="00DD2A58">
        <w:rPr>
          <w:caps/>
          <w:color w:val="000000" w:themeColor="text1"/>
        </w:rPr>
        <w:t>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610388">
        <w:rPr>
          <w:caps/>
          <w:color w:val="000000" w:themeColor="text1"/>
        </w:rPr>
        <w:tab/>
      </w:r>
      <w:r w:rsidR="00610388">
        <w:rPr>
          <w:caps/>
          <w:color w:val="000000" w:themeColor="text1"/>
        </w:rPr>
        <w:tab/>
        <w:t xml:space="preserve">                   </w:t>
      </w:r>
      <w:r w:rsidR="00610388">
        <w:rPr>
          <w:caps/>
          <w:color w:val="000000" w:themeColor="text1"/>
        </w:rPr>
        <w:tab/>
      </w:r>
      <w:r w:rsidRPr="001F29F9">
        <w:rPr>
          <w:caps/>
          <w:color w:val="000000" w:themeColor="text1"/>
        </w:rPr>
        <w:t xml:space="preserve">BRANCH OF SERVICE: </w:t>
      </w:r>
      <w:r w:rsidR="00303DC0">
        <w:rPr>
          <w:caps/>
          <w:color w:val="000000" w:themeColor="text1"/>
        </w:rPr>
        <w:t>Army</w:t>
      </w:r>
    </w:p>
    <w:p w:rsidR="00DE3AAD" w:rsidRPr="001F29F9" w:rsidRDefault="00012733" w:rsidP="00610388">
      <w:pPr>
        <w:tabs>
          <w:tab w:val="left" w:pos="288"/>
          <w:tab w:val="left" w:pos="4166"/>
          <w:tab w:val="left" w:pos="4752"/>
          <w:tab w:val="left" w:pos="5130"/>
          <w:tab w:val="left" w:pos="6300"/>
          <w:tab w:val="left" w:pos="9270"/>
        </w:tabs>
        <w:jc w:val="both"/>
        <w:rPr>
          <w:caps/>
          <w:color w:val="000000" w:themeColor="text1"/>
        </w:rPr>
      </w:pPr>
      <w:r w:rsidRPr="00072C60">
        <w:rPr>
          <w:caps/>
          <w:color w:val="000000" w:themeColor="text1"/>
        </w:rPr>
        <w:t>C</w:t>
      </w:r>
      <w:r w:rsidR="00DE3AAD" w:rsidRPr="00072C60">
        <w:rPr>
          <w:caps/>
          <w:color w:val="000000" w:themeColor="text1"/>
        </w:rPr>
        <w:t>ASE NUMBER:  PD</w:t>
      </w:r>
      <w:r w:rsidR="008F58E1" w:rsidRPr="00072C60">
        <w:rPr>
          <w:caps/>
          <w:color w:val="000000" w:themeColor="text1"/>
        </w:rPr>
        <w:t>11</w:t>
      </w:r>
      <w:r w:rsidR="00DE3AAD" w:rsidRPr="00072C60">
        <w:rPr>
          <w:caps/>
          <w:color w:val="000000" w:themeColor="text1"/>
        </w:rPr>
        <w:t>0</w:t>
      </w:r>
      <w:r w:rsidR="00072C60" w:rsidRPr="00072C60">
        <w:rPr>
          <w:caps/>
          <w:color w:val="000000" w:themeColor="text1"/>
        </w:rPr>
        <w:t>1</w:t>
      </w:r>
      <w:r w:rsidR="00DE3AAD" w:rsidRPr="00072C60">
        <w:rPr>
          <w:caps/>
          <w:color w:val="000000" w:themeColor="text1"/>
        </w:rPr>
        <w:t>0</w:t>
      </w:r>
      <w:r w:rsidR="00072C60" w:rsidRPr="00072C60">
        <w:rPr>
          <w:caps/>
          <w:color w:val="000000" w:themeColor="text1"/>
        </w:rPr>
        <w:t>62</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610388">
        <w:rPr>
          <w:color w:val="000000" w:themeColor="text1"/>
        </w:rPr>
        <w:t xml:space="preserve">                  </w:t>
      </w:r>
      <w:r w:rsidR="00610388">
        <w:rPr>
          <w:color w:val="000000" w:themeColor="text1"/>
        </w:rPr>
        <w:tab/>
      </w:r>
      <w:r w:rsidR="00DE3AAD" w:rsidRPr="001F29F9">
        <w:rPr>
          <w:color w:val="000000" w:themeColor="text1"/>
        </w:rPr>
        <w:t>SEPARATION DATE:  200</w:t>
      </w:r>
      <w:r w:rsidR="001B4E82">
        <w:rPr>
          <w:color w:val="000000" w:themeColor="text1"/>
        </w:rPr>
        <w:t>80420</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9D6610">
        <w:rPr>
          <w:caps/>
          <w:color w:val="000000" w:themeColor="text1"/>
        </w:rPr>
        <w:t>2</w:t>
      </w:r>
      <w:r w:rsidR="00303DC0">
        <w:rPr>
          <w:caps/>
          <w:color w:val="000000" w:themeColor="text1"/>
        </w:rPr>
        <w:t>0509</w:t>
      </w:r>
      <w:r w:rsidR="003B2143" w:rsidRPr="001F29F9">
        <w:rPr>
          <w:caps/>
          <w:color w:val="000000" w:themeColor="text1"/>
        </w:rPr>
        <w:tab/>
      </w:r>
    </w:p>
    <w:p w:rsidR="00FF4C90" w:rsidRPr="00433918" w:rsidRDefault="00FF4C90" w:rsidP="009C0748">
      <w:pPr>
        <w:pBdr>
          <w:bottom w:val="single" w:sz="12" w:space="1" w:color="auto"/>
        </w:pBdr>
        <w:tabs>
          <w:tab w:val="left" w:pos="288"/>
          <w:tab w:val="left" w:pos="4752"/>
        </w:tabs>
        <w:jc w:val="both"/>
        <w:rPr>
          <w:b/>
          <w:color w:val="000000" w:themeColor="text1"/>
        </w:rPr>
      </w:pPr>
    </w:p>
    <w:p w:rsidR="003F1206" w:rsidRPr="00433918" w:rsidRDefault="003F1206" w:rsidP="009C0748">
      <w:pPr>
        <w:tabs>
          <w:tab w:val="left" w:pos="288"/>
          <w:tab w:val="left" w:pos="4752"/>
        </w:tabs>
        <w:jc w:val="both"/>
        <w:rPr>
          <w:color w:val="000000" w:themeColor="text1"/>
        </w:rPr>
      </w:pPr>
    </w:p>
    <w:p w:rsidR="00F63FC7" w:rsidRPr="001F29F9" w:rsidRDefault="00FB0E80" w:rsidP="009C0748">
      <w:pPr>
        <w:tabs>
          <w:tab w:val="left" w:pos="288"/>
          <w:tab w:val="left" w:pos="4752"/>
        </w:tabs>
        <w:jc w:val="both"/>
        <w:rPr>
          <w:color w:val="000000" w:themeColor="text1"/>
        </w:rPr>
      </w:pPr>
      <w:r w:rsidRPr="00072C60">
        <w:rPr>
          <w:color w:val="000000" w:themeColor="text1"/>
          <w:u w:val="single"/>
        </w:rPr>
        <w:t>SUMMARY OF CASE</w:t>
      </w:r>
      <w:r w:rsidRPr="00072C60">
        <w:rPr>
          <w:color w:val="000000" w:themeColor="text1"/>
        </w:rPr>
        <w:t xml:space="preserve">:  </w:t>
      </w:r>
      <w:r w:rsidR="009759C2" w:rsidRPr="00072C60">
        <w:rPr>
          <w:color w:val="000000" w:themeColor="text1"/>
        </w:rPr>
        <w:t>Data extracted from the available evidence of record reflects that this covered individual (CI)</w:t>
      </w:r>
      <w:r w:rsidR="00570754" w:rsidRPr="00072C60">
        <w:rPr>
          <w:color w:val="000000" w:themeColor="text1"/>
        </w:rPr>
        <w:t xml:space="preserve"> </w:t>
      </w:r>
      <w:r w:rsidR="002C6E5B" w:rsidRPr="00072C60">
        <w:rPr>
          <w:color w:val="000000" w:themeColor="text1"/>
          <w:szCs w:val="24"/>
        </w:rPr>
        <w:t xml:space="preserve">was </w:t>
      </w:r>
      <w:r w:rsidR="00E322F7" w:rsidRPr="00072C60">
        <w:rPr>
          <w:color w:val="000000" w:themeColor="text1"/>
          <w:szCs w:val="24"/>
        </w:rPr>
        <w:t>an active duty</w:t>
      </w:r>
      <w:r w:rsidR="006D4E0E" w:rsidRPr="00072C60">
        <w:rPr>
          <w:color w:val="000000" w:themeColor="text1"/>
          <w:szCs w:val="24"/>
        </w:rPr>
        <w:t xml:space="preserve"> </w:t>
      </w:r>
      <w:r w:rsidR="00661BA2" w:rsidRPr="00072C60">
        <w:rPr>
          <w:color w:val="000000" w:themeColor="text1"/>
          <w:szCs w:val="24"/>
        </w:rPr>
        <w:t>SGT/E-5</w:t>
      </w:r>
      <w:r w:rsidR="00705C40" w:rsidRPr="00072C60">
        <w:rPr>
          <w:color w:val="000000" w:themeColor="text1"/>
          <w:szCs w:val="24"/>
        </w:rPr>
        <w:t xml:space="preserve"> (</w:t>
      </w:r>
      <w:r w:rsidR="001B4E82" w:rsidRPr="00072C60">
        <w:rPr>
          <w:color w:val="000000" w:themeColor="text1"/>
          <w:szCs w:val="24"/>
        </w:rPr>
        <w:t>92G20</w:t>
      </w:r>
      <w:r w:rsidR="00BB2A47">
        <w:rPr>
          <w:color w:val="000000" w:themeColor="text1"/>
          <w:szCs w:val="24"/>
        </w:rPr>
        <w:t>/</w:t>
      </w:r>
      <w:r w:rsidR="001B4E82" w:rsidRPr="00072C60">
        <w:rPr>
          <w:color w:val="000000" w:themeColor="text1"/>
          <w:szCs w:val="24"/>
        </w:rPr>
        <w:t>Cook</w:t>
      </w:r>
      <w:r w:rsidR="00E322F7" w:rsidRPr="00072C60">
        <w:rPr>
          <w:color w:val="000000" w:themeColor="text1"/>
          <w:szCs w:val="24"/>
        </w:rPr>
        <w:t>)</w:t>
      </w:r>
      <w:r w:rsidR="00C75F3D" w:rsidRPr="00072C60">
        <w:rPr>
          <w:color w:val="000000" w:themeColor="text1"/>
          <w:szCs w:val="24"/>
        </w:rPr>
        <w:t xml:space="preserve">, </w:t>
      </w:r>
      <w:r w:rsidR="002C6E5B" w:rsidRPr="00072C60">
        <w:rPr>
          <w:color w:val="000000" w:themeColor="text1"/>
          <w:szCs w:val="24"/>
        </w:rPr>
        <w:t xml:space="preserve">medically separated for </w:t>
      </w:r>
      <w:r w:rsidR="001B4E82" w:rsidRPr="00072C60">
        <w:rPr>
          <w:color w:val="000000" w:themeColor="text1"/>
          <w:szCs w:val="24"/>
        </w:rPr>
        <w:t>right L4-5 sensory deficit and radiculopathy which interfere</w:t>
      </w:r>
      <w:r w:rsidR="0087107D">
        <w:rPr>
          <w:color w:val="000000" w:themeColor="text1"/>
          <w:szCs w:val="24"/>
        </w:rPr>
        <w:t>d</w:t>
      </w:r>
      <w:r w:rsidR="001B4E82" w:rsidRPr="00072C60">
        <w:rPr>
          <w:color w:val="000000" w:themeColor="text1"/>
          <w:szCs w:val="24"/>
        </w:rPr>
        <w:t xml:space="preserve"> with his ability to stand and wear personal protective gear because it</w:t>
      </w:r>
      <w:r w:rsidR="006D2185">
        <w:rPr>
          <w:color w:val="000000" w:themeColor="text1"/>
          <w:szCs w:val="24"/>
        </w:rPr>
        <w:t xml:space="preserve"> increase</w:t>
      </w:r>
      <w:r w:rsidR="0087107D">
        <w:rPr>
          <w:color w:val="000000" w:themeColor="text1"/>
          <w:szCs w:val="24"/>
        </w:rPr>
        <w:t>d</w:t>
      </w:r>
      <w:r w:rsidR="006D2185">
        <w:rPr>
          <w:color w:val="000000" w:themeColor="text1"/>
          <w:szCs w:val="24"/>
        </w:rPr>
        <w:t xml:space="preserve"> his radicular pain. </w:t>
      </w:r>
      <w:r w:rsidR="00610388">
        <w:rPr>
          <w:color w:val="000000" w:themeColor="text1"/>
          <w:szCs w:val="24"/>
        </w:rPr>
        <w:t xml:space="preserve"> </w:t>
      </w:r>
      <w:r w:rsidR="001B4E82" w:rsidRPr="00072C60">
        <w:rPr>
          <w:color w:val="000000" w:themeColor="text1"/>
          <w:szCs w:val="24"/>
        </w:rPr>
        <w:t xml:space="preserve">His electrodiagnostic evidence of chronic right L5 radiculopathy </w:t>
      </w:r>
      <w:r w:rsidR="0087107D">
        <w:rPr>
          <w:color w:val="000000" w:themeColor="text1"/>
          <w:szCs w:val="24"/>
        </w:rPr>
        <w:t>wa</w:t>
      </w:r>
      <w:r w:rsidR="001B4E82" w:rsidRPr="00072C60">
        <w:rPr>
          <w:color w:val="000000" w:themeColor="text1"/>
          <w:szCs w:val="24"/>
        </w:rPr>
        <w:t>s rated as mild, incomplete paralysis</w:t>
      </w:r>
      <w:r w:rsidR="00C75F3D" w:rsidRPr="00072C60">
        <w:rPr>
          <w:color w:val="000000" w:themeColor="text1"/>
          <w:szCs w:val="24"/>
        </w:rPr>
        <w:t>.</w:t>
      </w:r>
      <w:r w:rsidR="009C0748">
        <w:rPr>
          <w:color w:val="000000" w:themeColor="text1"/>
          <w:szCs w:val="24"/>
        </w:rPr>
        <w:t xml:space="preserve"> </w:t>
      </w:r>
      <w:r w:rsidR="00610388">
        <w:rPr>
          <w:color w:val="000000" w:themeColor="text1"/>
          <w:szCs w:val="24"/>
        </w:rPr>
        <w:t xml:space="preserve"> </w:t>
      </w:r>
      <w:r w:rsidR="00D55AE9">
        <w:rPr>
          <w:color w:val="000000" w:themeColor="text1"/>
          <w:szCs w:val="24"/>
        </w:rPr>
        <w:t xml:space="preserve">He was also separated for </w:t>
      </w:r>
      <w:r w:rsidR="00D55AE9" w:rsidRPr="00D55AE9">
        <w:rPr>
          <w:color w:val="000000" w:themeColor="text1"/>
          <w:szCs w:val="24"/>
        </w:rPr>
        <w:t>lumbar degenerative disc disease</w:t>
      </w:r>
      <w:r w:rsidR="0087107D">
        <w:rPr>
          <w:color w:val="000000" w:themeColor="text1"/>
          <w:szCs w:val="24"/>
        </w:rPr>
        <w:t xml:space="preserve"> </w:t>
      </w:r>
      <w:r w:rsidR="002C691A">
        <w:rPr>
          <w:color w:val="000000" w:themeColor="text1"/>
          <w:szCs w:val="24"/>
        </w:rPr>
        <w:t xml:space="preserve">(DDD) </w:t>
      </w:r>
      <w:r w:rsidR="0087107D">
        <w:rPr>
          <w:color w:val="000000" w:themeColor="text1"/>
          <w:szCs w:val="24"/>
        </w:rPr>
        <w:t>which interfered with his ability to perform basic Soldier functions</w:t>
      </w:r>
      <w:r w:rsidR="00D55AE9">
        <w:rPr>
          <w:color w:val="000000" w:themeColor="text1"/>
          <w:szCs w:val="24"/>
        </w:rPr>
        <w:t>.</w:t>
      </w:r>
      <w:r w:rsidR="009C0748">
        <w:rPr>
          <w:color w:val="000000" w:themeColor="text1"/>
          <w:szCs w:val="24"/>
        </w:rPr>
        <w:t xml:space="preserve"> </w:t>
      </w:r>
      <w:r w:rsidR="00610388">
        <w:rPr>
          <w:color w:val="000000" w:themeColor="text1"/>
          <w:szCs w:val="24"/>
        </w:rPr>
        <w:t xml:space="preserve"> </w:t>
      </w:r>
      <w:r w:rsidR="000F586C">
        <w:rPr>
          <w:color w:val="000000" w:themeColor="text1"/>
          <w:szCs w:val="24"/>
        </w:rPr>
        <w:t xml:space="preserve">The CI injured his back when he was knocked to the ground during a mortar attack in Iraq in 2004. </w:t>
      </w:r>
      <w:r w:rsidR="00610388">
        <w:rPr>
          <w:color w:val="000000" w:themeColor="text1"/>
          <w:szCs w:val="24"/>
        </w:rPr>
        <w:t xml:space="preserve"> </w:t>
      </w:r>
      <w:r w:rsidR="00643C8F" w:rsidRPr="00072C60">
        <w:rPr>
          <w:color w:val="000000" w:themeColor="text1"/>
          <w:szCs w:val="24"/>
        </w:rPr>
        <w:t>He did not respond adequately to treatment and was unable to perform within his Military Occupational Specialty (MOS) or m</w:t>
      </w:r>
      <w:r w:rsidR="009C0748">
        <w:rPr>
          <w:color w:val="000000" w:themeColor="text1"/>
          <w:szCs w:val="24"/>
        </w:rPr>
        <w:t>eet physical fitness standards.</w:t>
      </w:r>
      <w:r w:rsidR="00643C8F" w:rsidRPr="00072C60">
        <w:rPr>
          <w:color w:val="000000" w:themeColor="text1"/>
          <w:szCs w:val="24"/>
        </w:rPr>
        <w:t xml:space="preserve"> </w:t>
      </w:r>
      <w:r w:rsidR="00610388">
        <w:rPr>
          <w:color w:val="000000" w:themeColor="text1"/>
          <w:szCs w:val="24"/>
        </w:rPr>
        <w:t xml:space="preserve"> </w:t>
      </w:r>
      <w:r w:rsidR="00643C8F" w:rsidRPr="00072C60">
        <w:rPr>
          <w:color w:val="000000" w:themeColor="text1"/>
          <w:szCs w:val="24"/>
        </w:rPr>
        <w:t xml:space="preserve">He was issued a permanent </w:t>
      </w:r>
      <w:r w:rsidR="001B4E82" w:rsidRPr="00072C60">
        <w:rPr>
          <w:color w:val="000000" w:themeColor="text1"/>
          <w:szCs w:val="24"/>
        </w:rPr>
        <w:t>L3</w:t>
      </w:r>
      <w:r w:rsidR="00643C8F" w:rsidRPr="00072C60">
        <w:rPr>
          <w:color w:val="000000" w:themeColor="text1"/>
          <w:szCs w:val="24"/>
        </w:rPr>
        <w:t xml:space="preserve"> profile and </w:t>
      </w:r>
      <w:r w:rsidR="00BB2A47">
        <w:rPr>
          <w:color w:val="000000" w:themeColor="text1"/>
          <w:szCs w:val="24"/>
        </w:rPr>
        <w:t xml:space="preserve">initially underwent </w:t>
      </w:r>
      <w:r w:rsidR="00643C8F" w:rsidRPr="00072C60">
        <w:rPr>
          <w:color w:val="000000" w:themeColor="text1"/>
          <w:szCs w:val="24"/>
        </w:rPr>
        <w:t xml:space="preserve">a </w:t>
      </w:r>
      <w:r w:rsidR="00BB2A47">
        <w:rPr>
          <w:color w:val="000000" w:themeColor="text1"/>
          <w:szCs w:val="24"/>
        </w:rPr>
        <w:t xml:space="preserve">Military MOS Reclassification Board (MMRB). </w:t>
      </w:r>
      <w:r w:rsidR="00610388">
        <w:rPr>
          <w:color w:val="000000" w:themeColor="text1"/>
          <w:szCs w:val="24"/>
        </w:rPr>
        <w:t xml:space="preserve"> </w:t>
      </w:r>
      <w:r w:rsidR="00BB2A47">
        <w:rPr>
          <w:color w:val="000000" w:themeColor="text1"/>
          <w:szCs w:val="24"/>
        </w:rPr>
        <w:t xml:space="preserve">The MMRB referred his case to the </w:t>
      </w:r>
      <w:r w:rsidR="00643C8F" w:rsidRPr="00072C60">
        <w:rPr>
          <w:color w:val="000000" w:themeColor="text1"/>
          <w:szCs w:val="24"/>
        </w:rPr>
        <w:t>Medical Evaluation Board (MEB).</w:t>
      </w:r>
      <w:r w:rsidR="00A007C2">
        <w:rPr>
          <w:color w:val="000000" w:themeColor="text1"/>
          <w:szCs w:val="24"/>
        </w:rPr>
        <w:t xml:space="preserve"> </w:t>
      </w:r>
      <w:r w:rsidR="00610388">
        <w:rPr>
          <w:color w:val="000000" w:themeColor="text1"/>
          <w:szCs w:val="24"/>
        </w:rPr>
        <w:t xml:space="preserve"> </w:t>
      </w:r>
      <w:r w:rsidR="001B4E82" w:rsidRPr="00072C60">
        <w:rPr>
          <w:color w:val="000000" w:themeColor="text1"/>
          <w:szCs w:val="24"/>
        </w:rPr>
        <w:t>One</w:t>
      </w:r>
      <w:r w:rsidR="009C5C56" w:rsidRPr="00072C60">
        <w:rPr>
          <w:color w:val="000000" w:themeColor="text1"/>
          <w:szCs w:val="24"/>
        </w:rPr>
        <w:t xml:space="preserve"> </w:t>
      </w:r>
      <w:r w:rsidR="00954E5B" w:rsidRPr="00072C60">
        <w:rPr>
          <w:color w:val="000000" w:themeColor="text1"/>
          <w:szCs w:val="24"/>
        </w:rPr>
        <w:t xml:space="preserve">other condition, </w:t>
      </w:r>
      <w:r w:rsidR="00610388">
        <w:rPr>
          <w:color w:val="000000" w:themeColor="text1"/>
          <w:szCs w:val="24"/>
        </w:rPr>
        <w:t xml:space="preserve">anxiety disorder </w:t>
      </w:r>
      <w:r w:rsidR="0087107D">
        <w:rPr>
          <w:color w:val="000000" w:themeColor="text1"/>
          <w:szCs w:val="24"/>
        </w:rPr>
        <w:t>not otherwise specified (NOS)</w:t>
      </w:r>
      <w:r w:rsidR="00954E5B" w:rsidRPr="00072C60">
        <w:rPr>
          <w:color w:val="000000" w:themeColor="text1"/>
          <w:szCs w:val="24"/>
        </w:rPr>
        <w:t>, w</w:t>
      </w:r>
      <w:r w:rsidR="001B4E82" w:rsidRPr="00072C60">
        <w:rPr>
          <w:color w:val="000000" w:themeColor="text1"/>
          <w:szCs w:val="24"/>
        </w:rPr>
        <w:t>as</w:t>
      </w:r>
      <w:r w:rsidR="00954E5B" w:rsidRPr="00072C60">
        <w:rPr>
          <w:color w:val="000000" w:themeColor="text1"/>
          <w:szCs w:val="24"/>
        </w:rPr>
        <w:t xml:space="preserve"> forwarded on the </w:t>
      </w:r>
      <w:r w:rsidR="00B04562" w:rsidRPr="00072C60">
        <w:rPr>
          <w:color w:val="000000" w:themeColor="text1"/>
          <w:szCs w:val="24"/>
        </w:rPr>
        <w:t xml:space="preserve">MEB submission </w:t>
      </w:r>
      <w:r w:rsidR="00954E5B" w:rsidRPr="00072C60">
        <w:rPr>
          <w:color w:val="000000" w:themeColor="text1"/>
          <w:szCs w:val="24"/>
        </w:rPr>
        <w:t xml:space="preserve">as </w:t>
      </w:r>
      <w:r w:rsidR="00D55AE9">
        <w:rPr>
          <w:color w:val="000000" w:themeColor="text1"/>
          <w:szCs w:val="24"/>
        </w:rPr>
        <w:t xml:space="preserve">a </w:t>
      </w:r>
      <w:r w:rsidR="00954E5B" w:rsidRPr="00072C60">
        <w:rPr>
          <w:color w:val="000000" w:themeColor="text1"/>
          <w:szCs w:val="24"/>
        </w:rPr>
        <w:t>medically acceptable condition</w:t>
      </w:r>
      <w:r w:rsidR="00B04562" w:rsidRPr="00072C60">
        <w:rPr>
          <w:color w:val="000000" w:themeColor="text1"/>
          <w:szCs w:val="24"/>
        </w:rPr>
        <w:t>.</w:t>
      </w:r>
      <w:r w:rsidR="009C0748">
        <w:rPr>
          <w:color w:val="000000" w:themeColor="text1"/>
          <w:szCs w:val="24"/>
        </w:rPr>
        <w:t xml:space="preserve"> </w:t>
      </w:r>
      <w:r w:rsidR="00F67BB7">
        <w:rPr>
          <w:color w:val="000000" w:themeColor="text1"/>
          <w:szCs w:val="24"/>
        </w:rPr>
        <w:t xml:space="preserve"> </w:t>
      </w:r>
      <w:r w:rsidR="00842BAA" w:rsidRPr="00072C60">
        <w:rPr>
          <w:color w:val="000000" w:themeColor="text1"/>
          <w:szCs w:val="24"/>
        </w:rPr>
        <w:t xml:space="preserve">The PEB adjudicated the </w:t>
      </w:r>
      <w:r w:rsidR="001B4E82" w:rsidRPr="00072C60">
        <w:rPr>
          <w:color w:val="000000" w:themeColor="text1"/>
          <w:szCs w:val="24"/>
        </w:rPr>
        <w:t>right L4-5 sensory deficit and radiculopathy</w:t>
      </w:r>
      <w:r w:rsidR="00842BAA" w:rsidRPr="00072C60">
        <w:rPr>
          <w:color w:val="000000" w:themeColor="text1"/>
          <w:szCs w:val="24"/>
        </w:rPr>
        <w:t xml:space="preserve"> condition as unfitting, rated </w:t>
      </w:r>
      <w:r w:rsidR="001B4E82" w:rsidRPr="00072C60">
        <w:rPr>
          <w:color w:val="000000" w:themeColor="text1"/>
          <w:szCs w:val="24"/>
        </w:rPr>
        <w:t>10</w:t>
      </w:r>
      <w:r w:rsidR="00842BAA" w:rsidRPr="00072C60">
        <w:rPr>
          <w:color w:val="000000" w:themeColor="text1"/>
          <w:szCs w:val="24"/>
        </w:rPr>
        <w:t>%</w:t>
      </w:r>
      <w:r w:rsidR="00A558EF" w:rsidRPr="00072C60">
        <w:rPr>
          <w:color w:val="000000" w:themeColor="text1"/>
          <w:szCs w:val="24"/>
        </w:rPr>
        <w:t xml:space="preserve">, </w:t>
      </w:r>
      <w:r w:rsidR="00D55AE9">
        <w:rPr>
          <w:color w:val="000000" w:themeColor="text1"/>
          <w:szCs w:val="24"/>
        </w:rPr>
        <w:t xml:space="preserve">and the </w:t>
      </w:r>
      <w:r w:rsidR="00D55AE9" w:rsidRPr="00D55AE9">
        <w:rPr>
          <w:color w:val="000000" w:themeColor="text1"/>
          <w:szCs w:val="24"/>
        </w:rPr>
        <w:t xml:space="preserve">lumbar </w:t>
      </w:r>
      <w:r w:rsidR="002C691A">
        <w:rPr>
          <w:color w:val="000000" w:themeColor="text1"/>
          <w:szCs w:val="24"/>
        </w:rPr>
        <w:t>DDD</w:t>
      </w:r>
      <w:r w:rsidR="00D55AE9" w:rsidRPr="00072C60">
        <w:rPr>
          <w:color w:val="000000" w:themeColor="text1"/>
          <w:szCs w:val="24"/>
        </w:rPr>
        <w:t xml:space="preserve"> </w:t>
      </w:r>
      <w:r w:rsidR="00D55AE9">
        <w:rPr>
          <w:color w:val="000000" w:themeColor="text1"/>
          <w:szCs w:val="24"/>
        </w:rPr>
        <w:t xml:space="preserve">as unfitting rated 0%, </w:t>
      </w:r>
      <w:r w:rsidR="00A558EF" w:rsidRPr="00072C60">
        <w:rPr>
          <w:color w:val="000000" w:themeColor="text1"/>
          <w:szCs w:val="24"/>
        </w:rPr>
        <w:t>with application of</w:t>
      </w:r>
      <w:r w:rsidR="00A558EF" w:rsidRPr="001F29F9">
        <w:rPr>
          <w:color w:val="000000" w:themeColor="text1"/>
          <w:szCs w:val="24"/>
        </w:rPr>
        <w:t xml:space="preserve"> </w:t>
      </w:r>
      <w:r w:rsidR="009D6610" w:rsidRPr="00D964ED">
        <w:rPr>
          <w:color w:val="000000" w:themeColor="text1"/>
          <w:szCs w:val="24"/>
        </w:rPr>
        <w:t xml:space="preserve">the </w:t>
      </w:r>
      <w:r w:rsidR="00A558EF" w:rsidRPr="00D964ED">
        <w:rPr>
          <w:color w:val="000000" w:themeColor="text1"/>
          <w:szCs w:val="24"/>
        </w:rPr>
        <w:t xml:space="preserve">Veterans Administration Schedule </w:t>
      </w:r>
      <w:r w:rsidR="009C0748">
        <w:rPr>
          <w:color w:val="000000" w:themeColor="text1"/>
          <w:szCs w:val="24"/>
        </w:rPr>
        <w:t>for Rating Disabilities (VASRD)</w:t>
      </w:r>
      <w:r w:rsidR="00A558EF" w:rsidRPr="001F29F9">
        <w:rPr>
          <w:color w:val="000000" w:themeColor="text1"/>
          <w:szCs w:val="24"/>
        </w:rPr>
        <w:t>.</w:t>
      </w:r>
      <w:r w:rsidR="00610388">
        <w:rPr>
          <w:color w:val="000000" w:themeColor="text1"/>
          <w:szCs w:val="24"/>
        </w:rPr>
        <w:t xml:space="preserve"> </w:t>
      </w:r>
      <w:r w:rsidR="00842BAA" w:rsidRPr="00072C60">
        <w:rPr>
          <w:color w:val="000000" w:themeColor="text1"/>
          <w:szCs w:val="24"/>
        </w:rPr>
        <w:t xml:space="preserve"> </w:t>
      </w:r>
      <w:r w:rsidR="00A558EF" w:rsidRPr="00072C60">
        <w:rPr>
          <w:color w:val="000000" w:themeColor="text1"/>
          <w:szCs w:val="24"/>
        </w:rPr>
        <w:t>A</w:t>
      </w:r>
      <w:r w:rsidR="00842BAA" w:rsidRPr="00072C60">
        <w:rPr>
          <w:color w:val="000000" w:themeColor="text1"/>
          <w:szCs w:val="24"/>
        </w:rPr>
        <w:t xml:space="preserve">dditionally </w:t>
      </w:r>
      <w:r w:rsidR="00610388" w:rsidRPr="00072C60">
        <w:rPr>
          <w:color w:val="000000" w:themeColor="text1"/>
          <w:szCs w:val="24"/>
        </w:rPr>
        <w:t xml:space="preserve">anxiety disorder </w:t>
      </w:r>
      <w:r w:rsidR="00D964ED" w:rsidRPr="00072C60">
        <w:rPr>
          <w:color w:val="000000" w:themeColor="text1"/>
          <w:szCs w:val="24"/>
        </w:rPr>
        <w:t>NOS</w:t>
      </w:r>
      <w:r w:rsidR="00842BAA" w:rsidRPr="00072C60">
        <w:rPr>
          <w:color w:val="000000" w:themeColor="text1"/>
          <w:szCs w:val="24"/>
        </w:rPr>
        <w:t xml:space="preserve"> </w:t>
      </w:r>
      <w:r w:rsidR="00A558EF" w:rsidRPr="00072C60">
        <w:rPr>
          <w:color w:val="000000" w:themeColor="text1"/>
          <w:szCs w:val="24"/>
        </w:rPr>
        <w:t xml:space="preserve">was adjudicated </w:t>
      </w:r>
      <w:r w:rsidR="00D55AE9">
        <w:rPr>
          <w:color w:val="000000" w:themeColor="text1"/>
          <w:szCs w:val="24"/>
        </w:rPr>
        <w:t>as</w:t>
      </w:r>
      <w:r w:rsidR="00A558EF" w:rsidRPr="00072C60">
        <w:rPr>
          <w:color w:val="000000" w:themeColor="text1"/>
          <w:szCs w:val="24"/>
        </w:rPr>
        <w:t xml:space="preserve"> not unfitting and </w:t>
      </w:r>
      <w:r w:rsidR="009C0748">
        <w:rPr>
          <w:color w:val="000000" w:themeColor="text1"/>
          <w:szCs w:val="24"/>
        </w:rPr>
        <w:t xml:space="preserve">therefore </w:t>
      </w:r>
      <w:r w:rsidR="00D964ED">
        <w:rPr>
          <w:color w:val="000000" w:themeColor="text1"/>
          <w:szCs w:val="24"/>
        </w:rPr>
        <w:t>not rated</w:t>
      </w:r>
      <w:r w:rsidR="00A558EF">
        <w:rPr>
          <w:color w:val="000000" w:themeColor="text1"/>
          <w:szCs w:val="24"/>
        </w:rPr>
        <w:t>.</w:t>
      </w:r>
      <w:r w:rsidR="00842BAA" w:rsidRPr="001F29F9">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072C60">
        <w:rPr>
          <w:color w:val="000000" w:themeColor="text1"/>
        </w:rPr>
        <w:t>10</w:t>
      </w:r>
      <w:r w:rsidR="00B20624" w:rsidRPr="001F29F9">
        <w:rPr>
          <w:color w:val="000000" w:themeColor="text1"/>
        </w:rPr>
        <w:t>% combined disability rating.</w:t>
      </w:r>
    </w:p>
    <w:p w:rsidR="004174F0" w:rsidRPr="001F29F9" w:rsidRDefault="004174F0" w:rsidP="009C0748">
      <w:pPr>
        <w:pBdr>
          <w:bottom w:val="single" w:sz="12" w:space="1" w:color="auto"/>
        </w:pBdr>
        <w:tabs>
          <w:tab w:val="left" w:pos="288"/>
          <w:tab w:val="left" w:pos="4752"/>
        </w:tabs>
        <w:jc w:val="both"/>
        <w:rPr>
          <w:color w:val="000000" w:themeColor="text1"/>
        </w:rPr>
      </w:pPr>
    </w:p>
    <w:p w:rsidR="004174F0" w:rsidRPr="001F29F9" w:rsidRDefault="004174F0" w:rsidP="009C0748">
      <w:pPr>
        <w:tabs>
          <w:tab w:val="left" w:pos="288"/>
          <w:tab w:val="left" w:pos="4752"/>
        </w:tabs>
        <w:jc w:val="both"/>
        <w:rPr>
          <w:color w:val="000000" w:themeColor="text1"/>
        </w:rPr>
      </w:pPr>
    </w:p>
    <w:p w:rsidR="00ED5284" w:rsidRDefault="002C6E5B" w:rsidP="009C0748">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F3C7E">
        <w:rPr>
          <w:color w:val="000000" w:themeColor="text1"/>
        </w:rPr>
        <w:t xml:space="preserve">  “PTSD</w:t>
      </w:r>
      <w:r w:rsidR="00EA41D8">
        <w:rPr>
          <w:color w:val="000000" w:themeColor="text1"/>
        </w:rPr>
        <w:t>.</w:t>
      </w:r>
      <w:r w:rsidR="00CF3C7E">
        <w:rPr>
          <w:color w:val="000000" w:themeColor="text1"/>
        </w:rPr>
        <w:t>”</w:t>
      </w:r>
      <w:r w:rsidR="00A007C2">
        <w:rPr>
          <w:color w:val="000000" w:themeColor="text1"/>
        </w:rPr>
        <w:t xml:space="preserve"> </w:t>
      </w:r>
      <w:r w:rsidR="00ED5284" w:rsidRPr="001F29F9">
        <w:rPr>
          <w:rFonts w:eastAsiaTheme="minorHAnsi"/>
          <w:color w:val="000000" w:themeColor="text1"/>
          <w:szCs w:val="24"/>
        </w:rPr>
        <w:t xml:space="preserve">He elaborates no specific contentions regarding rating or coding </w:t>
      </w:r>
      <w:r w:rsidR="00CF3C7E">
        <w:rPr>
          <w:rFonts w:eastAsiaTheme="minorHAnsi"/>
          <w:color w:val="000000" w:themeColor="text1"/>
          <w:szCs w:val="24"/>
        </w:rPr>
        <w:t>but</w:t>
      </w:r>
      <w:r w:rsidR="00ED5284" w:rsidRPr="001F29F9">
        <w:rPr>
          <w:rFonts w:eastAsiaTheme="minorHAnsi"/>
          <w:color w:val="000000" w:themeColor="text1"/>
          <w:szCs w:val="24"/>
        </w:rPr>
        <w:t xml:space="preserve"> mentions </w:t>
      </w:r>
      <w:r w:rsidR="00CF3C7E">
        <w:rPr>
          <w:rFonts w:eastAsiaTheme="minorHAnsi"/>
          <w:color w:val="000000" w:themeColor="text1"/>
          <w:szCs w:val="24"/>
        </w:rPr>
        <w:t>one</w:t>
      </w:r>
      <w:r w:rsidR="00ED5284" w:rsidRPr="001F29F9">
        <w:rPr>
          <w:rFonts w:eastAsiaTheme="minorHAnsi"/>
          <w:color w:val="000000" w:themeColor="text1"/>
          <w:szCs w:val="24"/>
        </w:rPr>
        <w:t xml:space="preserve"> additionally contended condition</w:t>
      </w:r>
      <w:r w:rsidR="00CF3C7E" w:rsidRPr="001F29F9">
        <w:rPr>
          <w:rFonts w:eastAsiaTheme="minorHAnsi"/>
          <w:color w:val="000000" w:themeColor="text1"/>
          <w:szCs w:val="24"/>
        </w:rPr>
        <w:t>.</w:t>
      </w:r>
      <w:r w:rsidR="00610388">
        <w:rPr>
          <w:rFonts w:eastAsiaTheme="minorHAnsi"/>
          <w:color w:val="000000" w:themeColor="text1"/>
          <w:szCs w:val="24"/>
        </w:rPr>
        <w:t xml:space="preserve"> </w:t>
      </w:r>
      <w:r w:rsidR="00CF3C7E" w:rsidRPr="001F29F9">
        <w:rPr>
          <w:rFonts w:eastAsiaTheme="minorHAnsi"/>
          <w:color w:val="000000" w:themeColor="text1"/>
          <w:szCs w:val="24"/>
        </w:rPr>
        <w:t xml:space="preserve"> A contention for </w:t>
      </w:r>
      <w:r w:rsidR="00CF3C7E">
        <w:rPr>
          <w:rFonts w:eastAsiaTheme="minorHAnsi"/>
          <w:color w:val="000000" w:themeColor="text1"/>
          <w:szCs w:val="24"/>
        </w:rPr>
        <w:t>its</w:t>
      </w:r>
      <w:r w:rsidR="00CF3C7E" w:rsidRPr="001F29F9">
        <w:rPr>
          <w:rFonts w:eastAsiaTheme="minorHAnsi"/>
          <w:color w:val="000000" w:themeColor="text1"/>
          <w:szCs w:val="24"/>
        </w:rPr>
        <w:t xml:space="preserve"> inclusion in the separation rating is therefore implied.</w:t>
      </w:r>
    </w:p>
    <w:p w:rsidR="000B47C9" w:rsidRDefault="000B47C9" w:rsidP="009C0748">
      <w:pPr>
        <w:tabs>
          <w:tab w:val="left" w:pos="288"/>
          <w:tab w:val="left" w:pos="4752"/>
        </w:tabs>
        <w:jc w:val="both"/>
        <w:rPr>
          <w:rFonts w:eastAsiaTheme="minorHAnsi"/>
          <w:b/>
          <w:color w:val="000000" w:themeColor="text1"/>
          <w:szCs w:val="24"/>
        </w:rPr>
      </w:pPr>
      <w:r w:rsidRPr="000B47C9">
        <w:rPr>
          <w:rFonts w:eastAsiaTheme="minorHAnsi"/>
          <w:b/>
          <w:color w:val="000000" w:themeColor="text1"/>
          <w:szCs w:val="24"/>
        </w:rPr>
        <w:t>______________________________________________________________________________</w:t>
      </w:r>
    </w:p>
    <w:p w:rsidR="000B47C9" w:rsidRDefault="000B47C9" w:rsidP="009C0748">
      <w:pPr>
        <w:tabs>
          <w:tab w:val="left" w:pos="288"/>
          <w:tab w:val="left" w:pos="4752"/>
        </w:tabs>
        <w:jc w:val="both"/>
        <w:rPr>
          <w:rFonts w:eastAsiaTheme="minorHAnsi"/>
          <w:b/>
          <w:color w:val="000000" w:themeColor="text1"/>
          <w:szCs w:val="24"/>
        </w:rPr>
      </w:pPr>
    </w:p>
    <w:p w:rsidR="000B47C9" w:rsidRPr="000B47C9" w:rsidRDefault="000B47C9" w:rsidP="000B47C9">
      <w:pPr>
        <w:jc w:val="both"/>
        <w:rPr>
          <w:rFonts w:eastAsiaTheme="minorHAnsi"/>
          <w:color w:val="000000" w:themeColor="text1"/>
          <w:szCs w:val="24"/>
        </w:rPr>
      </w:pPr>
      <w:r w:rsidRPr="00F64312">
        <w:rPr>
          <w:color w:val="auto"/>
          <w:u w:val="single"/>
        </w:rPr>
        <w:t>SCOPE OF REVIEW</w:t>
      </w:r>
      <w:r w:rsidRPr="00F64312">
        <w:rPr>
          <w:color w:val="auto"/>
        </w:rPr>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Pr>
          <w:color w:val="auto"/>
        </w:rPr>
        <w:t>.</w:t>
      </w:r>
      <w:r w:rsidR="00303DC0">
        <w:rPr>
          <w:color w:val="auto"/>
        </w:rPr>
        <w:t>”</w:t>
      </w:r>
      <w:r w:rsidR="00610388">
        <w:rPr>
          <w:color w:val="auto"/>
        </w:rPr>
        <w:t xml:space="preserve"> </w:t>
      </w:r>
      <w:r w:rsidR="00303DC0">
        <w:rPr>
          <w:color w:val="auto"/>
        </w:rPr>
        <w:t xml:space="preserve"> </w:t>
      </w:r>
      <w:r w:rsidRPr="000B47C9">
        <w:rPr>
          <w:color w:val="auto"/>
        </w:rPr>
        <w:t xml:space="preserve">In addition to a review of the ratings for the unfitting conditions, all of the </w:t>
      </w:r>
      <w:r w:rsidRPr="00303DC0">
        <w:rPr>
          <w:color w:val="auto"/>
        </w:rPr>
        <w:t xml:space="preserve">conditions requested for consideration meet the criteria prescribed in DoDI 6040.44 for Board purview; and, </w:t>
      </w:r>
      <w:r w:rsidR="002C691A">
        <w:rPr>
          <w:color w:val="auto"/>
        </w:rPr>
        <w:t>a</w:t>
      </w:r>
      <w:r w:rsidRPr="00303DC0">
        <w:rPr>
          <w:color w:val="auto"/>
        </w:rPr>
        <w:t xml:space="preserve">nxiety </w:t>
      </w:r>
      <w:r w:rsidR="002C691A">
        <w:rPr>
          <w:color w:val="auto"/>
        </w:rPr>
        <w:t>d</w:t>
      </w:r>
      <w:r w:rsidRPr="00303DC0">
        <w:rPr>
          <w:color w:val="auto"/>
        </w:rPr>
        <w:t xml:space="preserve">isorder </w:t>
      </w:r>
      <w:r w:rsidR="002C691A">
        <w:rPr>
          <w:color w:val="auto"/>
        </w:rPr>
        <w:t>NOS/postt</w:t>
      </w:r>
      <w:r w:rsidRPr="00303DC0">
        <w:rPr>
          <w:color w:val="auto"/>
        </w:rPr>
        <w:t xml:space="preserve">raumatic </w:t>
      </w:r>
      <w:r w:rsidR="002C691A">
        <w:rPr>
          <w:color w:val="auto"/>
        </w:rPr>
        <w:t>s</w:t>
      </w:r>
      <w:r w:rsidRPr="00303DC0">
        <w:rPr>
          <w:color w:val="auto"/>
        </w:rPr>
        <w:t xml:space="preserve">tress </w:t>
      </w:r>
      <w:r w:rsidR="002C691A">
        <w:rPr>
          <w:color w:val="auto"/>
        </w:rPr>
        <w:t>d</w:t>
      </w:r>
      <w:r w:rsidRPr="00303DC0">
        <w:rPr>
          <w:color w:val="auto"/>
        </w:rPr>
        <w:t xml:space="preserve">isorder </w:t>
      </w:r>
      <w:r w:rsidR="002C691A">
        <w:rPr>
          <w:color w:val="auto"/>
        </w:rPr>
        <w:t xml:space="preserve">(PTSD) </w:t>
      </w:r>
      <w:r w:rsidRPr="00303DC0">
        <w:rPr>
          <w:color w:val="auto"/>
        </w:rPr>
        <w:t>is addressed below.</w:t>
      </w:r>
      <w:r w:rsidR="00303DC0">
        <w:rPr>
          <w:color w:val="auto"/>
        </w:rPr>
        <w:t xml:space="preserve"> </w:t>
      </w:r>
      <w:r w:rsidR="002C691A">
        <w:rPr>
          <w:color w:val="auto"/>
        </w:rPr>
        <w:t xml:space="preserve"> </w:t>
      </w:r>
      <w:r w:rsidRPr="00303DC0">
        <w:rPr>
          <w:color w:val="auto"/>
        </w:rPr>
        <w:t>Any conditions or contention not requested in this application, or otherwise outside the Board’s defined scope of review, remain eligible for future consideration by the Army Board for the Correction of Military Records (ABCMR).</w:t>
      </w:r>
    </w:p>
    <w:p w:rsidR="004174F0" w:rsidRPr="001F29F9" w:rsidRDefault="004174F0" w:rsidP="009C0748">
      <w:pPr>
        <w:pBdr>
          <w:bottom w:val="single" w:sz="12" w:space="1" w:color="auto"/>
        </w:pBdr>
        <w:tabs>
          <w:tab w:val="left" w:pos="288"/>
          <w:tab w:val="left" w:pos="4752"/>
        </w:tabs>
        <w:jc w:val="both"/>
        <w:rPr>
          <w:color w:val="000000" w:themeColor="text1"/>
        </w:rPr>
      </w:pPr>
    </w:p>
    <w:p w:rsidR="004174F0" w:rsidRDefault="004174F0" w:rsidP="009C0748">
      <w:pPr>
        <w:tabs>
          <w:tab w:val="left" w:pos="288"/>
          <w:tab w:val="left" w:pos="4752"/>
        </w:tabs>
        <w:jc w:val="both"/>
        <w:rPr>
          <w:color w:val="000000" w:themeColor="text1"/>
        </w:rPr>
      </w:pPr>
    </w:p>
    <w:p w:rsidR="001B6831" w:rsidRDefault="001B6831">
      <w:pPr>
        <w:rPr>
          <w:color w:val="000000" w:themeColor="text1"/>
          <w:u w:val="single"/>
        </w:rPr>
      </w:pPr>
      <w:r>
        <w:rPr>
          <w:color w:val="000000" w:themeColor="text1"/>
          <w:u w:val="single"/>
        </w:rPr>
        <w:br w:type="page"/>
      </w:r>
    </w:p>
    <w:p w:rsidR="00C8590C" w:rsidRPr="001F29F9" w:rsidRDefault="007F0AB7" w:rsidP="009C0748">
      <w:pPr>
        <w:jc w:val="both"/>
        <w:rPr>
          <w:color w:val="000000" w:themeColor="text1"/>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720"/>
        <w:gridCol w:w="2610"/>
        <w:gridCol w:w="1080"/>
        <w:gridCol w:w="720"/>
        <w:gridCol w:w="990"/>
      </w:tblGrid>
      <w:tr w:rsidR="002B4E22" w:rsidRPr="00072C60" w:rsidTr="00610388">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2B4E22" w:rsidRPr="00072C60" w:rsidRDefault="00B731E4" w:rsidP="00CF3C7E">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Service PEB – Dated 200</w:t>
            </w:r>
            <w:r w:rsidR="00CF3C7E" w:rsidRPr="00072C60">
              <w:rPr>
                <w:rFonts w:ascii="Calibri" w:hAnsi="Calibri" w:cs="Calibri"/>
                <w:b/>
                <w:color w:val="000000" w:themeColor="text1"/>
                <w:sz w:val="18"/>
                <w:szCs w:val="18"/>
              </w:rPr>
              <w:t>80426</w:t>
            </w:r>
          </w:p>
        </w:tc>
        <w:tc>
          <w:tcPr>
            <w:tcW w:w="5400" w:type="dxa"/>
            <w:gridSpan w:val="4"/>
            <w:tcBorders>
              <w:left w:val="thinThickThinSmallGap" w:sz="24" w:space="0" w:color="auto"/>
            </w:tcBorders>
            <w:shd w:val="clear" w:color="auto" w:fill="D9D9D9" w:themeFill="background1" w:themeFillShade="D9"/>
            <w:vAlign w:val="center"/>
          </w:tcPr>
          <w:p w:rsidR="002B4E22" w:rsidRPr="00072C60" w:rsidRDefault="002B4E22" w:rsidP="00CF3C7E">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VA (</w:t>
            </w:r>
            <w:r w:rsidR="00CF3C7E" w:rsidRPr="00072C60">
              <w:rPr>
                <w:rFonts w:ascii="Calibri" w:hAnsi="Calibri" w:cs="Calibri"/>
                <w:b/>
                <w:color w:val="000000" w:themeColor="text1"/>
                <w:sz w:val="18"/>
                <w:szCs w:val="18"/>
              </w:rPr>
              <w:t>7</w:t>
            </w:r>
            <w:r w:rsidR="0079154B" w:rsidRPr="00072C60">
              <w:rPr>
                <w:rFonts w:ascii="Calibri" w:hAnsi="Calibri" w:cs="Calibri"/>
                <w:b/>
                <w:color w:val="000000" w:themeColor="text1"/>
                <w:sz w:val="18"/>
                <w:szCs w:val="18"/>
              </w:rPr>
              <w:t xml:space="preserve"> </w:t>
            </w:r>
            <w:r w:rsidRPr="00072C60">
              <w:rPr>
                <w:rFonts w:ascii="Calibri" w:hAnsi="Calibri" w:cs="Calibri"/>
                <w:b/>
                <w:color w:val="000000" w:themeColor="text1"/>
                <w:sz w:val="18"/>
                <w:szCs w:val="18"/>
              </w:rPr>
              <w:t>Mo. Pr</w:t>
            </w:r>
            <w:r w:rsidR="007272F1" w:rsidRPr="00072C60">
              <w:rPr>
                <w:rFonts w:ascii="Calibri" w:hAnsi="Calibri" w:cs="Calibri"/>
                <w:b/>
                <w:color w:val="000000" w:themeColor="text1"/>
                <w:sz w:val="18"/>
                <w:szCs w:val="18"/>
              </w:rPr>
              <w:t>e</w:t>
            </w:r>
            <w:r w:rsidRPr="00072C60">
              <w:rPr>
                <w:rFonts w:ascii="Calibri" w:hAnsi="Calibri" w:cs="Calibri"/>
                <w:b/>
                <w:color w:val="000000" w:themeColor="text1"/>
                <w:sz w:val="18"/>
                <w:szCs w:val="18"/>
              </w:rPr>
              <w:t xml:space="preserve"> Separation) – All Effective Date </w:t>
            </w:r>
            <w:r w:rsidR="002D08F3" w:rsidRPr="00072C60">
              <w:rPr>
                <w:rFonts w:ascii="Calibri" w:hAnsi="Calibri" w:cs="Calibri"/>
                <w:b/>
                <w:color w:val="000000" w:themeColor="text1"/>
                <w:sz w:val="18"/>
                <w:szCs w:val="18"/>
              </w:rPr>
              <w:t>200</w:t>
            </w:r>
            <w:r w:rsidR="00CF3C7E" w:rsidRPr="00072C60">
              <w:rPr>
                <w:rFonts w:ascii="Calibri" w:hAnsi="Calibri" w:cs="Calibri"/>
                <w:b/>
                <w:color w:val="000000" w:themeColor="text1"/>
                <w:sz w:val="18"/>
                <w:szCs w:val="18"/>
              </w:rPr>
              <w:t>80421</w:t>
            </w:r>
          </w:p>
        </w:tc>
      </w:tr>
      <w:tr w:rsidR="006130BA" w:rsidRPr="00072C60" w:rsidTr="00610388">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072C60" w:rsidRDefault="002B4E22" w:rsidP="00BF0E94">
            <w:pPr>
              <w:contextualSpacing/>
              <w:rPr>
                <w:rFonts w:ascii="Calibri" w:hAnsi="Calibri" w:cs="Calibri"/>
                <w:b/>
                <w:color w:val="000000" w:themeColor="text1"/>
                <w:sz w:val="18"/>
                <w:szCs w:val="18"/>
              </w:rPr>
            </w:pPr>
            <w:r w:rsidRPr="00072C60">
              <w:rPr>
                <w:rFonts w:ascii="Calibri" w:hAnsi="Calibri" w:cs="Calibri"/>
                <w:b/>
                <w:color w:val="000000" w:themeColor="text1"/>
                <w:sz w:val="18"/>
                <w:szCs w:val="18"/>
              </w:rPr>
              <w:t>Exam</w:t>
            </w:r>
          </w:p>
        </w:tc>
      </w:tr>
      <w:tr w:rsidR="006130BA" w:rsidRPr="00072C60" w:rsidTr="00610388">
        <w:trPr>
          <w:trHeight w:val="287"/>
          <w:jc w:val="center"/>
        </w:trPr>
        <w:tc>
          <w:tcPr>
            <w:tcW w:w="2178" w:type="dxa"/>
            <w:tcBorders>
              <w:right w:val="single" w:sz="4" w:space="0" w:color="auto"/>
            </w:tcBorders>
            <w:shd w:val="clear" w:color="auto" w:fill="FFFFFF" w:themeFill="background1"/>
            <w:vAlign w:val="center"/>
          </w:tcPr>
          <w:p w:rsidR="00BC5860" w:rsidRPr="001F29F9" w:rsidRDefault="00CF3C7E" w:rsidP="00A007C2">
            <w:pPr>
              <w:spacing w:line="180" w:lineRule="exact"/>
              <w:contextualSpacing/>
              <w:jc w:val="left"/>
              <w:rPr>
                <w:rFonts w:ascii="Calibri" w:eastAsia="Times New Roman" w:hAnsi="Calibri" w:cs="Calibri"/>
                <w:color w:val="000000" w:themeColor="text1"/>
                <w:sz w:val="18"/>
                <w:szCs w:val="18"/>
              </w:rPr>
            </w:pPr>
            <w:r w:rsidRPr="00CF3C7E">
              <w:rPr>
                <w:rFonts w:ascii="Calibri" w:hAnsi="Calibri" w:cs="Calibri"/>
                <w:color w:val="000000" w:themeColor="text1"/>
                <w:sz w:val="18"/>
                <w:szCs w:val="18"/>
              </w:rPr>
              <w:t>R</w:t>
            </w:r>
            <w:r w:rsidR="007476D7">
              <w:rPr>
                <w:rFonts w:ascii="Calibri" w:hAnsi="Calibri" w:cs="Calibri"/>
                <w:color w:val="000000" w:themeColor="text1"/>
                <w:sz w:val="18"/>
                <w:szCs w:val="18"/>
              </w:rPr>
              <w:t>ight</w:t>
            </w:r>
            <w:r w:rsidRPr="00CF3C7E">
              <w:rPr>
                <w:rFonts w:ascii="Calibri" w:hAnsi="Calibri" w:cs="Calibri"/>
                <w:color w:val="000000" w:themeColor="text1"/>
                <w:sz w:val="18"/>
                <w:szCs w:val="18"/>
              </w:rPr>
              <w:t xml:space="preserve"> L4-5 Sensory Deficit </w:t>
            </w:r>
            <w:r w:rsidR="00A007C2">
              <w:rPr>
                <w:rFonts w:ascii="Calibri" w:hAnsi="Calibri" w:cs="Calibri"/>
                <w:color w:val="000000" w:themeColor="text1"/>
                <w:sz w:val="18"/>
                <w:szCs w:val="18"/>
              </w:rPr>
              <w:t>and</w:t>
            </w:r>
            <w:r w:rsidRPr="00CF3C7E">
              <w:rPr>
                <w:rFonts w:ascii="Calibri" w:hAnsi="Calibri" w:cs="Calibri"/>
                <w:color w:val="000000" w:themeColor="text1"/>
                <w:sz w:val="18"/>
                <w:szCs w:val="18"/>
              </w:rPr>
              <w:t xml:space="preserve"> Radiculopathy</w:t>
            </w:r>
          </w:p>
        </w:tc>
        <w:tc>
          <w:tcPr>
            <w:tcW w:w="1080" w:type="dxa"/>
            <w:tcBorders>
              <w:left w:val="single" w:sz="4" w:space="0" w:color="auto"/>
            </w:tcBorders>
            <w:shd w:val="clear" w:color="auto" w:fill="FFFFFF" w:themeFill="background1"/>
            <w:vAlign w:val="center"/>
          </w:tcPr>
          <w:p w:rsidR="00BC5860" w:rsidRPr="00072C60" w:rsidRDefault="00CF3C7E">
            <w:pPr>
              <w:spacing w:line="180" w:lineRule="exact"/>
              <w:contextualSpacing/>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8520</w:t>
            </w:r>
          </w:p>
        </w:tc>
        <w:tc>
          <w:tcPr>
            <w:tcW w:w="720" w:type="dxa"/>
            <w:tcBorders>
              <w:right w:val="thinThickThinSmallGap" w:sz="24" w:space="0" w:color="auto"/>
            </w:tcBorders>
            <w:shd w:val="clear" w:color="auto" w:fill="FFFFFF" w:themeFill="background1"/>
            <w:vAlign w:val="center"/>
          </w:tcPr>
          <w:p w:rsidR="00BC5860" w:rsidRPr="00072C60" w:rsidRDefault="00CF3C7E">
            <w:pPr>
              <w:spacing w:line="180" w:lineRule="exact"/>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10</w:t>
            </w:r>
            <w:r w:rsidR="00C03C21" w:rsidRPr="00072C60">
              <w:rPr>
                <w:rFonts w:ascii="Calibri" w:hAnsi="Calibri" w:cs="Calibri"/>
                <w:color w:val="000000" w:themeColor="text1"/>
                <w:sz w:val="18"/>
                <w:szCs w:val="18"/>
              </w:rPr>
              <w:t>%</w:t>
            </w:r>
          </w:p>
        </w:tc>
        <w:tc>
          <w:tcPr>
            <w:tcW w:w="2610" w:type="dxa"/>
            <w:tcBorders>
              <w:left w:val="thinThickThinSmallGap" w:sz="24" w:space="0" w:color="auto"/>
            </w:tcBorders>
            <w:shd w:val="clear" w:color="auto" w:fill="FFFFFF" w:themeFill="background1"/>
            <w:vAlign w:val="center"/>
          </w:tcPr>
          <w:p w:rsidR="00BC5860" w:rsidRPr="00072C60" w:rsidRDefault="00072C60" w:rsidP="00072C60">
            <w:pPr>
              <w:spacing w:line="180" w:lineRule="exact"/>
              <w:contextualSpacing/>
              <w:jc w:val="left"/>
              <w:rPr>
                <w:rFonts w:eastAsia="Times New Roman" w:cstheme="minorHAnsi"/>
                <w:color w:val="000000" w:themeColor="text1"/>
                <w:sz w:val="18"/>
                <w:szCs w:val="18"/>
              </w:rPr>
            </w:pPr>
            <w:r w:rsidRPr="00072C60">
              <w:rPr>
                <w:rFonts w:cstheme="minorHAnsi"/>
                <w:color w:val="000000" w:themeColor="text1"/>
                <w:sz w:val="18"/>
                <w:szCs w:val="18"/>
              </w:rPr>
              <w:t xml:space="preserve">Radiculopathy </w:t>
            </w:r>
            <w:r w:rsidR="00A007C2">
              <w:rPr>
                <w:rFonts w:cstheme="minorHAnsi"/>
                <w:color w:val="000000" w:themeColor="text1"/>
                <w:sz w:val="18"/>
                <w:szCs w:val="18"/>
              </w:rPr>
              <w:t>, Right Lower Extremity</w:t>
            </w:r>
          </w:p>
        </w:tc>
        <w:tc>
          <w:tcPr>
            <w:tcW w:w="1080" w:type="dxa"/>
            <w:shd w:val="clear" w:color="auto" w:fill="FFFFFF" w:themeFill="background1"/>
            <w:vAlign w:val="center"/>
          </w:tcPr>
          <w:p w:rsidR="00BC5860" w:rsidRPr="00072C60" w:rsidRDefault="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8522</w:t>
            </w:r>
          </w:p>
        </w:tc>
        <w:tc>
          <w:tcPr>
            <w:tcW w:w="720" w:type="dxa"/>
            <w:shd w:val="clear" w:color="auto" w:fill="FFFFFF" w:themeFill="background1"/>
            <w:vAlign w:val="center"/>
          </w:tcPr>
          <w:p w:rsidR="00BC5860" w:rsidRPr="00072C60" w:rsidRDefault="00072C60" w:rsidP="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072C60" w:rsidRDefault="00CF3C7E">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20070920</w:t>
            </w:r>
          </w:p>
        </w:tc>
      </w:tr>
      <w:tr w:rsidR="006130BA" w:rsidRPr="00072C60" w:rsidTr="00610388">
        <w:trPr>
          <w:trHeight w:val="287"/>
          <w:jc w:val="center"/>
        </w:trPr>
        <w:tc>
          <w:tcPr>
            <w:tcW w:w="2178" w:type="dxa"/>
            <w:tcBorders>
              <w:right w:val="single" w:sz="4" w:space="0" w:color="auto"/>
            </w:tcBorders>
            <w:shd w:val="clear" w:color="auto" w:fill="FFFFFF" w:themeFill="background1"/>
            <w:vAlign w:val="center"/>
          </w:tcPr>
          <w:p w:rsidR="00072C60" w:rsidRPr="001F29F9" w:rsidRDefault="00072C60" w:rsidP="00A007C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Lumbar D</w:t>
            </w:r>
            <w:r w:rsidR="00A007C2">
              <w:rPr>
                <w:rFonts w:ascii="Calibri" w:hAnsi="Calibri" w:cs="Calibri"/>
                <w:color w:val="000000" w:themeColor="text1"/>
                <w:sz w:val="18"/>
                <w:szCs w:val="18"/>
              </w:rPr>
              <w:t>egenerative Disc Disease</w:t>
            </w:r>
          </w:p>
        </w:tc>
        <w:tc>
          <w:tcPr>
            <w:tcW w:w="1080" w:type="dxa"/>
            <w:tcBorders>
              <w:left w:val="single" w:sz="4" w:space="0" w:color="auto"/>
            </w:tcBorders>
            <w:shd w:val="clear" w:color="auto" w:fill="FFFFFF" w:themeFill="background1"/>
            <w:vAlign w:val="center"/>
          </w:tcPr>
          <w:p w:rsidR="00072C60" w:rsidRPr="00072C60" w:rsidRDefault="00072C60" w:rsidP="00072C60">
            <w:pPr>
              <w:spacing w:line="180" w:lineRule="exact"/>
              <w:contextualSpacing/>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5299-5242</w:t>
            </w:r>
          </w:p>
        </w:tc>
        <w:tc>
          <w:tcPr>
            <w:tcW w:w="720" w:type="dxa"/>
            <w:tcBorders>
              <w:right w:val="thinThickThinSmallGap" w:sz="24" w:space="0" w:color="auto"/>
            </w:tcBorders>
            <w:shd w:val="clear" w:color="auto" w:fill="FFFFFF" w:themeFill="background1"/>
            <w:vAlign w:val="center"/>
          </w:tcPr>
          <w:p w:rsidR="00072C60" w:rsidRPr="00072C60" w:rsidRDefault="00072C60" w:rsidP="00072C60">
            <w:pPr>
              <w:spacing w:line="180" w:lineRule="exact"/>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0%</w:t>
            </w:r>
          </w:p>
        </w:tc>
        <w:tc>
          <w:tcPr>
            <w:tcW w:w="2610" w:type="dxa"/>
            <w:tcBorders>
              <w:left w:val="thinThickThinSmallGap" w:sz="24" w:space="0" w:color="auto"/>
              <w:right w:val="single" w:sz="4" w:space="0" w:color="auto"/>
            </w:tcBorders>
            <w:shd w:val="clear" w:color="auto" w:fill="FFFFFF" w:themeFill="background1"/>
            <w:vAlign w:val="center"/>
          </w:tcPr>
          <w:p w:rsidR="00072C60" w:rsidRPr="00072C60" w:rsidRDefault="00072C60" w:rsidP="001B6831">
            <w:pPr>
              <w:spacing w:line="180" w:lineRule="exact"/>
              <w:contextualSpacing/>
              <w:jc w:val="left"/>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Thoracolumbar R</w:t>
            </w:r>
            <w:r w:rsidR="00A007C2">
              <w:rPr>
                <w:rFonts w:ascii="Calibri" w:hAnsi="Calibri" w:cs="Calibri"/>
                <w:color w:val="000000" w:themeColor="text1"/>
                <w:sz w:val="18"/>
                <w:szCs w:val="18"/>
              </w:rPr>
              <w:t xml:space="preserve">ight Paracentral Disc Herniation with </w:t>
            </w:r>
            <w:r w:rsidRPr="00072C60">
              <w:rPr>
                <w:rFonts w:ascii="Calibri" w:hAnsi="Calibri" w:cs="Calibri"/>
                <w:color w:val="000000" w:themeColor="text1"/>
                <w:sz w:val="18"/>
                <w:szCs w:val="18"/>
              </w:rPr>
              <w:t>Intervertebral Disc Disease</w:t>
            </w:r>
          </w:p>
        </w:tc>
        <w:tc>
          <w:tcPr>
            <w:tcW w:w="1080" w:type="dxa"/>
            <w:tcBorders>
              <w:left w:val="single" w:sz="4" w:space="0" w:color="auto"/>
            </w:tcBorders>
            <w:shd w:val="clear" w:color="auto" w:fill="FFFFFF" w:themeFill="background1"/>
            <w:vAlign w:val="center"/>
          </w:tcPr>
          <w:p w:rsidR="00072C60" w:rsidRPr="00072C60" w:rsidRDefault="00072C60" w:rsidP="00072C60">
            <w:pPr>
              <w:spacing w:line="180" w:lineRule="exact"/>
              <w:contextualSpacing/>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5299-5243</w:t>
            </w:r>
          </w:p>
        </w:tc>
        <w:tc>
          <w:tcPr>
            <w:tcW w:w="720" w:type="dxa"/>
            <w:shd w:val="clear" w:color="auto" w:fill="FFFFFF" w:themeFill="background1"/>
            <w:vAlign w:val="center"/>
          </w:tcPr>
          <w:p w:rsidR="00072C60" w:rsidRPr="00072C60" w:rsidRDefault="00072C60" w:rsidP="00072C60">
            <w:pPr>
              <w:spacing w:line="180" w:lineRule="exact"/>
              <w:contextualSpacing/>
              <w:rPr>
                <w:rFonts w:ascii="Calibri" w:eastAsia="Times New Roman" w:hAnsi="Calibri" w:cs="Calibri"/>
                <w:color w:val="000000" w:themeColor="text1"/>
                <w:sz w:val="18"/>
                <w:szCs w:val="18"/>
              </w:rPr>
            </w:pPr>
            <w:r w:rsidRPr="00072C60">
              <w:rPr>
                <w:rFonts w:ascii="Calibri" w:hAnsi="Calibri" w:cs="Calibri"/>
                <w:color w:val="000000" w:themeColor="text1"/>
                <w:sz w:val="18"/>
                <w:szCs w:val="18"/>
              </w:rPr>
              <w:t>10%</w:t>
            </w:r>
          </w:p>
        </w:tc>
        <w:tc>
          <w:tcPr>
            <w:tcW w:w="990" w:type="dxa"/>
            <w:shd w:val="clear" w:color="auto" w:fill="FFFFFF" w:themeFill="background1"/>
            <w:vAlign w:val="center"/>
          </w:tcPr>
          <w:p w:rsidR="00072C60" w:rsidRPr="00072C60" w:rsidRDefault="00072C60" w:rsidP="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20070920</w:t>
            </w:r>
          </w:p>
        </w:tc>
      </w:tr>
      <w:tr w:rsidR="006130BA" w:rsidRPr="00072C60" w:rsidTr="00610388">
        <w:trPr>
          <w:trHeight w:val="287"/>
          <w:jc w:val="center"/>
        </w:trPr>
        <w:tc>
          <w:tcPr>
            <w:tcW w:w="2178" w:type="dxa"/>
            <w:tcBorders>
              <w:right w:val="single" w:sz="4" w:space="0" w:color="auto"/>
            </w:tcBorders>
            <w:shd w:val="clear" w:color="auto" w:fill="FFFFFF" w:themeFill="background1"/>
            <w:vAlign w:val="center"/>
          </w:tcPr>
          <w:p w:rsidR="00CF3C7E" w:rsidRPr="001F29F9" w:rsidRDefault="00CF3C7E" w:rsidP="00A007C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Anxiety D</w:t>
            </w:r>
            <w:r w:rsidR="00A007C2">
              <w:rPr>
                <w:rFonts w:ascii="Calibri" w:eastAsia="Times New Roman" w:hAnsi="Calibri" w:cs="Calibri"/>
                <w:color w:val="000000" w:themeColor="text1"/>
                <w:sz w:val="18"/>
                <w:szCs w:val="18"/>
              </w:rPr>
              <w:t>isorder</w:t>
            </w:r>
            <w:r>
              <w:rPr>
                <w:rFonts w:ascii="Calibri" w:eastAsia="Times New Roman" w:hAnsi="Calibri" w:cs="Calibri"/>
                <w:color w:val="000000" w:themeColor="text1"/>
                <w:sz w:val="18"/>
                <w:szCs w:val="18"/>
              </w:rPr>
              <w:t xml:space="preserve"> NOS</w:t>
            </w:r>
          </w:p>
        </w:tc>
        <w:tc>
          <w:tcPr>
            <w:tcW w:w="1800" w:type="dxa"/>
            <w:gridSpan w:val="2"/>
            <w:tcBorders>
              <w:left w:val="single" w:sz="4" w:space="0" w:color="auto"/>
              <w:right w:val="thinThickThinSmallGap" w:sz="24" w:space="0" w:color="auto"/>
            </w:tcBorders>
            <w:shd w:val="clear" w:color="auto" w:fill="FFFFFF" w:themeFill="background1"/>
            <w:vAlign w:val="center"/>
          </w:tcPr>
          <w:p w:rsidR="00CF3C7E" w:rsidRPr="00072C60" w:rsidRDefault="00CF3C7E">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CF3C7E" w:rsidRPr="00072C60" w:rsidRDefault="00072C60" w:rsidP="00A007C2">
            <w:pPr>
              <w:spacing w:line="180" w:lineRule="exact"/>
              <w:contextualSpacing/>
              <w:jc w:val="left"/>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P</w:t>
            </w:r>
            <w:r w:rsidR="00A007C2">
              <w:rPr>
                <w:rFonts w:ascii="Calibri" w:eastAsia="Times New Roman" w:hAnsi="Calibri" w:cs="Calibri"/>
                <w:color w:val="000000" w:themeColor="text1"/>
                <w:sz w:val="18"/>
                <w:szCs w:val="18"/>
              </w:rPr>
              <w:t>ost-</w:t>
            </w:r>
            <w:r w:rsidR="002803C6">
              <w:rPr>
                <w:rFonts w:ascii="Calibri" w:eastAsia="Times New Roman" w:hAnsi="Calibri" w:cs="Calibri"/>
                <w:color w:val="000000" w:themeColor="text1"/>
                <w:sz w:val="18"/>
                <w:szCs w:val="18"/>
              </w:rPr>
              <w:t>Traumatic</w:t>
            </w:r>
            <w:r w:rsidR="00A007C2">
              <w:rPr>
                <w:rFonts w:ascii="Calibri" w:eastAsia="Times New Roman" w:hAnsi="Calibri" w:cs="Calibri"/>
                <w:color w:val="000000" w:themeColor="text1"/>
                <w:sz w:val="18"/>
                <w:szCs w:val="18"/>
              </w:rPr>
              <w:t xml:space="preserve"> Stress Disorder</w:t>
            </w:r>
          </w:p>
        </w:tc>
        <w:tc>
          <w:tcPr>
            <w:tcW w:w="1080" w:type="dxa"/>
            <w:tcBorders>
              <w:left w:val="single" w:sz="4" w:space="0" w:color="auto"/>
            </w:tcBorders>
            <w:shd w:val="clear" w:color="auto" w:fill="FFFFFF" w:themeFill="background1"/>
            <w:vAlign w:val="center"/>
          </w:tcPr>
          <w:p w:rsidR="00CF3C7E" w:rsidRPr="00072C60" w:rsidRDefault="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9411</w:t>
            </w:r>
          </w:p>
        </w:tc>
        <w:tc>
          <w:tcPr>
            <w:tcW w:w="720" w:type="dxa"/>
            <w:shd w:val="clear" w:color="auto" w:fill="FFFFFF" w:themeFill="background1"/>
            <w:vAlign w:val="center"/>
          </w:tcPr>
          <w:p w:rsidR="00CF3C7E" w:rsidRPr="00072C60" w:rsidRDefault="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CF3C7E" w:rsidRPr="00072C60" w:rsidRDefault="00072C60">
            <w:pPr>
              <w:spacing w:line="180" w:lineRule="exact"/>
              <w:contextualSpacing/>
              <w:rPr>
                <w:rFonts w:ascii="Calibri" w:eastAsia="Times New Roman" w:hAnsi="Calibri" w:cs="Calibri"/>
                <w:color w:val="000000" w:themeColor="text1"/>
                <w:sz w:val="18"/>
                <w:szCs w:val="18"/>
              </w:rPr>
            </w:pPr>
            <w:r w:rsidRPr="00072C60">
              <w:rPr>
                <w:rFonts w:ascii="Calibri" w:eastAsia="Times New Roman" w:hAnsi="Calibri" w:cs="Calibri"/>
                <w:color w:val="000000" w:themeColor="text1"/>
                <w:sz w:val="18"/>
                <w:szCs w:val="18"/>
              </w:rPr>
              <w:t>20070913</w:t>
            </w:r>
          </w:p>
        </w:tc>
      </w:tr>
      <w:tr w:rsidR="00072C60" w:rsidRPr="001F29F9" w:rsidTr="00610388">
        <w:trPr>
          <w:trHeight w:val="287"/>
          <w:jc w:val="center"/>
        </w:trPr>
        <w:tc>
          <w:tcPr>
            <w:tcW w:w="3978" w:type="dxa"/>
            <w:gridSpan w:val="3"/>
            <w:vMerge w:val="restart"/>
            <w:tcBorders>
              <w:right w:val="thinThickThinSmallGap" w:sz="24" w:space="0" w:color="auto"/>
            </w:tcBorders>
            <w:shd w:val="clear" w:color="auto" w:fill="FFFFFF" w:themeFill="background1"/>
            <w:vAlign w:val="center"/>
          </w:tcPr>
          <w:p w:rsidR="00072C60" w:rsidRPr="001F29F9" w:rsidRDefault="00072C60" w:rsidP="00D55AE9">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610" w:type="dxa"/>
            <w:tcBorders>
              <w:left w:val="thinThickThinSmallGap" w:sz="24" w:space="0" w:color="auto"/>
              <w:right w:val="single" w:sz="4" w:space="0" w:color="auto"/>
            </w:tcBorders>
            <w:shd w:val="clear" w:color="auto" w:fill="FFFFFF" w:themeFill="background1"/>
            <w:vAlign w:val="center"/>
          </w:tcPr>
          <w:p w:rsidR="00072C60" w:rsidRPr="001F29F9" w:rsidRDefault="00072C60" w:rsidP="00A007C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w:t>
            </w:r>
            <w:r w:rsidR="00A007C2">
              <w:rPr>
                <w:rFonts w:ascii="Calibri" w:eastAsia="Times New Roman" w:hAnsi="Calibri" w:cs="Calibri"/>
                <w:color w:val="000000" w:themeColor="text1"/>
                <w:sz w:val="18"/>
                <w:szCs w:val="18"/>
              </w:rPr>
              <w:t>seudofolliculitis Barbae</w:t>
            </w:r>
          </w:p>
        </w:tc>
        <w:tc>
          <w:tcPr>
            <w:tcW w:w="1080" w:type="dxa"/>
            <w:tcBorders>
              <w:left w:val="single" w:sz="4" w:space="0" w:color="auto"/>
            </w:tcBorders>
            <w:shd w:val="clear" w:color="auto" w:fill="FFFFFF" w:themeFill="background1"/>
            <w:vAlign w:val="center"/>
          </w:tcPr>
          <w:p w:rsidR="00072C60" w:rsidRPr="001F29F9" w:rsidRDefault="00072C6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7813-7806</w:t>
            </w:r>
          </w:p>
        </w:tc>
        <w:tc>
          <w:tcPr>
            <w:tcW w:w="720" w:type="dxa"/>
            <w:shd w:val="clear" w:color="auto" w:fill="FFFFFF" w:themeFill="background1"/>
            <w:vAlign w:val="center"/>
          </w:tcPr>
          <w:p w:rsidR="00072C60" w:rsidRPr="001F29F9" w:rsidRDefault="00072C6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60%</w:t>
            </w:r>
          </w:p>
        </w:tc>
        <w:tc>
          <w:tcPr>
            <w:tcW w:w="990" w:type="dxa"/>
            <w:shd w:val="clear" w:color="auto" w:fill="FFFFFF" w:themeFill="background1"/>
            <w:vAlign w:val="center"/>
          </w:tcPr>
          <w:p w:rsidR="00072C60" w:rsidRPr="001F29F9" w:rsidRDefault="00072C60">
            <w:pPr>
              <w:spacing w:line="180" w:lineRule="exact"/>
              <w:contextualSpacing/>
              <w:rPr>
                <w:rFonts w:ascii="Calibri" w:eastAsia="Times New Roman" w:hAnsi="Calibri" w:cs="Calibri"/>
                <w:color w:val="000000" w:themeColor="text1"/>
                <w:sz w:val="18"/>
                <w:szCs w:val="18"/>
                <w:highlight w:val="yellow"/>
              </w:rPr>
            </w:pPr>
            <w:r w:rsidRPr="00CF3C7E">
              <w:rPr>
                <w:rFonts w:ascii="Calibri" w:eastAsia="Times New Roman" w:hAnsi="Calibri" w:cs="Calibri"/>
                <w:color w:val="000000" w:themeColor="text1"/>
                <w:sz w:val="18"/>
                <w:szCs w:val="18"/>
              </w:rPr>
              <w:t>20070920</w:t>
            </w:r>
          </w:p>
        </w:tc>
      </w:tr>
      <w:tr w:rsidR="00072C60" w:rsidRPr="001F29F9" w:rsidTr="00610388">
        <w:trPr>
          <w:trHeight w:val="284"/>
          <w:jc w:val="center"/>
        </w:trPr>
        <w:tc>
          <w:tcPr>
            <w:tcW w:w="3978" w:type="dxa"/>
            <w:gridSpan w:val="3"/>
            <w:vMerge/>
            <w:tcBorders>
              <w:right w:val="thinThickThinSmallGap" w:sz="24" w:space="0" w:color="auto"/>
            </w:tcBorders>
            <w:shd w:val="clear" w:color="auto" w:fill="FFFFFF" w:themeFill="background1"/>
            <w:vAlign w:val="center"/>
          </w:tcPr>
          <w:p w:rsidR="00072C60" w:rsidRPr="001F29F9" w:rsidRDefault="00072C60">
            <w:pPr>
              <w:spacing w:line="180" w:lineRule="exact"/>
              <w:contextualSpacing/>
              <w:rPr>
                <w:rFonts w:ascii="Calibri" w:eastAsia="Times New Roman" w:hAnsi="Calibri"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072C60" w:rsidRPr="001F29F9" w:rsidRDefault="00072C60" w:rsidP="00D55AE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1</w:t>
            </w:r>
            <w:r w:rsidR="002C691A">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none</w:t>
            </w:r>
          </w:p>
        </w:tc>
        <w:tc>
          <w:tcPr>
            <w:tcW w:w="990" w:type="dxa"/>
            <w:shd w:val="clear" w:color="auto" w:fill="FFFFFF" w:themeFill="background1"/>
            <w:vAlign w:val="center"/>
          </w:tcPr>
          <w:p w:rsidR="00072C60" w:rsidRPr="001F29F9" w:rsidRDefault="00072C60" w:rsidP="00D55AE9">
            <w:pPr>
              <w:spacing w:line="180" w:lineRule="exact"/>
              <w:contextualSpacing/>
              <w:rPr>
                <w:rFonts w:ascii="Calibri" w:eastAsia="Times New Roman" w:hAnsi="Calibri" w:cs="Calibri"/>
                <w:color w:val="000000" w:themeColor="text1"/>
                <w:sz w:val="18"/>
                <w:szCs w:val="18"/>
              </w:rPr>
            </w:pPr>
            <w:r w:rsidRPr="00CF3C7E">
              <w:rPr>
                <w:rFonts w:ascii="Calibri" w:eastAsia="Times New Roman" w:hAnsi="Calibri" w:cs="Calibri"/>
                <w:color w:val="000000" w:themeColor="text1"/>
                <w:sz w:val="18"/>
                <w:szCs w:val="18"/>
              </w:rPr>
              <w:t>20070920</w:t>
            </w:r>
          </w:p>
        </w:tc>
      </w:tr>
      <w:tr w:rsidR="007A65A9" w:rsidRPr="001F29F9" w:rsidTr="00610388">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7A65A9" w:rsidRPr="001F29F9" w:rsidRDefault="007A65A9" w:rsidP="00072C6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072C60">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00" w:type="dxa"/>
            <w:gridSpan w:val="4"/>
            <w:tcBorders>
              <w:left w:val="thinThickThinSmallGap" w:sz="24" w:space="0" w:color="auto"/>
            </w:tcBorders>
            <w:shd w:val="clear" w:color="auto" w:fill="D9D9D9" w:themeFill="background1" w:themeFillShade="D9"/>
            <w:vAlign w:val="center"/>
          </w:tcPr>
          <w:p w:rsidR="007A65A9" w:rsidRPr="001F29F9" w:rsidRDefault="007A65A9" w:rsidP="00072C6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72C60">
              <w:rPr>
                <w:rFonts w:ascii="Calibri" w:hAnsi="Calibri" w:cs="Calibri"/>
                <w:b/>
                <w:color w:val="000000" w:themeColor="text1"/>
                <w:sz w:val="18"/>
                <w:szCs w:val="18"/>
              </w:rPr>
              <w:t>8</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A558EF" w:rsidRDefault="00A558EF" w:rsidP="00A558EF">
      <w:pPr>
        <w:rPr>
          <w:color w:val="000000" w:themeColor="text1"/>
          <w:szCs w:val="24"/>
          <w:u w:val="single"/>
        </w:rPr>
      </w:pPr>
    </w:p>
    <w:p w:rsidR="002C6E5B" w:rsidRPr="001F29F9" w:rsidRDefault="002C6E5B" w:rsidP="00EC55D5">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2803C6">
        <w:rPr>
          <w:color w:val="000000" w:themeColor="text1"/>
          <w:szCs w:val="24"/>
        </w:rPr>
        <w:t xml:space="preserve"> </w:t>
      </w:r>
      <w:r w:rsidR="002803C6" w:rsidRPr="002803C6">
        <w:rPr>
          <w:color w:val="000000" w:themeColor="text1"/>
          <w:szCs w:val="24"/>
        </w:rPr>
        <w:t xml:space="preserve">The </w:t>
      </w:r>
      <w:r w:rsidR="002803C6" w:rsidRPr="00303DC0">
        <w:rPr>
          <w:color w:val="000000" w:themeColor="text1"/>
          <w:szCs w:val="24"/>
        </w:rPr>
        <w:t xml:space="preserve">Board acknowledges the CI’s contention that suggests ratings should have been conferred for other conditions documented at the time of separation. </w:t>
      </w:r>
      <w:r w:rsidR="00226A3B">
        <w:rPr>
          <w:color w:val="000000" w:themeColor="text1"/>
          <w:szCs w:val="24"/>
        </w:rPr>
        <w:t xml:space="preserve"> </w:t>
      </w:r>
      <w:r w:rsidR="002803C6" w:rsidRPr="00303DC0">
        <w:rPr>
          <w:color w:val="000000" w:themeColor="text1"/>
          <w:szCs w:val="24"/>
        </w:rPr>
        <w:t xml:space="preserve">The Board wishes to clarify that it is subject to the same laws for disability entitlements as those under which the Disability Evaluation System (DES) operates. </w:t>
      </w:r>
      <w:r w:rsidR="00226A3B">
        <w:rPr>
          <w:color w:val="000000" w:themeColor="text1"/>
          <w:szCs w:val="24"/>
        </w:rPr>
        <w:t xml:space="preserve"> </w:t>
      </w:r>
      <w:r w:rsidR="002803C6" w:rsidRPr="00303DC0">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226A3B">
        <w:rPr>
          <w:color w:val="000000" w:themeColor="text1"/>
          <w:szCs w:val="24"/>
        </w:rPr>
        <w:t xml:space="preserve"> </w:t>
      </w:r>
      <w:r w:rsidR="002803C6" w:rsidRPr="00303DC0">
        <w:rPr>
          <w:color w:val="000000" w:themeColor="text1"/>
          <w:szCs w:val="24"/>
        </w:rPr>
        <w:t>However the Department of Veteran</w:t>
      </w:r>
      <w:r w:rsidR="002C691A">
        <w:rPr>
          <w:color w:val="000000" w:themeColor="text1"/>
          <w:szCs w:val="24"/>
        </w:rPr>
        <w:t>s’</w:t>
      </w:r>
      <w:r w:rsidR="002803C6" w:rsidRPr="00303DC0">
        <w:rPr>
          <w:color w:val="000000" w:themeColor="text1"/>
          <w:szCs w:val="24"/>
        </w:rPr>
        <w:t xml:space="preserve"> Affairs (DVA), operating under a different set of laws (Title 38, United States Code), is empo</w:t>
      </w:r>
      <w:r w:rsidR="002C691A">
        <w:rPr>
          <w:color w:val="000000" w:themeColor="text1"/>
          <w:szCs w:val="24"/>
        </w:rPr>
        <w:t>wered to compensate all service-</w:t>
      </w:r>
      <w:r w:rsidR="002803C6" w:rsidRPr="00303DC0">
        <w:rPr>
          <w:color w:val="000000" w:themeColor="text1"/>
          <w:szCs w:val="24"/>
        </w:rPr>
        <w:t xml:space="preserve">connected conditions and to periodically reevaluate said conditions for the purpose of adjusting the </w:t>
      </w:r>
      <w:r w:rsidR="002C691A">
        <w:rPr>
          <w:color w:val="000000" w:themeColor="text1"/>
          <w:szCs w:val="24"/>
        </w:rPr>
        <w:t>V</w:t>
      </w:r>
      <w:r w:rsidR="002803C6" w:rsidRPr="00303DC0">
        <w:rPr>
          <w:color w:val="000000" w:themeColor="text1"/>
          <w:szCs w:val="24"/>
        </w:rPr>
        <w:t>eteran’s disability rating should</w:t>
      </w:r>
      <w:r w:rsidR="002803C6" w:rsidRPr="002803C6">
        <w:rPr>
          <w:color w:val="000000" w:themeColor="text1"/>
          <w:szCs w:val="24"/>
        </w:rPr>
        <w:t xml:space="preserve"> </w:t>
      </w:r>
      <w:r w:rsidR="002C691A">
        <w:rPr>
          <w:color w:val="000000" w:themeColor="text1"/>
          <w:szCs w:val="24"/>
        </w:rPr>
        <w:t>the</w:t>
      </w:r>
      <w:r w:rsidR="002803C6" w:rsidRPr="002803C6">
        <w:rPr>
          <w:color w:val="000000" w:themeColor="text1"/>
          <w:szCs w:val="24"/>
        </w:rPr>
        <w:t xml:space="preserve"> degree of impairment vary over time.</w:t>
      </w:r>
      <w:r w:rsidR="002C691A">
        <w:rPr>
          <w:color w:val="000000" w:themeColor="text1"/>
          <w:szCs w:val="24"/>
        </w:rPr>
        <w:t xml:space="preserve"> </w:t>
      </w:r>
      <w:r w:rsidR="002803C6">
        <w:rPr>
          <w:color w:val="000000" w:themeColor="text1"/>
          <w:szCs w:val="24"/>
        </w:rPr>
        <w:t xml:space="preserve"> </w:t>
      </w:r>
      <w:r w:rsidR="002803C6" w:rsidRPr="002803C6">
        <w:rPr>
          <w:color w:val="000000" w:themeColor="text1"/>
          <w:szCs w:val="24"/>
        </w:rPr>
        <w:t xml:space="preserve">The Board utilizes </w:t>
      </w:r>
      <w:r w:rsidR="002C691A">
        <w:rPr>
          <w:color w:val="000000" w:themeColor="text1"/>
          <w:szCs w:val="24"/>
        </w:rPr>
        <w:t>D</w:t>
      </w:r>
      <w:r w:rsidR="002803C6" w:rsidRPr="002803C6">
        <w:rPr>
          <w:color w:val="000000" w:themeColor="text1"/>
          <w:szCs w:val="24"/>
        </w:rPr>
        <w:t xml:space="preserve">VA evidence proximal to separation in arriving at its recommendations; and, DoDI 6040.44 defines a 12-month interval for special consideration to post-separation evidence. </w:t>
      </w:r>
      <w:r w:rsidR="00226A3B">
        <w:rPr>
          <w:color w:val="000000" w:themeColor="text1"/>
          <w:szCs w:val="24"/>
        </w:rPr>
        <w:t xml:space="preserve"> </w:t>
      </w:r>
      <w:r w:rsidR="002803C6" w:rsidRPr="002803C6">
        <w:rPr>
          <w:color w:val="000000" w:themeColor="text1"/>
          <w:szCs w:val="24"/>
        </w:rPr>
        <w:t xml:space="preserve">The Board’s authority as defined in DoDI 6040.44, however, resides in evaluating the fairness of DES fitness determinations and rating decisions for disability at the time of separation. </w:t>
      </w:r>
      <w:r w:rsidR="00226A3B">
        <w:rPr>
          <w:color w:val="000000" w:themeColor="text1"/>
          <w:szCs w:val="24"/>
        </w:rPr>
        <w:t xml:space="preserve"> </w:t>
      </w:r>
      <w:r w:rsidR="002803C6" w:rsidRPr="002803C6">
        <w:rPr>
          <w:color w:val="000000" w:themeColor="text1"/>
          <w:szCs w:val="24"/>
        </w:rPr>
        <w:t>Post-separation evidence therefore is probative only to the extent that it reasonably reflects the disability and fitness implications at the time of separation.</w:t>
      </w:r>
    </w:p>
    <w:p w:rsidR="002F6AD8" w:rsidRPr="001F29F9" w:rsidRDefault="002F6AD8" w:rsidP="00EC55D5">
      <w:pPr>
        <w:jc w:val="both"/>
        <w:rPr>
          <w:color w:val="000000" w:themeColor="text1"/>
          <w:szCs w:val="24"/>
          <w:u w:val="single"/>
        </w:rPr>
      </w:pPr>
    </w:p>
    <w:p w:rsidR="00BA69E7" w:rsidRDefault="00D55AE9" w:rsidP="00BA69E7">
      <w:pPr>
        <w:jc w:val="both"/>
        <w:rPr>
          <w:color w:val="000000" w:themeColor="text1"/>
          <w:szCs w:val="24"/>
        </w:rPr>
      </w:pPr>
      <w:r w:rsidRPr="00D55AE9">
        <w:rPr>
          <w:color w:val="000000" w:themeColor="text1"/>
          <w:szCs w:val="24"/>
          <w:u w:val="single"/>
        </w:rPr>
        <w:t xml:space="preserve">Right L4-5 Sensory Deficit </w:t>
      </w:r>
      <w:r>
        <w:rPr>
          <w:color w:val="000000" w:themeColor="text1"/>
          <w:szCs w:val="24"/>
          <w:u w:val="single"/>
        </w:rPr>
        <w:t>a</w:t>
      </w:r>
      <w:r w:rsidRPr="00D55AE9">
        <w:rPr>
          <w:color w:val="000000" w:themeColor="text1"/>
          <w:szCs w:val="24"/>
          <w:u w:val="single"/>
        </w:rPr>
        <w:t xml:space="preserve">nd Radiculopathy </w:t>
      </w:r>
      <w:r w:rsidR="000327EA">
        <w:rPr>
          <w:color w:val="000000" w:themeColor="text1"/>
          <w:szCs w:val="24"/>
          <w:u w:val="single"/>
        </w:rPr>
        <w:t xml:space="preserve">and Lumbar Degenerative Disc Disease </w:t>
      </w:r>
      <w:r w:rsidR="003F2EEE" w:rsidRPr="00D55AE9">
        <w:rPr>
          <w:color w:val="000000" w:themeColor="text1"/>
          <w:szCs w:val="24"/>
          <w:u w:val="single"/>
        </w:rPr>
        <w:t>Condition</w:t>
      </w:r>
      <w:r w:rsidR="000327EA">
        <w:rPr>
          <w:color w:val="000000" w:themeColor="text1"/>
          <w:szCs w:val="24"/>
          <w:u w:val="single"/>
        </w:rPr>
        <w:t>s</w:t>
      </w:r>
      <w:r w:rsidR="00303DC0">
        <w:rPr>
          <w:color w:val="000000" w:themeColor="text1"/>
          <w:szCs w:val="24"/>
        </w:rPr>
        <w:t xml:space="preserve">. </w:t>
      </w:r>
      <w:r w:rsidR="00AC1C7C">
        <w:rPr>
          <w:color w:val="000000" w:themeColor="text1"/>
          <w:szCs w:val="24"/>
        </w:rPr>
        <w:t xml:space="preserve">The CI injured his back when he was knocked to the ground during a mortar attack in Iraq in 2004. </w:t>
      </w:r>
      <w:r w:rsidR="00226A3B">
        <w:rPr>
          <w:color w:val="000000" w:themeColor="text1"/>
          <w:szCs w:val="24"/>
        </w:rPr>
        <w:t xml:space="preserve"> </w:t>
      </w:r>
      <w:r w:rsidR="00AC1C7C">
        <w:rPr>
          <w:color w:val="000000" w:themeColor="text1"/>
          <w:szCs w:val="24"/>
        </w:rPr>
        <w:t xml:space="preserve">His back pain did not resolve and he sought care the next morning. </w:t>
      </w:r>
      <w:r w:rsidR="00226A3B">
        <w:rPr>
          <w:color w:val="000000" w:themeColor="text1"/>
          <w:szCs w:val="24"/>
        </w:rPr>
        <w:t xml:space="preserve"> </w:t>
      </w:r>
      <w:r w:rsidR="00AC1C7C">
        <w:rPr>
          <w:color w:val="000000" w:themeColor="text1"/>
          <w:szCs w:val="24"/>
        </w:rPr>
        <w:t xml:space="preserve">He was treated conservatively with a temporary profile and non-steroidal anti-inflammatory medication. </w:t>
      </w:r>
      <w:r w:rsidR="00226A3B">
        <w:rPr>
          <w:color w:val="000000" w:themeColor="text1"/>
          <w:szCs w:val="24"/>
        </w:rPr>
        <w:t xml:space="preserve"> </w:t>
      </w:r>
      <w:r w:rsidR="00AC1C7C">
        <w:rPr>
          <w:color w:val="000000" w:themeColor="text1"/>
          <w:szCs w:val="24"/>
        </w:rPr>
        <w:t>While home on leave in September 2004 he had an MRI done which showed a m</w:t>
      </w:r>
      <w:r w:rsidR="00AC1C7C" w:rsidRPr="002F40B7">
        <w:rPr>
          <w:color w:val="000000" w:themeColor="text1"/>
          <w:szCs w:val="24"/>
        </w:rPr>
        <w:t>oderate sized right paracentral disk extrusion (herniation) causing a</w:t>
      </w:r>
      <w:r w:rsidR="00AC1C7C">
        <w:rPr>
          <w:color w:val="000000" w:themeColor="text1"/>
          <w:szCs w:val="24"/>
        </w:rPr>
        <w:t xml:space="preserve"> </w:t>
      </w:r>
      <w:r w:rsidR="00AC1C7C" w:rsidRPr="002F40B7">
        <w:rPr>
          <w:color w:val="000000" w:themeColor="text1"/>
          <w:szCs w:val="24"/>
        </w:rPr>
        <w:t>moderate degree of narrowing of the right lateral recess of the spinal</w:t>
      </w:r>
      <w:r w:rsidR="00AC1C7C">
        <w:rPr>
          <w:color w:val="000000" w:themeColor="text1"/>
          <w:szCs w:val="24"/>
        </w:rPr>
        <w:t xml:space="preserve"> canal and effacing the right S1</w:t>
      </w:r>
      <w:r w:rsidR="00AC1C7C" w:rsidRPr="002F40B7">
        <w:rPr>
          <w:color w:val="000000" w:themeColor="text1"/>
          <w:szCs w:val="24"/>
        </w:rPr>
        <w:t xml:space="preserve"> nerve root.</w:t>
      </w:r>
      <w:r w:rsidR="00226A3B">
        <w:rPr>
          <w:color w:val="000000" w:themeColor="text1"/>
          <w:szCs w:val="24"/>
        </w:rPr>
        <w:t xml:space="preserve"> </w:t>
      </w:r>
      <w:r w:rsidR="00AC1C7C" w:rsidRPr="002F40B7">
        <w:rPr>
          <w:color w:val="000000" w:themeColor="text1"/>
          <w:szCs w:val="24"/>
        </w:rPr>
        <w:t xml:space="preserve"> </w:t>
      </w:r>
      <w:r w:rsidR="000327EA">
        <w:rPr>
          <w:color w:val="000000" w:themeColor="text1"/>
          <w:szCs w:val="24"/>
        </w:rPr>
        <w:t xml:space="preserve">Subsequent MRIs completed February 2005, August 2007, and April 2009 all documented similar findings with degenerative disc disease at L5-S1. </w:t>
      </w:r>
      <w:r w:rsidR="00226A3B">
        <w:rPr>
          <w:color w:val="000000" w:themeColor="text1"/>
          <w:szCs w:val="24"/>
        </w:rPr>
        <w:t xml:space="preserve"> </w:t>
      </w:r>
      <w:r w:rsidR="000327EA">
        <w:rPr>
          <w:color w:val="000000" w:themeColor="text1"/>
          <w:szCs w:val="24"/>
        </w:rPr>
        <w:t>The CI</w:t>
      </w:r>
      <w:r w:rsidR="00AC1C7C">
        <w:rPr>
          <w:color w:val="000000" w:themeColor="text1"/>
          <w:szCs w:val="24"/>
        </w:rPr>
        <w:t xml:space="preserve"> returned to Iraq and was referred to orthopedics in theater.</w:t>
      </w:r>
      <w:r w:rsidR="00226A3B">
        <w:rPr>
          <w:color w:val="000000" w:themeColor="text1"/>
          <w:szCs w:val="24"/>
        </w:rPr>
        <w:t xml:space="preserve"> </w:t>
      </w:r>
      <w:r w:rsidR="00AC1C7C">
        <w:rPr>
          <w:color w:val="000000" w:themeColor="text1"/>
          <w:szCs w:val="24"/>
        </w:rPr>
        <w:t xml:space="preserve"> No immediate surgery was recommended but the surgeon recommended continuing the profile and re-evaluating for surgical intervention upon redeployment.</w:t>
      </w:r>
      <w:r w:rsidR="00226A3B">
        <w:rPr>
          <w:color w:val="000000" w:themeColor="text1"/>
          <w:szCs w:val="24"/>
        </w:rPr>
        <w:t xml:space="preserve"> </w:t>
      </w:r>
      <w:r w:rsidR="00AC1C7C">
        <w:rPr>
          <w:color w:val="000000" w:themeColor="text1"/>
          <w:szCs w:val="24"/>
        </w:rPr>
        <w:t xml:space="preserve"> The C</w:t>
      </w:r>
      <w:r w:rsidR="001C16DF">
        <w:rPr>
          <w:color w:val="000000" w:themeColor="text1"/>
          <w:szCs w:val="24"/>
        </w:rPr>
        <w:t>I</w:t>
      </w:r>
      <w:r w:rsidR="00AC1C7C">
        <w:rPr>
          <w:color w:val="000000" w:themeColor="text1"/>
          <w:szCs w:val="24"/>
        </w:rPr>
        <w:t xml:space="preserve"> redeployed in February 2005 and he continued to have back pain </w:t>
      </w:r>
      <w:r w:rsidR="001C16DF">
        <w:rPr>
          <w:color w:val="000000" w:themeColor="text1"/>
          <w:szCs w:val="24"/>
        </w:rPr>
        <w:t xml:space="preserve">accompanied by intermittent pain radiating down his right leg with numbness of his right foot. </w:t>
      </w:r>
      <w:r w:rsidR="00226A3B">
        <w:rPr>
          <w:color w:val="000000" w:themeColor="text1"/>
          <w:szCs w:val="24"/>
        </w:rPr>
        <w:t xml:space="preserve"> </w:t>
      </w:r>
      <w:r w:rsidR="001C16DF">
        <w:rPr>
          <w:color w:val="000000" w:themeColor="text1"/>
          <w:szCs w:val="24"/>
        </w:rPr>
        <w:t xml:space="preserve">He continued conservative treatment including physical therapy and was issued a permanent L2 profile for lumbar disc herniation in 2005. </w:t>
      </w:r>
      <w:r w:rsidR="00226A3B">
        <w:rPr>
          <w:color w:val="000000" w:themeColor="text1"/>
          <w:szCs w:val="24"/>
        </w:rPr>
        <w:t xml:space="preserve"> </w:t>
      </w:r>
      <w:r w:rsidR="001C16DF">
        <w:rPr>
          <w:color w:val="000000" w:themeColor="text1"/>
          <w:szCs w:val="24"/>
        </w:rPr>
        <w:t>He was also receiving care in pain management.</w:t>
      </w:r>
      <w:r w:rsidR="00226A3B">
        <w:rPr>
          <w:color w:val="000000" w:themeColor="text1"/>
          <w:szCs w:val="24"/>
        </w:rPr>
        <w:t xml:space="preserve"> </w:t>
      </w:r>
      <w:r w:rsidR="001C16DF">
        <w:rPr>
          <w:color w:val="000000" w:themeColor="text1"/>
          <w:szCs w:val="24"/>
        </w:rPr>
        <w:t xml:space="preserve"> He transferred to Fort Sill in September 2005 where his symptoms persisted despite treatment with neurontin and physical therapy.</w:t>
      </w:r>
      <w:r w:rsidR="00226A3B">
        <w:rPr>
          <w:color w:val="000000" w:themeColor="text1"/>
          <w:szCs w:val="24"/>
        </w:rPr>
        <w:t xml:space="preserve"> </w:t>
      </w:r>
      <w:r w:rsidR="001C16DF">
        <w:rPr>
          <w:color w:val="000000" w:themeColor="text1"/>
          <w:szCs w:val="24"/>
        </w:rPr>
        <w:t xml:space="preserve"> He was issued a permanent L3 profile for chronic low back pain </w:t>
      </w:r>
      <w:r w:rsidR="002C691A">
        <w:rPr>
          <w:color w:val="000000" w:themeColor="text1"/>
          <w:szCs w:val="24"/>
        </w:rPr>
        <w:t xml:space="preserve">(LBP) </w:t>
      </w:r>
      <w:r w:rsidR="001C16DF">
        <w:rPr>
          <w:color w:val="000000" w:themeColor="text1"/>
          <w:szCs w:val="24"/>
        </w:rPr>
        <w:t xml:space="preserve">on </w:t>
      </w:r>
      <w:r w:rsidR="002C691A">
        <w:rPr>
          <w:color w:val="000000" w:themeColor="text1"/>
          <w:szCs w:val="24"/>
        </w:rPr>
        <w:t xml:space="preserve">27 November </w:t>
      </w:r>
      <w:r w:rsidR="001C16DF">
        <w:rPr>
          <w:color w:val="000000" w:themeColor="text1"/>
          <w:szCs w:val="24"/>
        </w:rPr>
        <w:t xml:space="preserve">2006 and was referred to the MMRB. </w:t>
      </w:r>
      <w:r w:rsidR="00226A3B">
        <w:rPr>
          <w:color w:val="000000" w:themeColor="text1"/>
          <w:szCs w:val="24"/>
        </w:rPr>
        <w:t xml:space="preserve"> </w:t>
      </w:r>
      <w:r w:rsidR="001C16DF">
        <w:rPr>
          <w:color w:val="000000" w:themeColor="text1"/>
          <w:szCs w:val="24"/>
        </w:rPr>
        <w:t>In April 2007 the MMRB recommended an MEB.</w:t>
      </w:r>
      <w:r w:rsidR="00226A3B">
        <w:rPr>
          <w:color w:val="000000" w:themeColor="text1"/>
          <w:szCs w:val="24"/>
        </w:rPr>
        <w:t xml:space="preserve"> </w:t>
      </w:r>
      <w:r w:rsidR="001C16DF">
        <w:rPr>
          <w:color w:val="000000" w:themeColor="text1"/>
          <w:szCs w:val="24"/>
        </w:rPr>
        <w:t xml:space="preserve"> The CI was </w:t>
      </w:r>
      <w:r w:rsidR="001C16DF">
        <w:rPr>
          <w:color w:val="000000" w:themeColor="text1"/>
          <w:szCs w:val="24"/>
        </w:rPr>
        <w:lastRenderedPageBreak/>
        <w:t xml:space="preserve">referred to neurosurgery and underwent EMG testing. </w:t>
      </w:r>
      <w:r w:rsidR="00226A3B">
        <w:rPr>
          <w:color w:val="000000" w:themeColor="text1"/>
          <w:szCs w:val="24"/>
        </w:rPr>
        <w:t xml:space="preserve"> </w:t>
      </w:r>
      <w:r w:rsidR="001C16DF">
        <w:rPr>
          <w:color w:val="000000" w:themeColor="text1"/>
          <w:szCs w:val="24"/>
        </w:rPr>
        <w:t xml:space="preserve">The EMG of </w:t>
      </w:r>
      <w:r w:rsidR="002C691A">
        <w:rPr>
          <w:color w:val="000000" w:themeColor="text1"/>
          <w:szCs w:val="24"/>
        </w:rPr>
        <w:t xml:space="preserve">28 September </w:t>
      </w:r>
      <w:r w:rsidR="001C16DF">
        <w:rPr>
          <w:color w:val="000000" w:themeColor="text1"/>
          <w:szCs w:val="24"/>
        </w:rPr>
        <w:t>2007</w:t>
      </w:r>
      <w:r w:rsidR="002C691A">
        <w:rPr>
          <w:color w:val="000000" w:themeColor="text1"/>
          <w:szCs w:val="24"/>
        </w:rPr>
        <w:t xml:space="preserve"> </w:t>
      </w:r>
      <w:r w:rsidR="00BA69E7">
        <w:rPr>
          <w:color w:val="000000" w:themeColor="text1"/>
          <w:szCs w:val="24"/>
        </w:rPr>
        <w:t xml:space="preserve">was abnormal and revealed electrodiagnostic evidence of chronic right L5 radiculopathy. </w:t>
      </w:r>
      <w:r w:rsidR="00226A3B">
        <w:rPr>
          <w:color w:val="000000" w:themeColor="text1"/>
          <w:szCs w:val="24"/>
        </w:rPr>
        <w:t xml:space="preserve"> </w:t>
      </w:r>
      <w:r w:rsidR="00BA69E7">
        <w:rPr>
          <w:color w:val="000000" w:themeColor="text1"/>
          <w:szCs w:val="24"/>
        </w:rPr>
        <w:t xml:space="preserve">The neurosurgeon noted this EMG showed chronic denervation and he did not feel that surgical intervention would relieve the patient’s symptoms. </w:t>
      </w:r>
      <w:r w:rsidR="00226A3B">
        <w:rPr>
          <w:color w:val="000000" w:themeColor="text1"/>
          <w:szCs w:val="24"/>
        </w:rPr>
        <w:t xml:space="preserve"> </w:t>
      </w:r>
      <w:r w:rsidR="00BA69E7">
        <w:rPr>
          <w:color w:val="000000" w:themeColor="text1"/>
          <w:szCs w:val="24"/>
        </w:rPr>
        <w:t xml:space="preserve">He recommended continued conservative treatment with physical therapy, pain management, and possible epidural steroid injections. </w:t>
      </w:r>
      <w:r w:rsidR="00226A3B">
        <w:rPr>
          <w:color w:val="000000" w:themeColor="text1"/>
          <w:szCs w:val="24"/>
        </w:rPr>
        <w:t xml:space="preserve"> </w:t>
      </w:r>
      <w:r w:rsidR="00BA69E7">
        <w:rPr>
          <w:color w:val="000000" w:themeColor="text1"/>
          <w:szCs w:val="24"/>
        </w:rPr>
        <w:t>Three injections were completed but did not lead to resolution of the CI symptoms.</w:t>
      </w:r>
      <w:r w:rsidR="00226A3B">
        <w:rPr>
          <w:color w:val="000000" w:themeColor="text1"/>
          <w:szCs w:val="24"/>
        </w:rPr>
        <w:t xml:space="preserve"> </w:t>
      </w:r>
      <w:r w:rsidR="000327EA">
        <w:rPr>
          <w:color w:val="000000" w:themeColor="text1"/>
          <w:szCs w:val="24"/>
        </w:rPr>
        <w:t xml:space="preserve"> A repeat EMG completed in May 2009 also documented </w:t>
      </w:r>
      <w:r w:rsidR="000327EA" w:rsidRPr="00303DC0">
        <w:rPr>
          <w:color w:val="000000" w:themeColor="text1"/>
          <w:szCs w:val="24"/>
        </w:rPr>
        <w:t xml:space="preserve">radiculopathy. </w:t>
      </w:r>
      <w:r w:rsidR="00226A3B">
        <w:rPr>
          <w:color w:val="000000" w:themeColor="text1"/>
          <w:szCs w:val="24"/>
        </w:rPr>
        <w:t xml:space="preserve"> </w:t>
      </w:r>
      <w:r w:rsidR="000327EA" w:rsidRPr="00303DC0">
        <w:rPr>
          <w:color w:val="000000" w:themeColor="text1"/>
          <w:szCs w:val="24"/>
        </w:rPr>
        <w:t xml:space="preserve">The CI’s permanent L3 profile is for chronic </w:t>
      </w:r>
      <w:r w:rsidR="002C691A">
        <w:rPr>
          <w:color w:val="000000" w:themeColor="text1"/>
          <w:szCs w:val="24"/>
        </w:rPr>
        <w:t>LBP</w:t>
      </w:r>
      <w:r w:rsidR="000327EA" w:rsidRPr="00303DC0">
        <w:rPr>
          <w:color w:val="000000" w:themeColor="text1"/>
          <w:szCs w:val="24"/>
        </w:rPr>
        <w:t xml:space="preserve"> and displaced disc L4 L5. </w:t>
      </w:r>
      <w:r w:rsidR="00226A3B">
        <w:rPr>
          <w:color w:val="000000" w:themeColor="text1"/>
          <w:szCs w:val="24"/>
        </w:rPr>
        <w:t xml:space="preserve"> </w:t>
      </w:r>
      <w:r w:rsidR="000327EA" w:rsidRPr="00303DC0">
        <w:rPr>
          <w:color w:val="000000" w:themeColor="text1"/>
          <w:szCs w:val="24"/>
        </w:rPr>
        <w:t xml:space="preserve">The PEB determined both the </w:t>
      </w:r>
      <w:r w:rsidR="002C691A">
        <w:rPr>
          <w:color w:val="000000" w:themeColor="text1"/>
          <w:szCs w:val="24"/>
        </w:rPr>
        <w:t>r</w:t>
      </w:r>
      <w:r w:rsidR="000327EA" w:rsidRPr="00303DC0">
        <w:rPr>
          <w:color w:val="000000" w:themeColor="text1"/>
          <w:szCs w:val="24"/>
        </w:rPr>
        <w:t xml:space="preserve">adiculopathy and the </w:t>
      </w:r>
      <w:r w:rsidR="002C691A">
        <w:rPr>
          <w:color w:val="000000" w:themeColor="text1"/>
          <w:szCs w:val="24"/>
        </w:rPr>
        <w:t>DDD</w:t>
      </w:r>
      <w:r w:rsidR="000327EA" w:rsidRPr="00303DC0">
        <w:rPr>
          <w:color w:val="000000" w:themeColor="text1"/>
          <w:szCs w:val="24"/>
        </w:rPr>
        <w:t xml:space="preserve"> were unfitting.</w:t>
      </w:r>
    </w:p>
    <w:p w:rsidR="000327EA" w:rsidRDefault="000327EA" w:rsidP="00BA69E7">
      <w:pPr>
        <w:jc w:val="both"/>
        <w:rPr>
          <w:color w:val="000000" w:themeColor="text1"/>
          <w:szCs w:val="24"/>
        </w:rPr>
      </w:pPr>
    </w:p>
    <w:p w:rsidR="00BA69E7" w:rsidRPr="00303DC0" w:rsidRDefault="000327EA" w:rsidP="00BA69E7">
      <w:pPr>
        <w:jc w:val="both"/>
        <w:rPr>
          <w:color w:val="000000" w:themeColor="text1"/>
          <w:szCs w:val="24"/>
        </w:rPr>
      </w:pPr>
      <w:r w:rsidRPr="00303DC0">
        <w:rPr>
          <w:color w:val="000000" w:themeColor="text1"/>
          <w:szCs w:val="24"/>
          <w:u w:val="single"/>
        </w:rPr>
        <w:t>Right L4-5 Sensory Deficit and Radiculopathy.</w:t>
      </w:r>
      <w:r w:rsidRPr="00303DC0">
        <w:rPr>
          <w:color w:val="000000" w:themeColor="text1"/>
          <w:szCs w:val="24"/>
        </w:rPr>
        <w:t xml:space="preserve"> </w:t>
      </w:r>
      <w:r w:rsidR="00BA69E7" w:rsidRPr="00303DC0">
        <w:rPr>
          <w:color w:val="000000" w:themeColor="text1"/>
          <w:szCs w:val="24"/>
        </w:rPr>
        <w:t xml:space="preserve">The MEB </w:t>
      </w:r>
      <w:r w:rsidR="002C691A">
        <w:rPr>
          <w:color w:val="000000" w:themeColor="text1"/>
          <w:szCs w:val="24"/>
        </w:rPr>
        <w:t>narrative summary (</w:t>
      </w:r>
      <w:r w:rsidR="00BA69E7" w:rsidRPr="00303DC0">
        <w:rPr>
          <w:color w:val="000000" w:themeColor="text1"/>
          <w:szCs w:val="24"/>
        </w:rPr>
        <w:t>NARSUM</w:t>
      </w:r>
      <w:r w:rsidR="002C691A">
        <w:rPr>
          <w:color w:val="000000" w:themeColor="text1"/>
          <w:szCs w:val="24"/>
        </w:rPr>
        <w:t>)</w:t>
      </w:r>
      <w:r w:rsidR="00BA69E7" w:rsidRPr="00303DC0">
        <w:rPr>
          <w:color w:val="000000" w:themeColor="text1"/>
          <w:szCs w:val="24"/>
        </w:rPr>
        <w:t xml:space="preserve"> examination</w:t>
      </w:r>
      <w:r w:rsidRPr="00303DC0">
        <w:rPr>
          <w:color w:val="000000" w:themeColor="text1"/>
          <w:szCs w:val="24"/>
        </w:rPr>
        <w:t xml:space="preserve"> </w:t>
      </w:r>
      <w:r w:rsidR="002027FC" w:rsidRPr="00303DC0">
        <w:rPr>
          <w:color w:val="000000" w:themeColor="text1"/>
          <w:szCs w:val="24"/>
        </w:rPr>
        <w:t xml:space="preserve">completed </w:t>
      </w:r>
      <w:r w:rsidR="002C691A">
        <w:rPr>
          <w:color w:val="000000" w:themeColor="text1"/>
          <w:szCs w:val="24"/>
        </w:rPr>
        <w:t>4</w:t>
      </w:r>
      <w:r w:rsidR="002027FC" w:rsidRPr="00303DC0">
        <w:rPr>
          <w:color w:val="000000" w:themeColor="text1"/>
          <w:szCs w:val="24"/>
        </w:rPr>
        <w:t xml:space="preserve"> months prior to separation </w:t>
      </w:r>
      <w:r w:rsidRPr="00303DC0">
        <w:rPr>
          <w:color w:val="000000" w:themeColor="text1"/>
          <w:szCs w:val="24"/>
        </w:rPr>
        <w:t>noted normal and symmetric deep tendon reflexes but decreased sensation in the L4 and L5 dermatomes of the right lower extremity.</w:t>
      </w:r>
      <w:r w:rsidR="002027FC" w:rsidRPr="00303DC0">
        <w:rPr>
          <w:color w:val="000000" w:themeColor="text1"/>
          <w:szCs w:val="24"/>
        </w:rPr>
        <w:t xml:space="preserve"> </w:t>
      </w:r>
      <w:r w:rsidR="00226A3B">
        <w:rPr>
          <w:color w:val="000000" w:themeColor="text1"/>
          <w:szCs w:val="24"/>
        </w:rPr>
        <w:t xml:space="preserve"> </w:t>
      </w:r>
      <w:r w:rsidR="002027FC" w:rsidRPr="00303DC0">
        <w:rPr>
          <w:color w:val="000000" w:themeColor="text1"/>
          <w:szCs w:val="24"/>
        </w:rPr>
        <w:t xml:space="preserve">Muscle strength testing is not documented but the patient was able to walk on his heels and on his toes. </w:t>
      </w:r>
      <w:r w:rsidR="00226A3B">
        <w:rPr>
          <w:color w:val="000000" w:themeColor="text1"/>
          <w:szCs w:val="24"/>
        </w:rPr>
        <w:t xml:space="preserve"> </w:t>
      </w:r>
      <w:r w:rsidR="002027FC" w:rsidRPr="00303DC0">
        <w:rPr>
          <w:color w:val="000000" w:themeColor="text1"/>
          <w:szCs w:val="24"/>
        </w:rPr>
        <w:t xml:space="preserve">No report of straight leg raise testing is documented. </w:t>
      </w:r>
      <w:r w:rsidR="00226A3B">
        <w:rPr>
          <w:color w:val="000000" w:themeColor="text1"/>
          <w:szCs w:val="24"/>
        </w:rPr>
        <w:t xml:space="preserve"> </w:t>
      </w:r>
      <w:r w:rsidR="00BA69E7" w:rsidRPr="00303DC0">
        <w:rPr>
          <w:color w:val="000000" w:themeColor="text1"/>
          <w:szCs w:val="24"/>
        </w:rPr>
        <w:t xml:space="preserve">The VA </w:t>
      </w:r>
      <w:r w:rsidR="002C691A">
        <w:rPr>
          <w:color w:val="000000" w:themeColor="text1"/>
          <w:szCs w:val="24"/>
        </w:rPr>
        <w:t>Compensation and Pension (</w:t>
      </w:r>
      <w:r w:rsidR="00BA69E7" w:rsidRPr="00303DC0">
        <w:rPr>
          <w:color w:val="000000" w:themeColor="text1"/>
          <w:szCs w:val="24"/>
        </w:rPr>
        <w:t>C&amp;P</w:t>
      </w:r>
      <w:r w:rsidR="002C691A">
        <w:rPr>
          <w:color w:val="000000" w:themeColor="text1"/>
          <w:szCs w:val="24"/>
        </w:rPr>
        <w:t>) examination completed 7</w:t>
      </w:r>
      <w:r w:rsidR="00BA69E7" w:rsidRPr="00303DC0">
        <w:rPr>
          <w:color w:val="000000" w:themeColor="text1"/>
          <w:szCs w:val="24"/>
        </w:rPr>
        <w:t xml:space="preserve"> months prior to separation noted history of weakness in the right leg and ankle with numbness in the lower right leg and foot in addition to back pain. </w:t>
      </w:r>
      <w:r w:rsidR="00226A3B">
        <w:rPr>
          <w:color w:val="000000" w:themeColor="text1"/>
          <w:szCs w:val="24"/>
        </w:rPr>
        <w:t xml:space="preserve"> </w:t>
      </w:r>
      <w:r w:rsidR="00BA69E7" w:rsidRPr="00303DC0">
        <w:rPr>
          <w:color w:val="000000" w:themeColor="text1"/>
          <w:szCs w:val="24"/>
        </w:rPr>
        <w:t xml:space="preserve">The examination noted motor weakness of L4 with extension of right knee with strength as 3/5 and L5 with strength of right foot extension and right great toe extension both 3/5 as well as decreased sensation in the L5 dermatome in the right foot. </w:t>
      </w:r>
      <w:r w:rsidR="00226A3B">
        <w:rPr>
          <w:color w:val="000000" w:themeColor="text1"/>
          <w:szCs w:val="24"/>
        </w:rPr>
        <w:t xml:space="preserve"> </w:t>
      </w:r>
      <w:r w:rsidR="00BA69E7" w:rsidRPr="00303DC0">
        <w:rPr>
          <w:color w:val="000000" w:themeColor="text1"/>
          <w:szCs w:val="24"/>
        </w:rPr>
        <w:t>The exam also showed neurologic deficits related to S1 with decreased sensation in the S1 dermatome of the right foot</w:t>
      </w:r>
      <w:r w:rsidRPr="00303DC0">
        <w:rPr>
          <w:color w:val="000000" w:themeColor="text1"/>
          <w:szCs w:val="24"/>
        </w:rPr>
        <w:t xml:space="preserve"> and motor weakness of right knee flexion at 3/5 and right plantar flexion also at 3/5. </w:t>
      </w:r>
      <w:r w:rsidR="00F67BB7">
        <w:rPr>
          <w:color w:val="000000" w:themeColor="text1"/>
          <w:szCs w:val="24"/>
        </w:rPr>
        <w:t xml:space="preserve"> </w:t>
      </w:r>
      <w:r w:rsidRPr="00303DC0">
        <w:rPr>
          <w:color w:val="000000" w:themeColor="text1"/>
          <w:szCs w:val="24"/>
        </w:rPr>
        <w:t xml:space="preserve">Deep tendon reflexes were equal and symmetric in the bilateral lower extremities. </w:t>
      </w:r>
      <w:r w:rsidR="00226A3B">
        <w:rPr>
          <w:color w:val="000000" w:themeColor="text1"/>
          <w:szCs w:val="24"/>
        </w:rPr>
        <w:t xml:space="preserve"> </w:t>
      </w:r>
      <w:r w:rsidR="00252D1A" w:rsidRPr="00303DC0">
        <w:rPr>
          <w:color w:val="000000" w:themeColor="text1"/>
          <w:szCs w:val="24"/>
        </w:rPr>
        <w:t>This examination also noted a positive straight leg raise test on the right.</w:t>
      </w:r>
    </w:p>
    <w:p w:rsidR="002027FC" w:rsidRPr="00303DC0" w:rsidRDefault="002027FC" w:rsidP="00BA69E7">
      <w:pPr>
        <w:jc w:val="both"/>
        <w:rPr>
          <w:color w:val="000000" w:themeColor="text1"/>
          <w:szCs w:val="24"/>
        </w:rPr>
      </w:pPr>
    </w:p>
    <w:p w:rsidR="002027FC" w:rsidRPr="00252D1A" w:rsidRDefault="002C691A" w:rsidP="00BA69E7">
      <w:pPr>
        <w:jc w:val="both"/>
        <w:rPr>
          <w:color w:val="000000" w:themeColor="text1"/>
          <w:szCs w:val="24"/>
        </w:rPr>
      </w:pPr>
      <w:r>
        <w:rPr>
          <w:color w:val="000000" w:themeColor="text1"/>
          <w:szCs w:val="24"/>
        </w:rPr>
        <w:t xml:space="preserve">The </w:t>
      </w:r>
      <w:r w:rsidR="002027FC" w:rsidRPr="00303DC0">
        <w:rPr>
          <w:color w:val="000000" w:themeColor="text1"/>
          <w:szCs w:val="24"/>
        </w:rPr>
        <w:t xml:space="preserve">PEB determined this condition was unfitting stating it interfered with the CI’s ability to stand and wear his personal protective gear because both of these activities increased his radicular pain. </w:t>
      </w:r>
      <w:r w:rsidR="00226A3B">
        <w:rPr>
          <w:color w:val="000000" w:themeColor="text1"/>
          <w:szCs w:val="24"/>
        </w:rPr>
        <w:t xml:space="preserve"> </w:t>
      </w:r>
      <w:r w:rsidR="002027FC" w:rsidRPr="00303DC0">
        <w:rPr>
          <w:color w:val="000000" w:themeColor="text1"/>
          <w:szCs w:val="24"/>
        </w:rPr>
        <w:t xml:space="preserve">It applied a rating of 10% for mild incomplete paralysis of the sciatic nerve. </w:t>
      </w:r>
      <w:r w:rsidR="00226A3B">
        <w:rPr>
          <w:color w:val="000000" w:themeColor="text1"/>
          <w:szCs w:val="24"/>
        </w:rPr>
        <w:t xml:space="preserve"> </w:t>
      </w:r>
      <w:r w:rsidR="002027FC" w:rsidRPr="00303DC0">
        <w:rPr>
          <w:color w:val="000000" w:themeColor="text1"/>
          <w:szCs w:val="24"/>
        </w:rPr>
        <w:t xml:space="preserve">The VA also rated the radiculopathy at 10% but used 8522 and rated for moderate incomplete paralysis of the superficial peroneal nerve. </w:t>
      </w:r>
      <w:r w:rsidR="00226A3B">
        <w:rPr>
          <w:color w:val="000000" w:themeColor="text1"/>
          <w:szCs w:val="24"/>
        </w:rPr>
        <w:t xml:space="preserve"> </w:t>
      </w:r>
      <w:r w:rsidR="002027FC" w:rsidRPr="00303DC0">
        <w:rPr>
          <w:color w:val="000000" w:themeColor="text1"/>
          <w:szCs w:val="24"/>
        </w:rPr>
        <w:t xml:space="preserve">This nerve involvement was responsible for the decreased sensation in the right foot but does not fully account for the motor strength deficits documents on the C&amp;P examination. </w:t>
      </w:r>
      <w:r w:rsidR="00226A3B">
        <w:rPr>
          <w:color w:val="000000" w:themeColor="text1"/>
          <w:szCs w:val="24"/>
        </w:rPr>
        <w:t xml:space="preserve"> </w:t>
      </w:r>
      <w:r w:rsidR="002027FC" w:rsidRPr="00303DC0">
        <w:rPr>
          <w:color w:val="000000" w:themeColor="text1"/>
          <w:szCs w:val="24"/>
        </w:rPr>
        <w:t>The motor deficits include findings referable to L4, L5, and S1</w:t>
      </w:r>
      <w:r w:rsidR="00252D1A" w:rsidRPr="00303DC0">
        <w:rPr>
          <w:color w:val="000000" w:themeColor="text1"/>
          <w:szCs w:val="24"/>
        </w:rPr>
        <w:t xml:space="preserve">. </w:t>
      </w:r>
      <w:r w:rsidR="00226A3B">
        <w:rPr>
          <w:color w:val="000000" w:themeColor="text1"/>
          <w:szCs w:val="24"/>
        </w:rPr>
        <w:t xml:space="preserve"> </w:t>
      </w:r>
      <w:r w:rsidR="00252D1A" w:rsidRPr="00303DC0">
        <w:rPr>
          <w:color w:val="000000" w:themeColor="text1"/>
          <w:szCs w:val="24"/>
        </w:rPr>
        <w:t>Although various cod</w:t>
      </w:r>
      <w:r w:rsidR="00F67BB7">
        <w:rPr>
          <w:color w:val="000000" w:themeColor="text1"/>
          <w:szCs w:val="24"/>
        </w:rPr>
        <w:t>e</w:t>
      </w:r>
      <w:r w:rsidR="00252D1A" w:rsidRPr="00303DC0">
        <w:rPr>
          <w:color w:val="000000" w:themeColor="text1"/>
          <w:szCs w:val="24"/>
        </w:rPr>
        <w:t xml:space="preserve"> schemes could be used, none provides a rating greater than 10% and none offers any advantage to the CI. </w:t>
      </w:r>
      <w:r w:rsidR="00226A3B">
        <w:rPr>
          <w:color w:val="000000" w:themeColor="text1"/>
          <w:szCs w:val="24"/>
        </w:rPr>
        <w:t xml:space="preserve"> </w:t>
      </w:r>
      <w:r w:rsidR="00252D1A" w:rsidRPr="00303DC0">
        <w:rPr>
          <w:color w:val="000000" w:themeColor="text1"/>
          <w:szCs w:val="24"/>
        </w:rPr>
        <w:t>After due deliberation, considering all of the evidence and mindful of VASRD §4.3 (reasonable doubt), the Board concluded that there was insufficient cause to recommend a change in the PEB adjudication for the right L4-5 sensory deficit and radiculopathy condition.</w:t>
      </w:r>
    </w:p>
    <w:p w:rsidR="00AC1C7C" w:rsidRDefault="00AC1C7C" w:rsidP="00AC1C7C">
      <w:pPr>
        <w:jc w:val="both"/>
        <w:rPr>
          <w:color w:val="000000" w:themeColor="text1"/>
          <w:szCs w:val="24"/>
        </w:rPr>
      </w:pPr>
    </w:p>
    <w:p w:rsidR="00615A66" w:rsidRDefault="00D55AE9" w:rsidP="00EC55D5">
      <w:pPr>
        <w:jc w:val="both"/>
        <w:rPr>
          <w:color w:val="000000" w:themeColor="text1"/>
          <w:szCs w:val="24"/>
        </w:rPr>
      </w:pPr>
      <w:r w:rsidRPr="00D55AE9">
        <w:rPr>
          <w:color w:val="000000" w:themeColor="text1"/>
          <w:szCs w:val="24"/>
          <w:u w:val="single"/>
        </w:rPr>
        <w:t xml:space="preserve">Lumbar Degenerative Disc Disease </w:t>
      </w:r>
      <w:r w:rsidR="003F2EEE" w:rsidRPr="00D55AE9">
        <w:rPr>
          <w:color w:val="000000" w:themeColor="text1"/>
          <w:szCs w:val="24"/>
          <w:u w:val="single"/>
        </w:rPr>
        <w:t>Condition</w:t>
      </w:r>
      <w:r w:rsidR="00303DC0">
        <w:rPr>
          <w:color w:val="000000" w:themeColor="text1"/>
          <w:szCs w:val="24"/>
        </w:rPr>
        <w:t xml:space="preserve">. </w:t>
      </w:r>
      <w:r w:rsidR="00A57C35" w:rsidRPr="00402C78">
        <w:rPr>
          <w:color w:val="000000" w:themeColor="text1"/>
          <w:szCs w:val="24"/>
        </w:rPr>
        <w:t xml:space="preserve">There were </w:t>
      </w:r>
      <w:r w:rsidR="00226A3B">
        <w:rPr>
          <w:color w:val="000000" w:themeColor="text1"/>
          <w:szCs w:val="24"/>
        </w:rPr>
        <w:t>four</w:t>
      </w:r>
      <w:r w:rsidR="00A57C35" w:rsidRPr="00402C78">
        <w:rPr>
          <w:color w:val="000000" w:themeColor="text1"/>
          <w:szCs w:val="24"/>
        </w:rPr>
        <w:t xml:space="preserve"> goniometric range</w:t>
      </w:r>
      <w:r w:rsidR="002C691A">
        <w:rPr>
          <w:color w:val="000000" w:themeColor="text1"/>
          <w:szCs w:val="24"/>
        </w:rPr>
        <w:t>-</w:t>
      </w:r>
      <w:r w:rsidR="00A57C35" w:rsidRPr="00402C78">
        <w:rPr>
          <w:color w:val="000000" w:themeColor="text1"/>
          <w:szCs w:val="24"/>
        </w:rPr>
        <w:t>of</w:t>
      </w:r>
      <w:r w:rsidR="002C691A">
        <w:rPr>
          <w:color w:val="000000" w:themeColor="text1"/>
          <w:szCs w:val="24"/>
        </w:rPr>
        <w:t>-</w:t>
      </w:r>
      <w:r w:rsidR="00A57C35" w:rsidRPr="00402C78">
        <w:rPr>
          <w:color w:val="000000" w:themeColor="text1"/>
          <w:szCs w:val="24"/>
        </w:rPr>
        <w:t>motion (ROM) evaluations in evidence, with documentation of additional ratable criteria, which the Board weighed in arriving at its rating recommendation.</w:t>
      </w:r>
    </w:p>
    <w:p w:rsidR="00A007C2" w:rsidRDefault="00A007C2" w:rsidP="00615A66">
      <w:pPr>
        <w:rPr>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160"/>
        <w:gridCol w:w="1350"/>
        <w:gridCol w:w="2520"/>
        <w:gridCol w:w="1800"/>
      </w:tblGrid>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546" w:rsidRPr="001F29F9" w:rsidRDefault="00ED3546" w:rsidP="00D86636">
            <w:pPr>
              <w:pStyle w:val="ListParagraph"/>
              <w:spacing w:after="0" w:line="18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ED3546"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7</w:t>
            </w:r>
            <w:r w:rsidRPr="001F29F9">
              <w:rPr>
                <w:rFonts w:asciiTheme="minorHAnsi" w:eastAsia="Calibri" w:hAnsiTheme="minorHAnsi"/>
                <w:color w:val="000000" w:themeColor="text1"/>
                <w:sz w:val="18"/>
                <w:szCs w:val="18"/>
              </w:rPr>
              <w:t xml:space="preserve"> Mo</w:t>
            </w:r>
            <w:r>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p w:rsidR="00ED3546" w:rsidRPr="001F29F9" w:rsidRDefault="00ED3546" w:rsidP="00D86636">
            <w:pPr>
              <w:spacing w:line="180" w:lineRule="exact"/>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70906</w:t>
            </w:r>
            <w:r w:rsidRPr="001F29F9">
              <w:rPr>
                <w:rFonts w:asciiTheme="minorHAnsi" w:eastAsia="Calibri" w:hAnsiTheme="minorHAnsi"/>
                <w:color w:val="000000" w:themeColor="text1"/>
                <w:sz w:val="18"/>
                <w:szCs w:val="18"/>
              </w:rPr>
              <w:t>)</w:t>
            </w:r>
          </w:p>
        </w:tc>
        <w:tc>
          <w:tcPr>
            <w:tcW w:w="13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546"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PT ~ </w:t>
            </w:r>
            <w:r>
              <w:rPr>
                <w:rFonts w:asciiTheme="minorHAnsi" w:eastAsia="Calibri" w:hAnsiTheme="minorHAnsi"/>
                <w:color w:val="000000" w:themeColor="text1"/>
                <w:sz w:val="18"/>
                <w:szCs w:val="18"/>
              </w:rPr>
              <w:t>4</w:t>
            </w:r>
            <w:r w:rsidRPr="001F29F9">
              <w:rPr>
                <w:rFonts w:asciiTheme="minorHAnsi" w:eastAsia="Calibri" w:hAnsiTheme="minorHAnsi"/>
                <w:color w:val="000000" w:themeColor="text1"/>
                <w:sz w:val="18"/>
                <w:szCs w:val="18"/>
              </w:rPr>
              <w:t xml:space="preserve"> Mo</w:t>
            </w:r>
            <w:r>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Pr>
                <w:rFonts w:asciiTheme="minorHAnsi" w:eastAsia="Calibri" w:hAnsiTheme="minorHAnsi"/>
                <w:color w:val="000000" w:themeColor="text1"/>
                <w:sz w:val="18"/>
                <w:szCs w:val="18"/>
              </w:rPr>
              <w:t>aration</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71211</w:t>
            </w:r>
            <w:r w:rsidRPr="001F29F9">
              <w:rPr>
                <w:rFonts w:asciiTheme="minorHAnsi" w:eastAsia="Calibri" w:hAnsiTheme="minorHAnsi"/>
                <w:color w:val="000000" w:themeColor="text1"/>
                <w:sz w:val="18"/>
                <w:szCs w:val="18"/>
              </w:rPr>
              <w:t>)</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546"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MEB ~ 4 Months</w:t>
            </w:r>
            <w:r w:rsidRPr="001F29F9">
              <w:rPr>
                <w:rFonts w:asciiTheme="minorHAnsi" w:eastAsia="Calibri" w:hAnsiTheme="minorHAnsi"/>
                <w:color w:val="000000" w:themeColor="text1"/>
                <w:sz w:val="18"/>
                <w:szCs w:val="18"/>
              </w:rPr>
              <w:t xml:space="preserve"> </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Pr>
                <w:rFonts w:asciiTheme="minorHAnsi" w:eastAsia="Calibri" w:hAnsiTheme="minorHAnsi"/>
                <w:color w:val="000000" w:themeColor="text1"/>
                <w:sz w:val="18"/>
                <w:szCs w:val="18"/>
              </w:rPr>
              <w:t>aration</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71216)</w:t>
            </w:r>
          </w:p>
        </w:tc>
        <w:tc>
          <w:tcPr>
            <w:tcW w:w="1800" w:type="dxa"/>
            <w:tcBorders>
              <w:top w:val="single" w:sz="4" w:space="0" w:color="000000"/>
              <w:left w:val="single" w:sz="4" w:space="0" w:color="000000"/>
              <w:bottom w:val="single" w:sz="4" w:space="0" w:color="000000"/>
              <w:right w:val="single" w:sz="4" w:space="0" w:color="000000"/>
            </w:tcBorders>
            <w:shd w:val="pct15" w:color="auto" w:fill="auto"/>
          </w:tcPr>
          <w:p w:rsidR="00ED3546"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Pr>
                <w:rFonts w:asciiTheme="minorHAnsi" w:eastAsia="Calibri" w:hAnsiTheme="minorHAnsi"/>
                <w:color w:val="000000" w:themeColor="text1"/>
                <w:sz w:val="18"/>
                <w:szCs w:val="18"/>
              </w:rPr>
              <w:t>~ 13 Months</w:t>
            </w:r>
            <w:r w:rsidRPr="001F29F9">
              <w:rPr>
                <w:rFonts w:asciiTheme="minorHAnsi" w:eastAsia="Calibri" w:hAnsiTheme="minorHAnsi"/>
                <w:color w:val="000000" w:themeColor="text1"/>
                <w:sz w:val="18"/>
                <w:szCs w:val="18"/>
              </w:rPr>
              <w:t xml:space="preserve"> </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After </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p w:rsidR="00ED3546" w:rsidRPr="001F29F9" w:rsidRDefault="00ED3546" w:rsidP="00D86636">
            <w:pPr>
              <w:spacing w:line="180" w:lineRule="exact"/>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90520</w:t>
            </w:r>
            <w:r w:rsidRPr="001F29F9">
              <w:rPr>
                <w:rFonts w:asciiTheme="minorHAnsi" w:eastAsia="Calibri" w:hAnsiTheme="minorHAnsi"/>
                <w:color w:val="000000" w:themeColor="text1"/>
                <w:sz w:val="18"/>
                <w:szCs w:val="18"/>
              </w:rPr>
              <w:t>)</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pain at 90</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 (110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80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(80°, 80°, 80°)</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65°-70°</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(28</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pain at 28</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(25°, 25°, 25°)</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ED3546" w:rsidRPr="001F29F9" w:rsidTr="00D86636">
        <w:trPr>
          <w:trHeight w:val="18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(26</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pain at 26</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(30°, 30°, 30°)</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pPr>
            <w:r w:rsidRPr="00C508BF">
              <w:rPr>
                <w:rFonts w:asciiTheme="minorHAnsi" w:eastAsia="Calibri" w:hAnsiTheme="minorHAnsi"/>
                <w:color w:val="000000" w:themeColor="text1"/>
                <w:sz w:val="18"/>
                <w:szCs w:val="18"/>
              </w:rPr>
              <w:t>30⁰</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(30°, 30°, 30°)</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pPr>
            <w:r w:rsidRPr="00C508BF">
              <w:rPr>
                <w:rFonts w:asciiTheme="minorHAnsi" w:eastAsia="Calibri" w:hAnsiTheme="minorHAnsi"/>
                <w:color w:val="000000" w:themeColor="text1"/>
                <w:sz w:val="18"/>
                <w:szCs w:val="18"/>
              </w:rPr>
              <w:t>30⁰</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(60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(50°, 50°, 50°)</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pain at 30</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 (60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(45°, 45°, 45°)</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235</w:t>
            </w:r>
            <w:r w:rsidRPr="001F29F9">
              <w:rPr>
                <w:rFonts w:asciiTheme="minorHAnsi" w:eastAsia="Calibri" w:hAnsiTheme="minorHAnsi"/>
                <w:color w:val="000000" w:themeColor="text1"/>
                <w:sz w:val="18"/>
                <w:szCs w:val="18"/>
              </w:rPr>
              <w:t>⁰</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Pr>
                <w:rFonts w:eastAsia="Calibri" w:cstheme="minorHAnsi"/>
                <w:color w:val="000000" w:themeColor="text1"/>
                <w:sz w:val="18"/>
                <w:szCs w:val="18"/>
              </w:rPr>
              <w:t>240</w:t>
            </w:r>
            <w:r w:rsidRPr="001F29F9">
              <w:rPr>
                <w:rFonts w:eastAsia="Calibri" w:cstheme="minorHAnsi"/>
                <w:color w:val="000000" w:themeColor="text1"/>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225</w:t>
            </w:r>
            <w:r w:rsidRPr="001F29F9">
              <w:rPr>
                <w:rFonts w:asciiTheme="minorHAnsi" w:eastAsia="Calibri" w:hAnsiTheme="minorHAnsi"/>
                <w:color w:val="000000" w:themeColor="text1"/>
                <w:sz w:val="18"/>
                <w:szCs w:val="18"/>
              </w:rPr>
              <w:t>⁰</w:t>
            </w:r>
          </w:p>
        </w:tc>
        <w:tc>
          <w:tcPr>
            <w:tcW w:w="1800" w:type="dxa"/>
            <w:tcBorders>
              <w:top w:val="single" w:sz="4" w:space="0" w:color="000000"/>
              <w:left w:val="single" w:sz="4" w:space="0" w:color="000000"/>
              <w:bottom w:val="single" w:sz="4" w:space="0" w:color="000000"/>
              <w:right w:val="single" w:sz="4" w:space="0" w:color="000000"/>
            </w:tcBorders>
          </w:tcPr>
          <w:p w:rsidR="00ED3546" w:rsidRDefault="00ED3546" w:rsidP="00D86636">
            <w:pPr>
              <w:spacing w:line="180" w:lineRule="exact"/>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205°</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D86636" w:rsidRDefault="00ED3546" w:rsidP="00D86636">
            <w:pPr>
              <w:pStyle w:val="ListParagraph"/>
              <w:spacing w:after="0" w:line="160" w:lineRule="exact"/>
              <w:ind w:left="0"/>
              <w:rPr>
                <w:rFonts w:eastAsia="Calibri" w:cstheme="minorHAnsi"/>
                <w:color w:val="000000" w:themeColor="text1"/>
                <w:sz w:val="16"/>
                <w:szCs w:val="16"/>
              </w:rPr>
            </w:pPr>
            <w:r w:rsidRPr="00D86636">
              <w:rPr>
                <w:rFonts w:eastAsia="Calibri" w:cstheme="minorHAnsi"/>
                <w:color w:val="000000" w:themeColor="text1"/>
                <w:sz w:val="16"/>
                <w:szCs w:val="16"/>
              </w:rPr>
              <w:t>Comment</w:t>
            </w:r>
          </w:p>
        </w:tc>
        <w:tc>
          <w:tcPr>
            <w:tcW w:w="2160" w:type="dxa"/>
            <w:tcBorders>
              <w:top w:val="single" w:sz="4" w:space="0" w:color="000000"/>
              <w:left w:val="single" w:sz="4" w:space="0" w:color="000000"/>
              <w:bottom w:val="single" w:sz="4" w:space="0" w:color="000000"/>
              <w:right w:val="single" w:sz="4" w:space="0" w:color="000000"/>
            </w:tcBorders>
          </w:tcPr>
          <w:p w:rsidR="00ED3546"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t>Normal posture</w:t>
            </w:r>
            <w:r w:rsidR="00402C78" w:rsidRPr="00D86636">
              <w:rPr>
                <w:rFonts w:asciiTheme="minorHAnsi" w:eastAsiaTheme="minorHAnsi" w:hAnsiTheme="minorHAnsi"/>
                <w:color w:val="000000" w:themeColor="text1"/>
                <w:sz w:val="16"/>
                <w:szCs w:val="16"/>
              </w:rPr>
              <w:t xml:space="preserve"> and </w:t>
            </w:r>
            <w:r w:rsidR="00402C78" w:rsidRPr="00D86636">
              <w:rPr>
                <w:rFonts w:asciiTheme="minorHAnsi" w:eastAsiaTheme="minorHAnsi" w:hAnsiTheme="minorHAnsi"/>
                <w:color w:val="000000" w:themeColor="text1"/>
                <w:sz w:val="16"/>
                <w:szCs w:val="16"/>
              </w:rPr>
              <w:lastRenderedPageBreak/>
              <w:t>curvature</w:t>
            </w:r>
            <w:r w:rsidRPr="00D86636">
              <w:rPr>
                <w:rFonts w:asciiTheme="minorHAnsi" w:eastAsiaTheme="minorHAnsi" w:hAnsiTheme="minorHAnsi"/>
                <w:color w:val="000000" w:themeColor="text1"/>
                <w:sz w:val="16"/>
                <w:szCs w:val="16"/>
              </w:rPr>
              <w:t>; normal gait; no muscle spasm; positive SLR on right; negative SLR on left; no ankylosis</w:t>
            </w:r>
            <w:r w:rsidR="00D86636">
              <w:rPr>
                <w:rFonts w:asciiTheme="minorHAnsi" w:eastAsiaTheme="minorHAnsi" w:hAnsiTheme="minorHAnsi"/>
                <w:color w:val="000000" w:themeColor="text1"/>
                <w:sz w:val="16"/>
                <w:szCs w:val="16"/>
              </w:rPr>
              <w:t xml:space="preserve">, </w:t>
            </w:r>
            <w:r w:rsidRPr="00D86636">
              <w:rPr>
                <w:rFonts w:asciiTheme="minorHAnsi" w:eastAsiaTheme="minorHAnsi" w:hAnsiTheme="minorHAnsi"/>
                <w:color w:val="000000" w:themeColor="text1"/>
                <w:sz w:val="16"/>
                <w:szCs w:val="16"/>
              </w:rPr>
              <w:t xml:space="preserve">with </w:t>
            </w:r>
            <w:r w:rsidR="00D86636">
              <w:rPr>
                <w:rFonts w:asciiTheme="minorHAnsi" w:eastAsiaTheme="minorHAnsi" w:hAnsiTheme="minorHAnsi"/>
                <w:color w:val="000000" w:themeColor="text1"/>
                <w:sz w:val="16"/>
                <w:szCs w:val="16"/>
              </w:rPr>
              <w:t>m</w:t>
            </w:r>
            <w:r w:rsidRPr="00D86636">
              <w:rPr>
                <w:rFonts w:asciiTheme="minorHAnsi" w:eastAsiaTheme="minorHAnsi" w:hAnsiTheme="minorHAnsi"/>
                <w:color w:val="000000" w:themeColor="text1"/>
                <w:sz w:val="16"/>
                <w:szCs w:val="16"/>
              </w:rPr>
              <w:t>ovement, pain radiates down into right leg;</w:t>
            </w:r>
            <w:r w:rsidR="00402C78" w:rsidRPr="00D86636">
              <w:rPr>
                <w:rFonts w:asciiTheme="minorHAnsi" w:eastAsiaTheme="minorHAnsi" w:hAnsiTheme="minorHAnsi"/>
                <w:color w:val="000000" w:themeColor="text1"/>
                <w:sz w:val="16"/>
                <w:szCs w:val="16"/>
              </w:rPr>
              <w:t xml:space="preserve"> right lower extremity muscle weakness and decreased sensation</w:t>
            </w:r>
          </w:p>
        </w:tc>
        <w:tc>
          <w:tcPr>
            <w:tcW w:w="1350" w:type="dxa"/>
            <w:tcBorders>
              <w:top w:val="single" w:sz="4" w:space="0" w:color="000000"/>
              <w:left w:val="single" w:sz="4" w:space="0" w:color="000000"/>
              <w:bottom w:val="single" w:sz="4" w:space="0" w:color="000000"/>
              <w:right w:val="single" w:sz="4" w:space="0" w:color="000000"/>
            </w:tcBorders>
          </w:tcPr>
          <w:p w:rsidR="00ED3546"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lastRenderedPageBreak/>
              <w:t xml:space="preserve">Unclear if this is </w:t>
            </w:r>
            <w:r w:rsidRPr="00D86636">
              <w:rPr>
                <w:rFonts w:asciiTheme="minorHAnsi" w:eastAsiaTheme="minorHAnsi" w:hAnsiTheme="minorHAnsi"/>
                <w:color w:val="000000" w:themeColor="text1"/>
                <w:sz w:val="16"/>
                <w:szCs w:val="16"/>
              </w:rPr>
              <w:lastRenderedPageBreak/>
              <w:t>active or passive.</w:t>
            </w:r>
          </w:p>
        </w:tc>
        <w:tc>
          <w:tcPr>
            <w:tcW w:w="2520" w:type="dxa"/>
            <w:tcBorders>
              <w:top w:val="single" w:sz="4" w:space="0" w:color="000000"/>
              <w:left w:val="single" w:sz="4" w:space="0" w:color="000000"/>
              <w:bottom w:val="single" w:sz="4" w:space="0" w:color="000000"/>
              <w:right w:val="single" w:sz="4" w:space="0" w:color="000000"/>
            </w:tcBorders>
          </w:tcPr>
          <w:p w:rsidR="00ED3546"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lastRenderedPageBreak/>
              <w:t>ROMs from PT 20071102.</w:t>
            </w:r>
          </w:p>
          <w:p w:rsidR="00ED3546"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lastRenderedPageBreak/>
              <w:t xml:space="preserve">No abnormal contour; no muscle atrophy </w:t>
            </w:r>
            <w:r w:rsidR="00252D1A" w:rsidRPr="00D86636">
              <w:rPr>
                <w:rFonts w:asciiTheme="minorHAnsi" w:eastAsiaTheme="minorHAnsi" w:hAnsiTheme="minorHAnsi"/>
                <w:color w:val="000000" w:themeColor="text1"/>
                <w:sz w:val="16"/>
                <w:szCs w:val="16"/>
              </w:rPr>
              <w:t>o</w:t>
            </w:r>
            <w:r w:rsidRPr="00D86636">
              <w:rPr>
                <w:rFonts w:asciiTheme="minorHAnsi" w:eastAsiaTheme="minorHAnsi" w:hAnsiTheme="minorHAnsi"/>
                <w:color w:val="000000" w:themeColor="text1"/>
                <w:sz w:val="16"/>
                <w:szCs w:val="16"/>
              </w:rPr>
              <w:t>r spasm; no tenderness; Waddell sig</w:t>
            </w:r>
            <w:r w:rsidR="00D86636" w:rsidRPr="00D86636">
              <w:rPr>
                <w:rFonts w:asciiTheme="minorHAnsi" w:eastAsiaTheme="minorHAnsi" w:hAnsiTheme="minorHAnsi"/>
                <w:color w:val="000000" w:themeColor="text1"/>
                <w:sz w:val="16"/>
                <w:szCs w:val="16"/>
              </w:rPr>
              <w:t>n</w:t>
            </w:r>
            <w:r w:rsidRPr="00D86636">
              <w:rPr>
                <w:rFonts w:asciiTheme="minorHAnsi" w:eastAsiaTheme="minorHAnsi" w:hAnsiTheme="minorHAnsi"/>
                <w:color w:val="000000" w:themeColor="text1"/>
                <w:sz w:val="16"/>
                <w:szCs w:val="16"/>
              </w:rPr>
              <w:t>s negative; normal gait; decreased sensation L5 dermatome right lower extremity; pain during all movements; active ROM limited by pain.</w:t>
            </w:r>
          </w:p>
          <w:p w:rsidR="00ED3546"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t>MRI 20070810 DDD L5-S1</w:t>
            </w:r>
          </w:p>
        </w:tc>
        <w:tc>
          <w:tcPr>
            <w:tcW w:w="1800" w:type="dxa"/>
            <w:tcBorders>
              <w:top w:val="single" w:sz="4" w:space="0" w:color="000000"/>
              <w:left w:val="single" w:sz="4" w:space="0" w:color="000000"/>
              <w:bottom w:val="single" w:sz="4" w:space="0" w:color="000000"/>
              <w:right w:val="single" w:sz="4" w:space="0" w:color="000000"/>
            </w:tcBorders>
          </w:tcPr>
          <w:p w:rsidR="00F20E03" w:rsidRPr="00D86636" w:rsidRDefault="00ED3546" w:rsidP="00D86636">
            <w:pPr>
              <w:tabs>
                <w:tab w:val="left" w:pos="288"/>
                <w:tab w:val="left" w:pos="4752"/>
              </w:tabs>
              <w:spacing w:line="160" w:lineRule="exact"/>
              <w:jc w:val="left"/>
              <w:rPr>
                <w:rFonts w:asciiTheme="minorHAnsi" w:eastAsiaTheme="minorHAnsi" w:hAnsiTheme="minorHAnsi"/>
                <w:color w:val="000000" w:themeColor="text1"/>
                <w:sz w:val="16"/>
                <w:szCs w:val="16"/>
              </w:rPr>
            </w:pPr>
            <w:r w:rsidRPr="00D86636">
              <w:rPr>
                <w:rFonts w:asciiTheme="minorHAnsi" w:eastAsiaTheme="minorHAnsi" w:hAnsiTheme="minorHAnsi"/>
                <w:color w:val="000000" w:themeColor="text1"/>
                <w:sz w:val="16"/>
                <w:szCs w:val="16"/>
              </w:rPr>
              <w:lastRenderedPageBreak/>
              <w:t xml:space="preserve">Information from VARD </w:t>
            </w:r>
            <w:r w:rsidRPr="00D86636">
              <w:rPr>
                <w:rFonts w:asciiTheme="minorHAnsi" w:eastAsiaTheme="minorHAnsi" w:hAnsiTheme="minorHAnsi"/>
                <w:color w:val="000000" w:themeColor="text1"/>
                <w:sz w:val="16"/>
                <w:szCs w:val="16"/>
              </w:rPr>
              <w:lastRenderedPageBreak/>
              <w:t>20090821</w:t>
            </w:r>
            <w:r w:rsidR="00402C78" w:rsidRPr="00D86636">
              <w:rPr>
                <w:rFonts w:asciiTheme="minorHAnsi" w:eastAsiaTheme="minorHAnsi" w:hAnsiTheme="minorHAnsi"/>
                <w:color w:val="000000" w:themeColor="text1"/>
                <w:sz w:val="16"/>
                <w:szCs w:val="16"/>
              </w:rPr>
              <w:t xml:space="preserve"> (VA C&amp;P exam 20090520</w:t>
            </w:r>
            <w:r w:rsidR="00D86636">
              <w:rPr>
                <w:rFonts w:asciiTheme="minorHAnsi" w:eastAsiaTheme="minorHAnsi" w:hAnsiTheme="minorHAnsi"/>
                <w:color w:val="000000" w:themeColor="text1"/>
                <w:sz w:val="16"/>
                <w:szCs w:val="16"/>
              </w:rPr>
              <w:t xml:space="preserve"> </w:t>
            </w:r>
            <w:r w:rsidR="00402C78" w:rsidRPr="00D86636">
              <w:rPr>
                <w:rFonts w:asciiTheme="minorHAnsi" w:eastAsiaTheme="minorHAnsi" w:hAnsiTheme="minorHAnsi"/>
                <w:color w:val="000000" w:themeColor="text1"/>
                <w:sz w:val="16"/>
                <w:szCs w:val="16"/>
              </w:rPr>
              <w:t>missing)</w:t>
            </w:r>
            <w:r w:rsidRPr="00D86636">
              <w:rPr>
                <w:rFonts w:asciiTheme="minorHAnsi" w:eastAsiaTheme="minorHAnsi" w:hAnsiTheme="minorHAnsi"/>
                <w:color w:val="000000" w:themeColor="text1"/>
                <w:sz w:val="16"/>
                <w:szCs w:val="16"/>
              </w:rPr>
              <w:t>. Abnormal posture; spasm;  tenderness to palpation; functional loss is due to pain</w:t>
            </w:r>
            <w:r w:rsidR="00D86636">
              <w:rPr>
                <w:rFonts w:asciiTheme="minorHAnsi" w:eastAsiaTheme="minorHAnsi" w:hAnsiTheme="minorHAnsi"/>
                <w:color w:val="000000" w:themeColor="text1"/>
                <w:sz w:val="16"/>
                <w:szCs w:val="16"/>
              </w:rPr>
              <w:t xml:space="preserve"> </w:t>
            </w:r>
            <w:r w:rsidR="00F20E03" w:rsidRPr="00D86636">
              <w:rPr>
                <w:rFonts w:asciiTheme="minorHAnsi" w:eastAsiaTheme="minorHAnsi" w:hAnsiTheme="minorHAnsi"/>
                <w:color w:val="000000" w:themeColor="text1"/>
                <w:sz w:val="16"/>
                <w:szCs w:val="16"/>
              </w:rPr>
              <w:t>MRI 20090408: DDD L5-S1</w:t>
            </w:r>
          </w:p>
        </w:tc>
      </w:tr>
      <w:tr w:rsidR="00ED3546" w:rsidRPr="001F29F9" w:rsidTr="00D86636">
        <w:tc>
          <w:tcPr>
            <w:tcW w:w="1548" w:type="dxa"/>
            <w:tcBorders>
              <w:top w:val="single" w:sz="4" w:space="0" w:color="000000"/>
              <w:left w:val="single" w:sz="4" w:space="0" w:color="000000"/>
              <w:bottom w:val="single" w:sz="4" w:space="0" w:color="000000"/>
              <w:right w:val="single" w:sz="4" w:space="0" w:color="000000"/>
            </w:tcBorders>
            <w:vAlign w:val="center"/>
            <w:hideMark/>
          </w:tcPr>
          <w:p w:rsidR="00ED3546" w:rsidRPr="001F29F9" w:rsidRDefault="00ED3546" w:rsidP="00D8663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lastRenderedPageBreak/>
              <w:t>§4.71a Rating</w:t>
            </w:r>
          </w:p>
        </w:tc>
        <w:tc>
          <w:tcPr>
            <w:tcW w:w="216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r w:rsidR="00EC55D5">
              <w:rPr>
                <w:rFonts w:asciiTheme="minorHAnsi" w:eastAsiaTheme="minorHAnsi" w:hAnsiTheme="minorHAnsi"/>
                <w:color w:val="000000" w:themeColor="text1"/>
                <w:sz w:val="18"/>
                <w:szCs w:val="18"/>
              </w:rPr>
              <w:t xml:space="preserve"> (</w:t>
            </w:r>
            <w:r w:rsidR="00EC55D5" w:rsidRPr="00EC55D5">
              <w:rPr>
                <w:rFonts w:asciiTheme="minorHAnsi" w:eastAsiaTheme="minorHAnsi" w:hAnsiTheme="minorHAnsi"/>
                <w:color w:val="000000" w:themeColor="text1"/>
                <w:sz w:val="18"/>
                <w:szCs w:val="18"/>
              </w:rPr>
              <w:t>§4.59</w:t>
            </w:r>
            <w:r w:rsidR="00EC55D5">
              <w:rPr>
                <w:rFonts w:asciiTheme="minorHAnsi" w:eastAsiaTheme="minorHAnsi" w:hAnsiTheme="minorHAnsi"/>
                <w:color w:val="000000" w:themeColor="text1"/>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ED3546" w:rsidRPr="001F29F9" w:rsidRDefault="00ED3546" w:rsidP="00D86636">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ED3546" w:rsidRPr="001F29F9" w:rsidRDefault="00ED3546" w:rsidP="00D86636">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r>
    </w:tbl>
    <w:p w:rsidR="00402C78" w:rsidRPr="00303DC0" w:rsidRDefault="00252D1A" w:rsidP="00252D1A">
      <w:pPr>
        <w:jc w:val="both"/>
        <w:rPr>
          <w:color w:val="000000" w:themeColor="text1"/>
          <w:szCs w:val="24"/>
        </w:rPr>
      </w:pPr>
      <w:r>
        <w:rPr>
          <w:color w:val="000000" w:themeColor="text1"/>
          <w:szCs w:val="24"/>
        </w:rPr>
        <w:t xml:space="preserve">The </w:t>
      </w:r>
      <w:r w:rsidRPr="00303DC0">
        <w:rPr>
          <w:color w:val="000000" w:themeColor="text1"/>
          <w:szCs w:val="24"/>
        </w:rPr>
        <w:t xml:space="preserve">MEB NARSUM examination completed </w:t>
      </w:r>
      <w:r w:rsidR="002C691A">
        <w:rPr>
          <w:color w:val="000000" w:themeColor="text1"/>
          <w:szCs w:val="24"/>
        </w:rPr>
        <w:t>4</w:t>
      </w:r>
      <w:r w:rsidRPr="00303DC0">
        <w:rPr>
          <w:color w:val="000000" w:themeColor="text1"/>
          <w:szCs w:val="24"/>
        </w:rPr>
        <w:t xml:space="preserve"> months prior to separation noted pain during all movements </w:t>
      </w:r>
      <w:r w:rsidR="00585757" w:rsidRPr="00303DC0">
        <w:rPr>
          <w:color w:val="000000" w:themeColor="text1"/>
          <w:szCs w:val="24"/>
        </w:rPr>
        <w:t>of</w:t>
      </w:r>
      <w:r w:rsidRPr="00303DC0">
        <w:rPr>
          <w:color w:val="000000" w:themeColor="text1"/>
          <w:szCs w:val="24"/>
        </w:rPr>
        <w:t xml:space="preserve"> the thoracolumbar spine and active ROM limited by pain. </w:t>
      </w:r>
      <w:r w:rsidR="002C691A">
        <w:rPr>
          <w:color w:val="000000" w:themeColor="text1"/>
          <w:szCs w:val="24"/>
        </w:rPr>
        <w:t xml:space="preserve"> </w:t>
      </w:r>
      <w:r w:rsidRPr="00303DC0">
        <w:rPr>
          <w:color w:val="000000" w:themeColor="text1"/>
          <w:szCs w:val="24"/>
        </w:rPr>
        <w:t xml:space="preserve">The ROM measurements were completed for the MEB by physical therapy in November 2007. </w:t>
      </w:r>
      <w:r w:rsidR="00D86636">
        <w:rPr>
          <w:color w:val="000000" w:themeColor="text1"/>
          <w:szCs w:val="24"/>
        </w:rPr>
        <w:t xml:space="preserve"> </w:t>
      </w:r>
      <w:r w:rsidR="00585757" w:rsidRPr="00303DC0">
        <w:rPr>
          <w:color w:val="000000" w:themeColor="text1"/>
          <w:szCs w:val="24"/>
        </w:rPr>
        <w:t>The NARSUM notes separate ROM measurements completed by physical therapy in December that showed full ROM.</w:t>
      </w:r>
      <w:r w:rsidR="00D86636">
        <w:rPr>
          <w:color w:val="000000" w:themeColor="text1"/>
          <w:szCs w:val="24"/>
        </w:rPr>
        <w:t xml:space="preserve"> </w:t>
      </w:r>
      <w:r w:rsidR="00585757" w:rsidRPr="00303DC0">
        <w:rPr>
          <w:color w:val="000000" w:themeColor="text1"/>
          <w:szCs w:val="24"/>
        </w:rPr>
        <w:t xml:space="preserve"> However, this note does not state if these measurements are active or passive and there is no mention of when or if pain occurred. </w:t>
      </w:r>
      <w:r w:rsidR="00D86636">
        <w:rPr>
          <w:color w:val="000000" w:themeColor="text1"/>
          <w:szCs w:val="24"/>
        </w:rPr>
        <w:t xml:space="preserve"> </w:t>
      </w:r>
      <w:r w:rsidR="00585757" w:rsidRPr="00303DC0">
        <w:rPr>
          <w:color w:val="000000" w:themeColor="text1"/>
          <w:szCs w:val="24"/>
        </w:rPr>
        <w:t xml:space="preserve">This is the only finding of full ROM near the time of separation and all other clinical information near the time of separation notes either painful motion or pain-limited motion. </w:t>
      </w:r>
      <w:r w:rsidR="00D86636">
        <w:rPr>
          <w:color w:val="000000" w:themeColor="text1"/>
          <w:szCs w:val="24"/>
        </w:rPr>
        <w:t xml:space="preserve"> </w:t>
      </w:r>
      <w:r w:rsidR="00585757" w:rsidRPr="00303DC0">
        <w:rPr>
          <w:color w:val="000000" w:themeColor="text1"/>
          <w:szCs w:val="24"/>
        </w:rPr>
        <w:t xml:space="preserve">The initial VA C&amp;P examination was completed </w:t>
      </w:r>
      <w:r w:rsidR="002C691A">
        <w:rPr>
          <w:color w:val="000000" w:themeColor="text1"/>
          <w:szCs w:val="24"/>
        </w:rPr>
        <w:t>7</w:t>
      </w:r>
      <w:r w:rsidR="00F67BB7">
        <w:rPr>
          <w:color w:val="000000" w:themeColor="text1"/>
          <w:szCs w:val="24"/>
        </w:rPr>
        <w:t> </w:t>
      </w:r>
      <w:r w:rsidR="00585757" w:rsidRPr="00303DC0">
        <w:rPr>
          <w:color w:val="000000" w:themeColor="text1"/>
          <w:szCs w:val="24"/>
        </w:rPr>
        <w:t xml:space="preserve">months prior to separation and documents pain-limited motion of the thoracolumbar spine. </w:t>
      </w:r>
      <w:r w:rsidR="00D86636">
        <w:rPr>
          <w:color w:val="000000" w:themeColor="text1"/>
          <w:szCs w:val="24"/>
        </w:rPr>
        <w:t xml:space="preserve"> </w:t>
      </w:r>
      <w:r w:rsidR="00D86636" w:rsidRPr="00303DC0">
        <w:rPr>
          <w:color w:val="000000" w:themeColor="text1"/>
          <w:szCs w:val="24"/>
        </w:rPr>
        <w:t>It</w:t>
      </w:r>
      <w:r w:rsidR="00414492" w:rsidRPr="00303DC0">
        <w:rPr>
          <w:color w:val="000000" w:themeColor="text1"/>
          <w:szCs w:val="24"/>
        </w:rPr>
        <w:t xml:space="preserve"> also noted the joint function of the spine was additionally limited by pain after repetitive use.</w:t>
      </w:r>
      <w:r w:rsidR="00D86636">
        <w:rPr>
          <w:color w:val="000000" w:themeColor="text1"/>
          <w:szCs w:val="24"/>
        </w:rPr>
        <w:t xml:space="preserve"> </w:t>
      </w:r>
      <w:r w:rsidR="00414492" w:rsidRPr="00303DC0">
        <w:rPr>
          <w:color w:val="000000" w:themeColor="text1"/>
          <w:szCs w:val="24"/>
        </w:rPr>
        <w:t xml:space="preserve"> </w:t>
      </w:r>
      <w:r w:rsidR="00585757" w:rsidRPr="00303DC0">
        <w:rPr>
          <w:color w:val="000000" w:themeColor="text1"/>
          <w:szCs w:val="24"/>
        </w:rPr>
        <w:t>A later VA C&amp;P examination was completed 13</w:t>
      </w:r>
      <w:r w:rsidR="00414492" w:rsidRPr="00303DC0">
        <w:rPr>
          <w:color w:val="000000" w:themeColor="text1"/>
          <w:szCs w:val="24"/>
        </w:rPr>
        <w:t xml:space="preserve"> </w:t>
      </w:r>
      <w:r w:rsidR="00585757" w:rsidRPr="00303DC0">
        <w:rPr>
          <w:color w:val="000000" w:themeColor="text1"/>
          <w:szCs w:val="24"/>
        </w:rPr>
        <w:t>months after separation and it also documents pain limited motion.</w:t>
      </w:r>
      <w:r w:rsidR="00D86636">
        <w:rPr>
          <w:color w:val="000000" w:themeColor="text1"/>
          <w:szCs w:val="24"/>
        </w:rPr>
        <w:t xml:space="preserve"> </w:t>
      </w:r>
      <w:r w:rsidR="00585757" w:rsidRPr="00303DC0">
        <w:rPr>
          <w:color w:val="000000" w:themeColor="text1"/>
          <w:szCs w:val="24"/>
        </w:rPr>
        <w:t xml:space="preserve"> It also documents a slight worsening of the condition after separation. </w:t>
      </w:r>
      <w:r w:rsidR="00D86636">
        <w:rPr>
          <w:color w:val="000000" w:themeColor="text1"/>
          <w:szCs w:val="24"/>
        </w:rPr>
        <w:t xml:space="preserve"> </w:t>
      </w:r>
      <w:r w:rsidR="00585757" w:rsidRPr="00303DC0">
        <w:rPr>
          <w:color w:val="000000" w:themeColor="text1"/>
          <w:szCs w:val="24"/>
        </w:rPr>
        <w:t>However, no examination warrants a rating greater than 10%.</w:t>
      </w:r>
    </w:p>
    <w:p w:rsidR="00585757" w:rsidRPr="00303DC0" w:rsidRDefault="00585757" w:rsidP="00252D1A">
      <w:pPr>
        <w:jc w:val="both"/>
        <w:rPr>
          <w:color w:val="000000" w:themeColor="text1"/>
          <w:szCs w:val="24"/>
        </w:rPr>
      </w:pPr>
    </w:p>
    <w:p w:rsidR="00585757" w:rsidRPr="00414492" w:rsidRDefault="002C691A" w:rsidP="00252D1A">
      <w:pPr>
        <w:jc w:val="both"/>
        <w:rPr>
          <w:color w:val="000000" w:themeColor="text1"/>
          <w:szCs w:val="24"/>
        </w:rPr>
      </w:pPr>
      <w:r>
        <w:rPr>
          <w:color w:val="000000" w:themeColor="text1"/>
          <w:szCs w:val="24"/>
        </w:rPr>
        <w:t xml:space="preserve">The </w:t>
      </w:r>
      <w:r w:rsidR="00E60510">
        <w:rPr>
          <w:color w:val="000000" w:themeColor="text1"/>
          <w:szCs w:val="24"/>
        </w:rPr>
        <w:t>PEB determined l</w:t>
      </w:r>
      <w:r w:rsidR="00585757" w:rsidRPr="00303DC0">
        <w:rPr>
          <w:color w:val="000000" w:themeColor="text1"/>
          <w:szCs w:val="24"/>
        </w:rPr>
        <w:t xml:space="preserve">umbar </w:t>
      </w:r>
      <w:r>
        <w:rPr>
          <w:color w:val="000000" w:themeColor="text1"/>
          <w:szCs w:val="24"/>
        </w:rPr>
        <w:t>DDD</w:t>
      </w:r>
      <w:r w:rsidR="00585757" w:rsidRPr="00303DC0">
        <w:rPr>
          <w:color w:val="000000" w:themeColor="text1"/>
          <w:szCs w:val="24"/>
        </w:rPr>
        <w:t xml:space="preserve"> was unfitting and noted it interfered with the CI’s ability to perform basic Soldier functions. </w:t>
      </w:r>
      <w:r>
        <w:rPr>
          <w:color w:val="000000" w:themeColor="text1"/>
          <w:szCs w:val="24"/>
        </w:rPr>
        <w:t xml:space="preserve"> </w:t>
      </w:r>
      <w:r w:rsidR="00585757" w:rsidRPr="00303DC0">
        <w:rPr>
          <w:color w:val="000000" w:themeColor="text1"/>
          <w:szCs w:val="24"/>
        </w:rPr>
        <w:t xml:space="preserve">It noted the 110 degrees of </w:t>
      </w:r>
      <w:r w:rsidR="00451516" w:rsidRPr="00303DC0">
        <w:rPr>
          <w:color w:val="000000" w:themeColor="text1"/>
          <w:szCs w:val="24"/>
        </w:rPr>
        <w:t xml:space="preserve">thoracolumbar </w:t>
      </w:r>
      <w:r w:rsidR="00585757" w:rsidRPr="00303DC0">
        <w:rPr>
          <w:color w:val="000000" w:themeColor="text1"/>
          <w:szCs w:val="24"/>
        </w:rPr>
        <w:t>flexion in the December 2007 physical therapy visit and applied a 0%</w:t>
      </w:r>
      <w:r w:rsidR="00451516" w:rsidRPr="00303DC0">
        <w:rPr>
          <w:color w:val="000000" w:themeColor="text1"/>
          <w:szCs w:val="24"/>
        </w:rPr>
        <w:t xml:space="preserve"> rating</w:t>
      </w:r>
      <w:r w:rsidR="00585757" w:rsidRPr="00303DC0">
        <w:rPr>
          <w:color w:val="000000" w:themeColor="text1"/>
          <w:szCs w:val="24"/>
        </w:rPr>
        <w:t xml:space="preserve">. </w:t>
      </w:r>
      <w:r>
        <w:rPr>
          <w:color w:val="000000" w:themeColor="text1"/>
          <w:szCs w:val="24"/>
        </w:rPr>
        <w:t xml:space="preserve"> </w:t>
      </w:r>
      <w:r w:rsidR="00585757" w:rsidRPr="00303DC0">
        <w:rPr>
          <w:color w:val="000000" w:themeColor="text1"/>
          <w:szCs w:val="24"/>
        </w:rPr>
        <w:t xml:space="preserve">However, while the December 2007 exam does not specifically document pain with motion it also does not document the absence of painful motion. </w:t>
      </w:r>
      <w:r w:rsidR="00D86636">
        <w:rPr>
          <w:color w:val="000000" w:themeColor="text1"/>
          <w:szCs w:val="24"/>
        </w:rPr>
        <w:t xml:space="preserve"> </w:t>
      </w:r>
      <w:r w:rsidR="00585757" w:rsidRPr="00303DC0">
        <w:rPr>
          <w:color w:val="000000" w:themeColor="text1"/>
          <w:szCs w:val="24"/>
        </w:rPr>
        <w:t>Multiple other exams do docu</w:t>
      </w:r>
      <w:r w:rsidR="00414492" w:rsidRPr="00303DC0">
        <w:rPr>
          <w:color w:val="000000" w:themeColor="text1"/>
          <w:szCs w:val="24"/>
        </w:rPr>
        <w:t>ment painful motion and/or pain-</w:t>
      </w:r>
      <w:r w:rsidR="00585757" w:rsidRPr="00303DC0">
        <w:rPr>
          <w:color w:val="000000" w:themeColor="text1"/>
          <w:szCs w:val="24"/>
        </w:rPr>
        <w:t xml:space="preserve">limited </w:t>
      </w:r>
      <w:r w:rsidR="00414492" w:rsidRPr="00303DC0">
        <w:rPr>
          <w:color w:val="000000" w:themeColor="text1"/>
          <w:szCs w:val="24"/>
        </w:rPr>
        <w:t>motion both</w:t>
      </w:r>
      <w:r w:rsidR="00585757" w:rsidRPr="00303DC0">
        <w:rPr>
          <w:color w:val="000000" w:themeColor="text1"/>
          <w:szCs w:val="24"/>
        </w:rPr>
        <w:t xml:space="preserve"> before and after this visit and </w:t>
      </w:r>
      <w:r w:rsidR="00414492" w:rsidRPr="00303DC0">
        <w:rPr>
          <w:color w:val="000000" w:themeColor="text1"/>
          <w:szCs w:val="24"/>
        </w:rPr>
        <w:t xml:space="preserve">with the application of reasonable doubt, the Board concluded the CI did have painful motion at the time of separation. </w:t>
      </w:r>
      <w:r w:rsidR="00D86636">
        <w:rPr>
          <w:color w:val="000000" w:themeColor="text1"/>
          <w:szCs w:val="24"/>
        </w:rPr>
        <w:t xml:space="preserve"> </w:t>
      </w:r>
      <w:r w:rsidR="00414492" w:rsidRPr="00303DC0">
        <w:rPr>
          <w:color w:val="000000" w:themeColor="text1"/>
          <w:szCs w:val="24"/>
        </w:rPr>
        <w:t>The VA rated this condition at 10% for pain-limited motion as the total combine</w:t>
      </w:r>
      <w:r w:rsidR="00F67BB7">
        <w:rPr>
          <w:color w:val="000000" w:themeColor="text1"/>
          <w:szCs w:val="24"/>
        </w:rPr>
        <w:t>d</w:t>
      </w:r>
      <w:r w:rsidR="00414492" w:rsidRPr="00303DC0">
        <w:rPr>
          <w:color w:val="000000" w:themeColor="text1"/>
          <w:szCs w:val="24"/>
        </w:rPr>
        <w:t xml:space="preserve"> ROM was not greater than 235</w:t>
      </w:r>
      <w:r w:rsidR="00451516" w:rsidRPr="00303DC0">
        <w:rPr>
          <w:color w:val="000000" w:themeColor="text1"/>
          <w:szCs w:val="24"/>
        </w:rPr>
        <w:t xml:space="preserve"> </w:t>
      </w:r>
      <w:r w:rsidR="00414492" w:rsidRPr="00303DC0">
        <w:rPr>
          <w:color w:val="000000" w:themeColor="text1"/>
          <w:szCs w:val="24"/>
        </w:rPr>
        <w:t xml:space="preserve">degrees on the C&amp;P examination. </w:t>
      </w:r>
      <w:r w:rsidR="00D86636">
        <w:rPr>
          <w:color w:val="000000" w:themeColor="text1"/>
          <w:szCs w:val="24"/>
        </w:rPr>
        <w:t xml:space="preserve"> </w:t>
      </w:r>
      <w:r w:rsidR="003416C3" w:rsidRPr="00303DC0">
        <w:rPr>
          <w:color w:val="000000" w:themeColor="text1"/>
          <w:szCs w:val="24"/>
        </w:rPr>
        <w:t>As explained in §4.59</w:t>
      </w:r>
      <w:r w:rsidR="00F67BB7">
        <w:rPr>
          <w:color w:val="000000" w:themeColor="text1"/>
          <w:szCs w:val="24"/>
        </w:rPr>
        <w:t>,</w:t>
      </w:r>
      <w:r w:rsidR="003416C3" w:rsidRPr="00303DC0">
        <w:rPr>
          <w:color w:val="000000" w:themeColor="text1"/>
          <w:szCs w:val="24"/>
        </w:rPr>
        <w:t xml:space="preserve"> </w:t>
      </w:r>
      <w:r w:rsidR="003416C3" w:rsidRPr="00F67BB7">
        <w:rPr>
          <w:i/>
          <w:color w:val="000000" w:themeColor="text1"/>
          <w:szCs w:val="24"/>
        </w:rPr>
        <w:t xml:space="preserve">Painful </w:t>
      </w:r>
      <w:r w:rsidR="00F67BB7" w:rsidRPr="00F67BB7">
        <w:rPr>
          <w:i/>
          <w:color w:val="000000" w:themeColor="text1"/>
          <w:szCs w:val="24"/>
        </w:rPr>
        <w:t>M</w:t>
      </w:r>
      <w:r w:rsidR="003416C3" w:rsidRPr="00F67BB7">
        <w:rPr>
          <w:i/>
          <w:color w:val="000000" w:themeColor="text1"/>
          <w:szCs w:val="24"/>
        </w:rPr>
        <w:t>otion</w:t>
      </w:r>
      <w:r w:rsidR="003416C3" w:rsidRPr="00303DC0">
        <w:rPr>
          <w:color w:val="000000" w:themeColor="text1"/>
          <w:szCs w:val="24"/>
        </w:rPr>
        <w:t xml:space="preserve">, the intent of the VASRD is to recognize painful motion with joint or periarticular pathology as productive of disability. </w:t>
      </w:r>
      <w:r w:rsidR="00D86636">
        <w:rPr>
          <w:color w:val="000000" w:themeColor="text1"/>
          <w:szCs w:val="24"/>
        </w:rPr>
        <w:t xml:space="preserve"> </w:t>
      </w:r>
      <w:r w:rsidR="003416C3" w:rsidRPr="00303DC0">
        <w:rPr>
          <w:color w:val="000000" w:themeColor="text1"/>
          <w:szCs w:val="24"/>
        </w:rPr>
        <w:t xml:space="preserve">It is the intention to recognize actually painful, unstable, or malaligned joints, due to healed injury, as entitled to at least the minimum compensable rating for the joint. </w:t>
      </w:r>
      <w:r w:rsidR="00D86636">
        <w:rPr>
          <w:color w:val="000000" w:themeColor="text1"/>
          <w:szCs w:val="24"/>
        </w:rPr>
        <w:t xml:space="preserve"> </w:t>
      </w:r>
      <w:r w:rsidR="00414492" w:rsidRPr="00303DC0">
        <w:rPr>
          <w:color w:val="000000" w:themeColor="text1"/>
          <w:szCs w:val="24"/>
        </w:rPr>
        <w:t xml:space="preserve">After due deliberation, considering all of the evidence and mindful of VASRD §4.3 (reasonable doubt), the Board recommends a separation rating of 10% for the lumbar </w:t>
      </w:r>
      <w:r>
        <w:rPr>
          <w:color w:val="000000" w:themeColor="text1"/>
          <w:szCs w:val="24"/>
        </w:rPr>
        <w:t>DDD</w:t>
      </w:r>
      <w:r w:rsidR="00414492" w:rsidRPr="00303DC0">
        <w:rPr>
          <w:color w:val="000000" w:themeColor="text1"/>
          <w:szCs w:val="24"/>
        </w:rPr>
        <w:t xml:space="preserve"> condition</w:t>
      </w:r>
      <w:r w:rsidR="003416C3" w:rsidRPr="00303DC0">
        <w:rPr>
          <w:color w:val="000000" w:themeColor="text1"/>
          <w:szCs w:val="24"/>
        </w:rPr>
        <w:t xml:space="preserve"> IAW with both §4.59 and §4.71a</w:t>
      </w:r>
      <w:r w:rsidR="00414492" w:rsidRPr="00303DC0">
        <w:rPr>
          <w:color w:val="000000" w:themeColor="text1"/>
          <w:szCs w:val="24"/>
        </w:rPr>
        <w:t>.</w:t>
      </w:r>
    </w:p>
    <w:p w:rsidR="00402C78" w:rsidRPr="001F29F9" w:rsidRDefault="00402C78" w:rsidP="00252D1A">
      <w:pPr>
        <w:jc w:val="both"/>
        <w:rPr>
          <w:color w:val="000000" w:themeColor="text1"/>
          <w:szCs w:val="24"/>
          <w:u w:val="single"/>
        </w:rPr>
      </w:pPr>
    </w:p>
    <w:p w:rsidR="004A7C03" w:rsidRDefault="004C60A3" w:rsidP="000B47C9">
      <w:pPr>
        <w:jc w:val="both"/>
        <w:rPr>
          <w:color w:val="000000" w:themeColor="text1"/>
          <w:szCs w:val="24"/>
        </w:rPr>
      </w:pPr>
      <w:r w:rsidRPr="00303DC0">
        <w:rPr>
          <w:rFonts w:eastAsia="HiddenHorzOCR"/>
          <w:color w:val="000000" w:themeColor="text1"/>
          <w:szCs w:val="24"/>
          <w:u w:val="single"/>
        </w:rPr>
        <w:t>Ot</w:t>
      </w:r>
      <w:r w:rsidR="003604A5" w:rsidRPr="00303DC0">
        <w:rPr>
          <w:rFonts w:eastAsia="HiddenHorzOCR"/>
          <w:color w:val="000000" w:themeColor="text1"/>
          <w:szCs w:val="24"/>
          <w:u w:val="single"/>
        </w:rPr>
        <w:t xml:space="preserve">her </w:t>
      </w:r>
      <w:r w:rsidR="008F30F4" w:rsidRPr="00303DC0">
        <w:rPr>
          <w:rFonts w:eastAsia="HiddenHorzOCR"/>
          <w:color w:val="000000" w:themeColor="text1"/>
          <w:szCs w:val="24"/>
          <w:u w:val="single"/>
        </w:rPr>
        <w:t>PEB</w:t>
      </w:r>
      <w:r w:rsidR="00C7435A" w:rsidRPr="00303DC0">
        <w:rPr>
          <w:rFonts w:eastAsia="HiddenHorzOCR"/>
          <w:color w:val="000000" w:themeColor="text1"/>
          <w:szCs w:val="24"/>
          <w:u w:val="single"/>
        </w:rPr>
        <w:t>/Contended</w:t>
      </w:r>
      <w:r w:rsidR="008F30F4" w:rsidRPr="00303DC0">
        <w:rPr>
          <w:rFonts w:eastAsia="HiddenHorzOCR"/>
          <w:color w:val="000000" w:themeColor="text1"/>
          <w:szCs w:val="24"/>
          <w:u w:val="single"/>
        </w:rPr>
        <w:t xml:space="preserve"> </w:t>
      </w:r>
      <w:r w:rsidR="003604A5" w:rsidRPr="00303DC0">
        <w:rPr>
          <w:rFonts w:eastAsia="HiddenHorzOCR"/>
          <w:color w:val="000000" w:themeColor="text1"/>
          <w:szCs w:val="24"/>
          <w:u w:val="single"/>
        </w:rPr>
        <w:t>Conditions</w:t>
      </w:r>
      <w:r w:rsidR="003604A5" w:rsidRPr="00303DC0">
        <w:rPr>
          <w:rFonts w:eastAsia="HiddenHorzOCR"/>
          <w:color w:val="000000" w:themeColor="text1"/>
          <w:szCs w:val="24"/>
        </w:rPr>
        <w:t>.</w:t>
      </w:r>
      <w:r w:rsidR="002F2981" w:rsidRPr="00303DC0">
        <w:rPr>
          <w:rFonts w:eastAsia="HiddenHorzOCR"/>
          <w:color w:val="000000" w:themeColor="text1"/>
          <w:szCs w:val="24"/>
        </w:rPr>
        <w:t xml:space="preserve"> </w:t>
      </w:r>
      <w:r w:rsidR="003C5B54" w:rsidRPr="00303DC0">
        <w:rPr>
          <w:rFonts w:eastAsia="HiddenHorzOCR"/>
          <w:color w:val="000000" w:themeColor="text1"/>
          <w:szCs w:val="24"/>
        </w:rPr>
        <w:t xml:space="preserve"> </w:t>
      </w:r>
      <w:r w:rsidR="008C3223" w:rsidRPr="00303DC0">
        <w:rPr>
          <w:color w:val="000000" w:themeColor="text1"/>
          <w:szCs w:val="24"/>
        </w:rPr>
        <w:t>The other condition forwarded by the MEB and adjudicated as not</w:t>
      </w:r>
      <w:r w:rsidR="00D55AE9" w:rsidRPr="00303DC0">
        <w:rPr>
          <w:color w:val="000000" w:themeColor="text1"/>
          <w:szCs w:val="24"/>
        </w:rPr>
        <w:t xml:space="preserve"> </w:t>
      </w:r>
      <w:r w:rsidR="008C3223" w:rsidRPr="00303DC0">
        <w:rPr>
          <w:color w:val="000000" w:themeColor="text1"/>
          <w:szCs w:val="24"/>
        </w:rPr>
        <w:t>unfitting by the PEB w</w:t>
      </w:r>
      <w:r w:rsidR="00D55AE9" w:rsidRPr="00303DC0">
        <w:rPr>
          <w:color w:val="000000" w:themeColor="text1"/>
          <w:szCs w:val="24"/>
        </w:rPr>
        <w:t>as</w:t>
      </w:r>
      <w:r w:rsidR="008C3223" w:rsidRPr="00303DC0">
        <w:rPr>
          <w:color w:val="000000" w:themeColor="text1"/>
          <w:szCs w:val="24"/>
        </w:rPr>
        <w:t xml:space="preserve"> </w:t>
      </w:r>
      <w:r w:rsidR="002C691A">
        <w:rPr>
          <w:color w:val="000000" w:themeColor="text1"/>
          <w:szCs w:val="24"/>
        </w:rPr>
        <w:t>a</w:t>
      </w:r>
      <w:r w:rsidR="00D55AE9" w:rsidRPr="00303DC0">
        <w:rPr>
          <w:color w:val="000000" w:themeColor="text1"/>
          <w:szCs w:val="24"/>
        </w:rPr>
        <w:t xml:space="preserve">nxiety </w:t>
      </w:r>
      <w:r w:rsidR="002C691A">
        <w:rPr>
          <w:color w:val="000000" w:themeColor="text1"/>
          <w:szCs w:val="24"/>
        </w:rPr>
        <w:t>d</w:t>
      </w:r>
      <w:r w:rsidR="00D55AE9" w:rsidRPr="00303DC0">
        <w:rPr>
          <w:color w:val="000000" w:themeColor="text1"/>
          <w:szCs w:val="24"/>
        </w:rPr>
        <w:t xml:space="preserve">isorder </w:t>
      </w:r>
      <w:r w:rsidR="002C691A">
        <w:rPr>
          <w:color w:val="000000" w:themeColor="text1"/>
          <w:szCs w:val="24"/>
        </w:rPr>
        <w:t>NOS</w:t>
      </w:r>
      <w:r w:rsidR="00CA6F53" w:rsidRPr="00303DC0">
        <w:rPr>
          <w:color w:val="000000" w:themeColor="text1"/>
          <w:szCs w:val="24"/>
        </w:rPr>
        <w:t xml:space="preserve">. </w:t>
      </w:r>
      <w:r w:rsidR="00F67BB7">
        <w:rPr>
          <w:color w:val="000000" w:themeColor="text1"/>
          <w:szCs w:val="24"/>
        </w:rPr>
        <w:t xml:space="preserve"> </w:t>
      </w:r>
      <w:r w:rsidR="00C7435A" w:rsidRPr="00303DC0">
        <w:rPr>
          <w:color w:val="000000" w:themeColor="text1"/>
          <w:szCs w:val="24"/>
        </w:rPr>
        <w:t>The CI also contends that PTSD should be rated.</w:t>
      </w:r>
      <w:r w:rsidR="00E60510">
        <w:rPr>
          <w:color w:val="000000" w:themeColor="text1"/>
          <w:szCs w:val="24"/>
        </w:rPr>
        <w:t xml:space="preserve"> </w:t>
      </w:r>
      <w:r w:rsidR="00C7435A" w:rsidRPr="00303DC0">
        <w:rPr>
          <w:color w:val="000000" w:themeColor="text1"/>
          <w:szCs w:val="24"/>
        </w:rPr>
        <w:t xml:space="preserve"> An MEB Psychiatric Addendum completed </w:t>
      </w:r>
      <w:r w:rsidR="00E60510">
        <w:rPr>
          <w:color w:val="000000" w:themeColor="text1"/>
          <w:szCs w:val="24"/>
        </w:rPr>
        <w:t xml:space="preserve">17 December </w:t>
      </w:r>
      <w:r w:rsidR="00C7435A" w:rsidRPr="00303DC0">
        <w:rPr>
          <w:color w:val="000000" w:themeColor="text1"/>
          <w:szCs w:val="24"/>
        </w:rPr>
        <w:t xml:space="preserve">2007 noted a diagnosis of anxiety disorder NOS in the setting of mild PTSD, currently in remission. </w:t>
      </w:r>
      <w:r w:rsidR="00D86636">
        <w:rPr>
          <w:color w:val="000000" w:themeColor="text1"/>
          <w:szCs w:val="24"/>
        </w:rPr>
        <w:t xml:space="preserve"> </w:t>
      </w:r>
      <w:r w:rsidR="00AE48DA" w:rsidRPr="00303DC0">
        <w:rPr>
          <w:color w:val="000000" w:themeColor="text1"/>
          <w:szCs w:val="24"/>
        </w:rPr>
        <w:t xml:space="preserve">The CI had completed treatment and appeared to be free of any occupational impairment. </w:t>
      </w:r>
      <w:r w:rsidR="00D86636">
        <w:rPr>
          <w:color w:val="000000" w:themeColor="text1"/>
          <w:szCs w:val="24"/>
        </w:rPr>
        <w:t xml:space="preserve"> </w:t>
      </w:r>
      <w:r w:rsidR="00AE48DA" w:rsidRPr="00303DC0">
        <w:rPr>
          <w:color w:val="000000" w:themeColor="text1"/>
          <w:szCs w:val="24"/>
        </w:rPr>
        <w:t xml:space="preserve">His GAF was noted to be 85 on this addendum and 80 to 85 on a VA C&amp;P examination completed </w:t>
      </w:r>
      <w:r w:rsidR="00E60510">
        <w:rPr>
          <w:color w:val="000000" w:themeColor="text1"/>
          <w:szCs w:val="24"/>
        </w:rPr>
        <w:t xml:space="preserve">13 September </w:t>
      </w:r>
      <w:r w:rsidR="00AE48DA" w:rsidRPr="00303DC0">
        <w:rPr>
          <w:color w:val="000000" w:themeColor="text1"/>
          <w:szCs w:val="24"/>
        </w:rPr>
        <w:t xml:space="preserve">2007. </w:t>
      </w:r>
      <w:r w:rsidR="00D86636">
        <w:rPr>
          <w:color w:val="000000" w:themeColor="text1"/>
          <w:szCs w:val="24"/>
        </w:rPr>
        <w:t xml:space="preserve"> </w:t>
      </w:r>
      <w:r w:rsidR="00AE48DA" w:rsidRPr="00303DC0">
        <w:rPr>
          <w:color w:val="000000" w:themeColor="text1"/>
          <w:szCs w:val="24"/>
        </w:rPr>
        <w:t>Neither anxiety disorder nor PTSD condition was profiled, implicated in the commander’s statement, or noted as failing retention standards.</w:t>
      </w:r>
      <w:r w:rsidR="00D86636">
        <w:rPr>
          <w:color w:val="000000" w:themeColor="text1"/>
          <w:szCs w:val="24"/>
        </w:rPr>
        <w:t xml:space="preserve"> </w:t>
      </w:r>
      <w:r w:rsidR="00AE48DA" w:rsidRPr="00303DC0">
        <w:rPr>
          <w:color w:val="000000" w:themeColor="text1"/>
          <w:szCs w:val="24"/>
        </w:rPr>
        <w:t xml:space="preserve"> In fact the commander’s letter emphasized how well the CI was able to work and complete all assigned tasks with minimal supervision. </w:t>
      </w:r>
      <w:r w:rsidR="00D86636">
        <w:rPr>
          <w:color w:val="000000" w:themeColor="text1"/>
          <w:szCs w:val="24"/>
        </w:rPr>
        <w:t xml:space="preserve"> </w:t>
      </w:r>
      <w:r w:rsidR="00AE48DA" w:rsidRPr="00303DC0">
        <w:rPr>
          <w:color w:val="000000" w:themeColor="text1"/>
          <w:szCs w:val="24"/>
        </w:rPr>
        <w:t xml:space="preserve">As noted in a subsequent VA C&amp;P examination completed in May 2009, more than </w:t>
      </w:r>
      <w:r w:rsidR="00E60510">
        <w:rPr>
          <w:color w:val="000000" w:themeColor="text1"/>
          <w:szCs w:val="24"/>
        </w:rPr>
        <w:t>a</w:t>
      </w:r>
      <w:r w:rsidR="00AE48DA" w:rsidRPr="00303DC0">
        <w:rPr>
          <w:color w:val="000000" w:themeColor="text1"/>
          <w:szCs w:val="24"/>
        </w:rPr>
        <w:t xml:space="preserve"> year after separation from service, the CI’s condition had deteriorated. </w:t>
      </w:r>
      <w:r w:rsidR="00D86636">
        <w:rPr>
          <w:color w:val="000000" w:themeColor="text1"/>
          <w:szCs w:val="24"/>
        </w:rPr>
        <w:t xml:space="preserve"> </w:t>
      </w:r>
      <w:r w:rsidR="00AE48DA" w:rsidRPr="00303DC0">
        <w:rPr>
          <w:color w:val="000000" w:themeColor="text1"/>
          <w:szCs w:val="24"/>
        </w:rPr>
        <w:t xml:space="preserve">He was having frequent symptoms and was in current treatment for PTSD with a GAF of 58. </w:t>
      </w:r>
      <w:r w:rsidR="00D86636">
        <w:rPr>
          <w:color w:val="000000" w:themeColor="text1"/>
          <w:szCs w:val="24"/>
        </w:rPr>
        <w:t xml:space="preserve"> </w:t>
      </w:r>
      <w:r w:rsidR="00AE48DA" w:rsidRPr="00303DC0">
        <w:rPr>
          <w:color w:val="000000" w:themeColor="text1"/>
          <w:szCs w:val="24"/>
        </w:rPr>
        <w:t>However, the Board must base it fitness determinations on the level of functional impairment present at the time of separation.</w:t>
      </w:r>
      <w:r w:rsidR="00D86636">
        <w:rPr>
          <w:color w:val="000000" w:themeColor="text1"/>
          <w:szCs w:val="24"/>
        </w:rPr>
        <w:t xml:space="preserve"> </w:t>
      </w:r>
      <w:r w:rsidR="00AE48DA" w:rsidRPr="00303DC0">
        <w:rPr>
          <w:color w:val="000000" w:themeColor="text1"/>
          <w:szCs w:val="24"/>
        </w:rPr>
        <w:t xml:space="preserve"> </w:t>
      </w:r>
      <w:r w:rsidR="00C7435A" w:rsidRPr="00303DC0">
        <w:rPr>
          <w:color w:val="000000" w:themeColor="text1"/>
          <w:szCs w:val="24"/>
        </w:rPr>
        <w:t xml:space="preserve">The Board’s threshold for countering DES fitness determinations is higher than the </w:t>
      </w:r>
      <w:r w:rsidR="00C7435A" w:rsidRPr="00303DC0">
        <w:rPr>
          <w:color w:val="000000" w:themeColor="text1"/>
          <w:szCs w:val="24"/>
        </w:rPr>
        <w:lastRenderedPageBreak/>
        <w:t xml:space="preserve">VASRD §4.3 (reasonable doubt) standard used for its rating recommendations, but remains adherent to the DoDI 6040.44 “fair and equitable” standard. </w:t>
      </w:r>
      <w:r w:rsidR="00D86636">
        <w:rPr>
          <w:color w:val="000000" w:themeColor="text1"/>
          <w:szCs w:val="24"/>
        </w:rPr>
        <w:t xml:space="preserve"> </w:t>
      </w:r>
      <w:r w:rsidR="00C7435A" w:rsidRPr="00303DC0">
        <w:rPr>
          <w:color w:val="000000" w:themeColor="text1"/>
          <w:szCs w:val="24"/>
        </w:rPr>
        <w:t>After due deliberation, and in consideration of the totality of the evidence, the Board cannot find adequate justification for recommending any mental health condition as additionally unfitting for separation rating.</w:t>
      </w:r>
    </w:p>
    <w:p w:rsidR="00F1737C" w:rsidRDefault="00F1737C" w:rsidP="00185851">
      <w:pPr>
        <w:jc w:val="both"/>
        <w:rPr>
          <w:color w:val="000000" w:themeColor="text1"/>
        </w:rPr>
      </w:pPr>
    </w:p>
    <w:p w:rsidR="00E60510" w:rsidRDefault="00E60510" w:rsidP="00185851">
      <w:pPr>
        <w:jc w:val="both"/>
        <w:rPr>
          <w:color w:val="000000" w:themeColor="text1"/>
        </w:rPr>
      </w:pPr>
    </w:p>
    <w:p w:rsidR="00E60510" w:rsidRPr="001F29F9" w:rsidRDefault="00E60510" w:rsidP="00185851">
      <w:pPr>
        <w:jc w:val="both"/>
        <w:rPr>
          <w:color w:val="000000" w:themeColor="text1"/>
          <w:szCs w:val="24"/>
        </w:rPr>
      </w:pPr>
    </w:p>
    <w:p w:rsidR="00D86636" w:rsidRDefault="00D86636" w:rsidP="00147D2D">
      <w:pPr>
        <w:jc w:val="both"/>
        <w:rPr>
          <w:color w:val="000000" w:themeColor="text1"/>
          <w:szCs w:val="24"/>
          <w:u w:val="single"/>
        </w:rPr>
      </w:pPr>
    </w:p>
    <w:p w:rsidR="00E60510" w:rsidRDefault="00E60510" w:rsidP="00147D2D">
      <w:pPr>
        <w:jc w:val="both"/>
        <w:rPr>
          <w:color w:val="000000" w:themeColor="text1"/>
          <w:szCs w:val="24"/>
          <w:u w:val="single"/>
        </w:rPr>
      </w:pPr>
    </w:p>
    <w:p w:rsidR="00147D2D" w:rsidRPr="004A7C03" w:rsidRDefault="00C56FC8" w:rsidP="00147D2D">
      <w:pPr>
        <w:jc w:val="both"/>
        <w:rPr>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w:t>
      </w:r>
      <w:r w:rsidRPr="00303DC0">
        <w:rPr>
          <w:rFonts w:eastAsiaTheme="minorHAnsi"/>
          <w:color w:val="000000" w:themeColor="text1"/>
          <w:szCs w:val="24"/>
        </w:rPr>
        <w:t>inconsistent with the VASRD in effect at the time of the adjudication.</w:t>
      </w:r>
      <w:r w:rsidR="00147D2D" w:rsidRPr="00303DC0">
        <w:rPr>
          <w:rFonts w:eastAsiaTheme="minorHAnsi"/>
          <w:color w:val="000000" w:themeColor="text1"/>
          <w:szCs w:val="24"/>
        </w:rPr>
        <w:t xml:space="preserve"> </w:t>
      </w:r>
      <w:r w:rsidR="00D86636">
        <w:rPr>
          <w:rFonts w:eastAsiaTheme="minorHAnsi"/>
          <w:color w:val="000000" w:themeColor="text1"/>
          <w:szCs w:val="24"/>
        </w:rPr>
        <w:t xml:space="preserve"> </w:t>
      </w:r>
      <w:r w:rsidR="00147D2D" w:rsidRPr="00303DC0">
        <w:rPr>
          <w:color w:val="000000" w:themeColor="text1"/>
          <w:szCs w:val="24"/>
        </w:rPr>
        <w:t xml:space="preserve">In the matter of the </w:t>
      </w:r>
      <w:r w:rsidR="00E60510">
        <w:rPr>
          <w:color w:val="000000" w:themeColor="text1"/>
          <w:szCs w:val="24"/>
        </w:rPr>
        <w:t>r</w:t>
      </w:r>
      <w:r w:rsidR="00147D2D" w:rsidRPr="00303DC0">
        <w:rPr>
          <w:color w:val="000000" w:themeColor="text1"/>
          <w:szCs w:val="24"/>
        </w:rPr>
        <w:t xml:space="preserve">ight L4-5 </w:t>
      </w:r>
      <w:r w:rsidR="00E60510">
        <w:rPr>
          <w:color w:val="000000" w:themeColor="text1"/>
          <w:szCs w:val="24"/>
        </w:rPr>
        <w:t>s</w:t>
      </w:r>
      <w:r w:rsidR="00147D2D" w:rsidRPr="00303DC0">
        <w:rPr>
          <w:color w:val="000000" w:themeColor="text1"/>
          <w:szCs w:val="24"/>
        </w:rPr>
        <w:t xml:space="preserve">ensory </w:t>
      </w:r>
      <w:r w:rsidR="00E60510">
        <w:rPr>
          <w:color w:val="000000" w:themeColor="text1"/>
          <w:szCs w:val="24"/>
        </w:rPr>
        <w:t>d</w:t>
      </w:r>
      <w:r w:rsidR="00147D2D" w:rsidRPr="00303DC0">
        <w:rPr>
          <w:color w:val="000000" w:themeColor="text1"/>
          <w:szCs w:val="24"/>
        </w:rPr>
        <w:t xml:space="preserve">eficit and </w:t>
      </w:r>
      <w:r w:rsidR="00E60510">
        <w:rPr>
          <w:color w:val="000000" w:themeColor="text1"/>
          <w:szCs w:val="24"/>
        </w:rPr>
        <w:t>r</w:t>
      </w:r>
      <w:r w:rsidR="00147D2D" w:rsidRPr="00303DC0">
        <w:rPr>
          <w:color w:val="000000" w:themeColor="text1"/>
          <w:szCs w:val="24"/>
        </w:rPr>
        <w:t>adiculopathy condition and IAW VASRD §4.71a, the Board unanimously recommends no change in the PEB adjudication at separation or permanently.</w:t>
      </w:r>
      <w:r w:rsidR="002529E5">
        <w:rPr>
          <w:color w:val="000000" w:themeColor="text1"/>
          <w:szCs w:val="24"/>
        </w:rPr>
        <w:t xml:space="preserve"> </w:t>
      </w:r>
      <w:r w:rsidR="00D86636">
        <w:rPr>
          <w:color w:val="000000" w:themeColor="text1"/>
          <w:szCs w:val="24"/>
        </w:rPr>
        <w:t xml:space="preserve"> </w:t>
      </w:r>
      <w:r w:rsidR="00147D2D" w:rsidRPr="00303DC0">
        <w:rPr>
          <w:color w:val="auto"/>
          <w:szCs w:val="24"/>
        </w:rPr>
        <w:t xml:space="preserve">In the matter of the </w:t>
      </w:r>
      <w:r w:rsidR="00E60510">
        <w:rPr>
          <w:color w:val="000000" w:themeColor="text1"/>
          <w:szCs w:val="24"/>
        </w:rPr>
        <w:t>l</w:t>
      </w:r>
      <w:r w:rsidR="00147D2D" w:rsidRPr="00303DC0">
        <w:rPr>
          <w:color w:val="000000" w:themeColor="text1"/>
          <w:szCs w:val="24"/>
        </w:rPr>
        <w:t xml:space="preserve">umbar </w:t>
      </w:r>
      <w:r w:rsidR="00E60510">
        <w:rPr>
          <w:color w:val="000000" w:themeColor="text1"/>
          <w:szCs w:val="24"/>
        </w:rPr>
        <w:t>DDD</w:t>
      </w:r>
      <w:r w:rsidR="00147D2D" w:rsidRPr="00303DC0">
        <w:rPr>
          <w:color w:val="auto"/>
          <w:szCs w:val="24"/>
        </w:rPr>
        <w:t xml:space="preserve"> condition, the Board unanimously recommends a permanent service disability rating of 10%, coded 5243 IAW VASRD §4.71a and §4.59.</w:t>
      </w:r>
      <w:r w:rsidR="002529E5">
        <w:rPr>
          <w:color w:val="auto"/>
          <w:szCs w:val="24"/>
        </w:rPr>
        <w:t xml:space="preserve"> </w:t>
      </w:r>
      <w:r w:rsidR="00D86636">
        <w:rPr>
          <w:color w:val="auto"/>
          <w:szCs w:val="24"/>
        </w:rPr>
        <w:t xml:space="preserve"> </w:t>
      </w:r>
      <w:r w:rsidR="00147D2D" w:rsidRPr="00303DC0">
        <w:rPr>
          <w:color w:val="auto"/>
          <w:szCs w:val="24"/>
        </w:rPr>
        <w:t xml:space="preserve">In the matter of </w:t>
      </w:r>
      <w:r w:rsidR="000B47C9" w:rsidRPr="00303DC0">
        <w:rPr>
          <w:color w:val="auto"/>
          <w:szCs w:val="24"/>
        </w:rPr>
        <w:t xml:space="preserve">PTSD or </w:t>
      </w:r>
      <w:r w:rsidR="00E60510">
        <w:rPr>
          <w:color w:val="auto"/>
          <w:szCs w:val="24"/>
        </w:rPr>
        <w:t>a</w:t>
      </w:r>
      <w:r w:rsidR="00147D2D" w:rsidRPr="00303DC0">
        <w:rPr>
          <w:color w:val="auto"/>
          <w:szCs w:val="24"/>
        </w:rPr>
        <w:t xml:space="preserve">nxiety </w:t>
      </w:r>
      <w:r w:rsidR="00E60510">
        <w:rPr>
          <w:color w:val="auto"/>
          <w:szCs w:val="24"/>
        </w:rPr>
        <w:t>d</w:t>
      </w:r>
      <w:r w:rsidR="00147D2D" w:rsidRPr="00303DC0">
        <w:rPr>
          <w:color w:val="auto"/>
          <w:szCs w:val="24"/>
        </w:rPr>
        <w:t>isorder NOS, the Board unanimously agrees that it cannot recommend a finding of unfit for additional rating at separation.</w:t>
      </w:r>
    </w:p>
    <w:p w:rsidR="00F1737C" w:rsidRPr="001F29F9" w:rsidRDefault="00F1737C" w:rsidP="00185851">
      <w:pPr>
        <w:pBdr>
          <w:bottom w:val="single" w:sz="12" w:space="1" w:color="auto"/>
        </w:pBdr>
        <w:tabs>
          <w:tab w:val="left" w:pos="288"/>
          <w:tab w:val="left" w:pos="4752"/>
        </w:tabs>
        <w:jc w:val="both"/>
        <w:rPr>
          <w:color w:val="000000" w:themeColor="text1"/>
        </w:rPr>
      </w:pPr>
    </w:p>
    <w:p w:rsidR="00A558EF" w:rsidRPr="001F29F9" w:rsidRDefault="00A558EF" w:rsidP="00185851">
      <w:pPr>
        <w:jc w:val="both"/>
        <w:rPr>
          <w:color w:val="000000" w:themeColor="text1"/>
          <w:szCs w:val="24"/>
        </w:rPr>
      </w:pPr>
    </w:p>
    <w:p w:rsidR="00C56FC8" w:rsidRPr="001F29F9" w:rsidRDefault="00C56FC8" w:rsidP="00185851">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CA6F53">
        <w:rPr>
          <w:color w:val="000000" w:themeColor="text1"/>
          <w:szCs w:val="24"/>
        </w:rPr>
        <w:t xml:space="preserve">  </w:t>
      </w: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185851">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516B40" w:rsidTr="0080588E">
        <w:trPr>
          <w:trHeight w:val="233"/>
          <w:jc w:val="center"/>
        </w:trPr>
        <w:tc>
          <w:tcPr>
            <w:tcW w:w="6282" w:type="dxa"/>
            <w:shd w:val="clear" w:color="auto" w:fill="D9D9D9"/>
            <w:vAlign w:val="center"/>
          </w:tcPr>
          <w:p w:rsidR="00A95BBA" w:rsidRPr="00516B40" w:rsidRDefault="00A95BBA" w:rsidP="00BF0E94">
            <w:pPr>
              <w:tabs>
                <w:tab w:val="left" w:pos="288"/>
                <w:tab w:val="left" w:pos="4752"/>
              </w:tabs>
              <w:rPr>
                <w:b/>
                <w:color w:val="000000" w:themeColor="text1"/>
                <w:szCs w:val="24"/>
              </w:rPr>
            </w:pPr>
            <w:r w:rsidRPr="00516B40">
              <w:rPr>
                <w:b/>
                <w:color w:val="000000" w:themeColor="text1"/>
                <w:szCs w:val="24"/>
              </w:rPr>
              <w:t>UNFITTING CONDITION</w:t>
            </w:r>
          </w:p>
        </w:tc>
        <w:tc>
          <w:tcPr>
            <w:tcW w:w="1710" w:type="dxa"/>
            <w:shd w:val="clear" w:color="auto" w:fill="D9D9D9"/>
            <w:vAlign w:val="center"/>
          </w:tcPr>
          <w:p w:rsidR="00A95BBA" w:rsidRPr="00516B40" w:rsidRDefault="00A95BBA" w:rsidP="00BF0E94">
            <w:pPr>
              <w:tabs>
                <w:tab w:val="left" w:pos="288"/>
                <w:tab w:val="left" w:pos="4752"/>
              </w:tabs>
              <w:rPr>
                <w:b/>
                <w:color w:val="000000" w:themeColor="text1"/>
                <w:szCs w:val="24"/>
              </w:rPr>
            </w:pPr>
            <w:r w:rsidRPr="00516B40">
              <w:rPr>
                <w:b/>
                <w:color w:val="000000" w:themeColor="text1"/>
                <w:szCs w:val="24"/>
              </w:rPr>
              <w:t>VASRD CODE</w:t>
            </w:r>
          </w:p>
        </w:tc>
        <w:tc>
          <w:tcPr>
            <w:tcW w:w="1170" w:type="dxa"/>
            <w:shd w:val="clear" w:color="auto" w:fill="D9D9D9"/>
            <w:vAlign w:val="center"/>
          </w:tcPr>
          <w:p w:rsidR="00A95BBA" w:rsidRPr="00516B40" w:rsidRDefault="00A95BBA" w:rsidP="00BF0E94">
            <w:pPr>
              <w:tabs>
                <w:tab w:val="left" w:pos="288"/>
                <w:tab w:val="left" w:pos="4752"/>
              </w:tabs>
              <w:rPr>
                <w:b/>
                <w:color w:val="000000" w:themeColor="text1"/>
                <w:szCs w:val="24"/>
              </w:rPr>
            </w:pPr>
            <w:r w:rsidRPr="00516B40">
              <w:rPr>
                <w:b/>
                <w:color w:val="000000" w:themeColor="text1"/>
                <w:szCs w:val="24"/>
              </w:rPr>
              <w:t>RATING</w:t>
            </w:r>
          </w:p>
        </w:tc>
      </w:tr>
      <w:tr w:rsidR="00516B40" w:rsidRPr="00516B40" w:rsidTr="00516B40">
        <w:trPr>
          <w:trHeight w:val="233"/>
          <w:jc w:val="center"/>
        </w:trPr>
        <w:tc>
          <w:tcPr>
            <w:tcW w:w="6282" w:type="dxa"/>
            <w:shd w:val="clear" w:color="auto" w:fill="auto"/>
            <w:vAlign w:val="center"/>
          </w:tcPr>
          <w:p w:rsidR="00516B40" w:rsidRPr="00516B40" w:rsidRDefault="00516B40" w:rsidP="00516B40">
            <w:pPr>
              <w:tabs>
                <w:tab w:val="left" w:pos="288"/>
                <w:tab w:val="left" w:pos="4752"/>
              </w:tabs>
              <w:jc w:val="left"/>
              <w:rPr>
                <w:color w:val="000000" w:themeColor="text1"/>
                <w:szCs w:val="24"/>
              </w:rPr>
            </w:pPr>
            <w:r w:rsidRPr="00516B40">
              <w:rPr>
                <w:color w:val="000000" w:themeColor="text1"/>
                <w:szCs w:val="24"/>
              </w:rPr>
              <w:t>Right L4-5 Sensory Deficit and Radiculopathy</w:t>
            </w:r>
          </w:p>
        </w:tc>
        <w:tc>
          <w:tcPr>
            <w:tcW w:w="1710" w:type="dxa"/>
            <w:shd w:val="clear" w:color="auto" w:fill="auto"/>
            <w:vAlign w:val="center"/>
          </w:tcPr>
          <w:p w:rsidR="00516B40" w:rsidRPr="00516B40" w:rsidRDefault="00516B40" w:rsidP="00BF0E94">
            <w:pPr>
              <w:tabs>
                <w:tab w:val="left" w:pos="288"/>
                <w:tab w:val="left" w:pos="4752"/>
              </w:tabs>
              <w:rPr>
                <w:color w:val="000000" w:themeColor="text1"/>
                <w:szCs w:val="24"/>
              </w:rPr>
            </w:pPr>
            <w:r>
              <w:rPr>
                <w:color w:val="000000" w:themeColor="text1"/>
                <w:szCs w:val="24"/>
              </w:rPr>
              <w:t>8520</w:t>
            </w:r>
          </w:p>
        </w:tc>
        <w:tc>
          <w:tcPr>
            <w:tcW w:w="1170" w:type="dxa"/>
            <w:shd w:val="clear" w:color="auto" w:fill="auto"/>
            <w:vAlign w:val="center"/>
          </w:tcPr>
          <w:p w:rsidR="00516B40" w:rsidRPr="00516B40" w:rsidRDefault="00516B40" w:rsidP="00516B40">
            <w:pPr>
              <w:tabs>
                <w:tab w:val="left" w:pos="288"/>
                <w:tab w:val="left" w:pos="4752"/>
              </w:tabs>
              <w:rPr>
                <w:color w:val="000000" w:themeColor="text1"/>
                <w:szCs w:val="24"/>
              </w:rPr>
            </w:pPr>
            <w:r>
              <w:rPr>
                <w:color w:val="000000" w:themeColor="text1"/>
                <w:szCs w:val="24"/>
              </w:rPr>
              <w:t>10%</w:t>
            </w:r>
          </w:p>
        </w:tc>
      </w:tr>
      <w:tr w:rsidR="00516B40" w:rsidRPr="00516B40" w:rsidTr="00516B40">
        <w:trPr>
          <w:trHeight w:val="233"/>
          <w:jc w:val="center"/>
        </w:trPr>
        <w:tc>
          <w:tcPr>
            <w:tcW w:w="6282" w:type="dxa"/>
            <w:shd w:val="clear" w:color="auto" w:fill="auto"/>
            <w:vAlign w:val="center"/>
          </w:tcPr>
          <w:p w:rsidR="00516B40" w:rsidRPr="00516B40" w:rsidRDefault="00516B40" w:rsidP="00516B40">
            <w:pPr>
              <w:tabs>
                <w:tab w:val="left" w:pos="288"/>
                <w:tab w:val="left" w:pos="4752"/>
              </w:tabs>
              <w:jc w:val="left"/>
              <w:rPr>
                <w:color w:val="000000" w:themeColor="text1"/>
                <w:szCs w:val="24"/>
              </w:rPr>
            </w:pPr>
            <w:r w:rsidRPr="00516B40">
              <w:rPr>
                <w:color w:val="000000" w:themeColor="text1"/>
                <w:szCs w:val="24"/>
              </w:rPr>
              <w:t>Lumbar Degenerative Disc Disease</w:t>
            </w:r>
          </w:p>
        </w:tc>
        <w:tc>
          <w:tcPr>
            <w:tcW w:w="1710" w:type="dxa"/>
            <w:shd w:val="clear" w:color="auto" w:fill="auto"/>
            <w:vAlign w:val="center"/>
          </w:tcPr>
          <w:p w:rsidR="00516B40" w:rsidRPr="00516B40" w:rsidRDefault="00516B40" w:rsidP="00414492">
            <w:pPr>
              <w:tabs>
                <w:tab w:val="left" w:pos="288"/>
                <w:tab w:val="left" w:pos="4752"/>
              </w:tabs>
              <w:rPr>
                <w:color w:val="000000" w:themeColor="text1"/>
                <w:szCs w:val="24"/>
              </w:rPr>
            </w:pPr>
            <w:r>
              <w:rPr>
                <w:color w:val="000000" w:themeColor="text1"/>
                <w:szCs w:val="24"/>
              </w:rPr>
              <w:t>524</w:t>
            </w:r>
            <w:r w:rsidR="00414492">
              <w:rPr>
                <w:color w:val="000000" w:themeColor="text1"/>
                <w:szCs w:val="24"/>
              </w:rPr>
              <w:t>3</w:t>
            </w:r>
          </w:p>
        </w:tc>
        <w:tc>
          <w:tcPr>
            <w:tcW w:w="1170" w:type="dxa"/>
            <w:shd w:val="clear" w:color="auto" w:fill="auto"/>
            <w:vAlign w:val="center"/>
          </w:tcPr>
          <w:p w:rsidR="00516B40" w:rsidRPr="00516B40" w:rsidRDefault="00516B40" w:rsidP="00BF0E94">
            <w:pPr>
              <w:tabs>
                <w:tab w:val="left" w:pos="288"/>
                <w:tab w:val="left" w:pos="4752"/>
              </w:tabs>
              <w:rPr>
                <w:color w:val="000000" w:themeColor="text1"/>
                <w:szCs w:val="24"/>
              </w:rPr>
            </w:pPr>
            <w:r>
              <w:rPr>
                <w:color w:val="000000" w:themeColor="text1"/>
                <w:szCs w:val="24"/>
              </w:rPr>
              <w:t>10%</w:t>
            </w:r>
          </w:p>
        </w:tc>
      </w:tr>
      <w:tr w:rsidR="00A95BBA" w:rsidRPr="00516B40"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16B40" w:rsidRDefault="00A95BBA" w:rsidP="00BF0E94">
            <w:pPr>
              <w:tabs>
                <w:tab w:val="left" w:pos="288"/>
                <w:tab w:val="left" w:pos="4752"/>
              </w:tabs>
              <w:rPr>
                <w:b/>
                <w:color w:val="000000" w:themeColor="text1"/>
                <w:szCs w:val="24"/>
              </w:rPr>
            </w:pPr>
            <w:r w:rsidRPr="00516B40">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516B40" w:rsidRDefault="00516B40" w:rsidP="00BF0E94">
            <w:pPr>
              <w:tabs>
                <w:tab w:val="left" w:pos="288"/>
                <w:tab w:val="left" w:pos="4752"/>
              </w:tabs>
              <w:rPr>
                <w:b/>
                <w:color w:val="000000" w:themeColor="text1"/>
                <w:szCs w:val="24"/>
              </w:rPr>
            </w:pPr>
            <w:r w:rsidRPr="00516B40">
              <w:rPr>
                <w:b/>
                <w:color w:val="000000" w:themeColor="text1"/>
                <w:szCs w:val="24"/>
              </w:rPr>
              <w:t>2</w:t>
            </w:r>
            <w:r w:rsidR="00A95BBA" w:rsidRPr="00516B40">
              <w:rPr>
                <w:b/>
                <w:color w:val="000000" w:themeColor="text1"/>
                <w:szCs w:val="24"/>
              </w:rPr>
              <w:t>0%</w:t>
            </w:r>
          </w:p>
        </w:tc>
      </w:tr>
    </w:tbl>
    <w:p w:rsidR="005B1D09" w:rsidRPr="00516B40" w:rsidRDefault="005B1D09" w:rsidP="00185851">
      <w:pPr>
        <w:pBdr>
          <w:bottom w:val="single" w:sz="12" w:space="1" w:color="auto"/>
        </w:pBdr>
        <w:tabs>
          <w:tab w:val="left" w:pos="288"/>
          <w:tab w:val="left" w:pos="4752"/>
        </w:tabs>
        <w:jc w:val="both"/>
        <w:rPr>
          <w:color w:val="000000" w:themeColor="text1"/>
          <w:szCs w:val="24"/>
        </w:rPr>
      </w:pPr>
    </w:p>
    <w:p w:rsidR="005B1D09" w:rsidRPr="00516B40" w:rsidRDefault="005B1D09" w:rsidP="00185851">
      <w:pPr>
        <w:jc w:val="both"/>
        <w:rPr>
          <w:color w:val="000000" w:themeColor="text1"/>
          <w:szCs w:val="24"/>
        </w:rPr>
      </w:pPr>
    </w:p>
    <w:p w:rsidR="00D91DA6" w:rsidRPr="00516B40" w:rsidRDefault="00FB1725" w:rsidP="00185851">
      <w:pPr>
        <w:tabs>
          <w:tab w:val="left" w:pos="288"/>
          <w:tab w:val="left" w:pos="4752"/>
        </w:tabs>
        <w:jc w:val="both"/>
        <w:rPr>
          <w:color w:val="000000" w:themeColor="text1"/>
          <w:szCs w:val="24"/>
        </w:rPr>
      </w:pPr>
      <w:r w:rsidRPr="00516B40">
        <w:rPr>
          <w:color w:val="000000" w:themeColor="text1"/>
          <w:szCs w:val="24"/>
        </w:rPr>
        <w:t>The following documentary evidence was considered:</w:t>
      </w:r>
    </w:p>
    <w:p w:rsidR="00EB5EFD" w:rsidRPr="00516B40" w:rsidRDefault="00EB5EFD" w:rsidP="00185851">
      <w:pPr>
        <w:tabs>
          <w:tab w:val="left" w:pos="288"/>
          <w:tab w:val="left" w:pos="4752"/>
        </w:tabs>
        <w:jc w:val="both"/>
        <w:rPr>
          <w:color w:val="000000" w:themeColor="text1"/>
          <w:szCs w:val="24"/>
        </w:rPr>
      </w:pPr>
    </w:p>
    <w:p w:rsidR="00114F20" w:rsidRPr="00516B40" w:rsidRDefault="00FB1725" w:rsidP="00185851">
      <w:pPr>
        <w:tabs>
          <w:tab w:val="left" w:pos="288"/>
          <w:tab w:val="left" w:pos="4752"/>
        </w:tabs>
        <w:jc w:val="both"/>
        <w:rPr>
          <w:color w:val="000000" w:themeColor="text1"/>
          <w:szCs w:val="24"/>
        </w:rPr>
      </w:pPr>
      <w:r w:rsidRPr="00516B40">
        <w:rPr>
          <w:color w:val="000000" w:themeColor="text1"/>
          <w:szCs w:val="24"/>
        </w:rPr>
        <w:t>Exhibit A.  DD Form 294, dated 20</w:t>
      </w:r>
      <w:r w:rsidR="001215DF" w:rsidRPr="00516B40">
        <w:rPr>
          <w:color w:val="000000" w:themeColor="text1"/>
          <w:szCs w:val="24"/>
        </w:rPr>
        <w:t>1</w:t>
      </w:r>
      <w:r w:rsidR="00847786" w:rsidRPr="00516B40">
        <w:rPr>
          <w:color w:val="000000" w:themeColor="text1"/>
          <w:szCs w:val="24"/>
        </w:rPr>
        <w:t>11109</w:t>
      </w:r>
      <w:r w:rsidR="00E60510">
        <w:rPr>
          <w:color w:val="000000" w:themeColor="text1"/>
          <w:szCs w:val="24"/>
        </w:rPr>
        <w:t>, w/atchs</w:t>
      </w:r>
    </w:p>
    <w:p w:rsidR="00114F20" w:rsidRPr="00516B40" w:rsidRDefault="00FB1725" w:rsidP="00185851">
      <w:pPr>
        <w:tabs>
          <w:tab w:val="left" w:pos="288"/>
          <w:tab w:val="left" w:pos="4752"/>
        </w:tabs>
        <w:jc w:val="both"/>
        <w:rPr>
          <w:color w:val="000000" w:themeColor="text1"/>
          <w:szCs w:val="24"/>
        </w:rPr>
      </w:pPr>
      <w:r w:rsidRPr="00516B40">
        <w:rPr>
          <w:color w:val="000000" w:themeColor="text1"/>
          <w:szCs w:val="24"/>
        </w:rPr>
        <w:t>Exhib</w:t>
      </w:r>
      <w:r w:rsidR="00E60510">
        <w:rPr>
          <w:color w:val="000000" w:themeColor="text1"/>
          <w:szCs w:val="24"/>
        </w:rPr>
        <w:t>it B.  Service Treatment Record</w:t>
      </w:r>
    </w:p>
    <w:p w:rsidR="00114F20" w:rsidRPr="00516B40" w:rsidRDefault="00FB1725" w:rsidP="00185851">
      <w:pPr>
        <w:tabs>
          <w:tab w:val="left" w:pos="288"/>
          <w:tab w:val="left" w:pos="4752"/>
        </w:tabs>
        <w:jc w:val="both"/>
        <w:rPr>
          <w:color w:val="000000" w:themeColor="text1"/>
          <w:szCs w:val="24"/>
        </w:rPr>
      </w:pPr>
      <w:r w:rsidRPr="00516B40">
        <w:rPr>
          <w:color w:val="000000" w:themeColor="text1"/>
          <w:szCs w:val="24"/>
        </w:rPr>
        <w:t>Exhibit C.  Department of Veterans</w:t>
      </w:r>
      <w:r w:rsidR="00E60510">
        <w:rPr>
          <w:color w:val="000000" w:themeColor="text1"/>
          <w:szCs w:val="24"/>
        </w:rPr>
        <w:t>’</w:t>
      </w:r>
      <w:r w:rsidRPr="00516B40">
        <w:rPr>
          <w:color w:val="000000" w:themeColor="text1"/>
          <w:szCs w:val="24"/>
        </w:rPr>
        <w:t xml:space="preserve"> Affairs </w:t>
      </w:r>
      <w:r w:rsidR="00E60510">
        <w:rPr>
          <w:color w:val="000000" w:themeColor="text1"/>
          <w:szCs w:val="24"/>
        </w:rPr>
        <w:t>Treatment Record</w:t>
      </w:r>
    </w:p>
    <w:p w:rsidR="00D91DA6" w:rsidRPr="00516B40" w:rsidRDefault="00D91DA6" w:rsidP="00185851">
      <w:pPr>
        <w:tabs>
          <w:tab w:val="left" w:pos="288"/>
          <w:tab w:val="left" w:pos="4752"/>
        </w:tabs>
        <w:jc w:val="both"/>
        <w:rPr>
          <w:color w:val="000000" w:themeColor="text1"/>
          <w:szCs w:val="24"/>
        </w:rPr>
      </w:pPr>
    </w:p>
    <w:p w:rsidR="00114F20" w:rsidRPr="00516B40" w:rsidRDefault="00114F20" w:rsidP="00185851">
      <w:pPr>
        <w:tabs>
          <w:tab w:val="left" w:pos="288"/>
          <w:tab w:val="left" w:pos="4752"/>
        </w:tabs>
        <w:jc w:val="both"/>
        <w:rPr>
          <w:color w:val="000000" w:themeColor="text1"/>
          <w:szCs w:val="24"/>
        </w:rPr>
      </w:pPr>
    </w:p>
    <w:p w:rsidR="00114F20" w:rsidRPr="00516B40" w:rsidRDefault="00114F20" w:rsidP="00185851">
      <w:pPr>
        <w:tabs>
          <w:tab w:val="left" w:pos="288"/>
          <w:tab w:val="left" w:pos="4752"/>
        </w:tabs>
        <w:jc w:val="both"/>
        <w:rPr>
          <w:color w:val="000000" w:themeColor="text1"/>
          <w:szCs w:val="24"/>
        </w:rPr>
      </w:pPr>
    </w:p>
    <w:p w:rsidR="00114F20" w:rsidRPr="00516B40" w:rsidRDefault="00114F20" w:rsidP="00185851">
      <w:pPr>
        <w:tabs>
          <w:tab w:val="left" w:pos="288"/>
          <w:tab w:val="left" w:pos="4752"/>
        </w:tabs>
        <w:jc w:val="both"/>
        <w:rPr>
          <w:color w:val="000000" w:themeColor="text1"/>
          <w:szCs w:val="24"/>
        </w:rPr>
      </w:pPr>
    </w:p>
    <w:p w:rsidR="00E3077F" w:rsidRPr="00516B40" w:rsidRDefault="00220FA9" w:rsidP="00185851">
      <w:pPr>
        <w:tabs>
          <w:tab w:val="left" w:pos="0"/>
          <w:tab w:val="left" w:pos="4320"/>
        </w:tabs>
        <w:jc w:val="both"/>
        <w:rPr>
          <w:color w:val="000000" w:themeColor="text1"/>
          <w:szCs w:val="24"/>
        </w:rPr>
      </w:pPr>
      <w:r w:rsidRPr="00516B40">
        <w:rPr>
          <w:color w:val="000000" w:themeColor="text1"/>
          <w:szCs w:val="24"/>
        </w:rPr>
        <w:tab/>
      </w:r>
      <w:r w:rsidR="008E3C90" w:rsidRPr="00516B40">
        <w:rPr>
          <w:color w:val="000000" w:themeColor="text1"/>
          <w:szCs w:val="24"/>
        </w:rPr>
        <w:t xml:space="preserve">           </w:t>
      </w:r>
      <w:r w:rsidR="00DD2A58">
        <w:rPr>
          <w:color w:val="000000" w:themeColor="text1"/>
          <w:szCs w:val="24"/>
        </w:rPr>
        <w:t>XXXXXXXXXXXXX</w:t>
      </w:r>
    </w:p>
    <w:p w:rsidR="002F195B" w:rsidRPr="00516B40" w:rsidRDefault="00220FA9" w:rsidP="00185851">
      <w:pPr>
        <w:tabs>
          <w:tab w:val="left" w:pos="0"/>
          <w:tab w:val="left" w:pos="4320"/>
        </w:tabs>
        <w:jc w:val="both"/>
        <w:rPr>
          <w:color w:val="000000" w:themeColor="text1"/>
          <w:szCs w:val="24"/>
        </w:rPr>
      </w:pPr>
      <w:r w:rsidRPr="00516B40">
        <w:rPr>
          <w:color w:val="000000" w:themeColor="text1"/>
          <w:szCs w:val="24"/>
        </w:rPr>
        <w:tab/>
      </w:r>
      <w:r w:rsidR="008E3C90" w:rsidRPr="00516B40">
        <w:rPr>
          <w:color w:val="000000" w:themeColor="text1"/>
          <w:szCs w:val="24"/>
        </w:rPr>
        <w:t xml:space="preserve">           </w:t>
      </w:r>
      <w:r w:rsidR="005F73CA" w:rsidRPr="00516B40">
        <w:rPr>
          <w:color w:val="000000" w:themeColor="text1"/>
          <w:szCs w:val="24"/>
        </w:rPr>
        <w:t>President</w:t>
      </w:r>
    </w:p>
    <w:p w:rsidR="00DD2A58" w:rsidRDefault="002F195B" w:rsidP="00185851">
      <w:pPr>
        <w:tabs>
          <w:tab w:val="left" w:pos="0"/>
          <w:tab w:val="left" w:pos="4320"/>
        </w:tabs>
        <w:jc w:val="both"/>
        <w:rPr>
          <w:color w:val="000000" w:themeColor="text1"/>
          <w:szCs w:val="24"/>
        </w:rPr>
      </w:pPr>
      <w:r w:rsidRPr="00516B40">
        <w:rPr>
          <w:color w:val="000000" w:themeColor="text1"/>
          <w:szCs w:val="24"/>
        </w:rPr>
        <w:tab/>
        <w:t xml:space="preserve">           </w:t>
      </w:r>
      <w:r w:rsidR="00220FA9" w:rsidRPr="00516B40">
        <w:rPr>
          <w:color w:val="000000" w:themeColor="text1"/>
          <w:szCs w:val="24"/>
        </w:rPr>
        <w:t>P</w:t>
      </w:r>
      <w:r w:rsidR="00E3077F" w:rsidRPr="00516B40">
        <w:rPr>
          <w:color w:val="000000" w:themeColor="text1"/>
          <w:szCs w:val="24"/>
        </w:rPr>
        <w:t>hysical Disability Board of Review</w:t>
      </w:r>
    </w:p>
    <w:p w:rsidR="00DD2A58" w:rsidRDefault="00DD2A58">
      <w:pPr>
        <w:rPr>
          <w:color w:val="000000" w:themeColor="text1"/>
          <w:szCs w:val="24"/>
        </w:rPr>
      </w:pPr>
      <w:r>
        <w:rPr>
          <w:color w:val="000000" w:themeColor="text1"/>
          <w:szCs w:val="24"/>
        </w:rPr>
        <w:br w:type="page"/>
      </w:r>
    </w:p>
    <w:p w:rsidR="00DD2A58" w:rsidRDefault="00DD2A58" w:rsidP="00DD2A58">
      <w:pPr>
        <w:sectPr w:rsidR="00DD2A58">
          <w:pgSz w:w="12240" w:h="15840"/>
          <w:pgMar w:top="2160" w:right="1440" w:bottom="1440" w:left="1440" w:header="720" w:footer="720" w:gutter="0"/>
          <w:cols w:space="720"/>
        </w:sectPr>
      </w:pPr>
    </w:p>
    <w:p w:rsidR="00DD2A58" w:rsidRDefault="00DD2A58" w:rsidP="00DD2A58">
      <w:pPr>
        <w:pStyle w:val="Header"/>
        <w:tabs>
          <w:tab w:val="left" w:pos="720"/>
        </w:tabs>
        <w:jc w:val="left"/>
      </w:pPr>
      <w:r>
        <w:lastRenderedPageBreak/>
        <w:t>SFMR-RB</w:t>
      </w:r>
      <w:r>
        <w:tab/>
      </w:r>
      <w:r>
        <w:tab/>
      </w:r>
      <w:r>
        <w:tab/>
      </w:r>
      <w:r>
        <w:tab/>
      </w:r>
      <w:r>
        <w:tab/>
      </w:r>
      <w:r>
        <w:tab/>
      </w:r>
      <w:r>
        <w:tab/>
      </w:r>
      <w:r>
        <w:tab/>
      </w:r>
      <w:r>
        <w:tab/>
      </w:r>
    </w:p>
    <w:p w:rsidR="00DD2A58" w:rsidRDefault="00DD2A58" w:rsidP="00DD2A58">
      <w:pPr>
        <w:pStyle w:val="Header"/>
        <w:tabs>
          <w:tab w:val="left" w:pos="720"/>
        </w:tabs>
        <w:jc w:val="left"/>
      </w:pPr>
    </w:p>
    <w:p w:rsidR="00DD2A58" w:rsidRDefault="00DD2A58" w:rsidP="00DD2A58">
      <w:pPr>
        <w:jc w:val="left"/>
      </w:pPr>
    </w:p>
    <w:p w:rsidR="00DD2A58" w:rsidRDefault="00DD2A58" w:rsidP="00DD2A58">
      <w:pPr>
        <w:jc w:val="left"/>
      </w:pPr>
      <w:r>
        <w:t xml:space="preserve">MEMORANDUM FOR Commander, US Army Physical Disability Agency </w:t>
      </w:r>
    </w:p>
    <w:p w:rsidR="00DD2A58" w:rsidRDefault="00DD2A58" w:rsidP="00DD2A58">
      <w:pPr>
        <w:jc w:val="left"/>
      </w:pPr>
      <w:r>
        <w:t xml:space="preserve">(TAPD-ZB </w:t>
      </w:r>
      <w:proofErr w:type="gramStart"/>
      <w:r>
        <w:t>/  )</w:t>
      </w:r>
      <w:proofErr w:type="gramEnd"/>
      <w:r>
        <w:t>, 2900 Crystal Drive, Suite 300, Arlington, VA  22202</w:t>
      </w:r>
    </w:p>
    <w:p w:rsidR="00DD2A58" w:rsidRDefault="00DD2A58" w:rsidP="00DD2A58">
      <w:pPr>
        <w:jc w:val="left"/>
      </w:pPr>
    </w:p>
    <w:p w:rsidR="00DD2A58" w:rsidRDefault="00DD2A58" w:rsidP="00DD2A58">
      <w:pPr>
        <w:ind w:right="-180"/>
        <w:jc w:val="left"/>
      </w:pPr>
      <w:r>
        <w:t xml:space="preserve">SUBJECT:  Department of Defense Physical Disability Board of Review Recommendation </w:t>
      </w:r>
    </w:p>
    <w:p w:rsidR="00DD2A58" w:rsidRDefault="00DD2A58" w:rsidP="00DD2A58">
      <w:pPr>
        <w:pStyle w:val="Header"/>
        <w:tabs>
          <w:tab w:val="left" w:pos="720"/>
        </w:tabs>
        <w:jc w:val="left"/>
      </w:pPr>
      <w:proofErr w:type="gramStart"/>
      <w:r>
        <w:t>for</w:t>
      </w:r>
      <w:proofErr w:type="gramEnd"/>
      <w:r>
        <w:t xml:space="preserve"> XXXXXXXXXXXX, AR20120009213 (PD201101062)</w:t>
      </w:r>
    </w:p>
    <w:p w:rsidR="00DD2A58" w:rsidRDefault="00DD2A58" w:rsidP="00DD2A58">
      <w:pPr>
        <w:pStyle w:val="Header"/>
        <w:tabs>
          <w:tab w:val="left" w:pos="720"/>
        </w:tabs>
        <w:jc w:val="left"/>
      </w:pPr>
    </w:p>
    <w:p w:rsidR="00DD2A58" w:rsidRDefault="00DD2A58" w:rsidP="00DD2A58">
      <w:pPr>
        <w:jc w:val="left"/>
      </w:pPr>
    </w:p>
    <w:p w:rsidR="00DD2A58" w:rsidRDefault="00DD2A58" w:rsidP="00DD2A5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DD2A58" w:rsidRDefault="00DD2A58" w:rsidP="00DD2A58">
      <w:pPr>
        <w:jc w:val="left"/>
      </w:pPr>
    </w:p>
    <w:p w:rsidR="00DD2A58" w:rsidRDefault="00DD2A58" w:rsidP="00DD2A58">
      <w:pPr>
        <w:jc w:val="left"/>
      </w:pPr>
      <w:r>
        <w:t xml:space="preserve">2.  I direct that all the Department of the Army records of the individual concerned be corrected accordingly no later than 120 days from the date of this memorandum.   </w:t>
      </w:r>
    </w:p>
    <w:p w:rsidR="00DD2A58" w:rsidRDefault="00DD2A58" w:rsidP="00DD2A58">
      <w:pPr>
        <w:jc w:val="left"/>
      </w:pPr>
    </w:p>
    <w:p w:rsidR="00DD2A58" w:rsidRDefault="00DD2A58" w:rsidP="00DD2A5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D2A58" w:rsidRDefault="00DD2A58" w:rsidP="00DD2A58">
      <w:pPr>
        <w:jc w:val="left"/>
      </w:pPr>
    </w:p>
    <w:p w:rsidR="00DD2A58" w:rsidRDefault="00DD2A58" w:rsidP="00DD2A58">
      <w:pPr>
        <w:jc w:val="left"/>
      </w:pPr>
      <w:r>
        <w:t xml:space="preserve"> BY ORDER OF THE SECRETARY OF THE ARMY:</w:t>
      </w:r>
    </w:p>
    <w:p w:rsidR="00DD2A58" w:rsidRDefault="00DD2A58" w:rsidP="00DD2A58">
      <w:pPr>
        <w:jc w:val="left"/>
      </w:pPr>
    </w:p>
    <w:p w:rsidR="00DD2A58" w:rsidRDefault="00DD2A58" w:rsidP="00DD2A58">
      <w:pPr>
        <w:jc w:val="left"/>
      </w:pPr>
    </w:p>
    <w:p w:rsidR="00DD2A58" w:rsidRDefault="00DD2A58" w:rsidP="00DD2A58">
      <w:pPr>
        <w:pStyle w:val="Header"/>
        <w:tabs>
          <w:tab w:val="left" w:pos="720"/>
        </w:tabs>
        <w:jc w:val="left"/>
      </w:pPr>
    </w:p>
    <w:p w:rsidR="00DD2A58" w:rsidRDefault="00DD2A58" w:rsidP="00DD2A58">
      <w:pPr>
        <w:jc w:val="left"/>
      </w:pPr>
    </w:p>
    <w:p w:rsidR="00DD2A58" w:rsidRDefault="00DD2A58" w:rsidP="00DD2A58">
      <w:pPr>
        <w:jc w:val="left"/>
      </w:pPr>
      <w:bookmarkStart w:id="0" w:name="OLE_LINK4"/>
      <w:bookmarkStart w:id="1" w:name="OLE_LINK3"/>
      <w:r>
        <w:t>Encl</w:t>
      </w:r>
      <w:r>
        <w:tab/>
      </w:r>
      <w:r>
        <w:tab/>
      </w:r>
      <w:r>
        <w:tab/>
      </w:r>
      <w:r>
        <w:tab/>
      </w:r>
      <w:r>
        <w:tab/>
      </w:r>
      <w:r>
        <w:tab/>
        <w:t xml:space="preserve">     XXXXXXXXXX</w:t>
      </w:r>
    </w:p>
    <w:p w:rsidR="00DD2A58" w:rsidRDefault="00DD2A58" w:rsidP="00DD2A58">
      <w:pPr>
        <w:jc w:val="left"/>
      </w:pPr>
      <w:r>
        <w:tab/>
      </w:r>
      <w:r>
        <w:tab/>
      </w:r>
      <w:r>
        <w:tab/>
      </w:r>
      <w:r>
        <w:tab/>
      </w:r>
      <w:r>
        <w:tab/>
      </w:r>
      <w:r>
        <w:tab/>
        <w:t xml:space="preserve">     Deputy Assistant Secretary</w:t>
      </w:r>
    </w:p>
    <w:p w:rsidR="00DD2A58" w:rsidRDefault="00DD2A58" w:rsidP="00DD2A58">
      <w:pPr>
        <w:jc w:val="left"/>
      </w:pPr>
      <w:r>
        <w:tab/>
      </w:r>
      <w:r>
        <w:tab/>
      </w:r>
      <w:r>
        <w:tab/>
      </w:r>
      <w:r>
        <w:tab/>
      </w:r>
      <w:r>
        <w:tab/>
      </w:r>
      <w:r>
        <w:tab/>
        <w:t xml:space="preserve">         (Army Review Boards)</w:t>
      </w:r>
      <w:bookmarkEnd w:id="0"/>
      <w:bookmarkEnd w:id="1"/>
    </w:p>
    <w:p w:rsidR="00DD2A58" w:rsidRDefault="00DD2A58" w:rsidP="00DD2A58">
      <w:pPr>
        <w:jc w:val="left"/>
      </w:pPr>
    </w:p>
    <w:p w:rsidR="00DD2A58" w:rsidRDefault="00DD2A58" w:rsidP="00DD2A58">
      <w:pPr>
        <w:jc w:val="left"/>
      </w:pPr>
      <w:r>
        <w:t xml:space="preserve">CF: </w:t>
      </w:r>
    </w:p>
    <w:p w:rsidR="00DD2A58" w:rsidRDefault="00DD2A58" w:rsidP="00DD2A58">
      <w:pPr>
        <w:jc w:val="left"/>
      </w:pPr>
      <w:r>
        <w:t xml:space="preserve">(  ) </w:t>
      </w:r>
      <w:proofErr w:type="spellStart"/>
      <w:proofErr w:type="gramStart"/>
      <w:r>
        <w:t>DoD</w:t>
      </w:r>
      <w:proofErr w:type="spellEnd"/>
      <w:proofErr w:type="gramEnd"/>
      <w:r>
        <w:t xml:space="preserve"> PDBR</w:t>
      </w:r>
    </w:p>
    <w:p w:rsidR="00DD2A58" w:rsidRDefault="00DD2A58" w:rsidP="00DD2A58">
      <w:pPr>
        <w:jc w:val="left"/>
      </w:pPr>
      <w:r>
        <w:t>(  ) DVA</w:t>
      </w:r>
    </w:p>
    <w:p w:rsidR="008E3C90" w:rsidRPr="00516B40" w:rsidRDefault="008E3C90" w:rsidP="00DD2A58">
      <w:pPr>
        <w:tabs>
          <w:tab w:val="left" w:pos="0"/>
          <w:tab w:val="left" w:pos="4320"/>
        </w:tabs>
        <w:jc w:val="left"/>
        <w:rPr>
          <w:color w:val="000000" w:themeColor="text1"/>
          <w:szCs w:val="24"/>
        </w:rPr>
      </w:pPr>
    </w:p>
    <w:sectPr w:rsidR="008E3C90" w:rsidRPr="00516B4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07" w:rsidRDefault="00357A07">
      <w:r>
        <w:separator/>
      </w:r>
    </w:p>
  </w:endnote>
  <w:endnote w:type="continuationSeparator" w:id="0">
    <w:p w:rsidR="00357A07" w:rsidRDefault="00357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F0989" w:rsidRPr="00374247" w:rsidRDefault="00FF0989" w:rsidP="00374247">
        <w:pPr>
          <w:pStyle w:val="Footer"/>
          <w:ind w:firstLine="4320"/>
          <w:rPr>
            <w:color w:val="auto"/>
            <w:szCs w:val="24"/>
          </w:rPr>
        </w:pPr>
        <w:r w:rsidRPr="00374247">
          <w:rPr>
            <w:color w:val="auto"/>
            <w:szCs w:val="24"/>
          </w:rPr>
          <w:t xml:space="preserve">   </w:t>
        </w:r>
        <w:r w:rsidR="002D3F15" w:rsidRPr="00374247">
          <w:rPr>
            <w:color w:val="auto"/>
            <w:szCs w:val="24"/>
          </w:rPr>
          <w:fldChar w:fldCharType="begin"/>
        </w:r>
        <w:r w:rsidRPr="00374247">
          <w:rPr>
            <w:color w:val="auto"/>
            <w:szCs w:val="24"/>
          </w:rPr>
          <w:instrText xml:space="preserve"> PAGE   \* MERGEFORMAT </w:instrText>
        </w:r>
        <w:r w:rsidR="002D3F15" w:rsidRPr="00374247">
          <w:rPr>
            <w:color w:val="auto"/>
            <w:szCs w:val="24"/>
          </w:rPr>
          <w:fldChar w:fldCharType="separate"/>
        </w:r>
        <w:r w:rsidR="00DD2A58" w:rsidRPr="00DD2A58">
          <w:rPr>
            <w:noProof/>
            <w:color w:val="auto"/>
          </w:rPr>
          <w:t>6</w:t>
        </w:r>
        <w:r w:rsidR="002D3F15" w:rsidRPr="00374247">
          <w:rPr>
            <w:color w:val="auto"/>
            <w:szCs w:val="24"/>
          </w:rPr>
          <w:fldChar w:fldCharType="end"/>
        </w:r>
        <w:r w:rsidRPr="00374247">
          <w:rPr>
            <w:color w:val="auto"/>
            <w:szCs w:val="24"/>
          </w:rPr>
          <w:t xml:space="preserve">                                                           </w:t>
        </w:r>
        <w:r w:rsidRPr="001D64F3">
          <w:rPr>
            <w:color w:val="auto"/>
            <w:szCs w:val="24"/>
          </w:rPr>
          <w:t>PD</w:t>
        </w:r>
        <w:r w:rsidRPr="00D55AE9">
          <w:rPr>
            <w:color w:val="auto"/>
            <w:szCs w:val="24"/>
          </w:rPr>
          <w:t>11</w:t>
        </w:r>
        <w:r w:rsidRPr="001D64F3">
          <w:rPr>
            <w:color w:val="auto"/>
            <w:szCs w:val="24"/>
          </w:rPr>
          <w:t>0</w:t>
        </w:r>
        <w:r>
          <w:rPr>
            <w:color w:val="auto"/>
            <w:szCs w:val="24"/>
          </w:rPr>
          <w:t>1</w:t>
        </w:r>
        <w:r w:rsidRPr="001D64F3">
          <w:rPr>
            <w:color w:val="auto"/>
            <w:szCs w:val="24"/>
          </w:rPr>
          <w:t>0</w:t>
        </w:r>
        <w:r>
          <w:rPr>
            <w:color w:val="auto"/>
            <w:szCs w:val="24"/>
          </w:rPr>
          <w:t>62</w:t>
        </w:r>
      </w:p>
    </w:sdtContent>
  </w:sdt>
  <w:p w:rsidR="00FF0989" w:rsidRPr="00684CE6" w:rsidRDefault="00FF098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07" w:rsidRDefault="00357A07">
      <w:r>
        <w:separator/>
      </w:r>
    </w:p>
  </w:footnote>
  <w:footnote w:type="continuationSeparator" w:id="0">
    <w:p w:rsidR="00357A07" w:rsidRDefault="00357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B2FAD"/>
    <w:multiLevelType w:val="hybridMultilevel"/>
    <w:tmpl w:val="482C32B2"/>
    <w:lvl w:ilvl="0" w:tplc="47306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3B42D9"/>
    <w:multiLevelType w:val="multilevel"/>
    <w:tmpl w:val="99E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7"/>
  </w:num>
  <w:num w:numId="5">
    <w:abstractNumId w:val="4"/>
  </w:num>
  <w:num w:numId="6">
    <w:abstractNumId w:val="9"/>
  </w:num>
  <w:num w:numId="7">
    <w:abstractNumId w:val="0"/>
  </w:num>
  <w:num w:numId="8">
    <w:abstractNumId w:val="6"/>
  </w:num>
  <w:num w:numId="9">
    <w:abstractNumId w:val="19"/>
  </w:num>
  <w:num w:numId="10">
    <w:abstractNumId w:val="11"/>
  </w:num>
  <w:num w:numId="11">
    <w:abstractNumId w:val="5"/>
  </w:num>
  <w:num w:numId="12">
    <w:abstractNumId w:val="15"/>
  </w:num>
  <w:num w:numId="13">
    <w:abstractNumId w:val="8"/>
  </w:num>
  <w:num w:numId="14">
    <w:abstractNumId w:val="18"/>
  </w:num>
  <w:num w:numId="15">
    <w:abstractNumId w:val="23"/>
  </w:num>
  <w:num w:numId="16">
    <w:abstractNumId w:val="1"/>
  </w:num>
  <w:num w:numId="17">
    <w:abstractNumId w:val="21"/>
  </w:num>
  <w:num w:numId="18">
    <w:abstractNumId w:val="10"/>
  </w:num>
  <w:num w:numId="19">
    <w:abstractNumId w:val="14"/>
  </w:num>
  <w:num w:numId="20">
    <w:abstractNumId w:val="20"/>
  </w:num>
  <w:num w:numId="21">
    <w:abstractNumId w:val="16"/>
  </w:num>
  <w:num w:numId="22">
    <w:abstractNumId w:val="2"/>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5B41"/>
    <w:rsid w:val="00017778"/>
    <w:rsid w:val="00021361"/>
    <w:rsid w:val="00022CF3"/>
    <w:rsid w:val="00023913"/>
    <w:rsid w:val="00023D43"/>
    <w:rsid w:val="00024002"/>
    <w:rsid w:val="00024DE7"/>
    <w:rsid w:val="00026092"/>
    <w:rsid w:val="00026125"/>
    <w:rsid w:val="00030776"/>
    <w:rsid w:val="000327EA"/>
    <w:rsid w:val="00032E07"/>
    <w:rsid w:val="000332CA"/>
    <w:rsid w:val="0003374E"/>
    <w:rsid w:val="000344D8"/>
    <w:rsid w:val="000344E6"/>
    <w:rsid w:val="00035C3A"/>
    <w:rsid w:val="00036B42"/>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1042"/>
    <w:rsid w:val="00072433"/>
    <w:rsid w:val="00072B3E"/>
    <w:rsid w:val="00072C60"/>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2F5"/>
    <w:rsid w:val="000A33C8"/>
    <w:rsid w:val="000A41E3"/>
    <w:rsid w:val="000A4BBA"/>
    <w:rsid w:val="000A5071"/>
    <w:rsid w:val="000B0AD2"/>
    <w:rsid w:val="000B1022"/>
    <w:rsid w:val="000B2FB8"/>
    <w:rsid w:val="000B471C"/>
    <w:rsid w:val="000B47C9"/>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86C"/>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3D72"/>
    <w:rsid w:val="0012453A"/>
    <w:rsid w:val="0012461D"/>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3FDF"/>
    <w:rsid w:val="00145965"/>
    <w:rsid w:val="00147D2D"/>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851"/>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82"/>
    <w:rsid w:val="001B4EC2"/>
    <w:rsid w:val="001B5B59"/>
    <w:rsid w:val="001B60E0"/>
    <w:rsid w:val="001B6831"/>
    <w:rsid w:val="001B755A"/>
    <w:rsid w:val="001B7C8C"/>
    <w:rsid w:val="001C051D"/>
    <w:rsid w:val="001C0688"/>
    <w:rsid w:val="001C16DF"/>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6585"/>
    <w:rsid w:val="001F0297"/>
    <w:rsid w:val="001F29F9"/>
    <w:rsid w:val="001F6E0B"/>
    <w:rsid w:val="00200AA0"/>
    <w:rsid w:val="00202325"/>
    <w:rsid w:val="00202736"/>
    <w:rsid w:val="002027FC"/>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A3B"/>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29E5"/>
    <w:rsid w:val="00252D1A"/>
    <w:rsid w:val="00253EAA"/>
    <w:rsid w:val="00255049"/>
    <w:rsid w:val="002568E8"/>
    <w:rsid w:val="00257538"/>
    <w:rsid w:val="00257AFF"/>
    <w:rsid w:val="00257DE5"/>
    <w:rsid w:val="00260531"/>
    <w:rsid w:val="00260B9A"/>
    <w:rsid w:val="00262EA5"/>
    <w:rsid w:val="0026318D"/>
    <w:rsid w:val="00264148"/>
    <w:rsid w:val="002660AF"/>
    <w:rsid w:val="00266CAC"/>
    <w:rsid w:val="00270864"/>
    <w:rsid w:val="002712F7"/>
    <w:rsid w:val="0027159C"/>
    <w:rsid w:val="002722F2"/>
    <w:rsid w:val="00274549"/>
    <w:rsid w:val="00274E46"/>
    <w:rsid w:val="002752AE"/>
    <w:rsid w:val="00275AFD"/>
    <w:rsid w:val="002769AF"/>
    <w:rsid w:val="00276C86"/>
    <w:rsid w:val="00276FD0"/>
    <w:rsid w:val="00277217"/>
    <w:rsid w:val="002803C6"/>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91A"/>
    <w:rsid w:val="002C6E5B"/>
    <w:rsid w:val="002D08F3"/>
    <w:rsid w:val="002D18B4"/>
    <w:rsid w:val="002D1AC4"/>
    <w:rsid w:val="002D2058"/>
    <w:rsid w:val="002D231A"/>
    <w:rsid w:val="002D3F15"/>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0B7"/>
    <w:rsid w:val="002F6AD8"/>
    <w:rsid w:val="002F7F81"/>
    <w:rsid w:val="00300A36"/>
    <w:rsid w:val="00301B45"/>
    <w:rsid w:val="00303DC0"/>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6C3"/>
    <w:rsid w:val="00341A54"/>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57A07"/>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29"/>
    <w:rsid w:val="00386D43"/>
    <w:rsid w:val="00387095"/>
    <w:rsid w:val="00387E95"/>
    <w:rsid w:val="00390092"/>
    <w:rsid w:val="00390CFA"/>
    <w:rsid w:val="00390E8F"/>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2C78"/>
    <w:rsid w:val="00403BFB"/>
    <w:rsid w:val="00404B45"/>
    <w:rsid w:val="00405BCF"/>
    <w:rsid w:val="004068E0"/>
    <w:rsid w:val="00406CC5"/>
    <w:rsid w:val="00406FCA"/>
    <w:rsid w:val="004074A4"/>
    <w:rsid w:val="004101B2"/>
    <w:rsid w:val="004123D7"/>
    <w:rsid w:val="00412658"/>
    <w:rsid w:val="004129DA"/>
    <w:rsid w:val="00414492"/>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918"/>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516"/>
    <w:rsid w:val="00451F9D"/>
    <w:rsid w:val="00453167"/>
    <w:rsid w:val="0045361D"/>
    <w:rsid w:val="004543BC"/>
    <w:rsid w:val="00454F28"/>
    <w:rsid w:val="0045645D"/>
    <w:rsid w:val="004568DE"/>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0C6"/>
    <w:rsid w:val="00516B40"/>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0A3"/>
    <w:rsid w:val="005701C1"/>
    <w:rsid w:val="005703BF"/>
    <w:rsid w:val="00570754"/>
    <w:rsid w:val="005709F7"/>
    <w:rsid w:val="00570A7D"/>
    <w:rsid w:val="00570EAA"/>
    <w:rsid w:val="005710A9"/>
    <w:rsid w:val="005716B0"/>
    <w:rsid w:val="00571B11"/>
    <w:rsid w:val="00571D1B"/>
    <w:rsid w:val="00571DA3"/>
    <w:rsid w:val="005738F5"/>
    <w:rsid w:val="00573D34"/>
    <w:rsid w:val="00574A1B"/>
    <w:rsid w:val="00575963"/>
    <w:rsid w:val="00575EBE"/>
    <w:rsid w:val="00580147"/>
    <w:rsid w:val="0058039C"/>
    <w:rsid w:val="00580A63"/>
    <w:rsid w:val="00583379"/>
    <w:rsid w:val="0058417C"/>
    <w:rsid w:val="005854F9"/>
    <w:rsid w:val="00585757"/>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5F1B"/>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C56"/>
    <w:rsid w:val="00605AAB"/>
    <w:rsid w:val="00606BEB"/>
    <w:rsid w:val="0061014A"/>
    <w:rsid w:val="00610388"/>
    <w:rsid w:val="0061054B"/>
    <w:rsid w:val="006110FB"/>
    <w:rsid w:val="00612FB0"/>
    <w:rsid w:val="006130BA"/>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22E"/>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687"/>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0EE7"/>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185"/>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425"/>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6D7"/>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5D7"/>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07B"/>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7786"/>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66B26"/>
    <w:rsid w:val="0087107D"/>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AD2"/>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EC5"/>
    <w:rsid w:val="00917182"/>
    <w:rsid w:val="00920251"/>
    <w:rsid w:val="0092079C"/>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197"/>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1CD"/>
    <w:rsid w:val="009935C3"/>
    <w:rsid w:val="0099421F"/>
    <w:rsid w:val="00994FC8"/>
    <w:rsid w:val="009A06F0"/>
    <w:rsid w:val="009A0DE3"/>
    <w:rsid w:val="009A1643"/>
    <w:rsid w:val="009A215A"/>
    <w:rsid w:val="009A26B9"/>
    <w:rsid w:val="009A49D3"/>
    <w:rsid w:val="009A4F1B"/>
    <w:rsid w:val="009A66C5"/>
    <w:rsid w:val="009A66E7"/>
    <w:rsid w:val="009A79BA"/>
    <w:rsid w:val="009B10F9"/>
    <w:rsid w:val="009B14D1"/>
    <w:rsid w:val="009B1534"/>
    <w:rsid w:val="009B304A"/>
    <w:rsid w:val="009B4963"/>
    <w:rsid w:val="009B4A3B"/>
    <w:rsid w:val="009B6023"/>
    <w:rsid w:val="009B69D3"/>
    <w:rsid w:val="009B721E"/>
    <w:rsid w:val="009B7BA7"/>
    <w:rsid w:val="009B7C01"/>
    <w:rsid w:val="009C0748"/>
    <w:rsid w:val="009C0938"/>
    <w:rsid w:val="009C0C22"/>
    <w:rsid w:val="009C15D9"/>
    <w:rsid w:val="009C1694"/>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F020F"/>
    <w:rsid w:val="009F0AF2"/>
    <w:rsid w:val="009F3B63"/>
    <w:rsid w:val="009F43E2"/>
    <w:rsid w:val="009F6292"/>
    <w:rsid w:val="009F7809"/>
    <w:rsid w:val="009F7822"/>
    <w:rsid w:val="009F7AF5"/>
    <w:rsid w:val="00A00613"/>
    <w:rsid w:val="00A006F1"/>
    <w:rsid w:val="00A007A7"/>
    <w:rsid w:val="00A007C2"/>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E11"/>
    <w:rsid w:val="00A47CF1"/>
    <w:rsid w:val="00A50418"/>
    <w:rsid w:val="00A50B17"/>
    <w:rsid w:val="00A52854"/>
    <w:rsid w:val="00A53A9B"/>
    <w:rsid w:val="00A54A47"/>
    <w:rsid w:val="00A558E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2042"/>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C7C"/>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1B17"/>
    <w:rsid w:val="00AE2540"/>
    <w:rsid w:val="00AE2CF4"/>
    <w:rsid w:val="00AE2D29"/>
    <w:rsid w:val="00AE2F15"/>
    <w:rsid w:val="00AE4624"/>
    <w:rsid w:val="00AE48DA"/>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A56"/>
    <w:rsid w:val="00B72076"/>
    <w:rsid w:val="00B72303"/>
    <w:rsid w:val="00B727A9"/>
    <w:rsid w:val="00B72C72"/>
    <w:rsid w:val="00B72ED9"/>
    <w:rsid w:val="00B731E4"/>
    <w:rsid w:val="00B751CE"/>
    <w:rsid w:val="00B75A8B"/>
    <w:rsid w:val="00B75B61"/>
    <w:rsid w:val="00B75B7E"/>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9E7"/>
    <w:rsid w:val="00BA6A9C"/>
    <w:rsid w:val="00BA7F46"/>
    <w:rsid w:val="00BB0388"/>
    <w:rsid w:val="00BB0A0A"/>
    <w:rsid w:val="00BB133C"/>
    <w:rsid w:val="00BB1F04"/>
    <w:rsid w:val="00BB2A47"/>
    <w:rsid w:val="00BB45B5"/>
    <w:rsid w:val="00BB4DDE"/>
    <w:rsid w:val="00BB603F"/>
    <w:rsid w:val="00BB6064"/>
    <w:rsid w:val="00BB6425"/>
    <w:rsid w:val="00BB65CE"/>
    <w:rsid w:val="00BB7012"/>
    <w:rsid w:val="00BB7CFA"/>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8E4"/>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04B9"/>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35A"/>
    <w:rsid w:val="00C74D3A"/>
    <w:rsid w:val="00C75F3D"/>
    <w:rsid w:val="00C80511"/>
    <w:rsid w:val="00C80655"/>
    <w:rsid w:val="00C81937"/>
    <w:rsid w:val="00C826F5"/>
    <w:rsid w:val="00C83740"/>
    <w:rsid w:val="00C84527"/>
    <w:rsid w:val="00C84AD1"/>
    <w:rsid w:val="00C85579"/>
    <w:rsid w:val="00C8590C"/>
    <w:rsid w:val="00C85A51"/>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6F53"/>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3C7E"/>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42D"/>
    <w:rsid w:val="00D05669"/>
    <w:rsid w:val="00D061EB"/>
    <w:rsid w:val="00D06952"/>
    <w:rsid w:val="00D07A72"/>
    <w:rsid w:val="00D10577"/>
    <w:rsid w:val="00D12405"/>
    <w:rsid w:val="00D12A4E"/>
    <w:rsid w:val="00D1323B"/>
    <w:rsid w:val="00D14BAE"/>
    <w:rsid w:val="00D15107"/>
    <w:rsid w:val="00D15196"/>
    <w:rsid w:val="00D1648B"/>
    <w:rsid w:val="00D16819"/>
    <w:rsid w:val="00D17DD9"/>
    <w:rsid w:val="00D20AC0"/>
    <w:rsid w:val="00D226CF"/>
    <w:rsid w:val="00D229E7"/>
    <w:rsid w:val="00D2321B"/>
    <w:rsid w:val="00D23350"/>
    <w:rsid w:val="00D237E7"/>
    <w:rsid w:val="00D23DE4"/>
    <w:rsid w:val="00D25A5C"/>
    <w:rsid w:val="00D26873"/>
    <w:rsid w:val="00D2792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5AE9"/>
    <w:rsid w:val="00D560DC"/>
    <w:rsid w:val="00D56602"/>
    <w:rsid w:val="00D60483"/>
    <w:rsid w:val="00D61ABB"/>
    <w:rsid w:val="00D62D5C"/>
    <w:rsid w:val="00D63577"/>
    <w:rsid w:val="00D67FD7"/>
    <w:rsid w:val="00D704E4"/>
    <w:rsid w:val="00D71653"/>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636"/>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4ED"/>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A58"/>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586"/>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510"/>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BD5"/>
    <w:rsid w:val="00E956DB"/>
    <w:rsid w:val="00E95BDF"/>
    <w:rsid w:val="00E9763D"/>
    <w:rsid w:val="00EA1177"/>
    <w:rsid w:val="00EA118B"/>
    <w:rsid w:val="00EA11B6"/>
    <w:rsid w:val="00EA2181"/>
    <w:rsid w:val="00EA2DD8"/>
    <w:rsid w:val="00EA30FC"/>
    <w:rsid w:val="00EA41D8"/>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5D5"/>
    <w:rsid w:val="00EC58B4"/>
    <w:rsid w:val="00EC5BB2"/>
    <w:rsid w:val="00EC75AF"/>
    <w:rsid w:val="00ED12F0"/>
    <w:rsid w:val="00ED2874"/>
    <w:rsid w:val="00ED290C"/>
    <w:rsid w:val="00ED2A6C"/>
    <w:rsid w:val="00ED3546"/>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8D9"/>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E03"/>
    <w:rsid w:val="00F22A26"/>
    <w:rsid w:val="00F24072"/>
    <w:rsid w:val="00F25D0D"/>
    <w:rsid w:val="00F26432"/>
    <w:rsid w:val="00F3197A"/>
    <w:rsid w:val="00F32139"/>
    <w:rsid w:val="00F33CF0"/>
    <w:rsid w:val="00F33D56"/>
    <w:rsid w:val="00F34E08"/>
    <w:rsid w:val="00F41D91"/>
    <w:rsid w:val="00F41F52"/>
    <w:rsid w:val="00F41FA1"/>
    <w:rsid w:val="00F42363"/>
    <w:rsid w:val="00F427C4"/>
    <w:rsid w:val="00F439DA"/>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BB7"/>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863"/>
    <w:rsid w:val="00FF0989"/>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DD2A5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12941564">
      <w:bodyDiv w:val="1"/>
      <w:marLeft w:val="0"/>
      <w:marRight w:val="0"/>
      <w:marTop w:val="0"/>
      <w:marBottom w:val="0"/>
      <w:divBdr>
        <w:top w:val="none" w:sz="0" w:space="0" w:color="auto"/>
        <w:left w:val="none" w:sz="0" w:space="0" w:color="auto"/>
        <w:bottom w:val="none" w:sz="0" w:space="0" w:color="auto"/>
        <w:right w:val="none" w:sz="0" w:space="0" w:color="auto"/>
      </w:divBdr>
      <w:divsChild>
        <w:div w:id="1363169459">
          <w:marLeft w:val="0"/>
          <w:marRight w:val="0"/>
          <w:marTop w:val="0"/>
          <w:marBottom w:val="0"/>
          <w:divBdr>
            <w:top w:val="none" w:sz="0" w:space="0" w:color="auto"/>
            <w:left w:val="none" w:sz="0" w:space="0" w:color="auto"/>
            <w:bottom w:val="none" w:sz="0" w:space="0" w:color="auto"/>
            <w:right w:val="none" w:sz="0" w:space="0" w:color="auto"/>
          </w:divBdr>
          <w:divsChild>
            <w:div w:id="315497396">
              <w:marLeft w:val="0"/>
              <w:marRight w:val="0"/>
              <w:marTop w:val="0"/>
              <w:marBottom w:val="0"/>
              <w:divBdr>
                <w:top w:val="none" w:sz="0" w:space="0" w:color="auto"/>
                <w:left w:val="none" w:sz="0" w:space="0" w:color="auto"/>
                <w:bottom w:val="none" w:sz="0" w:space="0" w:color="auto"/>
                <w:right w:val="none" w:sz="0" w:space="0" w:color="auto"/>
              </w:divBdr>
              <w:divsChild>
                <w:div w:id="559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2974812">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5325-23A2-421E-B08B-C6C92D66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2782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2012-05-14T14:33:00Z</cp:lastPrinted>
  <dcterms:created xsi:type="dcterms:W3CDTF">2012-05-31T20:07:00Z</dcterms:created>
  <dcterms:modified xsi:type="dcterms:W3CDTF">2012-05-31T20:07:00Z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