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1434A4">
      <w:pPr>
        <w:tabs>
          <w:tab w:val="left" w:pos="6353"/>
          <w:tab w:val="right" w:pos="9360"/>
        </w:tabs>
        <w:jc w:val="both"/>
        <w:rPr>
          <w:caps/>
          <w:color w:val="auto"/>
        </w:rPr>
      </w:pPr>
      <w:r w:rsidRPr="00F64312">
        <w:rPr>
          <w:caps/>
          <w:color w:val="auto"/>
        </w:rPr>
        <w:t>NAME</w:t>
      </w:r>
      <w:r w:rsidRPr="00200AAD">
        <w:rPr>
          <w:caps/>
          <w:color w:val="auto"/>
        </w:rPr>
        <w:t xml:space="preserve">:  </w:t>
      </w:r>
      <w:r w:rsidR="008F3421">
        <w:rPr>
          <w:caps/>
          <w:color w:val="auto"/>
        </w:rPr>
        <w:t xml:space="preserve"> </w:t>
      </w:r>
      <w:r w:rsidR="002B1FA6">
        <w:rPr>
          <w:caps/>
          <w:color w:val="auto"/>
        </w:rPr>
        <w:t xml:space="preserve">  </w:t>
      </w:r>
      <w:r w:rsidR="002B1FA6">
        <w:rPr>
          <w:caps/>
          <w:color w:val="auto"/>
        </w:rPr>
        <w:tab/>
      </w:r>
      <w:r w:rsidRPr="00F64312">
        <w:rPr>
          <w:caps/>
          <w:color w:val="auto"/>
        </w:rPr>
        <w:t>BRANCH OF SERVICE</w:t>
      </w:r>
      <w:r w:rsidRPr="00200AAD">
        <w:rPr>
          <w:caps/>
          <w:color w:val="auto"/>
        </w:rPr>
        <w:t xml:space="preserve">: </w:t>
      </w:r>
      <w:r w:rsidR="0018208F" w:rsidRPr="00200AAD">
        <w:rPr>
          <w:caps/>
          <w:color w:val="auto"/>
        </w:rPr>
        <w:t xml:space="preserve"> </w:t>
      </w:r>
      <w:r w:rsidR="00DF70F4" w:rsidRPr="00200AAD">
        <w:rPr>
          <w:caps/>
          <w:color w:val="auto"/>
        </w:rPr>
        <w:t>NAVY</w:t>
      </w:r>
    </w:p>
    <w:p w:rsidR="0095270D" w:rsidRPr="00F64312" w:rsidRDefault="0095270D" w:rsidP="00DD5558">
      <w:pPr>
        <w:tabs>
          <w:tab w:val="right" w:pos="9360"/>
        </w:tabs>
        <w:jc w:val="both"/>
        <w:rPr>
          <w:color w:val="auto"/>
        </w:rPr>
      </w:pPr>
      <w:r w:rsidRPr="00F64312">
        <w:rPr>
          <w:caps/>
          <w:color w:val="auto"/>
        </w:rPr>
        <w:t xml:space="preserve">CASE NUMBER:  </w:t>
      </w:r>
      <w:r w:rsidRPr="00200AAD">
        <w:rPr>
          <w:caps/>
          <w:color w:val="auto"/>
        </w:rPr>
        <w:t>PD110</w:t>
      </w:r>
      <w:r w:rsidR="00200AAD" w:rsidRPr="00200AAD">
        <w:rPr>
          <w:caps/>
          <w:color w:val="auto"/>
        </w:rPr>
        <w:t>1061</w:t>
      </w:r>
      <w:r w:rsidR="00DD5558">
        <w:rPr>
          <w:color w:val="auto"/>
        </w:rPr>
        <w:tab/>
      </w:r>
      <w:r w:rsidR="0018208F" w:rsidRPr="00F64312">
        <w:rPr>
          <w:color w:val="auto"/>
        </w:rPr>
        <w:t>SE</w:t>
      </w:r>
      <w:r w:rsidRPr="00F64312">
        <w:rPr>
          <w:color w:val="auto"/>
        </w:rPr>
        <w:t>PARATION DATE:  200</w:t>
      </w:r>
      <w:r w:rsidR="00200AAD">
        <w:rPr>
          <w:color w:val="auto"/>
        </w:rPr>
        <w:t>70901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512C3A">
        <w:rPr>
          <w:caps/>
          <w:color w:val="auto"/>
        </w:rPr>
        <w:t>0817</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132068" w:rsidRDefault="00AD2379">
      <w:pPr>
        <w:autoSpaceDE w:val="0"/>
        <w:autoSpaceDN w:val="0"/>
        <w:adjustRightInd w:val="0"/>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2B1FA6">
        <w:rPr>
          <w:color w:val="auto"/>
        </w:rPr>
        <w:t>active duty</w:t>
      </w:r>
      <w:r w:rsidR="00200AAD" w:rsidRPr="002B1FA6">
        <w:rPr>
          <w:color w:val="auto"/>
        </w:rPr>
        <w:t>,</w:t>
      </w:r>
      <w:r w:rsidR="0021565F" w:rsidRPr="002B1FA6">
        <w:rPr>
          <w:color w:val="auto"/>
        </w:rPr>
        <w:t xml:space="preserve"> </w:t>
      </w:r>
      <w:r w:rsidR="00200AAD" w:rsidRPr="002B1FA6">
        <w:rPr>
          <w:color w:val="auto"/>
        </w:rPr>
        <w:t>LT</w:t>
      </w:r>
      <w:r w:rsidR="0017172C" w:rsidRPr="002B1FA6">
        <w:rPr>
          <w:color w:val="auto"/>
        </w:rPr>
        <w:t>/</w:t>
      </w:r>
      <w:r w:rsidR="00200AAD" w:rsidRPr="002B1FA6">
        <w:rPr>
          <w:color w:val="auto"/>
        </w:rPr>
        <w:t>0-3</w:t>
      </w:r>
      <w:r w:rsidR="00270306" w:rsidRPr="00972712">
        <w:rPr>
          <w:color w:val="auto"/>
        </w:rPr>
        <w:t>, Designation 1200</w:t>
      </w:r>
      <w:r w:rsidR="00972712" w:rsidRPr="00972712">
        <w:rPr>
          <w:color w:val="auto"/>
        </w:rPr>
        <w:t xml:space="preserve">, </w:t>
      </w:r>
      <w:r w:rsidR="003F6E1E">
        <w:rPr>
          <w:color w:val="auto"/>
        </w:rPr>
        <w:t>H</w:t>
      </w:r>
      <w:r w:rsidR="00972712">
        <w:rPr>
          <w:color w:val="auto"/>
        </w:rPr>
        <w:t xml:space="preserve">uman </w:t>
      </w:r>
      <w:r w:rsidR="003F6E1E">
        <w:rPr>
          <w:color w:val="auto"/>
        </w:rPr>
        <w:t>R</w:t>
      </w:r>
      <w:r w:rsidR="00972712">
        <w:rPr>
          <w:color w:val="auto"/>
        </w:rPr>
        <w:t xml:space="preserve">esource </w:t>
      </w:r>
      <w:r w:rsidR="003F6E1E">
        <w:rPr>
          <w:color w:val="auto"/>
        </w:rPr>
        <w:t>O</w:t>
      </w:r>
      <w:r w:rsidR="00972712">
        <w:rPr>
          <w:color w:val="auto"/>
        </w:rPr>
        <w:t>fficer</w:t>
      </w:r>
      <w:r w:rsidR="00565636" w:rsidRPr="00F64312">
        <w:rPr>
          <w:color w:val="auto"/>
        </w:rPr>
        <w:t>,</w:t>
      </w:r>
      <w:r w:rsidR="00A70270" w:rsidRPr="00F64312">
        <w:rPr>
          <w:color w:val="auto"/>
        </w:rPr>
        <w:t xml:space="preserve"> </w:t>
      </w:r>
      <w:r w:rsidR="00200AAD">
        <w:rPr>
          <w:color w:val="auto"/>
        </w:rPr>
        <w:t xml:space="preserve">medically separated for </w:t>
      </w:r>
      <w:r w:rsidR="00A31C91">
        <w:rPr>
          <w:color w:val="auto"/>
          <w:szCs w:val="24"/>
        </w:rPr>
        <w:t>r</w:t>
      </w:r>
      <w:r w:rsidR="00200AAD">
        <w:rPr>
          <w:color w:val="auto"/>
          <w:szCs w:val="24"/>
        </w:rPr>
        <w:t xml:space="preserve">ight </w:t>
      </w:r>
      <w:r w:rsidR="00A31C91">
        <w:rPr>
          <w:color w:val="auto"/>
          <w:szCs w:val="24"/>
        </w:rPr>
        <w:t>k</w:t>
      </w:r>
      <w:r w:rsidR="00200AAD">
        <w:rPr>
          <w:color w:val="auto"/>
          <w:szCs w:val="24"/>
        </w:rPr>
        <w:t xml:space="preserve">nee </w:t>
      </w:r>
      <w:r w:rsidR="00CC0A59">
        <w:rPr>
          <w:color w:val="auto"/>
          <w:szCs w:val="24"/>
        </w:rPr>
        <w:t>pain</w:t>
      </w:r>
      <w:r w:rsidR="00A31C91">
        <w:rPr>
          <w:color w:val="auto"/>
          <w:szCs w:val="24"/>
        </w:rPr>
        <w:t xml:space="preserve">. </w:t>
      </w:r>
      <w:r w:rsidR="006D5E1E" w:rsidRPr="00F64312">
        <w:rPr>
          <w:color w:val="auto"/>
          <w:szCs w:val="24"/>
        </w:rPr>
        <w:t xml:space="preserve"> </w:t>
      </w:r>
      <w:r w:rsidR="00CC0A59" w:rsidRPr="00CC0A59">
        <w:rPr>
          <w:color w:val="auto"/>
        </w:rPr>
        <w:t xml:space="preserve">The CI had a history of progressive right pain knee </w:t>
      </w:r>
      <w:r w:rsidR="00CC0A59">
        <w:rPr>
          <w:color w:val="auto"/>
        </w:rPr>
        <w:t>from</w:t>
      </w:r>
      <w:r w:rsidR="00CC0A59" w:rsidRPr="00CC0A59">
        <w:rPr>
          <w:color w:val="auto"/>
        </w:rPr>
        <w:t xml:space="preserve"> intermittent recurrent trauma during her service.</w:t>
      </w:r>
      <w:r w:rsidR="00A31C91">
        <w:rPr>
          <w:color w:val="auto"/>
        </w:rPr>
        <w:t xml:space="preserve"> </w:t>
      </w:r>
      <w:r w:rsidR="002143E5" w:rsidRPr="00CC0A59">
        <w:rPr>
          <w:color w:val="auto"/>
        </w:rPr>
        <w:t xml:space="preserve"> </w:t>
      </w:r>
      <w:r w:rsidR="00CC0A59">
        <w:rPr>
          <w:color w:val="auto"/>
        </w:rPr>
        <w:t xml:space="preserve">A diagnosis of </w:t>
      </w:r>
      <w:r w:rsidR="001A0006">
        <w:rPr>
          <w:color w:val="auto"/>
          <w:szCs w:val="24"/>
        </w:rPr>
        <w:t>r</w:t>
      </w:r>
      <w:r w:rsidR="00200AAD" w:rsidRPr="00CC0A59">
        <w:rPr>
          <w:color w:val="auto"/>
          <w:szCs w:val="24"/>
        </w:rPr>
        <w:t xml:space="preserve">ight </w:t>
      </w:r>
      <w:r w:rsidR="001A0006">
        <w:rPr>
          <w:color w:val="auto"/>
          <w:szCs w:val="24"/>
        </w:rPr>
        <w:t>k</w:t>
      </w:r>
      <w:r w:rsidR="00200AAD" w:rsidRPr="00CC0A59">
        <w:rPr>
          <w:color w:val="auto"/>
          <w:szCs w:val="24"/>
        </w:rPr>
        <w:t xml:space="preserve">nee </w:t>
      </w:r>
      <w:r w:rsidR="001A0006">
        <w:rPr>
          <w:color w:val="auto"/>
          <w:szCs w:val="24"/>
        </w:rPr>
        <w:t>c</w:t>
      </w:r>
      <w:r w:rsidR="00200AAD" w:rsidRPr="00CC0A59">
        <w:rPr>
          <w:color w:val="auto"/>
          <w:szCs w:val="24"/>
        </w:rPr>
        <w:t xml:space="preserve">hondromalacia </w:t>
      </w:r>
      <w:r w:rsidR="001A0006">
        <w:rPr>
          <w:color w:val="auto"/>
          <w:szCs w:val="24"/>
        </w:rPr>
        <w:t>w</w:t>
      </w:r>
      <w:r w:rsidR="00CC0A59">
        <w:rPr>
          <w:color w:val="auto"/>
          <w:szCs w:val="24"/>
        </w:rPr>
        <w:t>as made and</w:t>
      </w:r>
      <w:r w:rsidR="002100EA">
        <w:rPr>
          <w:color w:val="auto"/>
          <w:szCs w:val="24"/>
        </w:rPr>
        <w:t xml:space="preserve"> this condition</w:t>
      </w:r>
      <w:r w:rsidR="00200AAD" w:rsidRPr="00CC0A59">
        <w:rPr>
          <w:color w:val="auto"/>
        </w:rPr>
        <w:t xml:space="preserve"> </w:t>
      </w:r>
      <w:r w:rsidR="00F566B7" w:rsidRPr="00CC0A59">
        <w:rPr>
          <w:color w:val="auto"/>
        </w:rPr>
        <w:t xml:space="preserve">could </w:t>
      </w:r>
      <w:r w:rsidR="00F15483" w:rsidRPr="00CC0A59">
        <w:rPr>
          <w:color w:val="auto"/>
        </w:rPr>
        <w:t xml:space="preserve">not be adequately </w:t>
      </w:r>
      <w:r w:rsidR="006B528A" w:rsidRPr="00CC0A59">
        <w:rPr>
          <w:color w:val="auto"/>
        </w:rPr>
        <w:t>rehabilitated</w:t>
      </w:r>
      <w:r w:rsidR="006B528A">
        <w:rPr>
          <w:color w:val="auto"/>
        </w:rPr>
        <w:t>.</w:t>
      </w:r>
      <w:r w:rsidR="00A31C91">
        <w:rPr>
          <w:color w:val="auto"/>
        </w:rPr>
        <w:t xml:space="preserve"> </w:t>
      </w:r>
      <w:r w:rsidR="006B528A" w:rsidRPr="00CC0A59">
        <w:rPr>
          <w:color w:val="auto"/>
        </w:rPr>
        <w:t xml:space="preserve"> The</w:t>
      </w:r>
      <w:r w:rsidR="00F15483" w:rsidRPr="00CC0A59">
        <w:rPr>
          <w:color w:val="auto"/>
        </w:rPr>
        <w:t xml:space="preserve"> CI did not improve adequately with treatment</w:t>
      </w:r>
      <w:r w:rsidR="00925C6E">
        <w:rPr>
          <w:color w:val="auto"/>
        </w:rPr>
        <w:t xml:space="preserve"> t</w:t>
      </w:r>
      <w:r w:rsidR="00F566B7" w:rsidRPr="00CC0A59">
        <w:rPr>
          <w:color w:val="auto"/>
        </w:rPr>
        <w:t>o meet the</w:t>
      </w:r>
      <w:r w:rsidR="00F566B7" w:rsidRPr="00F64312">
        <w:rPr>
          <w:color w:val="auto"/>
        </w:rPr>
        <w:t xml:space="preserve"> physical requirements of </w:t>
      </w:r>
      <w:r w:rsidR="0021565F" w:rsidRPr="00B95A0F">
        <w:rPr>
          <w:color w:val="auto"/>
        </w:rPr>
        <w:t>her</w:t>
      </w:r>
      <w:r w:rsidR="00F566B7" w:rsidRPr="00B95A0F">
        <w:rPr>
          <w:color w:val="auto"/>
        </w:rPr>
        <w:t xml:space="preserve"> </w:t>
      </w:r>
      <w:r w:rsidR="003527AE">
        <w:rPr>
          <w:color w:val="auto"/>
        </w:rPr>
        <w:t>r</w:t>
      </w:r>
      <w:r w:rsidR="002143E5" w:rsidRPr="00B95A0F">
        <w:rPr>
          <w:color w:val="auto"/>
        </w:rPr>
        <w:t xml:space="preserve">ating </w:t>
      </w:r>
      <w:r w:rsidR="00F566B7" w:rsidRPr="00F64312">
        <w:rPr>
          <w:color w:val="auto"/>
        </w:rPr>
        <w:t>or satis</w:t>
      </w:r>
      <w:r w:rsidR="009C12A1" w:rsidRPr="00F64312">
        <w:rPr>
          <w:color w:val="auto"/>
        </w:rPr>
        <w:t>fy physical fitness standards.</w:t>
      </w:r>
      <w:r w:rsidR="00F566B7" w:rsidRPr="00F64312">
        <w:rPr>
          <w:color w:val="auto"/>
        </w:rPr>
        <w:t xml:space="preserve"> </w:t>
      </w:r>
      <w:r w:rsidR="009C12A1" w:rsidRPr="00F64312">
        <w:rPr>
          <w:color w:val="auto"/>
        </w:rPr>
        <w:t xml:space="preserve"> </w:t>
      </w:r>
      <w:r w:rsidR="006A0909" w:rsidRPr="00B95A0F">
        <w:rPr>
          <w:color w:val="auto"/>
        </w:rPr>
        <w:t>She</w:t>
      </w:r>
      <w:r w:rsidR="009C12A1" w:rsidRPr="00B95A0F">
        <w:rPr>
          <w:color w:val="auto"/>
        </w:rPr>
        <w:t xml:space="preserve"> </w:t>
      </w:r>
      <w:r w:rsidR="00F566B7" w:rsidRPr="00B95A0F">
        <w:rPr>
          <w:color w:val="auto"/>
        </w:rPr>
        <w:t xml:space="preserve">was </w:t>
      </w:r>
      <w:r w:rsidR="009B0D98">
        <w:rPr>
          <w:color w:val="auto"/>
        </w:rPr>
        <w:t>placed on limited duty (</w:t>
      </w:r>
      <w:r w:rsidR="00252A84" w:rsidRPr="00B95A0F">
        <w:rPr>
          <w:color w:val="auto"/>
        </w:rPr>
        <w:t>LIMDU</w:t>
      </w:r>
      <w:r w:rsidR="009B0D98">
        <w:rPr>
          <w:color w:val="auto"/>
        </w:rPr>
        <w:t>)</w:t>
      </w:r>
      <w:r w:rsidR="00252A84" w:rsidRPr="00B95A0F">
        <w:rPr>
          <w:color w:val="auto"/>
        </w:rPr>
        <w:t xml:space="preserve"> </w:t>
      </w:r>
      <w:r w:rsidR="00F566B7" w:rsidRPr="00B95A0F">
        <w:rPr>
          <w:color w:val="auto"/>
        </w:rPr>
        <w:t>and</w:t>
      </w:r>
      <w:r w:rsidR="009C12A1" w:rsidRPr="00B95A0F">
        <w:rPr>
          <w:color w:val="auto"/>
        </w:rPr>
        <w:t xml:space="preserve"> </w:t>
      </w:r>
      <w:r w:rsidR="00F566B7" w:rsidRPr="00B95A0F">
        <w:rPr>
          <w:color w:val="auto"/>
        </w:rPr>
        <w:t>referred for a Medical Evaluation Board (MEB).</w:t>
      </w:r>
      <w:r w:rsidR="00A31C91">
        <w:rPr>
          <w:color w:val="auto"/>
        </w:rPr>
        <w:t xml:space="preserve"> </w:t>
      </w:r>
      <w:r w:rsidR="00CC0A59">
        <w:rPr>
          <w:color w:val="auto"/>
        </w:rPr>
        <w:t xml:space="preserve"> Right knee chond</w:t>
      </w:r>
      <w:r w:rsidR="00FE4AE7">
        <w:rPr>
          <w:color w:val="auto"/>
        </w:rPr>
        <w:t>r</w:t>
      </w:r>
      <w:r w:rsidR="00CC0A59">
        <w:rPr>
          <w:color w:val="auto"/>
        </w:rPr>
        <w:t>omalacia was forwarded to the Physical Evaluation Board (PEB)</w:t>
      </w:r>
      <w:r w:rsidR="000209AA">
        <w:rPr>
          <w:color w:val="auto"/>
        </w:rPr>
        <w:t xml:space="preserve"> as medically unacceptable</w:t>
      </w:r>
      <w:r w:rsidR="00533339">
        <w:rPr>
          <w:color w:val="auto"/>
        </w:rPr>
        <w:t>.</w:t>
      </w:r>
      <w:r w:rsidR="00B545E2">
        <w:rPr>
          <w:color w:val="auto"/>
        </w:rPr>
        <w:t xml:space="preserve"> </w:t>
      </w:r>
      <w:r w:rsidR="00E55209">
        <w:rPr>
          <w:color w:val="auto"/>
        </w:rPr>
        <w:t xml:space="preserve"> </w:t>
      </w:r>
      <w:r w:rsidR="00F15483" w:rsidRPr="00B95A0F">
        <w:rPr>
          <w:color w:val="auto"/>
        </w:rPr>
        <w:t>The MEB forwarded no other conditions for PEB adjudication.</w:t>
      </w:r>
      <w:r w:rsidR="006D5E1E" w:rsidRPr="00B95A0F">
        <w:rPr>
          <w:color w:val="auto"/>
        </w:rPr>
        <w:t xml:space="preserve">  </w:t>
      </w:r>
      <w:r w:rsidR="00132068">
        <w:rPr>
          <w:color w:val="auto"/>
        </w:rPr>
        <w:t xml:space="preserve">The </w:t>
      </w:r>
      <w:r w:rsidR="007F5E29" w:rsidRPr="001F08A8">
        <w:rPr>
          <w:color w:val="auto"/>
        </w:rPr>
        <w:t>CI was found fit for duty</w:t>
      </w:r>
      <w:r w:rsidR="00132068">
        <w:rPr>
          <w:color w:val="auto"/>
        </w:rPr>
        <w:t xml:space="preserve"> </w:t>
      </w:r>
      <w:r w:rsidR="003F6E1E">
        <w:rPr>
          <w:color w:val="auto"/>
        </w:rPr>
        <w:t>by a</w:t>
      </w:r>
      <w:r w:rsidR="006F6DB0">
        <w:rPr>
          <w:color w:val="auto"/>
        </w:rPr>
        <w:t xml:space="preserve"> PEB</w:t>
      </w:r>
      <w:r w:rsidR="003F6E1E">
        <w:rPr>
          <w:color w:val="auto"/>
        </w:rPr>
        <w:t xml:space="preserve"> </w:t>
      </w:r>
      <w:r w:rsidR="006F6DB0">
        <w:rPr>
          <w:color w:val="auto"/>
        </w:rPr>
        <w:t xml:space="preserve">in February 2007 </w:t>
      </w:r>
      <w:r w:rsidR="00132068">
        <w:rPr>
          <w:color w:val="auto"/>
        </w:rPr>
        <w:t xml:space="preserve">and </w:t>
      </w:r>
      <w:r w:rsidR="006F6DB0">
        <w:rPr>
          <w:color w:val="auto"/>
        </w:rPr>
        <w:t>she</w:t>
      </w:r>
      <w:r w:rsidR="00132068">
        <w:rPr>
          <w:color w:val="auto"/>
        </w:rPr>
        <w:t xml:space="preserve"> </w:t>
      </w:r>
      <w:r w:rsidR="007F5E29">
        <w:rPr>
          <w:color w:val="auto"/>
        </w:rPr>
        <w:t xml:space="preserve">requested </w:t>
      </w:r>
      <w:r w:rsidR="00533339">
        <w:rPr>
          <w:color w:val="auto"/>
        </w:rPr>
        <w:t xml:space="preserve">a </w:t>
      </w:r>
      <w:r w:rsidR="007F5E29">
        <w:rPr>
          <w:color w:val="auto"/>
        </w:rPr>
        <w:t>reconsideration</w:t>
      </w:r>
      <w:r w:rsidR="00F45659">
        <w:rPr>
          <w:color w:val="auto"/>
        </w:rPr>
        <w:t xml:space="preserve"> contending a 20% disability rating</w:t>
      </w:r>
      <w:r w:rsidR="00132068">
        <w:rPr>
          <w:color w:val="auto"/>
        </w:rPr>
        <w:t xml:space="preserve">. </w:t>
      </w:r>
      <w:r w:rsidR="00344D5F">
        <w:rPr>
          <w:color w:val="auto"/>
        </w:rPr>
        <w:t xml:space="preserve"> </w:t>
      </w:r>
      <w:r w:rsidR="00132068">
        <w:rPr>
          <w:color w:val="auto"/>
        </w:rPr>
        <w:t xml:space="preserve">The CI’s rebuttal was considered on </w:t>
      </w:r>
      <w:r w:rsidR="003F6E1E">
        <w:rPr>
          <w:color w:val="auto"/>
        </w:rPr>
        <w:t>27</w:t>
      </w:r>
      <w:r w:rsidR="00016C1E">
        <w:rPr>
          <w:color w:val="auto"/>
        </w:rPr>
        <w:t> </w:t>
      </w:r>
      <w:r w:rsidR="003F6E1E">
        <w:rPr>
          <w:color w:val="auto"/>
        </w:rPr>
        <w:t xml:space="preserve">February </w:t>
      </w:r>
      <w:r w:rsidR="00132068">
        <w:rPr>
          <w:color w:val="auto"/>
        </w:rPr>
        <w:t>2007 with no change in the findings.</w:t>
      </w:r>
      <w:r w:rsidR="007F5E29">
        <w:rPr>
          <w:color w:val="auto"/>
        </w:rPr>
        <w:t xml:space="preserve"> </w:t>
      </w:r>
      <w:r w:rsidR="00344D5F">
        <w:rPr>
          <w:color w:val="auto"/>
        </w:rPr>
        <w:t xml:space="preserve"> </w:t>
      </w:r>
      <w:r w:rsidR="00132068">
        <w:rPr>
          <w:color w:val="auto"/>
        </w:rPr>
        <w:t xml:space="preserve">The CI then requested a </w:t>
      </w:r>
      <w:r w:rsidR="007F5E29">
        <w:rPr>
          <w:color w:val="auto"/>
        </w:rPr>
        <w:t>Formal PEB (FPEB)</w:t>
      </w:r>
      <w:r w:rsidR="00132068">
        <w:rPr>
          <w:color w:val="auto"/>
        </w:rPr>
        <w:t>, petitioning to be found unfit with a disability rating of 10%</w:t>
      </w:r>
      <w:r w:rsidR="00ED6709">
        <w:rPr>
          <w:color w:val="auto"/>
        </w:rPr>
        <w:t>.</w:t>
      </w:r>
      <w:r w:rsidR="00A31C91">
        <w:rPr>
          <w:color w:val="auto"/>
        </w:rPr>
        <w:t xml:space="preserve"> </w:t>
      </w:r>
      <w:r w:rsidR="00ED6709">
        <w:rPr>
          <w:color w:val="auto"/>
        </w:rPr>
        <w:t xml:space="preserve"> The FPEB</w:t>
      </w:r>
      <w:r w:rsidR="00132068">
        <w:rPr>
          <w:color w:val="auto"/>
        </w:rPr>
        <w:t xml:space="preserve"> convened </w:t>
      </w:r>
      <w:r w:rsidR="00016C1E">
        <w:rPr>
          <w:color w:val="auto"/>
        </w:rPr>
        <w:t xml:space="preserve">26 April </w:t>
      </w:r>
      <w:r w:rsidR="00132068">
        <w:rPr>
          <w:color w:val="auto"/>
        </w:rPr>
        <w:t>2007 and after</w:t>
      </w:r>
      <w:r w:rsidR="00925C6E">
        <w:rPr>
          <w:color w:val="auto"/>
        </w:rPr>
        <w:t xml:space="preserve"> reviewing newly provided medical documents,</w:t>
      </w:r>
      <w:r w:rsidR="007F5E29">
        <w:rPr>
          <w:color w:val="auto"/>
        </w:rPr>
        <w:t xml:space="preserve"> </w:t>
      </w:r>
      <w:r w:rsidRPr="00F64312">
        <w:rPr>
          <w:color w:val="auto"/>
        </w:rPr>
        <w:t xml:space="preserve">adjudicated the </w:t>
      </w:r>
      <w:r w:rsidR="001F08A8">
        <w:rPr>
          <w:color w:val="auto"/>
          <w:szCs w:val="24"/>
        </w:rPr>
        <w:t>r</w:t>
      </w:r>
      <w:r w:rsidR="00B95A0F">
        <w:rPr>
          <w:color w:val="auto"/>
          <w:szCs w:val="24"/>
        </w:rPr>
        <w:t xml:space="preserve">ight </w:t>
      </w:r>
      <w:r w:rsidR="001F08A8">
        <w:rPr>
          <w:color w:val="auto"/>
          <w:szCs w:val="24"/>
        </w:rPr>
        <w:t>k</w:t>
      </w:r>
      <w:r w:rsidR="00B95A0F">
        <w:rPr>
          <w:color w:val="auto"/>
          <w:szCs w:val="24"/>
        </w:rPr>
        <w:t xml:space="preserve">nee </w:t>
      </w:r>
      <w:r w:rsidR="001F08A8">
        <w:rPr>
          <w:color w:val="auto"/>
          <w:szCs w:val="24"/>
        </w:rPr>
        <w:t>c</w:t>
      </w:r>
      <w:r w:rsidR="00B95A0F">
        <w:rPr>
          <w:color w:val="auto"/>
          <w:szCs w:val="24"/>
        </w:rPr>
        <w:t xml:space="preserve">hondromalacia </w:t>
      </w:r>
      <w:r w:rsidR="001F08A8">
        <w:rPr>
          <w:color w:val="auto"/>
          <w:szCs w:val="24"/>
        </w:rPr>
        <w:t>o</w:t>
      </w:r>
      <w:r w:rsidR="00B95A0F">
        <w:rPr>
          <w:color w:val="auto"/>
          <w:szCs w:val="24"/>
        </w:rPr>
        <w:t xml:space="preserve">steoarthritis of the </w:t>
      </w:r>
      <w:r w:rsidR="001F08A8">
        <w:rPr>
          <w:color w:val="auto"/>
          <w:szCs w:val="24"/>
        </w:rPr>
        <w:t>m</w:t>
      </w:r>
      <w:r w:rsidR="00B95A0F">
        <w:rPr>
          <w:color w:val="auto"/>
          <w:szCs w:val="24"/>
        </w:rPr>
        <w:t xml:space="preserve">edial </w:t>
      </w:r>
      <w:r w:rsidR="001F08A8">
        <w:rPr>
          <w:color w:val="auto"/>
          <w:szCs w:val="24"/>
        </w:rPr>
        <w:t>c</w:t>
      </w:r>
      <w:r w:rsidR="00B95A0F">
        <w:rPr>
          <w:color w:val="auto"/>
          <w:szCs w:val="24"/>
        </w:rPr>
        <w:t>ompartment</w:t>
      </w:r>
      <w:r w:rsidR="00B95A0F" w:rsidRPr="001A0006">
        <w:rPr>
          <w:color w:val="auto"/>
        </w:rPr>
        <w:t xml:space="preserve"> </w:t>
      </w:r>
      <w:r w:rsidR="008530E3" w:rsidRPr="00F64312">
        <w:rPr>
          <w:color w:val="auto"/>
        </w:rPr>
        <w:t xml:space="preserve">as unfitting, rated </w:t>
      </w:r>
      <w:r w:rsidR="00B95A0F" w:rsidRPr="00B95A0F">
        <w:rPr>
          <w:color w:val="auto"/>
        </w:rPr>
        <w:t>10</w:t>
      </w:r>
      <w:r w:rsidRPr="00B95A0F">
        <w:rPr>
          <w:color w:val="auto"/>
        </w:rPr>
        <w:t>%</w:t>
      </w:r>
      <w:r w:rsidR="000C647D" w:rsidRPr="00B95A0F">
        <w:rPr>
          <w:color w:val="auto"/>
        </w:rPr>
        <w:t xml:space="preserve"> </w:t>
      </w:r>
      <w:r w:rsidR="00E46D90" w:rsidRPr="00B95A0F">
        <w:rPr>
          <w:color w:val="auto"/>
        </w:rPr>
        <w:t xml:space="preserve">with application of the </w:t>
      </w:r>
      <w:r w:rsidRPr="00B95A0F">
        <w:rPr>
          <w:color w:val="auto"/>
        </w:rPr>
        <w:t>Veteran</w:t>
      </w:r>
      <w:r w:rsidR="00BF72CA" w:rsidRPr="00B95A0F">
        <w:rPr>
          <w:color w:val="auto"/>
        </w:rPr>
        <w:t>’</w:t>
      </w:r>
      <w:r w:rsidRPr="00B95A0F">
        <w:rPr>
          <w:color w:val="auto"/>
        </w:rPr>
        <w:t>s A</w:t>
      </w:r>
      <w:r w:rsidR="00BF72CA" w:rsidRPr="00B95A0F">
        <w:rPr>
          <w:color w:val="auto"/>
        </w:rPr>
        <w:t>ffairs</w:t>
      </w:r>
      <w:r w:rsidRPr="00B95A0F">
        <w:rPr>
          <w:color w:val="auto"/>
        </w:rPr>
        <w:t xml:space="preserve"> Schedule for Rating Disabilities (VASRD)</w:t>
      </w:r>
      <w:r w:rsidR="00B95A0F" w:rsidRPr="00B95A0F">
        <w:rPr>
          <w:color w:val="auto"/>
        </w:rPr>
        <w:t>.</w:t>
      </w:r>
      <w:r w:rsidR="001A0006">
        <w:rPr>
          <w:color w:val="auto"/>
        </w:rPr>
        <w:t xml:space="preserve"> </w:t>
      </w:r>
      <w:r w:rsidR="007F5E29">
        <w:rPr>
          <w:color w:val="auto"/>
        </w:rPr>
        <w:t xml:space="preserve"> The CI </w:t>
      </w:r>
      <w:r w:rsidR="007137C5">
        <w:rPr>
          <w:color w:val="auto"/>
        </w:rPr>
        <w:t>accepted the FPEB findings, waived her right to submit a Petition for Relief (PFR),</w:t>
      </w:r>
      <w:r w:rsidR="002C0F0F">
        <w:rPr>
          <w:color w:val="auto"/>
        </w:rPr>
        <w:t xml:space="preserve"> and </w:t>
      </w:r>
      <w:r w:rsidR="007F5E29">
        <w:rPr>
          <w:color w:val="auto"/>
        </w:rPr>
        <w:t>was medically separated with a 10% disability.</w:t>
      </w:r>
    </w:p>
    <w:p w:rsidR="00CF3654" w:rsidRDefault="00CF3654" w:rsidP="00CF3654">
      <w:pPr>
        <w:pBdr>
          <w:bottom w:val="single" w:sz="12" w:space="1" w:color="auto"/>
        </w:pBdr>
        <w:tabs>
          <w:tab w:val="left" w:pos="288"/>
          <w:tab w:val="left" w:pos="4752"/>
          <w:tab w:val="left" w:pos="6240"/>
        </w:tabs>
        <w:jc w:val="both"/>
        <w:rPr>
          <w:color w:val="auto"/>
        </w:rPr>
      </w:pPr>
    </w:p>
    <w:p w:rsidR="00CF3654" w:rsidRPr="00061F0E" w:rsidRDefault="00CF3654" w:rsidP="00061F0E">
      <w:pPr>
        <w:tabs>
          <w:tab w:val="left" w:pos="288"/>
          <w:tab w:val="left" w:pos="4680"/>
          <w:tab w:val="left" w:pos="5130"/>
        </w:tabs>
        <w:jc w:val="both"/>
        <w:rPr>
          <w:rFonts w:asciiTheme="majorHAnsi" w:eastAsia="Calibri" w:hAnsiTheme="majorHAnsi" w:cstheme="majorHAnsi"/>
          <w:color w:val="auto"/>
          <w:sz w:val="18"/>
          <w:szCs w:val="18"/>
        </w:rPr>
      </w:pPr>
    </w:p>
    <w:p w:rsidR="00E212DF" w:rsidRPr="00A20EF7" w:rsidRDefault="00AD2379" w:rsidP="00AA606A">
      <w:pPr>
        <w:tabs>
          <w:tab w:val="left" w:pos="288"/>
          <w:tab w:val="left" w:pos="4680"/>
          <w:tab w:val="left" w:pos="5130"/>
        </w:tabs>
        <w:jc w:val="both"/>
        <w:rPr>
          <w:color w:val="auto"/>
        </w:rPr>
      </w:pPr>
      <w:r w:rsidRPr="00A20EF7">
        <w:rPr>
          <w:color w:val="auto"/>
        </w:rPr>
        <w:t>CI CONTENTION:</w:t>
      </w:r>
      <w:r w:rsidR="0066684A" w:rsidRPr="00A20EF7">
        <w:rPr>
          <w:color w:val="auto"/>
        </w:rPr>
        <w:t xml:space="preserve"> </w:t>
      </w:r>
      <w:r w:rsidR="006F674E" w:rsidRPr="00A20EF7">
        <w:rPr>
          <w:color w:val="auto"/>
        </w:rPr>
        <w:t xml:space="preserve"> </w:t>
      </w:r>
      <w:r w:rsidR="00B95A0F" w:rsidRPr="00A20EF7">
        <w:rPr>
          <w:color w:val="auto"/>
        </w:rPr>
        <w:t>“I began having knee problems in 2003.</w:t>
      </w:r>
      <w:r w:rsidR="00C056EA">
        <w:rPr>
          <w:color w:val="auto"/>
        </w:rPr>
        <w:t xml:space="preserve"> </w:t>
      </w:r>
      <w:r w:rsidR="00B95A0F" w:rsidRPr="00A20EF7">
        <w:rPr>
          <w:color w:val="auto"/>
        </w:rPr>
        <w:t xml:space="preserve"> I began making regular visits to the doctor for pain, joints locking, etc.</w:t>
      </w:r>
      <w:r w:rsidR="00C056EA">
        <w:rPr>
          <w:color w:val="auto"/>
        </w:rPr>
        <w:t xml:space="preserve"> </w:t>
      </w:r>
      <w:r w:rsidR="00B95A0F" w:rsidRPr="00A20EF7">
        <w:rPr>
          <w:color w:val="auto"/>
        </w:rPr>
        <w:t xml:space="preserve"> Over the course of my </w:t>
      </w:r>
      <w:r w:rsidR="008047CE" w:rsidRPr="00A20EF7">
        <w:rPr>
          <w:color w:val="auto"/>
        </w:rPr>
        <w:t>medi</w:t>
      </w:r>
      <w:r w:rsidR="00B95A0F" w:rsidRPr="00A20EF7">
        <w:rPr>
          <w:color w:val="auto"/>
        </w:rPr>
        <w:t xml:space="preserve">cal visits, it </w:t>
      </w:r>
      <w:r w:rsidR="008047CE" w:rsidRPr="00A20EF7">
        <w:rPr>
          <w:color w:val="auto"/>
        </w:rPr>
        <w:t xml:space="preserve">was </w:t>
      </w:r>
      <w:r w:rsidR="00B95A0F" w:rsidRPr="00A20EF7">
        <w:rPr>
          <w:color w:val="auto"/>
        </w:rPr>
        <w:t>determined that although both knees sho</w:t>
      </w:r>
      <w:r w:rsidR="008047CE" w:rsidRPr="00A20EF7">
        <w:rPr>
          <w:color w:val="auto"/>
        </w:rPr>
        <w:t>wed</w:t>
      </w:r>
      <w:r w:rsidR="00B95A0F" w:rsidRPr="00A20EF7">
        <w:rPr>
          <w:color w:val="auto"/>
        </w:rPr>
        <w:t xml:space="preserve"> signs of degeneration, the right knee was more severe.</w:t>
      </w:r>
      <w:r w:rsidR="00C056EA">
        <w:rPr>
          <w:color w:val="auto"/>
        </w:rPr>
        <w:t xml:space="preserve"> </w:t>
      </w:r>
      <w:r w:rsidR="00B95A0F" w:rsidRPr="00A20EF7">
        <w:rPr>
          <w:color w:val="auto"/>
        </w:rPr>
        <w:t xml:space="preserve"> After over a year of </w:t>
      </w:r>
      <w:r w:rsidR="008047CE" w:rsidRPr="00A20EF7">
        <w:rPr>
          <w:color w:val="auto"/>
        </w:rPr>
        <w:t>const</w:t>
      </w:r>
      <w:r w:rsidR="00B95A0F" w:rsidRPr="00A20EF7">
        <w:rPr>
          <w:color w:val="auto"/>
        </w:rPr>
        <w:t>ant and</w:t>
      </w:r>
      <w:r w:rsidR="008047CE" w:rsidRPr="00A20EF7">
        <w:rPr>
          <w:color w:val="auto"/>
        </w:rPr>
        <w:t xml:space="preserve"> </w:t>
      </w:r>
      <w:r w:rsidR="00B95A0F" w:rsidRPr="00A20EF7">
        <w:rPr>
          <w:color w:val="auto"/>
        </w:rPr>
        <w:t>chronic knee pain, I had my first kne</w:t>
      </w:r>
      <w:r w:rsidR="008047CE" w:rsidRPr="00A20EF7">
        <w:rPr>
          <w:color w:val="auto"/>
        </w:rPr>
        <w:t>e</w:t>
      </w:r>
      <w:r w:rsidR="00B95A0F" w:rsidRPr="00A20EF7">
        <w:rPr>
          <w:color w:val="auto"/>
        </w:rPr>
        <w:t xml:space="preserve"> surgery i</w:t>
      </w:r>
      <w:r w:rsidR="008047CE" w:rsidRPr="00A20EF7">
        <w:rPr>
          <w:color w:val="auto"/>
        </w:rPr>
        <w:t>n</w:t>
      </w:r>
      <w:r w:rsidR="00B95A0F" w:rsidRPr="00A20EF7">
        <w:rPr>
          <w:color w:val="auto"/>
        </w:rPr>
        <w:t xml:space="preserve"> January 2005.</w:t>
      </w:r>
      <w:r w:rsidR="00C056EA">
        <w:rPr>
          <w:color w:val="auto"/>
        </w:rPr>
        <w:t xml:space="preserve"> </w:t>
      </w:r>
      <w:r w:rsidR="00B95A0F" w:rsidRPr="00A20EF7">
        <w:rPr>
          <w:color w:val="auto"/>
        </w:rPr>
        <w:t xml:space="preserve"> </w:t>
      </w:r>
      <w:r w:rsidR="008047CE" w:rsidRPr="00A20EF7">
        <w:rPr>
          <w:color w:val="auto"/>
        </w:rPr>
        <w:t>Although I underwent extensive physical therapy and made some progress, I continued to experience pain and decreased mobility.</w:t>
      </w:r>
      <w:r w:rsidR="00C056EA">
        <w:rPr>
          <w:color w:val="auto"/>
        </w:rPr>
        <w:t xml:space="preserve"> </w:t>
      </w:r>
      <w:r w:rsidR="008047CE" w:rsidRPr="00A20EF7">
        <w:rPr>
          <w:color w:val="auto"/>
        </w:rPr>
        <w:t xml:space="preserve"> My limited mobility began to affect my ability to participate in physical training and my ability to pass the PT test; and I ultimately was referred to the PEB.</w:t>
      </w:r>
      <w:r w:rsidR="00C056EA">
        <w:rPr>
          <w:color w:val="auto"/>
        </w:rPr>
        <w:t xml:space="preserve"> </w:t>
      </w:r>
      <w:r w:rsidR="008047CE" w:rsidRPr="00A20EF7">
        <w:rPr>
          <w:color w:val="auto"/>
        </w:rPr>
        <w:t xml:space="preserve"> The board’s initial finding was that I was fit for duty.</w:t>
      </w:r>
      <w:r w:rsidR="00C056EA">
        <w:rPr>
          <w:color w:val="auto"/>
        </w:rPr>
        <w:t xml:space="preserve"> </w:t>
      </w:r>
      <w:r w:rsidR="008047CE" w:rsidRPr="00A20EF7">
        <w:rPr>
          <w:color w:val="auto"/>
        </w:rPr>
        <w:t xml:space="preserve"> I then requested reconsideration because in order to perform my duty required continuous limited duty and steroid injections.</w:t>
      </w:r>
      <w:r w:rsidR="00C056EA">
        <w:rPr>
          <w:color w:val="auto"/>
        </w:rPr>
        <w:t xml:space="preserve">  </w:t>
      </w:r>
      <w:r w:rsidR="008047CE" w:rsidRPr="00A20EF7">
        <w:rPr>
          <w:color w:val="auto"/>
        </w:rPr>
        <w:t>The board later concluded my condition rendered me unfit for continued service and awarded a disability rating of 10 percent.</w:t>
      </w:r>
      <w:r w:rsidR="00C056EA">
        <w:rPr>
          <w:color w:val="auto"/>
        </w:rPr>
        <w:t xml:space="preserve"> </w:t>
      </w:r>
      <w:r w:rsidR="008047CE" w:rsidRPr="00A20EF7">
        <w:rPr>
          <w:color w:val="auto"/>
        </w:rPr>
        <w:t xml:space="preserve"> Upon notification of their findings and the rating given, I immediately requested reconsideration based on my physical limitations and my belief that my condition would get </w:t>
      </w:r>
      <w:r w:rsidR="008047CE" w:rsidRPr="00AF445D">
        <w:rPr>
          <w:color w:val="auto"/>
        </w:rPr>
        <w:t>progressively worse; but to no avail.</w:t>
      </w:r>
      <w:r w:rsidR="00C056EA" w:rsidRPr="00AF445D">
        <w:rPr>
          <w:color w:val="auto"/>
        </w:rPr>
        <w:t xml:space="preserve"> </w:t>
      </w:r>
      <w:r w:rsidR="008047CE" w:rsidRPr="00AF445D">
        <w:rPr>
          <w:color w:val="auto"/>
        </w:rPr>
        <w:t xml:space="preserve"> I was medically discharged from the</w:t>
      </w:r>
      <w:r w:rsidR="00510A5B" w:rsidRPr="00AF445D">
        <w:rPr>
          <w:color w:val="auto"/>
        </w:rPr>
        <w:t xml:space="preserve"> </w:t>
      </w:r>
      <w:r w:rsidR="008047CE" w:rsidRPr="00AF445D">
        <w:rPr>
          <w:color w:val="auto"/>
        </w:rPr>
        <w:t>Navy in September 2007.</w:t>
      </w:r>
      <w:r w:rsidR="00C056EA" w:rsidRPr="00AF445D">
        <w:rPr>
          <w:color w:val="auto"/>
        </w:rPr>
        <w:t xml:space="preserve"> </w:t>
      </w:r>
      <w:r w:rsidR="008047CE" w:rsidRPr="00AF445D">
        <w:rPr>
          <w:color w:val="auto"/>
        </w:rPr>
        <w:t xml:space="preserve"> Within two months of discharge, my condition deteriorated to the point I would undergo a second surgery on my right knee in November 2007.</w:t>
      </w:r>
      <w:r w:rsidR="00C056EA" w:rsidRPr="00AF445D">
        <w:rPr>
          <w:color w:val="auto"/>
        </w:rPr>
        <w:t xml:space="preserve"> </w:t>
      </w:r>
      <w:r w:rsidR="008047CE" w:rsidRPr="00AF445D">
        <w:rPr>
          <w:color w:val="auto"/>
        </w:rPr>
        <w:t xml:space="preserve"> I would later go on to have my third knee surgery (first on left knee) in August 2010.</w:t>
      </w:r>
      <w:r w:rsidR="00C056EA" w:rsidRPr="00AF445D">
        <w:rPr>
          <w:color w:val="auto"/>
        </w:rPr>
        <w:t xml:space="preserve"> </w:t>
      </w:r>
      <w:r w:rsidR="008047CE" w:rsidRPr="00AF445D">
        <w:rPr>
          <w:color w:val="auto"/>
        </w:rPr>
        <w:t xml:space="preserve"> Because of my chronic knee conditions, I've received knee injections before and after my surgeries.</w:t>
      </w:r>
      <w:r w:rsidR="00C056EA" w:rsidRPr="00AF445D">
        <w:rPr>
          <w:color w:val="auto"/>
        </w:rPr>
        <w:t xml:space="preserve"> </w:t>
      </w:r>
      <w:r w:rsidR="008047CE" w:rsidRPr="00AF445D">
        <w:rPr>
          <w:color w:val="auto"/>
        </w:rPr>
        <w:t xml:space="preserve"> I've also been informed that based on my degenerative</w:t>
      </w:r>
      <w:r w:rsidR="008047CE" w:rsidRPr="00A20EF7">
        <w:rPr>
          <w:color w:val="auto"/>
        </w:rPr>
        <w:t xml:space="preserve"> condition, I will most likely require a knee transplant. Additionally, if I medically retired, I respectfully request t</w:t>
      </w:r>
      <w:r w:rsidR="002B1FA6" w:rsidRPr="00A20EF7">
        <w:rPr>
          <w:color w:val="auto"/>
        </w:rPr>
        <w:t>o</w:t>
      </w:r>
      <w:r w:rsidR="008047CE" w:rsidRPr="00A20EF7">
        <w:rPr>
          <w:color w:val="auto"/>
        </w:rPr>
        <w:t xml:space="preserve"> be retired at the rank of LDCR 0-4, as I was selected and on the list for promotion to LDCR in July 2007.</w:t>
      </w:r>
      <w:r w:rsidR="005E490E" w:rsidRPr="00A20EF7">
        <w:rPr>
          <w:color w:val="auto"/>
        </w:rPr>
        <w:t>”</w:t>
      </w:r>
      <w:r w:rsidR="00165C7B" w:rsidRPr="00A20EF7">
        <w:rPr>
          <w:color w:val="auto"/>
        </w:rPr>
        <w:t xml:space="preserve"> </w:t>
      </w:r>
    </w:p>
    <w:p w:rsidR="003F6E1E" w:rsidRDefault="003F6E1E" w:rsidP="003F6E1E">
      <w:pPr>
        <w:pBdr>
          <w:bottom w:val="single" w:sz="12" w:space="1" w:color="auto"/>
        </w:pBdr>
        <w:tabs>
          <w:tab w:val="left" w:pos="288"/>
          <w:tab w:val="left" w:pos="4752"/>
          <w:tab w:val="left" w:pos="6240"/>
        </w:tabs>
        <w:jc w:val="both"/>
        <w:rPr>
          <w:color w:val="auto"/>
        </w:rPr>
      </w:pPr>
    </w:p>
    <w:p w:rsidR="007635A8" w:rsidRPr="00AF6FD3" w:rsidRDefault="008047CE" w:rsidP="00061F0E">
      <w:pPr>
        <w:tabs>
          <w:tab w:val="left" w:pos="288"/>
          <w:tab w:val="left" w:pos="4680"/>
          <w:tab w:val="left" w:pos="5130"/>
        </w:tabs>
        <w:jc w:val="both"/>
        <w:rPr>
          <w:color w:val="auto"/>
          <w:u w:val="single"/>
        </w:rPr>
      </w:pPr>
      <w:r w:rsidRPr="00A20EF7">
        <w:rPr>
          <w:color w:val="auto"/>
        </w:rPr>
        <w:t xml:space="preserve"> </w:t>
      </w:r>
    </w:p>
    <w:p w:rsidR="009239C0" w:rsidRPr="008C5AE9" w:rsidRDefault="009239C0" w:rsidP="00061F0E">
      <w:pPr>
        <w:tabs>
          <w:tab w:val="left" w:pos="288"/>
          <w:tab w:val="left" w:pos="4680"/>
          <w:tab w:val="left" w:pos="5130"/>
        </w:tabs>
        <w:jc w:val="both"/>
        <w:rPr>
          <w:rFonts w:asciiTheme="majorHAnsi" w:hAnsiTheme="majorHAnsi"/>
          <w:color w:val="auto"/>
          <w:szCs w:val="24"/>
        </w:rPr>
      </w:pPr>
      <w:r w:rsidRPr="00AF6FD3">
        <w:rPr>
          <w:color w:val="auto"/>
          <w:u w:val="single"/>
        </w:rPr>
        <w:t>SCOPE OF REVIEW</w:t>
      </w:r>
      <w:r w:rsidRPr="00A20EF7">
        <w:rPr>
          <w:color w:val="auto"/>
        </w:rPr>
        <w:t>:  The Board wishes to clarify that the scope of its re</w:t>
      </w:r>
      <w:r w:rsidR="00AE2B85" w:rsidRPr="00A20EF7">
        <w:rPr>
          <w:color w:val="auto"/>
        </w:rPr>
        <w:t>view as defined in DoDI 6040.44, Enclosure 3, paragraph 5.e</w:t>
      </w:r>
      <w:r w:rsidR="00435608" w:rsidRPr="00A20EF7">
        <w:rPr>
          <w:color w:val="auto"/>
        </w:rPr>
        <w:t>. (</w:t>
      </w:r>
      <w:r w:rsidR="00AE2B85" w:rsidRPr="00A20EF7">
        <w:rPr>
          <w:color w:val="auto"/>
        </w:rPr>
        <w:t>2)</w:t>
      </w:r>
      <w:r w:rsidRPr="00A20EF7">
        <w:rPr>
          <w:color w:val="auto"/>
        </w:rPr>
        <w:t xml:space="preserve"> is limited to those conditions which were determined by the PEB to be specifically unfitting for continued military service; or, when requested by the </w:t>
      </w:r>
      <w:r w:rsidRPr="00A20EF7">
        <w:rPr>
          <w:color w:val="auto"/>
        </w:rPr>
        <w:lastRenderedPageBreak/>
        <w:t>CI, those conditions “identified but not determined to be unfitting by the</w:t>
      </w:r>
      <w:r w:rsidRPr="008C5AE9">
        <w:rPr>
          <w:rFonts w:asciiTheme="majorHAnsi" w:hAnsiTheme="majorHAnsi"/>
          <w:color w:val="auto"/>
          <w:szCs w:val="24"/>
        </w:rPr>
        <w:t xml:space="preserve"> PEB</w:t>
      </w:r>
      <w:r w:rsidR="00497A0B" w:rsidRPr="008C5AE9">
        <w:rPr>
          <w:rFonts w:asciiTheme="majorHAnsi" w:hAnsiTheme="majorHAnsi"/>
          <w:color w:val="auto"/>
          <w:szCs w:val="24"/>
        </w:rPr>
        <w:t>.</w:t>
      </w:r>
      <w:r w:rsidRPr="008C5AE9">
        <w:rPr>
          <w:rFonts w:asciiTheme="majorHAnsi" w:hAnsiTheme="majorHAnsi"/>
          <w:color w:val="auto"/>
          <w:szCs w:val="24"/>
        </w:rPr>
        <w:t>”</w:t>
      </w:r>
      <w:r w:rsidR="00C056EA">
        <w:rPr>
          <w:rFonts w:asciiTheme="majorHAnsi" w:hAnsiTheme="majorHAnsi"/>
          <w:color w:val="auto"/>
          <w:szCs w:val="24"/>
        </w:rPr>
        <w:t xml:space="preserve"> </w:t>
      </w:r>
      <w:r w:rsidR="00497A0B" w:rsidRPr="008C5AE9">
        <w:rPr>
          <w:rFonts w:asciiTheme="majorHAnsi" w:hAnsiTheme="majorHAnsi"/>
          <w:color w:val="auto"/>
          <w:szCs w:val="24"/>
        </w:rPr>
        <w:t xml:space="preserve"> </w:t>
      </w:r>
      <w:r w:rsidRPr="008C5AE9">
        <w:rPr>
          <w:rFonts w:asciiTheme="majorHAnsi" w:hAnsiTheme="majorHAnsi"/>
          <w:color w:val="auto"/>
          <w:szCs w:val="24"/>
        </w:rPr>
        <w:t xml:space="preserve">The ratings for unfitting conditions will be reviewed in all cases.  Any conditions or contention not requested in this application, or otherwise outside the Board’s defined scope of review, remain eligible for future consideration by the Board for Correction of Naval Records (BCNR).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345"/>
        <w:gridCol w:w="900"/>
        <w:gridCol w:w="724"/>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196DDB" w:rsidRDefault="001D1383" w:rsidP="00D62B01">
            <w:pPr>
              <w:spacing w:line="180" w:lineRule="exact"/>
              <w:contextualSpacing/>
              <w:rPr>
                <w:rFonts w:cs="Calibri"/>
                <w:b/>
                <w:color w:val="auto"/>
                <w:sz w:val="18"/>
              </w:rPr>
            </w:pPr>
            <w:r>
              <w:rPr>
                <w:b/>
                <w:color w:val="auto"/>
                <w:sz w:val="18"/>
              </w:rPr>
              <w:t>F</w:t>
            </w:r>
            <w:r w:rsidR="00D62B01">
              <w:rPr>
                <w:b/>
                <w:color w:val="auto"/>
                <w:sz w:val="18"/>
              </w:rPr>
              <w:t>ormal</w:t>
            </w:r>
            <w:r w:rsidR="00F90376" w:rsidRPr="00196DDB">
              <w:rPr>
                <w:b/>
                <w:color w:val="auto"/>
                <w:sz w:val="18"/>
              </w:rPr>
              <w:t xml:space="preserve"> PEB – Dated 200</w:t>
            </w:r>
            <w:r w:rsidR="005E490E" w:rsidRPr="00196DDB">
              <w:rPr>
                <w:b/>
                <w:color w:val="auto"/>
                <w:sz w:val="18"/>
              </w:rPr>
              <w:t>70</w:t>
            </w:r>
            <w:r w:rsidR="00D62B01">
              <w:rPr>
                <w:b/>
                <w:color w:val="auto"/>
                <w:sz w:val="18"/>
              </w:rPr>
              <w:t>426</w:t>
            </w:r>
          </w:p>
        </w:tc>
        <w:tc>
          <w:tcPr>
            <w:tcW w:w="5400" w:type="dxa"/>
            <w:gridSpan w:val="4"/>
            <w:tcBorders>
              <w:left w:val="thinThickThinSmallGap" w:sz="24" w:space="0" w:color="auto"/>
            </w:tcBorders>
            <w:shd w:val="clear" w:color="auto" w:fill="D9D9D9"/>
            <w:vAlign w:val="center"/>
          </w:tcPr>
          <w:p w:rsidR="00F90376" w:rsidRPr="00196DDB" w:rsidRDefault="00F90376" w:rsidP="00196DDB">
            <w:pPr>
              <w:spacing w:line="180" w:lineRule="exact"/>
              <w:contextualSpacing/>
              <w:rPr>
                <w:rFonts w:cs="Calibri"/>
                <w:b/>
                <w:color w:val="auto"/>
                <w:sz w:val="18"/>
              </w:rPr>
            </w:pPr>
            <w:r w:rsidRPr="00196DDB">
              <w:rPr>
                <w:b/>
                <w:color w:val="auto"/>
                <w:sz w:val="18"/>
              </w:rPr>
              <w:t>VA (</w:t>
            </w:r>
            <w:r w:rsidR="00196DDB" w:rsidRPr="00196DDB">
              <w:rPr>
                <w:b/>
                <w:color w:val="auto"/>
                <w:sz w:val="18"/>
              </w:rPr>
              <w:t>2</w:t>
            </w:r>
            <w:r w:rsidRPr="00196DDB">
              <w:rPr>
                <w:b/>
                <w:color w:val="auto"/>
                <w:sz w:val="18"/>
              </w:rPr>
              <w:t xml:space="preserve"> Mos. Pre</w:t>
            </w:r>
            <w:r w:rsidR="00196DDB" w:rsidRPr="00196DDB">
              <w:rPr>
                <w:b/>
                <w:color w:val="auto"/>
                <w:sz w:val="18"/>
              </w:rPr>
              <w:t xml:space="preserve"> </w:t>
            </w:r>
            <w:r w:rsidRPr="00196DDB">
              <w:rPr>
                <w:b/>
                <w:color w:val="auto"/>
                <w:sz w:val="18"/>
              </w:rPr>
              <w:t>-Separation) – All Effective Date 200</w:t>
            </w:r>
            <w:r w:rsidR="005E490E" w:rsidRPr="00196DDB">
              <w:rPr>
                <w:b/>
                <w:color w:val="auto"/>
                <w:sz w:val="18"/>
              </w:rPr>
              <w:t>70902</w:t>
            </w:r>
          </w:p>
        </w:tc>
      </w:tr>
      <w:tr w:rsidR="00F90376" w:rsidRPr="00F64312" w:rsidTr="005711B1">
        <w:trPr>
          <w:trHeight w:val="97"/>
          <w:jc w:val="center"/>
        </w:trPr>
        <w:tc>
          <w:tcPr>
            <w:tcW w:w="234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90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4"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5711B1">
        <w:trPr>
          <w:trHeight w:val="118"/>
          <w:jc w:val="center"/>
        </w:trPr>
        <w:tc>
          <w:tcPr>
            <w:tcW w:w="2345" w:type="dxa"/>
            <w:tcBorders>
              <w:right w:val="single" w:sz="4" w:space="0" w:color="auto"/>
            </w:tcBorders>
            <w:shd w:val="clear" w:color="auto" w:fill="FFFFFF"/>
            <w:vAlign w:val="center"/>
          </w:tcPr>
          <w:p w:rsidR="00F90376" w:rsidRPr="00F64312" w:rsidRDefault="00196DDB" w:rsidP="004457A3">
            <w:pPr>
              <w:spacing w:line="180" w:lineRule="exact"/>
              <w:contextualSpacing/>
              <w:jc w:val="left"/>
              <w:rPr>
                <w:rFonts w:cs="Calibri"/>
                <w:color w:val="auto"/>
                <w:sz w:val="18"/>
              </w:rPr>
            </w:pPr>
            <w:r>
              <w:rPr>
                <w:rFonts w:cs="Calibri"/>
                <w:color w:val="auto"/>
                <w:sz w:val="18"/>
              </w:rPr>
              <w:t>R</w:t>
            </w:r>
            <w:r w:rsidR="00D62B01">
              <w:rPr>
                <w:rFonts w:cs="Calibri"/>
                <w:color w:val="auto"/>
                <w:sz w:val="18"/>
              </w:rPr>
              <w:t>ight</w:t>
            </w:r>
            <w:r>
              <w:rPr>
                <w:rFonts w:cs="Calibri"/>
                <w:color w:val="auto"/>
                <w:sz w:val="18"/>
              </w:rPr>
              <w:t xml:space="preserve"> Knee Chondromalacia</w:t>
            </w:r>
            <w:r w:rsidR="004457A3">
              <w:rPr>
                <w:rFonts w:cs="Calibri"/>
                <w:color w:val="auto"/>
                <w:sz w:val="18"/>
              </w:rPr>
              <w:t xml:space="preserve">  Osteoarthritis of the Medial Compartment</w:t>
            </w:r>
          </w:p>
        </w:tc>
        <w:tc>
          <w:tcPr>
            <w:tcW w:w="900" w:type="dxa"/>
            <w:tcBorders>
              <w:left w:val="single" w:sz="4" w:space="0" w:color="auto"/>
            </w:tcBorders>
            <w:shd w:val="clear" w:color="auto" w:fill="FFFFFF"/>
            <w:vAlign w:val="center"/>
          </w:tcPr>
          <w:p w:rsidR="00F90376" w:rsidRPr="00F64312" w:rsidRDefault="00196DDB" w:rsidP="006B690F">
            <w:pPr>
              <w:spacing w:line="180" w:lineRule="exact"/>
              <w:contextualSpacing/>
              <w:rPr>
                <w:rFonts w:cs="Calibri"/>
                <w:color w:val="auto"/>
                <w:sz w:val="18"/>
              </w:rPr>
            </w:pPr>
            <w:r>
              <w:rPr>
                <w:rFonts w:cs="Calibri"/>
                <w:color w:val="auto"/>
                <w:sz w:val="18"/>
              </w:rPr>
              <w:t>5299-5003</w:t>
            </w:r>
          </w:p>
        </w:tc>
        <w:tc>
          <w:tcPr>
            <w:tcW w:w="724" w:type="dxa"/>
            <w:tcBorders>
              <w:right w:val="thinThickThinSmallGap" w:sz="24" w:space="0" w:color="auto"/>
            </w:tcBorders>
            <w:shd w:val="clear" w:color="auto" w:fill="FFFFFF"/>
            <w:vAlign w:val="center"/>
          </w:tcPr>
          <w:p w:rsidR="00F90376" w:rsidRPr="00F64312" w:rsidRDefault="00196DDB"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196DDB" w:rsidP="00D62B01">
            <w:pPr>
              <w:spacing w:line="180" w:lineRule="exact"/>
              <w:contextualSpacing/>
              <w:jc w:val="left"/>
              <w:rPr>
                <w:rFonts w:cs="Calibri"/>
                <w:color w:val="auto"/>
                <w:sz w:val="18"/>
              </w:rPr>
            </w:pPr>
            <w:r>
              <w:rPr>
                <w:rFonts w:cs="Calibri"/>
                <w:color w:val="auto"/>
                <w:sz w:val="18"/>
              </w:rPr>
              <w:t>R</w:t>
            </w:r>
            <w:r w:rsidR="00D62B01">
              <w:rPr>
                <w:rFonts w:cs="Calibri"/>
                <w:color w:val="auto"/>
                <w:sz w:val="18"/>
              </w:rPr>
              <w:t>ight</w:t>
            </w:r>
            <w:r>
              <w:rPr>
                <w:rFonts w:cs="Calibri"/>
                <w:color w:val="auto"/>
                <w:sz w:val="18"/>
              </w:rPr>
              <w:t xml:space="preserve"> Knee Patellofemoral Syndrome</w:t>
            </w:r>
          </w:p>
        </w:tc>
        <w:tc>
          <w:tcPr>
            <w:tcW w:w="1080" w:type="dxa"/>
            <w:shd w:val="clear" w:color="auto" w:fill="FFFFFF"/>
            <w:vAlign w:val="center"/>
          </w:tcPr>
          <w:p w:rsidR="00F90376" w:rsidRPr="00F64312" w:rsidRDefault="00196DDB" w:rsidP="0017172C">
            <w:pPr>
              <w:spacing w:line="180" w:lineRule="exact"/>
              <w:contextualSpacing/>
              <w:rPr>
                <w:rFonts w:cs="Calibri"/>
                <w:color w:val="auto"/>
                <w:sz w:val="18"/>
              </w:rPr>
            </w:pPr>
            <w:r>
              <w:rPr>
                <w:rFonts w:cs="Calibri"/>
                <w:color w:val="auto"/>
                <w:sz w:val="18"/>
              </w:rPr>
              <w:t>5260</w:t>
            </w:r>
          </w:p>
        </w:tc>
        <w:tc>
          <w:tcPr>
            <w:tcW w:w="720" w:type="dxa"/>
            <w:shd w:val="clear" w:color="auto" w:fill="FFFFFF"/>
            <w:vAlign w:val="center"/>
          </w:tcPr>
          <w:p w:rsidR="00F90376" w:rsidRPr="00F64312" w:rsidRDefault="009B0D98" w:rsidP="0017172C">
            <w:pPr>
              <w:spacing w:line="180" w:lineRule="exact"/>
              <w:contextualSpacing/>
              <w:rPr>
                <w:rFonts w:cs="Calibri"/>
                <w:color w:val="auto"/>
                <w:sz w:val="18"/>
              </w:rPr>
            </w:pPr>
            <w:r>
              <w:rPr>
                <w:rFonts w:cs="Calibri"/>
                <w:color w:val="auto"/>
                <w:sz w:val="18"/>
              </w:rPr>
              <w:t>1</w:t>
            </w:r>
            <w:r w:rsidR="00196DDB">
              <w:rPr>
                <w:rFonts w:cs="Calibri"/>
                <w:color w:val="auto"/>
                <w:sz w:val="18"/>
              </w:rPr>
              <w:t>0%</w:t>
            </w:r>
            <w:r w:rsidR="004568F5">
              <w:rPr>
                <w:rFonts w:cs="Calibri"/>
                <w:color w:val="auto"/>
                <w:sz w:val="18"/>
              </w:rPr>
              <w:t>*</w:t>
            </w:r>
          </w:p>
        </w:tc>
        <w:tc>
          <w:tcPr>
            <w:tcW w:w="990" w:type="dxa"/>
            <w:shd w:val="clear" w:color="auto" w:fill="FFFFFF"/>
            <w:vAlign w:val="center"/>
          </w:tcPr>
          <w:p w:rsidR="00F90376" w:rsidRPr="00F64312" w:rsidRDefault="00A314B6" w:rsidP="005E490E">
            <w:pPr>
              <w:spacing w:line="180" w:lineRule="exact"/>
              <w:contextualSpacing/>
              <w:rPr>
                <w:rFonts w:cs="Calibri"/>
                <w:color w:val="auto"/>
                <w:sz w:val="18"/>
              </w:rPr>
            </w:pPr>
            <w:r w:rsidRPr="00196DDB">
              <w:rPr>
                <w:color w:val="auto"/>
                <w:sz w:val="18"/>
              </w:rPr>
              <w:t>200</w:t>
            </w:r>
            <w:r w:rsidR="005E490E" w:rsidRPr="00196DDB">
              <w:rPr>
                <w:color w:val="auto"/>
                <w:sz w:val="18"/>
              </w:rPr>
              <w:t>7</w:t>
            </w:r>
            <w:r w:rsidR="005E490E">
              <w:rPr>
                <w:color w:val="auto"/>
                <w:sz w:val="18"/>
              </w:rPr>
              <w:t>0703</w:t>
            </w:r>
          </w:p>
        </w:tc>
      </w:tr>
      <w:tr w:rsidR="005711B1" w:rsidRPr="00F64312" w:rsidTr="00510A5B">
        <w:trPr>
          <w:trHeight w:val="38"/>
          <w:jc w:val="center"/>
        </w:trPr>
        <w:tc>
          <w:tcPr>
            <w:tcW w:w="3969" w:type="dxa"/>
            <w:gridSpan w:val="3"/>
            <w:vMerge w:val="restart"/>
            <w:tcBorders>
              <w:right w:val="thinThickThinSmallGap" w:sz="24" w:space="0" w:color="auto"/>
            </w:tcBorders>
            <w:shd w:val="clear" w:color="auto" w:fill="FFFFFF"/>
            <w:vAlign w:val="center"/>
          </w:tcPr>
          <w:p w:rsidR="005711B1" w:rsidRPr="00F64312" w:rsidRDefault="005711B1" w:rsidP="006B690F">
            <w:pPr>
              <w:spacing w:line="180" w:lineRule="exact"/>
              <w:rPr>
                <w:color w:val="auto"/>
                <w:sz w:val="18"/>
              </w:rPr>
            </w:pPr>
            <w:r w:rsidRPr="0093324D">
              <w:rPr>
                <w:rFonts w:cs="Calibri"/>
                <w:color w:val="000000" w:themeColor="text1"/>
                <w:sz w:val="18"/>
                <w:szCs w:val="18"/>
              </w:rPr>
              <w:t>↓No Additional MEB/PEB Entries↓</w:t>
            </w:r>
          </w:p>
        </w:tc>
        <w:tc>
          <w:tcPr>
            <w:tcW w:w="2610" w:type="dxa"/>
            <w:tcBorders>
              <w:left w:val="thinThickThinSmallGap" w:sz="24" w:space="0" w:color="auto"/>
            </w:tcBorders>
            <w:shd w:val="clear" w:color="auto" w:fill="FFFFFF"/>
            <w:vAlign w:val="center"/>
          </w:tcPr>
          <w:p w:rsidR="005711B1" w:rsidRPr="00F64312" w:rsidRDefault="005711B1" w:rsidP="0017172C">
            <w:pPr>
              <w:spacing w:line="180" w:lineRule="exact"/>
              <w:contextualSpacing/>
              <w:jc w:val="left"/>
              <w:rPr>
                <w:color w:val="auto"/>
                <w:sz w:val="18"/>
              </w:rPr>
            </w:pPr>
            <w:r>
              <w:rPr>
                <w:color w:val="auto"/>
                <w:sz w:val="18"/>
              </w:rPr>
              <w:t>Obstructive Sleep Apnea</w:t>
            </w:r>
          </w:p>
        </w:tc>
        <w:tc>
          <w:tcPr>
            <w:tcW w:w="1080" w:type="dxa"/>
            <w:shd w:val="clear" w:color="auto" w:fill="FFFFFF"/>
            <w:vAlign w:val="center"/>
          </w:tcPr>
          <w:p w:rsidR="005711B1" w:rsidRPr="00F64312" w:rsidRDefault="005711B1" w:rsidP="0017172C">
            <w:pPr>
              <w:spacing w:line="180" w:lineRule="exact"/>
              <w:contextualSpacing/>
              <w:rPr>
                <w:color w:val="auto"/>
                <w:sz w:val="18"/>
              </w:rPr>
            </w:pPr>
            <w:r>
              <w:rPr>
                <w:color w:val="auto"/>
                <w:sz w:val="18"/>
              </w:rPr>
              <w:t>6847</w:t>
            </w:r>
          </w:p>
        </w:tc>
        <w:tc>
          <w:tcPr>
            <w:tcW w:w="720" w:type="dxa"/>
            <w:shd w:val="clear" w:color="auto" w:fill="FFFFFF"/>
            <w:vAlign w:val="center"/>
          </w:tcPr>
          <w:p w:rsidR="005711B1" w:rsidRPr="00F64312" w:rsidRDefault="005711B1" w:rsidP="0017172C">
            <w:pPr>
              <w:spacing w:line="180" w:lineRule="exact"/>
              <w:contextualSpacing/>
              <w:rPr>
                <w:color w:val="auto"/>
                <w:sz w:val="18"/>
              </w:rPr>
            </w:pPr>
            <w:r>
              <w:rPr>
                <w:color w:val="auto"/>
                <w:sz w:val="18"/>
              </w:rPr>
              <w:t>50%</w:t>
            </w:r>
          </w:p>
        </w:tc>
        <w:tc>
          <w:tcPr>
            <w:tcW w:w="990" w:type="dxa"/>
            <w:shd w:val="clear" w:color="auto" w:fill="FFFFFF"/>
            <w:vAlign w:val="center"/>
          </w:tcPr>
          <w:p w:rsidR="005711B1" w:rsidRPr="00F64312" w:rsidRDefault="005711B1" w:rsidP="0017172C">
            <w:pPr>
              <w:spacing w:line="180" w:lineRule="exact"/>
              <w:contextualSpacing/>
              <w:rPr>
                <w:color w:val="auto"/>
                <w:sz w:val="18"/>
                <w:highlight w:val="yellow"/>
              </w:rPr>
            </w:pPr>
            <w:r w:rsidRPr="00196DDB">
              <w:rPr>
                <w:color w:val="auto"/>
                <w:sz w:val="18"/>
              </w:rPr>
              <w:t>2007</w:t>
            </w:r>
            <w:r>
              <w:rPr>
                <w:color w:val="auto"/>
                <w:sz w:val="18"/>
              </w:rPr>
              <w:t>0703</w:t>
            </w:r>
          </w:p>
        </w:tc>
      </w:tr>
      <w:tr w:rsidR="005711B1" w:rsidRPr="00F64312" w:rsidTr="00510A5B">
        <w:trPr>
          <w:trHeight w:val="38"/>
          <w:jc w:val="center"/>
        </w:trPr>
        <w:tc>
          <w:tcPr>
            <w:tcW w:w="3969" w:type="dxa"/>
            <w:gridSpan w:val="3"/>
            <w:vMerge/>
            <w:tcBorders>
              <w:right w:val="thinThickThinSmallGap" w:sz="24" w:space="0" w:color="auto"/>
            </w:tcBorders>
            <w:shd w:val="clear" w:color="auto" w:fill="FFFFFF"/>
            <w:vAlign w:val="center"/>
          </w:tcPr>
          <w:p w:rsidR="005711B1" w:rsidRPr="00F64312" w:rsidRDefault="005711B1"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5711B1" w:rsidRPr="00F64312" w:rsidRDefault="005711B1" w:rsidP="005711B1">
            <w:pPr>
              <w:spacing w:line="180" w:lineRule="exact"/>
              <w:contextualSpacing/>
              <w:jc w:val="left"/>
              <w:rPr>
                <w:color w:val="auto"/>
                <w:sz w:val="18"/>
              </w:rPr>
            </w:pPr>
            <w:r>
              <w:rPr>
                <w:color w:val="auto"/>
                <w:sz w:val="18"/>
              </w:rPr>
              <w:t>Status Post Total Abdominal Hysterectomy</w:t>
            </w:r>
          </w:p>
        </w:tc>
        <w:tc>
          <w:tcPr>
            <w:tcW w:w="1080" w:type="dxa"/>
            <w:shd w:val="clear" w:color="auto" w:fill="FFFFFF"/>
            <w:vAlign w:val="center"/>
          </w:tcPr>
          <w:p w:rsidR="005711B1" w:rsidRPr="00F64312" w:rsidRDefault="005711B1" w:rsidP="00A518B5">
            <w:pPr>
              <w:spacing w:line="180" w:lineRule="exact"/>
              <w:contextualSpacing/>
              <w:rPr>
                <w:color w:val="auto"/>
                <w:sz w:val="18"/>
              </w:rPr>
            </w:pPr>
            <w:r>
              <w:rPr>
                <w:color w:val="auto"/>
                <w:sz w:val="18"/>
              </w:rPr>
              <w:t>7618</w:t>
            </w:r>
          </w:p>
        </w:tc>
        <w:tc>
          <w:tcPr>
            <w:tcW w:w="720" w:type="dxa"/>
            <w:shd w:val="clear" w:color="auto" w:fill="FFFFFF"/>
            <w:vAlign w:val="center"/>
          </w:tcPr>
          <w:p w:rsidR="005711B1" w:rsidRPr="00F64312" w:rsidRDefault="005711B1" w:rsidP="0017172C">
            <w:pPr>
              <w:spacing w:line="180" w:lineRule="exact"/>
              <w:contextualSpacing/>
              <w:rPr>
                <w:color w:val="auto"/>
                <w:sz w:val="18"/>
              </w:rPr>
            </w:pPr>
            <w:r>
              <w:rPr>
                <w:color w:val="auto"/>
                <w:sz w:val="18"/>
              </w:rPr>
              <w:t>30%</w:t>
            </w:r>
          </w:p>
        </w:tc>
        <w:tc>
          <w:tcPr>
            <w:tcW w:w="990" w:type="dxa"/>
            <w:shd w:val="clear" w:color="auto" w:fill="FFFFFF"/>
            <w:vAlign w:val="center"/>
          </w:tcPr>
          <w:p w:rsidR="005711B1" w:rsidRPr="00F64312" w:rsidRDefault="005711B1" w:rsidP="0017172C">
            <w:pPr>
              <w:spacing w:line="180" w:lineRule="exact"/>
              <w:contextualSpacing/>
              <w:rPr>
                <w:color w:val="auto"/>
                <w:sz w:val="18"/>
                <w:highlight w:val="yellow"/>
              </w:rPr>
            </w:pPr>
            <w:r w:rsidRPr="00196DDB">
              <w:rPr>
                <w:color w:val="auto"/>
                <w:sz w:val="18"/>
              </w:rPr>
              <w:t>2007</w:t>
            </w:r>
            <w:r>
              <w:rPr>
                <w:color w:val="auto"/>
                <w:sz w:val="18"/>
              </w:rPr>
              <w:t>0703</w:t>
            </w:r>
          </w:p>
        </w:tc>
      </w:tr>
      <w:tr w:rsidR="005711B1" w:rsidRPr="00F64312" w:rsidTr="00510A5B">
        <w:trPr>
          <w:trHeight w:val="118"/>
          <w:jc w:val="center"/>
        </w:trPr>
        <w:tc>
          <w:tcPr>
            <w:tcW w:w="3969" w:type="dxa"/>
            <w:gridSpan w:val="3"/>
            <w:vMerge/>
            <w:tcBorders>
              <w:right w:val="thinThickThinSmallGap" w:sz="24" w:space="0" w:color="auto"/>
            </w:tcBorders>
            <w:shd w:val="clear" w:color="auto" w:fill="FFFFFF"/>
            <w:vAlign w:val="center"/>
          </w:tcPr>
          <w:p w:rsidR="005711B1" w:rsidRPr="00F64312" w:rsidRDefault="005711B1"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5711B1" w:rsidRDefault="005711B1" w:rsidP="0017172C">
            <w:pPr>
              <w:spacing w:line="180" w:lineRule="exact"/>
              <w:contextualSpacing/>
              <w:jc w:val="left"/>
              <w:rPr>
                <w:color w:val="auto"/>
                <w:sz w:val="18"/>
              </w:rPr>
            </w:pPr>
            <w:r>
              <w:rPr>
                <w:color w:val="auto"/>
                <w:sz w:val="18"/>
              </w:rPr>
              <w:t>Herpes Simplex</w:t>
            </w:r>
          </w:p>
        </w:tc>
        <w:tc>
          <w:tcPr>
            <w:tcW w:w="1080" w:type="dxa"/>
            <w:shd w:val="clear" w:color="auto" w:fill="FFFFFF"/>
            <w:vAlign w:val="center"/>
          </w:tcPr>
          <w:p w:rsidR="005711B1" w:rsidRPr="00F64312" w:rsidRDefault="005711B1" w:rsidP="0017172C">
            <w:pPr>
              <w:spacing w:line="180" w:lineRule="exact"/>
              <w:contextualSpacing/>
              <w:rPr>
                <w:color w:val="auto"/>
                <w:sz w:val="18"/>
              </w:rPr>
            </w:pPr>
            <w:r>
              <w:rPr>
                <w:color w:val="auto"/>
                <w:sz w:val="18"/>
              </w:rPr>
              <w:t>7806</w:t>
            </w:r>
          </w:p>
        </w:tc>
        <w:tc>
          <w:tcPr>
            <w:tcW w:w="720" w:type="dxa"/>
            <w:shd w:val="clear" w:color="auto" w:fill="FFFFFF"/>
            <w:vAlign w:val="center"/>
          </w:tcPr>
          <w:p w:rsidR="005711B1" w:rsidRPr="00F64312" w:rsidRDefault="005711B1" w:rsidP="0017172C">
            <w:pPr>
              <w:spacing w:line="180" w:lineRule="exact"/>
              <w:contextualSpacing/>
              <w:rPr>
                <w:color w:val="auto"/>
                <w:sz w:val="18"/>
              </w:rPr>
            </w:pPr>
            <w:r>
              <w:rPr>
                <w:color w:val="auto"/>
                <w:sz w:val="18"/>
              </w:rPr>
              <w:t>10%</w:t>
            </w:r>
          </w:p>
        </w:tc>
        <w:tc>
          <w:tcPr>
            <w:tcW w:w="990" w:type="dxa"/>
            <w:shd w:val="clear" w:color="auto" w:fill="FFFFFF"/>
            <w:vAlign w:val="center"/>
          </w:tcPr>
          <w:p w:rsidR="005711B1" w:rsidRPr="00F64312" w:rsidRDefault="005711B1" w:rsidP="0017172C">
            <w:pPr>
              <w:spacing w:line="180" w:lineRule="exact"/>
              <w:contextualSpacing/>
              <w:rPr>
                <w:color w:val="auto"/>
                <w:sz w:val="18"/>
                <w:highlight w:val="yellow"/>
              </w:rPr>
            </w:pPr>
            <w:r w:rsidRPr="00196DDB">
              <w:rPr>
                <w:color w:val="auto"/>
                <w:sz w:val="18"/>
              </w:rPr>
              <w:t>2007</w:t>
            </w:r>
            <w:r>
              <w:rPr>
                <w:color w:val="auto"/>
                <w:sz w:val="18"/>
              </w:rPr>
              <w:t>0703</w:t>
            </w:r>
          </w:p>
        </w:tc>
      </w:tr>
      <w:tr w:rsidR="005711B1" w:rsidRPr="00F64312" w:rsidTr="00510A5B">
        <w:trPr>
          <w:trHeight w:val="118"/>
          <w:jc w:val="center"/>
        </w:trPr>
        <w:tc>
          <w:tcPr>
            <w:tcW w:w="3969" w:type="dxa"/>
            <w:gridSpan w:val="3"/>
            <w:vMerge/>
            <w:tcBorders>
              <w:right w:val="thinThickThinSmallGap" w:sz="24" w:space="0" w:color="auto"/>
            </w:tcBorders>
            <w:shd w:val="clear" w:color="auto" w:fill="FFFFFF"/>
            <w:vAlign w:val="center"/>
          </w:tcPr>
          <w:p w:rsidR="005711B1" w:rsidRPr="00F64312" w:rsidRDefault="005711B1"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5711B1" w:rsidRDefault="005711B1" w:rsidP="0017172C">
            <w:pPr>
              <w:spacing w:line="180" w:lineRule="exact"/>
              <w:contextualSpacing/>
              <w:jc w:val="left"/>
              <w:rPr>
                <w:color w:val="auto"/>
                <w:sz w:val="18"/>
              </w:rPr>
            </w:pPr>
            <w:r>
              <w:rPr>
                <w:color w:val="auto"/>
                <w:sz w:val="18"/>
              </w:rPr>
              <w:t>Dysthymic Disorder</w:t>
            </w:r>
          </w:p>
        </w:tc>
        <w:tc>
          <w:tcPr>
            <w:tcW w:w="1080" w:type="dxa"/>
            <w:shd w:val="clear" w:color="auto" w:fill="FFFFFF"/>
            <w:vAlign w:val="center"/>
          </w:tcPr>
          <w:p w:rsidR="005711B1" w:rsidRPr="00F64312" w:rsidRDefault="005711B1" w:rsidP="0017172C">
            <w:pPr>
              <w:spacing w:line="180" w:lineRule="exact"/>
              <w:contextualSpacing/>
              <w:rPr>
                <w:color w:val="auto"/>
                <w:sz w:val="18"/>
              </w:rPr>
            </w:pPr>
            <w:r>
              <w:rPr>
                <w:color w:val="auto"/>
                <w:sz w:val="18"/>
              </w:rPr>
              <w:t>9433</w:t>
            </w:r>
          </w:p>
        </w:tc>
        <w:tc>
          <w:tcPr>
            <w:tcW w:w="720" w:type="dxa"/>
            <w:shd w:val="clear" w:color="auto" w:fill="FFFFFF"/>
            <w:vAlign w:val="center"/>
          </w:tcPr>
          <w:p w:rsidR="005711B1" w:rsidRPr="00F64312" w:rsidRDefault="005711B1" w:rsidP="0017172C">
            <w:pPr>
              <w:spacing w:line="180" w:lineRule="exact"/>
              <w:contextualSpacing/>
              <w:rPr>
                <w:color w:val="auto"/>
                <w:sz w:val="18"/>
              </w:rPr>
            </w:pPr>
            <w:r>
              <w:rPr>
                <w:color w:val="auto"/>
                <w:sz w:val="18"/>
              </w:rPr>
              <w:t>10%</w:t>
            </w:r>
          </w:p>
        </w:tc>
        <w:tc>
          <w:tcPr>
            <w:tcW w:w="990" w:type="dxa"/>
            <w:shd w:val="clear" w:color="auto" w:fill="FFFFFF"/>
            <w:vAlign w:val="center"/>
          </w:tcPr>
          <w:p w:rsidR="005711B1" w:rsidRPr="00F64312" w:rsidRDefault="005711B1" w:rsidP="0017172C">
            <w:pPr>
              <w:spacing w:line="180" w:lineRule="exact"/>
              <w:contextualSpacing/>
              <w:rPr>
                <w:color w:val="auto"/>
                <w:sz w:val="18"/>
                <w:highlight w:val="yellow"/>
              </w:rPr>
            </w:pPr>
            <w:r w:rsidRPr="00196DDB">
              <w:rPr>
                <w:color w:val="auto"/>
                <w:sz w:val="18"/>
              </w:rPr>
              <w:t>2007</w:t>
            </w:r>
            <w:r>
              <w:rPr>
                <w:color w:val="auto"/>
                <w:sz w:val="18"/>
              </w:rPr>
              <w:t>0703</w:t>
            </w:r>
          </w:p>
        </w:tc>
      </w:tr>
      <w:tr w:rsidR="005711B1" w:rsidRPr="00F64312" w:rsidTr="00510A5B">
        <w:trPr>
          <w:trHeight w:val="410"/>
          <w:jc w:val="center"/>
        </w:trPr>
        <w:tc>
          <w:tcPr>
            <w:tcW w:w="3969" w:type="dxa"/>
            <w:gridSpan w:val="3"/>
            <w:vMerge/>
            <w:tcBorders>
              <w:bottom w:val="single" w:sz="4" w:space="0" w:color="000000"/>
              <w:right w:val="thinThickThinSmallGap" w:sz="24" w:space="0" w:color="auto"/>
            </w:tcBorders>
            <w:shd w:val="clear" w:color="auto" w:fill="FFFFFF"/>
            <w:vAlign w:val="center"/>
          </w:tcPr>
          <w:p w:rsidR="005711B1" w:rsidRPr="00F64312" w:rsidRDefault="005711B1" w:rsidP="006B690F">
            <w:pPr>
              <w:spacing w:line="180" w:lineRule="exact"/>
              <w:contextualSpacing/>
              <w:rPr>
                <w:rFonts w:cs="Calibri"/>
                <w:color w:val="auto"/>
                <w:sz w:val="18"/>
              </w:rPr>
            </w:pPr>
          </w:p>
        </w:tc>
        <w:tc>
          <w:tcPr>
            <w:tcW w:w="5400" w:type="dxa"/>
            <w:gridSpan w:val="4"/>
            <w:tcBorders>
              <w:left w:val="thinThickThinSmallGap" w:sz="24" w:space="0" w:color="auto"/>
              <w:bottom w:val="single" w:sz="4" w:space="0" w:color="000000"/>
            </w:tcBorders>
            <w:shd w:val="clear" w:color="auto" w:fill="FFFFFF"/>
            <w:vAlign w:val="center"/>
          </w:tcPr>
          <w:p w:rsidR="005711B1" w:rsidRPr="00F64312" w:rsidRDefault="005711B1" w:rsidP="004568F5">
            <w:pPr>
              <w:spacing w:line="180" w:lineRule="exact"/>
              <w:contextualSpacing/>
              <w:rPr>
                <w:rFonts w:cs="Calibri"/>
                <w:color w:val="auto"/>
                <w:sz w:val="18"/>
              </w:rPr>
            </w:pPr>
            <w:r w:rsidRPr="00F64312">
              <w:rPr>
                <w:color w:val="auto"/>
                <w:sz w:val="18"/>
              </w:rPr>
              <w:t xml:space="preserve">0% X </w:t>
            </w:r>
            <w:r>
              <w:rPr>
                <w:color w:val="auto"/>
                <w:sz w:val="18"/>
              </w:rPr>
              <w:t>6 others</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7</w:t>
            </w:r>
          </w:p>
        </w:tc>
      </w:tr>
      <w:tr w:rsidR="00196DDB" w:rsidRPr="00F64312" w:rsidTr="00AC5522">
        <w:trPr>
          <w:trHeight w:val="124"/>
          <w:jc w:val="center"/>
        </w:trPr>
        <w:tc>
          <w:tcPr>
            <w:tcW w:w="3969" w:type="dxa"/>
            <w:gridSpan w:val="3"/>
            <w:tcBorders>
              <w:right w:val="thinThickThinSmallGap" w:sz="24" w:space="0" w:color="auto"/>
            </w:tcBorders>
            <w:shd w:val="clear" w:color="auto" w:fill="D9D9D9"/>
          </w:tcPr>
          <w:p w:rsidR="00196DDB" w:rsidRPr="00F64312" w:rsidRDefault="00196DDB" w:rsidP="003D0D9F">
            <w:pPr>
              <w:spacing w:line="180" w:lineRule="exact"/>
              <w:contextualSpacing/>
              <w:rPr>
                <w:rFonts w:cs="Calibri"/>
                <w:b/>
                <w:color w:val="auto"/>
                <w:sz w:val="18"/>
              </w:rPr>
            </w:pPr>
            <w:r w:rsidRPr="00F64312">
              <w:rPr>
                <w:b/>
                <w:color w:val="auto"/>
                <w:sz w:val="18"/>
              </w:rPr>
              <w:t xml:space="preserve">Combined:  </w:t>
            </w:r>
            <w:r w:rsidR="003D0D9F">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196DDB" w:rsidRPr="00F64312" w:rsidRDefault="00196DDB" w:rsidP="00196DDB">
            <w:pPr>
              <w:spacing w:line="180" w:lineRule="exact"/>
              <w:contextualSpacing/>
              <w:rPr>
                <w:rFonts w:cs="Calibri"/>
                <w:b/>
                <w:color w:val="auto"/>
                <w:sz w:val="18"/>
              </w:rPr>
            </w:pPr>
            <w:r w:rsidRPr="00F64312">
              <w:rPr>
                <w:b/>
                <w:color w:val="auto"/>
                <w:sz w:val="18"/>
              </w:rPr>
              <w:t xml:space="preserve">Combined:  </w:t>
            </w:r>
            <w:r>
              <w:rPr>
                <w:b/>
                <w:color w:val="auto"/>
                <w:sz w:val="18"/>
              </w:rPr>
              <w:t>70</w:t>
            </w:r>
            <w:r w:rsidRPr="00F64312">
              <w:rPr>
                <w:b/>
                <w:color w:val="auto"/>
                <w:sz w:val="18"/>
              </w:rPr>
              <w:t>%</w:t>
            </w:r>
            <w:r w:rsidR="004568F5">
              <w:rPr>
                <w:b/>
                <w:color w:val="auto"/>
                <w:sz w:val="18"/>
              </w:rPr>
              <w:t>**</w:t>
            </w:r>
          </w:p>
        </w:tc>
      </w:tr>
    </w:tbl>
    <w:p w:rsidR="00F90376" w:rsidRPr="001C4C58" w:rsidRDefault="00344D5F" w:rsidP="005711B1">
      <w:pPr>
        <w:autoSpaceDE w:val="0"/>
        <w:autoSpaceDN w:val="0"/>
        <w:adjustRightInd w:val="0"/>
        <w:spacing w:line="200" w:lineRule="exact"/>
        <w:jc w:val="left"/>
        <w:rPr>
          <w:rFonts w:cs="Times New Roman"/>
          <w:iCs/>
          <w:color w:val="auto"/>
          <w:sz w:val="18"/>
          <w:szCs w:val="18"/>
        </w:rPr>
      </w:pPr>
      <w:r>
        <w:rPr>
          <w:iCs/>
          <w:color w:val="auto"/>
          <w:sz w:val="18"/>
          <w:szCs w:val="18"/>
        </w:rPr>
        <w:t>*</w:t>
      </w:r>
      <w:r w:rsidR="001C4C58" w:rsidRPr="001C4C58">
        <w:rPr>
          <w:iCs/>
          <w:color w:val="auto"/>
          <w:sz w:val="18"/>
          <w:szCs w:val="18"/>
        </w:rPr>
        <w:t xml:space="preserve">5260 </w:t>
      </w:r>
      <w:r w:rsidR="009B0D98">
        <w:rPr>
          <w:iCs/>
          <w:color w:val="auto"/>
          <w:sz w:val="18"/>
          <w:szCs w:val="18"/>
        </w:rPr>
        <w:t xml:space="preserve">initially rated at 0% but was </w:t>
      </w:r>
      <w:r w:rsidR="001C4C58" w:rsidRPr="001C4C58">
        <w:rPr>
          <w:iCs/>
          <w:color w:val="auto"/>
          <w:sz w:val="18"/>
          <w:szCs w:val="18"/>
        </w:rPr>
        <w:t xml:space="preserve">changed to 5010-5260 </w:t>
      </w:r>
      <w:r w:rsidR="001C4C58">
        <w:rPr>
          <w:iCs/>
          <w:color w:val="auto"/>
          <w:sz w:val="18"/>
          <w:szCs w:val="18"/>
        </w:rPr>
        <w:t xml:space="preserve">Right Knee Patellofemoral Syndrome with Degenerative Joint Disease </w:t>
      </w:r>
      <w:r w:rsidR="001C4C58" w:rsidRPr="001C4C58">
        <w:rPr>
          <w:iCs/>
          <w:color w:val="auto"/>
          <w:sz w:val="18"/>
          <w:szCs w:val="18"/>
        </w:rPr>
        <w:t>and increased to 100% effective 20071108</w:t>
      </w:r>
      <w:r w:rsidR="001C4C58">
        <w:rPr>
          <w:iCs/>
          <w:color w:val="auto"/>
          <w:sz w:val="18"/>
          <w:szCs w:val="18"/>
        </w:rPr>
        <w:t xml:space="preserve"> for surgery and then decreased to 10% effective 20080101.</w:t>
      </w:r>
    </w:p>
    <w:p w:rsidR="004568F5" w:rsidRPr="0049448D" w:rsidRDefault="004568F5" w:rsidP="005711B1">
      <w:pPr>
        <w:autoSpaceDE w:val="0"/>
        <w:autoSpaceDN w:val="0"/>
        <w:adjustRightInd w:val="0"/>
        <w:spacing w:line="200" w:lineRule="exact"/>
        <w:jc w:val="left"/>
        <w:rPr>
          <w:rFonts w:cs="Times New Roman"/>
          <w:color w:val="auto"/>
          <w:sz w:val="18"/>
          <w:szCs w:val="18"/>
        </w:rPr>
      </w:pPr>
      <w:r>
        <w:rPr>
          <w:rFonts w:cs="Times New Roman"/>
          <w:iCs/>
          <w:color w:val="auto"/>
          <w:sz w:val="18"/>
          <w:szCs w:val="18"/>
        </w:rPr>
        <w:t>**</w:t>
      </w:r>
      <w:r w:rsidR="001C4C58">
        <w:rPr>
          <w:rFonts w:cs="Times New Roman"/>
          <w:iCs/>
          <w:color w:val="auto"/>
          <w:sz w:val="18"/>
          <w:szCs w:val="18"/>
        </w:rPr>
        <w:t>Increased</w:t>
      </w:r>
      <w:r>
        <w:rPr>
          <w:rFonts w:cs="Times New Roman"/>
          <w:iCs/>
          <w:color w:val="auto"/>
          <w:sz w:val="18"/>
          <w:szCs w:val="18"/>
        </w:rPr>
        <w:t xml:space="preserve"> to 100% from 20071108 when Right knee 5260 increased to 100%, then 80% from 20080101 when right knee 5260 reduced to 10%. Left knee 5260-5024 added at 10% effective 20091211 but combined </w:t>
      </w:r>
      <w:r w:rsidR="001C4C58">
        <w:rPr>
          <w:rFonts w:cs="Times New Roman"/>
          <w:iCs/>
          <w:color w:val="auto"/>
          <w:sz w:val="18"/>
          <w:szCs w:val="18"/>
        </w:rPr>
        <w:t>rating</w:t>
      </w:r>
      <w:r>
        <w:rPr>
          <w:rFonts w:cs="Times New Roman"/>
          <w:iCs/>
          <w:color w:val="auto"/>
          <w:sz w:val="18"/>
          <w:szCs w:val="18"/>
        </w:rPr>
        <w:t xml:space="preserve"> not affected.</w:t>
      </w:r>
    </w:p>
    <w:p w:rsidR="0049448D" w:rsidRPr="00F64312" w:rsidRDefault="0049448D" w:rsidP="00165C7B">
      <w:pPr>
        <w:pBdr>
          <w:bottom w:val="single" w:sz="12" w:space="1" w:color="auto"/>
        </w:pBdr>
        <w:tabs>
          <w:tab w:val="left" w:pos="288"/>
          <w:tab w:val="left" w:pos="4752"/>
        </w:tabs>
        <w:spacing w:line="180" w:lineRule="exact"/>
        <w:jc w:val="both"/>
        <w:rPr>
          <w:color w:val="auto"/>
          <w:sz w:val="18"/>
          <w:szCs w:val="18"/>
        </w:rPr>
      </w:pPr>
    </w:p>
    <w:p w:rsidR="00AD2379" w:rsidRPr="00061F0E" w:rsidRDefault="00AD2379" w:rsidP="00165C7B">
      <w:pPr>
        <w:jc w:val="both"/>
        <w:rPr>
          <w:color w:val="auto"/>
          <w:szCs w:val="24"/>
        </w:rPr>
      </w:pPr>
    </w:p>
    <w:p w:rsidR="00AD2379" w:rsidRPr="00061F0E" w:rsidRDefault="00AD2379" w:rsidP="00F1607D">
      <w:pPr>
        <w:jc w:val="both"/>
        <w:rPr>
          <w:color w:val="auto"/>
          <w:szCs w:val="24"/>
        </w:rPr>
      </w:pPr>
      <w:r w:rsidRPr="00AF6FD3">
        <w:rPr>
          <w:color w:val="auto"/>
          <w:szCs w:val="24"/>
          <w:u w:val="single"/>
        </w:rPr>
        <w:t>ANALYSIS SUMMARY</w:t>
      </w:r>
      <w:r w:rsidRPr="00061F0E">
        <w:rPr>
          <w:color w:val="auto"/>
          <w:szCs w:val="24"/>
        </w:rPr>
        <w:t>:</w:t>
      </w:r>
      <w:r w:rsidR="00896C01" w:rsidRPr="00061F0E">
        <w:rPr>
          <w:color w:val="auto"/>
          <w:szCs w:val="24"/>
        </w:rPr>
        <w:t xml:space="preserve"> </w:t>
      </w:r>
      <w:r w:rsidR="008C5AE9" w:rsidRPr="00061F0E">
        <w:rPr>
          <w:color w:val="auto"/>
          <w:szCs w:val="24"/>
        </w:rPr>
        <w:t xml:space="preserve"> The Board acknowledges the sentiment expressed in the CI’s application regarding the significant impairment with which h</w:t>
      </w:r>
      <w:r w:rsidR="004457A3">
        <w:rPr>
          <w:color w:val="auto"/>
          <w:szCs w:val="24"/>
        </w:rPr>
        <w:t>er</w:t>
      </w:r>
      <w:r w:rsidR="008C5AE9" w:rsidRPr="00061F0E">
        <w:rPr>
          <w:color w:val="auto"/>
          <w:szCs w:val="24"/>
        </w:rPr>
        <w:t xml:space="preserve"> service-aggravated condition continues to burden h</w:t>
      </w:r>
      <w:r w:rsidR="004457A3">
        <w:rPr>
          <w:color w:val="auto"/>
          <w:szCs w:val="24"/>
        </w:rPr>
        <w:t>er</w:t>
      </w:r>
      <w:r w:rsidR="008C5AE9" w:rsidRPr="00061F0E">
        <w:rPr>
          <w:color w:val="auto"/>
          <w:szCs w:val="24"/>
        </w:rPr>
        <w:t xml:space="preserve">.  It is a fact, however, that the </w:t>
      </w:r>
      <w:r w:rsidR="003F6E1E">
        <w:rPr>
          <w:color w:val="auto"/>
          <w:szCs w:val="24"/>
        </w:rPr>
        <w:t>Disability Evaluation System (</w:t>
      </w:r>
      <w:r w:rsidR="008C5AE9" w:rsidRPr="00061F0E">
        <w:rPr>
          <w:color w:val="auto"/>
          <w:szCs w:val="24"/>
        </w:rPr>
        <w:t>DES</w:t>
      </w:r>
      <w:r w:rsidR="003F6E1E">
        <w:rPr>
          <w:color w:val="auto"/>
          <w:szCs w:val="24"/>
        </w:rPr>
        <w:t>)</w:t>
      </w:r>
      <w:r w:rsidR="008C5AE9" w:rsidRPr="00061F0E">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3F6E1E">
        <w:rPr>
          <w:color w:val="auto"/>
          <w:szCs w:val="24"/>
        </w:rPr>
        <w:t>s’</w:t>
      </w:r>
      <w:r w:rsidR="008C5AE9" w:rsidRPr="00061F0E">
        <w:rPr>
          <w:color w:val="auto"/>
          <w:szCs w:val="24"/>
        </w:rPr>
        <w:t xml:space="preserve"> Affairs (DVA).  The DVA, operating under a different set of laws (Title 38, United States Code), is </w:t>
      </w:r>
      <w:r w:rsidR="003F6E1E">
        <w:rPr>
          <w:color w:val="auto"/>
          <w:szCs w:val="24"/>
        </w:rPr>
        <w:t>empowered to compensate service-</w:t>
      </w:r>
      <w:r w:rsidR="008C5AE9" w:rsidRPr="00061F0E">
        <w:rPr>
          <w:color w:val="auto"/>
          <w:szCs w:val="24"/>
        </w:rPr>
        <w:t>connected conditions and to periodically re-evaluate said conditions fo</w:t>
      </w:r>
      <w:r w:rsidR="003F6E1E">
        <w:rPr>
          <w:color w:val="auto"/>
          <w:szCs w:val="24"/>
        </w:rPr>
        <w:t>r the purpose of adjusting the V</w:t>
      </w:r>
      <w:r w:rsidR="008C5AE9" w:rsidRPr="00061F0E">
        <w:rPr>
          <w:color w:val="auto"/>
          <w:szCs w:val="24"/>
        </w:rPr>
        <w:t xml:space="preserve">eteran’s disability rating should </w:t>
      </w:r>
      <w:r w:rsidR="003F6E1E">
        <w:rPr>
          <w:color w:val="auto"/>
          <w:szCs w:val="24"/>
        </w:rPr>
        <w:t>the</w:t>
      </w:r>
      <w:r w:rsidR="008C5AE9" w:rsidRPr="00061F0E">
        <w:rPr>
          <w:color w:val="auto"/>
          <w:szCs w:val="24"/>
        </w:rPr>
        <w:t xml:space="preserve"> degree of impairment vary over time.  The Board utilizes VA evidence proximal to separation in arriving at its recommendations;</w:t>
      </w:r>
      <w:r w:rsidR="003F6E1E">
        <w:rPr>
          <w:color w:val="auto"/>
          <w:szCs w:val="24"/>
        </w:rPr>
        <w:t xml:space="preserve"> and, DoDI 6040.44 defines a 12-</w:t>
      </w:r>
      <w:r w:rsidR="008C5AE9" w:rsidRPr="00061F0E">
        <w:rPr>
          <w:color w:val="auto"/>
          <w:szCs w:val="24"/>
        </w:rPr>
        <w:t>month interval for special consideration to post-separation evidence.</w:t>
      </w:r>
      <w:r w:rsidR="00B545E2">
        <w:rPr>
          <w:color w:val="auto"/>
          <w:szCs w:val="24"/>
        </w:rPr>
        <w:t xml:space="preserve"> </w:t>
      </w:r>
      <w:r w:rsidR="008C5AE9" w:rsidRPr="00061F0E">
        <w:rPr>
          <w:color w:val="auto"/>
          <w:szCs w:val="24"/>
        </w:rPr>
        <w:t xml:space="preserve"> The Board’s autho</w:t>
      </w:r>
      <w:r w:rsidR="003F6E1E">
        <w:rPr>
          <w:color w:val="auto"/>
          <w:szCs w:val="24"/>
        </w:rPr>
        <w:t>rity as defined in DoDI 6044.40;</w:t>
      </w:r>
      <w:r w:rsidR="008C5AE9" w:rsidRPr="00061F0E">
        <w:rPr>
          <w:color w:val="auto"/>
          <w:szCs w:val="24"/>
        </w:rPr>
        <w:t xml:space="preserve"> however, resides in evaluating the fairness of DES fitness determinations and rating decisions for disability at the time of separation.</w:t>
      </w:r>
      <w:r w:rsidR="00B545E2">
        <w:rPr>
          <w:color w:val="auto"/>
          <w:szCs w:val="24"/>
        </w:rPr>
        <w:t xml:space="preserve"> </w:t>
      </w:r>
      <w:r w:rsidR="008C5AE9" w:rsidRPr="00061F0E">
        <w:rPr>
          <w:color w:val="auto"/>
          <w:szCs w:val="24"/>
        </w:rPr>
        <w:t xml:space="preserve"> Post-separation evidence therefore is probative only to the extent that it reasonably reflects the disability and fitness implications at the time of separation.</w:t>
      </w:r>
      <w:r w:rsidR="009B0D98">
        <w:rPr>
          <w:color w:val="auto"/>
          <w:szCs w:val="24"/>
        </w:rPr>
        <w:t xml:space="preserve"> </w:t>
      </w:r>
      <w:r w:rsidR="003527AE">
        <w:rPr>
          <w:color w:val="auto"/>
          <w:szCs w:val="24"/>
        </w:rPr>
        <w:t xml:space="preserve"> </w:t>
      </w:r>
      <w:r w:rsidR="009B0D98">
        <w:rPr>
          <w:color w:val="auto"/>
          <w:szCs w:val="24"/>
        </w:rPr>
        <w:t xml:space="preserve">The Board also notes </w:t>
      </w:r>
      <w:r w:rsidR="009B0D98" w:rsidRPr="009B0D98">
        <w:rPr>
          <w:color w:val="auto"/>
          <w:szCs w:val="24"/>
        </w:rPr>
        <w:t xml:space="preserve">that the applicant </w:t>
      </w:r>
      <w:r w:rsidR="009B0D98">
        <w:rPr>
          <w:color w:val="auto"/>
          <w:szCs w:val="24"/>
        </w:rPr>
        <w:t xml:space="preserve">requests that </w:t>
      </w:r>
      <w:r w:rsidR="009B0D98">
        <w:rPr>
          <w:color w:val="auto"/>
        </w:rPr>
        <w:t>if</w:t>
      </w:r>
      <w:r w:rsidR="009B0D98" w:rsidRPr="00A20EF7">
        <w:rPr>
          <w:color w:val="auto"/>
        </w:rPr>
        <w:t xml:space="preserve"> medically retired, </w:t>
      </w:r>
      <w:r w:rsidR="009B0D98">
        <w:rPr>
          <w:color w:val="auto"/>
        </w:rPr>
        <w:t>she</w:t>
      </w:r>
      <w:r w:rsidR="009B0D98" w:rsidRPr="00A20EF7">
        <w:rPr>
          <w:color w:val="auto"/>
        </w:rPr>
        <w:t xml:space="preserve"> be retired at the rank of LDCR 0-4, as </w:t>
      </w:r>
      <w:r w:rsidR="009B0D98">
        <w:rPr>
          <w:color w:val="auto"/>
        </w:rPr>
        <w:t>she</w:t>
      </w:r>
      <w:r w:rsidR="009B0D98" w:rsidRPr="00A20EF7">
        <w:rPr>
          <w:color w:val="auto"/>
        </w:rPr>
        <w:t xml:space="preserve"> was selected and on the list for promotion to LDCR in July 2007</w:t>
      </w:r>
      <w:r w:rsidR="009B0D98" w:rsidRPr="009B0D98">
        <w:rPr>
          <w:color w:val="auto"/>
          <w:szCs w:val="24"/>
        </w:rPr>
        <w:t xml:space="preserve">. </w:t>
      </w:r>
      <w:r w:rsidR="003527AE">
        <w:rPr>
          <w:color w:val="auto"/>
          <w:szCs w:val="24"/>
        </w:rPr>
        <w:t xml:space="preserve"> </w:t>
      </w:r>
      <w:r w:rsidR="009B0D98" w:rsidRPr="009B0D98">
        <w:rPr>
          <w:color w:val="auto"/>
          <w:szCs w:val="24"/>
        </w:rPr>
        <w:t xml:space="preserve">By law the Board authority is limited to making recommendation on correcting disability determinations. </w:t>
      </w:r>
      <w:r w:rsidR="003527AE">
        <w:rPr>
          <w:color w:val="auto"/>
          <w:szCs w:val="24"/>
        </w:rPr>
        <w:t xml:space="preserve"> </w:t>
      </w:r>
      <w:r w:rsidR="009B0D98" w:rsidRPr="009B0D98">
        <w:rPr>
          <w:color w:val="auto"/>
          <w:szCs w:val="24"/>
        </w:rPr>
        <w:t xml:space="preserve">The actual correction of records and consequential entitlement determinations is the responsibility of the applicable secretary and accounting service. </w:t>
      </w:r>
      <w:r w:rsidR="003527AE">
        <w:rPr>
          <w:color w:val="auto"/>
          <w:szCs w:val="24"/>
        </w:rPr>
        <w:t xml:space="preserve"> </w:t>
      </w:r>
      <w:r w:rsidR="009B0D98" w:rsidRPr="009B0D98">
        <w:rPr>
          <w:color w:val="auto"/>
          <w:szCs w:val="24"/>
        </w:rPr>
        <w:t xml:space="preserve">The applicant's request will of course remain with the application as it is processed. </w:t>
      </w:r>
      <w:r w:rsidR="003527AE">
        <w:rPr>
          <w:color w:val="auto"/>
          <w:szCs w:val="24"/>
        </w:rPr>
        <w:t xml:space="preserve"> </w:t>
      </w:r>
      <w:r w:rsidR="009B0D98" w:rsidRPr="009B0D98">
        <w:rPr>
          <w:color w:val="auto"/>
          <w:szCs w:val="24"/>
        </w:rPr>
        <w:t>The Board will review all evidence at hand to assess the fairness of PEB rating determinations, compared to VASRD standards, based on severity at the time of separation.</w:t>
      </w:r>
    </w:p>
    <w:p w:rsidR="00D3114A" w:rsidRPr="00061F0E" w:rsidRDefault="00D3114A" w:rsidP="00061F0E">
      <w:pPr>
        <w:jc w:val="both"/>
        <w:rPr>
          <w:color w:val="auto"/>
          <w:szCs w:val="24"/>
        </w:rPr>
      </w:pPr>
    </w:p>
    <w:p w:rsidR="00AF6FD3" w:rsidRDefault="00D3114A" w:rsidP="00AF6FD3">
      <w:pPr>
        <w:jc w:val="both"/>
        <w:rPr>
          <w:color w:val="auto"/>
          <w:szCs w:val="24"/>
        </w:rPr>
      </w:pPr>
      <w:r w:rsidRPr="00AF6FD3">
        <w:rPr>
          <w:color w:val="auto"/>
          <w:szCs w:val="24"/>
          <w:u w:val="single"/>
        </w:rPr>
        <w:t>R</w:t>
      </w:r>
      <w:r w:rsidR="00D62B01" w:rsidRPr="00AF6FD3">
        <w:rPr>
          <w:color w:val="auto"/>
          <w:szCs w:val="24"/>
          <w:u w:val="single"/>
        </w:rPr>
        <w:t>ight</w:t>
      </w:r>
      <w:r w:rsidRPr="00AF6FD3">
        <w:rPr>
          <w:color w:val="auto"/>
          <w:szCs w:val="24"/>
          <w:u w:val="single"/>
        </w:rPr>
        <w:t xml:space="preserve"> Knee Chondromalacia Osteoarthritis of the Medial Comp</w:t>
      </w:r>
      <w:r w:rsidR="00135ECA" w:rsidRPr="00AF6FD3">
        <w:rPr>
          <w:color w:val="auto"/>
          <w:szCs w:val="24"/>
          <w:u w:val="single"/>
        </w:rPr>
        <w:t>a</w:t>
      </w:r>
      <w:r w:rsidRPr="00AF6FD3">
        <w:rPr>
          <w:color w:val="auto"/>
          <w:szCs w:val="24"/>
          <w:u w:val="single"/>
        </w:rPr>
        <w:t>rtm</w:t>
      </w:r>
      <w:r w:rsidR="00135ECA" w:rsidRPr="00AF6FD3">
        <w:rPr>
          <w:color w:val="auto"/>
          <w:szCs w:val="24"/>
          <w:u w:val="single"/>
        </w:rPr>
        <w:t>en</w:t>
      </w:r>
      <w:r w:rsidRPr="00AF6FD3">
        <w:rPr>
          <w:color w:val="auto"/>
          <w:szCs w:val="24"/>
          <w:u w:val="single"/>
        </w:rPr>
        <w:t>t</w:t>
      </w:r>
      <w:r w:rsidR="00AF6FD3">
        <w:rPr>
          <w:color w:val="auto"/>
          <w:szCs w:val="24"/>
        </w:rPr>
        <w:t>.</w:t>
      </w:r>
      <w:r w:rsidR="00497A0B" w:rsidRPr="00061F0E">
        <w:rPr>
          <w:color w:val="auto"/>
          <w:szCs w:val="24"/>
        </w:rPr>
        <w:t xml:space="preserve"> </w:t>
      </w:r>
      <w:r w:rsidR="008F03E0">
        <w:rPr>
          <w:color w:val="auto"/>
          <w:szCs w:val="24"/>
        </w:rPr>
        <w:t xml:space="preserve"> </w:t>
      </w:r>
      <w:r w:rsidR="0069687C" w:rsidRPr="00F64312">
        <w:rPr>
          <w:color w:val="auto"/>
          <w:szCs w:val="24"/>
        </w:rPr>
        <w:t xml:space="preserve">There were </w:t>
      </w:r>
      <w:r w:rsidR="008F03E0">
        <w:rPr>
          <w:color w:val="auto"/>
          <w:szCs w:val="24"/>
        </w:rPr>
        <w:t>three</w:t>
      </w:r>
      <w:r w:rsidR="00001EFC">
        <w:rPr>
          <w:color w:val="auto"/>
          <w:szCs w:val="24"/>
        </w:rPr>
        <w:t xml:space="preserve"> goniometric rang</w:t>
      </w:r>
      <w:r w:rsidR="00E95FFF">
        <w:rPr>
          <w:color w:val="auto"/>
          <w:szCs w:val="24"/>
        </w:rPr>
        <w:t>e</w:t>
      </w:r>
      <w:r w:rsidR="003F6E1E">
        <w:rPr>
          <w:color w:val="auto"/>
          <w:szCs w:val="24"/>
        </w:rPr>
        <w:t>-of-</w:t>
      </w:r>
      <w:r w:rsidR="0069687C" w:rsidRPr="00F64312">
        <w:rPr>
          <w:color w:val="auto"/>
          <w:szCs w:val="24"/>
        </w:rPr>
        <w:t>motion (ROM) evaluations in evidence, with documentation of additional ratable criteria, which the Board weighed in arriving at its rating recommendation; a</w:t>
      </w:r>
      <w:r w:rsidR="000619E7">
        <w:rPr>
          <w:color w:val="auto"/>
          <w:szCs w:val="24"/>
        </w:rPr>
        <w:t>s summarized in the chart below.</w:t>
      </w:r>
    </w:p>
    <w:p w:rsidR="00344D5F" w:rsidRDefault="00344D5F" w:rsidP="003F6E1E">
      <w:pPr>
        <w:jc w:val="both"/>
        <w:rPr>
          <w:rFonts w:eastAsiaTheme="minorHAnsi"/>
          <w:color w:val="auto"/>
          <w:szCs w:val="24"/>
        </w:rPr>
      </w:pPr>
    </w:p>
    <w:tbl>
      <w:tblPr>
        <w:tblW w:w="9554" w:type="dxa"/>
        <w:jc w:val="center"/>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1800"/>
        <w:gridCol w:w="1440"/>
        <w:gridCol w:w="2160"/>
        <w:gridCol w:w="2077"/>
      </w:tblGrid>
      <w:tr w:rsidR="001149C0" w:rsidRPr="00F64312" w:rsidTr="001149C0">
        <w:trPr>
          <w:trHeight w:val="467"/>
          <w:jc w:val="center"/>
        </w:trPr>
        <w:tc>
          <w:tcPr>
            <w:tcW w:w="2077" w:type="dxa"/>
            <w:tcBorders>
              <w:top w:val="single" w:sz="4" w:space="0" w:color="000000"/>
              <w:left w:val="single" w:sz="4" w:space="0" w:color="000000"/>
              <w:right w:val="single" w:sz="4" w:space="0" w:color="000000"/>
            </w:tcBorders>
            <w:shd w:val="clear" w:color="auto" w:fill="D9D9D9" w:themeFill="background1" w:themeFillShade="D9"/>
            <w:vAlign w:val="center"/>
            <w:hideMark/>
          </w:tcPr>
          <w:p w:rsidR="001149C0" w:rsidRPr="002A1BC0" w:rsidRDefault="001149C0" w:rsidP="002A1BC0">
            <w:pPr>
              <w:spacing w:line="200" w:lineRule="exact"/>
              <w:rPr>
                <w:rFonts w:asciiTheme="majorHAnsi" w:hAnsiTheme="majorHAnsi" w:cstheme="majorHAnsi"/>
                <w:color w:val="auto"/>
                <w:sz w:val="20"/>
              </w:rPr>
            </w:pPr>
            <w:r w:rsidRPr="002A1BC0">
              <w:rPr>
                <w:rFonts w:asciiTheme="majorHAnsi" w:hAnsiTheme="majorHAnsi" w:cstheme="majorHAnsi"/>
                <w:color w:val="auto"/>
                <w:sz w:val="20"/>
              </w:rPr>
              <w:lastRenderedPageBreak/>
              <w:t>Goniometric ROM-</w:t>
            </w:r>
          </w:p>
          <w:p w:rsidR="001149C0" w:rsidRPr="002A1BC0" w:rsidRDefault="001149C0" w:rsidP="002A1BC0">
            <w:pPr>
              <w:spacing w:line="200" w:lineRule="exact"/>
              <w:rPr>
                <w:rFonts w:asciiTheme="majorHAnsi" w:eastAsia="Calibri" w:hAnsiTheme="majorHAnsi" w:cstheme="majorHAnsi"/>
                <w:color w:val="auto"/>
                <w:sz w:val="20"/>
              </w:rPr>
            </w:pPr>
            <w:r w:rsidRPr="002A1BC0">
              <w:rPr>
                <w:rFonts w:asciiTheme="majorHAnsi" w:hAnsiTheme="majorHAnsi" w:cstheme="majorHAnsi"/>
                <w:color w:val="auto"/>
                <w:sz w:val="20"/>
              </w:rPr>
              <w:t>Right Knee</w:t>
            </w:r>
            <w:r w:rsidRPr="002A1BC0">
              <w:rPr>
                <w:rFonts w:asciiTheme="majorHAnsi" w:hAnsiTheme="majorHAnsi" w:cstheme="majorHAnsi"/>
                <w:i/>
                <w:color w:val="auto"/>
                <w:sz w:val="20"/>
              </w:rPr>
              <w:t xml:space="preserve"> </w:t>
            </w:r>
            <w:r w:rsidRPr="002A1BC0">
              <w:rPr>
                <w:rFonts w:asciiTheme="majorHAnsi" w:hAnsiTheme="majorHAnsi" w:cstheme="majorHAnsi"/>
                <w:color w:val="auto"/>
                <w:sz w:val="20"/>
              </w:rPr>
              <w:t xml:space="preserve">  </w:t>
            </w:r>
          </w:p>
        </w:tc>
        <w:tc>
          <w:tcPr>
            <w:tcW w:w="1800" w:type="dxa"/>
            <w:tcBorders>
              <w:top w:val="single" w:sz="4" w:space="0" w:color="000000"/>
              <w:left w:val="single" w:sz="4" w:space="0" w:color="000000"/>
              <w:right w:val="single" w:sz="4" w:space="0" w:color="000000"/>
            </w:tcBorders>
            <w:shd w:val="clear" w:color="auto" w:fill="D9D9D9" w:themeFill="background1" w:themeFillShade="D9"/>
            <w:vAlign w:val="center"/>
          </w:tcPr>
          <w:p w:rsidR="001149C0" w:rsidRDefault="001149C0" w:rsidP="001149C0">
            <w:pPr>
              <w:spacing w:line="200" w:lineRule="exact"/>
              <w:contextualSpacing/>
              <w:rPr>
                <w:rFonts w:asciiTheme="majorHAnsi" w:eastAsia="Calibri" w:hAnsiTheme="majorHAnsi" w:cstheme="majorHAnsi"/>
                <w:color w:val="auto"/>
                <w:sz w:val="20"/>
              </w:rPr>
            </w:pPr>
            <w:r w:rsidRPr="002A1BC0">
              <w:rPr>
                <w:rFonts w:asciiTheme="majorHAnsi" w:eastAsia="Calibri" w:hAnsiTheme="majorHAnsi" w:cstheme="majorHAnsi"/>
                <w:color w:val="auto"/>
                <w:sz w:val="20"/>
              </w:rPr>
              <w:t>MEB ~9 Mo</w:t>
            </w:r>
            <w:r>
              <w:rPr>
                <w:rFonts w:asciiTheme="majorHAnsi" w:eastAsia="Calibri" w:hAnsiTheme="majorHAnsi" w:cstheme="majorHAnsi"/>
                <w:color w:val="auto"/>
                <w:sz w:val="20"/>
              </w:rPr>
              <w:t>nths</w:t>
            </w:r>
          </w:p>
          <w:p w:rsidR="001149C0" w:rsidRPr="002A1BC0" w:rsidRDefault="001149C0" w:rsidP="00AF445D">
            <w:pPr>
              <w:spacing w:line="200" w:lineRule="exact"/>
              <w:contextualSpacing/>
              <w:rPr>
                <w:rFonts w:asciiTheme="majorHAnsi" w:eastAsia="Calibri" w:hAnsiTheme="majorHAnsi" w:cstheme="majorHAnsi"/>
                <w:color w:val="auto"/>
                <w:sz w:val="20"/>
              </w:rPr>
            </w:pPr>
            <w:r w:rsidRPr="002A1BC0">
              <w:rPr>
                <w:rFonts w:asciiTheme="majorHAnsi" w:eastAsia="Calibri" w:hAnsiTheme="majorHAnsi" w:cstheme="majorHAnsi"/>
                <w:color w:val="auto"/>
                <w:sz w:val="20"/>
              </w:rPr>
              <w:t>Pre-Sep</w:t>
            </w:r>
            <w:r>
              <w:rPr>
                <w:rFonts w:asciiTheme="majorHAnsi" w:eastAsia="Calibri" w:hAnsiTheme="majorHAnsi" w:cstheme="majorHAnsi"/>
                <w:color w:val="auto"/>
                <w:sz w:val="20"/>
              </w:rPr>
              <w:t>aration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49C0" w:rsidRDefault="001149C0" w:rsidP="001149C0">
            <w:pPr>
              <w:spacing w:line="200" w:lineRule="exact"/>
              <w:contextualSpacing/>
              <w:rPr>
                <w:rFonts w:asciiTheme="majorHAnsi" w:eastAsia="Calibri" w:hAnsiTheme="majorHAnsi" w:cstheme="majorHAnsi"/>
                <w:color w:val="auto"/>
                <w:sz w:val="20"/>
              </w:rPr>
            </w:pPr>
            <w:r w:rsidRPr="002A1BC0">
              <w:rPr>
                <w:rFonts w:asciiTheme="majorHAnsi" w:eastAsia="Calibri" w:hAnsiTheme="majorHAnsi" w:cstheme="majorHAnsi"/>
                <w:color w:val="auto"/>
                <w:sz w:val="20"/>
              </w:rPr>
              <w:t>Clinic</w:t>
            </w:r>
          </w:p>
          <w:p w:rsidR="001149C0" w:rsidRDefault="001149C0" w:rsidP="001149C0">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~7 Months</w:t>
            </w:r>
          </w:p>
          <w:p w:rsidR="001149C0" w:rsidRPr="002A1BC0" w:rsidRDefault="001149C0" w:rsidP="00AF445D">
            <w:pPr>
              <w:spacing w:line="200" w:lineRule="exact"/>
              <w:contextualSpacing/>
              <w:rPr>
                <w:rFonts w:asciiTheme="majorHAnsi" w:eastAsia="Calibri" w:hAnsiTheme="majorHAnsi" w:cstheme="majorHAnsi"/>
                <w:color w:val="auto"/>
                <w:sz w:val="20"/>
              </w:rPr>
            </w:pPr>
            <w:r w:rsidRPr="002A1BC0">
              <w:rPr>
                <w:rFonts w:asciiTheme="majorHAnsi" w:eastAsia="Calibri" w:hAnsiTheme="majorHAnsi" w:cstheme="majorHAnsi"/>
                <w:color w:val="auto"/>
                <w:sz w:val="20"/>
              </w:rPr>
              <w:t>Pre-Sep</w:t>
            </w:r>
            <w:r>
              <w:rPr>
                <w:rFonts w:asciiTheme="majorHAnsi" w:eastAsia="Calibri" w:hAnsiTheme="majorHAnsi" w:cstheme="majorHAnsi"/>
                <w:color w:val="auto"/>
                <w:sz w:val="20"/>
              </w:rPr>
              <w:t>aration</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49C0" w:rsidRDefault="001149C0" w:rsidP="001149C0">
            <w:pPr>
              <w:spacing w:line="200" w:lineRule="exact"/>
              <w:contextualSpacing/>
              <w:rPr>
                <w:rFonts w:asciiTheme="majorHAnsi" w:eastAsia="Calibri" w:hAnsiTheme="majorHAnsi" w:cstheme="majorHAnsi"/>
                <w:color w:val="auto"/>
                <w:sz w:val="20"/>
              </w:rPr>
            </w:pPr>
            <w:r w:rsidRPr="002A1BC0">
              <w:rPr>
                <w:rFonts w:asciiTheme="majorHAnsi" w:eastAsia="Calibri" w:hAnsiTheme="majorHAnsi" w:cstheme="majorHAnsi"/>
                <w:color w:val="auto"/>
                <w:sz w:val="20"/>
              </w:rPr>
              <w:t>VA</w:t>
            </w:r>
            <w:r w:rsidRPr="002A1BC0">
              <w:rPr>
                <w:rFonts w:asciiTheme="majorHAnsi" w:eastAsiaTheme="minorHAnsi" w:hAnsiTheme="majorHAnsi" w:cstheme="majorHAnsi"/>
                <w:color w:val="auto"/>
                <w:sz w:val="20"/>
              </w:rPr>
              <w:t xml:space="preserve"> C&amp;P </w:t>
            </w:r>
            <w:r>
              <w:rPr>
                <w:rFonts w:asciiTheme="majorHAnsi" w:eastAsia="Calibri" w:hAnsiTheme="majorHAnsi" w:cstheme="majorHAnsi"/>
                <w:color w:val="auto"/>
                <w:sz w:val="20"/>
              </w:rPr>
              <w:t>~2 Months</w:t>
            </w:r>
          </w:p>
          <w:p w:rsidR="001149C0" w:rsidRPr="00AF445D" w:rsidRDefault="001149C0" w:rsidP="00AF445D">
            <w:pPr>
              <w:spacing w:line="200" w:lineRule="exact"/>
              <w:contextualSpacing/>
              <w:rPr>
                <w:rFonts w:asciiTheme="majorHAnsi" w:eastAsia="Calibri" w:hAnsiTheme="majorHAnsi" w:cstheme="majorHAnsi"/>
                <w:color w:val="auto"/>
                <w:sz w:val="20"/>
              </w:rPr>
            </w:pPr>
            <w:r w:rsidRPr="002A1BC0">
              <w:rPr>
                <w:rFonts w:asciiTheme="majorHAnsi" w:eastAsia="Calibri" w:hAnsiTheme="majorHAnsi" w:cstheme="majorHAnsi"/>
                <w:color w:val="auto"/>
                <w:sz w:val="20"/>
              </w:rPr>
              <w:t>Pre-Sep</w:t>
            </w:r>
            <w:r>
              <w:rPr>
                <w:rFonts w:asciiTheme="majorHAnsi" w:eastAsia="Calibri" w:hAnsiTheme="majorHAnsi" w:cstheme="majorHAnsi"/>
                <w:color w:val="auto"/>
                <w:sz w:val="20"/>
              </w:rPr>
              <w:t>aration</w:t>
            </w:r>
          </w:p>
        </w:tc>
        <w:tc>
          <w:tcPr>
            <w:tcW w:w="2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149C0" w:rsidRDefault="001149C0" w:rsidP="001149C0">
            <w:pPr>
              <w:spacing w:line="200" w:lineRule="exact"/>
              <w:contextualSpacing/>
              <w:rPr>
                <w:rFonts w:asciiTheme="majorHAnsi" w:eastAsia="Calibri" w:hAnsiTheme="majorHAnsi" w:cstheme="majorHAnsi"/>
                <w:color w:val="auto"/>
                <w:sz w:val="20"/>
              </w:rPr>
            </w:pPr>
            <w:r w:rsidRPr="002A1BC0">
              <w:rPr>
                <w:rFonts w:asciiTheme="majorHAnsi" w:eastAsia="Calibri" w:hAnsiTheme="majorHAnsi" w:cstheme="majorHAnsi"/>
                <w:color w:val="auto"/>
                <w:sz w:val="20"/>
              </w:rPr>
              <w:t>VA</w:t>
            </w:r>
            <w:r w:rsidRPr="002A1BC0">
              <w:rPr>
                <w:rFonts w:asciiTheme="majorHAnsi" w:eastAsiaTheme="minorHAnsi" w:hAnsiTheme="majorHAnsi" w:cstheme="majorHAnsi"/>
                <w:color w:val="auto"/>
                <w:sz w:val="20"/>
              </w:rPr>
              <w:t xml:space="preserve"> C&amp;P </w:t>
            </w:r>
            <w:r>
              <w:rPr>
                <w:rFonts w:asciiTheme="majorHAnsi" w:eastAsia="Calibri" w:hAnsiTheme="majorHAnsi" w:cstheme="majorHAnsi"/>
                <w:color w:val="auto"/>
                <w:sz w:val="20"/>
              </w:rPr>
              <w:t>~6 Months</w:t>
            </w:r>
          </w:p>
          <w:p w:rsidR="001149C0" w:rsidRPr="002A1BC0" w:rsidRDefault="001149C0" w:rsidP="00AF445D">
            <w:pPr>
              <w:spacing w:line="200" w:lineRule="exact"/>
              <w:contextualSpacing/>
              <w:rPr>
                <w:rFonts w:asciiTheme="majorHAnsi" w:eastAsia="Calibri" w:hAnsiTheme="majorHAnsi" w:cstheme="majorHAnsi"/>
                <w:color w:val="auto"/>
                <w:sz w:val="20"/>
              </w:rPr>
            </w:pPr>
            <w:r w:rsidRPr="002A1BC0">
              <w:rPr>
                <w:rFonts w:asciiTheme="majorHAnsi" w:eastAsia="Calibri" w:hAnsiTheme="majorHAnsi" w:cstheme="majorHAnsi"/>
                <w:color w:val="auto"/>
                <w:sz w:val="20"/>
              </w:rPr>
              <w:t>P</w:t>
            </w:r>
            <w:r>
              <w:rPr>
                <w:rFonts w:asciiTheme="majorHAnsi" w:eastAsia="Calibri" w:hAnsiTheme="majorHAnsi" w:cstheme="majorHAnsi"/>
                <w:color w:val="auto"/>
                <w:sz w:val="20"/>
              </w:rPr>
              <w:t>ost</w:t>
            </w:r>
            <w:r w:rsidRPr="002A1BC0">
              <w:rPr>
                <w:rFonts w:asciiTheme="majorHAnsi" w:eastAsia="Calibri" w:hAnsiTheme="majorHAnsi" w:cstheme="majorHAnsi"/>
                <w:color w:val="auto"/>
                <w:sz w:val="20"/>
              </w:rPr>
              <w:t>-Sep</w:t>
            </w:r>
            <w:r>
              <w:rPr>
                <w:rFonts w:asciiTheme="majorHAnsi" w:eastAsia="Calibri" w:hAnsiTheme="majorHAnsi" w:cstheme="majorHAnsi"/>
                <w:color w:val="auto"/>
                <w:sz w:val="20"/>
              </w:rPr>
              <w:t>aration</w:t>
            </w:r>
          </w:p>
        </w:tc>
      </w:tr>
      <w:tr w:rsidR="001149C0" w:rsidRPr="00F64312" w:rsidTr="001149C0">
        <w:trPr>
          <w:jc w:val="center"/>
        </w:trPr>
        <w:tc>
          <w:tcPr>
            <w:tcW w:w="2077" w:type="dxa"/>
            <w:tcBorders>
              <w:top w:val="single" w:sz="4" w:space="0" w:color="000000"/>
              <w:left w:val="single" w:sz="4" w:space="0" w:color="000000"/>
              <w:bottom w:val="single" w:sz="4" w:space="0" w:color="000000"/>
              <w:right w:val="single" w:sz="4" w:space="0" w:color="000000"/>
            </w:tcBorders>
            <w:vAlign w:val="center"/>
            <w:hideMark/>
          </w:tcPr>
          <w:p w:rsidR="001149C0" w:rsidRPr="002A1BC0" w:rsidRDefault="001149C0" w:rsidP="002A1BC0">
            <w:pPr>
              <w:spacing w:line="200" w:lineRule="exact"/>
              <w:contextualSpacing/>
              <w:rPr>
                <w:rFonts w:asciiTheme="majorHAnsi" w:hAnsiTheme="majorHAnsi" w:cstheme="majorHAnsi"/>
                <w:color w:val="auto"/>
                <w:sz w:val="20"/>
              </w:rPr>
            </w:pPr>
            <w:r w:rsidRPr="002A1BC0">
              <w:rPr>
                <w:rFonts w:asciiTheme="majorHAnsi" w:hAnsiTheme="majorHAnsi" w:cstheme="majorHAnsi"/>
                <w:color w:val="auto"/>
                <w:sz w:val="20"/>
              </w:rPr>
              <w:t>Flexion (140⁰ Normal)</w:t>
            </w:r>
          </w:p>
        </w:tc>
        <w:tc>
          <w:tcPr>
            <w:tcW w:w="1800" w:type="dxa"/>
            <w:tcBorders>
              <w:top w:val="single" w:sz="4" w:space="0" w:color="000000"/>
              <w:left w:val="single" w:sz="4" w:space="0" w:color="000000"/>
              <w:bottom w:val="single" w:sz="4" w:space="0" w:color="000000"/>
              <w:right w:val="single" w:sz="4" w:space="0" w:color="000000"/>
            </w:tcBorders>
            <w:vAlign w:val="center"/>
          </w:tcPr>
          <w:p w:rsidR="001149C0" w:rsidRPr="002A1BC0" w:rsidRDefault="001149C0" w:rsidP="001149C0">
            <w:pPr>
              <w:spacing w:line="200" w:lineRule="exact"/>
              <w:rPr>
                <w:rFonts w:asciiTheme="majorHAnsi" w:eastAsia="Calibri" w:hAnsiTheme="majorHAnsi" w:cstheme="majorHAnsi"/>
                <w:color w:val="auto"/>
                <w:sz w:val="20"/>
                <w:highlight w:val="yellow"/>
              </w:rPr>
            </w:pPr>
            <w:r w:rsidRPr="002A1BC0">
              <w:rPr>
                <w:rFonts w:asciiTheme="majorHAnsi" w:eastAsia="Calibri" w:hAnsiTheme="majorHAnsi" w:cstheme="majorHAnsi"/>
                <w:color w:val="auto"/>
                <w:sz w:val="20"/>
              </w:rPr>
              <w:t>Full</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149C0" w:rsidRPr="002A1BC0" w:rsidRDefault="001149C0" w:rsidP="001149C0">
            <w:pPr>
              <w:spacing w:line="200" w:lineRule="exact"/>
              <w:rPr>
                <w:rFonts w:asciiTheme="majorHAnsi" w:eastAsia="Calibri" w:hAnsiTheme="majorHAnsi" w:cstheme="majorHAnsi"/>
                <w:color w:val="auto"/>
                <w:sz w:val="20"/>
                <w:highlight w:val="yellow"/>
              </w:rPr>
            </w:pPr>
            <w:r w:rsidRPr="002A1BC0">
              <w:rPr>
                <w:rFonts w:asciiTheme="majorHAnsi" w:eastAsia="Calibri" w:hAnsiTheme="majorHAnsi" w:cstheme="majorHAnsi"/>
                <w:color w:val="auto"/>
                <w:sz w:val="20"/>
              </w:rPr>
              <w:t>140⁰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149C0" w:rsidRPr="002A1BC0" w:rsidRDefault="001149C0" w:rsidP="001149C0">
            <w:pPr>
              <w:spacing w:line="200" w:lineRule="exact"/>
              <w:rPr>
                <w:rFonts w:asciiTheme="majorHAnsi" w:eastAsia="Calibri" w:hAnsiTheme="majorHAnsi" w:cstheme="majorHAnsi"/>
                <w:color w:val="auto"/>
                <w:sz w:val="20"/>
              </w:rPr>
            </w:pPr>
            <w:r w:rsidRPr="002A1BC0">
              <w:rPr>
                <w:rFonts w:asciiTheme="majorHAnsi" w:eastAsia="Calibri" w:hAnsiTheme="majorHAnsi" w:cstheme="majorHAnsi"/>
                <w:color w:val="auto"/>
                <w:sz w:val="20"/>
              </w:rPr>
              <w:t>140⁰</w:t>
            </w:r>
          </w:p>
        </w:tc>
        <w:tc>
          <w:tcPr>
            <w:tcW w:w="2077" w:type="dxa"/>
            <w:tcBorders>
              <w:top w:val="single" w:sz="4" w:space="0" w:color="000000"/>
              <w:left w:val="single" w:sz="4" w:space="0" w:color="000000"/>
              <w:bottom w:val="single" w:sz="4" w:space="0" w:color="000000"/>
              <w:right w:val="single" w:sz="4" w:space="0" w:color="000000"/>
            </w:tcBorders>
            <w:vAlign w:val="center"/>
          </w:tcPr>
          <w:p w:rsidR="001149C0" w:rsidRPr="002A1BC0" w:rsidRDefault="001149C0" w:rsidP="001149C0">
            <w:pPr>
              <w:spacing w:line="200" w:lineRule="exact"/>
              <w:rPr>
                <w:rFonts w:asciiTheme="majorHAnsi" w:eastAsia="Calibri" w:hAnsiTheme="majorHAnsi" w:cstheme="majorHAnsi"/>
                <w:color w:val="auto"/>
                <w:sz w:val="20"/>
              </w:rPr>
            </w:pPr>
            <w:r w:rsidRPr="002A1BC0">
              <w:rPr>
                <w:rFonts w:asciiTheme="majorHAnsi" w:eastAsia="Calibri" w:hAnsiTheme="majorHAnsi" w:cstheme="majorHAnsi"/>
                <w:color w:val="auto"/>
                <w:sz w:val="20"/>
              </w:rPr>
              <w:t>140⁰</w:t>
            </w:r>
            <w:r>
              <w:rPr>
                <w:rFonts w:asciiTheme="majorHAnsi" w:eastAsia="Calibri" w:hAnsiTheme="majorHAnsi" w:cstheme="majorHAnsi"/>
                <w:color w:val="auto"/>
                <w:sz w:val="20"/>
              </w:rPr>
              <w:t xml:space="preserve"> (130° after repetitive motion)</w:t>
            </w:r>
          </w:p>
        </w:tc>
      </w:tr>
      <w:tr w:rsidR="001149C0" w:rsidRPr="00F64312" w:rsidTr="001149C0">
        <w:trPr>
          <w:jc w:val="center"/>
        </w:trPr>
        <w:tc>
          <w:tcPr>
            <w:tcW w:w="2077" w:type="dxa"/>
            <w:tcBorders>
              <w:top w:val="single" w:sz="4" w:space="0" w:color="000000"/>
              <w:left w:val="single" w:sz="4" w:space="0" w:color="000000"/>
              <w:bottom w:val="single" w:sz="4" w:space="0" w:color="000000"/>
              <w:right w:val="single" w:sz="4" w:space="0" w:color="000000"/>
            </w:tcBorders>
            <w:vAlign w:val="center"/>
            <w:hideMark/>
          </w:tcPr>
          <w:p w:rsidR="001149C0" w:rsidRPr="002A1BC0" w:rsidRDefault="001149C0" w:rsidP="002A1BC0">
            <w:pPr>
              <w:tabs>
                <w:tab w:val="left" w:pos="288"/>
                <w:tab w:val="left" w:pos="4752"/>
              </w:tabs>
              <w:spacing w:line="200" w:lineRule="exact"/>
              <w:rPr>
                <w:rFonts w:asciiTheme="majorHAnsi" w:eastAsiaTheme="minorHAnsi" w:hAnsiTheme="majorHAnsi" w:cstheme="majorHAnsi"/>
                <w:color w:val="auto"/>
                <w:sz w:val="20"/>
              </w:rPr>
            </w:pPr>
            <w:r w:rsidRPr="002A1BC0">
              <w:rPr>
                <w:rFonts w:asciiTheme="majorHAnsi" w:eastAsiaTheme="minorHAnsi" w:hAnsiTheme="majorHAnsi" w:cstheme="majorHAnsi"/>
                <w:color w:val="auto"/>
                <w:sz w:val="20"/>
              </w:rPr>
              <w:t>Extension (0</w:t>
            </w:r>
            <w:r w:rsidRPr="002A1BC0">
              <w:rPr>
                <w:rFonts w:asciiTheme="majorHAnsi" w:hAnsiTheme="majorHAnsi" w:cstheme="majorHAnsi"/>
                <w:color w:val="auto"/>
                <w:sz w:val="20"/>
              </w:rPr>
              <w:t>⁰ Normal)</w:t>
            </w:r>
          </w:p>
        </w:tc>
        <w:tc>
          <w:tcPr>
            <w:tcW w:w="1800" w:type="dxa"/>
            <w:tcBorders>
              <w:top w:val="single" w:sz="4" w:space="0" w:color="000000"/>
              <w:left w:val="single" w:sz="4" w:space="0" w:color="000000"/>
              <w:bottom w:val="single" w:sz="4" w:space="0" w:color="000000"/>
              <w:right w:val="single" w:sz="4" w:space="0" w:color="000000"/>
            </w:tcBorders>
            <w:vAlign w:val="center"/>
          </w:tcPr>
          <w:p w:rsidR="001149C0" w:rsidRPr="002A1BC0" w:rsidRDefault="001149C0" w:rsidP="001149C0">
            <w:pPr>
              <w:spacing w:line="200" w:lineRule="exact"/>
              <w:contextualSpacing/>
              <w:rPr>
                <w:rFonts w:asciiTheme="majorHAnsi" w:eastAsia="Calibri" w:hAnsiTheme="majorHAnsi" w:cstheme="majorHAnsi"/>
                <w:color w:val="auto"/>
                <w:sz w:val="20"/>
                <w:highlight w:val="lightGray"/>
              </w:rPr>
            </w:pPr>
            <w:r w:rsidRPr="002A1BC0">
              <w:rPr>
                <w:rFonts w:asciiTheme="majorHAnsi" w:eastAsia="Calibri" w:hAnsiTheme="majorHAnsi" w:cstheme="majorHAnsi"/>
                <w:color w:val="auto"/>
                <w:sz w:val="20"/>
              </w:rPr>
              <w:t>Full</w:t>
            </w:r>
          </w:p>
        </w:tc>
        <w:tc>
          <w:tcPr>
            <w:tcW w:w="1440" w:type="dxa"/>
            <w:tcBorders>
              <w:top w:val="single" w:sz="4" w:space="0" w:color="000000"/>
              <w:left w:val="single" w:sz="4" w:space="0" w:color="000000"/>
              <w:bottom w:val="single" w:sz="4" w:space="0" w:color="000000"/>
              <w:right w:val="single" w:sz="4" w:space="0" w:color="000000"/>
            </w:tcBorders>
            <w:vAlign w:val="center"/>
          </w:tcPr>
          <w:p w:rsidR="001149C0" w:rsidRPr="002A1BC0" w:rsidRDefault="001149C0" w:rsidP="001149C0">
            <w:pPr>
              <w:spacing w:line="200" w:lineRule="exact"/>
              <w:contextualSpacing/>
              <w:rPr>
                <w:rFonts w:asciiTheme="majorHAnsi" w:eastAsia="Calibri" w:hAnsiTheme="majorHAnsi" w:cstheme="majorHAnsi"/>
                <w:color w:val="auto"/>
                <w:sz w:val="20"/>
                <w:highlight w:val="lightGray"/>
              </w:rPr>
            </w:pPr>
            <w:r w:rsidRPr="002A1BC0">
              <w:rPr>
                <w:rFonts w:asciiTheme="majorHAnsi" w:eastAsia="Calibri" w:hAnsiTheme="majorHAnsi" w:cstheme="majorHAnsi"/>
                <w:color w:val="auto"/>
                <w:sz w:val="20"/>
              </w:rPr>
              <w:t>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1149C0" w:rsidRPr="002A1BC0" w:rsidRDefault="001149C0" w:rsidP="001149C0">
            <w:pPr>
              <w:spacing w:line="200" w:lineRule="exact"/>
              <w:contextualSpacing/>
              <w:rPr>
                <w:rFonts w:asciiTheme="majorHAnsi" w:eastAsia="Calibri" w:hAnsiTheme="majorHAnsi" w:cstheme="majorHAnsi"/>
                <w:color w:val="auto"/>
                <w:sz w:val="20"/>
                <w:highlight w:val="lightGray"/>
              </w:rPr>
            </w:pPr>
            <w:r w:rsidRPr="002A1BC0">
              <w:rPr>
                <w:rFonts w:asciiTheme="majorHAnsi" w:eastAsia="Calibri" w:hAnsiTheme="majorHAnsi" w:cstheme="majorHAnsi"/>
                <w:color w:val="auto"/>
                <w:sz w:val="20"/>
              </w:rPr>
              <w:t>0⁰</w:t>
            </w:r>
          </w:p>
        </w:tc>
        <w:tc>
          <w:tcPr>
            <w:tcW w:w="2077" w:type="dxa"/>
            <w:tcBorders>
              <w:top w:val="single" w:sz="4" w:space="0" w:color="000000"/>
              <w:left w:val="single" w:sz="4" w:space="0" w:color="000000"/>
              <w:bottom w:val="single" w:sz="4" w:space="0" w:color="000000"/>
              <w:right w:val="single" w:sz="4" w:space="0" w:color="000000"/>
            </w:tcBorders>
            <w:vAlign w:val="center"/>
          </w:tcPr>
          <w:p w:rsidR="001149C0" w:rsidRPr="002A1BC0" w:rsidRDefault="001149C0" w:rsidP="001149C0">
            <w:pPr>
              <w:spacing w:line="200" w:lineRule="exact"/>
              <w:contextualSpacing/>
              <w:rPr>
                <w:rFonts w:asciiTheme="majorHAnsi" w:eastAsia="Calibri" w:hAnsiTheme="majorHAnsi" w:cstheme="majorHAnsi"/>
                <w:color w:val="auto"/>
                <w:sz w:val="20"/>
                <w:highlight w:val="lightGray"/>
              </w:rPr>
            </w:pPr>
            <w:r w:rsidRPr="002A1BC0">
              <w:rPr>
                <w:rFonts w:asciiTheme="majorHAnsi" w:eastAsia="Calibri" w:hAnsiTheme="majorHAnsi" w:cstheme="majorHAnsi"/>
                <w:color w:val="auto"/>
                <w:sz w:val="20"/>
              </w:rPr>
              <w:t>0⁰</w:t>
            </w:r>
          </w:p>
        </w:tc>
      </w:tr>
      <w:tr w:rsidR="001149C0" w:rsidRPr="00F64312" w:rsidTr="001149C0">
        <w:trPr>
          <w:jc w:val="center"/>
        </w:trPr>
        <w:tc>
          <w:tcPr>
            <w:tcW w:w="2077" w:type="dxa"/>
            <w:tcBorders>
              <w:top w:val="single" w:sz="4" w:space="0" w:color="000000"/>
              <w:left w:val="single" w:sz="4" w:space="0" w:color="000000"/>
              <w:bottom w:val="single" w:sz="4" w:space="0" w:color="000000"/>
              <w:right w:val="single" w:sz="4" w:space="0" w:color="000000"/>
            </w:tcBorders>
            <w:vAlign w:val="center"/>
            <w:hideMark/>
          </w:tcPr>
          <w:p w:rsidR="001149C0" w:rsidRPr="002A1BC0" w:rsidRDefault="001149C0" w:rsidP="002A1BC0">
            <w:pPr>
              <w:tabs>
                <w:tab w:val="left" w:pos="288"/>
                <w:tab w:val="left" w:pos="4752"/>
              </w:tabs>
              <w:spacing w:line="200" w:lineRule="exact"/>
              <w:rPr>
                <w:rFonts w:asciiTheme="majorHAnsi" w:eastAsiaTheme="minorHAnsi" w:hAnsiTheme="majorHAnsi" w:cstheme="majorHAnsi"/>
                <w:color w:val="auto"/>
                <w:sz w:val="20"/>
              </w:rPr>
            </w:pPr>
            <w:r w:rsidRPr="002A1BC0">
              <w:rPr>
                <w:rFonts w:asciiTheme="majorHAnsi" w:eastAsiaTheme="minorHAnsi" w:hAnsiTheme="majorHAnsi" w:cstheme="majorHAnsi"/>
                <w:color w:val="auto"/>
                <w:sz w:val="20"/>
              </w:rPr>
              <w:t>Comment</w:t>
            </w:r>
          </w:p>
        </w:tc>
        <w:tc>
          <w:tcPr>
            <w:tcW w:w="1800" w:type="dxa"/>
            <w:tcBorders>
              <w:top w:val="single" w:sz="4" w:space="0" w:color="000000"/>
              <w:left w:val="single" w:sz="4" w:space="0" w:color="000000"/>
              <w:bottom w:val="single" w:sz="4" w:space="0" w:color="000000"/>
              <w:right w:val="single" w:sz="4" w:space="0" w:color="000000"/>
            </w:tcBorders>
            <w:vAlign w:val="center"/>
          </w:tcPr>
          <w:p w:rsidR="001149C0" w:rsidRPr="002A1BC0" w:rsidRDefault="001149C0" w:rsidP="002A1BC0">
            <w:pPr>
              <w:spacing w:line="200" w:lineRule="exact"/>
              <w:contextualSpacing/>
              <w:jc w:val="left"/>
              <w:rPr>
                <w:rFonts w:asciiTheme="majorHAnsi" w:eastAsia="Calibri" w:hAnsiTheme="majorHAnsi" w:cstheme="majorHAnsi"/>
                <w:color w:val="auto"/>
                <w:sz w:val="20"/>
                <w:highlight w:val="lightGray"/>
              </w:rPr>
            </w:pPr>
            <w:r w:rsidRPr="002A1BC0">
              <w:rPr>
                <w:rFonts w:asciiTheme="majorHAnsi" w:eastAsia="Calibri" w:hAnsiTheme="majorHAnsi" w:cstheme="majorHAnsi"/>
                <w:color w:val="auto"/>
                <w:sz w:val="20"/>
              </w:rPr>
              <w:t xml:space="preserve">Full ROM with mild effusion; medial joint line tenderness; McMurray’s test revealed medial pain; medial patellar facet tenderness; positive inhibition test; </w:t>
            </w:r>
            <w:r>
              <w:rPr>
                <w:rFonts w:asciiTheme="majorHAnsi" w:eastAsia="Calibri" w:hAnsiTheme="majorHAnsi" w:cstheme="majorHAnsi"/>
                <w:color w:val="auto"/>
                <w:sz w:val="20"/>
              </w:rPr>
              <w:t xml:space="preserve">duck walk revealed medial pain; </w:t>
            </w:r>
            <w:r w:rsidRPr="002A1BC0">
              <w:rPr>
                <w:rFonts w:asciiTheme="majorHAnsi" w:eastAsia="Calibri" w:hAnsiTheme="majorHAnsi" w:cstheme="majorHAnsi"/>
                <w:color w:val="auto"/>
                <w:sz w:val="20"/>
              </w:rPr>
              <w:t>no instability</w:t>
            </w:r>
          </w:p>
        </w:tc>
        <w:tc>
          <w:tcPr>
            <w:tcW w:w="1440" w:type="dxa"/>
            <w:tcBorders>
              <w:top w:val="single" w:sz="4" w:space="0" w:color="000000"/>
              <w:left w:val="single" w:sz="4" w:space="0" w:color="000000"/>
              <w:bottom w:val="single" w:sz="4" w:space="0" w:color="000000"/>
              <w:right w:val="single" w:sz="4" w:space="0" w:color="000000"/>
            </w:tcBorders>
            <w:vAlign w:val="center"/>
          </w:tcPr>
          <w:p w:rsidR="001149C0" w:rsidRPr="002A1BC0" w:rsidRDefault="001149C0" w:rsidP="002A1BC0">
            <w:pPr>
              <w:spacing w:line="200" w:lineRule="exact"/>
              <w:contextualSpacing/>
              <w:jc w:val="left"/>
              <w:rPr>
                <w:rFonts w:asciiTheme="majorHAnsi" w:eastAsia="Calibri" w:hAnsiTheme="majorHAnsi" w:cstheme="majorHAnsi"/>
                <w:color w:val="auto"/>
                <w:sz w:val="20"/>
                <w:highlight w:val="lightGray"/>
              </w:rPr>
            </w:pPr>
            <w:r w:rsidRPr="002A1BC0">
              <w:rPr>
                <w:rFonts w:asciiTheme="majorHAnsi" w:eastAsia="Calibri" w:hAnsiTheme="majorHAnsi" w:cstheme="majorHAnsi"/>
                <w:color w:val="auto"/>
                <w:sz w:val="20"/>
              </w:rPr>
              <w:t>Pain from 40⁰ to 140⁰ with flexion; joint line tenderness; pain with duck walk</w:t>
            </w:r>
          </w:p>
        </w:tc>
        <w:tc>
          <w:tcPr>
            <w:tcW w:w="2160" w:type="dxa"/>
            <w:tcBorders>
              <w:top w:val="single" w:sz="4" w:space="0" w:color="000000"/>
              <w:left w:val="single" w:sz="4" w:space="0" w:color="000000"/>
              <w:bottom w:val="single" w:sz="4" w:space="0" w:color="000000"/>
              <w:right w:val="single" w:sz="4" w:space="0" w:color="000000"/>
            </w:tcBorders>
            <w:vAlign w:val="center"/>
          </w:tcPr>
          <w:p w:rsidR="001149C0" w:rsidRPr="002A1BC0" w:rsidRDefault="001149C0" w:rsidP="008A5B6C">
            <w:pPr>
              <w:spacing w:line="200" w:lineRule="exact"/>
              <w:contextualSpacing/>
              <w:jc w:val="left"/>
              <w:rPr>
                <w:rFonts w:asciiTheme="majorHAnsi" w:eastAsia="Calibri" w:hAnsiTheme="majorHAnsi" w:cstheme="majorHAnsi"/>
                <w:color w:val="auto"/>
                <w:sz w:val="20"/>
                <w:highlight w:val="lightGray"/>
              </w:rPr>
            </w:pPr>
            <w:r w:rsidRPr="002A1BC0">
              <w:rPr>
                <w:rFonts w:asciiTheme="majorHAnsi" w:eastAsia="Calibri" w:hAnsiTheme="majorHAnsi" w:cstheme="majorHAnsi"/>
                <w:color w:val="auto"/>
                <w:sz w:val="20"/>
              </w:rPr>
              <w:t xml:space="preserve">No joint effusion, locking or ankylosis; </w:t>
            </w:r>
            <w:r>
              <w:rPr>
                <w:rFonts w:asciiTheme="majorHAnsi" w:eastAsia="Calibri" w:hAnsiTheme="majorHAnsi" w:cstheme="majorHAnsi"/>
                <w:color w:val="auto"/>
                <w:sz w:val="20"/>
              </w:rPr>
              <w:t xml:space="preserve">CL, PCL, medial and lateral collateral ligaments, and medial and lateral joint lines were normal; No additional limitation after repetitive motion; </w:t>
            </w:r>
            <w:r w:rsidRPr="002A1BC0">
              <w:rPr>
                <w:rFonts w:asciiTheme="majorHAnsi" w:eastAsia="Calibri" w:hAnsiTheme="majorHAnsi" w:cstheme="majorHAnsi"/>
                <w:color w:val="auto"/>
                <w:sz w:val="20"/>
              </w:rPr>
              <w:t xml:space="preserve">gait normal; </w:t>
            </w:r>
            <w:r>
              <w:rPr>
                <w:rFonts w:asciiTheme="majorHAnsi" w:eastAsia="Calibri" w:hAnsiTheme="majorHAnsi" w:cstheme="majorHAnsi"/>
                <w:color w:val="auto"/>
                <w:sz w:val="20"/>
              </w:rPr>
              <w:t xml:space="preserve">normal motor, sensory, and reflex exam; no use of ambulatory device; </w:t>
            </w:r>
            <w:r w:rsidRPr="002A1BC0">
              <w:rPr>
                <w:rFonts w:asciiTheme="majorHAnsi" w:eastAsia="Calibri" w:hAnsiTheme="majorHAnsi" w:cstheme="majorHAnsi"/>
                <w:color w:val="auto"/>
                <w:sz w:val="20"/>
              </w:rPr>
              <w:t>x-rays normal</w:t>
            </w:r>
          </w:p>
        </w:tc>
        <w:tc>
          <w:tcPr>
            <w:tcW w:w="2077" w:type="dxa"/>
            <w:tcBorders>
              <w:top w:val="single" w:sz="4" w:space="0" w:color="000000"/>
              <w:left w:val="single" w:sz="4" w:space="0" w:color="000000"/>
              <w:bottom w:val="single" w:sz="4" w:space="0" w:color="000000"/>
              <w:right w:val="single" w:sz="4" w:space="0" w:color="000000"/>
            </w:tcBorders>
          </w:tcPr>
          <w:p w:rsidR="001149C0" w:rsidRPr="002A1BC0" w:rsidRDefault="001149C0" w:rsidP="008A5B6C">
            <w:pPr>
              <w:spacing w:line="200" w:lineRule="exact"/>
              <w:contextualSpacing/>
              <w:jc w:val="left"/>
              <w:rPr>
                <w:rFonts w:asciiTheme="majorHAnsi" w:eastAsia="Calibri" w:hAnsiTheme="majorHAnsi" w:cstheme="majorHAnsi"/>
                <w:color w:val="auto"/>
                <w:sz w:val="20"/>
              </w:rPr>
            </w:pPr>
            <w:r>
              <w:rPr>
                <w:rFonts w:asciiTheme="majorHAnsi" w:eastAsia="Calibri" w:hAnsiTheme="majorHAnsi" w:cstheme="majorHAnsi"/>
                <w:color w:val="auto"/>
                <w:sz w:val="20"/>
              </w:rPr>
              <w:t>Additionally limited after repetitive use by pain and lack of endurance; normal gait; ACL, PCL, lateral and medial collateral ligament tests all stable; normal lateral and medial meniscus tests; x-rays show degenerative arthritic changes</w:t>
            </w:r>
          </w:p>
        </w:tc>
      </w:tr>
      <w:tr w:rsidR="001149C0" w:rsidRPr="00F64312" w:rsidTr="001149C0">
        <w:trPr>
          <w:jc w:val="center"/>
        </w:trPr>
        <w:tc>
          <w:tcPr>
            <w:tcW w:w="2077" w:type="dxa"/>
            <w:tcBorders>
              <w:top w:val="single" w:sz="4" w:space="0" w:color="000000"/>
              <w:left w:val="single" w:sz="4" w:space="0" w:color="000000"/>
              <w:bottom w:val="single" w:sz="4" w:space="0" w:color="000000"/>
              <w:right w:val="single" w:sz="4" w:space="0" w:color="000000"/>
            </w:tcBorders>
            <w:vAlign w:val="center"/>
            <w:hideMark/>
          </w:tcPr>
          <w:p w:rsidR="001149C0" w:rsidRPr="002A1BC0" w:rsidRDefault="001149C0" w:rsidP="002A1BC0">
            <w:pPr>
              <w:tabs>
                <w:tab w:val="left" w:pos="288"/>
                <w:tab w:val="left" w:pos="4752"/>
              </w:tabs>
              <w:spacing w:line="200" w:lineRule="exact"/>
              <w:rPr>
                <w:rFonts w:asciiTheme="majorHAnsi" w:eastAsiaTheme="minorHAnsi" w:hAnsiTheme="majorHAnsi" w:cstheme="majorHAnsi"/>
                <w:color w:val="auto"/>
                <w:sz w:val="20"/>
              </w:rPr>
            </w:pPr>
            <w:r w:rsidRPr="002A1BC0">
              <w:rPr>
                <w:rFonts w:asciiTheme="majorHAnsi" w:eastAsiaTheme="minorHAnsi" w:hAnsiTheme="majorHAnsi" w:cstheme="majorHAnsi"/>
                <w:color w:val="auto"/>
                <w:sz w:val="20"/>
              </w:rPr>
              <w:t>§4.71a Rating</w:t>
            </w:r>
          </w:p>
        </w:tc>
        <w:tc>
          <w:tcPr>
            <w:tcW w:w="1800" w:type="dxa"/>
            <w:tcBorders>
              <w:top w:val="single" w:sz="4" w:space="0" w:color="000000"/>
              <w:left w:val="single" w:sz="4" w:space="0" w:color="000000"/>
              <w:bottom w:val="single" w:sz="4" w:space="0" w:color="000000"/>
              <w:right w:val="single" w:sz="4" w:space="0" w:color="000000"/>
            </w:tcBorders>
            <w:vAlign w:val="center"/>
          </w:tcPr>
          <w:p w:rsidR="001149C0" w:rsidRPr="002A1BC0" w:rsidRDefault="001149C0" w:rsidP="002A1BC0">
            <w:pPr>
              <w:spacing w:line="200" w:lineRule="exact"/>
              <w:contextualSpacing/>
              <w:rPr>
                <w:rFonts w:asciiTheme="majorHAnsi" w:eastAsia="Calibri" w:hAnsiTheme="majorHAnsi" w:cstheme="majorHAnsi"/>
                <w:color w:val="auto"/>
                <w:sz w:val="20"/>
                <w:highlight w:val="lightGray"/>
              </w:rPr>
            </w:pPr>
            <w:r>
              <w:rPr>
                <w:rFonts w:asciiTheme="majorHAnsi" w:eastAsia="Calibri" w:hAnsiTheme="majorHAnsi" w:cstheme="majorHAnsi"/>
                <w:color w:val="auto"/>
                <w:sz w:val="20"/>
              </w:rPr>
              <w:t>1</w:t>
            </w:r>
            <w:r w:rsidRPr="002A1BC0">
              <w:rPr>
                <w:rFonts w:asciiTheme="majorHAnsi" w:eastAsia="Calibri" w:hAnsiTheme="majorHAnsi" w:cstheme="majorHAnsi"/>
                <w:color w:val="auto"/>
                <w:sz w:val="20"/>
              </w:rPr>
              <w:t>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149C0" w:rsidRPr="002A1BC0" w:rsidRDefault="001149C0" w:rsidP="002A1BC0">
            <w:pPr>
              <w:spacing w:line="200" w:lineRule="exact"/>
              <w:contextualSpacing/>
              <w:rPr>
                <w:rFonts w:asciiTheme="majorHAnsi" w:eastAsia="Calibri" w:hAnsiTheme="majorHAnsi" w:cstheme="majorHAnsi"/>
                <w:color w:val="auto"/>
                <w:sz w:val="20"/>
                <w:highlight w:val="lightGray"/>
              </w:rPr>
            </w:pPr>
            <w:r w:rsidRPr="002A1BC0">
              <w:rPr>
                <w:rFonts w:asciiTheme="majorHAnsi" w:eastAsia="Calibri" w:hAnsiTheme="majorHAnsi" w:cstheme="majorHAnsi"/>
                <w:color w:val="auto"/>
                <w:sz w:val="20"/>
              </w:rPr>
              <w:t>10%</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149C0" w:rsidRPr="002A1BC0" w:rsidRDefault="001149C0" w:rsidP="002A1BC0">
            <w:pPr>
              <w:spacing w:line="200" w:lineRule="exact"/>
              <w:contextualSpacing/>
              <w:rPr>
                <w:rFonts w:asciiTheme="majorHAnsi" w:eastAsia="Calibri" w:hAnsiTheme="majorHAnsi" w:cstheme="majorHAnsi"/>
                <w:color w:val="auto"/>
                <w:sz w:val="20"/>
                <w:highlight w:val="lightGray"/>
              </w:rPr>
            </w:pPr>
            <w:r w:rsidRPr="002A1BC0">
              <w:rPr>
                <w:rFonts w:asciiTheme="majorHAnsi" w:eastAsia="Calibri" w:hAnsiTheme="majorHAnsi" w:cstheme="majorHAnsi"/>
                <w:color w:val="auto"/>
                <w:sz w:val="20"/>
              </w:rPr>
              <w:t>0%</w:t>
            </w:r>
          </w:p>
        </w:tc>
        <w:tc>
          <w:tcPr>
            <w:tcW w:w="2077" w:type="dxa"/>
            <w:tcBorders>
              <w:top w:val="single" w:sz="4" w:space="0" w:color="000000"/>
              <w:left w:val="single" w:sz="4" w:space="0" w:color="000000"/>
              <w:bottom w:val="single" w:sz="4" w:space="0" w:color="000000"/>
              <w:right w:val="single" w:sz="4" w:space="0" w:color="000000"/>
            </w:tcBorders>
          </w:tcPr>
          <w:p w:rsidR="001149C0" w:rsidRPr="002A1BC0" w:rsidRDefault="001149C0" w:rsidP="002A1BC0">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10%</w:t>
            </w:r>
          </w:p>
        </w:tc>
      </w:tr>
    </w:tbl>
    <w:p w:rsidR="00D3114A" w:rsidRPr="00F64312" w:rsidRDefault="00D3114A" w:rsidP="00D3114A">
      <w:pPr>
        <w:tabs>
          <w:tab w:val="left" w:pos="288"/>
          <w:tab w:val="left" w:pos="4680"/>
          <w:tab w:val="left" w:pos="5130"/>
        </w:tabs>
        <w:jc w:val="both"/>
        <w:rPr>
          <w:rFonts w:asciiTheme="majorHAnsi" w:eastAsia="Calibri" w:hAnsiTheme="majorHAnsi" w:cstheme="majorHAnsi"/>
          <w:color w:val="auto"/>
          <w:sz w:val="18"/>
          <w:szCs w:val="18"/>
        </w:rPr>
      </w:pPr>
    </w:p>
    <w:p w:rsidR="003F6E1E" w:rsidRDefault="003F6E1E" w:rsidP="0069687C">
      <w:pPr>
        <w:jc w:val="both"/>
        <w:rPr>
          <w:color w:val="auto"/>
          <w:szCs w:val="24"/>
        </w:rPr>
      </w:pPr>
      <w:r>
        <w:rPr>
          <w:color w:val="auto"/>
          <w:szCs w:val="24"/>
        </w:rPr>
        <w:t xml:space="preserve">The </w:t>
      </w:r>
      <w:r w:rsidR="009B3F4B">
        <w:rPr>
          <w:color w:val="auto"/>
          <w:szCs w:val="24"/>
        </w:rPr>
        <w:t xml:space="preserve">CI developed chronic right knee pain after multiple traumas, most noticeably, </w:t>
      </w:r>
      <w:r w:rsidR="000619E7">
        <w:rPr>
          <w:color w:val="auto"/>
          <w:szCs w:val="24"/>
        </w:rPr>
        <w:t>while</w:t>
      </w:r>
      <w:r w:rsidR="009B3F4B">
        <w:rPr>
          <w:color w:val="auto"/>
          <w:szCs w:val="24"/>
        </w:rPr>
        <w:t xml:space="preserve"> kickboxing in 2003.</w:t>
      </w:r>
      <w:r w:rsidR="00B545E2">
        <w:rPr>
          <w:color w:val="auto"/>
          <w:szCs w:val="24"/>
        </w:rPr>
        <w:t xml:space="preserve"> </w:t>
      </w:r>
      <w:r w:rsidR="00293388" w:rsidRPr="00293388">
        <w:rPr>
          <w:color w:val="auto"/>
          <w:szCs w:val="24"/>
        </w:rPr>
        <w:t xml:space="preserve"> </w:t>
      </w:r>
      <w:r w:rsidR="00293388">
        <w:rPr>
          <w:color w:val="auto"/>
          <w:szCs w:val="24"/>
        </w:rPr>
        <w:t xml:space="preserve">An injury to the </w:t>
      </w:r>
      <w:r w:rsidR="008F03E0">
        <w:rPr>
          <w:color w:val="auto"/>
          <w:szCs w:val="24"/>
        </w:rPr>
        <w:t>anterior cruciate ligament (</w:t>
      </w:r>
      <w:r w:rsidR="00293388">
        <w:rPr>
          <w:color w:val="auto"/>
          <w:szCs w:val="24"/>
        </w:rPr>
        <w:t>ACL</w:t>
      </w:r>
      <w:r w:rsidR="008F03E0">
        <w:rPr>
          <w:color w:val="auto"/>
          <w:szCs w:val="24"/>
        </w:rPr>
        <w:t>)</w:t>
      </w:r>
      <w:r w:rsidR="004457A3">
        <w:rPr>
          <w:color w:val="auto"/>
          <w:szCs w:val="24"/>
        </w:rPr>
        <w:t xml:space="preserve"> or</w:t>
      </w:r>
      <w:r w:rsidR="00293388">
        <w:rPr>
          <w:color w:val="auto"/>
          <w:szCs w:val="24"/>
        </w:rPr>
        <w:t xml:space="preserve"> meniscus was suspected but </w:t>
      </w:r>
      <w:r w:rsidR="008F03E0">
        <w:rPr>
          <w:color w:val="auto"/>
          <w:szCs w:val="24"/>
        </w:rPr>
        <w:t xml:space="preserve">an initial </w:t>
      </w:r>
      <w:r>
        <w:rPr>
          <w:color w:val="auto"/>
          <w:szCs w:val="24"/>
        </w:rPr>
        <w:t>magnetic resonance imaging (</w:t>
      </w:r>
      <w:r w:rsidR="00293388">
        <w:rPr>
          <w:color w:val="auto"/>
          <w:szCs w:val="24"/>
        </w:rPr>
        <w:t>MRI</w:t>
      </w:r>
      <w:r>
        <w:rPr>
          <w:color w:val="auto"/>
          <w:szCs w:val="24"/>
        </w:rPr>
        <w:t>) performed</w:t>
      </w:r>
      <w:r w:rsidR="00293388">
        <w:rPr>
          <w:color w:val="auto"/>
          <w:szCs w:val="24"/>
        </w:rPr>
        <w:t xml:space="preserve"> </w:t>
      </w:r>
      <w:r w:rsidR="008F03E0">
        <w:rPr>
          <w:color w:val="auto"/>
          <w:szCs w:val="24"/>
        </w:rPr>
        <w:t xml:space="preserve">on </w:t>
      </w:r>
      <w:r>
        <w:rPr>
          <w:color w:val="auto"/>
          <w:szCs w:val="24"/>
        </w:rPr>
        <w:t xml:space="preserve">1 August </w:t>
      </w:r>
      <w:r w:rsidR="008F03E0">
        <w:rPr>
          <w:color w:val="auto"/>
          <w:szCs w:val="24"/>
        </w:rPr>
        <w:t xml:space="preserve">2003 </w:t>
      </w:r>
      <w:r w:rsidR="00293388">
        <w:rPr>
          <w:color w:val="auto"/>
          <w:szCs w:val="24"/>
        </w:rPr>
        <w:t xml:space="preserve">revealed only </w:t>
      </w:r>
      <w:r w:rsidR="000619E7">
        <w:rPr>
          <w:color w:val="auto"/>
          <w:szCs w:val="24"/>
        </w:rPr>
        <w:t>an asymptomatic</w:t>
      </w:r>
      <w:r w:rsidR="0094269B">
        <w:rPr>
          <w:color w:val="auto"/>
          <w:szCs w:val="24"/>
        </w:rPr>
        <w:t xml:space="preserve"> Baker’s cyst</w:t>
      </w:r>
      <w:r w:rsidR="00293388">
        <w:rPr>
          <w:color w:val="auto"/>
          <w:szCs w:val="24"/>
        </w:rPr>
        <w:t xml:space="preserve"> requir</w:t>
      </w:r>
      <w:r w:rsidR="0094269B">
        <w:rPr>
          <w:color w:val="auto"/>
          <w:szCs w:val="24"/>
        </w:rPr>
        <w:t>ing</w:t>
      </w:r>
      <w:r w:rsidR="00293388">
        <w:rPr>
          <w:color w:val="auto"/>
          <w:szCs w:val="24"/>
        </w:rPr>
        <w:t xml:space="preserve"> no treatment.</w:t>
      </w:r>
      <w:r w:rsidR="00872889">
        <w:rPr>
          <w:color w:val="auto"/>
          <w:szCs w:val="24"/>
        </w:rPr>
        <w:t xml:space="preserve"> </w:t>
      </w:r>
      <w:r w:rsidR="009B3F4B">
        <w:rPr>
          <w:color w:val="auto"/>
          <w:szCs w:val="24"/>
        </w:rPr>
        <w:t xml:space="preserve"> Despite extensive physical therapy</w:t>
      </w:r>
      <w:r w:rsidR="00293388">
        <w:rPr>
          <w:color w:val="auto"/>
          <w:szCs w:val="24"/>
        </w:rPr>
        <w:t xml:space="preserve"> including </w:t>
      </w:r>
      <w:r w:rsidR="000619E7" w:rsidRPr="00AF445D">
        <w:rPr>
          <w:color w:val="auto"/>
          <w:szCs w:val="24"/>
        </w:rPr>
        <w:t>strengthening</w:t>
      </w:r>
      <w:r w:rsidR="00293388" w:rsidRPr="00AF445D">
        <w:rPr>
          <w:color w:val="auto"/>
          <w:szCs w:val="24"/>
        </w:rPr>
        <w:t xml:space="preserve"> exercises, anti-inflammatory medication and knee joint injections</w:t>
      </w:r>
      <w:r w:rsidR="009B3F4B" w:rsidRPr="00AF445D">
        <w:rPr>
          <w:color w:val="auto"/>
          <w:szCs w:val="24"/>
        </w:rPr>
        <w:t xml:space="preserve"> the knee did not consistently improve.</w:t>
      </w:r>
      <w:r w:rsidR="00444874" w:rsidRPr="00AF445D">
        <w:rPr>
          <w:color w:val="auto"/>
          <w:szCs w:val="24"/>
        </w:rPr>
        <w:t xml:space="preserve">  In Jan</w:t>
      </w:r>
      <w:r w:rsidR="00C06484">
        <w:rPr>
          <w:color w:val="auto"/>
          <w:szCs w:val="24"/>
        </w:rPr>
        <w:t>uary</w:t>
      </w:r>
      <w:r w:rsidR="00444874" w:rsidRPr="00AF445D">
        <w:rPr>
          <w:color w:val="auto"/>
          <w:szCs w:val="24"/>
        </w:rPr>
        <w:t xml:space="preserve"> 2005 surgical arthroscopy was performed on the </w:t>
      </w:r>
      <w:r w:rsidR="000619E7" w:rsidRPr="00AF445D">
        <w:rPr>
          <w:color w:val="auto"/>
          <w:szCs w:val="24"/>
        </w:rPr>
        <w:t>knee revealing</w:t>
      </w:r>
      <w:r w:rsidR="009B3F4B" w:rsidRPr="00AF445D">
        <w:rPr>
          <w:color w:val="auto"/>
          <w:szCs w:val="24"/>
        </w:rPr>
        <w:t xml:space="preserve"> </w:t>
      </w:r>
      <w:r w:rsidR="005922D7" w:rsidRPr="00AF445D">
        <w:rPr>
          <w:color w:val="auto"/>
          <w:szCs w:val="24"/>
        </w:rPr>
        <w:t xml:space="preserve">right knee </w:t>
      </w:r>
      <w:r w:rsidR="00444874" w:rsidRPr="00AF445D">
        <w:rPr>
          <w:color w:val="auto"/>
          <w:szCs w:val="24"/>
        </w:rPr>
        <w:t xml:space="preserve">chondromalacia of the </w:t>
      </w:r>
      <w:r w:rsidR="008F03E0" w:rsidRPr="00AF445D">
        <w:rPr>
          <w:color w:val="auto"/>
          <w:szCs w:val="24"/>
        </w:rPr>
        <w:t>patella</w:t>
      </w:r>
      <w:r w:rsidR="00444874" w:rsidRPr="00AF445D">
        <w:rPr>
          <w:color w:val="auto"/>
          <w:szCs w:val="24"/>
        </w:rPr>
        <w:t xml:space="preserve"> </w:t>
      </w:r>
      <w:r w:rsidR="005922D7" w:rsidRPr="00AF445D">
        <w:rPr>
          <w:color w:val="auto"/>
          <w:szCs w:val="24"/>
        </w:rPr>
        <w:t xml:space="preserve">with lateral patellar mal-tracking </w:t>
      </w:r>
      <w:r w:rsidR="00444874" w:rsidRPr="00AF445D">
        <w:rPr>
          <w:color w:val="auto"/>
          <w:szCs w:val="24"/>
        </w:rPr>
        <w:t xml:space="preserve">and </w:t>
      </w:r>
      <w:r w:rsidR="005922D7" w:rsidRPr="00AF445D">
        <w:rPr>
          <w:color w:val="auto"/>
          <w:szCs w:val="24"/>
        </w:rPr>
        <w:t xml:space="preserve">chondromalacia of the </w:t>
      </w:r>
      <w:r w:rsidR="00444874" w:rsidRPr="00AF445D">
        <w:rPr>
          <w:color w:val="auto"/>
          <w:szCs w:val="24"/>
        </w:rPr>
        <w:t>medial</w:t>
      </w:r>
      <w:r w:rsidR="005922D7" w:rsidRPr="00AF445D">
        <w:rPr>
          <w:color w:val="auto"/>
          <w:szCs w:val="24"/>
        </w:rPr>
        <w:t xml:space="preserve"> </w:t>
      </w:r>
      <w:r w:rsidR="00444874" w:rsidRPr="00AF445D">
        <w:rPr>
          <w:color w:val="auto"/>
          <w:szCs w:val="24"/>
        </w:rPr>
        <w:t xml:space="preserve">femoral </w:t>
      </w:r>
      <w:r w:rsidR="00B3472C" w:rsidRPr="00AF445D">
        <w:rPr>
          <w:color w:val="auto"/>
          <w:szCs w:val="24"/>
        </w:rPr>
        <w:t>condyle</w:t>
      </w:r>
      <w:r w:rsidR="00444874" w:rsidRPr="00AF445D">
        <w:rPr>
          <w:color w:val="auto"/>
          <w:szCs w:val="24"/>
        </w:rPr>
        <w:t xml:space="preserve"> </w:t>
      </w:r>
      <w:r w:rsidR="005922D7" w:rsidRPr="00AF445D">
        <w:rPr>
          <w:color w:val="auto"/>
          <w:szCs w:val="24"/>
        </w:rPr>
        <w:t>and lateral tibial plateau</w:t>
      </w:r>
      <w:r w:rsidR="00444874" w:rsidRPr="00AF445D">
        <w:rPr>
          <w:color w:val="auto"/>
          <w:szCs w:val="24"/>
        </w:rPr>
        <w:t>.</w:t>
      </w:r>
      <w:r w:rsidR="000619E7" w:rsidRPr="00AF445D">
        <w:rPr>
          <w:color w:val="auto"/>
          <w:szCs w:val="24"/>
        </w:rPr>
        <w:t xml:space="preserve"> </w:t>
      </w:r>
      <w:r w:rsidR="00043EDC" w:rsidRPr="00AF445D">
        <w:rPr>
          <w:color w:val="auto"/>
          <w:szCs w:val="24"/>
        </w:rPr>
        <w:t xml:space="preserve"> </w:t>
      </w:r>
      <w:r w:rsidR="005922D7" w:rsidRPr="00AF445D">
        <w:rPr>
          <w:color w:val="auto"/>
          <w:szCs w:val="24"/>
        </w:rPr>
        <w:t>Procedures performed were: 1</w:t>
      </w:r>
      <w:r w:rsidR="00344D5F" w:rsidRPr="00AF445D">
        <w:rPr>
          <w:color w:val="auto"/>
          <w:szCs w:val="24"/>
        </w:rPr>
        <w:t xml:space="preserve">. </w:t>
      </w:r>
      <w:r w:rsidR="00344D5F">
        <w:rPr>
          <w:color w:val="auto"/>
          <w:szCs w:val="24"/>
        </w:rPr>
        <w:t xml:space="preserve"> </w:t>
      </w:r>
      <w:r w:rsidR="00344D5F" w:rsidRPr="00AF445D">
        <w:rPr>
          <w:color w:val="auto"/>
          <w:szCs w:val="24"/>
        </w:rPr>
        <w:t>Abrasion</w:t>
      </w:r>
      <w:r w:rsidR="005922D7" w:rsidRPr="00AF445D">
        <w:rPr>
          <w:color w:val="auto"/>
          <w:szCs w:val="24"/>
        </w:rPr>
        <w:t xml:space="preserve"> arthroplasty of the medial femoral condyle and microfracture, 2. </w:t>
      </w:r>
      <w:r w:rsidR="003527AE" w:rsidRPr="00AF445D">
        <w:rPr>
          <w:color w:val="auto"/>
          <w:szCs w:val="24"/>
        </w:rPr>
        <w:t xml:space="preserve"> </w:t>
      </w:r>
      <w:r w:rsidR="005922D7" w:rsidRPr="00AF445D">
        <w:rPr>
          <w:color w:val="auto"/>
          <w:szCs w:val="24"/>
        </w:rPr>
        <w:t xml:space="preserve">Chondroplasty of the lateral tibial plateau and lateral patellar facet, and 3. </w:t>
      </w:r>
      <w:r w:rsidR="003527AE" w:rsidRPr="00AF445D">
        <w:rPr>
          <w:color w:val="auto"/>
          <w:szCs w:val="24"/>
        </w:rPr>
        <w:t xml:space="preserve"> </w:t>
      </w:r>
      <w:r w:rsidR="005922D7" w:rsidRPr="00AF445D">
        <w:rPr>
          <w:color w:val="auto"/>
          <w:szCs w:val="24"/>
        </w:rPr>
        <w:t xml:space="preserve">Lateral release. </w:t>
      </w:r>
      <w:r w:rsidR="003527AE" w:rsidRPr="00AF445D">
        <w:rPr>
          <w:color w:val="auto"/>
          <w:szCs w:val="24"/>
        </w:rPr>
        <w:t xml:space="preserve"> </w:t>
      </w:r>
      <w:r w:rsidR="005922D7" w:rsidRPr="00AF445D">
        <w:rPr>
          <w:color w:val="auto"/>
          <w:szCs w:val="24"/>
        </w:rPr>
        <w:t xml:space="preserve">The ACL and posterior cruciate (PCL) ligaments and medial and lateral menisci were intact. </w:t>
      </w:r>
      <w:r w:rsidR="003527AE" w:rsidRPr="00AF445D">
        <w:rPr>
          <w:color w:val="auto"/>
          <w:szCs w:val="24"/>
        </w:rPr>
        <w:t xml:space="preserve"> </w:t>
      </w:r>
      <w:r w:rsidR="00825D56" w:rsidRPr="00AF445D">
        <w:rPr>
          <w:color w:val="auto"/>
          <w:szCs w:val="24"/>
        </w:rPr>
        <w:t xml:space="preserve">Initial response to this procedure was good </w:t>
      </w:r>
      <w:r w:rsidR="005922D7" w:rsidRPr="00AF445D">
        <w:rPr>
          <w:color w:val="auto"/>
          <w:szCs w:val="24"/>
        </w:rPr>
        <w:t xml:space="preserve">and the CI was returned to full duty in November 2005.  </w:t>
      </w:r>
    </w:p>
    <w:p w:rsidR="003F6E1E" w:rsidRDefault="003F6E1E" w:rsidP="0069687C">
      <w:pPr>
        <w:jc w:val="both"/>
        <w:rPr>
          <w:color w:val="auto"/>
          <w:szCs w:val="24"/>
        </w:rPr>
      </w:pPr>
    </w:p>
    <w:p w:rsidR="00E278A4" w:rsidRPr="00AF445D" w:rsidRDefault="005922D7" w:rsidP="0069687C">
      <w:pPr>
        <w:jc w:val="both"/>
        <w:rPr>
          <w:color w:val="auto"/>
          <w:szCs w:val="24"/>
        </w:rPr>
      </w:pPr>
      <w:r w:rsidRPr="00AF445D">
        <w:rPr>
          <w:color w:val="auto"/>
          <w:szCs w:val="24"/>
        </w:rPr>
        <w:t>However</w:t>
      </w:r>
      <w:r w:rsidR="007677B1" w:rsidRPr="00AF445D">
        <w:rPr>
          <w:color w:val="auto"/>
          <w:szCs w:val="24"/>
        </w:rPr>
        <w:t>, i</w:t>
      </w:r>
      <w:r w:rsidRPr="00AF445D">
        <w:rPr>
          <w:color w:val="auto"/>
          <w:szCs w:val="24"/>
        </w:rPr>
        <w:t xml:space="preserve">n </w:t>
      </w:r>
      <w:r w:rsidR="007677B1" w:rsidRPr="00AF445D">
        <w:rPr>
          <w:color w:val="auto"/>
          <w:szCs w:val="24"/>
        </w:rPr>
        <w:t>April</w:t>
      </w:r>
      <w:r w:rsidRPr="00AF445D">
        <w:rPr>
          <w:color w:val="auto"/>
          <w:szCs w:val="24"/>
        </w:rPr>
        <w:t xml:space="preserve"> 2006 the CI was seen for persistent pain and lockin</w:t>
      </w:r>
      <w:r w:rsidR="007677B1" w:rsidRPr="00AF445D">
        <w:rPr>
          <w:color w:val="auto"/>
          <w:szCs w:val="24"/>
        </w:rPr>
        <w:t xml:space="preserve">g along with swelling with minimal activity. </w:t>
      </w:r>
      <w:r w:rsidR="003527AE" w:rsidRPr="00AF445D">
        <w:rPr>
          <w:color w:val="auto"/>
          <w:szCs w:val="24"/>
        </w:rPr>
        <w:t xml:space="preserve"> </w:t>
      </w:r>
      <w:r w:rsidR="007677B1" w:rsidRPr="00AF445D">
        <w:rPr>
          <w:color w:val="auto"/>
          <w:szCs w:val="24"/>
        </w:rPr>
        <w:t xml:space="preserve">A repeat MRI in June 2006 noted degenerative changes of the medial meniscus without a distinct tear, defects of the cartilage along the medial femoral condyle, and a defect in the lateral patellofemoral retinaculum. </w:t>
      </w:r>
      <w:r w:rsidR="003527AE" w:rsidRPr="00AF445D">
        <w:rPr>
          <w:color w:val="auto"/>
          <w:szCs w:val="24"/>
        </w:rPr>
        <w:t xml:space="preserve"> The CI also</w:t>
      </w:r>
      <w:r w:rsidRPr="00AF445D">
        <w:rPr>
          <w:color w:val="auto"/>
          <w:szCs w:val="24"/>
        </w:rPr>
        <w:t xml:space="preserve"> </w:t>
      </w:r>
      <w:r w:rsidR="007677B1" w:rsidRPr="00AF445D">
        <w:rPr>
          <w:color w:val="auto"/>
          <w:szCs w:val="24"/>
        </w:rPr>
        <w:t xml:space="preserve">had increased pain and swelling after running in July 2006 and was noted to have flexion limited to 95 degrees with an effusion and tenderness. </w:t>
      </w:r>
      <w:r w:rsidR="003527AE" w:rsidRPr="00AF445D">
        <w:rPr>
          <w:color w:val="auto"/>
          <w:szCs w:val="24"/>
        </w:rPr>
        <w:t xml:space="preserve"> </w:t>
      </w:r>
      <w:r w:rsidR="007677B1" w:rsidRPr="00AF445D">
        <w:rPr>
          <w:color w:val="auto"/>
          <w:szCs w:val="24"/>
        </w:rPr>
        <w:t xml:space="preserve">Her condition did not improve despite maximal outpatient therapy including physical therapy and three Hyalgen injections and no further surgery was indicated. </w:t>
      </w:r>
      <w:r w:rsidR="003527AE" w:rsidRPr="00AF445D">
        <w:rPr>
          <w:color w:val="auto"/>
          <w:szCs w:val="24"/>
        </w:rPr>
        <w:t xml:space="preserve"> </w:t>
      </w:r>
      <w:r w:rsidR="00EA1413" w:rsidRPr="00AF445D">
        <w:rPr>
          <w:color w:val="auto"/>
          <w:szCs w:val="24"/>
        </w:rPr>
        <w:t xml:space="preserve">At the MEB </w:t>
      </w:r>
      <w:r w:rsidR="003F6E1E">
        <w:rPr>
          <w:color w:val="auto"/>
          <w:szCs w:val="24"/>
        </w:rPr>
        <w:t>n</w:t>
      </w:r>
      <w:r w:rsidR="006F6DB0" w:rsidRPr="00AF445D">
        <w:rPr>
          <w:color w:val="auto"/>
          <w:szCs w:val="24"/>
        </w:rPr>
        <w:t xml:space="preserve">arrative summary (NARSUM) </w:t>
      </w:r>
      <w:r w:rsidR="00EA1413" w:rsidRPr="00AF445D">
        <w:rPr>
          <w:color w:val="auto"/>
          <w:szCs w:val="24"/>
        </w:rPr>
        <w:t>evaluation</w:t>
      </w:r>
      <w:r w:rsidR="006F6DB0" w:rsidRPr="00AF445D">
        <w:rPr>
          <w:color w:val="auto"/>
          <w:szCs w:val="24"/>
        </w:rPr>
        <w:t xml:space="preserve"> in December 2006</w:t>
      </w:r>
      <w:r w:rsidR="00EA1413" w:rsidRPr="00AF445D">
        <w:rPr>
          <w:color w:val="auto"/>
          <w:szCs w:val="24"/>
        </w:rPr>
        <w:t xml:space="preserve">, the CI reported </w:t>
      </w:r>
      <w:r w:rsidR="000619E7" w:rsidRPr="00AF445D">
        <w:rPr>
          <w:color w:val="auto"/>
          <w:szCs w:val="24"/>
        </w:rPr>
        <w:t>persistent</w:t>
      </w:r>
      <w:r w:rsidR="00EA1413" w:rsidRPr="00AF445D">
        <w:rPr>
          <w:color w:val="auto"/>
          <w:szCs w:val="24"/>
        </w:rPr>
        <w:t xml:space="preserve"> pain on the inside of her knee that prevented her from running, climbing and squatting.</w:t>
      </w:r>
      <w:r w:rsidR="000619E7" w:rsidRPr="00AF445D">
        <w:rPr>
          <w:color w:val="auto"/>
          <w:szCs w:val="24"/>
        </w:rPr>
        <w:t xml:space="preserve"> </w:t>
      </w:r>
      <w:r w:rsidR="00EA1413" w:rsidRPr="00AF445D">
        <w:rPr>
          <w:color w:val="auto"/>
          <w:szCs w:val="24"/>
        </w:rPr>
        <w:t xml:space="preserve"> Physical examination revealed </w:t>
      </w:r>
      <w:r w:rsidR="006F6DB0" w:rsidRPr="00AF445D">
        <w:rPr>
          <w:color w:val="auto"/>
          <w:szCs w:val="24"/>
        </w:rPr>
        <w:t>“</w:t>
      </w:r>
      <w:r w:rsidR="00EA1413" w:rsidRPr="00AF445D">
        <w:rPr>
          <w:color w:val="auto"/>
          <w:szCs w:val="24"/>
        </w:rPr>
        <w:t>full</w:t>
      </w:r>
      <w:r w:rsidR="006F6DB0" w:rsidRPr="00AF445D">
        <w:rPr>
          <w:color w:val="auto"/>
          <w:szCs w:val="24"/>
        </w:rPr>
        <w:t>”</w:t>
      </w:r>
      <w:r w:rsidR="00EA1413" w:rsidRPr="00AF445D">
        <w:rPr>
          <w:color w:val="auto"/>
          <w:szCs w:val="24"/>
        </w:rPr>
        <w:t xml:space="preserve"> ROM, mild knee effusion, tenderness of the medial joint line but no joint laxity</w:t>
      </w:r>
      <w:r w:rsidR="00012BAA" w:rsidRPr="00AF445D">
        <w:rPr>
          <w:color w:val="auto"/>
          <w:szCs w:val="24"/>
        </w:rPr>
        <w:t xml:space="preserve"> or</w:t>
      </w:r>
      <w:r w:rsidR="00EA1413" w:rsidRPr="00AF445D">
        <w:rPr>
          <w:color w:val="auto"/>
          <w:szCs w:val="24"/>
        </w:rPr>
        <w:t xml:space="preserve"> instability</w:t>
      </w:r>
      <w:r w:rsidR="00012BAA" w:rsidRPr="00AF445D">
        <w:rPr>
          <w:color w:val="auto"/>
          <w:szCs w:val="24"/>
        </w:rPr>
        <w:t>.</w:t>
      </w:r>
      <w:r w:rsidR="00FF52E6" w:rsidRPr="00AF445D">
        <w:rPr>
          <w:color w:val="auto"/>
          <w:szCs w:val="24"/>
        </w:rPr>
        <w:t xml:space="preserve"> </w:t>
      </w:r>
      <w:r w:rsidR="003527AE" w:rsidRPr="00AF445D">
        <w:rPr>
          <w:color w:val="auto"/>
          <w:szCs w:val="24"/>
        </w:rPr>
        <w:t xml:space="preserve"> </w:t>
      </w:r>
      <w:r w:rsidR="006F6DB0" w:rsidRPr="00AF445D">
        <w:rPr>
          <w:color w:val="auto"/>
          <w:szCs w:val="24"/>
        </w:rPr>
        <w:t xml:space="preserve">However, no goniometric measurements were noted. </w:t>
      </w:r>
      <w:r w:rsidR="003527AE" w:rsidRPr="00AF445D">
        <w:rPr>
          <w:color w:val="auto"/>
          <w:szCs w:val="24"/>
        </w:rPr>
        <w:t xml:space="preserve"> </w:t>
      </w:r>
      <w:r w:rsidR="006F6DB0" w:rsidRPr="00AF445D">
        <w:rPr>
          <w:color w:val="auto"/>
          <w:szCs w:val="24"/>
        </w:rPr>
        <w:t xml:space="preserve">An evaluation </w:t>
      </w:r>
      <w:r w:rsidR="003F6E1E">
        <w:rPr>
          <w:color w:val="auto"/>
          <w:szCs w:val="24"/>
        </w:rPr>
        <w:t xml:space="preserve">performed </w:t>
      </w:r>
      <w:r w:rsidR="006F6DB0" w:rsidRPr="00AF445D">
        <w:rPr>
          <w:color w:val="auto"/>
          <w:szCs w:val="24"/>
        </w:rPr>
        <w:t xml:space="preserve">on </w:t>
      </w:r>
      <w:r w:rsidR="003F6E1E">
        <w:rPr>
          <w:color w:val="auto"/>
          <w:szCs w:val="24"/>
        </w:rPr>
        <w:t xml:space="preserve">14 February </w:t>
      </w:r>
      <w:r w:rsidR="006F6DB0" w:rsidRPr="00AF445D">
        <w:rPr>
          <w:color w:val="auto"/>
          <w:szCs w:val="24"/>
        </w:rPr>
        <w:t xml:space="preserve">2007 noted full flexion but pain from 40 degrees to 140 degrees as well as joint line tenderness, a “boggy” joint line, and pain with duck walk. </w:t>
      </w:r>
      <w:r w:rsidR="003527AE" w:rsidRPr="00AF445D">
        <w:rPr>
          <w:color w:val="auto"/>
          <w:szCs w:val="24"/>
        </w:rPr>
        <w:t xml:space="preserve"> </w:t>
      </w:r>
      <w:r w:rsidR="006F6DB0" w:rsidRPr="00AF445D">
        <w:rPr>
          <w:color w:val="auto"/>
          <w:szCs w:val="24"/>
        </w:rPr>
        <w:t xml:space="preserve">The assessment was moderate to severe chondromalacia patella. </w:t>
      </w:r>
      <w:r w:rsidR="003527AE" w:rsidRPr="00AF445D">
        <w:rPr>
          <w:color w:val="auto"/>
          <w:szCs w:val="24"/>
        </w:rPr>
        <w:t xml:space="preserve"> </w:t>
      </w:r>
      <w:r w:rsidR="006F6DB0" w:rsidRPr="00AF445D">
        <w:rPr>
          <w:color w:val="auto"/>
          <w:szCs w:val="24"/>
        </w:rPr>
        <w:t xml:space="preserve">An evaluation </w:t>
      </w:r>
      <w:r w:rsidR="0054662E" w:rsidRPr="00AF445D">
        <w:rPr>
          <w:color w:val="auto"/>
          <w:szCs w:val="24"/>
        </w:rPr>
        <w:t xml:space="preserve">completed in March 2007 noted full ROM without goniometric measurements and no effusion. </w:t>
      </w:r>
      <w:r w:rsidR="003527AE" w:rsidRPr="00AF445D">
        <w:rPr>
          <w:color w:val="auto"/>
          <w:szCs w:val="24"/>
        </w:rPr>
        <w:t xml:space="preserve"> </w:t>
      </w:r>
      <w:r w:rsidR="0054662E" w:rsidRPr="00AF445D">
        <w:rPr>
          <w:color w:val="auto"/>
          <w:szCs w:val="24"/>
        </w:rPr>
        <w:t xml:space="preserve">However, the CI exhibited grimacing pain with palpation of patellofemoral joint and a positive compression test and she was unable to squat without assistance. </w:t>
      </w:r>
      <w:r w:rsidR="003527AE" w:rsidRPr="00AF445D">
        <w:rPr>
          <w:color w:val="auto"/>
          <w:szCs w:val="24"/>
        </w:rPr>
        <w:t xml:space="preserve"> </w:t>
      </w:r>
      <w:r w:rsidR="0054662E" w:rsidRPr="00AF445D">
        <w:rPr>
          <w:color w:val="auto"/>
          <w:szCs w:val="24"/>
        </w:rPr>
        <w:t xml:space="preserve">This examiner also noted the CI was unable to rise from a chair without assistance after prolonged sitting and had swelling after using elliptical machine.  </w:t>
      </w:r>
      <w:r w:rsidR="00012BAA" w:rsidRPr="00AF445D">
        <w:rPr>
          <w:color w:val="auto"/>
          <w:szCs w:val="24"/>
        </w:rPr>
        <w:t>A</w:t>
      </w:r>
      <w:r w:rsidR="002100EA" w:rsidRPr="00AF445D">
        <w:rPr>
          <w:color w:val="auto"/>
          <w:szCs w:val="24"/>
        </w:rPr>
        <w:t>t</w:t>
      </w:r>
      <w:r w:rsidR="00012BAA" w:rsidRPr="00AF445D">
        <w:rPr>
          <w:color w:val="auto"/>
          <w:szCs w:val="24"/>
        </w:rPr>
        <w:t xml:space="preserve"> the </w:t>
      </w:r>
      <w:r w:rsidR="009F0272" w:rsidRPr="00AF445D">
        <w:rPr>
          <w:color w:val="auto"/>
          <w:szCs w:val="24"/>
        </w:rPr>
        <w:t xml:space="preserve">VA </w:t>
      </w:r>
      <w:r w:rsidR="00012BAA" w:rsidRPr="00AF445D">
        <w:rPr>
          <w:color w:val="auto"/>
          <w:szCs w:val="24"/>
        </w:rPr>
        <w:t>C</w:t>
      </w:r>
      <w:r w:rsidR="00B545E2" w:rsidRPr="00AF445D">
        <w:rPr>
          <w:color w:val="auto"/>
          <w:szCs w:val="24"/>
        </w:rPr>
        <w:t>ompensation and Pension</w:t>
      </w:r>
      <w:r w:rsidR="00012BAA" w:rsidRPr="00AF445D">
        <w:rPr>
          <w:color w:val="auto"/>
          <w:szCs w:val="24"/>
        </w:rPr>
        <w:t xml:space="preserve"> </w:t>
      </w:r>
      <w:r w:rsidR="003F6E1E">
        <w:rPr>
          <w:color w:val="auto"/>
          <w:szCs w:val="24"/>
        </w:rPr>
        <w:t xml:space="preserve">(C&amp;P) </w:t>
      </w:r>
      <w:r w:rsidR="00012BAA" w:rsidRPr="00AF445D">
        <w:rPr>
          <w:color w:val="auto"/>
          <w:szCs w:val="24"/>
        </w:rPr>
        <w:t>examination</w:t>
      </w:r>
      <w:r w:rsidR="00B545E2" w:rsidRPr="00AF445D">
        <w:rPr>
          <w:color w:val="auto"/>
          <w:szCs w:val="24"/>
        </w:rPr>
        <w:t xml:space="preserve"> </w:t>
      </w:r>
      <w:r w:rsidR="0054662E" w:rsidRPr="00AF445D">
        <w:rPr>
          <w:color w:val="auto"/>
          <w:szCs w:val="24"/>
        </w:rPr>
        <w:t xml:space="preserve">completed approximately </w:t>
      </w:r>
      <w:r w:rsidR="003F6E1E">
        <w:rPr>
          <w:color w:val="auto"/>
          <w:szCs w:val="24"/>
        </w:rPr>
        <w:t>2</w:t>
      </w:r>
      <w:r w:rsidR="0054662E" w:rsidRPr="00AF445D">
        <w:rPr>
          <w:color w:val="auto"/>
          <w:szCs w:val="24"/>
        </w:rPr>
        <w:t xml:space="preserve"> months prior to separation, the</w:t>
      </w:r>
      <w:r w:rsidR="00012BAA" w:rsidRPr="00AF445D">
        <w:rPr>
          <w:color w:val="auto"/>
          <w:szCs w:val="24"/>
        </w:rPr>
        <w:t xml:space="preserve"> CI reported a constant </w:t>
      </w:r>
      <w:r w:rsidR="00A31C91" w:rsidRPr="00AF445D">
        <w:rPr>
          <w:color w:val="auto"/>
          <w:szCs w:val="24"/>
        </w:rPr>
        <w:t>no</w:t>
      </w:r>
      <w:r w:rsidR="000619E7" w:rsidRPr="00AF445D">
        <w:rPr>
          <w:color w:val="auto"/>
          <w:szCs w:val="24"/>
        </w:rPr>
        <w:t>n</w:t>
      </w:r>
      <w:r w:rsidR="00F1607D" w:rsidRPr="00AF445D">
        <w:rPr>
          <w:color w:val="auto"/>
          <w:szCs w:val="24"/>
        </w:rPr>
        <w:t>-</w:t>
      </w:r>
      <w:r w:rsidR="00A31C91" w:rsidRPr="00AF445D">
        <w:rPr>
          <w:color w:val="auto"/>
          <w:szCs w:val="24"/>
        </w:rPr>
        <w:t>ra</w:t>
      </w:r>
      <w:r w:rsidR="000619E7" w:rsidRPr="00AF445D">
        <w:rPr>
          <w:color w:val="auto"/>
          <w:szCs w:val="24"/>
        </w:rPr>
        <w:t>d</w:t>
      </w:r>
      <w:r w:rsidR="00A31C91" w:rsidRPr="00AF445D">
        <w:rPr>
          <w:color w:val="auto"/>
          <w:szCs w:val="24"/>
        </w:rPr>
        <w:t>iating</w:t>
      </w:r>
      <w:r w:rsidR="00012BAA" w:rsidRPr="00AF445D">
        <w:rPr>
          <w:color w:val="auto"/>
          <w:szCs w:val="24"/>
        </w:rPr>
        <w:t xml:space="preserve"> </w:t>
      </w:r>
      <w:r w:rsidR="00B545E2" w:rsidRPr="00AF445D">
        <w:rPr>
          <w:color w:val="auto"/>
          <w:szCs w:val="24"/>
        </w:rPr>
        <w:t>aching pain</w:t>
      </w:r>
      <w:r w:rsidR="00012BAA" w:rsidRPr="00AF445D">
        <w:rPr>
          <w:color w:val="auto"/>
          <w:szCs w:val="24"/>
        </w:rPr>
        <w:t xml:space="preserve"> in the</w:t>
      </w:r>
      <w:r w:rsidR="0054662E" w:rsidRPr="00AF445D">
        <w:rPr>
          <w:color w:val="auto"/>
          <w:szCs w:val="24"/>
        </w:rPr>
        <w:t xml:space="preserve"> right</w:t>
      </w:r>
      <w:r w:rsidR="00012BAA" w:rsidRPr="00AF445D">
        <w:rPr>
          <w:color w:val="auto"/>
          <w:szCs w:val="24"/>
        </w:rPr>
        <w:t xml:space="preserve"> knee</w:t>
      </w:r>
      <w:r w:rsidR="0054662E" w:rsidRPr="00AF445D">
        <w:rPr>
          <w:color w:val="auto"/>
          <w:szCs w:val="24"/>
        </w:rPr>
        <w:t xml:space="preserve"> that</w:t>
      </w:r>
      <w:r w:rsidR="00012BAA" w:rsidRPr="00AF445D">
        <w:rPr>
          <w:color w:val="auto"/>
          <w:szCs w:val="24"/>
        </w:rPr>
        <w:t xml:space="preserve"> occasionally bec</w:t>
      </w:r>
      <w:r w:rsidR="0054662E" w:rsidRPr="00AF445D">
        <w:rPr>
          <w:color w:val="auto"/>
          <w:szCs w:val="24"/>
        </w:rPr>
        <w:t>ame</w:t>
      </w:r>
      <w:r w:rsidR="00012BAA" w:rsidRPr="00AF445D">
        <w:rPr>
          <w:color w:val="auto"/>
          <w:szCs w:val="24"/>
        </w:rPr>
        <w:t xml:space="preserve"> sharp </w:t>
      </w:r>
      <w:r w:rsidR="0054662E" w:rsidRPr="00AF445D">
        <w:rPr>
          <w:color w:val="auto"/>
          <w:szCs w:val="24"/>
        </w:rPr>
        <w:t>with a severity of</w:t>
      </w:r>
      <w:r w:rsidR="00012BAA" w:rsidRPr="00AF445D">
        <w:rPr>
          <w:color w:val="auto"/>
          <w:szCs w:val="24"/>
        </w:rPr>
        <w:t xml:space="preserve"> 7/10 level</w:t>
      </w:r>
      <w:r w:rsidR="0054662E" w:rsidRPr="00AF445D">
        <w:rPr>
          <w:color w:val="auto"/>
          <w:szCs w:val="24"/>
        </w:rPr>
        <w:t xml:space="preserve">. </w:t>
      </w:r>
      <w:r w:rsidR="003527AE" w:rsidRPr="00AF445D">
        <w:rPr>
          <w:color w:val="auto"/>
          <w:szCs w:val="24"/>
        </w:rPr>
        <w:t xml:space="preserve"> </w:t>
      </w:r>
      <w:r w:rsidR="0054662E" w:rsidRPr="00AF445D">
        <w:rPr>
          <w:color w:val="auto"/>
          <w:szCs w:val="24"/>
        </w:rPr>
        <w:t>The pain was elicited</w:t>
      </w:r>
      <w:r w:rsidR="00012BAA" w:rsidRPr="00AF445D">
        <w:rPr>
          <w:color w:val="auto"/>
          <w:szCs w:val="24"/>
        </w:rPr>
        <w:t xml:space="preserve"> with </w:t>
      </w:r>
      <w:r w:rsidR="0054662E" w:rsidRPr="00AF445D">
        <w:rPr>
          <w:color w:val="auto"/>
          <w:szCs w:val="24"/>
        </w:rPr>
        <w:t xml:space="preserve">physical </w:t>
      </w:r>
      <w:r w:rsidR="00012BAA" w:rsidRPr="00AF445D">
        <w:rPr>
          <w:color w:val="auto"/>
          <w:szCs w:val="24"/>
        </w:rPr>
        <w:t>activity</w:t>
      </w:r>
      <w:r w:rsidR="0054662E" w:rsidRPr="00AF445D">
        <w:rPr>
          <w:color w:val="auto"/>
          <w:szCs w:val="24"/>
        </w:rPr>
        <w:t xml:space="preserve"> and relieved with rest or pain medication</w:t>
      </w:r>
      <w:r w:rsidR="00012BAA" w:rsidRPr="00AF445D">
        <w:rPr>
          <w:color w:val="auto"/>
          <w:szCs w:val="24"/>
        </w:rPr>
        <w:t>.</w:t>
      </w:r>
      <w:r w:rsidR="00FF52E6" w:rsidRPr="00AF445D">
        <w:rPr>
          <w:color w:val="auto"/>
          <w:szCs w:val="24"/>
        </w:rPr>
        <w:t xml:space="preserve"> </w:t>
      </w:r>
      <w:r w:rsidR="0094269B" w:rsidRPr="00AF445D">
        <w:rPr>
          <w:color w:val="auto"/>
          <w:szCs w:val="24"/>
        </w:rPr>
        <w:t xml:space="preserve"> </w:t>
      </w:r>
      <w:r w:rsidR="0054662E" w:rsidRPr="00AF445D">
        <w:rPr>
          <w:color w:val="auto"/>
          <w:szCs w:val="24"/>
        </w:rPr>
        <w:t xml:space="preserve">In contrast to the service evaluations, this examiner noted the </w:t>
      </w:r>
      <w:r w:rsidR="00012BAA" w:rsidRPr="00AF445D">
        <w:rPr>
          <w:color w:val="auto"/>
          <w:szCs w:val="24"/>
        </w:rPr>
        <w:t xml:space="preserve">CI was able to function without impairment with </w:t>
      </w:r>
      <w:r w:rsidR="00012BAA" w:rsidRPr="00AF445D">
        <w:rPr>
          <w:color w:val="auto"/>
          <w:szCs w:val="24"/>
        </w:rPr>
        <w:lastRenderedPageBreak/>
        <w:t>these measures</w:t>
      </w:r>
      <w:r w:rsidR="00FF52E6" w:rsidRPr="00AF445D">
        <w:rPr>
          <w:color w:val="auto"/>
          <w:szCs w:val="24"/>
        </w:rPr>
        <w:t xml:space="preserve">.  </w:t>
      </w:r>
      <w:r w:rsidR="00650BD5" w:rsidRPr="00AF445D">
        <w:rPr>
          <w:color w:val="auto"/>
          <w:szCs w:val="24"/>
        </w:rPr>
        <w:t>However,</w:t>
      </w:r>
      <w:r w:rsidR="00650BD5">
        <w:rPr>
          <w:color w:val="auto"/>
          <w:szCs w:val="24"/>
        </w:rPr>
        <w:t xml:space="preserve"> in November 2007, approximately </w:t>
      </w:r>
      <w:r w:rsidR="003F6E1E">
        <w:rPr>
          <w:color w:val="auto"/>
          <w:szCs w:val="24"/>
        </w:rPr>
        <w:t>2</w:t>
      </w:r>
      <w:r w:rsidR="00650BD5">
        <w:rPr>
          <w:color w:val="auto"/>
          <w:szCs w:val="24"/>
        </w:rPr>
        <w:t xml:space="preserve"> months after separation</w:t>
      </w:r>
      <w:r w:rsidR="00344D5F">
        <w:rPr>
          <w:color w:val="auto"/>
          <w:szCs w:val="24"/>
        </w:rPr>
        <w:t>,</w:t>
      </w:r>
      <w:r w:rsidR="00650BD5">
        <w:rPr>
          <w:color w:val="auto"/>
          <w:szCs w:val="24"/>
        </w:rPr>
        <w:t xml:space="preserve"> the CI </w:t>
      </w:r>
      <w:r w:rsidR="00650BD5" w:rsidRPr="00AF445D">
        <w:rPr>
          <w:color w:val="auto"/>
          <w:szCs w:val="24"/>
        </w:rPr>
        <w:t xml:space="preserve">underwent a second right knee arthroscopy. </w:t>
      </w:r>
      <w:r w:rsidR="003527AE" w:rsidRPr="00AF445D">
        <w:rPr>
          <w:color w:val="auto"/>
          <w:szCs w:val="24"/>
        </w:rPr>
        <w:t xml:space="preserve"> </w:t>
      </w:r>
      <w:r w:rsidR="00650BD5" w:rsidRPr="00AF445D">
        <w:rPr>
          <w:color w:val="auto"/>
          <w:szCs w:val="24"/>
        </w:rPr>
        <w:t>A</w:t>
      </w:r>
      <w:r w:rsidR="003527AE" w:rsidRPr="00AF445D">
        <w:rPr>
          <w:color w:val="auto"/>
          <w:szCs w:val="24"/>
        </w:rPr>
        <w:t>n</w:t>
      </w:r>
      <w:r w:rsidR="00650BD5" w:rsidRPr="00AF445D">
        <w:rPr>
          <w:color w:val="auto"/>
          <w:szCs w:val="24"/>
        </w:rPr>
        <w:t xml:space="preserve"> MRI </w:t>
      </w:r>
      <w:r w:rsidR="003F6E1E">
        <w:rPr>
          <w:color w:val="auto"/>
          <w:szCs w:val="24"/>
        </w:rPr>
        <w:t xml:space="preserve">performed on 24 September </w:t>
      </w:r>
      <w:r w:rsidR="00650BD5" w:rsidRPr="00AF445D">
        <w:rPr>
          <w:color w:val="auto"/>
          <w:szCs w:val="24"/>
        </w:rPr>
        <w:t>2007</w:t>
      </w:r>
      <w:r w:rsidR="003F6E1E">
        <w:rPr>
          <w:color w:val="auto"/>
          <w:szCs w:val="24"/>
        </w:rPr>
        <w:t xml:space="preserve"> </w:t>
      </w:r>
      <w:r w:rsidR="00650BD5" w:rsidRPr="00AF445D">
        <w:rPr>
          <w:color w:val="auto"/>
          <w:szCs w:val="24"/>
        </w:rPr>
        <w:t xml:space="preserve">documented mild to moderate diffuse cartilaginous thinning in the medial joint compartment with a more focal area of grade 3/4 chondromalacia over the central aspect of the medial femoral condyle with subchondral marrow edema/cyst formation. </w:t>
      </w:r>
      <w:r w:rsidR="003527AE" w:rsidRPr="00AF445D">
        <w:rPr>
          <w:color w:val="auto"/>
          <w:szCs w:val="24"/>
        </w:rPr>
        <w:t xml:space="preserve"> </w:t>
      </w:r>
      <w:r w:rsidR="00650BD5" w:rsidRPr="00AF445D">
        <w:rPr>
          <w:color w:val="auto"/>
          <w:szCs w:val="24"/>
        </w:rPr>
        <w:t xml:space="preserve">The MRI also documented focal fissuring in the trochlear articular cartilage and a 6 mm loose body in the medial joint. </w:t>
      </w:r>
      <w:r w:rsidR="003527AE" w:rsidRPr="00AF445D">
        <w:rPr>
          <w:color w:val="auto"/>
          <w:szCs w:val="24"/>
        </w:rPr>
        <w:t xml:space="preserve"> </w:t>
      </w:r>
      <w:r w:rsidR="00650BD5" w:rsidRPr="00AF445D">
        <w:rPr>
          <w:color w:val="auto"/>
          <w:szCs w:val="24"/>
        </w:rPr>
        <w:t xml:space="preserve">No ligament or meniscal tears were noted. </w:t>
      </w:r>
      <w:r w:rsidR="003527AE" w:rsidRPr="00AF445D">
        <w:rPr>
          <w:color w:val="auto"/>
          <w:szCs w:val="24"/>
        </w:rPr>
        <w:t xml:space="preserve"> </w:t>
      </w:r>
      <w:r w:rsidR="00650BD5" w:rsidRPr="00AF445D">
        <w:rPr>
          <w:color w:val="auto"/>
          <w:szCs w:val="24"/>
        </w:rPr>
        <w:t>Arthroscopic surgery was performed in November 2007 to repair the cartilaginous defects</w:t>
      </w:r>
      <w:r w:rsidR="001149C0" w:rsidRPr="00AF445D">
        <w:rPr>
          <w:color w:val="auto"/>
          <w:szCs w:val="24"/>
        </w:rPr>
        <w:t xml:space="preserve">. </w:t>
      </w:r>
      <w:r w:rsidR="003527AE" w:rsidRPr="00AF445D">
        <w:rPr>
          <w:color w:val="auto"/>
          <w:szCs w:val="24"/>
        </w:rPr>
        <w:t xml:space="preserve"> </w:t>
      </w:r>
      <w:r w:rsidR="001149C0" w:rsidRPr="00AF445D">
        <w:rPr>
          <w:color w:val="auto"/>
          <w:szCs w:val="24"/>
        </w:rPr>
        <w:t xml:space="preserve">A second VA C&amp;P exam was completed in March 2008, and decreased ROM was noted after repetitive motion. </w:t>
      </w:r>
      <w:r w:rsidR="003527AE" w:rsidRPr="00AF445D">
        <w:rPr>
          <w:color w:val="auto"/>
          <w:szCs w:val="24"/>
        </w:rPr>
        <w:t xml:space="preserve"> </w:t>
      </w:r>
      <w:r w:rsidR="001149C0" w:rsidRPr="00AF445D">
        <w:rPr>
          <w:color w:val="auto"/>
          <w:szCs w:val="24"/>
        </w:rPr>
        <w:t xml:space="preserve">The CI had constant pain rated 8/10 elicited by physical activity and relieved by rest. </w:t>
      </w:r>
      <w:r w:rsidR="003527AE" w:rsidRPr="00AF445D">
        <w:rPr>
          <w:color w:val="auto"/>
          <w:szCs w:val="24"/>
        </w:rPr>
        <w:t xml:space="preserve"> </w:t>
      </w:r>
      <w:r w:rsidR="001149C0" w:rsidRPr="00AF445D">
        <w:rPr>
          <w:color w:val="auto"/>
          <w:szCs w:val="24"/>
        </w:rPr>
        <w:t xml:space="preserve">She could function with medication and she was undergoing physical therapy. </w:t>
      </w:r>
      <w:r w:rsidR="003527AE" w:rsidRPr="00AF445D">
        <w:rPr>
          <w:color w:val="auto"/>
          <w:szCs w:val="24"/>
        </w:rPr>
        <w:t xml:space="preserve"> </w:t>
      </w:r>
      <w:r w:rsidR="001149C0" w:rsidRPr="00AF445D">
        <w:rPr>
          <w:color w:val="auto"/>
          <w:szCs w:val="24"/>
        </w:rPr>
        <w:t>This examiner noted the effect of this condition on the CI’s usual occupation is mildly reduced mobility secondary to pain.</w:t>
      </w:r>
    </w:p>
    <w:p w:rsidR="008A5B6C" w:rsidRPr="00AF445D" w:rsidRDefault="008A5B6C" w:rsidP="0069687C">
      <w:pPr>
        <w:jc w:val="both"/>
        <w:rPr>
          <w:color w:val="auto"/>
          <w:szCs w:val="24"/>
        </w:rPr>
      </w:pPr>
    </w:p>
    <w:p w:rsidR="008A5B6C" w:rsidRPr="00AF445D" w:rsidRDefault="008A5B6C" w:rsidP="0069687C">
      <w:pPr>
        <w:jc w:val="both"/>
        <w:rPr>
          <w:color w:val="auto"/>
          <w:szCs w:val="24"/>
        </w:rPr>
      </w:pPr>
      <w:r w:rsidRPr="00AF445D">
        <w:rPr>
          <w:color w:val="auto"/>
          <w:szCs w:val="24"/>
        </w:rPr>
        <w:t xml:space="preserve">The April 2007 FPEB determined the right knee chondromalacia actually interfered significantly with the CI’s ability to carry out the duties of her office, grade, rank, or rating. </w:t>
      </w:r>
      <w:r w:rsidR="003527AE" w:rsidRPr="00AF445D">
        <w:rPr>
          <w:color w:val="auto"/>
          <w:szCs w:val="24"/>
        </w:rPr>
        <w:t xml:space="preserve"> </w:t>
      </w:r>
      <w:r w:rsidRPr="00AF445D">
        <w:rPr>
          <w:color w:val="auto"/>
          <w:szCs w:val="24"/>
        </w:rPr>
        <w:t xml:space="preserve">The FPEB noted the CI’s condition had deteriorated after the reconsideration PEB had made its determination. </w:t>
      </w:r>
      <w:r w:rsidR="003527AE" w:rsidRPr="00AF445D">
        <w:rPr>
          <w:color w:val="auto"/>
          <w:szCs w:val="24"/>
        </w:rPr>
        <w:t xml:space="preserve"> </w:t>
      </w:r>
      <w:r w:rsidR="003F6E1E">
        <w:rPr>
          <w:color w:val="auto"/>
          <w:szCs w:val="24"/>
        </w:rPr>
        <w:t>The orthopedic evaluation performed on</w:t>
      </w:r>
      <w:r w:rsidRPr="00AF445D">
        <w:rPr>
          <w:color w:val="auto"/>
          <w:szCs w:val="24"/>
        </w:rPr>
        <w:t xml:space="preserve"> </w:t>
      </w:r>
      <w:r w:rsidR="003F6E1E">
        <w:rPr>
          <w:color w:val="auto"/>
          <w:szCs w:val="24"/>
        </w:rPr>
        <w:t xml:space="preserve">27 March </w:t>
      </w:r>
      <w:r w:rsidRPr="00AF445D">
        <w:rPr>
          <w:color w:val="auto"/>
          <w:szCs w:val="24"/>
        </w:rPr>
        <w:t>2007 was noted to support this conclusion</w:t>
      </w:r>
      <w:r w:rsidR="009B35C1" w:rsidRPr="00AF445D">
        <w:rPr>
          <w:color w:val="auto"/>
          <w:szCs w:val="24"/>
        </w:rPr>
        <w:t xml:space="preserve"> and a 10% disability rating</w:t>
      </w:r>
      <w:r w:rsidRPr="00AF445D">
        <w:rPr>
          <w:color w:val="auto"/>
          <w:szCs w:val="24"/>
        </w:rPr>
        <w:t xml:space="preserve">. </w:t>
      </w:r>
      <w:r w:rsidR="003527AE" w:rsidRPr="00AF445D">
        <w:rPr>
          <w:color w:val="auto"/>
          <w:szCs w:val="24"/>
        </w:rPr>
        <w:t xml:space="preserve"> </w:t>
      </w:r>
      <w:r w:rsidRPr="00AF445D">
        <w:rPr>
          <w:color w:val="auto"/>
          <w:szCs w:val="24"/>
        </w:rPr>
        <w:t>The original VARD rated the right knee patellofemoral syndrome a</w:t>
      </w:r>
      <w:r w:rsidR="00650BD5" w:rsidRPr="00AF445D">
        <w:rPr>
          <w:color w:val="auto"/>
          <w:szCs w:val="24"/>
        </w:rPr>
        <w:t xml:space="preserve">t 0% based on the absence of limitation of motion or painful motion and functional loss. </w:t>
      </w:r>
      <w:r w:rsidR="003527AE" w:rsidRPr="00AF445D">
        <w:rPr>
          <w:color w:val="auto"/>
          <w:szCs w:val="24"/>
        </w:rPr>
        <w:t xml:space="preserve"> </w:t>
      </w:r>
      <w:r w:rsidR="00650BD5" w:rsidRPr="00AF445D">
        <w:rPr>
          <w:color w:val="auto"/>
          <w:szCs w:val="24"/>
        </w:rPr>
        <w:t xml:space="preserve">However, after the temporary 100% rating was applied for a second right knee arthroscopy </w:t>
      </w:r>
      <w:r w:rsidR="003F6E1E">
        <w:rPr>
          <w:color w:val="auto"/>
          <w:szCs w:val="24"/>
        </w:rPr>
        <w:t xml:space="preserve">2 </w:t>
      </w:r>
      <w:r w:rsidR="00650BD5" w:rsidRPr="00AF445D">
        <w:rPr>
          <w:color w:val="auto"/>
          <w:szCs w:val="24"/>
        </w:rPr>
        <w:t xml:space="preserve">months after separation, a 10% rating was applied effective </w:t>
      </w:r>
      <w:r w:rsidR="003F6E1E">
        <w:rPr>
          <w:color w:val="auto"/>
          <w:szCs w:val="24"/>
        </w:rPr>
        <w:t xml:space="preserve">1 January </w:t>
      </w:r>
      <w:r w:rsidR="00650BD5" w:rsidRPr="00AF445D">
        <w:rPr>
          <w:color w:val="auto"/>
          <w:szCs w:val="24"/>
        </w:rPr>
        <w:t>2008, approximately</w:t>
      </w:r>
      <w:r w:rsidR="003F6E1E">
        <w:rPr>
          <w:color w:val="auto"/>
          <w:szCs w:val="24"/>
        </w:rPr>
        <w:t xml:space="preserve"> 4</w:t>
      </w:r>
      <w:r w:rsidR="00650BD5" w:rsidRPr="00AF445D">
        <w:rPr>
          <w:color w:val="auto"/>
          <w:szCs w:val="24"/>
        </w:rPr>
        <w:t xml:space="preserve"> months after separation. </w:t>
      </w:r>
      <w:r w:rsidR="003527AE" w:rsidRPr="00AF445D">
        <w:rPr>
          <w:color w:val="auto"/>
          <w:szCs w:val="24"/>
        </w:rPr>
        <w:t xml:space="preserve"> </w:t>
      </w:r>
      <w:r w:rsidR="00650BD5" w:rsidRPr="00AF445D">
        <w:rPr>
          <w:color w:val="auto"/>
          <w:szCs w:val="24"/>
        </w:rPr>
        <w:t>The diagnosis was also changed to patellofemoral syndrome with degenerative joint disease.</w:t>
      </w:r>
    </w:p>
    <w:p w:rsidR="008A5B6C" w:rsidRPr="00AF445D" w:rsidRDefault="008A5B6C" w:rsidP="0069687C">
      <w:pPr>
        <w:jc w:val="both"/>
        <w:rPr>
          <w:rFonts w:cs="Times New Roman"/>
          <w:color w:val="auto"/>
        </w:rPr>
      </w:pPr>
    </w:p>
    <w:p w:rsidR="00241B01" w:rsidRPr="00EF6D7E" w:rsidRDefault="00E278A4" w:rsidP="00B62698">
      <w:pPr>
        <w:jc w:val="both"/>
        <w:rPr>
          <w:color w:val="auto"/>
          <w:szCs w:val="24"/>
        </w:rPr>
      </w:pPr>
      <w:r w:rsidRPr="00AF445D">
        <w:rPr>
          <w:rFonts w:cs="Times New Roman"/>
          <w:color w:val="auto"/>
        </w:rPr>
        <w:t>The Board directs attention to its rating recommendation based on the above evidence</w:t>
      </w:r>
      <w:r w:rsidR="00E45EE1" w:rsidRPr="00AF445D">
        <w:rPr>
          <w:rFonts w:cs="Times New Roman"/>
          <w:color w:val="auto"/>
        </w:rPr>
        <w:t>.</w:t>
      </w:r>
      <w:r w:rsidR="00EF6D7E" w:rsidRPr="00AF445D">
        <w:rPr>
          <w:color w:val="auto"/>
          <w:szCs w:val="24"/>
        </w:rPr>
        <w:t xml:space="preserve">  </w:t>
      </w:r>
      <w:r w:rsidR="007E160E" w:rsidRPr="00AF445D">
        <w:rPr>
          <w:color w:val="auto"/>
          <w:szCs w:val="24"/>
        </w:rPr>
        <w:t>After review of the totality of the record, the Board opine</w:t>
      </w:r>
      <w:r w:rsidR="00A31C91" w:rsidRPr="00AF445D">
        <w:rPr>
          <w:color w:val="auto"/>
          <w:szCs w:val="24"/>
        </w:rPr>
        <w:t>s</w:t>
      </w:r>
      <w:r w:rsidR="007E160E" w:rsidRPr="00AF445D">
        <w:rPr>
          <w:color w:val="auto"/>
          <w:szCs w:val="24"/>
        </w:rPr>
        <w:t xml:space="preserve"> that there </w:t>
      </w:r>
      <w:r w:rsidR="00A31C91" w:rsidRPr="00AF445D">
        <w:rPr>
          <w:color w:val="auto"/>
          <w:szCs w:val="24"/>
        </w:rPr>
        <w:t>is</w:t>
      </w:r>
      <w:r w:rsidR="007E160E" w:rsidRPr="00AF445D">
        <w:rPr>
          <w:color w:val="auto"/>
          <w:szCs w:val="24"/>
        </w:rPr>
        <w:t xml:space="preserve"> no compensable </w:t>
      </w:r>
      <w:r w:rsidR="009B35C1" w:rsidRPr="00AF445D">
        <w:rPr>
          <w:color w:val="auto"/>
          <w:szCs w:val="24"/>
        </w:rPr>
        <w:t xml:space="preserve">limitation of </w:t>
      </w:r>
      <w:r w:rsidR="007E160E" w:rsidRPr="00AF445D">
        <w:rPr>
          <w:color w:val="auto"/>
          <w:szCs w:val="24"/>
        </w:rPr>
        <w:t>ROM of the right knee.</w:t>
      </w:r>
      <w:r w:rsidR="00622573" w:rsidRPr="00AF445D">
        <w:rPr>
          <w:color w:val="auto"/>
          <w:szCs w:val="24"/>
        </w:rPr>
        <w:t xml:space="preserve"> </w:t>
      </w:r>
      <w:r w:rsidR="007E160E" w:rsidRPr="00AF445D">
        <w:rPr>
          <w:color w:val="auto"/>
          <w:szCs w:val="24"/>
        </w:rPr>
        <w:t xml:space="preserve"> However, I</w:t>
      </w:r>
      <w:r w:rsidR="002763B4" w:rsidRPr="00AF445D">
        <w:rPr>
          <w:color w:val="auto"/>
          <w:szCs w:val="24"/>
        </w:rPr>
        <w:t>AW</w:t>
      </w:r>
      <w:r w:rsidR="007E160E" w:rsidRPr="00AF445D">
        <w:rPr>
          <w:color w:val="auto"/>
          <w:szCs w:val="24"/>
        </w:rPr>
        <w:t xml:space="preserve"> VASRD </w:t>
      </w:r>
      <w:r w:rsidR="008F03E0" w:rsidRPr="00AF445D">
        <w:rPr>
          <w:rFonts w:asciiTheme="majorHAnsi" w:eastAsiaTheme="minorHAnsi" w:hAnsiTheme="majorHAnsi" w:cstheme="majorHAnsi"/>
          <w:color w:val="auto"/>
          <w:szCs w:val="24"/>
        </w:rPr>
        <w:t>§</w:t>
      </w:r>
      <w:r w:rsidR="008F03E0" w:rsidRPr="00AF445D">
        <w:rPr>
          <w:color w:val="auto"/>
          <w:szCs w:val="24"/>
        </w:rPr>
        <w:t xml:space="preserve">4.10, </w:t>
      </w:r>
      <w:r w:rsidR="007E160E" w:rsidRPr="00AF445D">
        <w:rPr>
          <w:rFonts w:asciiTheme="majorHAnsi" w:eastAsiaTheme="minorHAnsi" w:hAnsiTheme="majorHAnsi" w:cstheme="majorHAnsi"/>
          <w:color w:val="auto"/>
          <w:szCs w:val="24"/>
        </w:rPr>
        <w:t>§</w:t>
      </w:r>
      <w:r w:rsidR="007E160E" w:rsidRPr="00AF445D">
        <w:rPr>
          <w:color w:val="auto"/>
          <w:szCs w:val="24"/>
        </w:rPr>
        <w:t>4.40,</w:t>
      </w:r>
      <w:r w:rsidR="007E160E" w:rsidRPr="00AF445D">
        <w:rPr>
          <w:rFonts w:asciiTheme="majorHAnsi" w:eastAsiaTheme="minorHAnsi" w:hAnsiTheme="majorHAnsi" w:cstheme="majorHAnsi"/>
          <w:color w:val="auto"/>
          <w:szCs w:val="24"/>
        </w:rPr>
        <w:t xml:space="preserve"> §</w:t>
      </w:r>
      <w:r w:rsidR="007E160E" w:rsidRPr="00AF445D">
        <w:rPr>
          <w:color w:val="auto"/>
          <w:szCs w:val="24"/>
        </w:rPr>
        <w:t>4.45,</w:t>
      </w:r>
      <w:r w:rsidR="00E45EE1" w:rsidRPr="00AF445D">
        <w:rPr>
          <w:color w:val="auto"/>
          <w:szCs w:val="24"/>
        </w:rPr>
        <w:t xml:space="preserve"> </w:t>
      </w:r>
      <w:r w:rsidR="007E160E" w:rsidRPr="00AF445D">
        <w:rPr>
          <w:color w:val="auto"/>
          <w:szCs w:val="24"/>
        </w:rPr>
        <w:t>and</w:t>
      </w:r>
      <w:r w:rsidR="007E160E" w:rsidRPr="00AF445D">
        <w:rPr>
          <w:rFonts w:asciiTheme="majorHAnsi" w:eastAsiaTheme="minorHAnsi" w:hAnsiTheme="majorHAnsi" w:cstheme="majorHAnsi"/>
          <w:color w:val="auto"/>
          <w:szCs w:val="24"/>
        </w:rPr>
        <w:t>§</w:t>
      </w:r>
      <w:r w:rsidR="007E160E" w:rsidRPr="00AF445D">
        <w:rPr>
          <w:color w:val="auto"/>
          <w:szCs w:val="24"/>
        </w:rPr>
        <w:t xml:space="preserve">4.59 a 10% rating </w:t>
      </w:r>
      <w:r w:rsidR="00A31C91" w:rsidRPr="00AF445D">
        <w:rPr>
          <w:color w:val="auto"/>
          <w:szCs w:val="24"/>
        </w:rPr>
        <w:t>is</w:t>
      </w:r>
      <w:r w:rsidR="007E160E" w:rsidRPr="00AF445D">
        <w:rPr>
          <w:color w:val="auto"/>
          <w:szCs w:val="24"/>
        </w:rPr>
        <w:t xml:space="preserve"> warranted as there is satisfactory evidence of </w:t>
      </w:r>
      <w:r w:rsidR="008F03E0" w:rsidRPr="00AF445D">
        <w:rPr>
          <w:color w:val="auto"/>
          <w:szCs w:val="24"/>
        </w:rPr>
        <w:t xml:space="preserve">functional loss due to pain and </w:t>
      </w:r>
      <w:r w:rsidR="007E160E" w:rsidRPr="00AF445D">
        <w:rPr>
          <w:color w:val="auto"/>
          <w:szCs w:val="24"/>
        </w:rPr>
        <w:t xml:space="preserve">painful motion of </w:t>
      </w:r>
      <w:r w:rsidR="00872889" w:rsidRPr="00AF445D">
        <w:rPr>
          <w:color w:val="auto"/>
          <w:szCs w:val="24"/>
        </w:rPr>
        <w:t>the knee</w:t>
      </w:r>
      <w:r w:rsidR="007E160E" w:rsidRPr="00AF445D">
        <w:rPr>
          <w:color w:val="auto"/>
          <w:szCs w:val="24"/>
        </w:rPr>
        <w:t xml:space="preserve"> joint.</w:t>
      </w:r>
      <w:r w:rsidR="00622573" w:rsidRPr="00AF445D">
        <w:rPr>
          <w:color w:val="auto"/>
          <w:szCs w:val="24"/>
        </w:rPr>
        <w:t xml:space="preserve"> </w:t>
      </w:r>
      <w:r w:rsidR="007E160E" w:rsidRPr="00AF445D">
        <w:rPr>
          <w:color w:val="auto"/>
          <w:szCs w:val="24"/>
        </w:rPr>
        <w:t xml:space="preserve"> In the absence of joint instability, frequent episodes of locking,</w:t>
      </w:r>
      <w:r w:rsidR="00622573" w:rsidRPr="00AF445D">
        <w:rPr>
          <w:color w:val="auto"/>
          <w:szCs w:val="24"/>
        </w:rPr>
        <w:t xml:space="preserve"> or painful scars,</w:t>
      </w:r>
      <w:r w:rsidR="007E160E" w:rsidRPr="00AF445D">
        <w:rPr>
          <w:color w:val="auto"/>
          <w:szCs w:val="24"/>
        </w:rPr>
        <w:t xml:space="preserve"> the Board </w:t>
      </w:r>
      <w:r w:rsidR="00A31C91" w:rsidRPr="00AF445D">
        <w:rPr>
          <w:color w:val="auto"/>
          <w:szCs w:val="24"/>
        </w:rPr>
        <w:t>is</w:t>
      </w:r>
      <w:r w:rsidR="007E160E" w:rsidRPr="00AF445D">
        <w:rPr>
          <w:color w:val="auto"/>
          <w:szCs w:val="24"/>
        </w:rPr>
        <w:t xml:space="preserve"> unable to find a path to any rating higher than 10% for the knee condition.</w:t>
      </w:r>
      <w:r w:rsidR="00622573" w:rsidRPr="00AF445D">
        <w:rPr>
          <w:color w:val="auto"/>
          <w:szCs w:val="24"/>
        </w:rPr>
        <w:t xml:space="preserve"> </w:t>
      </w:r>
      <w:r w:rsidRPr="00AF445D">
        <w:rPr>
          <w:color w:val="auto"/>
          <w:szCs w:val="24"/>
        </w:rPr>
        <w:t xml:space="preserve"> </w:t>
      </w:r>
      <w:r w:rsidR="00B62698" w:rsidRPr="00AF445D">
        <w:rPr>
          <w:rFonts w:eastAsia="Calibri" w:cs="Times New Roman"/>
          <w:color w:val="auto"/>
          <w:szCs w:val="24"/>
        </w:rPr>
        <w:t>After due deliberation, considering all of the evidence and mindful of VASRD §4.3 (reasonable doubt), the Board conclude</w:t>
      </w:r>
      <w:r w:rsidR="00A31C91" w:rsidRPr="00AF445D">
        <w:rPr>
          <w:rFonts w:eastAsia="Calibri" w:cs="Times New Roman"/>
          <w:color w:val="auto"/>
          <w:szCs w:val="24"/>
        </w:rPr>
        <w:t>s</w:t>
      </w:r>
      <w:r w:rsidR="00B62698" w:rsidRPr="00AF445D">
        <w:rPr>
          <w:rFonts w:eastAsia="Calibri" w:cs="Times New Roman"/>
          <w:color w:val="auto"/>
          <w:szCs w:val="24"/>
        </w:rPr>
        <w:t xml:space="preserve"> that there </w:t>
      </w:r>
      <w:r w:rsidR="00D43DE9" w:rsidRPr="00AF445D">
        <w:rPr>
          <w:rFonts w:eastAsia="Calibri" w:cs="Times New Roman"/>
          <w:color w:val="auto"/>
          <w:szCs w:val="24"/>
        </w:rPr>
        <w:t>is</w:t>
      </w:r>
      <w:r w:rsidR="00B62698" w:rsidRPr="00AF445D">
        <w:rPr>
          <w:rFonts w:eastAsia="Calibri" w:cs="Times New Roman"/>
          <w:color w:val="auto"/>
          <w:szCs w:val="24"/>
        </w:rPr>
        <w:t xml:space="preserve"> insufficient cause to recommend a change in the PEB adjudication for the </w:t>
      </w:r>
      <w:r w:rsidR="00E45EE1" w:rsidRPr="00AF445D">
        <w:rPr>
          <w:rFonts w:eastAsia="Calibri" w:cs="Times New Roman"/>
          <w:color w:val="auto"/>
          <w:szCs w:val="24"/>
        </w:rPr>
        <w:t>right knee chondromalacia condition.</w:t>
      </w:r>
      <w:r w:rsidR="00B62698">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A31C91"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22573">
        <w:rPr>
          <w:rFonts w:cs="Times New Roman"/>
          <w:color w:val="auto"/>
        </w:rPr>
        <w:t xml:space="preserve"> </w:t>
      </w:r>
      <w:r w:rsidR="006B690F" w:rsidRPr="00F64312">
        <w:rPr>
          <w:rFonts w:cs="Times New Roman"/>
          <w:color w:val="auto"/>
        </w:rPr>
        <w:t xml:space="preserve"> </w:t>
      </w:r>
      <w:r w:rsidR="00560F12" w:rsidRPr="00F64312">
        <w:rPr>
          <w:rFonts w:eastAsia="Calibri" w:cs="Times New Roman"/>
          <w:color w:val="auto"/>
          <w:szCs w:val="24"/>
        </w:rPr>
        <w:t xml:space="preserve">In the matter of the </w:t>
      </w:r>
      <w:r w:rsidR="00E45EE1">
        <w:rPr>
          <w:rFonts w:eastAsia="Calibri" w:cs="Times New Roman"/>
          <w:color w:val="auto"/>
          <w:szCs w:val="24"/>
        </w:rPr>
        <w:t xml:space="preserve">right knee condition </w:t>
      </w:r>
      <w:r w:rsidR="00560F12" w:rsidRPr="00F64312">
        <w:rPr>
          <w:rFonts w:eastAsia="Calibri" w:cs="Times New Roman"/>
          <w:color w:val="auto"/>
          <w:szCs w:val="24"/>
        </w:rPr>
        <w:t xml:space="preserve">and IAW VASRD </w:t>
      </w:r>
      <w:r w:rsidR="003527AE" w:rsidRPr="007E160E">
        <w:rPr>
          <w:rFonts w:asciiTheme="majorHAnsi" w:eastAsiaTheme="minorHAnsi" w:hAnsiTheme="majorHAnsi" w:cstheme="majorHAnsi"/>
          <w:color w:val="auto"/>
          <w:szCs w:val="24"/>
        </w:rPr>
        <w:t>§</w:t>
      </w:r>
      <w:r w:rsidR="003527AE">
        <w:rPr>
          <w:color w:val="auto"/>
          <w:szCs w:val="24"/>
        </w:rPr>
        <w:t xml:space="preserve">4.10, </w:t>
      </w:r>
      <w:r w:rsidR="003527AE" w:rsidRPr="007E160E">
        <w:rPr>
          <w:rFonts w:asciiTheme="majorHAnsi" w:eastAsiaTheme="minorHAnsi" w:hAnsiTheme="majorHAnsi" w:cstheme="majorHAnsi"/>
          <w:color w:val="auto"/>
          <w:szCs w:val="24"/>
        </w:rPr>
        <w:t>§</w:t>
      </w:r>
      <w:r w:rsidR="003527AE">
        <w:rPr>
          <w:color w:val="auto"/>
          <w:szCs w:val="24"/>
        </w:rPr>
        <w:t>4.40,</w:t>
      </w:r>
      <w:r w:rsidR="003527AE" w:rsidRPr="007E160E">
        <w:rPr>
          <w:rFonts w:asciiTheme="majorHAnsi" w:eastAsiaTheme="minorHAnsi" w:hAnsiTheme="majorHAnsi" w:cstheme="majorHAnsi"/>
          <w:color w:val="auto"/>
          <w:szCs w:val="24"/>
        </w:rPr>
        <w:t xml:space="preserve"> §</w:t>
      </w:r>
      <w:r w:rsidR="003527AE">
        <w:rPr>
          <w:color w:val="auto"/>
          <w:szCs w:val="24"/>
        </w:rPr>
        <w:t xml:space="preserve">4.45, </w:t>
      </w:r>
      <w:r w:rsidR="00E45EE1" w:rsidRPr="00F64312">
        <w:rPr>
          <w:rFonts w:eastAsia="Calibri" w:cs="Times New Roman"/>
          <w:color w:val="auto"/>
          <w:szCs w:val="24"/>
        </w:rPr>
        <w:t>§</w:t>
      </w:r>
      <w:r w:rsidR="00E45EE1">
        <w:rPr>
          <w:rFonts w:eastAsia="Calibri" w:cs="Times New Roman"/>
          <w:color w:val="auto"/>
          <w:szCs w:val="24"/>
        </w:rPr>
        <w:t>4.</w:t>
      </w:r>
      <w:r w:rsidR="003527AE">
        <w:rPr>
          <w:rFonts w:eastAsia="Calibri" w:cs="Times New Roman"/>
          <w:color w:val="auto"/>
          <w:szCs w:val="24"/>
        </w:rPr>
        <w:t>5</w:t>
      </w:r>
      <w:r w:rsidR="00872889">
        <w:rPr>
          <w:rFonts w:eastAsia="Calibri" w:cs="Times New Roman"/>
          <w:color w:val="auto"/>
          <w:szCs w:val="24"/>
        </w:rPr>
        <w:t>9</w:t>
      </w:r>
      <w:r w:rsidR="00E45EE1">
        <w:rPr>
          <w:rFonts w:eastAsia="Calibri" w:cs="Times New Roman"/>
          <w:color w:val="auto"/>
          <w:szCs w:val="24"/>
        </w:rPr>
        <w:t xml:space="preserve">, and </w:t>
      </w:r>
      <w:r w:rsidR="00E45EE1" w:rsidRPr="00F64312">
        <w:rPr>
          <w:rFonts w:eastAsia="Calibri" w:cs="Times New Roman"/>
          <w:color w:val="auto"/>
          <w:szCs w:val="24"/>
        </w:rPr>
        <w:t>§</w:t>
      </w:r>
      <w:r w:rsidR="00E45EE1">
        <w:rPr>
          <w:rFonts w:eastAsia="Calibri" w:cs="Times New Roman"/>
          <w:color w:val="auto"/>
          <w:szCs w:val="24"/>
        </w:rPr>
        <w:t>4.71a</w:t>
      </w:r>
      <w:r w:rsidR="00560F12" w:rsidRPr="00F64312">
        <w:rPr>
          <w:rFonts w:eastAsia="Calibri" w:cs="Times New Roman"/>
          <w:color w:val="auto"/>
          <w:szCs w:val="24"/>
        </w:rPr>
        <w:t xml:space="preserve">, the Board </w:t>
      </w:r>
      <w:r w:rsidR="00560F12" w:rsidRPr="00E45EE1">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E45EE1" w:rsidRDefault="00AD2379" w:rsidP="00E45EE1">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D3114A" w:rsidP="00F1607D">
            <w:pPr>
              <w:tabs>
                <w:tab w:val="left" w:pos="288"/>
                <w:tab w:val="left" w:pos="4752"/>
              </w:tabs>
              <w:jc w:val="left"/>
              <w:rPr>
                <w:color w:val="auto"/>
              </w:rPr>
            </w:pPr>
            <w:r>
              <w:rPr>
                <w:color w:val="auto"/>
              </w:rPr>
              <w:t>R</w:t>
            </w:r>
            <w:r w:rsidR="00F1607D">
              <w:rPr>
                <w:color w:val="auto"/>
              </w:rPr>
              <w:t>ight</w:t>
            </w:r>
            <w:r>
              <w:rPr>
                <w:color w:val="auto"/>
              </w:rPr>
              <w:t xml:space="preserve"> Knee Chondromalacia </w:t>
            </w:r>
            <w:r w:rsidR="00D94BF6">
              <w:rPr>
                <w:color w:val="auto"/>
              </w:rPr>
              <w:t>Osteoarthritis of the Medial Co</w:t>
            </w:r>
            <w:r>
              <w:rPr>
                <w:color w:val="auto"/>
              </w:rPr>
              <w:t>mp</w:t>
            </w:r>
            <w:r w:rsidR="00E45EE1">
              <w:rPr>
                <w:color w:val="auto"/>
              </w:rPr>
              <w:t>a</w:t>
            </w:r>
            <w:r>
              <w:rPr>
                <w:color w:val="auto"/>
              </w:rPr>
              <w:t>rtm</w:t>
            </w:r>
            <w:r w:rsidR="00E45EE1">
              <w:rPr>
                <w:color w:val="auto"/>
              </w:rPr>
              <w:t>en</w:t>
            </w:r>
            <w:r>
              <w:rPr>
                <w:color w:val="auto"/>
              </w:rPr>
              <w:t>t</w:t>
            </w:r>
          </w:p>
        </w:tc>
        <w:tc>
          <w:tcPr>
            <w:tcW w:w="1530" w:type="dxa"/>
            <w:vAlign w:val="center"/>
          </w:tcPr>
          <w:p w:rsidR="00AD2379" w:rsidRPr="00F64312" w:rsidRDefault="00E45EE1" w:rsidP="00E45EE1">
            <w:pPr>
              <w:tabs>
                <w:tab w:val="left" w:pos="288"/>
                <w:tab w:val="left" w:pos="4752"/>
              </w:tabs>
              <w:rPr>
                <w:color w:val="auto"/>
                <w:highlight w:val="lightGray"/>
              </w:rPr>
            </w:pPr>
            <w:r w:rsidRPr="00E45EE1">
              <w:rPr>
                <w:color w:val="auto"/>
              </w:rPr>
              <w:t>5299-5003</w:t>
            </w:r>
          </w:p>
        </w:tc>
        <w:tc>
          <w:tcPr>
            <w:tcW w:w="1026" w:type="dxa"/>
            <w:vAlign w:val="center"/>
          </w:tcPr>
          <w:p w:rsidR="00AD2379" w:rsidRPr="00F64312" w:rsidRDefault="00E45EE1" w:rsidP="006B690F">
            <w:pPr>
              <w:tabs>
                <w:tab w:val="left" w:pos="288"/>
                <w:tab w:val="left" w:pos="4752"/>
              </w:tabs>
              <w:rPr>
                <w:color w:val="auto"/>
                <w:highlight w:val="lightGray"/>
              </w:rPr>
            </w:pPr>
            <w:r w:rsidRPr="00E45EE1">
              <w:rPr>
                <w:color w:val="auto"/>
              </w:rPr>
              <w:t>1</w:t>
            </w:r>
            <w:r w:rsidR="00AD2379" w:rsidRPr="00E45EE1">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061F0E" w:rsidP="00061F0E">
            <w:pPr>
              <w:tabs>
                <w:tab w:val="left" w:pos="288"/>
                <w:tab w:val="left" w:pos="4752"/>
              </w:tabs>
              <w:jc w:val="both"/>
              <w:rPr>
                <w:b/>
                <w:color w:val="auto"/>
              </w:rPr>
            </w:pPr>
            <w:r w:rsidRPr="00876E81">
              <w:rPr>
                <w:b/>
                <w:color w:val="auto"/>
              </w:rPr>
              <w:t xml:space="preserve">   </w:t>
            </w:r>
            <w:r w:rsidR="00E45EE1" w:rsidRPr="00876E81">
              <w:rPr>
                <w:b/>
                <w:color w:val="auto"/>
              </w:rPr>
              <w:t>1</w:t>
            </w:r>
            <w:r w:rsidR="00AD2379" w:rsidRPr="00876E81">
              <w:rPr>
                <w:b/>
                <w:color w:val="auto"/>
              </w:rPr>
              <w:t>0%</w:t>
            </w:r>
          </w:p>
        </w:tc>
      </w:tr>
    </w:tbl>
    <w:p w:rsidR="00AD2379" w:rsidRPr="00F64312" w:rsidRDefault="00AD2379" w:rsidP="006B690F">
      <w:pPr>
        <w:jc w:val="both"/>
        <w:rPr>
          <w:color w:val="auto"/>
        </w:rPr>
      </w:pPr>
    </w:p>
    <w:p w:rsidR="009B35C1" w:rsidRDefault="009B35C1">
      <w:pPr>
        <w:spacing w:line="240" w:lineRule="auto"/>
        <w:jc w:val="left"/>
        <w:rPr>
          <w:color w:val="auto"/>
        </w:rPr>
      </w:pPr>
      <w:r>
        <w:rPr>
          <w:color w:val="auto"/>
        </w:rPr>
        <w:br w:type="page"/>
      </w:r>
    </w:p>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75604E">
        <w:rPr>
          <w:color w:val="auto"/>
        </w:rPr>
        <w:t>20</w:t>
      </w:r>
      <w:r w:rsidR="0075604E">
        <w:rPr>
          <w:color w:val="auto"/>
        </w:rPr>
        <w:t>111107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8F3421">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8F3421" w:rsidRDefault="00AD2379" w:rsidP="00BF0E94">
      <w:pPr>
        <w:tabs>
          <w:tab w:val="left" w:pos="0"/>
          <w:tab w:val="left" w:pos="4320"/>
        </w:tabs>
        <w:jc w:val="both"/>
        <w:rPr>
          <w:color w:val="auto"/>
        </w:rPr>
      </w:pPr>
      <w:r w:rsidRPr="00F64312">
        <w:rPr>
          <w:color w:val="auto"/>
        </w:rPr>
        <w:tab/>
        <w:t xml:space="preserve">           Physical Disability Board of Review</w:t>
      </w:r>
    </w:p>
    <w:p w:rsidR="008F3421" w:rsidRDefault="008F3421">
      <w:pPr>
        <w:spacing w:line="240" w:lineRule="auto"/>
        <w:jc w:val="left"/>
        <w:rPr>
          <w:color w:val="auto"/>
        </w:rPr>
      </w:pPr>
      <w:r>
        <w:rPr>
          <w:color w:val="auto"/>
        </w:rPr>
        <w:br w:type="page"/>
      </w:r>
    </w:p>
    <w:p w:rsidR="008F3421" w:rsidRPr="00D37C00" w:rsidRDefault="008F3421" w:rsidP="008F3421">
      <w:pPr>
        <w:tabs>
          <w:tab w:val="left" w:pos="0"/>
          <w:tab w:val="left" w:pos="4320"/>
        </w:tabs>
        <w:jc w:val="both"/>
        <w:rPr>
          <w:color w:val="auto"/>
        </w:rPr>
      </w:pPr>
      <w:r w:rsidRPr="00D37C00">
        <w:rPr>
          <w:color w:val="auto"/>
        </w:rPr>
        <w:lastRenderedPageBreak/>
        <w:t xml:space="preserve">MEMORANDUM FOR DIRECTOR, SECRETARY OF THE NAVY COUNCIL OF REVIEW </w:t>
      </w:r>
    </w:p>
    <w:p w:rsidR="008F3421" w:rsidRPr="00D37C00" w:rsidRDefault="008F3421" w:rsidP="008F3421">
      <w:pPr>
        <w:tabs>
          <w:tab w:val="left" w:pos="0"/>
          <w:tab w:val="left" w:pos="4320"/>
        </w:tabs>
        <w:jc w:val="both"/>
        <w:rPr>
          <w:color w:val="auto"/>
        </w:rPr>
      </w:pPr>
      <w:r w:rsidRPr="00D37C00">
        <w:rPr>
          <w:color w:val="auto"/>
        </w:rPr>
        <w:t xml:space="preserve">               BOARDS </w:t>
      </w:r>
    </w:p>
    <w:p w:rsidR="008F3421" w:rsidRPr="00D37C00" w:rsidRDefault="008F3421" w:rsidP="008F3421">
      <w:pPr>
        <w:tabs>
          <w:tab w:val="left" w:pos="0"/>
          <w:tab w:val="left" w:pos="4320"/>
        </w:tabs>
        <w:jc w:val="both"/>
        <w:rPr>
          <w:color w:val="auto"/>
        </w:rPr>
      </w:pPr>
    </w:p>
    <w:p w:rsidR="008F3421" w:rsidRPr="00D37C00" w:rsidRDefault="008F3421" w:rsidP="008F3421">
      <w:pPr>
        <w:tabs>
          <w:tab w:val="left" w:pos="0"/>
          <w:tab w:val="left" w:pos="4320"/>
        </w:tabs>
        <w:jc w:val="both"/>
        <w:rPr>
          <w:color w:val="auto"/>
        </w:rPr>
      </w:pPr>
      <w:proofErr w:type="spellStart"/>
      <w:r w:rsidRPr="00D37C00">
        <w:rPr>
          <w:color w:val="auto"/>
        </w:rPr>
        <w:t>Subj</w:t>
      </w:r>
      <w:proofErr w:type="spellEnd"/>
      <w:r w:rsidRPr="00D37C00">
        <w:rPr>
          <w:color w:val="auto"/>
        </w:rPr>
        <w:t>:  PHYSICAL DISABILITY BOARD OF REVIEW (PDBR) RECOMMENDATIONS</w:t>
      </w:r>
    </w:p>
    <w:p w:rsidR="008F3421" w:rsidRPr="00D37C00" w:rsidRDefault="008F3421" w:rsidP="008F3421">
      <w:pPr>
        <w:tabs>
          <w:tab w:val="left" w:pos="0"/>
          <w:tab w:val="left" w:pos="4320"/>
        </w:tabs>
        <w:jc w:val="both"/>
        <w:rPr>
          <w:color w:val="auto"/>
        </w:rPr>
      </w:pPr>
    </w:p>
    <w:p w:rsidR="008F3421" w:rsidRPr="00D37C00" w:rsidRDefault="008F3421" w:rsidP="008F3421">
      <w:pPr>
        <w:tabs>
          <w:tab w:val="left" w:pos="0"/>
          <w:tab w:val="left" w:pos="4320"/>
        </w:tabs>
        <w:jc w:val="both"/>
        <w:rPr>
          <w:color w:val="auto"/>
        </w:rPr>
      </w:pPr>
      <w:r w:rsidRPr="00D37C00">
        <w:rPr>
          <w:color w:val="auto"/>
        </w:rPr>
        <w:t xml:space="preserve">Ref:   (a) </w:t>
      </w:r>
      <w:proofErr w:type="spellStart"/>
      <w:r w:rsidRPr="00D37C00">
        <w:rPr>
          <w:color w:val="auto"/>
        </w:rPr>
        <w:t>DoDI</w:t>
      </w:r>
      <w:proofErr w:type="spellEnd"/>
      <w:r w:rsidRPr="00D37C00">
        <w:rPr>
          <w:color w:val="auto"/>
        </w:rPr>
        <w:t xml:space="preserve"> 6040.44</w:t>
      </w:r>
    </w:p>
    <w:p w:rsidR="008F3421" w:rsidRPr="00D37C00" w:rsidRDefault="008F3421" w:rsidP="008F3421">
      <w:pPr>
        <w:tabs>
          <w:tab w:val="left" w:pos="0"/>
          <w:tab w:val="left" w:pos="4320"/>
        </w:tabs>
        <w:jc w:val="both"/>
        <w:rPr>
          <w:color w:val="auto"/>
        </w:rPr>
      </w:pPr>
      <w:r w:rsidRPr="00D37C00">
        <w:rPr>
          <w:color w:val="auto"/>
        </w:rPr>
        <w:t xml:space="preserve">       </w:t>
      </w:r>
      <w:r>
        <w:rPr>
          <w:color w:val="auto"/>
        </w:rPr>
        <w:t xml:space="preserve">   </w:t>
      </w:r>
      <w:r w:rsidRPr="00D37C00">
        <w:rPr>
          <w:color w:val="auto"/>
        </w:rPr>
        <w:t xml:space="preserve">(b) CORB </w:t>
      </w:r>
      <w:proofErr w:type="spellStart"/>
      <w:r w:rsidRPr="00D37C00">
        <w:rPr>
          <w:color w:val="auto"/>
        </w:rPr>
        <w:t>ltr</w:t>
      </w:r>
      <w:proofErr w:type="spellEnd"/>
      <w:r w:rsidRPr="00D37C00">
        <w:rPr>
          <w:color w:val="auto"/>
        </w:rPr>
        <w:t xml:space="preserve"> </w:t>
      </w:r>
      <w:proofErr w:type="spellStart"/>
      <w:r w:rsidRPr="00D37C00">
        <w:rPr>
          <w:color w:val="auto"/>
        </w:rPr>
        <w:t>dtd</w:t>
      </w:r>
      <w:proofErr w:type="spellEnd"/>
      <w:r w:rsidRPr="00D37C00">
        <w:rPr>
          <w:color w:val="auto"/>
        </w:rPr>
        <w:t xml:space="preserve"> 24 Aug 12</w:t>
      </w:r>
    </w:p>
    <w:p w:rsidR="008F3421" w:rsidRPr="00D37C00" w:rsidRDefault="008F3421" w:rsidP="008F3421">
      <w:pPr>
        <w:tabs>
          <w:tab w:val="left" w:pos="0"/>
          <w:tab w:val="left" w:pos="4320"/>
        </w:tabs>
        <w:jc w:val="both"/>
        <w:rPr>
          <w:color w:val="auto"/>
        </w:rPr>
      </w:pPr>
    </w:p>
    <w:p w:rsidR="008F3421" w:rsidRPr="00D37C00" w:rsidRDefault="008F3421" w:rsidP="008F3421">
      <w:pPr>
        <w:tabs>
          <w:tab w:val="left" w:pos="0"/>
          <w:tab w:val="left" w:pos="4320"/>
        </w:tabs>
        <w:jc w:val="both"/>
        <w:rPr>
          <w:color w:val="auto"/>
        </w:rPr>
      </w:pPr>
      <w:r w:rsidRPr="00D37C00">
        <w:rPr>
          <w:color w:val="auto"/>
        </w:rPr>
        <w:t xml:space="preserve">    In accordance with reference (a), I have reviewed the cases forwarded by reference (b), and, for the reasons provided in their forwarding memorandum, approve the recommendations of the </w:t>
      </w:r>
      <w:proofErr w:type="gramStart"/>
      <w:r w:rsidRPr="00D37C00">
        <w:rPr>
          <w:color w:val="auto"/>
        </w:rPr>
        <w:t>PDBR  that</w:t>
      </w:r>
      <w:proofErr w:type="gramEnd"/>
      <w:r w:rsidRPr="00D37C00">
        <w:rPr>
          <w:color w:val="auto"/>
        </w:rPr>
        <w:t xml:space="preserve"> the following individuals’ records not be corrected to reflect a change in either characterization of separation or in the disability rating previously assigned by the Department of the Navy’s Physical Evaluation Board:</w:t>
      </w:r>
    </w:p>
    <w:p w:rsidR="008F3421" w:rsidRPr="00D37C00" w:rsidRDefault="008F3421" w:rsidP="008F3421">
      <w:pPr>
        <w:tabs>
          <w:tab w:val="left" w:pos="0"/>
          <w:tab w:val="left" w:pos="4320"/>
        </w:tabs>
        <w:jc w:val="both"/>
        <w:rPr>
          <w:color w:val="auto"/>
        </w:rPr>
      </w:pPr>
    </w:p>
    <w:p w:rsidR="008F3421" w:rsidRPr="00D37C00" w:rsidRDefault="008F3421" w:rsidP="008F3421">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8F3421" w:rsidRPr="00D37C00" w:rsidRDefault="008F3421" w:rsidP="008F3421">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8F3421" w:rsidRPr="00D37C00" w:rsidRDefault="008F3421" w:rsidP="008F3421">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8F3421" w:rsidRPr="00D37C00" w:rsidRDefault="008F3421" w:rsidP="008F3421">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8F3421" w:rsidRPr="00D37C00" w:rsidRDefault="008F3421" w:rsidP="008F3421">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8F3421" w:rsidRPr="00D37C00" w:rsidRDefault="008F3421" w:rsidP="008F3421">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8F3421" w:rsidRPr="00D37C00" w:rsidRDefault="008F3421" w:rsidP="008F3421">
      <w:pPr>
        <w:tabs>
          <w:tab w:val="left" w:pos="0"/>
          <w:tab w:val="left" w:pos="4320"/>
        </w:tabs>
        <w:jc w:val="both"/>
        <w:rPr>
          <w:color w:val="auto"/>
        </w:rPr>
      </w:pPr>
      <w:r w:rsidRPr="00D37C00">
        <w:rPr>
          <w:color w:val="auto"/>
        </w:rPr>
        <w:t xml:space="preserve">    </w:t>
      </w:r>
    </w:p>
    <w:p w:rsidR="008F3421" w:rsidRPr="00D37C00" w:rsidRDefault="008F3421" w:rsidP="008F3421">
      <w:pPr>
        <w:tabs>
          <w:tab w:val="left" w:pos="0"/>
          <w:tab w:val="left" w:pos="4320"/>
        </w:tabs>
        <w:jc w:val="both"/>
        <w:rPr>
          <w:color w:val="auto"/>
        </w:rPr>
      </w:pPr>
    </w:p>
    <w:p w:rsidR="008F3421" w:rsidRPr="00D37C00" w:rsidRDefault="008F3421" w:rsidP="008F3421">
      <w:pPr>
        <w:tabs>
          <w:tab w:val="left" w:pos="0"/>
          <w:tab w:val="left" w:pos="4320"/>
        </w:tabs>
        <w:jc w:val="both"/>
        <w:rPr>
          <w:color w:val="auto"/>
        </w:rPr>
      </w:pPr>
      <w:r>
        <w:rPr>
          <w:color w:val="auto"/>
        </w:rPr>
        <w:t xml:space="preserve"> </w:t>
      </w:r>
    </w:p>
    <w:p w:rsidR="008F3421" w:rsidRPr="00D37C00" w:rsidRDefault="008F3421" w:rsidP="008F3421">
      <w:pPr>
        <w:tabs>
          <w:tab w:val="left" w:pos="0"/>
          <w:tab w:val="left" w:pos="4320"/>
        </w:tabs>
        <w:jc w:val="both"/>
        <w:rPr>
          <w:color w:val="auto"/>
        </w:rPr>
      </w:pPr>
      <w:r w:rsidRPr="00D37C00">
        <w:rPr>
          <w:color w:val="auto"/>
        </w:rPr>
        <w:tab/>
        <w:t>Assistant General Counsel</w:t>
      </w:r>
    </w:p>
    <w:p w:rsidR="008F3421" w:rsidRPr="00D37C00" w:rsidRDefault="008F3421" w:rsidP="008F3421">
      <w:pPr>
        <w:tabs>
          <w:tab w:val="left" w:pos="0"/>
          <w:tab w:val="left" w:pos="4320"/>
        </w:tabs>
        <w:jc w:val="both"/>
        <w:rPr>
          <w:color w:val="auto"/>
        </w:rPr>
      </w:pPr>
      <w:r w:rsidRPr="00D37C00">
        <w:rPr>
          <w:color w:val="auto"/>
        </w:rPr>
        <w:tab/>
        <w:t xml:space="preserve">  (Manpower &amp; Reserve Affairs)</w:t>
      </w:r>
    </w:p>
    <w:p w:rsidR="00AD2379" w:rsidRDefault="00AD2379" w:rsidP="00BF0E94">
      <w:pPr>
        <w:tabs>
          <w:tab w:val="left" w:pos="0"/>
          <w:tab w:val="left" w:pos="4320"/>
        </w:tabs>
        <w:jc w:val="both"/>
        <w:rPr>
          <w:color w:val="auto"/>
        </w:rPr>
      </w:pPr>
      <w:bookmarkStart w:id="0" w:name="_GoBack"/>
      <w:bookmarkEnd w:id="0"/>
    </w:p>
    <w:p w:rsidR="00DF3B06" w:rsidRDefault="00DF3B06" w:rsidP="00BF0E94">
      <w:pPr>
        <w:tabs>
          <w:tab w:val="left" w:pos="0"/>
          <w:tab w:val="left" w:pos="4320"/>
        </w:tabs>
        <w:jc w:val="both"/>
        <w:rPr>
          <w:color w:val="auto"/>
        </w:rPr>
      </w:pPr>
    </w:p>
    <w:sectPr w:rsidR="00DF3B06"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43" w:rsidRDefault="00EC2643">
      <w:r>
        <w:separator/>
      </w:r>
    </w:p>
  </w:endnote>
  <w:endnote w:type="continuationSeparator" w:id="0">
    <w:p w:rsidR="00EC2643" w:rsidRDefault="00EC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3A" w:rsidRPr="00374247" w:rsidRDefault="00512C3A" w:rsidP="00726F84">
    <w:pPr>
      <w:pStyle w:val="Footer"/>
      <w:ind w:firstLine="4320"/>
      <w:rPr>
        <w:color w:val="auto"/>
      </w:rPr>
    </w:pPr>
    <w:r w:rsidRPr="00374247">
      <w:rPr>
        <w:color w:val="auto"/>
      </w:rPr>
      <w:t xml:space="preserve">   </w:t>
    </w:r>
    <w:r w:rsidR="0031061C">
      <w:fldChar w:fldCharType="begin"/>
    </w:r>
    <w:r w:rsidR="0031061C">
      <w:instrText xml:space="preserve"> PAGE   \* MERGEFORMAT </w:instrText>
    </w:r>
    <w:r w:rsidR="0031061C">
      <w:fldChar w:fldCharType="separate"/>
    </w:r>
    <w:r w:rsidR="008F3421" w:rsidRPr="008F3421">
      <w:rPr>
        <w:noProof/>
        <w:color w:val="auto"/>
      </w:rPr>
      <w:t>6</w:t>
    </w:r>
    <w:r w:rsidR="0031061C">
      <w:rPr>
        <w:noProof/>
        <w:color w:val="auto"/>
      </w:rPr>
      <w:fldChar w:fldCharType="end"/>
    </w:r>
    <w:r w:rsidRPr="002D3665">
      <w:rPr>
        <w:color w:val="auto"/>
      </w:rPr>
      <w:t xml:space="preserve">                                </w:t>
    </w:r>
    <w:r w:rsidR="003F6E1E">
      <w:rPr>
        <w:color w:val="auto"/>
      </w:rPr>
      <w:t xml:space="preserve">                           PD11</w:t>
    </w:r>
    <w:r>
      <w:rPr>
        <w:color w:val="auto"/>
      </w:rPr>
      <w:t>01061</w:t>
    </w:r>
  </w:p>
  <w:p w:rsidR="00512C3A" w:rsidRPr="00684CE6" w:rsidRDefault="00512C3A">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43" w:rsidRDefault="00EC2643">
      <w:r>
        <w:separator/>
      </w:r>
    </w:p>
  </w:footnote>
  <w:footnote w:type="continuationSeparator" w:id="0">
    <w:p w:rsidR="00EC2643" w:rsidRDefault="00EC2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15D63"/>
    <w:multiLevelType w:val="hybridMultilevel"/>
    <w:tmpl w:val="DAD49C34"/>
    <w:lvl w:ilvl="0" w:tplc="32A4257E">
      <w:start w:val="524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25AE"/>
    <w:rsid w:val="000059FA"/>
    <w:rsid w:val="00006186"/>
    <w:rsid w:val="00006F87"/>
    <w:rsid w:val="00007107"/>
    <w:rsid w:val="00007BCC"/>
    <w:rsid w:val="00010ABA"/>
    <w:rsid w:val="00010AF0"/>
    <w:rsid w:val="00010B0F"/>
    <w:rsid w:val="00012299"/>
    <w:rsid w:val="00012428"/>
    <w:rsid w:val="00012733"/>
    <w:rsid w:val="0001281C"/>
    <w:rsid w:val="00012A4B"/>
    <w:rsid w:val="00012BAA"/>
    <w:rsid w:val="00013417"/>
    <w:rsid w:val="000145C2"/>
    <w:rsid w:val="0001473F"/>
    <w:rsid w:val="00014A47"/>
    <w:rsid w:val="00014A9E"/>
    <w:rsid w:val="00016C1E"/>
    <w:rsid w:val="00017778"/>
    <w:rsid w:val="00020941"/>
    <w:rsid w:val="000209AA"/>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058"/>
    <w:rsid w:val="00035C3A"/>
    <w:rsid w:val="00036E4B"/>
    <w:rsid w:val="00037929"/>
    <w:rsid w:val="000379D0"/>
    <w:rsid w:val="00040FC4"/>
    <w:rsid w:val="000416F8"/>
    <w:rsid w:val="00042978"/>
    <w:rsid w:val="00042C26"/>
    <w:rsid w:val="00043382"/>
    <w:rsid w:val="00043EDC"/>
    <w:rsid w:val="00044623"/>
    <w:rsid w:val="000452D7"/>
    <w:rsid w:val="00046203"/>
    <w:rsid w:val="00051622"/>
    <w:rsid w:val="00051A11"/>
    <w:rsid w:val="00051F89"/>
    <w:rsid w:val="00052234"/>
    <w:rsid w:val="00053D7C"/>
    <w:rsid w:val="00053E6B"/>
    <w:rsid w:val="000575C5"/>
    <w:rsid w:val="000577C9"/>
    <w:rsid w:val="00060C18"/>
    <w:rsid w:val="00060FFD"/>
    <w:rsid w:val="000619E7"/>
    <w:rsid w:val="00061D69"/>
    <w:rsid w:val="00061F0E"/>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063"/>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4CAF"/>
    <w:rsid w:val="0010530E"/>
    <w:rsid w:val="001058BF"/>
    <w:rsid w:val="00105C07"/>
    <w:rsid w:val="00106920"/>
    <w:rsid w:val="00106AD8"/>
    <w:rsid w:val="001078DB"/>
    <w:rsid w:val="001079FA"/>
    <w:rsid w:val="00107B3B"/>
    <w:rsid w:val="00107EC5"/>
    <w:rsid w:val="001103CD"/>
    <w:rsid w:val="00111D3F"/>
    <w:rsid w:val="00112E7B"/>
    <w:rsid w:val="00112F44"/>
    <w:rsid w:val="00113D2A"/>
    <w:rsid w:val="00114457"/>
    <w:rsid w:val="001149C0"/>
    <w:rsid w:val="00114F20"/>
    <w:rsid w:val="00115078"/>
    <w:rsid w:val="0011590B"/>
    <w:rsid w:val="001209BA"/>
    <w:rsid w:val="001211AF"/>
    <w:rsid w:val="001215DF"/>
    <w:rsid w:val="00121697"/>
    <w:rsid w:val="001219DF"/>
    <w:rsid w:val="0012220B"/>
    <w:rsid w:val="00122ABE"/>
    <w:rsid w:val="00122FC5"/>
    <w:rsid w:val="001231DC"/>
    <w:rsid w:val="0012453A"/>
    <w:rsid w:val="0012489B"/>
    <w:rsid w:val="001272AE"/>
    <w:rsid w:val="00130756"/>
    <w:rsid w:val="0013085C"/>
    <w:rsid w:val="001315DD"/>
    <w:rsid w:val="00132068"/>
    <w:rsid w:val="00134150"/>
    <w:rsid w:val="00134E0B"/>
    <w:rsid w:val="0013525F"/>
    <w:rsid w:val="00135385"/>
    <w:rsid w:val="00135ECA"/>
    <w:rsid w:val="00136204"/>
    <w:rsid w:val="001364D1"/>
    <w:rsid w:val="001374C7"/>
    <w:rsid w:val="00140FA4"/>
    <w:rsid w:val="00141BC9"/>
    <w:rsid w:val="001421FD"/>
    <w:rsid w:val="001425C8"/>
    <w:rsid w:val="00142EBA"/>
    <w:rsid w:val="001434A4"/>
    <w:rsid w:val="00143AC7"/>
    <w:rsid w:val="00143B79"/>
    <w:rsid w:val="00145965"/>
    <w:rsid w:val="0014767E"/>
    <w:rsid w:val="001501A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33CC"/>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6DDB"/>
    <w:rsid w:val="001A0006"/>
    <w:rsid w:val="001A025E"/>
    <w:rsid w:val="001A08CD"/>
    <w:rsid w:val="001A0A1E"/>
    <w:rsid w:val="001A2182"/>
    <w:rsid w:val="001A2AC1"/>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C58"/>
    <w:rsid w:val="001C545A"/>
    <w:rsid w:val="001C5BDA"/>
    <w:rsid w:val="001C5CFC"/>
    <w:rsid w:val="001C68B2"/>
    <w:rsid w:val="001C7231"/>
    <w:rsid w:val="001C7418"/>
    <w:rsid w:val="001C7EBE"/>
    <w:rsid w:val="001D0051"/>
    <w:rsid w:val="001D1383"/>
    <w:rsid w:val="001D150B"/>
    <w:rsid w:val="001D169A"/>
    <w:rsid w:val="001D2224"/>
    <w:rsid w:val="001D31AA"/>
    <w:rsid w:val="001D37B9"/>
    <w:rsid w:val="001D3DC0"/>
    <w:rsid w:val="001D4F88"/>
    <w:rsid w:val="001D64F3"/>
    <w:rsid w:val="001D68CF"/>
    <w:rsid w:val="001D6A8C"/>
    <w:rsid w:val="001D7009"/>
    <w:rsid w:val="001D7A56"/>
    <w:rsid w:val="001E0291"/>
    <w:rsid w:val="001E15C0"/>
    <w:rsid w:val="001E18E0"/>
    <w:rsid w:val="001E18E2"/>
    <w:rsid w:val="001E19D0"/>
    <w:rsid w:val="001E1C3B"/>
    <w:rsid w:val="001E2A30"/>
    <w:rsid w:val="001E2FF1"/>
    <w:rsid w:val="001E3FE1"/>
    <w:rsid w:val="001E41FE"/>
    <w:rsid w:val="001E4989"/>
    <w:rsid w:val="001E635C"/>
    <w:rsid w:val="001E63B3"/>
    <w:rsid w:val="001F0297"/>
    <w:rsid w:val="001F08A8"/>
    <w:rsid w:val="001F29F9"/>
    <w:rsid w:val="001F6E0B"/>
    <w:rsid w:val="00200AA0"/>
    <w:rsid w:val="00200AAD"/>
    <w:rsid w:val="00200F21"/>
    <w:rsid w:val="00202325"/>
    <w:rsid w:val="00202736"/>
    <w:rsid w:val="00203652"/>
    <w:rsid w:val="00204562"/>
    <w:rsid w:val="00205B4F"/>
    <w:rsid w:val="002060B6"/>
    <w:rsid w:val="002066B5"/>
    <w:rsid w:val="002100EA"/>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306"/>
    <w:rsid w:val="00270864"/>
    <w:rsid w:val="002712F7"/>
    <w:rsid w:val="0027159C"/>
    <w:rsid w:val="002722F2"/>
    <w:rsid w:val="00274549"/>
    <w:rsid w:val="00274E46"/>
    <w:rsid w:val="002752AE"/>
    <w:rsid w:val="00275AFD"/>
    <w:rsid w:val="002763B4"/>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388"/>
    <w:rsid w:val="00293DB6"/>
    <w:rsid w:val="00293FE8"/>
    <w:rsid w:val="00294437"/>
    <w:rsid w:val="00296686"/>
    <w:rsid w:val="00297A00"/>
    <w:rsid w:val="00297A45"/>
    <w:rsid w:val="00297E20"/>
    <w:rsid w:val="002A1BC0"/>
    <w:rsid w:val="002A233F"/>
    <w:rsid w:val="002A3237"/>
    <w:rsid w:val="002A4119"/>
    <w:rsid w:val="002A58B7"/>
    <w:rsid w:val="002A5943"/>
    <w:rsid w:val="002A5C3C"/>
    <w:rsid w:val="002A685E"/>
    <w:rsid w:val="002A72C7"/>
    <w:rsid w:val="002B0204"/>
    <w:rsid w:val="002B03B2"/>
    <w:rsid w:val="002B0749"/>
    <w:rsid w:val="002B0763"/>
    <w:rsid w:val="002B1FA6"/>
    <w:rsid w:val="002B2645"/>
    <w:rsid w:val="002B2D0B"/>
    <w:rsid w:val="002B303A"/>
    <w:rsid w:val="002B32E9"/>
    <w:rsid w:val="002B4E22"/>
    <w:rsid w:val="002B6FA0"/>
    <w:rsid w:val="002B7710"/>
    <w:rsid w:val="002C0910"/>
    <w:rsid w:val="002C0DEA"/>
    <w:rsid w:val="002C0F0F"/>
    <w:rsid w:val="002C34F6"/>
    <w:rsid w:val="002C3B6D"/>
    <w:rsid w:val="002C3F59"/>
    <w:rsid w:val="002C4A1B"/>
    <w:rsid w:val="002C59A8"/>
    <w:rsid w:val="002C5D9D"/>
    <w:rsid w:val="002C5F10"/>
    <w:rsid w:val="002C6E5B"/>
    <w:rsid w:val="002D08F3"/>
    <w:rsid w:val="002D1607"/>
    <w:rsid w:val="002D18B4"/>
    <w:rsid w:val="002D2058"/>
    <w:rsid w:val="002D231A"/>
    <w:rsid w:val="002D3665"/>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2F7FFB"/>
    <w:rsid w:val="00300A36"/>
    <w:rsid w:val="00301B45"/>
    <w:rsid w:val="003029D5"/>
    <w:rsid w:val="0030433B"/>
    <w:rsid w:val="00304511"/>
    <w:rsid w:val="00304537"/>
    <w:rsid w:val="00305856"/>
    <w:rsid w:val="00305867"/>
    <w:rsid w:val="0030678B"/>
    <w:rsid w:val="00306D16"/>
    <w:rsid w:val="0030700A"/>
    <w:rsid w:val="00307595"/>
    <w:rsid w:val="00307DA6"/>
    <w:rsid w:val="0031061C"/>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05"/>
    <w:rsid w:val="0033414F"/>
    <w:rsid w:val="00334514"/>
    <w:rsid w:val="0033555E"/>
    <w:rsid w:val="0033601F"/>
    <w:rsid w:val="00336805"/>
    <w:rsid w:val="00337351"/>
    <w:rsid w:val="00341A54"/>
    <w:rsid w:val="00341C3D"/>
    <w:rsid w:val="00344A4F"/>
    <w:rsid w:val="00344D17"/>
    <w:rsid w:val="00344D5F"/>
    <w:rsid w:val="0034669F"/>
    <w:rsid w:val="003470C4"/>
    <w:rsid w:val="00347D0D"/>
    <w:rsid w:val="00351498"/>
    <w:rsid w:val="003527AE"/>
    <w:rsid w:val="00352B22"/>
    <w:rsid w:val="00352CBF"/>
    <w:rsid w:val="003534DC"/>
    <w:rsid w:val="00354547"/>
    <w:rsid w:val="003549F5"/>
    <w:rsid w:val="00355ACB"/>
    <w:rsid w:val="003567DE"/>
    <w:rsid w:val="003574F3"/>
    <w:rsid w:val="00357831"/>
    <w:rsid w:val="003604A5"/>
    <w:rsid w:val="00360B38"/>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B7B"/>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B0B"/>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0D9F"/>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96"/>
    <w:rsid w:val="003E31E3"/>
    <w:rsid w:val="003E3E93"/>
    <w:rsid w:val="003E46D1"/>
    <w:rsid w:val="003E6214"/>
    <w:rsid w:val="003F070E"/>
    <w:rsid w:val="003F1206"/>
    <w:rsid w:val="003F23DF"/>
    <w:rsid w:val="003F2418"/>
    <w:rsid w:val="003F28DB"/>
    <w:rsid w:val="003F2EEE"/>
    <w:rsid w:val="003F44FD"/>
    <w:rsid w:val="003F58B0"/>
    <w:rsid w:val="003F6E1E"/>
    <w:rsid w:val="003F776F"/>
    <w:rsid w:val="004007E9"/>
    <w:rsid w:val="00400810"/>
    <w:rsid w:val="00401825"/>
    <w:rsid w:val="00401BBC"/>
    <w:rsid w:val="004026FC"/>
    <w:rsid w:val="00403BFB"/>
    <w:rsid w:val="004042A2"/>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5608"/>
    <w:rsid w:val="004374E4"/>
    <w:rsid w:val="00437B8A"/>
    <w:rsid w:val="00437D18"/>
    <w:rsid w:val="00437D77"/>
    <w:rsid w:val="00441D99"/>
    <w:rsid w:val="00442609"/>
    <w:rsid w:val="004429D9"/>
    <w:rsid w:val="004435BE"/>
    <w:rsid w:val="0044384F"/>
    <w:rsid w:val="0044411E"/>
    <w:rsid w:val="00444472"/>
    <w:rsid w:val="00444874"/>
    <w:rsid w:val="00444B93"/>
    <w:rsid w:val="00444F80"/>
    <w:rsid w:val="00445599"/>
    <w:rsid w:val="004457A3"/>
    <w:rsid w:val="00446018"/>
    <w:rsid w:val="0044769D"/>
    <w:rsid w:val="0045027B"/>
    <w:rsid w:val="004504E7"/>
    <w:rsid w:val="00451F9D"/>
    <w:rsid w:val="00453167"/>
    <w:rsid w:val="0045361D"/>
    <w:rsid w:val="00454124"/>
    <w:rsid w:val="004543BC"/>
    <w:rsid w:val="00454F28"/>
    <w:rsid w:val="00455D67"/>
    <w:rsid w:val="0045645D"/>
    <w:rsid w:val="004568F5"/>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3512"/>
    <w:rsid w:val="0047570F"/>
    <w:rsid w:val="004761CC"/>
    <w:rsid w:val="00476229"/>
    <w:rsid w:val="004766C9"/>
    <w:rsid w:val="00480D4A"/>
    <w:rsid w:val="0048111C"/>
    <w:rsid w:val="004815C2"/>
    <w:rsid w:val="00481DA1"/>
    <w:rsid w:val="00483A2B"/>
    <w:rsid w:val="00484212"/>
    <w:rsid w:val="004848C3"/>
    <w:rsid w:val="00484BA9"/>
    <w:rsid w:val="0048599A"/>
    <w:rsid w:val="00486818"/>
    <w:rsid w:val="0049255F"/>
    <w:rsid w:val="0049445D"/>
    <w:rsid w:val="0049448D"/>
    <w:rsid w:val="00494D39"/>
    <w:rsid w:val="00495350"/>
    <w:rsid w:val="00495E3C"/>
    <w:rsid w:val="00496041"/>
    <w:rsid w:val="00497156"/>
    <w:rsid w:val="00497A0B"/>
    <w:rsid w:val="004A0C79"/>
    <w:rsid w:val="004A1FE0"/>
    <w:rsid w:val="004A24D2"/>
    <w:rsid w:val="004A2728"/>
    <w:rsid w:val="004A2BD2"/>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3C8E"/>
    <w:rsid w:val="004C47D5"/>
    <w:rsid w:val="004C4CAF"/>
    <w:rsid w:val="004C5E33"/>
    <w:rsid w:val="004C60A3"/>
    <w:rsid w:val="004C6CDA"/>
    <w:rsid w:val="004C79F5"/>
    <w:rsid w:val="004D0AEC"/>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3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B0"/>
    <w:rsid w:val="00503DDF"/>
    <w:rsid w:val="00505524"/>
    <w:rsid w:val="005058D5"/>
    <w:rsid w:val="00506688"/>
    <w:rsid w:val="00510588"/>
    <w:rsid w:val="00510A5B"/>
    <w:rsid w:val="00510F9C"/>
    <w:rsid w:val="0051146C"/>
    <w:rsid w:val="00511881"/>
    <w:rsid w:val="0051220B"/>
    <w:rsid w:val="00512253"/>
    <w:rsid w:val="00512484"/>
    <w:rsid w:val="00512C3A"/>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339"/>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62E"/>
    <w:rsid w:val="00546C24"/>
    <w:rsid w:val="005471BA"/>
    <w:rsid w:val="00547BDA"/>
    <w:rsid w:val="00547BE6"/>
    <w:rsid w:val="0055034F"/>
    <w:rsid w:val="00550476"/>
    <w:rsid w:val="00551659"/>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1B1"/>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22D7"/>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9AC"/>
    <w:rsid w:val="005D0ABC"/>
    <w:rsid w:val="005D2306"/>
    <w:rsid w:val="005D2562"/>
    <w:rsid w:val="005D2666"/>
    <w:rsid w:val="005D4548"/>
    <w:rsid w:val="005D4A74"/>
    <w:rsid w:val="005D519F"/>
    <w:rsid w:val="005D5E91"/>
    <w:rsid w:val="005D67EF"/>
    <w:rsid w:val="005E1416"/>
    <w:rsid w:val="005E3064"/>
    <w:rsid w:val="005E490E"/>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2573"/>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37E63"/>
    <w:rsid w:val="00640363"/>
    <w:rsid w:val="00640622"/>
    <w:rsid w:val="006418C9"/>
    <w:rsid w:val="00641DEE"/>
    <w:rsid w:val="00642BD6"/>
    <w:rsid w:val="00643C8F"/>
    <w:rsid w:val="00645046"/>
    <w:rsid w:val="0064527A"/>
    <w:rsid w:val="006458FD"/>
    <w:rsid w:val="00645DE8"/>
    <w:rsid w:val="00645EA2"/>
    <w:rsid w:val="00650BD5"/>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0B40"/>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28A"/>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6F6DB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473"/>
    <w:rsid w:val="007137C5"/>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604E"/>
    <w:rsid w:val="0076100C"/>
    <w:rsid w:val="00761127"/>
    <w:rsid w:val="007612A5"/>
    <w:rsid w:val="007635A8"/>
    <w:rsid w:val="00763CAE"/>
    <w:rsid w:val="00763F95"/>
    <w:rsid w:val="00764421"/>
    <w:rsid w:val="007651ED"/>
    <w:rsid w:val="00766C87"/>
    <w:rsid w:val="007677B1"/>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1E7"/>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60E"/>
    <w:rsid w:val="007E176C"/>
    <w:rsid w:val="007E2046"/>
    <w:rsid w:val="007E3883"/>
    <w:rsid w:val="007E4876"/>
    <w:rsid w:val="007E48CD"/>
    <w:rsid w:val="007E4ACB"/>
    <w:rsid w:val="007E4FBB"/>
    <w:rsid w:val="007E55BF"/>
    <w:rsid w:val="007E59E3"/>
    <w:rsid w:val="007E5E39"/>
    <w:rsid w:val="007E6AC1"/>
    <w:rsid w:val="007E71B1"/>
    <w:rsid w:val="007E7B4E"/>
    <w:rsid w:val="007E7F02"/>
    <w:rsid w:val="007F0292"/>
    <w:rsid w:val="007F0722"/>
    <w:rsid w:val="007F0AB7"/>
    <w:rsid w:val="007F0CE2"/>
    <w:rsid w:val="007F0EFF"/>
    <w:rsid w:val="007F1375"/>
    <w:rsid w:val="007F1AFD"/>
    <w:rsid w:val="007F2705"/>
    <w:rsid w:val="007F30E4"/>
    <w:rsid w:val="007F5E29"/>
    <w:rsid w:val="0080064F"/>
    <w:rsid w:val="00801B85"/>
    <w:rsid w:val="00803850"/>
    <w:rsid w:val="008039E8"/>
    <w:rsid w:val="00804385"/>
    <w:rsid w:val="008047CE"/>
    <w:rsid w:val="00804E0E"/>
    <w:rsid w:val="008051EB"/>
    <w:rsid w:val="0080588E"/>
    <w:rsid w:val="00805A1D"/>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D56"/>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06A"/>
    <w:rsid w:val="00841243"/>
    <w:rsid w:val="00841457"/>
    <w:rsid w:val="0084297D"/>
    <w:rsid w:val="00842BAA"/>
    <w:rsid w:val="00842D8F"/>
    <w:rsid w:val="0084374E"/>
    <w:rsid w:val="008440D3"/>
    <w:rsid w:val="00844842"/>
    <w:rsid w:val="0084493E"/>
    <w:rsid w:val="00844A53"/>
    <w:rsid w:val="00844B99"/>
    <w:rsid w:val="00844DD0"/>
    <w:rsid w:val="008455C8"/>
    <w:rsid w:val="00846387"/>
    <w:rsid w:val="00846407"/>
    <w:rsid w:val="00847739"/>
    <w:rsid w:val="0085006A"/>
    <w:rsid w:val="00850127"/>
    <w:rsid w:val="0085089F"/>
    <w:rsid w:val="0085206E"/>
    <w:rsid w:val="00852273"/>
    <w:rsid w:val="00852669"/>
    <w:rsid w:val="0085293D"/>
    <w:rsid w:val="00852AD4"/>
    <w:rsid w:val="00852BA8"/>
    <w:rsid w:val="00852BF0"/>
    <w:rsid w:val="008530E3"/>
    <w:rsid w:val="00853718"/>
    <w:rsid w:val="008541EF"/>
    <w:rsid w:val="00855E73"/>
    <w:rsid w:val="00856428"/>
    <w:rsid w:val="00856AC7"/>
    <w:rsid w:val="00856FA4"/>
    <w:rsid w:val="00857DDE"/>
    <w:rsid w:val="00860869"/>
    <w:rsid w:val="00860E60"/>
    <w:rsid w:val="0086102A"/>
    <w:rsid w:val="0086162B"/>
    <w:rsid w:val="00861710"/>
    <w:rsid w:val="00861D5C"/>
    <w:rsid w:val="00861E7C"/>
    <w:rsid w:val="008626C2"/>
    <w:rsid w:val="0086429C"/>
    <w:rsid w:val="00865207"/>
    <w:rsid w:val="008656A7"/>
    <w:rsid w:val="00865FA3"/>
    <w:rsid w:val="00866231"/>
    <w:rsid w:val="008667D3"/>
    <w:rsid w:val="00870D6A"/>
    <w:rsid w:val="00871262"/>
    <w:rsid w:val="0087170E"/>
    <w:rsid w:val="00871D4E"/>
    <w:rsid w:val="00871E7B"/>
    <w:rsid w:val="008721BB"/>
    <w:rsid w:val="00872889"/>
    <w:rsid w:val="008734E7"/>
    <w:rsid w:val="0087566D"/>
    <w:rsid w:val="00875B50"/>
    <w:rsid w:val="00875B51"/>
    <w:rsid w:val="00875F2D"/>
    <w:rsid w:val="008762E7"/>
    <w:rsid w:val="008764DC"/>
    <w:rsid w:val="00876E81"/>
    <w:rsid w:val="00881C17"/>
    <w:rsid w:val="00881D10"/>
    <w:rsid w:val="00882CC2"/>
    <w:rsid w:val="00883103"/>
    <w:rsid w:val="0088325A"/>
    <w:rsid w:val="00883930"/>
    <w:rsid w:val="00884535"/>
    <w:rsid w:val="00886934"/>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B6C"/>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5AE9"/>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3E0"/>
    <w:rsid w:val="008F1E08"/>
    <w:rsid w:val="008F30F4"/>
    <w:rsid w:val="008F3421"/>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2020"/>
    <w:rsid w:val="00914ADB"/>
    <w:rsid w:val="00915196"/>
    <w:rsid w:val="00917182"/>
    <w:rsid w:val="00920251"/>
    <w:rsid w:val="00920259"/>
    <w:rsid w:val="00920436"/>
    <w:rsid w:val="00921CFD"/>
    <w:rsid w:val="00921F7F"/>
    <w:rsid w:val="009239C0"/>
    <w:rsid w:val="00923B25"/>
    <w:rsid w:val="0092402E"/>
    <w:rsid w:val="009259BA"/>
    <w:rsid w:val="00925C6E"/>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269B"/>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D3B"/>
    <w:rsid w:val="00971810"/>
    <w:rsid w:val="00972266"/>
    <w:rsid w:val="00972712"/>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0F5"/>
    <w:rsid w:val="009821A7"/>
    <w:rsid w:val="0098222D"/>
    <w:rsid w:val="009842F3"/>
    <w:rsid w:val="00984B1A"/>
    <w:rsid w:val="00984EBF"/>
    <w:rsid w:val="00985099"/>
    <w:rsid w:val="00985D32"/>
    <w:rsid w:val="00986514"/>
    <w:rsid w:val="00986FCC"/>
    <w:rsid w:val="00987DA8"/>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0D98"/>
    <w:rsid w:val="009B10F9"/>
    <w:rsid w:val="009B14D1"/>
    <w:rsid w:val="009B1534"/>
    <w:rsid w:val="009B35C1"/>
    <w:rsid w:val="009B3F4B"/>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272"/>
    <w:rsid w:val="009F077E"/>
    <w:rsid w:val="009F3B63"/>
    <w:rsid w:val="009F43E2"/>
    <w:rsid w:val="009F491F"/>
    <w:rsid w:val="009F6292"/>
    <w:rsid w:val="009F6EC5"/>
    <w:rsid w:val="009F7241"/>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EF7"/>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C91"/>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18B5"/>
    <w:rsid w:val="00A53A9B"/>
    <w:rsid w:val="00A54A47"/>
    <w:rsid w:val="00A558A5"/>
    <w:rsid w:val="00A56D26"/>
    <w:rsid w:val="00A571A7"/>
    <w:rsid w:val="00A5749A"/>
    <w:rsid w:val="00A575E1"/>
    <w:rsid w:val="00A57BA8"/>
    <w:rsid w:val="00A57C35"/>
    <w:rsid w:val="00A607E0"/>
    <w:rsid w:val="00A608FB"/>
    <w:rsid w:val="00A60D83"/>
    <w:rsid w:val="00A60F68"/>
    <w:rsid w:val="00A61753"/>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606A"/>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19B"/>
    <w:rsid w:val="00AD426A"/>
    <w:rsid w:val="00AD4470"/>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3299"/>
    <w:rsid w:val="00AF41EE"/>
    <w:rsid w:val="00AF445D"/>
    <w:rsid w:val="00AF4A87"/>
    <w:rsid w:val="00AF4FA5"/>
    <w:rsid w:val="00AF5BB4"/>
    <w:rsid w:val="00AF6ECC"/>
    <w:rsid w:val="00AF6FD3"/>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94E"/>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72C"/>
    <w:rsid w:val="00B3575C"/>
    <w:rsid w:val="00B36569"/>
    <w:rsid w:val="00B37345"/>
    <w:rsid w:val="00B37F53"/>
    <w:rsid w:val="00B402A0"/>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45E2"/>
    <w:rsid w:val="00B55143"/>
    <w:rsid w:val="00B553B2"/>
    <w:rsid w:val="00B555C8"/>
    <w:rsid w:val="00B55917"/>
    <w:rsid w:val="00B55D87"/>
    <w:rsid w:val="00B5646A"/>
    <w:rsid w:val="00B56F3D"/>
    <w:rsid w:val="00B57921"/>
    <w:rsid w:val="00B57E78"/>
    <w:rsid w:val="00B57EB8"/>
    <w:rsid w:val="00B609F6"/>
    <w:rsid w:val="00B60E75"/>
    <w:rsid w:val="00B62698"/>
    <w:rsid w:val="00B643A6"/>
    <w:rsid w:val="00B64DD6"/>
    <w:rsid w:val="00B64F78"/>
    <w:rsid w:val="00B66130"/>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5A0F"/>
    <w:rsid w:val="00B97C3E"/>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45C7"/>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6EA"/>
    <w:rsid w:val="00C05C6D"/>
    <w:rsid w:val="00C06484"/>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639"/>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0177"/>
    <w:rsid w:val="00CB1B18"/>
    <w:rsid w:val="00CB20DC"/>
    <w:rsid w:val="00CB23DC"/>
    <w:rsid w:val="00CB2487"/>
    <w:rsid w:val="00CB28E2"/>
    <w:rsid w:val="00CB2F20"/>
    <w:rsid w:val="00CB3395"/>
    <w:rsid w:val="00CB3F63"/>
    <w:rsid w:val="00CB5801"/>
    <w:rsid w:val="00CB758D"/>
    <w:rsid w:val="00CB7A3E"/>
    <w:rsid w:val="00CB7FF7"/>
    <w:rsid w:val="00CC0A59"/>
    <w:rsid w:val="00CC0D0E"/>
    <w:rsid w:val="00CC1253"/>
    <w:rsid w:val="00CC19B3"/>
    <w:rsid w:val="00CC2044"/>
    <w:rsid w:val="00CC39D2"/>
    <w:rsid w:val="00CC55D6"/>
    <w:rsid w:val="00CC59B4"/>
    <w:rsid w:val="00CC66CD"/>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3654"/>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14A"/>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3DE9"/>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B01"/>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BF6"/>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620"/>
    <w:rsid w:val="00DB7AD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0F9C"/>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1C9A"/>
    <w:rsid w:val="00E127EB"/>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27613"/>
    <w:rsid w:val="00E278A4"/>
    <w:rsid w:val="00E3077F"/>
    <w:rsid w:val="00E31A82"/>
    <w:rsid w:val="00E322F7"/>
    <w:rsid w:val="00E3369B"/>
    <w:rsid w:val="00E3625B"/>
    <w:rsid w:val="00E362D2"/>
    <w:rsid w:val="00E36D76"/>
    <w:rsid w:val="00E40478"/>
    <w:rsid w:val="00E405EA"/>
    <w:rsid w:val="00E408B7"/>
    <w:rsid w:val="00E412EB"/>
    <w:rsid w:val="00E41637"/>
    <w:rsid w:val="00E42789"/>
    <w:rsid w:val="00E438A4"/>
    <w:rsid w:val="00E43F59"/>
    <w:rsid w:val="00E44B45"/>
    <w:rsid w:val="00E45EE1"/>
    <w:rsid w:val="00E464F0"/>
    <w:rsid w:val="00E46D90"/>
    <w:rsid w:val="00E46EF3"/>
    <w:rsid w:val="00E47370"/>
    <w:rsid w:val="00E473B7"/>
    <w:rsid w:val="00E473E9"/>
    <w:rsid w:val="00E47B47"/>
    <w:rsid w:val="00E50BEB"/>
    <w:rsid w:val="00E523FB"/>
    <w:rsid w:val="00E53460"/>
    <w:rsid w:val="00E54846"/>
    <w:rsid w:val="00E548FA"/>
    <w:rsid w:val="00E55209"/>
    <w:rsid w:val="00E55CD9"/>
    <w:rsid w:val="00E57703"/>
    <w:rsid w:val="00E57ED4"/>
    <w:rsid w:val="00E57FED"/>
    <w:rsid w:val="00E6092F"/>
    <w:rsid w:val="00E61EE9"/>
    <w:rsid w:val="00E62049"/>
    <w:rsid w:val="00E629DA"/>
    <w:rsid w:val="00E64374"/>
    <w:rsid w:val="00E6451F"/>
    <w:rsid w:val="00E6469F"/>
    <w:rsid w:val="00E6546A"/>
    <w:rsid w:val="00E65B50"/>
    <w:rsid w:val="00E65C05"/>
    <w:rsid w:val="00E65D39"/>
    <w:rsid w:val="00E670F8"/>
    <w:rsid w:val="00E6741B"/>
    <w:rsid w:val="00E67FAC"/>
    <w:rsid w:val="00E70164"/>
    <w:rsid w:val="00E71485"/>
    <w:rsid w:val="00E7200B"/>
    <w:rsid w:val="00E72C7A"/>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1B"/>
    <w:rsid w:val="00E82B6D"/>
    <w:rsid w:val="00E83187"/>
    <w:rsid w:val="00E831E9"/>
    <w:rsid w:val="00E84DDA"/>
    <w:rsid w:val="00E8608F"/>
    <w:rsid w:val="00E86C1D"/>
    <w:rsid w:val="00E90703"/>
    <w:rsid w:val="00E90A62"/>
    <w:rsid w:val="00E90D86"/>
    <w:rsid w:val="00E91572"/>
    <w:rsid w:val="00E9265E"/>
    <w:rsid w:val="00E956DB"/>
    <w:rsid w:val="00E957D7"/>
    <w:rsid w:val="00E95FFF"/>
    <w:rsid w:val="00E9763D"/>
    <w:rsid w:val="00EA00A4"/>
    <w:rsid w:val="00EA1177"/>
    <w:rsid w:val="00EA118B"/>
    <w:rsid w:val="00EA11B6"/>
    <w:rsid w:val="00EA1413"/>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643"/>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709"/>
    <w:rsid w:val="00ED6A61"/>
    <w:rsid w:val="00ED768E"/>
    <w:rsid w:val="00ED7820"/>
    <w:rsid w:val="00ED7DA4"/>
    <w:rsid w:val="00EE03BB"/>
    <w:rsid w:val="00EE0552"/>
    <w:rsid w:val="00EE0B44"/>
    <w:rsid w:val="00EE125D"/>
    <w:rsid w:val="00EE23DE"/>
    <w:rsid w:val="00EE48BB"/>
    <w:rsid w:val="00EE6FE0"/>
    <w:rsid w:val="00EE704A"/>
    <w:rsid w:val="00EE7840"/>
    <w:rsid w:val="00EF04DF"/>
    <w:rsid w:val="00EF2346"/>
    <w:rsid w:val="00EF2E75"/>
    <w:rsid w:val="00EF4C74"/>
    <w:rsid w:val="00EF5268"/>
    <w:rsid w:val="00EF608E"/>
    <w:rsid w:val="00EF6C4A"/>
    <w:rsid w:val="00EF6D7E"/>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07D"/>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5659"/>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4941"/>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1416"/>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877"/>
    <w:rsid w:val="00FC5FF5"/>
    <w:rsid w:val="00FC6285"/>
    <w:rsid w:val="00FC78FB"/>
    <w:rsid w:val="00FC7DBC"/>
    <w:rsid w:val="00FD076A"/>
    <w:rsid w:val="00FD0AA0"/>
    <w:rsid w:val="00FD1D5A"/>
    <w:rsid w:val="00FD2602"/>
    <w:rsid w:val="00FD4B85"/>
    <w:rsid w:val="00FD5059"/>
    <w:rsid w:val="00FD554D"/>
    <w:rsid w:val="00FD5BCC"/>
    <w:rsid w:val="00FD5EB4"/>
    <w:rsid w:val="00FD5EB8"/>
    <w:rsid w:val="00FD6C2D"/>
    <w:rsid w:val="00FD7B23"/>
    <w:rsid w:val="00FE2A48"/>
    <w:rsid w:val="00FE2DEF"/>
    <w:rsid w:val="00FE323C"/>
    <w:rsid w:val="00FE3A27"/>
    <w:rsid w:val="00FE48A6"/>
    <w:rsid w:val="00FE4AE7"/>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2E6"/>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88"/>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8CFE-615D-4A10-BD4A-59F7B6E0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2012-07-17T17:09:00Z</cp:lastPrinted>
  <dcterms:created xsi:type="dcterms:W3CDTF">2012-08-17T12:28:00Z</dcterms:created>
  <dcterms:modified xsi:type="dcterms:W3CDTF">2012-09-19T12:32:00Z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