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3E62F7">
        <w:rPr>
          <w:caps/>
          <w:color w:val="auto"/>
        </w:rPr>
        <w:t>XXXXXXXXXXXXXXXX</w:t>
      </w:r>
      <w:r>
        <w:rPr>
          <w:caps/>
          <w:color w:val="000000" w:themeColor="text1"/>
        </w:rPr>
        <w:tab/>
        <w:t xml:space="preserve">                       </w:t>
      </w:r>
      <w:r w:rsidR="00713D1C">
        <w:rPr>
          <w:caps/>
          <w:color w:val="000000" w:themeColor="text1"/>
        </w:rPr>
        <w:t xml:space="preserve"> </w:t>
      </w:r>
      <w:r>
        <w:rPr>
          <w:caps/>
          <w:color w:val="000000" w:themeColor="text1"/>
        </w:rPr>
        <w:t xml:space="preserve">     </w:t>
      </w:r>
      <w:r w:rsidR="00713D1C">
        <w:rPr>
          <w:caps/>
          <w:color w:val="000000" w:themeColor="text1"/>
        </w:rPr>
        <w:t xml:space="preserve">   </w:t>
      </w:r>
      <w:r>
        <w:rPr>
          <w:caps/>
          <w:color w:val="000000" w:themeColor="text1"/>
        </w:rPr>
        <w:t xml:space="preserve"> </w:t>
      </w:r>
      <w:r w:rsidRPr="001F29F9">
        <w:rPr>
          <w:caps/>
          <w:color w:val="000000" w:themeColor="text1"/>
        </w:rPr>
        <w:t xml:space="preserve">BRANCH OF </w:t>
      </w:r>
      <w:r w:rsidRPr="008B3681">
        <w:rPr>
          <w:caps/>
          <w:color w:val="000000" w:themeColor="text1"/>
        </w:rPr>
        <w:t>SERVICE:  Army</w:t>
      </w:r>
    </w:p>
    <w:p w:rsidR="0095270D" w:rsidRDefault="0095270D" w:rsidP="0095270D">
      <w:pPr>
        <w:tabs>
          <w:tab w:val="left" w:pos="288"/>
          <w:tab w:val="left" w:pos="5130"/>
        </w:tabs>
        <w:jc w:val="both"/>
        <w:rPr>
          <w:color w:val="000000" w:themeColor="text1"/>
        </w:rPr>
      </w:pPr>
      <w:r w:rsidRPr="001F29F9">
        <w:rPr>
          <w:caps/>
          <w:color w:val="000000" w:themeColor="text1"/>
        </w:rPr>
        <w:t xml:space="preserve">CASE NUMBER:  </w:t>
      </w:r>
      <w:r w:rsidR="008B3681" w:rsidRPr="00DA6B54">
        <w:rPr>
          <w:caps/>
          <w:color w:val="auto"/>
        </w:rPr>
        <w:t>PD1101052</w:t>
      </w:r>
      <w:r>
        <w:rPr>
          <w:color w:val="000000" w:themeColor="text1"/>
        </w:rPr>
        <w:tab/>
      </w:r>
      <w:r>
        <w:rPr>
          <w:color w:val="000000" w:themeColor="text1"/>
        </w:rPr>
        <w:tab/>
        <w:t xml:space="preserve">          </w:t>
      </w:r>
      <w:r w:rsidRPr="001F29F9">
        <w:rPr>
          <w:color w:val="000000" w:themeColor="text1"/>
        </w:rPr>
        <w:t xml:space="preserve"> SEPARATION DATE:  </w:t>
      </w:r>
      <w:r w:rsidR="008B3681" w:rsidRPr="00F64312">
        <w:rPr>
          <w:color w:val="auto"/>
        </w:rPr>
        <w:t>200</w:t>
      </w:r>
      <w:r w:rsidR="008B3681">
        <w:rPr>
          <w:color w:val="auto"/>
        </w:rPr>
        <w:t>20102</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CC66BC">
        <w:rPr>
          <w:caps/>
          <w:color w:val="000000"/>
        </w:rPr>
        <w:t>1012</w:t>
      </w:r>
      <w:r w:rsidRPr="001F29F9">
        <w:rPr>
          <w:caps/>
          <w:color w:val="000000"/>
        </w:rPr>
        <w:t xml:space="preserve">         </w:t>
      </w:r>
    </w:p>
    <w:p w:rsidR="0095270D" w:rsidRPr="001F29F9" w:rsidRDefault="0095270D" w:rsidP="003A3BB6">
      <w:pPr>
        <w:pBdr>
          <w:bottom w:val="single" w:sz="12" w:space="1" w:color="auto"/>
        </w:pBdr>
        <w:tabs>
          <w:tab w:val="left" w:pos="288"/>
          <w:tab w:val="left" w:pos="4752"/>
        </w:tabs>
        <w:spacing w:after="120"/>
        <w:jc w:val="both"/>
        <w:rPr>
          <w:color w:val="000000"/>
        </w:rPr>
      </w:pPr>
    </w:p>
    <w:p w:rsidR="00DC0D01" w:rsidRPr="00192A48" w:rsidRDefault="00D50B3F" w:rsidP="00DC0D01">
      <w:pPr>
        <w:jc w:val="both"/>
        <w:rPr>
          <w:rFonts w:cstheme="minorHAnsi"/>
          <w:b/>
          <w:color w:val="FF0000"/>
          <w:szCs w:val="24"/>
          <w:u w:val="single"/>
        </w:rPr>
      </w:pPr>
      <w:r w:rsidRPr="001F29F9">
        <w:rPr>
          <w:color w:val="000000"/>
          <w:u w:val="single"/>
        </w:rPr>
        <w:t>SUMMARY OF CASE</w:t>
      </w:r>
      <w:r w:rsidRPr="001F29F9">
        <w:rPr>
          <w:color w:val="000000"/>
        </w:rPr>
        <w:t xml:space="preserve">: Data extracted from the available evidence of record reflects that this covered individual (CI) was </w:t>
      </w:r>
      <w:r>
        <w:rPr>
          <w:color w:val="000000"/>
        </w:rPr>
        <w:t xml:space="preserve">an active duty </w:t>
      </w:r>
      <w:r w:rsidR="008B3681" w:rsidRPr="00DA6B54">
        <w:rPr>
          <w:color w:val="auto"/>
        </w:rPr>
        <w:t>SPC/E</w:t>
      </w:r>
      <w:r w:rsidR="008B3681">
        <w:rPr>
          <w:color w:val="auto"/>
        </w:rPr>
        <w:t>-</w:t>
      </w:r>
      <w:r w:rsidR="008B3681" w:rsidRPr="00DA6B54">
        <w:rPr>
          <w:color w:val="auto"/>
        </w:rPr>
        <w:t>4</w:t>
      </w:r>
      <w:r w:rsidRPr="001F29F9">
        <w:rPr>
          <w:color w:val="000000"/>
        </w:rPr>
        <w:t xml:space="preserve"> (</w:t>
      </w:r>
      <w:r w:rsidR="008B3681" w:rsidRPr="00DA6B54">
        <w:rPr>
          <w:color w:val="auto"/>
        </w:rPr>
        <w:t>19D, Armored Cavalry</w:t>
      </w:r>
      <w:r w:rsidR="008B3681">
        <w:rPr>
          <w:color w:val="000000"/>
        </w:rPr>
        <w:t>)</w:t>
      </w:r>
      <w:r>
        <w:rPr>
          <w:color w:val="000000"/>
        </w:rPr>
        <w:t xml:space="preserve"> </w:t>
      </w:r>
      <w:r w:rsidRPr="001F29F9">
        <w:rPr>
          <w:color w:val="000000"/>
        </w:rPr>
        <w:t xml:space="preserve">medically separated for </w:t>
      </w:r>
      <w:r>
        <w:rPr>
          <w:color w:val="000000"/>
        </w:rPr>
        <w:t xml:space="preserve">a </w:t>
      </w:r>
      <w:r w:rsidR="008B3681">
        <w:rPr>
          <w:color w:val="000000"/>
        </w:rPr>
        <w:t xml:space="preserve">right </w:t>
      </w:r>
      <w:r w:rsidR="00C46ABB">
        <w:rPr>
          <w:color w:val="000000"/>
        </w:rPr>
        <w:t xml:space="preserve">(dominant) </w:t>
      </w:r>
      <w:r w:rsidR="008B3681">
        <w:rPr>
          <w:color w:val="000000"/>
        </w:rPr>
        <w:t>shoulder</w:t>
      </w:r>
      <w:r w:rsidRPr="001F29F9">
        <w:rPr>
          <w:color w:val="000000"/>
        </w:rPr>
        <w:t xml:space="preserve"> </w:t>
      </w:r>
      <w:r>
        <w:rPr>
          <w:color w:val="000000"/>
        </w:rPr>
        <w:t>condition</w:t>
      </w:r>
      <w:r w:rsidR="00C46ABB">
        <w:rPr>
          <w:color w:val="000000"/>
        </w:rPr>
        <w:t>.  He dislocated</w:t>
      </w:r>
      <w:r>
        <w:rPr>
          <w:color w:val="000000"/>
        </w:rPr>
        <w:t xml:space="preserve"> </w:t>
      </w:r>
      <w:r w:rsidR="00C46ABB">
        <w:rPr>
          <w:color w:val="000000"/>
        </w:rPr>
        <w:t xml:space="preserve">the shoulder in 2001; suffered recurrent subluxations afterwards; and, stability could not be adequately restored </w:t>
      </w:r>
      <w:r w:rsidRPr="00F566B7">
        <w:rPr>
          <w:color w:val="000000"/>
        </w:rPr>
        <w:t>to meet the physical requirements of his Military Occupational Specialty (MOS)</w:t>
      </w:r>
      <w:r w:rsidR="00C46ABB">
        <w:rPr>
          <w:color w:val="000000"/>
        </w:rPr>
        <w:t xml:space="preserve">.  </w:t>
      </w:r>
      <w:r w:rsidR="00DC0D01" w:rsidRPr="00192A48">
        <w:rPr>
          <w:rFonts w:cstheme="minorHAnsi"/>
          <w:color w:val="000000"/>
          <w:szCs w:val="24"/>
        </w:rPr>
        <w:t>He was c</w:t>
      </w:r>
      <w:r w:rsidR="00DC0D01">
        <w:rPr>
          <w:rFonts w:cstheme="minorHAnsi"/>
          <w:color w:val="000000"/>
          <w:szCs w:val="24"/>
        </w:rPr>
        <w:t>onsequently issued a permanent U</w:t>
      </w:r>
      <w:r w:rsidR="00DC0D01" w:rsidRPr="00192A48">
        <w:rPr>
          <w:rFonts w:cstheme="minorHAnsi"/>
          <w:color w:val="000000"/>
          <w:szCs w:val="24"/>
        </w:rPr>
        <w:t xml:space="preserve">3 profile and referred for a Medical Evaluation Board (MEB).  The right </w:t>
      </w:r>
      <w:r w:rsidR="00DC0D01">
        <w:rPr>
          <w:rFonts w:cstheme="minorHAnsi"/>
          <w:color w:val="000000"/>
          <w:szCs w:val="24"/>
        </w:rPr>
        <w:t>shoulder</w:t>
      </w:r>
      <w:r w:rsidR="00DC0D01" w:rsidRPr="00192A48">
        <w:rPr>
          <w:rFonts w:cstheme="minorHAnsi"/>
          <w:color w:val="000000"/>
          <w:szCs w:val="24"/>
        </w:rPr>
        <w:t xml:space="preserve"> condition</w:t>
      </w:r>
      <w:r w:rsidR="00DC0D01">
        <w:rPr>
          <w:rFonts w:cstheme="minorHAnsi"/>
          <w:color w:val="000000"/>
          <w:szCs w:val="24"/>
        </w:rPr>
        <w:t>, characterized as “multi-directional instability”,</w:t>
      </w:r>
      <w:r w:rsidR="00DC0D01" w:rsidRPr="00192A48">
        <w:rPr>
          <w:rFonts w:cstheme="minorHAnsi"/>
          <w:color w:val="000000"/>
          <w:szCs w:val="24"/>
        </w:rPr>
        <w:t xml:space="preserve"> was forwarded to the Physical Evaluation Board (PEB) as medically unacceptable IAW AR 40-501.  No other conditions were submitted by the MEB.  The PEB adjudicated the </w:t>
      </w:r>
      <w:r w:rsidR="00DC0D01">
        <w:rPr>
          <w:rFonts w:cstheme="minorHAnsi"/>
          <w:color w:val="000000"/>
          <w:szCs w:val="24"/>
        </w:rPr>
        <w:t>condition as unfitting, rated 2</w:t>
      </w:r>
      <w:r w:rsidR="00DC0D01" w:rsidRPr="00192A48">
        <w:rPr>
          <w:rFonts w:cstheme="minorHAnsi"/>
          <w:color w:val="000000"/>
          <w:szCs w:val="24"/>
        </w:rPr>
        <w:t xml:space="preserve">0%, citing criteria of the Veterans Administration Schedule for Rating Disabilities (VASRD).  The CI made no appeals, and was medically separated with </w:t>
      </w:r>
      <w:r w:rsidR="00697108">
        <w:rPr>
          <w:rFonts w:cstheme="minorHAnsi"/>
          <w:color w:val="000000"/>
          <w:szCs w:val="24"/>
        </w:rPr>
        <w:t>a 20%</w:t>
      </w:r>
      <w:r w:rsidR="00DC0D01" w:rsidRPr="00192A48">
        <w:rPr>
          <w:rFonts w:cstheme="minorHAnsi"/>
          <w:color w:val="000000"/>
          <w:szCs w:val="24"/>
        </w:rPr>
        <w:t xml:space="preserve"> disability rating.</w:t>
      </w:r>
    </w:p>
    <w:p w:rsidR="00D50B3F" w:rsidRPr="001F29F9" w:rsidRDefault="00D50B3F" w:rsidP="003A3BB6">
      <w:pPr>
        <w:pBdr>
          <w:bottom w:val="single" w:sz="12" w:space="1" w:color="auto"/>
        </w:pBdr>
        <w:tabs>
          <w:tab w:val="left" w:pos="288"/>
          <w:tab w:val="left" w:pos="4752"/>
        </w:tabs>
        <w:spacing w:after="120"/>
        <w:jc w:val="both"/>
        <w:rPr>
          <w:color w:val="000000"/>
        </w:rPr>
      </w:pPr>
    </w:p>
    <w:p w:rsidR="00D50B3F" w:rsidRPr="00C246EE" w:rsidRDefault="00D50B3F" w:rsidP="00D50B3F">
      <w:pPr>
        <w:tabs>
          <w:tab w:val="left" w:pos="288"/>
          <w:tab w:val="left" w:pos="4752"/>
        </w:tabs>
        <w:jc w:val="both"/>
        <w:rPr>
          <w:i/>
          <w:color w:val="000000" w:themeColor="text1"/>
          <w:highlight w:val="cyan"/>
        </w:rPr>
      </w:pPr>
      <w:r w:rsidRPr="001F29F9">
        <w:rPr>
          <w:color w:val="000000"/>
          <w:u w:val="single"/>
        </w:rPr>
        <w:t>CI CONTENTION</w:t>
      </w:r>
      <w:r w:rsidRPr="001F29F9">
        <w:rPr>
          <w:color w:val="000000"/>
        </w:rPr>
        <w:t>:</w:t>
      </w:r>
      <w:r w:rsidRPr="00726F84">
        <w:rPr>
          <w:color w:val="000000"/>
        </w:rPr>
        <w:t xml:space="preserve"> </w:t>
      </w:r>
      <w:r w:rsidR="00DC0D01">
        <w:rPr>
          <w:color w:val="000000"/>
        </w:rPr>
        <w:t xml:space="preserve"> </w:t>
      </w:r>
      <w:r>
        <w:rPr>
          <w:color w:val="000000"/>
        </w:rPr>
        <w:t>“</w:t>
      </w:r>
      <w:r w:rsidR="00DC0D01">
        <w:rPr>
          <w:color w:val="000000" w:themeColor="text1"/>
        </w:rPr>
        <w:t>My shoulder should have been rated higher due to the effects and limitations of my shoulder.  Also, other medical issues were not taken into consideration at the time of the rating.  I have attached medical documentation for my ankles, shoulder, eyes and other issues from my time in service.</w:t>
      </w:r>
      <w:r>
        <w:rPr>
          <w:color w:val="000000"/>
        </w:rPr>
        <w:t xml:space="preserve">” </w:t>
      </w:r>
      <w:r w:rsidRPr="00F72DEB">
        <w:rPr>
          <w:rFonts w:eastAsiaTheme="minorHAnsi"/>
          <w:color w:val="000000" w:themeColor="text1"/>
          <w:szCs w:val="24"/>
        </w:rPr>
        <w:t>He does not elaborate further or specify a request for Board consideration of any additional conditions</w:t>
      </w:r>
      <w:r w:rsidR="00DC0D01">
        <w:rPr>
          <w:rFonts w:eastAsiaTheme="minorHAnsi"/>
          <w:color w:val="000000" w:themeColor="text1"/>
          <w:szCs w:val="24"/>
        </w:rPr>
        <w:t>.</w:t>
      </w:r>
    </w:p>
    <w:p w:rsidR="00D50B3F" w:rsidRPr="001F29F9" w:rsidRDefault="00D50B3F" w:rsidP="003A3BB6">
      <w:pPr>
        <w:pBdr>
          <w:bottom w:val="single" w:sz="12" w:space="1" w:color="auto"/>
        </w:pBdr>
        <w:tabs>
          <w:tab w:val="left" w:pos="288"/>
          <w:tab w:val="left" w:pos="4752"/>
        </w:tabs>
        <w:spacing w:after="120"/>
        <w:jc w:val="both"/>
        <w:rPr>
          <w:color w:val="000000"/>
        </w:rPr>
      </w:pPr>
    </w:p>
    <w:p w:rsidR="00F14638" w:rsidRPr="00F16D98" w:rsidRDefault="00D50B3F" w:rsidP="00D50B3F">
      <w:pPr>
        <w:jc w:val="both"/>
        <w:rPr>
          <w:rFonts w:eastAsia="Calibri" w:cs="Times New Roman"/>
          <w:color w:val="auto"/>
          <w:szCs w:val="24"/>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w:t>
      </w:r>
      <w:r w:rsidRPr="00C246EE">
        <w:rPr>
          <w:color w:val="000000"/>
        </w:rPr>
        <w:t>Department of Defense Instruction (DoDI)</w:t>
      </w:r>
      <w:r>
        <w:rPr>
          <w:color w:val="000000"/>
        </w:rPr>
        <w:t xml:space="preserve"> </w:t>
      </w:r>
      <w:r>
        <w:rPr>
          <w:color w:val="auto"/>
        </w:rPr>
        <w:t>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534A42">
        <w:rPr>
          <w:color w:val="auto"/>
        </w:rPr>
        <w:t>”</w:t>
      </w:r>
      <w:r>
        <w:rPr>
          <w:color w:val="auto"/>
        </w:rPr>
        <w:t xml:space="preserve"> </w:t>
      </w:r>
      <w:r w:rsidR="00DC0D01">
        <w:rPr>
          <w:rFonts w:eastAsia="Calibri" w:cs="Times New Roman"/>
          <w:i/>
          <w:color w:val="auto"/>
          <w:szCs w:val="24"/>
        </w:rPr>
        <w:t xml:space="preserve"> </w:t>
      </w:r>
      <w:r w:rsidRPr="009239C0">
        <w:rPr>
          <w:color w:val="auto"/>
        </w:rPr>
        <w:t xml:space="preserve">The rating for </w:t>
      </w:r>
      <w:r>
        <w:rPr>
          <w:color w:val="auto"/>
        </w:rPr>
        <w:t xml:space="preserve">the </w:t>
      </w:r>
      <w:r w:rsidRPr="009239C0">
        <w:rPr>
          <w:color w:val="auto"/>
        </w:rPr>
        <w:t xml:space="preserve">unfitting </w:t>
      </w:r>
      <w:r w:rsidR="00DC0D01">
        <w:rPr>
          <w:color w:val="auto"/>
        </w:rPr>
        <w:t>right shoulder</w:t>
      </w:r>
      <w:r>
        <w:rPr>
          <w:color w:val="auto"/>
        </w:rPr>
        <w:t xml:space="preserve"> </w:t>
      </w:r>
      <w:r w:rsidRPr="009239C0">
        <w:rPr>
          <w:color w:val="auto"/>
        </w:rPr>
        <w:t xml:space="preserve">condition </w:t>
      </w:r>
      <w:r>
        <w:rPr>
          <w:color w:val="auto"/>
        </w:rPr>
        <w:t>is addressed below</w:t>
      </w:r>
      <w:r w:rsidRPr="009239C0">
        <w:rPr>
          <w:color w:val="auto"/>
        </w:rPr>
        <w:t>.</w:t>
      </w:r>
      <w:r>
        <w:rPr>
          <w:rFonts w:eastAsia="Calibri" w:cs="Times New Roman"/>
          <w:color w:val="auto"/>
          <w:szCs w:val="24"/>
        </w:rPr>
        <w:t xml:space="preserve"> </w:t>
      </w:r>
      <w:r w:rsidR="00B15219">
        <w:rPr>
          <w:rFonts w:eastAsia="Calibri" w:cs="Times New Roman"/>
          <w:i/>
          <w:color w:val="auto"/>
          <w:szCs w:val="24"/>
        </w:rPr>
        <w:t xml:space="preserve"> </w:t>
      </w:r>
      <w:r w:rsidRPr="009239C0">
        <w:rPr>
          <w:color w:val="auto"/>
        </w:rPr>
        <w:t xml:space="preserve">The </w:t>
      </w:r>
      <w:r w:rsidR="00B15219">
        <w:rPr>
          <w:color w:val="auto"/>
        </w:rPr>
        <w:t xml:space="preserve">request for consideration of rating for various other conditions is noted; but, since no other conditions </w:t>
      </w:r>
      <w:r w:rsidR="00B15219">
        <w:rPr>
          <w:rFonts w:eastAsia="Calibri" w:cs="Times New Roman"/>
          <w:color w:val="auto"/>
          <w:szCs w:val="24"/>
        </w:rPr>
        <w:t xml:space="preserve">were identified by the PEB, no other conditions are within </w:t>
      </w:r>
      <w:r w:rsidR="00B15219" w:rsidRPr="00F017F1">
        <w:rPr>
          <w:rFonts w:eastAsia="Calibri" w:cs="Times New Roman"/>
          <w:color w:val="auto"/>
          <w:szCs w:val="24"/>
        </w:rPr>
        <w:t xml:space="preserve">the DoDI 6040.44 defined purview of the </w:t>
      </w:r>
      <w:r w:rsidR="00B15219" w:rsidRPr="00B15219">
        <w:rPr>
          <w:rFonts w:eastAsia="Calibri" w:cs="Times New Roman"/>
          <w:color w:val="auto"/>
          <w:szCs w:val="24"/>
        </w:rPr>
        <w:t xml:space="preserve">Board.  Those, and any other conditions or contention not requested in this application, remain eligible </w:t>
      </w:r>
      <w:r w:rsidR="00B15219" w:rsidRPr="00B15219">
        <w:rPr>
          <w:color w:val="auto"/>
        </w:rPr>
        <w:t>for future consideration by the Army Board for Correction of Military Records.</w:t>
      </w:r>
      <w:r w:rsidR="00B15219" w:rsidRPr="007029FD">
        <w:rPr>
          <w:color w:val="auto"/>
        </w:rPr>
        <w:t xml:space="preserve">  </w:t>
      </w:r>
      <w:r w:rsidR="00F14638">
        <w:rPr>
          <w:color w:val="auto"/>
        </w:rPr>
        <w:t xml:space="preserve"> </w:t>
      </w:r>
    </w:p>
    <w:p w:rsidR="004F61A0" w:rsidRPr="001F29F9" w:rsidRDefault="004F61A0" w:rsidP="003A3BB6">
      <w:pPr>
        <w:pBdr>
          <w:bottom w:val="single" w:sz="12" w:space="1" w:color="auto"/>
        </w:pBdr>
        <w:tabs>
          <w:tab w:val="left" w:pos="288"/>
          <w:tab w:val="left" w:pos="4752"/>
        </w:tabs>
        <w:spacing w:after="120"/>
        <w:jc w:val="right"/>
        <w:rPr>
          <w:color w:val="000000"/>
        </w:rPr>
      </w:pPr>
    </w:p>
    <w:p w:rsidR="00F16D98" w:rsidRDefault="00AD2379" w:rsidP="003A3BB6">
      <w:pPr>
        <w:spacing w:after="200"/>
        <w:jc w:val="left"/>
        <w:rPr>
          <w:color w:val="000000"/>
        </w:rPr>
      </w:pPr>
      <w:r w:rsidRPr="001F29F9">
        <w:rPr>
          <w:color w:val="000000"/>
          <w:u w:val="single"/>
        </w:rPr>
        <w:t>RATING COMPARISON</w:t>
      </w:r>
      <w:r w:rsidRPr="001F29F9">
        <w:rPr>
          <w:color w:val="000000"/>
        </w:rPr>
        <w:t>:</w:t>
      </w:r>
      <w:r w:rsidRPr="00726F84">
        <w:rPr>
          <w:color w:val="000000"/>
        </w:rPr>
        <w:t xml:space="preserve"> </w:t>
      </w:r>
    </w:p>
    <w:tbl>
      <w:tblPr>
        <w:tblStyle w:val="TableGrid"/>
        <w:tblpPr w:leftFromText="187" w:rightFromText="187" w:vertAnchor="text" w:tblpXSpec="center" w:tblpY="1"/>
        <w:tblOverlap w:val="never"/>
        <w:tblW w:w="9378" w:type="dxa"/>
        <w:jc w:val="center"/>
        <w:tblLayout w:type="fixed"/>
        <w:tblLook w:val="04A0"/>
      </w:tblPr>
      <w:tblGrid>
        <w:gridCol w:w="2358"/>
        <w:gridCol w:w="630"/>
        <w:gridCol w:w="810"/>
        <w:gridCol w:w="2790"/>
        <w:gridCol w:w="1080"/>
        <w:gridCol w:w="720"/>
        <w:gridCol w:w="990"/>
      </w:tblGrid>
      <w:tr w:rsidR="003A3BB6" w:rsidRPr="001F29F9" w:rsidTr="003A3BB6">
        <w:trPr>
          <w:trHeight w:val="170"/>
          <w:jc w:val="center"/>
        </w:trPr>
        <w:tc>
          <w:tcPr>
            <w:tcW w:w="3798" w:type="dxa"/>
            <w:gridSpan w:val="3"/>
            <w:tcBorders>
              <w:right w:val="thinThickThinSmallGap" w:sz="24" w:space="0" w:color="auto"/>
            </w:tcBorders>
            <w:shd w:val="clear" w:color="auto" w:fill="D9D9D9" w:themeFill="background1" w:themeFillShade="D9"/>
            <w:vAlign w:val="center"/>
          </w:tcPr>
          <w:p w:rsidR="003A3BB6" w:rsidRPr="001F29F9" w:rsidRDefault="003A3BB6" w:rsidP="003A3BB6">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11030</w:t>
            </w:r>
          </w:p>
        </w:tc>
        <w:tc>
          <w:tcPr>
            <w:tcW w:w="5580" w:type="dxa"/>
            <w:gridSpan w:val="4"/>
            <w:tcBorders>
              <w:left w:val="thinThickThinSmallGap" w:sz="24" w:space="0" w:color="auto"/>
            </w:tcBorders>
            <w:shd w:val="clear" w:color="auto" w:fill="D9D9D9" w:themeFill="background1" w:themeFillShade="D9"/>
            <w:vAlign w:val="center"/>
          </w:tcPr>
          <w:p w:rsidR="003A3BB6" w:rsidRPr="001F29F9" w:rsidRDefault="003A3BB6" w:rsidP="00713D1C">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2 W</w:t>
            </w:r>
            <w:r w:rsidR="00713D1C">
              <w:rPr>
                <w:rFonts w:cs="Calibri"/>
                <w:b/>
                <w:color w:val="000000" w:themeColor="text1"/>
                <w:sz w:val="18"/>
                <w:szCs w:val="18"/>
              </w:rPr>
              <w:t>ee</w:t>
            </w:r>
            <w:r>
              <w:rPr>
                <w:rFonts w:cs="Calibri"/>
                <w:b/>
                <w:color w:val="000000" w:themeColor="text1"/>
                <w:sz w:val="18"/>
                <w:szCs w:val="18"/>
              </w:rPr>
              <w:t>k</w:t>
            </w:r>
            <w:r w:rsidR="00713D1C">
              <w:rPr>
                <w:rFonts w:cs="Calibri"/>
                <w:b/>
                <w:color w:val="000000" w:themeColor="text1"/>
                <w:sz w:val="18"/>
                <w:szCs w:val="18"/>
              </w:rPr>
              <w:t>s</w:t>
            </w:r>
            <w:r>
              <w:rPr>
                <w:rFonts w:cs="Calibri"/>
                <w:b/>
                <w:color w:val="000000" w:themeColor="text1"/>
                <w:sz w:val="18"/>
                <w:szCs w:val="18"/>
              </w:rPr>
              <w:t xml:space="preserve"> Pre-</w:t>
            </w:r>
            <w:r w:rsidRPr="00A0595E">
              <w:rPr>
                <w:rFonts w:cs="Calibri"/>
                <w:b/>
                <w:color w:val="000000" w:themeColor="text1"/>
                <w:sz w:val="18"/>
                <w:szCs w:val="18"/>
              </w:rPr>
              <w:t>Separation</w:t>
            </w:r>
            <w:r w:rsidRPr="001F29F9">
              <w:rPr>
                <w:rFonts w:cs="Calibri"/>
                <w:b/>
                <w:color w:val="000000" w:themeColor="text1"/>
                <w:sz w:val="18"/>
                <w:szCs w:val="18"/>
              </w:rPr>
              <w:t>) –</w:t>
            </w:r>
            <w:r>
              <w:rPr>
                <w:rFonts w:cs="Calibri"/>
                <w:b/>
                <w:color w:val="000000" w:themeColor="text1"/>
                <w:sz w:val="18"/>
                <w:szCs w:val="18"/>
              </w:rPr>
              <w:t xml:space="preserve"> </w:t>
            </w:r>
            <w:r w:rsidRPr="001F29F9">
              <w:rPr>
                <w:rFonts w:cs="Calibri"/>
                <w:b/>
                <w:color w:val="000000" w:themeColor="text1"/>
                <w:sz w:val="18"/>
                <w:szCs w:val="18"/>
              </w:rPr>
              <w:t>Effective 200</w:t>
            </w:r>
            <w:r>
              <w:rPr>
                <w:rFonts w:cs="Calibri"/>
                <w:b/>
                <w:color w:val="000000" w:themeColor="text1"/>
                <w:sz w:val="18"/>
                <w:szCs w:val="18"/>
              </w:rPr>
              <w:t>20103</w:t>
            </w:r>
          </w:p>
        </w:tc>
      </w:tr>
      <w:tr w:rsidR="003A3BB6" w:rsidRPr="001F29F9" w:rsidTr="000F7FAF">
        <w:trPr>
          <w:trHeight w:val="66"/>
          <w:jc w:val="center"/>
        </w:trPr>
        <w:tc>
          <w:tcPr>
            <w:tcW w:w="2358" w:type="dxa"/>
            <w:tcBorders>
              <w:bottom w:val="single" w:sz="4" w:space="0" w:color="000000" w:themeColor="text1"/>
              <w:right w:val="single" w:sz="4" w:space="0" w:color="auto"/>
            </w:tcBorders>
            <w:shd w:val="clear" w:color="auto" w:fill="D9D9D9" w:themeFill="background1" w:themeFillShade="D9"/>
            <w:vAlign w:val="center"/>
          </w:tcPr>
          <w:p w:rsidR="003A3BB6" w:rsidRPr="001F29F9" w:rsidRDefault="003A3BB6" w:rsidP="003A3BB6">
            <w:pPr>
              <w:contextualSpacing/>
              <w:rPr>
                <w:rFonts w:cs="Calibri"/>
                <w:b/>
                <w:color w:val="000000" w:themeColor="text1"/>
                <w:sz w:val="18"/>
                <w:szCs w:val="18"/>
              </w:rPr>
            </w:pPr>
            <w:r w:rsidRPr="001F29F9">
              <w:rPr>
                <w:rFonts w:cs="Calibri"/>
                <w:b/>
                <w:color w:val="000000" w:themeColor="text1"/>
                <w:sz w:val="18"/>
                <w:szCs w:val="18"/>
              </w:rPr>
              <w:t>Condition</w:t>
            </w:r>
          </w:p>
        </w:tc>
        <w:tc>
          <w:tcPr>
            <w:tcW w:w="630" w:type="dxa"/>
            <w:tcBorders>
              <w:left w:val="single" w:sz="4" w:space="0" w:color="auto"/>
              <w:bottom w:val="single" w:sz="4" w:space="0" w:color="000000" w:themeColor="text1"/>
            </w:tcBorders>
            <w:shd w:val="clear" w:color="auto" w:fill="D9D9D9" w:themeFill="background1" w:themeFillShade="D9"/>
            <w:vAlign w:val="center"/>
          </w:tcPr>
          <w:p w:rsidR="003A3BB6" w:rsidRPr="001F29F9" w:rsidRDefault="003A3BB6" w:rsidP="003A3BB6">
            <w:pPr>
              <w:contextualSpacing/>
              <w:rPr>
                <w:rFonts w:cs="Calibri"/>
                <w:b/>
                <w:color w:val="000000" w:themeColor="text1"/>
                <w:sz w:val="18"/>
                <w:szCs w:val="18"/>
              </w:rPr>
            </w:pPr>
            <w:r w:rsidRPr="001F29F9">
              <w:rPr>
                <w:rFonts w:cs="Calibr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3A3BB6" w:rsidRPr="001F29F9" w:rsidRDefault="003A3BB6" w:rsidP="003A3BB6">
            <w:pPr>
              <w:contextualSpacing/>
              <w:rPr>
                <w:rFonts w:cs="Calibri"/>
                <w:b/>
                <w:color w:val="000000" w:themeColor="text1"/>
                <w:sz w:val="18"/>
                <w:szCs w:val="18"/>
              </w:rPr>
            </w:pPr>
            <w:r w:rsidRPr="001F29F9">
              <w:rPr>
                <w:rFonts w:cs="Calibri"/>
                <w:b/>
                <w:color w:val="000000" w:themeColor="text1"/>
                <w:sz w:val="18"/>
                <w:szCs w:val="18"/>
              </w:rPr>
              <w:t>Rating</w:t>
            </w:r>
          </w:p>
        </w:tc>
        <w:tc>
          <w:tcPr>
            <w:tcW w:w="2790" w:type="dxa"/>
            <w:tcBorders>
              <w:left w:val="thinThickThinSmallGap" w:sz="24" w:space="0" w:color="auto"/>
              <w:bottom w:val="single" w:sz="4" w:space="0" w:color="000000" w:themeColor="text1"/>
            </w:tcBorders>
            <w:shd w:val="clear" w:color="auto" w:fill="D9D9D9" w:themeFill="background1" w:themeFillShade="D9"/>
            <w:vAlign w:val="center"/>
          </w:tcPr>
          <w:p w:rsidR="003A3BB6" w:rsidRPr="001F29F9" w:rsidRDefault="003A3BB6" w:rsidP="003A3BB6">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3A3BB6" w:rsidRPr="001F29F9" w:rsidRDefault="003A3BB6" w:rsidP="003A3BB6">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3A3BB6" w:rsidRPr="001F29F9" w:rsidRDefault="003A3BB6" w:rsidP="003A3BB6">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3A3BB6" w:rsidRPr="001F29F9" w:rsidRDefault="003A3BB6" w:rsidP="003A3BB6">
            <w:pPr>
              <w:contextualSpacing/>
              <w:rPr>
                <w:rFonts w:cs="Calibri"/>
                <w:b/>
                <w:color w:val="000000" w:themeColor="text1"/>
                <w:sz w:val="18"/>
                <w:szCs w:val="18"/>
              </w:rPr>
            </w:pPr>
            <w:r w:rsidRPr="001F29F9">
              <w:rPr>
                <w:rFonts w:cs="Calibri"/>
                <w:b/>
                <w:color w:val="000000" w:themeColor="text1"/>
                <w:sz w:val="18"/>
                <w:szCs w:val="18"/>
              </w:rPr>
              <w:t>Exam</w:t>
            </w:r>
          </w:p>
        </w:tc>
      </w:tr>
      <w:tr w:rsidR="003A3BB6" w:rsidRPr="001F29F9" w:rsidTr="000F7FAF">
        <w:trPr>
          <w:trHeight w:val="66"/>
          <w:jc w:val="center"/>
        </w:trPr>
        <w:tc>
          <w:tcPr>
            <w:tcW w:w="2358" w:type="dxa"/>
            <w:tcBorders>
              <w:right w:val="single" w:sz="4" w:space="0" w:color="auto"/>
            </w:tcBorders>
            <w:shd w:val="clear" w:color="auto" w:fill="FFFFFF" w:themeFill="background1"/>
            <w:vAlign w:val="center"/>
          </w:tcPr>
          <w:p w:rsidR="003A3BB6" w:rsidRPr="001F29F9" w:rsidRDefault="003A3BB6" w:rsidP="003A3BB6">
            <w:pPr>
              <w:spacing w:line="220" w:lineRule="exact"/>
              <w:contextualSpacing/>
              <w:jc w:val="left"/>
              <w:rPr>
                <w:rFonts w:cs="Calibri"/>
                <w:color w:val="000000" w:themeColor="text1"/>
                <w:sz w:val="18"/>
                <w:szCs w:val="18"/>
              </w:rPr>
            </w:pPr>
            <w:r>
              <w:rPr>
                <w:rFonts w:cs="Calibri"/>
                <w:color w:val="000000" w:themeColor="text1"/>
                <w:sz w:val="18"/>
                <w:szCs w:val="18"/>
              </w:rPr>
              <w:t xml:space="preserve">Right </w:t>
            </w:r>
            <w:r w:rsidR="00C67A6D">
              <w:rPr>
                <w:rFonts w:cs="Calibri"/>
                <w:color w:val="000000" w:themeColor="text1"/>
                <w:sz w:val="18"/>
                <w:szCs w:val="18"/>
              </w:rPr>
              <w:t xml:space="preserve"> S</w:t>
            </w:r>
            <w:r>
              <w:rPr>
                <w:rFonts w:cs="Calibri"/>
                <w:color w:val="000000" w:themeColor="text1"/>
                <w:sz w:val="18"/>
                <w:szCs w:val="18"/>
              </w:rPr>
              <w:t>houlder Instability</w:t>
            </w:r>
          </w:p>
        </w:tc>
        <w:tc>
          <w:tcPr>
            <w:tcW w:w="630" w:type="dxa"/>
            <w:tcBorders>
              <w:left w:val="single" w:sz="4" w:space="0" w:color="auto"/>
            </w:tcBorders>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r>
              <w:rPr>
                <w:rFonts w:cs="Calibri"/>
                <w:color w:val="000000" w:themeColor="text1"/>
                <w:sz w:val="18"/>
                <w:szCs w:val="18"/>
              </w:rPr>
              <w:t>5202</w:t>
            </w:r>
          </w:p>
        </w:tc>
        <w:tc>
          <w:tcPr>
            <w:tcW w:w="810" w:type="dxa"/>
            <w:tcBorders>
              <w:right w:val="thinThickThinSmallGap" w:sz="24" w:space="0" w:color="auto"/>
            </w:tcBorders>
            <w:shd w:val="clear" w:color="auto" w:fill="FFFFFF" w:themeFill="background1"/>
            <w:vAlign w:val="center"/>
          </w:tcPr>
          <w:p w:rsidR="003A3BB6" w:rsidRPr="001F29F9" w:rsidRDefault="003A3BB6" w:rsidP="003A3BB6">
            <w:pPr>
              <w:spacing w:line="220" w:lineRule="exact"/>
              <w:rPr>
                <w:rFonts w:cs="Calibri"/>
                <w:color w:val="000000" w:themeColor="text1"/>
                <w:sz w:val="18"/>
                <w:szCs w:val="18"/>
              </w:rPr>
            </w:pPr>
            <w:r>
              <w:rPr>
                <w:rFonts w:cs="Calibri"/>
                <w:color w:val="000000" w:themeColor="text1"/>
                <w:sz w:val="18"/>
                <w:szCs w:val="18"/>
              </w:rPr>
              <w:t>20</w:t>
            </w:r>
            <w:r w:rsidRPr="001F29F9">
              <w:rPr>
                <w:rFonts w:cs="Calibri"/>
                <w:color w:val="000000" w:themeColor="text1"/>
                <w:sz w:val="18"/>
                <w:szCs w:val="18"/>
              </w:rPr>
              <w:t>%</w:t>
            </w:r>
          </w:p>
        </w:tc>
        <w:tc>
          <w:tcPr>
            <w:tcW w:w="2790" w:type="dxa"/>
            <w:tcBorders>
              <w:left w:val="thinThickThinSmallGap" w:sz="24" w:space="0" w:color="auto"/>
            </w:tcBorders>
            <w:shd w:val="clear" w:color="auto" w:fill="FFFFFF" w:themeFill="background1"/>
            <w:vAlign w:val="center"/>
          </w:tcPr>
          <w:p w:rsidR="003A3BB6" w:rsidRPr="001F29F9" w:rsidRDefault="003A3BB6" w:rsidP="003A3BB6">
            <w:pPr>
              <w:spacing w:line="220" w:lineRule="exact"/>
              <w:contextualSpacing/>
              <w:jc w:val="left"/>
              <w:rPr>
                <w:rFonts w:cs="Calibri"/>
                <w:color w:val="000000" w:themeColor="text1"/>
                <w:sz w:val="18"/>
                <w:szCs w:val="18"/>
              </w:rPr>
            </w:pPr>
            <w:r>
              <w:rPr>
                <w:rFonts w:cs="Calibri"/>
                <w:color w:val="000000" w:themeColor="text1"/>
                <w:sz w:val="18"/>
                <w:szCs w:val="18"/>
              </w:rPr>
              <w:t>Right Shoulder Instability</w:t>
            </w:r>
          </w:p>
        </w:tc>
        <w:tc>
          <w:tcPr>
            <w:tcW w:w="1080" w:type="dxa"/>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r>
              <w:rPr>
                <w:rFonts w:cs="Calibri"/>
                <w:color w:val="000000" w:themeColor="text1"/>
                <w:sz w:val="18"/>
                <w:szCs w:val="18"/>
              </w:rPr>
              <w:t>5202</w:t>
            </w:r>
          </w:p>
        </w:tc>
        <w:tc>
          <w:tcPr>
            <w:tcW w:w="720" w:type="dxa"/>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r>
              <w:rPr>
                <w:rFonts w:cs="Calibri"/>
                <w:color w:val="000000" w:themeColor="text1"/>
                <w:sz w:val="18"/>
                <w:szCs w:val="18"/>
              </w:rPr>
              <w:t>30%</w:t>
            </w:r>
          </w:p>
        </w:tc>
        <w:tc>
          <w:tcPr>
            <w:tcW w:w="990" w:type="dxa"/>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11218</w:t>
            </w:r>
          </w:p>
        </w:tc>
      </w:tr>
      <w:tr w:rsidR="003A3BB6" w:rsidRPr="001F29F9" w:rsidTr="000F7FAF">
        <w:trPr>
          <w:trHeight w:val="73"/>
          <w:jc w:val="center"/>
        </w:trPr>
        <w:tc>
          <w:tcPr>
            <w:tcW w:w="3798" w:type="dxa"/>
            <w:gridSpan w:val="3"/>
            <w:vMerge w:val="restart"/>
            <w:tcBorders>
              <w:right w:val="thinThickThinSmallGap" w:sz="24" w:space="0" w:color="auto"/>
            </w:tcBorders>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r w:rsidRPr="001F29F9">
              <w:rPr>
                <w:rFonts w:cs="Calibri"/>
                <w:color w:val="000000" w:themeColor="text1"/>
                <w:sz w:val="18"/>
                <w:szCs w:val="18"/>
              </w:rPr>
              <w:t>No Additional MEB/PEB Entries</w:t>
            </w:r>
          </w:p>
        </w:tc>
        <w:tc>
          <w:tcPr>
            <w:tcW w:w="2790" w:type="dxa"/>
            <w:tcBorders>
              <w:left w:val="thinThickThinSmallGap" w:sz="24" w:space="0" w:color="auto"/>
              <w:right w:val="single" w:sz="4" w:space="0" w:color="auto"/>
            </w:tcBorders>
            <w:shd w:val="clear" w:color="auto" w:fill="FFFFFF" w:themeFill="background1"/>
            <w:vAlign w:val="center"/>
          </w:tcPr>
          <w:p w:rsidR="003A3BB6" w:rsidRPr="001F29F9" w:rsidRDefault="003A3BB6" w:rsidP="003A3BB6">
            <w:pPr>
              <w:spacing w:line="220" w:lineRule="exact"/>
              <w:contextualSpacing/>
              <w:jc w:val="left"/>
              <w:rPr>
                <w:rFonts w:cs="Calibri"/>
                <w:color w:val="000000" w:themeColor="text1"/>
                <w:sz w:val="18"/>
                <w:szCs w:val="18"/>
              </w:rPr>
            </w:pPr>
            <w:r>
              <w:rPr>
                <w:rFonts w:cs="Calibri"/>
                <w:color w:val="000000" w:themeColor="text1"/>
                <w:sz w:val="18"/>
                <w:szCs w:val="18"/>
              </w:rPr>
              <w:t>Lumbar Myofascial Strain</w:t>
            </w:r>
          </w:p>
        </w:tc>
        <w:tc>
          <w:tcPr>
            <w:tcW w:w="1080" w:type="dxa"/>
            <w:tcBorders>
              <w:left w:val="single" w:sz="4" w:space="0" w:color="auto"/>
            </w:tcBorders>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r>
              <w:rPr>
                <w:rFonts w:cs="Calibri"/>
                <w:color w:val="000000" w:themeColor="text1"/>
                <w:sz w:val="18"/>
                <w:szCs w:val="18"/>
              </w:rPr>
              <w:t>5295-5292</w:t>
            </w:r>
          </w:p>
        </w:tc>
        <w:tc>
          <w:tcPr>
            <w:tcW w:w="720" w:type="dxa"/>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r>
              <w:rPr>
                <w:rFonts w:cs="Calibri"/>
                <w:color w:val="000000" w:themeColor="text1"/>
                <w:sz w:val="18"/>
                <w:szCs w:val="18"/>
              </w:rPr>
              <w:t>20%</w:t>
            </w:r>
          </w:p>
        </w:tc>
        <w:tc>
          <w:tcPr>
            <w:tcW w:w="990" w:type="dxa"/>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11218</w:t>
            </w:r>
          </w:p>
        </w:tc>
      </w:tr>
      <w:tr w:rsidR="003A3BB6" w:rsidRPr="001F29F9" w:rsidTr="000F7FAF">
        <w:trPr>
          <w:trHeight w:val="66"/>
          <w:jc w:val="center"/>
        </w:trPr>
        <w:tc>
          <w:tcPr>
            <w:tcW w:w="3798" w:type="dxa"/>
            <w:gridSpan w:val="3"/>
            <w:vMerge/>
            <w:tcBorders>
              <w:right w:val="thinThickThinSmallGap" w:sz="24" w:space="0" w:color="auto"/>
            </w:tcBorders>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highlight w:val="yellow"/>
              </w:rPr>
            </w:pPr>
          </w:p>
        </w:tc>
        <w:tc>
          <w:tcPr>
            <w:tcW w:w="2790" w:type="dxa"/>
            <w:tcBorders>
              <w:left w:val="thinThickThinSmallGap" w:sz="24" w:space="0" w:color="auto"/>
              <w:right w:val="single" w:sz="4" w:space="0" w:color="auto"/>
            </w:tcBorders>
            <w:shd w:val="clear" w:color="auto" w:fill="FFFFFF" w:themeFill="background1"/>
            <w:vAlign w:val="center"/>
          </w:tcPr>
          <w:p w:rsidR="003A3BB6" w:rsidRPr="001F29F9" w:rsidRDefault="003A3BB6" w:rsidP="003A3BB6">
            <w:pPr>
              <w:spacing w:line="220" w:lineRule="exact"/>
              <w:contextualSpacing/>
              <w:jc w:val="left"/>
              <w:rPr>
                <w:rFonts w:cs="Calibri"/>
                <w:color w:val="000000" w:themeColor="text1"/>
                <w:sz w:val="18"/>
                <w:szCs w:val="18"/>
              </w:rPr>
            </w:pPr>
            <w:r>
              <w:rPr>
                <w:rFonts w:cs="Calibri"/>
                <w:color w:val="000000" w:themeColor="text1"/>
                <w:sz w:val="18"/>
                <w:szCs w:val="18"/>
              </w:rPr>
              <w:t>Achilles Tendinitis, Left Ankle</w:t>
            </w:r>
          </w:p>
        </w:tc>
        <w:tc>
          <w:tcPr>
            <w:tcW w:w="1080" w:type="dxa"/>
            <w:tcBorders>
              <w:left w:val="single" w:sz="4" w:space="0" w:color="auto"/>
            </w:tcBorders>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r>
              <w:rPr>
                <w:rFonts w:cs="Calibri"/>
                <w:color w:val="000000" w:themeColor="text1"/>
                <w:sz w:val="18"/>
                <w:szCs w:val="18"/>
              </w:rPr>
              <w:t>5271</w:t>
            </w:r>
          </w:p>
        </w:tc>
        <w:tc>
          <w:tcPr>
            <w:tcW w:w="720" w:type="dxa"/>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11218</w:t>
            </w:r>
          </w:p>
        </w:tc>
      </w:tr>
      <w:tr w:rsidR="003A3BB6" w:rsidRPr="001F29F9" w:rsidTr="000F7FAF">
        <w:trPr>
          <w:trHeight w:val="66"/>
          <w:jc w:val="center"/>
        </w:trPr>
        <w:tc>
          <w:tcPr>
            <w:tcW w:w="3798" w:type="dxa"/>
            <w:gridSpan w:val="3"/>
            <w:vMerge/>
            <w:tcBorders>
              <w:right w:val="thinThickThinSmallGap" w:sz="24" w:space="0" w:color="auto"/>
            </w:tcBorders>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highlight w:val="yellow"/>
              </w:rPr>
            </w:pPr>
          </w:p>
        </w:tc>
        <w:tc>
          <w:tcPr>
            <w:tcW w:w="2790" w:type="dxa"/>
            <w:tcBorders>
              <w:left w:val="thinThickThinSmallGap" w:sz="24" w:space="0" w:color="auto"/>
              <w:right w:val="single" w:sz="4" w:space="0" w:color="auto"/>
            </w:tcBorders>
            <w:shd w:val="clear" w:color="auto" w:fill="FFFFFF" w:themeFill="background1"/>
            <w:vAlign w:val="center"/>
          </w:tcPr>
          <w:p w:rsidR="003A3BB6" w:rsidRPr="001F29F9" w:rsidRDefault="003A3BB6" w:rsidP="003A3BB6">
            <w:pPr>
              <w:spacing w:line="220" w:lineRule="exact"/>
              <w:contextualSpacing/>
              <w:jc w:val="left"/>
              <w:rPr>
                <w:rFonts w:cs="Calibri"/>
                <w:color w:val="000000" w:themeColor="text1"/>
                <w:sz w:val="18"/>
                <w:szCs w:val="18"/>
              </w:rPr>
            </w:pPr>
            <w:r>
              <w:rPr>
                <w:rFonts w:cs="Calibri"/>
                <w:color w:val="000000" w:themeColor="text1"/>
                <w:sz w:val="18"/>
                <w:szCs w:val="18"/>
              </w:rPr>
              <w:t>Achilles Tendinitis, Right Ankle</w:t>
            </w:r>
          </w:p>
        </w:tc>
        <w:tc>
          <w:tcPr>
            <w:tcW w:w="1080" w:type="dxa"/>
            <w:tcBorders>
              <w:left w:val="single" w:sz="4" w:space="0" w:color="auto"/>
            </w:tcBorders>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r>
              <w:rPr>
                <w:rFonts w:cs="Calibri"/>
                <w:color w:val="000000" w:themeColor="text1"/>
                <w:sz w:val="18"/>
                <w:szCs w:val="18"/>
              </w:rPr>
              <w:t>5271</w:t>
            </w:r>
          </w:p>
        </w:tc>
        <w:tc>
          <w:tcPr>
            <w:tcW w:w="720" w:type="dxa"/>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11218</w:t>
            </w:r>
          </w:p>
        </w:tc>
      </w:tr>
      <w:tr w:rsidR="003A3BB6" w:rsidRPr="001F29F9" w:rsidTr="000F7FAF">
        <w:trPr>
          <w:trHeight w:val="66"/>
          <w:jc w:val="center"/>
        </w:trPr>
        <w:tc>
          <w:tcPr>
            <w:tcW w:w="3798" w:type="dxa"/>
            <w:gridSpan w:val="3"/>
            <w:vMerge/>
            <w:tcBorders>
              <w:right w:val="thinThickThinSmallGap" w:sz="24" w:space="0" w:color="auto"/>
            </w:tcBorders>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p>
        </w:tc>
        <w:tc>
          <w:tcPr>
            <w:tcW w:w="2790" w:type="dxa"/>
            <w:tcBorders>
              <w:left w:val="thinThickThinSmallGap" w:sz="24" w:space="0" w:color="auto"/>
              <w:right w:val="single" w:sz="4" w:space="0" w:color="auto"/>
            </w:tcBorders>
            <w:shd w:val="clear" w:color="auto" w:fill="FFFFFF" w:themeFill="background1"/>
            <w:vAlign w:val="center"/>
          </w:tcPr>
          <w:p w:rsidR="003A3BB6" w:rsidRPr="001F29F9" w:rsidRDefault="003A3BB6" w:rsidP="003A3BB6">
            <w:pPr>
              <w:spacing w:line="220" w:lineRule="exact"/>
              <w:contextualSpacing/>
              <w:jc w:val="left"/>
              <w:rPr>
                <w:rFonts w:cs="Calibri"/>
                <w:color w:val="000000" w:themeColor="text1"/>
                <w:sz w:val="18"/>
                <w:szCs w:val="18"/>
              </w:rPr>
            </w:pPr>
            <w:r>
              <w:rPr>
                <w:rFonts w:cs="Calibri"/>
                <w:color w:val="000000" w:themeColor="text1"/>
                <w:sz w:val="18"/>
                <w:szCs w:val="18"/>
              </w:rPr>
              <w:t xml:space="preserve">RPS, Left Knee </w:t>
            </w:r>
          </w:p>
        </w:tc>
        <w:tc>
          <w:tcPr>
            <w:tcW w:w="1080" w:type="dxa"/>
            <w:tcBorders>
              <w:left w:val="single" w:sz="4" w:space="0" w:color="auto"/>
              <w:right w:val="single" w:sz="4" w:space="0" w:color="auto"/>
            </w:tcBorders>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r>
              <w:rPr>
                <w:rFonts w:cs="Calibri"/>
                <w:color w:val="000000" w:themeColor="text1"/>
                <w:sz w:val="18"/>
                <w:szCs w:val="18"/>
              </w:rPr>
              <w:t>5099-5014</w:t>
            </w:r>
          </w:p>
        </w:tc>
        <w:tc>
          <w:tcPr>
            <w:tcW w:w="720" w:type="dxa"/>
            <w:tcBorders>
              <w:left w:val="single" w:sz="4" w:space="0" w:color="auto"/>
            </w:tcBorders>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11218</w:t>
            </w:r>
          </w:p>
        </w:tc>
      </w:tr>
      <w:tr w:rsidR="003A3BB6" w:rsidRPr="001F29F9" w:rsidTr="000F7FAF">
        <w:trPr>
          <w:trHeight w:val="136"/>
          <w:jc w:val="center"/>
        </w:trPr>
        <w:tc>
          <w:tcPr>
            <w:tcW w:w="3798" w:type="dxa"/>
            <w:gridSpan w:val="3"/>
            <w:vMerge/>
            <w:tcBorders>
              <w:right w:val="thinThickThinSmallGap" w:sz="24" w:space="0" w:color="auto"/>
            </w:tcBorders>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p>
        </w:tc>
        <w:tc>
          <w:tcPr>
            <w:tcW w:w="2790" w:type="dxa"/>
            <w:tcBorders>
              <w:left w:val="thinThickThinSmallGap" w:sz="24" w:space="0" w:color="auto"/>
              <w:right w:val="single" w:sz="4" w:space="0" w:color="auto"/>
            </w:tcBorders>
            <w:shd w:val="clear" w:color="auto" w:fill="FFFFFF" w:themeFill="background1"/>
            <w:vAlign w:val="center"/>
          </w:tcPr>
          <w:p w:rsidR="003A3BB6" w:rsidRPr="001F29F9" w:rsidRDefault="003A3BB6" w:rsidP="003A3BB6">
            <w:pPr>
              <w:spacing w:line="220" w:lineRule="exact"/>
              <w:contextualSpacing/>
              <w:jc w:val="left"/>
              <w:rPr>
                <w:rFonts w:cs="Calibri"/>
                <w:color w:val="000000" w:themeColor="text1"/>
                <w:sz w:val="18"/>
                <w:szCs w:val="18"/>
              </w:rPr>
            </w:pPr>
            <w:r>
              <w:rPr>
                <w:rFonts w:cs="Calibri"/>
                <w:color w:val="000000" w:themeColor="text1"/>
                <w:sz w:val="18"/>
                <w:szCs w:val="18"/>
              </w:rPr>
              <w:t>RPS, Right Knee</w:t>
            </w:r>
          </w:p>
        </w:tc>
        <w:tc>
          <w:tcPr>
            <w:tcW w:w="1080" w:type="dxa"/>
            <w:tcBorders>
              <w:left w:val="single" w:sz="4" w:space="0" w:color="auto"/>
              <w:right w:val="single" w:sz="4" w:space="0" w:color="auto"/>
            </w:tcBorders>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r>
              <w:rPr>
                <w:rFonts w:cs="Calibri"/>
                <w:color w:val="000000" w:themeColor="text1"/>
                <w:sz w:val="18"/>
                <w:szCs w:val="18"/>
              </w:rPr>
              <w:t>5099-5014</w:t>
            </w:r>
          </w:p>
        </w:tc>
        <w:tc>
          <w:tcPr>
            <w:tcW w:w="720" w:type="dxa"/>
            <w:tcBorders>
              <w:left w:val="single" w:sz="4" w:space="0" w:color="auto"/>
            </w:tcBorders>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11218</w:t>
            </w:r>
          </w:p>
        </w:tc>
      </w:tr>
      <w:tr w:rsidR="003A3BB6" w:rsidRPr="001F29F9" w:rsidTr="000F7FAF">
        <w:trPr>
          <w:trHeight w:val="100"/>
          <w:jc w:val="center"/>
        </w:trPr>
        <w:tc>
          <w:tcPr>
            <w:tcW w:w="3798" w:type="dxa"/>
            <w:gridSpan w:val="3"/>
            <w:vMerge/>
            <w:tcBorders>
              <w:right w:val="thinThickThinSmallGap" w:sz="24" w:space="0" w:color="auto"/>
            </w:tcBorders>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p>
        </w:tc>
        <w:tc>
          <w:tcPr>
            <w:tcW w:w="2790" w:type="dxa"/>
            <w:tcBorders>
              <w:left w:val="thinThickThinSmallGap" w:sz="24" w:space="0" w:color="auto"/>
              <w:right w:val="single" w:sz="4" w:space="0" w:color="auto"/>
            </w:tcBorders>
            <w:shd w:val="clear" w:color="auto" w:fill="FFFFFF" w:themeFill="background1"/>
            <w:vAlign w:val="center"/>
          </w:tcPr>
          <w:p w:rsidR="003A3BB6" w:rsidRPr="001F29F9" w:rsidRDefault="003A3BB6" w:rsidP="003A3BB6">
            <w:pPr>
              <w:spacing w:line="220" w:lineRule="exact"/>
              <w:contextualSpacing/>
              <w:jc w:val="left"/>
              <w:rPr>
                <w:rFonts w:cs="Calibri"/>
                <w:color w:val="000000" w:themeColor="text1"/>
                <w:sz w:val="18"/>
                <w:szCs w:val="18"/>
              </w:rPr>
            </w:pPr>
            <w:r>
              <w:rPr>
                <w:rFonts w:cs="Calibri"/>
                <w:color w:val="000000" w:themeColor="text1"/>
                <w:sz w:val="18"/>
                <w:szCs w:val="18"/>
              </w:rPr>
              <w:t>Left Wrist Sprain</w:t>
            </w:r>
          </w:p>
        </w:tc>
        <w:tc>
          <w:tcPr>
            <w:tcW w:w="1080" w:type="dxa"/>
            <w:tcBorders>
              <w:left w:val="single" w:sz="4" w:space="0" w:color="auto"/>
              <w:right w:val="single" w:sz="4" w:space="0" w:color="auto"/>
            </w:tcBorders>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r>
              <w:rPr>
                <w:rFonts w:cs="Calibri"/>
                <w:color w:val="000000" w:themeColor="text1"/>
                <w:sz w:val="18"/>
                <w:szCs w:val="18"/>
              </w:rPr>
              <w:t>5215</w:t>
            </w:r>
          </w:p>
        </w:tc>
        <w:tc>
          <w:tcPr>
            <w:tcW w:w="720" w:type="dxa"/>
            <w:tcBorders>
              <w:left w:val="single" w:sz="4" w:space="0" w:color="auto"/>
            </w:tcBorders>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11218</w:t>
            </w:r>
          </w:p>
        </w:tc>
      </w:tr>
      <w:tr w:rsidR="003A3BB6" w:rsidRPr="001F29F9" w:rsidTr="000F7FAF">
        <w:trPr>
          <w:trHeight w:val="66"/>
          <w:jc w:val="center"/>
        </w:trPr>
        <w:tc>
          <w:tcPr>
            <w:tcW w:w="3798" w:type="dxa"/>
            <w:gridSpan w:val="3"/>
            <w:vMerge/>
            <w:tcBorders>
              <w:right w:val="thinThickThinSmallGap" w:sz="24" w:space="0" w:color="auto"/>
            </w:tcBorders>
            <w:shd w:val="clear" w:color="auto" w:fill="FFFFFF" w:themeFill="background1"/>
          </w:tcPr>
          <w:p w:rsidR="003A3BB6" w:rsidRPr="001F29F9" w:rsidRDefault="003A3BB6" w:rsidP="003A3BB6">
            <w:pPr>
              <w:spacing w:line="220" w:lineRule="exact"/>
              <w:contextualSpacing/>
              <w:rPr>
                <w:rFonts w:cs="Calibri"/>
                <w:color w:val="000000" w:themeColor="text1"/>
                <w:sz w:val="18"/>
                <w:szCs w:val="18"/>
              </w:rPr>
            </w:pPr>
          </w:p>
        </w:tc>
        <w:tc>
          <w:tcPr>
            <w:tcW w:w="4590" w:type="dxa"/>
            <w:gridSpan w:val="3"/>
            <w:tcBorders>
              <w:left w:val="thinThickThinSmallGap" w:sz="24" w:space="0" w:color="auto"/>
            </w:tcBorders>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r w:rsidRPr="001F29F9">
              <w:rPr>
                <w:rFonts w:cs="Calibri"/>
                <w:color w:val="000000" w:themeColor="text1"/>
                <w:sz w:val="18"/>
                <w:szCs w:val="18"/>
              </w:rPr>
              <w:t xml:space="preserve">Not Service Connected x </w:t>
            </w:r>
            <w:r>
              <w:rPr>
                <w:rFonts w:cs="Calibri"/>
                <w:color w:val="000000" w:themeColor="text1"/>
                <w:sz w:val="18"/>
                <w:szCs w:val="18"/>
              </w:rPr>
              <w:t>1</w:t>
            </w:r>
          </w:p>
        </w:tc>
        <w:tc>
          <w:tcPr>
            <w:tcW w:w="990" w:type="dxa"/>
            <w:shd w:val="clear" w:color="auto" w:fill="FFFFFF" w:themeFill="background1"/>
            <w:vAlign w:val="center"/>
          </w:tcPr>
          <w:p w:rsidR="003A3BB6" w:rsidRPr="001F29F9" w:rsidRDefault="003A3BB6" w:rsidP="003A3BB6">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11218</w:t>
            </w:r>
          </w:p>
        </w:tc>
      </w:tr>
      <w:tr w:rsidR="003A3BB6" w:rsidRPr="001F29F9" w:rsidTr="003A3BB6">
        <w:trPr>
          <w:trHeight w:val="66"/>
          <w:jc w:val="center"/>
        </w:trPr>
        <w:tc>
          <w:tcPr>
            <w:tcW w:w="3798" w:type="dxa"/>
            <w:gridSpan w:val="3"/>
            <w:tcBorders>
              <w:right w:val="thinThickThinSmallGap" w:sz="24" w:space="0" w:color="auto"/>
            </w:tcBorders>
            <w:shd w:val="clear" w:color="auto" w:fill="D9D9D9" w:themeFill="background1" w:themeFillShade="D9"/>
          </w:tcPr>
          <w:p w:rsidR="003A3BB6" w:rsidRPr="001F29F9" w:rsidRDefault="003A3BB6" w:rsidP="003A3BB6">
            <w:pPr>
              <w:contextualSpacing/>
              <w:rPr>
                <w:rFonts w:cs="Calibri"/>
                <w:b/>
                <w:color w:val="000000" w:themeColor="text1"/>
                <w:sz w:val="18"/>
                <w:szCs w:val="18"/>
              </w:rPr>
            </w:pPr>
            <w:r w:rsidRPr="001F29F9">
              <w:rPr>
                <w:rFonts w:cs="Calibri"/>
                <w:b/>
                <w:color w:val="000000" w:themeColor="text1"/>
                <w:sz w:val="18"/>
                <w:szCs w:val="18"/>
              </w:rPr>
              <w:lastRenderedPageBreak/>
              <w:t xml:space="preserve">Combined:  </w:t>
            </w:r>
            <w:r>
              <w:rPr>
                <w:rFonts w:cs="Calibri"/>
                <w:b/>
                <w:color w:val="000000" w:themeColor="text1"/>
                <w:sz w:val="18"/>
                <w:szCs w:val="18"/>
              </w:rPr>
              <w:t>20</w:t>
            </w:r>
            <w:r w:rsidRPr="001F29F9">
              <w:rPr>
                <w:rFonts w:cs="Calibri"/>
                <w:b/>
                <w:color w:val="000000" w:themeColor="text1"/>
                <w:sz w:val="18"/>
                <w:szCs w:val="18"/>
              </w:rPr>
              <w:t>%</w:t>
            </w:r>
          </w:p>
        </w:tc>
        <w:tc>
          <w:tcPr>
            <w:tcW w:w="5580" w:type="dxa"/>
            <w:gridSpan w:val="4"/>
            <w:tcBorders>
              <w:left w:val="thinThickThinSmallGap" w:sz="24" w:space="0" w:color="auto"/>
            </w:tcBorders>
            <w:shd w:val="clear" w:color="auto" w:fill="D9D9D9" w:themeFill="background1" w:themeFillShade="D9"/>
          </w:tcPr>
          <w:p w:rsidR="003A3BB6" w:rsidRPr="001F29F9" w:rsidRDefault="003A3BB6" w:rsidP="003A3BB6">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7</w:t>
            </w:r>
            <w:r w:rsidRPr="001F29F9">
              <w:rPr>
                <w:rFonts w:cs="Calibri"/>
                <w:b/>
                <w:color w:val="000000" w:themeColor="text1"/>
                <w:sz w:val="18"/>
                <w:szCs w:val="18"/>
              </w:rPr>
              <w:t>0%</w:t>
            </w:r>
          </w:p>
        </w:tc>
      </w:tr>
    </w:tbl>
    <w:p w:rsidR="003A3BB6" w:rsidRDefault="003A3BB6" w:rsidP="00E41C21">
      <w:pPr>
        <w:jc w:val="both"/>
        <w:rPr>
          <w:color w:val="000000"/>
          <w:u w:val="single"/>
        </w:rPr>
      </w:pPr>
    </w:p>
    <w:p w:rsidR="00E41C21" w:rsidRPr="00726F84" w:rsidRDefault="00E41C21" w:rsidP="00E41C21">
      <w:pPr>
        <w:jc w:val="both"/>
        <w:rPr>
          <w:color w:val="000000"/>
        </w:rPr>
      </w:pPr>
      <w:r w:rsidRPr="001F29F9">
        <w:rPr>
          <w:color w:val="000000"/>
          <w:u w:val="single"/>
        </w:rPr>
        <w:t>ANALYSIS SUMMARY</w:t>
      </w:r>
      <w:r w:rsidRPr="001F29F9">
        <w:rPr>
          <w:color w:val="000000"/>
        </w:rPr>
        <w:t>:</w:t>
      </w:r>
      <w:r>
        <w:rPr>
          <w:color w:val="000000"/>
        </w:rPr>
        <w:t xml:space="preserve"> </w:t>
      </w:r>
      <w:r w:rsidR="00CC66BC">
        <w:rPr>
          <w:color w:val="000000"/>
        </w:rPr>
        <w:t xml:space="preserve"> Noting the additional conditions </w:t>
      </w:r>
      <w:r w:rsidR="007F5D2B">
        <w:rPr>
          <w:color w:val="000000"/>
        </w:rPr>
        <w:t>which</w:t>
      </w:r>
      <w:r w:rsidR="00CC66BC">
        <w:rPr>
          <w:color w:val="000000"/>
        </w:rPr>
        <w:t xml:space="preserve"> the CI</w:t>
      </w:r>
      <w:r w:rsidR="007F5D2B">
        <w:rPr>
          <w:color w:val="000000"/>
        </w:rPr>
        <w:t xml:space="preserve"> considers as eligible for disability rating</w:t>
      </w:r>
      <w:r w:rsidR="00CC66BC">
        <w:rPr>
          <w:color w:val="000000"/>
        </w:rPr>
        <w:t xml:space="preserve">, although not within the scope of this Board, the following clarification is relevant.  </w:t>
      </w:r>
      <w:r w:rsidR="00CC66BC" w:rsidRPr="00CC66BC">
        <w:rPr>
          <w:rFonts w:eastAsia="Calibri"/>
          <w:color w:val="auto"/>
          <w:szCs w:val="24"/>
        </w:rPr>
        <w:t xml:space="preserve">While the </w:t>
      </w:r>
      <w:r w:rsidR="007F5D2B" w:rsidRPr="00CC66BC">
        <w:rPr>
          <w:rFonts w:eastAsia="Calibri"/>
          <w:color w:val="auto"/>
          <w:szCs w:val="24"/>
        </w:rPr>
        <w:t>Disability Evaluation System (DES)</w:t>
      </w:r>
      <w:r w:rsidR="007F5D2B">
        <w:rPr>
          <w:rFonts w:eastAsia="Calibri"/>
          <w:color w:val="auto"/>
          <w:szCs w:val="24"/>
        </w:rPr>
        <w:t xml:space="preserve"> </w:t>
      </w:r>
      <w:r w:rsidR="00CC66BC" w:rsidRPr="00CC66BC">
        <w:rPr>
          <w:rFonts w:eastAsia="Calibri"/>
          <w:color w:val="auto"/>
          <w:szCs w:val="24"/>
        </w:rPr>
        <w:t xml:space="preserve">considers all of the member's medical conditions, compensation can only be offered for those medical conditions that cut short the member’s career; </w:t>
      </w:r>
      <w:r w:rsidR="007F5D2B">
        <w:rPr>
          <w:rFonts w:eastAsia="Calibri"/>
          <w:color w:val="auto"/>
          <w:szCs w:val="24"/>
        </w:rPr>
        <w:t xml:space="preserve">based on the limitations imposed by them at the time of separation.  </w:t>
      </w:r>
      <w:r w:rsidR="00CC66BC" w:rsidRPr="00CC66BC">
        <w:rPr>
          <w:rFonts w:eastAsia="Calibri"/>
          <w:color w:val="auto"/>
          <w:szCs w:val="24"/>
        </w:rPr>
        <w:t>The Department of Veteran</w:t>
      </w:r>
      <w:r w:rsidR="00534A42">
        <w:rPr>
          <w:rFonts w:eastAsia="Calibri"/>
          <w:color w:val="auto"/>
          <w:szCs w:val="24"/>
        </w:rPr>
        <w:t>s</w:t>
      </w:r>
      <w:r w:rsidR="00CC66BC" w:rsidRPr="00CC66BC">
        <w:rPr>
          <w:rFonts w:eastAsia="Calibri"/>
          <w:color w:val="auto"/>
          <w:szCs w:val="24"/>
        </w:rPr>
        <w:t xml:space="preserve"> Affairs, however, is empowered to compensate service</w:t>
      </w:r>
      <w:r w:rsidR="00697108">
        <w:rPr>
          <w:rFonts w:eastAsia="Calibri"/>
          <w:color w:val="auto"/>
          <w:szCs w:val="24"/>
        </w:rPr>
        <w:t>-</w:t>
      </w:r>
      <w:r w:rsidR="00CC66BC" w:rsidRPr="00CC66BC">
        <w:rPr>
          <w:rFonts w:eastAsia="Calibri"/>
          <w:color w:val="auto"/>
          <w:szCs w:val="24"/>
        </w:rPr>
        <w:t xml:space="preserve">connected conditions and to periodically re-evaluate said conditions for the purpose of adjusting the </w:t>
      </w:r>
      <w:r w:rsidR="00534A42">
        <w:rPr>
          <w:rFonts w:eastAsia="Calibri"/>
          <w:color w:val="auto"/>
          <w:szCs w:val="24"/>
        </w:rPr>
        <w:t>V</w:t>
      </w:r>
      <w:r w:rsidR="00CC66BC" w:rsidRPr="00CC66BC">
        <w:rPr>
          <w:rFonts w:eastAsia="Calibri"/>
          <w:color w:val="auto"/>
          <w:szCs w:val="24"/>
        </w:rPr>
        <w:t xml:space="preserve">eteran’s disability rating should </w:t>
      </w:r>
      <w:r w:rsidR="00697108">
        <w:rPr>
          <w:rFonts w:eastAsia="Calibri"/>
          <w:color w:val="auto"/>
          <w:szCs w:val="24"/>
        </w:rPr>
        <w:t>the</w:t>
      </w:r>
      <w:r w:rsidR="00CC66BC" w:rsidRPr="00CC66BC">
        <w:rPr>
          <w:rFonts w:eastAsia="Calibri"/>
          <w:color w:val="auto"/>
          <w:szCs w:val="24"/>
        </w:rPr>
        <w:t xml:space="preserve"> degree of impairment vary over time.  </w:t>
      </w:r>
    </w:p>
    <w:p w:rsidR="00E41C21" w:rsidRPr="001F29F9" w:rsidRDefault="00E41C21" w:rsidP="00E41C21">
      <w:pPr>
        <w:jc w:val="both"/>
        <w:rPr>
          <w:color w:val="000000"/>
          <w:highlight w:val="yellow"/>
        </w:rPr>
      </w:pPr>
    </w:p>
    <w:p w:rsidR="00E41C21" w:rsidRPr="001A087F" w:rsidRDefault="003A3BB6" w:rsidP="00207438">
      <w:pPr>
        <w:spacing w:after="120"/>
        <w:jc w:val="both"/>
        <w:rPr>
          <w:color w:val="000000"/>
        </w:rPr>
      </w:pPr>
      <w:r>
        <w:rPr>
          <w:color w:val="000000"/>
          <w:u w:val="single"/>
        </w:rPr>
        <w:t>Right Shoulder</w:t>
      </w:r>
      <w:r w:rsidR="00E41C21" w:rsidRPr="009A7578">
        <w:rPr>
          <w:color w:val="000000"/>
          <w:u w:val="single"/>
        </w:rPr>
        <w:t xml:space="preserve"> Condition</w:t>
      </w:r>
      <w:r w:rsidR="00E41C21" w:rsidRPr="009A7578">
        <w:rPr>
          <w:color w:val="000000"/>
        </w:rPr>
        <w:t xml:space="preserve">. </w:t>
      </w:r>
      <w:r w:rsidR="00E41C21">
        <w:rPr>
          <w:color w:val="000000"/>
        </w:rPr>
        <w:t xml:space="preserve"> </w:t>
      </w:r>
      <w:r w:rsidR="007B1154">
        <w:rPr>
          <w:color w:val="000000"/>
        </w:rPr>
        <w:t xml:space="preserve">Although there are records </w:t>
      </w:r>
      <w:r w:rsidR="007F5D2B">
        <w:rPr>
          <w:color w:val="000000"/>
        </w:rPr>
        <w:t>documenting a</w:t>
      </w:r>
      <w:r w:rsidR="007B1154">
        <w:rPr>
          <w:color w:val="000000"/>
        </w:rPr>
        <w:t xml:space="preserve"> complaint of right shoulder pain since basic training, the CI’s shoulder injury occurred during a 2001 deployment to Bosnia when he attempted to stabilize a heavy gun which slipped from the turret.  By history there was dislocation and a prompt self-reduction of the joint at that time.  There are “multiple dislocations” documented in the </w:t>
      </w:r>
      <w:r w:rsidR="00E41C21">
        <w:rPr>
          <w:color w:val="000000"/>
        </w:rPr>
        <w:t>narrative summary (NARSUM)</w:t>
      </w:r>
      <w:r w:rsidR="007B1154">
        <w:rPr>
          <w:color w:val="000000"/>
        </w:rPr>
        <w:t xml:space="preserve"> following the initial injury, although outpatient notes do not clarify if these were true dislocations or partial subluxations with spontaneous reduction.  An outpatient note from 6 months </w:t>
      </w:r>
      <w:r w:rsidR="00534A42">
        <w:rPr>
          <w:color w:val="000000"/>
        </w:rPr>
        <w:t xml:space="preserve">prior to </w:t>
      </w:r>
      <w:r w:rsidR="007B1154">
        <w:rPr>
          <w:color w:val="000000"/>
        </w:rPr>
        <w:t>separation documents the statement that it “pops i</w:t>
      </w:r>
      <w:r w:rsidR="00534A42">
        <w:rPr>
          <w:color w:val="000000"/>
        </w:rPr>
        <w:t>n and out of place all the time</w:t>
      </w:r>
      <w:r w:rsidR="007B1154">
        <w:rPr>
          <w:color w:val="000000"/>
        </w:rPr>
        <w:t>.</w:t>
      </w:r>
      <w:r w:rsidR="00534A42">
        <w:rPr>
          <w:color w:val="000000"/>
        </w:rPr>
        <w:t>”</w:t>
      </w:r>
      <w:r w:rsidR="007B1154">
        <w:rPr>
          <w:color w:val="000000"/>
        </w:rPr>
        <w:t xml:space="preserve">  </w:t>
      </w:r>
      <w:r w:rsidR="002137C4">
        <w:rPr>
          <w:color w:val="000000"/>
        </w:rPr>
        <w:t xml:space="preserve">An outpatient note a month earlier documents a “history of dislocations X 5” over the past year. </w:t>
      </w:r>
      <w:r w:rsidR="003C2441">
        <w:rPr>
          <w:color w:val="000000"/>
        </w:rPr>
        <w:t xml:space="preserve"> </w:t>
      </w:r>
      <w:r w:rsidR="002137C4">
        <w:rPr>
          <w:color w:val="000000"/>
        </w:rPr>
        <w:t>There is no medical opinion of record which goes to the issue of true dislocations vs. partial subluxations.  Magnetic resonance imaging</w:t>
      </w:r>
      <w:r w:rsidR="00534A42">
        <w:rPr>
          <w:color w:val="000000"/>
        </w:rPr>
        <w:t xml:space="preserve"> (MRI)</w:t>
      </w:r>
      <w:r w:rsidR="002137C4">
        <w:rPr>
          <w:color w:val="000000"/>
        </w:rPr>
        <w:t xml:space="preserve"> documented fully intact ligaments, tendons and labrum; thus, the </w:t>
      </w:r>
      <w:r w:rsidR="00534A42">
        <w:rPr>
          <w:color w:val="000000"/>
        </w:rPr>
        <w:t>a</w:t>
      </w:r>
      <w:r w:rsidR="002137C4">
        <w:rPr>
          <w:color w:val="000000"/>
        </w:rPr>
        <w:t xml:space="preserve">ction </w:t>
      </w:r>
      <w:r w:rsidR="00534A42">
        <w:rPr>
          <w:color w:val="000000"/>
        </w:rPr>
        <w:t>o</w:t>
      </w:r>
      <w:r w:rsidR="002137C4">
        <w:rPr>
          <w:color w:val="000000"/>
        </w:rPr>
        <w:t xml:space="preserve">fficer opines that recurrent dislocations were unlikely.  That impression is strengthened by the orthopedic opinion in this case recommending against surgery.  </w:t>
      </w:r>
      <w:r w:rsidR="001A087F">
        <w:rPr>
          <w:color w:val="000000"/>
        </w:rPr>
        <w:t xml:space="preserve">This notwithstanding, the NARSUM and the </w:t>
      </w:r>
      <w:r w:rsidR="00E41C21">
        <w:rPr>
          <w:color w:val="000000"/>
          <w:szCs w:val="24"/>
        </w:rPr>
        <w:t xml:space="preserve">VA </w:t>
      </w:r>
      <w:r w:rsidR="00E41C21" w:rsidRPr="00CF0280">
        <w:rPr>
          <w:color w:val="000000"/>
          <w:szCs w:val="24"/>
        </w:rPr>
        <w:t>Compensation and Pension (C&amp;P)</w:t>
      </w:r>
      <w:r w:rsidR="00E41C21">
        <w:rPr>
          <w:color w:val="000000"/>
          <w:szCs w:val="24"/>
        </w:rPr>
        <w:t xml:space="preserve"> </w:t>
      </w:r>
      <w:r w:rsidR="00E41C21" w:rsidRPr="001A087F">
        <w:rPr>
          <w:color w:val="000000"/>
          <w:szCs w:val="24"/>
        </w:rPr>
        <w:t xml:space="preserve">exam </w:t>
      </w:r>
      <w:r w:rsidR="001A087F" w:rsidRPr="001A087F">
        <w:rPr>
          <w:color w:val="000000"/>
          <w:szCs w:val="24"/>
        </w:rPr>
        <w:t>(just</w:t>
      </w:r>
      <w:r w:rsidR="001A087F">
        <w:rPr>
          <w:color w:val="000000"/>
          <w:szCs w:val="24"/>
        </w:rPr>
        <w:t xml:space="preserve"> prior to</w:t>
      </w:r>
      <w:r w:rsidR="00E41C21" w:rsidRPr="00704463">
        <w:rPr>
          <w:color w:val="000000"/>
          <w:szCs w:val="24"/>
        </w:rPr>
        <w:t xml:space="preserve"> separation</w:t>
      </w:r>
      <w:r w:rsidR="00E41C21">
        <w:rPr>
          <w:color w:val="000000"/>
          <w:szCs w:val="24"/>
        </w:rPr>
        <w:t xml:space="preserve">) </w:t>
      </w:r>
      <w:r w:rsidR="001A087F">
        <w:rPr>
          <w:color w:val="000000"/>
          <w:szCs w:val="24"/>
        </w:rPr>
        <w:t xml:space="preserve">both document joint laxity to stress testing in </w:t>
      </w:r>
      <w:r w:rsidR="00207438">
        <w:rPr>
          <w:color w:val="000000"/>
          <w:szCs w:val="24"/>
        </w:rPr>
        <w:t xml:space="preserve">most </w:t>
      </w:r>
      <w:r w:rsidR="001A087F">
        <w:rPr>
          <w:color w:val="000000"/>
          <w:szCs w:val="24"/>
        </w:rPr>
        <w:t xml:space="preserve">planes.  </w:t>
      </w:r>
      <w:r w:rsidR="00207438">
        <w:rPr>
          <w:color w:val="000000"/>
          <w:szCs w:val="24"/>
        </w:rPr>
        <w:t>The NARSUM was not specific regarding activity limitations or functional restrictions.  The commander’s statement noted that the CI “always has pain in his right shoulder” which “severely limits the use of right arm and shoulder.</w:t>
      </w:r>
      <w:r w:rsidR="00534A42">
        <w:rPr>
          <w:color w:val="000000"/>
          <w:szCs w:val="24"/>
        </w:rPr>
        <w:t>”</w:t>
      </w:r>
      <w:r w:rsidR="00207438">
        <w:rPr>
          <w:color w:val="000000"/>
          <w:szCs w:val="24"/>
        </w:rPr>
        <w:t xml:space="preserve">  Specific limitations from the commander are excerpted below.</w:t>
      </w:r>
    </w:p>
    <w:p w:rsidR="00207438" w:rsidRPr="00207438" w:rsidRDefault="00207438" w:rsidP="00FB182D">
      <w:pPr>
        <w:spacing w:after="120" w:line="200" w:lineRule="exact"/>
        <w:ind w:left="720" w:right="720"/>
        <w:jc w:val="both"/>
        <w:rPr>
          <w:color w:val="000000"/>
          <w:sz w:val="20"/>
        </w:rPr>
      </w:pPr>
      <w:r w:rsidRPr="00207438">
        <w:rPr>
          <w:color w:val="000000"/>
          <w:sz w:val="20"/>
        </w:rPr>
        <w:t xml:space="preserve">[CI] is unable to stand at parade rest or at-ease for any period of time, swing his arm while marching or walking, climb on or off of military vehicles, carry a rucksack, running, pushups, sit-ups, numerous other physical training exercises, extending his arm for any period of time, and any repetitive motion of his right shoulder. </w:t>
      </w:r>
    </w:p>
    <w:p w:rsidR="00FB182D" w:rsidRDefault="00FB182D" w:rsidP="009B5CA6">
      <w:pPr>
        <w:tabs>
          <w:tab w:val="left" w:pos="6676"/>
        </w:tabs>
        <w:jc w:val="both"/>
        <w:rPr>
          <w:color w:val="000000"/>
          <w:szCs w:val="24"/>
        </w:rPr>
      </w:pPr>
      <w:r>
        <w:rPr>
          <w:color w:val="000000"/>
          <w:szCs w:val="24"/>
        </w:rPr>
        <w:t>The VA examiner stated, “</w:t>
      </w:r>
      <w:r w:rsidRPr="00FB182D">
        <w:rPr>
          <w:rFonts w:cs="Times New Roman"/>
          <w:color w:val="auto"/>
        </w:rPr>
        <w:t>Any</w:t>
      </w:r>
      <w:r>
        <w:rPr>
          <w:rFonts w:cs="Times New Roman"/>
          <w:color w:val="auto"/>
        </w:rPr>
        <w:t xml:space="preserve"> </w:t>
      </w:r>
      <w:r w:rsidRPr="00FB182D">
        <w:rPr>
          <w:rFonts w:cs="Times New Roman"/>
          <w:color w:val="auto"/>
        </w:rPr>
        <w:t xml:space="preserve">movements, like brushing teeth or combing the hair </w:t>
      </w:r>
      <w:r>
        <w:rPr>
          <w:rFonts w:cs="Times New Roman"/>
          <w:color w:val="auto"/>
        </w:rPr>
        <w:t xml:space="preserve">[shoulder level activities] </w:t>
      </w:r>
      <w:r w:rsidRPr="00FB182D">
        <w:rPr>
          <w:rFonts w:cs="Times New Roman"/>
          <w:color w:val="auto"/>
        </w:rPr>
        <w:t>or any kind of pull</w:t>
      </w:r>
      <w:r>
        <w:rPr>
          <w:rFonts w:cs="Times New Roman"/>
          <w:color w:val="auto"/>
        </w:rPr>
        <w:t xml:space="preserve"> </w:t>
      </w:r>
      <w:r w:rsidRPr="00FB182D">
        <w:rPr>
          <w:rFonts w:cs="Times New Roman"/>
          <w:color w:val="auto"/>
        </w:rPr>
        <w:t>or push suddenly the shoulder pops and there seems to be instability</w:t>
      </w:r>
      <w:r>
        <w:rPr>
          <w:rFonts w:cs="Times New Roman"/>
          <w:color w:val="auto"/>
        </w:rPr>
        <w:t xml:space="preserve"> </w:t>
      </w:r>
      <w:r w:rsidRPr="00FB182D">
        <w:rPr>
          <w:rFonts w:cs="Times New Roman"/>
          <w:color w:val="auto"/>
        </w:rPr>
        <w:t>in that area.</w:t>
      </w:r>
      <w:r>
        <w:rPr>
          <w:color w:val="000000"/>
          <w:szCs w:val="24"/>
        </w:rPr>
        <w:t>”  The VA physical examination noted “subluxation easily 0.75 inch” to downward traction and “shoulder instability and capsular laxity” with “forward and backward pushing.</w:t>
      </w:r>
      <w:r w:rsidR="00534A42">
        <w:rPr>
          <w:color w:val="000000"/>
          <w:szCs w:val="24"/>
        </w:rPr>
        <w:t>”</w:t>
      </w:r>
      <w:r>
        <w:rPr>
          <w:color w:val="000000"/>
          <w:szCs w:val="24"/>
        </w:rPr>
        <w:t xml:space="preserve">  The C&amp;P examination provided the only </w:t>
      </w:r>
      <w:r w:rsidR="009B5CA6" w:rsidRPr="00B652C3">
        <w:rPr>
          <w:color w:val="000000"/>
          <w:szCs w:val="24"/>
        </w:rPr>
        <w:t xml:space="preserve">goniometric </w:t>
      </w:r>
      <w:r w:rsidRPr="00B652C3">
        <w:rPr>
          <w:color w:val="000000"/>
          <w:szCs w:val="24"/>
        </w:rPr>
        <w:t>range</w:t>
      </w:r>
      <w:r w:rsidR="00534A42">
        <w:rPr>
          <w:color w:val="000000"/>
          <w:szCs w:val="24"/>
        </w:rPr>
        <w:t>-</w:t>
      </w:r>
      <w:r w:rsidRPr="00B652C3">
        <w:rPr>
          <w:color w:val="000000"/>
          <w:szCs w:val="24"/>
        </w:rPr>
        <w:t>of</w:t>
      </w:r>
      <w:r w:rsidR="00534A42">
        <w:rPr>
          <w:color w:val="000000"/>
          <w:szCs w:val="24"/>
        </w:rPr>
        <w:t>-</w:t>
      </w:r>
      <w:r w:rsidRPr="00B652C3">
        <w:rPr>
          <w:color w:val="000000"/>
          <w:szCs w:val="24"/>
        </w:rPr>
        <w:t>motion (ROM) evaluatio</w:t>
      </w:r>
      <w:r w:rsidR="009B5CA6">
        <w:rPr>
          <w:color w:val="000000"/>
          <w:szCs w:val="24"/>
        </w:rPr>
        <w:t>n in evidence; recording abduction to 145</w:t>
      </w:r>
      <w:r w:rsidR="00534A42">
        <w:rPr>
          <w:color w:val="000000"/>
          <w:szCs w:val="24"/>
        </w:rPr>
        <w:t xml:space="preserve"> degree</w:t>
      </w:r>
      <w:r w:rsidR="009B5CA6">
        <w:rPr>
          <w:color w:val="000000"/>
          <w:szCs w:val="24"/>
        </w:rPr>
        <w:t xml:space="preserve"> (normal 180</w:t>
      </w:r>
      <w:r w:rsidR="00534A42">
        <w:rPr>
          <w:color w:val="000000"/>
          <w:szCs w:val="24"/>
        </w:rPr>
        <w:t xml:space="preserve"> degree</w:t>
      </w:r>
      <w:r w:rsidR="009B5CA6" w:rsidRPr="0087277D">
        <w:rPr>
          <w:color w:val="000000"/>
          <w:szCs w:val="24"/>
        </w:rPr>
        <w:t xml:space="preserve">; minimal compensable </w:t>
      </w:r>
      <w:r w:rsidR="009B5CA6">
        <w:rPr>
          <w:color w:val="000000"/>
          <w:szCs w:val="24"/>
        </w:rPr>
        <w:t>90</w:t>
      </w:r>
      <w:r w:rsidR="00534A42">
        <w:rPr>
          <w:color w:val="000000"/>
          <w:szCs w:val="24"/>
        </w:rPr>
        <w:t xml:space="preserve"> degree</w:t>
      </w:r>
      <w:r w:rsidR="009B5CA6" w:rsidRPr="0087277D">
        <w:rPr>
          <w:color w:val="000000"/>
          <w:szCs w:val="24"/>
        </w:rPr>
        <w:t>)</w:t>
      </w:r>
      <w:r w:rsidR="009B5CA6">
        <w:rPr>
          <w:color w:val="000000"/>
          <w:szCs w:val="24"/>
        </w:rPr>
        <w:t xml:space="preserve"> and forward flexion to 155</w:t>
      </w:r>
      <w:r w:rsidR="00534A42">
        <w:rPr>
          <w:color w:val="000000"/>
          <w:szCs w:val="24"/>
        </w:rPr>
        <w:t xml:space="preserve"> degree</w:t>
      </w:r>
      <w:r w:rsidR="009B5CA6">
        <w:rPr>
          <w:color w:val="000000"/>
          <w:szCs w:val="24"/>
        </w:rPr>
        <w:t xml:space="preserve"> (parameters same).  The examiner recorded pain only at the limit of excursions.  </w:t>
      </w:r>
    </w:p>
    <w:p w:rsidR="00FB182D" w:rsidRDefault="00FB182D" w:rsidP="00207438">
      <w:pPr>
        <w:jc w:val="both"/>
        <w:rPr>
          <w:color w:val="000000"/>
          <w:szCs w:val="24"/>
        </w:rPr>
      </w:pPr>
    </w:p>
    <w:p w:rsidR="007C450D" w:rsidRPr="001130EB" w:rsidRDefault="00E41C21" w:rsidP="00E43790">
      <w:pPr>
        <w:jc w:val="both"/>
        <w:rPr>
          <w:rFonts w:cs="Times New Roman"/>
          <w:color w:val="auto"/>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E974CA">
        <w:rPr>
          <w:rFonts w:cs="Times New Roman"/>
          <w:color w:val="auto"/>
        </w:rPr>
        <w:t xml:space="preserve">The PEB and the VA applied the same code for rating, 5202, which is the only VASRD §4.71a provision for rating shoulder instability.  Since instability was the dominant disability and there was no compensable ROM limitation; application of 5202 by the Board is clearly indicated.  The distinction between the PEB’s 20% and VA’s 30% ratings rests with the judgment as to which rating description is the better fit with the disability in evidence.  </w:t>
      </w:r>
      <w:r w:rsidR="00DB78A0">
        <w:rPr>
          <w:rFonts w:cs="Times New Roman"/>
          <w:color w:val="auto"/>
        </w:rPr>
        <w:t>Code 5202 provides ratings for “recurrent dislocation of the scapulohumeral joint”</w:t>
      </w:r>
      <w:r w:rsidR="00E62EB8">
        <w:rPr>
          <w:rFonts w:cs="Times New Roman"/>
          <w:color w:val="auto"/>
        </w:rPr>
        <w:t>: a 30% (major) rating for</w:t>
      </w:r>
      <w:r w:rsidR="00E62EB8" w:rsidRPr="00DC0D01">
        <w:rPr>
          <w:rFonts w:asciiTheme="majorHAnsi" w:hAnsiTheme="majorHAnsi" w:cstheme="majorHAnsi"/>
          <w:color w:val="auto"/>
          <w:szCs w:val="24"/>
        </w:rPr>
        <w:t xml:space="preserve"> </w:t>
      </w:r>
      <w:r w:rsidR="00E62EB8">
        <w:rPr>
          <w:rFonts w:asciiTheme="majorHAnsi" w:hAnsiTheme="majorHAnsi" w:cstheme="majorHAnsi"/>
          <w:color w:val="auto"/>
          <w:szCs w:val="24"/>
        </w:rPr>
        <w:t>“</w:t>
      </w:r>
      <w:r w:rsidR="00E62EB8" w:rsidRPr="00DC0D01">
        <w:rPr>
          <w:rFonts w:asciiTheme="majorHAnsi" w:hAnsiTheme="majorHAnsi" w:cstheme="majorHAnsi"/>
          <w:color w:val="auto"/>
          <w:szCs w:val="24"/>
        </w:rPr>
        <w:t>frequent episodes and guarding of all arm movements</w:t>
      </w:r>
      <w:r w:rsidR="00E62EB8">
        <w:rPr>
          <w:rFonts w:cs="Times New Roman"/>
          <w:color w:val="auto"/>
        </w:rPr>
        <w:t>”; and, 20% for “</w:t>
      </w:r>
      <w:r w:rsidR="00E62EB8" w:rsidRPr="00493BC4">
        <w:rPr>
          <w:rFonts w:asciiTheme="majorHAnsi" w:hAnsiTheme="majorHAnsi" w:cstheme="majorHAnsi"/>
          <w:color w:val="auto"/>
          <w:szCs w:val="24"/>
        </w:rPr>
        <w:t xml:space="preserve">infrequent episodes, and guarding of </w:t>
      </w:r>
      <w:r w:rsidR="00E62EB8" w:rsidRPr="00493BC4">
        <w:rPr>
          <w:rFonts w:asciiTheme="majorHAnsi" w:hAnsiTheme="majorHAnsi" w:cstheme="majorHAnsi"/>
          <w:color w:val="auto"/>
          <w:szCs w:val="24"/>
        </w:rPr>
        <w:lastRenderedPageBreak/>
        <w:t>movement only at shoulder level</w:t>
      </w:r>
      <w:r w:rsidR="00E62EB8">
        <w:rPr>
          <w:rFonts w:cs="Times New Roman"/>
          <w:color w:val="auto"/>
        </w:rPr>
        <w:t>.</w:t>
      </w:r>
      <w:r w:rsidR="00534A42">
        <w:rPr>
          <w:rFonts w:cs="Times New Roman"/>
          <w:color w:val="auto"/>
        </w:rPr>
        <w:t>”</w:t>
      </w:r>
      <w:r w:rsidR="00E62EB8">
        <w:rPr>
          <w:rFonts w:cs="Times New Roman"/>
          <w:color w:val="auto"/>
        </w:rPr>
        <w:t xml:space="preserve">  Since the rating</w:t>
      </w:r>
      <w:r w:rsidR="007C450D">
        <w:rPr>
          <w:rFonts w:cs="Times New Roman"/>
          <w:color w:val="auto"/>
        </w:rPr>
        <w:t>s</w:t>
      </w:r>
      <w:r w:rsidR="00E62EB8">
        <w:rPr>
          <w:rFonts w:cs="Times New Roman"/>
          <w:color w:val="auto"/>
        </w:rPr>
        <w:t xml:space="preserve"> </w:t>
      </w:r>
      <w:r w:rsidR="007C450D">
        <w:rPr>
          <w:rFonts w:cs="Times New Roman"/>
          <w:color w:val="auto"/>
        </w:rPr>
        <w:t>are</w:t>
      </w:r>
      <w:r w:rsidR="00E62EB8">
        <w:rPr>
          <w:rFonts w:cs="Times New Roman"/>
          <w:color w:val="auto"/>
        </w:rPr>
        <w:t xml:space="preserve"> for ‘recurrent dislocation’, there is importance attached to </w:t>
      </w:r>
      <w:r w:rsidR="00DB78A0">
        <w:rPr>
          <w:rFonts w:cs="Times New Roman"/>
          <w:color w:val="auto"/>
        </w:rPr>
        <w:t xml:space="preserve">defining episodes of true dislocation (or its functional equivalent) rather than transient migration of the humeral head within the joint space subjectively characterized as a ‘dislocation’.  The latter would appear to be a frequent occurrence in this case, but speculation is required to </w:t>
      </w:r>
      <w:r w:rsidR="00E62EB8">
        <w:rPr>
          <w:rFonts w:cs="Times New Roman"/>
          <w:color w:val="auto"/>
        </w:rPr>
        <w:t xml:space="preserve">conclude that dislocations occurred with any significant frequency </w:t>
      </w:r>
      <w:r w:rsidR="007C450D">
        <w:rPr>
          <w:rFonts w:cs="Times New Roman"/>
          <w:color w:val="auto"/>
        </w:rPr>
        <w:t>(</w:t>
      </w:r>
      <w:r w:rsidR="00E62EB8">
        <w:rPr>
          <w:rFonts w:cs="Times New Roman"/>
          <w:color w:val="auto"/>
        </w:rPr>
        <w:t>if at all</w:t>
      </w:r>
      <w:r w:rsidR="007C450D">
        <w:rPr>
          <w:rFonts w:cs="Times New Roman"/>
          <w:color w:val="auto"/>
        </w:rPr>
        <w:t>)</w:t>
      </w:r>
      <w:r w:rsidR="00E62EB8">
        <w:rPr>
          <w:rFonts w:cs="Times New Roman"/>
          <w:color w:val="auto"/>
        </w:rPr>
        <w:t>.  Thus,</w:t>
      </w:r>
      <w:r w:rsidR="007C450D">
        <w:rPr>
          <w:rFonts w:cs="Times New Roman"/>
          <w:color w:val="auto"/>
        </w:rPr>
        <w:t xml:space="preserve"> the members must</w:t>
      </w:r>
      <w:r w:rsidR="00E62EB8">
        <w:rPr>
          <w:rFonts w:cs="Times New Roman"/>
          <w:color w:val="auto"/>
        </w:rPr>
        <w:t xml:space="preserve"> </w:t>
      </w:r>
      <w:r w:rsidR="007C450D">
        <w:rPr>
          <w:rFonts w:cs="Times New Roman"/>
          <w:color w:val="auto"/>
        </w:rPr>
        <w:t>decide</w:t>
      </w:r>
      <w:r w:rsidR="00E62EB8">
        <w:rPr>
          <w:rFonts w:cs="Times New Roman"/>
          <w:color w:val="auto"/>
        </w:rPr>
        <w:t xml:space="preserve"> whether ‘frequent’ or ‘infrequent’ is the </w:t>
      </w:r>
      <w:r w:rsidR="007C450D">
        <w:rPr>
          <w:rFonts w:cs="Times New Roman"/>
          <w:color w:val="auto"/>
        </w:rPr>
        <w:t xml:space="preserve">most applicable descriptor in this case.  It also requires a judgment call as to whether ‘guarding of movement’ was functionally operant throughout joint excursion or at or above shoulder level.  The commander’s statement, specifically the inability to swing the arm while marching or tolerate the parade rest position, would imply that </w:t>
      </w:r>
      <w:r w:rsidR="007C450D" w:rsidRPr="001130EB">
        <w:rPr>
          <w:rFonts w:cs="Times New Roman"/>
          <w:color w:val="auto"/>
        </w:rPr>
        <w:t xml:space="preserve">the joint movement was guarded well below shoulder level; while, the activity limitations and thresholds of pain with ROM measurements documented by the </w:t>
      </w:r>
      <w:bookmarkStart w:id="0" w:name="_GoBack"/>
      <w:bookmarkEnd w:id="0"/>
      <w:r w:rsidR="007C450D" w:rsidRPr="001130EB">
        <w:rPr>
          <w:rFonts w:cs="Times New Roman"/>
          <w:color w:val="auto"/>
        </w:rPr>
        <w:t xml:space="preserve">VA examiner would suggest that motion below shoulder level was not guarded.  After considerable deliberation and </w:t>
      </w:r>
      <w:r w:rsidR="00E43790" w:rsidRPr="001130EB">
        <w:rPr>
          <w:rFonts w:cs="Times New Roman"/>
          <w:color w:val="auto"/>
        </w:rPr>
        <w:t>assessment</w:t>
      </w:r>
      <w:r w:rsidR="007C450D" w:rsidRPr="001130EB">
        <w:rPr>
          <w:rFonts w:cs="Times New Roman"/>
          <w:color w:val="auto"/>
        </w:rPr>
        <w:t xml:space="preserve"> </w:t>
      </w:r>
      <w:r w:rsidR="00E43790" w:rsidRPr="001130EB">
        <w:rPr>
          <w:rFonts w:cs="Times New Roman"/>
          <w:color w:val="auto"/>
        </w:rPr>
        <w:t xml:space="preserve">of </w:t>
      </w:r>
      <w:r w:rsidR="007C450D" w:rsidRPr="001130EB">
        <w:rPr>
          <w:rFonts w:cs="Times New Roman"/>
          <w:color w:val="auto"/>
        </w:rPr>
        <w:t>the probative value of t</w:t>
      </w:r>
      <w:r w:rsidR="001130EB">
        <w:rPr>
          <w:rFonts w:cs="Times New Roman"/>
          <w:color w:val="auto"/>
        </w:rPr>
        <w:t xml:space="preserve">he various sources of evidence and with due deference to VASRD §4.3 (reasonable doubt), </w:t>
      </w:r>
      <w:r w:rsidR="007C450D" w:rsidRPr="001130EB">
        <w:rPr>
          <w:rFonts w:cs="Times New Roman"/>
          <w:color w:val="auto"/>
        </w:rPr>
        <w:t xml:space="preserve">members agreed that the preponderance of the evidence </w:t>
      </w:r>
      <w:r w:rsidR="00E43790" w:rsidRPr="001130EB">
        <w:rPr>
          <w:rFonts w:cs="Times New Roman"/>
          <w:color w:val="auto"/>
        </w:rPr>
        <w:t xml:space="preserve">was best aligned with the 20% description quoted above; </w:t>
      </w:r>
      <w:r w:rsidR="00E43790" w:rsidRPr="001130EB">
        <w:rPr>
          <w:color w:val="auto"/>
        </w:rPr>
        <w:t xml:space="preserve">and, the Board accordingly can recommend no change in the </w:t>
      </w:r>
      <w:r w:rsidR="00E43790" w:rsidRPr="001130EB">
        <w:rPr>
          <w:rFonts w:eastAsia="Calibri" w:cs="Times New Roman"/>
          <w:color w:val="auto"/>
          <w:szCs w:val="24"/>
        </w:rPr>
        <w:t xml:space="preserve">PEB adjudication of the right shoulder condition. </w:t>
      </w:r>
    </w:p>
    <w:p w:rsidR="00E41C21" w:rsidRPr="001130EB" w:rsidRDefault="001130EB" w:rsidP="001130EB">
      <w:pPr>
        <w:pBdr>
          <w:bottom w:val="single" w:sz="12" w:space="1" w:color="auto"/>
        </w:pBdr>
        <w:tabs>
          <w:tab w:val="left" w:pos="7046"/>
        </w:tabs>
        <w:spacing w:after="120"/>
        <w:jc w:val="both"/>
        <w:rPr>
          <w:color w:val="000000"/>
        </w:rPr>
      </w:pPr>
      <w:r w:rsidRPr="001130EB">
        <w:rPr>
          <w:color w:val="000000"/>
        </w:rPr>
        <w:tab/>
      </w:r>
    </w:p>
    <w:p w:rsidR="00E41C21" w:rsidRPr="001130EB" w:rsidRDefault="00E41C21" w:rsidP="00E41C21">
      <w:pPr>
        <w:jc w:val="both"/>
        <w:rPr>
          <w:rFonts w:eastAsia="Calibri" w:cs="Times New Roman"/>
          <w:color w:val="auto"/>
          <w:szCs w:val="24"/>
        </w:rPr>
      </w:pPr>
      <w:r w:rsidRPr="001130EB">
        <w:rPr>
          <w:color w:val="000000"/>
          <w:u w:val="single"/>
        </w:rPr>
        <w:t>BOARD FINDINGS</w:t>
      </w:r>
      <w:r w:rsidRPr="001130EB">
        <w:rPr>
          <w:color w:val="000000"/>
        </w:rPr>
        <w:t>:  IAW DoDI 6040.44, provisions of DoD or Military Department regulations or guidelines relied upon by the PEB will not be considered by the Board to the extent they were inconsistent with the VASRD in effect at the time of the adjudication</w:t>
      </w:r>
      <w:r w:rsidRPr="001130EB">
        <w:rPr>
          <w:rFonts w:cs="Times New Roman"/>
          <w:color w:val="auto"/>
        </w:rPr>
        <w:t xml:space="preserve">.  The Board did not surmise from the record or PEB ruling in this case that any prerogatives outside the VASRD were exercised.  </w:t>
      </w:r>
      <w:r w:rsidR="00C67A6D" w:rsidRPr="001130EB">
        <w:rPr>
          <w:rFonts w:eastAsia="Calibri" w:cs="Times New Roman"/>
          <w:color w:val="auto"/>
          <w:szCs w:val="24"/>
        </w:rPr>
        <w:t xml:space="preserve">In the matter of the right shoulder condition and IAW VASRD §4.71a, the Board unanimously recommends no change in the PEB adjudication. </w:t>
      </w:r>
      <w:r w:rsidR="001130EB" w:rsidRPr="001130EB">
        <w:rPr>
          <w:rFonts w:eastAsia="Calibri" w:cs="Times New Roman"/>
          <w:color w:val="auto"/>
          <w:szCs w:val="24"/>
        </w:rPr>
        <w:t xml:space="preserve"> </w:t>
      </w:r>
      <w:r w:rsidRPr="001130EB">
        <w:rPr>
          <w:rFonts w:eastAsia="Calibri" w:cs="Times New Roman"/>
          <w:color w:val="auto"/>
          <w:szCs w:val="24"/>
        </w:rPr>
        <w:t>There were no other conditions within the Board’s scope of review for consideration.</w:t>
      </w:r>
    </w:p>
    <w:p w:rsidR="00E41C21" w:rsidRPr="001130EB" w:rsidRDefault="00E41C21" w:rsidP="00E41C21">
      <w:pPr>
        <w:pBdr>
          <w:bottom w:val="single" w:sz="12" w:space="1" w:color="auto"/>
        </w:pBdr>
        <w:tabs>
          <w:tab w:val="left" w:pos="288"/>
          <w:tab w:val="left" w:pos="4752"/>
        </w:tabs>
        <w:jc w:val="both"/>
        <w:rPr>
          <w:color w:val="000000"/>
        </w:rPr>
      </w:pPr>
    </w:p>
    <w:p w:rsidR="00E41C21" w:rsidRPr="001130EB" w:rsidRDefault="00E41C21" w:rsidP="00E41C21">
      <w:pPr>
        <w:jc w:val="left"/>
        <w:rPr>
          <w:color w:val="000000"/>
        </w:rPr>
      </w:pPr>
    </w:p>
    <w:p w:rsidR="00E41C21" w:rsidRPr="001130EB" w:rsidRDefault="00E41C21" w:rsidP="00E41C21">
      <w:pPr>
        <w:jc w:val="left"/>
        <w:rPr>
          <w:color w:val="000000"/>
        </w:rPr>
      </w:pPr>
      <w:r w:rsidRPr="001130EB">
        <w:rPr>
          <w:color w:val="000000"/>
          <w:u w:val="single"/>
        </w:rPr>
        <w:t>RECOMMENDATION</w:t>
      </w:r>
      <w:r w:rsidRPr="001130EB">
        <w:rPr>
          <w:color w:val="000000"/>
        </w:rPr>
        <w:t>: The Board, therefore, recommends that there be no recharacterization of the CI’s disability and separation determination, as follows:</w:t>
      </w:r>
    </w:p>
    <w:p w:rsidR="00E41C21" w:rsidRPr="001130EB" w:rsidRDefault="00E41C21" w:rsidP="00E41C21">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E41C21" w:rsidRPr="001130EB" w:rsidTr="00D64A61">
        <w:trPr>
          <w:trHeight w:val="233"/>
          <w:jc w:val="center"/>
        </w:trPr>
        <w:tc>
          <w:tcPr>
            <w:tcW w:w="6768" w:type="dxa"/>
            <w:shd w:val="clear" w:color="auto" w:fill="D9D9D9"/>
            <w:vAlign w:val="center"/>
          </w:tcPr>
          <w:p w:rsidR="00E41C21" w:rsidRPr="001130EB" w:rsidRDefault="00E41C21" w:rsidP="00D64A61">
            <w:pPr>
              <w:tabs>
                <w:tab w:val="left" w:pos="288"/>
                <w:tab w:val="left" w:pos="4752"/>
              </w:tabs>
              <w:rPr>
                <w:b/>
                <w:color w:val="000000"/>
              </w:rPr>
            </w:pPr>
            <w:r w:rsidRPr="001130EB">
              <w:rPr>
                <w:b/>
                <w:color w:val="000000"/>
              </w:rPr>
              <w:t>UNFITTING CONDITION</w:t>
            </w:r>
          </w:p>
        </w:tc>
        <w:tc>
          <w:tcPr>
            <w:tcW w:w="1530" w:type="dxa"/>
            <w:shd w:val="clear" w:color="auto" w:fill="D9D9D9"/>
            <w:vAlign w:val="center"/>
          </w:tcPr>
          <w:p w:rsidR="00E41C21" w:rsidRPr="001130EB" w:rsidRDefault="00E41C21" w:rsidP="00D64A61">
            <w:pPr>
              <w:tabs>
                <w:tab w:val="left" w:pos="288"/>
                <w:tab w:val="left" w:pos="4752"/>
              </w:tabs>
              <w:rPr>
                <w:b/>
                <w:color w:val="000000"/>
              </w:rPr>
            </w:pPr>
            <w:r w:rsidRPr="001130EB">
              <w:rPr>
                <w:b/>
                <w:color w:val="000000"/>
              </w:rPr>
              <w:t>VASRD CODE</w:t>
            </w:r>
          </w:p>
        </w:tc>
        <w:tc>
          <w:tcPr>
            <w:tcW w:w="1026" w:type="dxa"/>
            <w:shd w:val="clear" w:color="auto" w:fill="D9D9D9"/>
            <w:vAlign w:val="center"/>
          </w:tcPr>
          <w:p w:rsidR="00E41C21" w:rsidRPr="001130EB" w:rsidRDefault="00E41C21" w:rsidP="00D64A61">
            <w:pPr>
              <w:tabs>
                <w:tab w:val="left" w:pos="288"/>
                <w:tab w:val="left" w:pos="4752"/>
              </w:tabs>
              <w:rPr>
                <w:b/>
                <w:color w:val="000000"/>
              </w:rPr>
            </w:pPr>
            <w:r w:rsidRPr="001130EB">
              <w:rPr>
                <w:b/>
                <w:color w:val="000000"/>
              </w:rPr>
              <w:t>RATING</w:t>
            </w:r>
          </w:p>
        </w:tc>
      </w:tr>
      <w:tr w:rsidR="00E41C21" w:rsidRPr="001130EB" w:rsidTr="00D64A61">
        <w:trPr>
          <w:jc w:val="center"/>
        </w:trPr>
        <w:tc>
          <w:tcPr>
            <w:tcW w:w="6768" w:type="dxa"/>
            <w:vAlign w:val="center"/>
          </w:tcPr>
          <w:p w:rsidR="00E41C21" w:rsidRPr="001130EB" w:rsidRDefault="00C67A6D" w:rsidP="00C67A6D">
            <w:pPr>
              <w:tabs>
                <w:tab w:val="left" w:pos="288"/>
                <w:tab w:val="left" w:pos="4752"/>
              </w:tabs>
              <w:jc w:val="left"/>
              <w:rPr>
                <w:color w:val="000000"/>
              </w:rPr>
            </w:pPr>
            <w:r w:rsidRPr="001130EB">
              <w:rPr>
                <w:color w:val="000000"/>
              </w:rPr>
              <w:t>Right Shoulder Instability</w:t>
            </w:r>
          </w:p>
        </w:tc>
        <w:tc>
          <w:tcPr>
            <w:tcW w:w="1530" w:type="dxa"/>
            <w:vAlign w:val="center"/>
          </w:tcPr>
          <w:p w:rsidR="00E41C21" w:rsidRPr="001130EB" w:rsidRDefault="00C67A6D" w:rsidP="00D64A61">
            <w:pPr>
              <w:tabs>
                <w:tab w:val="left" w:pos="288"/>
                <w:tab w:val="left" w:pos="4752"/>
              </w:tabs>
              <w:rPr>
                <w:color w:val="000000"/>
              </w:rPr>
            </w:pPr>
            <w:r w:rsidRPr="001130EB">
              <w:rPr>
                <w:color w:val="000000"/>
              </w:rPr>
              <w:t>5202</w:t>
            </w:r>
          </w:p>
        </w:tc>
        <w:tc>
          <w:tcPr>
            <w:tcW w:w="1026" w:type="dxa"/>
            <w:vAlign w:val="center"/>
          </w:tcPr>
          <w:p w:rsidR="00E41C21" w:rsidRPr="001130EB" w:rsidRDefault="00C67A6D" w:rsidP="001130EB">
            <w:pPr>
              <w:tabs>
                <w:tab w:val="left" w:pos="288"/>
                <w:tab w:val="left" w:pos="4752"/>
              </w:tabs>
              <w:rPr>
                <w:color w:val="000000"/>
              </w:rPr>
            </w:pPr>
            <w:r w:rsidRPr="001130EB">
              <w:rPr>
                <w:color w:val="000000"/>
              </w:rPr>
              <w:t>20</w:t>
            </w:r>
            <w:r w:rsidR="00E41C21" w:rsidRPr="001130EB">
              <w:rPr>
                <w:color w:val="000000"/>
              </w:rPr>
              <w:t>%</w:t>
            </w:r>
          </w:p>
        </w:tc>
      </w:tr>
      <w:tr w:rsidR="00E41C21" w:rsidRPr="000D5DBE" w:rsidTr="00D64A61">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E41C21" w:rsidRPr="001130EB" w:rsidRDefault="00E41C21" w:rsidP="00D64A61">
            <w:pPr>
              <w:tabs>
                <w:tab w:val="left" w:pos="288"/>
                <w:tab w:val="left" w:pos="4752"/>
              </w:tabs>
              <w:rPr>
                <w:b/>
                <w:color w:val="000000"/>
              </w:rPr>
            </w:pPr>
            <w:r w:rsidRPr="001130EB">
              <w:rPr>
                <w:b/>
                <w:color w:val="000000"/>
              </w:rPr>
              <w:t>COMBINED</w:t>
            </w:r>
          </w:p>
        </w:tc>
        <w:tc>
          <w:tcPr>
            <w:tcW w:w="1026" w:type="dxa"/>
            <w:shd w:val="clear" w:color="auto" w:fill="D9D9D9"/>
            <w:vAlign w:val="center"/>
          </w:tcPr>
          <w:p w:rsidR="00E41C21" w:rsidRPr="000D5DBE" w:rsidRDefault="00C67A6D" w:rsidP="001130EB">
            <w:pPr>
              <w:tabs>
                <w:tab w:val="left" w:pos="288"/>
                <w:tab w:val="left" w:pos="4752"/>
              </w:tabs>
              <w:rPr>
                <w:b/>
                <w:color w:val="000000"/>
              </w:rPr>
            </w:pPr>
            <w:r w:rsidRPr="001130EB">
              <w:rPr>
                <w:b/>
                <w:color w:val="000000"/>
              </w:rPr>
              <w:t>20</w:t>
            </w:r>
            <w:r w:rsidR="00E41C21" w:rsidRPr="001130EB">
              <w:rPr>
                <w:b/>
                <w:color w:val="000000"/>
              </w:rPr>
              <w:t>%</w:t>
            </w:r>
          </w:p>
        </w:tc>
      </w:tr>
    </w:tbl>
    <w:p w:rsidR="00E41C21" w:rsidRPr="001F29F9" w:rsidRDefault="00E41C21" w:rsidP="00E41C21">
      <w:pPr>
        <w:pBdr>
          <w:bottom w:val="single" w:sz="12" w:space="1" w:color="auto"/>
        </w:pBdr>
        <w:tabs>
          <w:tab w:val="left" w:pos="288"/>
          <w:tab w:val="left" w:pos="4752"/>
        </w:tabs>
        <w:jc w:val="both"/>
        <w:rPr>
          <w:color w:val="000000"/>
        </w:rPr>
      </w:pPr>
    </w:p>
    <w:p w:rsidR="00E41C21" w:rsidRPr="001F29F9" w:rsidRDefault="00E41C21" w:rsidP="00E41C21">
      <w:pPr>
        <w:rPr>
          <w:color w:val="000000"/>
        </w:rPr>
      </w:pPr>
    </w:p>
    <w:p w:rsidR="00E41C21" w:rsidRDefault="00E41C21" w:rsidP="00E41C21">
      <w:pPr>
        <w:tabs>
          <w:tab w:val="left" w:pos="288"/>
          <w:tab w:val="left" w:pos="4752"/>
        </w:tabs>
        <w:jc w:val="both"/>
        <w:rPr>
          <w:color w:val="000000"/>
        </w:rPr>
      </w:pPr>
      <w:r w:rsidRPr="001F29F9">
        <w:rPr>
          <w:color w:val="000000"/>
        </w:rPr>
        <w:t>The following documentary evidence was considered:</w:t>
      </w: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r w:rsidRPr="001F29F9">
        <w:rPr>
          <w:color w:val="000000"/>
        </w:rPr>
        <w:t xml:space="preserve">Exhibit A.  DD Form 294, dated </w:t>
      </w:r>
      <w:r w:rsidR="008B3681" w:rsidRPr="003B2270">
        <w:rPr>
          <w:color w:val="auto"/>
        </w:rPr>
        <w:t>20111109</w:t>
      </w:r>
      <w:r w:rsidRPr="001F29F9">
        <w:rPr>
          <w:color w:val="000000"/>
        </w:rPr>
        <w:t>, w/atchs.</w:t>
      </w:r>
    </w:p>
    <w:p w:rsidR="00E41C21" w:rsidRPr="001F29F9" w:rsidRDefault="00E41C21" w:rsidP="00E41C21">
      <w:pPr>
        <w:tabs>
          <w:tab w:val="left" w:pos="288"/>
          <w:tab w:val="left" w:pos="4752"/>
        </w:tabs>
        <w:jc w:val="both"/>
        <w:rPr>
          <w:color w:val="000000"/>
        </w:rPr>
      </w:pPr>
      <w:r w:rsidRPr="001F29F9">
        <w:rPr>
          <w:color w:val="000000"/>
        </w:rPr>
        <w:t>Exhibit B.  Service Treatment Record.</w:t>
      </w:r>
    </w:p>
    <w:p w:rsidR="00E41C21" w:rsidRPr="001F29F9" w:rsidRDefault="00E41C21" w:rsidP="00E41C21">
      <w:pPr>
        <w:tabs>
          <w:tab w:val="left" w:pos="288"/>
          <w:tab w:val="left" w:pos="4752"/>
        </w:tabs>
        <w:jc w:val="both"/>
        <w:rPr>
          <w:color w:val="000000"/>
        </w:rPr>
      </w:pPr>
      <w:r w:rsidRPr="001F29F9">
        <w:rPr>
          <w:color w:val="000000"/>
        </w:rPr>
        <w:t>Exhibit C.  Department of Veterans Affairs Treatment Record.</w:t>
      </w: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0"/>
          <w:tab w:val="left" w:pos="4320"/>
        </w:tabs>
        <w:jc w:val="both"/>
        <w:rPr>
          <w:color w:val="000000"/>
        </w:rPr>
      </w:pPr>
      <w:r w:rsidRPr="001F29F9">
        <w:rPr>
          <w:color w:val="000000"/>
        </w:rPr>
        <w:tab/>
        <w:t xml:space="preserve">           </w:t>
      </w:r>
      <w:r w:rsidR="003E62F7">
        <w:rPr>
          <w:color w:val="000000"/>
        </w:rPr>
        <w:t>XXXXXXXXXXXXXXXXXXXX</w:t>
      </w:r>
    </w:p>
    <w:p w:rsidR="00E41C21" w:rsidRPr="001F29F9" w:rsidRDefault="00E41C21" w:rsidP="00E41C21">
      <w:pPr>
        <w:tabs>
          <w:tab w:val="left" w:pos="0"/>
          <w:tab w:val="left" w:pos="4320"/>
        </w:tabs>
        <w:jc w:val="both"/>
        <w:rPr>
          <w:color w:val="000000"/>
        </w:rPr>
      </w:pPr>
      <w:r w:rsidRPr="001F29F9">
        <w:rPr>
          <w:color w:val="000000"/>
        </w:rPr>
        <w:tab/>
        <w:t xml:space="preserve">           President</w:t>
      </w:r>
    </w:p>
    <w:p w:rsidR="00DC0D01" w:rsidRPr="00DC0D01" w:rsidRDefault="00E41C21" w:rsidP="00AC0732">
      <w:pPr>
        <w:tabs>
          <w:tab w:val="left" w:pos="0"/>
          <w:tab w:val="left" w:pos="4320"/>
        </w:tabs>
        <w:jc w:val="both"/>
        <w:rPr>
          <w:rFonts w:ascii="Janson Text" w:hAnsi="Janson Text" w:cs="Times New Roman"/>
          <w:color w:val="auto"/>
          <w:szCs w:val="24"/>
        </w:rPr>
      </w:pPr>
      <w:r w:rsidRPr="001F29F9">
        <w:rPr>
          <w:color w:val="000000"/>
        </w:rPr>
        <w:tab/>
        <w:t xml:space="preserve">           Physical Disability Board of Review</w:t>
      </w:r>
    </w:p>
    <w:p w:rsidR="003E62F7" w:rsidRDefault="003E62F7" w:rsidP="00DC0D01">
      <w:pPr>
        <w:jc w:val="both"/>
        <w:rPr>
          <w:rFonts w:eastAsia="Calibri" w:cs="Times New Roman"/>
          <w:color w:val="auto"/>
          <w:szCs w:val="24"/>
        </w:rPr>
      </w:pPr>
    </w:p>
    <w:p w:rsidR="003E62F7" w:rsidRDefault="003E62F7">
      <w:pPr>
        <w:spacing w:line="240" w:lineRule="auto"/>
        <w:jc w:val="left"/>
        <w:rPr>
          <w:rFonts w:eastAsia="Calibri" w:cs="Times New Roman"/>
          <w:color w:val="auto"/>
          <w:szCs w:val="24"/>
        </w:rPr>
      </w:pPr>
      <w:r>
        <w:rPr>
          <w:rFonts w:eastAsia="Calibri" w:cs="Times New Roman"/>
          <w:color w:val="auto"/>
          <w:szCs w:val="24"/>
        </w:rPr>
        <w:br w:type="page"/>
      </w:r>
    </w:p>
    <w:p w:rsidR="003E62F7" w:rsidRDefault="003E62F7" w:rsidP="003E62F7">
      <w:pPr>
        <w:sectPr w:rsidR="003E62F7">
          <w:pgSz w:w="12240" w:h="15840"/>
          <w:pgMar w:top="2160" w:right="1440" w:bottom="1440" w:left="1440" w:header="720" w:footer="720" w:gutter="0"/>
          <w:cols w:space="720"/>
        </w:sectPr>
      </w:pPr>
    </w:p>
    <w:p w:rsidR="003E62F7" w:rsidRDefault="003E62F7" w:rsidP="003E62F7">
      <w:pPr>
        <w:pStyle w:val="Header"/>
        <w:tabs>
          <w:tab w:val="left" w:pos="720"/>
        </w:tabs>
        <w:jc w:val="left"/>
      </w:pPr>
      <w:r>
        <w:lastRenderedPageBreak/>
        <w:t>SFMR-RB</w:t>
      </w:r>
      <w:r>
        <w:tab/>
      </w:r>
      <w:r>
        <w:tab/>
      </w:r>
      <w:r>
        <w:tab/>
      </w:r>
      <w:r>
        <w:tab/>
      </w:r>
      <w:r>
        <w:tab/>
      </w:r>
      <w:r>
        <w:tab/>
      </w:r>
      <w:r>
        <w:tab/>
      </w:r>
      <w:r>
        <w:tab/>
      </w:r>
      <w:r>
        <w:tab/>
      </w:r>
    </w:p>
    <w:p w:rsidR="003E62F7" w:rsidRDefault="003E62F7" w:rsidP="003E62F7">
      <w:pPr>
        <w:pStyle w:val="Header"/>
        <w:tabs>
          <w:tab w:val="left" w:pos="720"/>
        </w:tabs>
        <w:jc w:val="left"/>
      </w:pPr>
    </w:p>
    <w:p w:rsidR="003E62F7" w:rsidRDefault="003E62F7" w:rsidP="003E62F7">
      <w:pPr>
        <w:jc w:val="left"/>
      </w:pPr>
    </w:p>
    <w:p w:rsidR="003E62F7" w:rsidRDefault="003E62F7" w:rsidP="003E62F7">
      <w:pPr>
        <w:jc w:val="left"/>
      </w:pPr>
      <w:r>
        <w:t xml:space="preserve">MEMORANDUM FOR Commander, US Army Physical Disability Agency </w:t>
      </w:r>
    </w:p>
    <w:p w:rsidR="003E62F7" w:rsidRDefault="003E62F7" w:rsidP="003E62F7">
      <w:pPr>
        <w:jc w:val="left"/>
      </w:pPr>
      <w:r>
        <w:t xml:space="preserve">(TAPD-ZB </w:t>
      </w:r>
      <w:proofErr w:type="gramStart"/>
      <w:r>
        <w:t>/  )</w:t>
      </w:r>
      <w:proofErr w:type="gramEnd"/>
      <w:r>
        <w:t>, 2900 Crystal Drive, Suite 300, Arlington, VA  22202-3557</w:t>
      </w:r>
    </w:p>
    <w:p w:rsidR="003E62F7" w:rsidRDefault="003E62F7" w:rsidP="003E62F7">
      <w:pPr>
        <w:jc w:val="left"/>
      </w:pPr>
    </w:p>
    <w:p w:rsidR="003E62F7" w:rsidRDefault="003E62F7" w:rsidP="003E62F7">
      <w:pPr>
        <w:ind w:right="-180"/>
        <w:jc w:val="left"/>
      </w:pPr>
      <w:r>
        <w:t>SUBJECT:  Department of Defense Physical Disability Board of Review Recommendation for XXXXXXXXXXXXXXXXXX, AR20120019262 (PD201101052)</w:t>
      </w:r>
    </w:p>
    <w:p w:rsidR="003E62F7" w:rsidRDefault="003E62F7" w:rsidP="003E62F7">
      <w:pPr>
        <w:pStyle w:val="Header"/>
        <w:tabs>
          <w:tab w:val="left" w:pos="720"/>
        </w:tabs>
        <w:jc w:val="left"/>
      </w:pPr>
    </w:p>
    <w:p w:rsidR="003E62F7" w:rsidRDefault="003E62F7" w:rsidP="003E62F7">
      <w:pPr>
        <w:jc w:val="left"/>
      </w:pPr>
    </w:p>
    <w:p w:rsidR="003E62F7" w:rsidRDefault="003E62F7" w:rsidP="003E62F7">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3E62F7" w:rsidRDefault="003E62F7" w:rsidP="003E62F7">
      <w:pPr>
        <w:jc w:val="left"/>
      </w:pPr>
      <w:r>
        <w:t>This decision is final.  The individual concerned, counsel (if any), and any Members of Congress who have shown interest in this application have been notified of this decision by mail.</w:t>
      </w:r>
    </w:p>
    <w:p w:rsidR="003E62F7" w:rsidRDefault="003E62F7" w:rsidP="003E62F7">
      <w:pPr>
        <w:jc w:val="left"/>
      </w:pPr>
    </w:p>
    <w:p w:rsidR="003E62F7" w:rsidRDefault="003E62F7" w:rsidP="003E62F7">
      <w:pPr>
        <w:jc w:val="left"/>
      </w:pPr>
      <w:r>
        <w:t xml:space="preserve"> BY ORDER OF THE SECRETARY OF THE ARMY:</w:t>
      </w:r>
    </w:p>
    <w:p w:rsidR="003E62F7" w:rsidRDefault="003E62F7" w:rsidP="003E62F7">
      <w:pPr>
        <w:jc w:val="left"/>
      </w:pPr>
    </w:p>
    <w:p w:rsidR="003E62F7" w:rsidRDefault="003E62F7" w:rsidP="003E62F7">
      <w:pPr>
        <w:jc w:val="left"/>
      </w:pPr>
    </w:p>
    <w:p w:rsidR="003E62F7" w:rsidRDefault="003E62F7" w:rsidP="003E62F7">
      <w:pPr>
        <w:pStyle w:val="Header"/>
        <w:tabs>
          <w:tab w:val="left" w:pos="720"/>
        </w:tabs>
        <w:jc w:val="left"/>
      </w:pPr>
    </w:p>
    <w:p w:rsidR="003E62F7" w:rsidRDefault="003E62F7" w:rsidP="003E62F7">
      <w:pPr>
        <w:jc w:val="left"/>
      </w:pPr>
    </w:p>
    <w:p w:rsidR="003E62F7" w:rsidRDefault="003E62F7" w:rsidP="003E62F7">
      <w:pPr>
        <w:jc w:val="left"/>
      </w:pPr>
      <w:bookmarkStart w:id="1" w:name="OLE_LINK4"/>
      <w:bookmarkStart w:id="2" w:name="OLE_LINK3"/>
      <w:r>
        <w:t>Encl</w:t>
      </w:r>
      <w:r>
        <w:tab/>
      </w:r>
      <w:r>
        <w:tab/>
      </w:r>
      <w:r>
        <w:tab/>
      </w:r>
      <w:r>
        <w:tab/>
      </w:r>
      <w:r>
        <w:tab/>
      </w:r>
      <w:r>
        <w:tab/>
        <w:t xml:space="preserve">     XXXXXXXXXXXXXXXXXXX</w:t>
      </w:r>
    </w:p>
    <w:p w:rsidR="003E62F7" w:rsidRDefault="003E62F7" w:rsidP="003E62F7">
      <w:pPr>
        <w:jc w:val="left"/>
      </w:pPr>
      <w:r>
        <w:tab/>
      </w:r>
      <w:r>
        <w:tab/>
      </w:r>
      <w:r>
        <w:tab/>
      </w:r>
      <w:r>
        <w:tab/>
      </w:r>
      <w:r>
        <w:tab/>
      </w:r>
      <w:r>
        <w:tab/>
        <w:t xml:space="preserve">     Deputy Assistant Secretary</w:t>
      </w:r>
    </w:p>
    <w:p w:rsidR="003E62F7" w:rsidRDefault="003E62F7" w:rsidP="003E62F7">
      <w:pPr>
        <w:jc w:val="left"/>
      </w:pPr>
      <w:r>
        <w:tab/>
      </w:r>
      <w:r>
        <w:tab/>
      </w:r>
      <w:r>
        <w:tab/>
      </w:r>
      <w:r>
        <w:tab/>
      </w:r>
      <w:r>
        <w:tab/>
      </w:r>
      <w:r>
        <w:tab/>
        <w:t xml:space="preserve">         (Army Review Boards)</w:t>
      </w:r>
      <w:bookmarkEnd w:id="1"/>
      <w:bookmarkEnd w:id="2"/>
    </w:p>
    <w:p w:rsidR="003E62F7" w:rsidRDefault="003E62F7" w:rsidP="003E62F7">
      <w:pPr>
        <w:jc w:val="left"/>
      </w:pPr>
    </w:p>
    <w:p w:rsidR="003E62F7" w:rsidRDefault="003E62F7" w:rsidP="003E62F7">
      <w:pPr>
        <w:jc w:val="left"/>
      </w:pPr>
      <w:r>
        <w:t xml:space="preserve">CF: </w:t>
      </w:r>
    </w:p>
    <w:p w:rsidR="003E62F7" w:rsidRDefault="003E62F7" w:rsidP="003E62F7">
      <w:pPr>
        <w:jc w:val="left"/>
      </w:pPr>
      <w:r>
        <w:t xml:space="preserve">(  ) </w:t>
      </w:r>
      <w:proofErr w:type="spellStart"/>
      <w:proofErr w:type="gramStart"/>
      <w:r>
        <w:t>DoD</w:t>
      </w:r>
      <w:proofErr w:type="spellEnd"/>
      <w:proofErr w:type="gramEnd"/>
      <w:r>
        <w:t xml:space="preserve"> PDBR</w:t>
      </w:r>
    </w:p>
    <w:p w:rsidR="003E62F7" w:rsidRDefault="003E62F7" w:rsidP="003E62F7">
      <w:pPr>
        <w:jc w:val="left"/>
      </w:pPr>
      <w:r>
        <w:t>(  ) DVA</w:t>
      </w:r>
    </w:p>
    <w:p w:rsidR="003E62F7" w:rsidRDefault="003E62F7" w:rsidP="003E62F7">
      <w:pPr>
        <w:jc w:val="left"/>
      </w:pPr>
    </w:p>
    <w:p w:rsidR="00FE7EB9" w:rsidRPr="006235F5" w:rsidRDefault="00FE7EB9" w:rsidP="003E62F7">
      <w:pPr>
        <w:jc w:val="left"/>
        <w:rPr>
          <w:rFonts w:eastAsia="Calibri" w:cs="Times New Roman"/>
          <w:color w:val="auto"/>
          <w:szCs w:val="24"/>
        </w:rPr>
      </w:pPr>
    </w:p>
    <w:sectPr w:rsidR="00FE7EB9"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ABC" w:rsidRDefault="009A0ABC">
      <w:r>
        <w:separator/>
      </w:r>
    </w:p>
  </w:endnote>
  <w:endnote w:type="continuationSeparator" w:id="0">
    <w:p w:rsidR="009A0ABC" w:rsidRDefault="009A0A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Janson Tex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r w:rsidR="002F1A36" w:rsidRPr="002F1A36">
      <w:fldChar w:fldCharType="begin"/>
    </w:r>
    <w:r w:rsidR="009A0ABC">
      <w:instrText xml:space="preserve"> PAGE   \* MERGEFORMAT </w:instrText>
    </w:r>
    <w:r w:rsidR="002F1A36" w:rsidRPr="002F1A36">
      <w:fldChar w:fldCharType="separate"/>
    </w:r>
    <w:r w:rsidR="003E62F7" w:rsidRPr="003E62F7">
      <w:rPr>
        <w:noProof/>
        <w:color w:val="auto"/>
      </w:rPr>
      <w:t>4</w:t>
    </w:r>
    <w:r w:rsidR="002F1A36">
      <w:rPr>
        <w:noProof/>
        <w:color w:val="auto"/>
      </w:rPr>
      <w:fldChar w:fldCharType="end"/>
    </w:r>
    <w:r w:rsidRPr="00374247">
      <w:rPr>
        <w:color w:val="auto"/>
      </w:rPr>
      <w:t xml:space="preserve">                                                           </w:t>
    </w:r>
    <w:r w:rsidRPr="001D64F3">
      <w:rPr>
        <w:color w:val="auto"/>
      </w:rPr>
      <w:t>PD1</w:t>
    </w:r>
    <w:r w:rsidR="008B3681">
      <w:rPr>
        <w:color w:val="auto"/>
      </w:rPr>
      <w:t>101052</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ABC" w:rsidRDefault="009A0ABC">
      <w:r>
        <w:separator/>
      </w:r>
    </w:p>
  </w:footnote>
  <w:footnote w:type="continuationSeparator" w:id="0">
    <w:p w:rsidR="009A0ABC" w:rsidRDefault="009A0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88D"/>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28FC"/>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0EB"/>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7F"/>
    <w:rsid w:val="001A08CD"/>
    <w:rsid w:val="001A0A1E"/>
    <w:rsid w:val="001A2182"/>
    <w:rsid w:val="001A323E"/>
    <w:rsid w:val="001A3A20"/>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6C58"/>
    <w:rsid w:val="001D7A56"/>
    <w:rsid w:val="001E15C0"/>
    <w:rsid w:val="001E18E0"/>
    <w:rsid w:val="001E18E2"/>
    <w:rsid w:val="001E19D0"/>
    <w:rsid w:val="001E2A30"/>
    <w:rsid w:val="001E2FF1"/>
    <w:rsid w:val="001E33A4"/>
    <w:rsid w:val="001E3FE1"/>
    <w:rsid w:val="001E41FE"/>
    <w:rsid w:val="001E4989"/>
    <w:rsid w:val="001E635C"/>
    <w:rsid w:val="001E6A77"/>
    <w:rsid w:val="001F0297"/>
    <w:rsid w:val="001F0A22"/>
    <w:rsid w:val="001F29F9"/>
    <w:rsid w:val="001F6E0B"/>
    <w:rsid w:val="00200AA0"/>
    <w:rsid w:val="00202325"/>
    <w:rsid w:val="00202459"/>
    <w:rsid w:val="00202736"/>
    <w:rsid w:val="00202D1C"/>
    <w:rsid w:val="00203652"/>
    <w:rsid w:val="00204562"/>
    <w:rsid w:val="00205B4F"/>
    <w:rsid w:val="002060B6"/>
    <w:rsid w:val="002066B5"/>
    <w:rsid w:val="00207438"/>
    <w:rsid w:val="00210EAC"/>
    <w:rsid w:val="00211612"/>
    <w:rsid w:val="002119B6"/>
    <w:rsid w:val="00212389"/>
    <w:rsid w:val="002129C1"/>
    <w:rsid w:val="00212B40"/>
    <w:rsid w:val="002137C4"/>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2D8"/>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36"/>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BB6"/>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07BF"/>
    <w:rsid w:val="003C2441"/>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E62F7"/>
    <w:rsid w:val="003F070E"/>
    <w:rsid w:val="003F1206"/>
    <w:rsid w:val="003F2418"/>
    <w:rsid w:val="003F28DB"/>
    <w:rsid w:val="003F2EEE"/>
    <w:rsid w:val="003F44FD"/>
    <w:rsid w:val="003F491E"/>
    <w:rsid w:val="003F5871"/>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09E2"/>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BBA"/>
    <w:rsid w:val="00466CED"/>
    <w:rsid w:val="00466EB5"/>
    <w:rsid w:val="004671AC"/>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25DF"/>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A42"/>
    <w:rsid w:val="00534D42"/>
    <w:rsid w:val="005350A5"/>
    <w:rsid w:val="00536379"/>
    <w:rsid w:val="00537238"/>
    <w:rsid w:val="005400C5"/>
    <w:rsid w:val="005404CD"/>
    <w:rsid w:val="00540BE0"/>
    <w:rsid w:val="00540BEF"/>
    <w:rsid w:val="00542022"/>
    <w:rsid w:val="00542B34"/>
    <w:rsid w:val="00542C9A"/>
    <w:rsid w:val="005433FF"/>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57A2C"/>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5F32"/>
    <w:rsid w:val="00576718"/>
    <w:rsid w:val="0058039C"/>
    <w:rsid w:val="00580A63"/>
    <w:rsid w:val="005830B1"/>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1D67"/>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2790"/>
    <w:rsid w:val="0062359D"/>
    <w:rsid w:val="006235F5"/>
    <w:rsid w:val="00623634"/>
    <w:rsid w:val="00624740"/>
    <w:rsid w:val="00624D0C"/>
    <w:rsid w:val="00626902"/>
    <w:rsid w:val="00626A0F"/>
    <w:rsid w:val="006274B4"/>
    <w:rsid w:val="006307BA"/>
    <w:rsid w:val="006315BA"/>
    <w:rsid w:val="006315CB"/>
    <w:rsid w:val="00634178"/>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122"/>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108"/>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73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463"/>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1C"/>
    <w:rsid w:val="007165CE"/>
    <w:rsid w:val="00716D85"/>
    <w:rsid w:val="00717CEB"/>
    <w:rsid w:val="0072035D"/>
    <w:rsid w:val="00720968"/>
    <w:rsid w:val="00721705"/>
    <w:rsid w:val="00721B7A"/>
    <w:rsid w:val="00721D12"/>
    <w:rsid w:val="00721F8B"/>
    <w:rsid w:val="007236E0"/>
    <w:rsid w:val="007237CE"/>
    <w:rsid w:val="00724619"/>
    <w:rsid w:val="00724688"/>
    <w:rsid w:val="00724916"/>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61C7"/>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6A"/>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B72"/>
    <w:rsid w:val="007A5AD1"/>
    <w:rsid w:val="007A5B7B"/>
    <w:rsid w:val="007A65A9"/>
    <w:rsid w:val="007A7FD8"/>
    <w:rsid w:val="007B0128"/>
    <w:rsid w:val="007B0635"/>
    <w:rsid w:val="007B0A06"/>
    <w:rsid w:val="007B0B24"/>
    <w:rsid w:val="007B0F8B"/>
    <w:rsid w:val="007B1154"/>
    <w:rsid w:val="007B1C83"/>
    <w:rsid w:val="007B4181"/>
    <w:rsid w:val="007B4FCA"/>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50D"/>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7F5D2B"/>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5A69"/>
    <w:rsid w:val="008165D5"/>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170"/>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5DF8"/>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681"/>
    <w:rsid w:val="008B3AF2"/>
    <w:rsid w:val="008B446D"/>
    <w:rsid w:val="008B4D03"/>
    <w:rsid w:val="008B515D"/>
    <w:rsid w:val="008B5D31"/>
    <w:rsid w:val="008B6705"/>
    <w:rsid w:val="008C22F3"/>
    <w:rsid w:val="008C3223"/>
    <w:rsid w:val="008C3FD0"/>
    <w:rsid w:val="008C4F01"/>
    <w:rsid w:val="008C5152"/>
    <w:rsid w:val="008C710E"/>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ABC"/>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5CA6"/>
    <w:rsid w:val="009B6023"/>
    <w:rsid w:val="009B69D3"/>
    <w:rsid w:val="009B721E"/>
    <w:rsid w:val="009B7BA7"/>
    <w:rsid w:val="009B7C01"/>
    <w:rsid w:val="009C0938"/>
    <w:rsid w:val="009C0C22"/>
    <w:rsid w:val="009C12A1"/>
    <w:rsid w:val="009C15D9"/>
    <w:rsid w:val="009C1874"/>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E7F51"/>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515"/>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535"/>
    <w:rsid w:val="00AB062D"/>
    <w:rsid w:val="00AB0A8A"/>
    <w:rsid w:val="00AB1754"/>
    <w:rsid w:val="00AB1F8D"/>
    <w:rsid w:val="00AB27DD"/>
    <w:rsid w:val="00AB3E9E"/>
    <w:rsid w:val="00AB4BA4"/>
    <w:rsid w:val="00AB592E"/>
    <w:rsid w:val="00AC0732"/>
    <w:rsid w:val="00AC0C1C"/>
    <w:rsid w:val="00AC1305"/>
    <w:rsid w:val="00AC25DD"/>
    <w:rsid w:val="00AC37BE"/>
    <w:rsid w:val="00AC3870"/>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219"/>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206"/>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D22"/>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610"/>
    <w:rsid w:val="00BA1824"/>
    <w:rsid w:val="00BA2D98"/>
    <w:rsid w:val="00BA2F0C"/>
    <w:rsid w:val="00BA30D1"/>
    <w:rsid w:val="00BA30E1"/>
    <w:rsid w:val="00BA38FA"/>
    <w:rsid w:val="00BA4609"/>
    <w:rsid w:val="00BA5BE2"/>
    <w:rsid w:val="00BA60FC"/>
    <w:rsid w:val="00BA6A9C"/>
    <w:rsid w:val="00BA7F46"/>
    <w:rsid w:val="00BB0388"/>
    <w:rsid w:val="00BB0A0A"/>
    <w:rsid w:val="00BB133C"/>
    <w:rsid w:val="00BB1F04"/>
    <w:rsid w:val="00BB41E5"/>
    <w:rsid w:val="00BB45B5"/>
    <w:rsid w:val="00BB4B8C"/>
    <w:rsid w:val="00BB4C6A"/>
    <w:rsid w:val="00BB4DDE"/>
    <w:rsid w:val="00BB5F68"/>
    <w:rsid w:val="00BB6064"/>
    <w:rsid w:val="00BB65CE"/>
    <w:rsid w:val="00BB7012"/>
    <w:rsid w:val="00BC09D1"/>
    <w:rsid w:val="00BC10C6"/>
    <w:rsid w:val="00BC1CF3"/>
    <w:rsid w:val="00BC2BE0"/>
    <w:rsid w:val="00BC3573"/>
    <w:rsid w:val="00BC3797"/>
    <w:rsid w:val="00BC5496"/>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6ABB"/>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67A6D"/>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1253"/>
    <w:rsid w:val="00CC19B3"/>
    <w:rsid w:val="00CC2044"/>
    <w:rsid w:val="00CC39D2"/>
    <w:rsid w:val="00CC4474"/>
    <w:rsid w:val="00CC55D6"/>
    <w:rsid w:val="00CC59B4"/>
    <w:rsid w:val="00CC66BC"/>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0912"/>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B3F"/>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B78A0"/>
    <w:rsid w:val="00DC07B7"/>
    <w:rsid w:val="00DC0BF1"/>
    <w:rsid w:val="00DC0D0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0D1"/>
    <w:rsid w:val="00E36080"/>
    <w:rsid w:val="00E362D2"/>
    <w:rsid w:val="00E36D76"/>
    <w:rsid w:val="00E40478"/>
    <w:rsid w:val="00E405EA"/>
    <w:rsid w:val="00E408B7"/>
    <w:rsid w:val="00E412EB"/>
    <w:rsid w:val="00E41637"/>
    <w:rsid w:val="00E41C21"/>
    <w:rsid w:val="00E42789"/>
    <w:rsid w:val="00E43790"/>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2EB8"/>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4DE"/>
    <w:rsid w:val="00E82B6D"/>
    <w:rsid w:val="00E83187"/>
    <w:rsid w:val="00E831E9"/>
    <w:rsid w:val="00E84DDA"/>
    <w:rsid w:val="00E84DF2"/>
    <w:rsid w:val="00E8608F"/>
    <w:rsid w:val="00E86C1D"/>
    <w:rsid w:val="00E90703"/>
    <w:rsid w:val="00E90A62"/>
    <w:rsid w:val="00E91CB8"/>
    <w:rsid w:val="00E9265E"/>
    <w:rsid w:val="00E956DB"/>
    <w:rsid w:val="00E957D7"/>
    <w:rsid w:val="00E974CA"/>
    <w:rsid w:val="00E9763D"/>
    <w:rsid w:val="00E97E4C"/>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6D98"/>
    <w:rsid w:val="00F171F9"/>
    <w:rsid w:val="00F1737C"/>
    <w:rsid w:val="00F173AA"/>
    <w:rsid w:val="00F22A26"/>
    <w:rsid w:val="00F23D45"/>
    <w:rsid w:val="00F24072"/>
    <w:rsid w:val="00F26432"/>
    <w:rsid w:val="00F3197A"/>
    <w:rsid w:val="00F32139"/>
    <w:rsid w:val="00F33CF0"/>
    <w:rsid w:val="00F33D56"/>
    <w:rsid w:val="00F34E08"/>
    <w:rsid w:val="00F379D7"/>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1E58"/>
    <w:rsid w:val="00F624DD"/>
    <w:rsid w:val="00F629C0"/>
    <w:rsid w:val="00F63FC7"/>
    <w:rsid w:val="00F65E1F"/>
    <w:rsid w:val="00F65ED5"/>
    <w:rsid w:val="00F6608B"/>
    <w:rsid w:val="00F6636A"/>
    <w:rsid w:val="00F667C5"/>
    <w:rsid w:val="00F668C8"/>
    <w:rsid w:val="00F67E31"/>
    <w:rsid w:val="00F70B44"/>
    <w:rsid w:val="00F71436"/>
    <w:rsid w:val="00F718A8"/>
    <w:rsid w:val="00F7207E"/>
    <w:rsid w:val="00F72183"/>
    <w:rsid w:val="00F72DEB"/>
    <w:rsid w:val="00F74399"/>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1592"/>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182D"/>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88"/>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2FC"/>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661006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E50E-6C1F-47CA-88F3-72A54601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2012-10-18T14:08:00Z</cp:lastPrinted>
  <dcterms:created xsi:type="dcterms:W3CDTF">2012-11-05T19:23:00Z</dcterms:created>
  <dcterms:modified xsi:type="dcterms:W3CDTF">2012-11-05T19:23:00Z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