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817E55" w:rsidRDefault="00540BEF" w:rsidP="00BF0E94">
      <w:pPr>
        <w:tabs>
          <w:tab w:val="left" w:pos="288"/>
          <w:tab w:val="left" w:pos="4752"/>
        </w:tabs>
        <w:rPr>
          <w:color w:val="auto"/>
        </w:rPr>
      </w:pPr>
      <w:r w:rsidRPr="00817E55">
        <w:rPr>
          <w:color w:val="auto"/>
        </w:rPr>
        <w:t>RECORD OF PROCEEDINGS</w:t>
      </w:r>
    </w:p>
    <w:p w:rsidR="00540BEF" w:rsidRPr="00817E55" w:rsidRDefault="00540BEF" w:rsidP="00BF0E94">
      <w:pPr>
        <w:tabs>
          <w:tab w:val="left" w:pos="288"/>
          <w:tab w:val="left" w:pos="4752"/>
        </w:tabs>
        <w:rPr>
          <w:color w:val="auto"/>
        </w:rPr>
      </w:pPr>
      <w:r w:rsidRPr="00817E55">
        <w:rPr>
          <w:color w:val="auto"/>
        </w:rPr>
        <w:t>PHYSICAL DISABILITY BOARD OF REVIEW</w:t>
      </w:r>
    </w:p>
    <w:p w:rsidR="00540BEF" w:rsidRPr="00817E55" w:rsidRDefault="00540BEF" w:rsidP="00BF0E94">
      <w:pPr>
        <w:tabs>
          <w:tab w:val="left" w:pos="288"/>
          <w:tab w:val="left" w:pos="4752"/>
        </w:tabs>
        <w:jc w:val="both"/>
        <w:rPr>
          <w:caps/>
          <w:color w:val="auto"/>
        </w:rPr>
      </w:pPr>
    </w:p>
    <w:p w:rsidR="00E0346A" w:rsidRPr="00817E55" w:rsidRDefault="00F629C0" w:rsidP="00857538">
      <w:pPr>
        <w:tabs>
          <w:tab w:val="left" w:pos="288"/>
          <w:tab w:val="left" w:pos="4752"/>
          <w:tab w:val="left" w:pos="5130"/>
          <w:tab w:val="left" w:pos="6300"/>
          <w:tab w:val="left" w:pos="9270"/>
        </w:tabs>
        <w:jc w:val="both"/>
        <w:rPr>
          <w:caps/>
          <w:color w:val="auto"/>
        </w:rPr>
      </w:pPr>
      <w:r w:rsidRPr="00817E55">
        <w:rPr>
          <w:caps/>
          <w:color w:val="auto"/>
        </w:rPr>
        <w:t xml:space="preserve">NAME:  </w:t>
      </w:r>
      <w:r w:rsidR="00EA4EA0">
        <w:rPr>
          <w:caps/>
          <w:color w:val="auto"/>
        </w:rPr>
        <w:t>XXXXXXXXX</w:t>
      </w:r>
      <w:r w:rsidR="00857538">
        <w:rPr>
          <w:caps/>
          <w:color w:val="auto"/>
        </w:rPr>
        <w:tab/>
        <w:t xml:space="preserve">                          </w:t>
      </w:r>
      <w:r w:rsidR="00857538">
        <w:rPr>
          <w:caps/>
          <w:color w:val="auto"/>
        </w:rPr>
        <w:tab/>
      </w:r>
      <w:r w:rsidRPr="00817E55">
        <w:rPr>
          <w:caps/>
          <w:color w:val="auto"/>
        </w:rPr>
        <w:t xml:space="preserve">BRANCH OF SERVICE: </w:t>
      </w:r>
      <w:r w:rsidR="004C24C5" w:rsidRPr="00817E55">
        <w:rPr>
          <w:caps/>
          <w:color w:val="auto"/>
        </w:rPr>
        <w:t xml:space="preserve"> </w:t>
      </w:r>
      <w:r w:rsidR="004216DA" w:rsidRPr="00817E55">
        <w:rPr>
          <w:caps/>
          <w:color w:val="auto"/>
        </w:rPr>
        <w:t>navy</w:t>
      </w:r>
      <w:r w:rsidR="00332DE3" w:rsidRPr="00817E55">
        <w:rPr>
          <w:caps/>
          <w:color w:val="auto"/>
        </w:rPr>
        <w:t xml:space="preserve"> </w:t>
      </w:r>
    </w:p>
    <w:p w:rsidR="00DE3AAD" w:rsidRPr="00817E55" w:rsidRDefault="00012733" w:rsidP="00857538">
      <w:pPr>
        <w:tabs>
          <w:tab w:val="left" w:pos="288"/>
          <w:tab w:val="left" w:pos="4166"/>
          <w:tab w:val="left" w:pos="4752"/>
          <w:tab w:val="left" w:pos="5130"/>
          <w:tab w:val="left" w:pos="6300"/>
          <w:tab w:val="left" w:pos="9270"/>
        </w:tabs>
        <w:jc w:val="both"/>
        <w:rPr>
          <w:caps/>
          <w:color w:val="auto"/>
        </w:rPr>
      </w:pPr>
      <w:r w:rsidRPr="00817E55">
        <w:rPr>
          <w:caps/>
          <w:color w:val="auto"/>
        </w:rPr>
        <w:t>C</w:t>
      </w:r>
      <w:r w:rsidR="00DE3AAD" w:rsidRPr="00817E55">
        <w:rPr>
          <w:caps/>
          <w:color w:val="auto"/>
        </w:rPr>
        <w:t>ASE NUMBER:  PD</w:t>
      </w:r>
      <w:r w:rsidR="008F58E1" w:rsidRPr="00817E55">
        <w:rPr>
          <w:caps/>
          <w:color w:val="auto"/>
        </w:rPr>
        <w:t>11</w:t>
      </w:r>
      <w:r w:rsidR="00DE3AAD" w:rsidRPr="00817E55">
        <w:rPr>
          <w:caps/>
          <w:color w:val="auto"/>
        </w:rPr>
        <w:t>0</w:t>
      </w:r>
      <w:r w:rsidR="00BA4ABE" w:rsidRPr="00817E55">
        <w:rPr>
          <w:caps/>
          <w:color w:val="auto"/>
        </w:rPr>
        <w:t>1048</w:t>
      </w:r>
      <w:r w:rsidR="00DE3AAD" w:rsidRPr="00817E55">
        <w:rPr>
          <w:color w:val="auto"/>
        </w:rPr>
        <w:t xml:space="preserve"> </w:t>
      </w:r>
      <w:r w:rsidR="00DE3AAD" w:rsidRPr="00817E55">
        <w:rPr>
          <w:color w:val="auto"/>
        </w:rPr>
        <w:tab/>
      </w:r>
      <w:r w:rsidR="0068098E" w:rsidRPr="00817E55">
        <w:rPr>
          <w:color w:val="auto"/>
        </w:rPr>
        <w:tab/>
      </w:r>
      <w:r w:rsidR="00DE3AAD" w:rsidRPr="00817E55">
        <w:rPr>
          <w:color w:val="auto"/>
        </w:rPr>
        <w:t xml:space="preserve">         </w:t>
      </w:r>
      <w:r w:rsidR="00857538">
        <w:rPr>
          <w:color w:val="auto"/>
        </w:rPr>
        <w:t xml:space="preserve">                 </w:t>
      </w:r>
      <w:r w:rsidR="00857538">
        <w:rPr>
          <w:color w:val="auto"/>
        </w:rPr>
        <w:tab/>
      </w:r>
      <w:r w:rsidR="00DE3AAD" w:rsidRPr="00817E55">
        <w:rPr>
          <w:color w:val="auto"/>
        </w:rPr>
        <w:t>SEPARATION DATE:  200</w:t>
      </w:r>
      <w:r w:rsidR="00BA4ABE" w:rsidRPr="00817E55">
        <w:rPr>
          <w:color w:val="auto"/>
        </w:rPr>
        <w:t>20107</w:t>
      </w:r>
    </w:p>
    <w:p w:rsidR="0042265A" w:rsidRDefault="004F3639" w:rsidP="00857538">
      <w:pPr>
        <w:tabs>
          <w:tab w:val="left" w:pos="288"/>
          <w:tab w:val="left" w:pos="5130"/>
          <w:tab w:val="left" w:pos="6300"/>
        </w:tabs>
        <w:jc w:val="both"/>
        <w:rPr>
          <w:caps/>
          <w:color w:val="auto"/>
        </w:rPr>
      </w:pPr>
      <w:r w:rsidRPr="00817E55">
        <w:rPr>
          <w:caps/>
          <w:color w:val="auto"/>
        </w:rPr>
        <w:t>BOARD DATE:  201</w:t>
      </w:r>
      <w:r w:rsidR="00D10B40">
        <w:rPr>
          <w:caps/>
          <w:color w:val="auto"/>
        </w:rPr>
        <w:t>2</w:t>
      </w:r>
      <w:r w:rsidR="0042265A">
        <w:rPr>
          <w:caps/>
          <w:color w:val="auto"/>
        </w:rPr>
        <w:t>0427</w:t>
      </w:r>
    </w:p>
    <w:p w:rsidR="00D10B40" w:rsidRPr="00FE2DEF" w:rsidRDefault="00D10B40" w:rsidP="00D10B40">
      <w:pPr>
        <w:pBdr>
          <w:bottom w:val="single" w:sz="12" w:space="1" w:color="auto"/>
        </w:pBdr>
        <w:tabs>
          <w:tab w:val="left" w:pos="288"/>
          <w:tab w:val="left" w:pos="4752"/>
        </w:tabs>
        <w:jc w:val="both"/>
        <w:rPr>
          <w:color w:val="auto"/>
        </w:rPr>
      </w:pPr>
    </w:p>
    <w:p w:rsidR="00D10B40" w:rsidRPr="00FE2DEF" w:rsidRDefault="00D10B40" w:rsidP="00D10B40">
      <w:pPr>
        <w:tabs>
          <w:tab w:val="left" w:pos="288"/>
          <w:tab w:val="left" w:pos="4752"/>
        </w:tabs>
        <w:jc w:val="both"/>
        <w:rPr>
          <w:color w:val="auto"/>
        </w:rPr>
      </w:pPr>
    </w:p>
    <w:p w:rsidR="00F63FC7" w:rsidRPr="00B34F48" w:rsidRDefault="00FB0E80" w:rsidP="00BF0E94">
      <w:pPr>
        <w:tabs>
          <w:tab w:val="left" w:pos="288"/>
          <w:tab w:val="left" w:pos="4752"/>
        </w:tabs>
        <w:jc w:val="both"/>
        <w:rPr>
          <w:color w:val="auto"/>
          <w:szCs w:val="24"/>
        </w:rPr>
      </w:pPr>
      <w:r w:rsidRPr="00B34F48">
        <w:rPr>
          <w:color w:val="auto"/>
          <w:u w:val="single"/>
        </w:rPr>
        <w:t>SUMMARY OF CASE</w:t>
      </w:r>
      <w:r w:rsidRPr="00B34F48">
        <w:rPr>
          <w:color w:val="auto"/>
        </w:rPr>
        <w:t xml:space="preserve">:  </w:t>
      </w:r>
      <w:r w:rsidR="009759C2" w:rsidRPr="00B34F48">
        <w:rPr>
          <w:color w:val="auto"/>
        </w:rPr>
        <w:t>Data extracted from the available evidence of record reflects that this covered individual (CI)</w:t>
      </w:r>
      <w:r w:rsidR="00570754" w:rsidRPr="00B34F48">
        <w:rPr>
          <w:color w:val="auto"/>
        </w:rPr>
        <w:t xml:space="preserve"> </w:t>
      </w:r>
      <w:r w:rsidR="002C6E5B" w:rsidRPr="00B34F48">
        <w:rPr>
          <w:color w:val="auto"/>
          <w:szCs w:val="24"/>
        </w:rPr>
        <w:t xml:space="preserve">was </w:t>
      </w:r>
      <w:r w:rsidR="00E322F7" w:rsidRPr="00B34F48">
        <w:rPr>
          <w:color w:val="auto"/>
          <w:szCs w:val="24"/>
        </w:rPr>
        <w:t>an active duty</w:t>
      </w:r>
      <w:r w:rsidR="006D4E0E" w:rsidRPr="00B34F48">
        <w:rPr>
          <w:color w:val="auto"/>
          <w:szCs w:val="24"/>
        </w:rPr>
        <w:t xml:space="preserve"> </w:t>
      </w:r>
      <w:r w:rsidR="00BA4ABE" w:rsidRPr="00B34F48">
        <w:rPr>
          <w:color w:val="auto"/>
          <w:szCs w:val="24"/>
        </w:rPr>
        <w:t>PO1</w:t>
      </w:r>
      <w:r w:rsidR="00661BA2" w:rsidRPr="00B34F48">
        <w:rPr>
          <w:color w:val="auto"/>
          <w:szCs w:val="24"/>
        </w:rPr>
        <w:t>/E-</w:t>
      </w:r>
      <w:r w:rsidR="00BA4ABE" w:rsidRPr="00B34F48">
        <w:rPr>
          <w:color w:val="auto"/>
          <w:szCs w:val="24"/>
        </w:rPr>
        <w:t>6</w:t>
      </w:r>
      <w:r w:rsidR="00705C40" w:rsidRPr="00B34F48">
        <w:rPr>
          <w:color w:val="auto"/>
          <w:szCs w:val="24"/>
        </w:rPr>
        <w:t xml:space="preserve"> (</w:t>
      </w:r>
      <w:r w:rsidR="00BA4ABE" w:rsidRPr="00B34F48">
        <w:rPr>
          <w:color w:val="auto"/>
          <w:szCs w:val="24"/>
        </w:rPr>
        <w:t>EM1/3394</w:t>
      </w:r>
      <w:r w:rsidR="00E322F7" w:rsidRPr="00B34F48">
        <w:rPr>
          <w:color w:val="auto"/>
          <w:szCs w:val="24"/>
        </w:rPr>
        <w:t>)</w:t>
      </w:r>
      <w:r w:rsidR="00C75F3D" w:rsidRPr="00B34F48">
        <w:rPr>
          <w:color w:val="auto"/>
          <w:szCs w:val="24"/>
        </w:rPr>
        <w:t xml:space="preserve">, </w:t>
      </w:r>
      <w:r w:rsidR="002C6E5B" w:rsidRPr="00B34F48">
        <w:rPr>
          <w:color w:val="auto"/>
          <w:szCs w:val="24"/>
        </w:rPr>
        <w:t xml:space="preserve">medically separated for </w:t>
      </w:r>
      <w:r w:rsidR="0048539C" w:rsidRPr="00B34F48">
        <w:rPr>
          <w:color w:val="auto"/>
          <w:szCs w:val="24"/>
        </w:rPr>
        <w:t xml:space="preserve">recurrent pulmonary embolism. </w:t>
      </w:r>
      <w:r w:rsidR="00CA0169">
        <w:rPr>
          <w:color w:val="auto"/>
          <w:szCs w:val="24"/>
        </w:rPr>
        <w:t xml:space="preserve"> He</w:t>
      </w:r>
      <w:r w:rsidR="00643C8F" w:rsidRPr="00B34F48">
        <w:rPr>
          <w:color w:val="auto"/>
          <w:szCs w:val="24"/>
        </w:rPr>
        <w:t xml:space="preserve"> was unable to perform within his</w:t>
      </w:r>
      <w:r w:rsidR="00BA4ABE" w:rsidRPr="00B34F48">
        <w:rPr>
          <w:color w:val="auto"/>
          <w:szCs w:val="24"/>
        </w:rPr>
        <w:t xml:space="preserve"> Rating </w:t>
      </w:r>
      <w:r w:rsidR="00643C8F" w:rsidRPr="00B34F48">
        <w:rPr>
          <w:color w:val="auto"/>
          <w:szCs w:val="24"/>
        </w:rPr>
        <w:t xml:space="preserve">or meet physical fitness standards. </w:t>
      </w:r>
      <w:r w:rsidR="00CA0169">
        <w:rPr>
          <w:color w:val="auto"/>
          <w:szCs w:val="24"/>
        </w:rPr>
        <w:t xml:space="preserve"> In August 2001, h</w:t>
      </w:r>
      <w:r w:rsidR="00643C8F" w:rsidRPr="00B34F48">
        <w:rPr>
          <w:color w:val="auto"/>
          <w:szCs w:val="24"/>
        </w:rPr>
        <w:t>e was placed</w:t>
      </w:r>
      <w:r w:rsidR="00CA0169">
        <w:rPr>
          <w:color w:val="auto"/>
          <w:szCs w:val="24"/>
        </w:rPr>
        <w:t xml:space="preserve"> on limited duty </w:t>
      </w:r>
      <w:r w:rsidR="00DA043D">
        <w:rPr>
          <w:color w:val="auto"/>
          <w:szCs w:val="24"/>
        </w:rPr>
        <w:t xml:space="preserve">(LIMDU) </w:t>
      </w:r>
      <w:r w:rsidR="00CA0169">
        <w:rPr>
          <w:color w:val="auto"/>
          <w:szCs w:val="24"/>
        </w:rPr>
        <w:t xml:space="preserve">and underwent </w:t>
      </w:r>
      <w:r w:rsidR="00857538">
        <w:rPr>
          <w:color w:val="auto"/>
          <w:szCs w:val="24"/>
        </w:rPr>
        <w:t xml:space="preserve">a </w:t>
      </w:r>
      <w:r w:rsidR="00643C8F" w:rsidRPr="00B34F48">
        <w:rPr>
          <w:color w:val="auto"/>
          <w:szCs w:val="24"/>
        </w:rPr>
        <w:t>Medical Evaluation Board (MEB).</w:t>
      </w:r>
      <w:r w:rsidR="0048539C" w:rsidRPr="00B34F48">
        <w:rPr>
          <w:color w:val="auto"/>
          <w:szCs w:val="24"/>
        </w:rPr>
        <w:t xml:space="preserve">  </w:t>
      </w:r>
      <w:r w:rsidR="00CA0169">
        <w:rPr>
          <w:color w:val="auto"/>
          <w:szCs w:val="24"/>
        </w:rPr>
        <w:t>Other p</w:t>
      </w:r>
      <w:r w:rsidR="00BA4ABE" w:rsidRPr="00B34F48">
        <w:rPr>
          <w:color w:val="auto"/>
          <w:szCs w:val="24"/>
        </w:rPr>
        <w:t xml:space="preserve">ulmonary embolism and infarction and congenital deficiency of other clotting factors </w:t>
      </w:r>
      <w:r w:rsidR="000A33C8" w:rsidRPr="00B34F48">
        <w:rPr>
          <w:color w:val="auto"/>
          <w:szCs w:val="24"/>
        </w:rPr>
        <w:t xml:space="preserve">were forwarded to the Physical Evaluation Board (PEB) as medically unacceptable IAW </w:t>
      </w:r>
      <w:r w:rsidR="00AB1F8D" w:rsidRPr="00B34F48">
        <w:rPr>
          <w:color w:val="auto"/>
          <w:szCs w:val="24"/>
        </w:rPr>
        <w:t>SECNAVINST 1850.4E</w:t>
      </w:r>
      <w:r w:rsidR="00376E08" w:rsidRPr="00B34F48">
        <w:rPr>
          <w:color w:val="auto"/>
          <w:szCs w:val="24"/>
        </w:rPr>
        <w:t>.</w:t>
      </w:r>
      <w:r w:rsidR="0048539C" w:rsidRPr="00B34F48">
        <w:rPr>
          <w:color w:val="auto"/>
          <w:szCs w:val="24"/>
        </w:rPr>
        <w:t xml:space="preserve">  </w:t>
      </w:r>
      <w:r w:rsidR="001A5E62" w:rsidRPr="00B34F48">
        <w:rPr>
          <w:color w:val="auto"/>
          <w:szCs w:val="24"/>
        </w:rPr>
        <w:t>No other conditions appeared on the MEB’s submission.  Other conditions included in the</w:t>
      </w:r>
      <w:r w:rsidR="00DC17F2" w:rsidRPr="00B34F48">
        <w:rPr>
          <w:color w:val="auto"/>
          <w:szCs w:val="24"/>
        </w:rPr>
        <w:t xml:space="preserve"> </w:t>
      </w:r>
      <w:r w:rsidR="00555C66" w:rsidRPr="00B34F48">
        <w:rPr>
          <w:color w:val="auto"/>
          <w:szCs w:val="24"/>
        </w:rPr>
        <w:t xml:space="preserve">Disability Evaluation System (DES) </w:t>
      </w:r>
      <w:r w:rsidR="001A5E62" w:rsidRPr="00B34F48">
        <w:rPr>
          <w:color w:val="auto"/>
          <w:szCs w:val="24"/>
        </w:rPr>
        <w:t>packet will be discussed below.</w:t>
      </w:r>
      <w:r w:rsidR="0048539C" w:rsidRPr="00B34F48">
        <w:rPr>
          <w:color w:val="auto"/>
          <w:szCs w:val="24"/>
        </w:rPr>
        <w:t xml:space="preserve">  </w:t>
      </w:r>
      <w:r w:rsidR="00B20624" w:rsidRPr="00B34F48">
        <w:rPr>
          <w:color w:val="auto"/>
          <w:szCs w:val="24"/>
        </w:rPr>
        <w:t>The PEB</w:t>
      </w:r>
      <w:r w:rsidR="007828B4" w:rsidRPr="00B34F48">
        <w:rPr>
          <w:color w:val="auto"/>
          <w:szCs w:val="24"/>
        </w:rPr>
        <w:t xml:space="preserve"> </w:t>
      </w:r>
      <w:r w:rsidR="00B20624" w:rsidRPr="00B34F48">
        <w:rPr>
          <w:color w:val="auto"/>
          <w:szCs w:val="24"/>
        </w:rPr>
        <w:t>adjudicated the</w:t>
      </w:r>
      <w:r w:rsidR="00817E55" w:rsidRPr="00B34F48">
        <w:rPr>
          <w:color w:val="auto"/>
          <w:szCs w:val="24"/>
        </w:rPr>
        <w:t xml:space="preserve"> recurrent pulmonary embolism </w:t>
      </w:r>
      <w:r w:rsidR="00B20624" w:rsidRPr="00B34F48">
        <w:rPr>
          <w:color w:val="auto"/>
          <w:szCs w:val="24"/>
        </w:rPr>
        <w:t xml:space="preserve">condition as unfitting, rated </w:t>
      </w:r>
      <w:r w:rsidR="00817E55" w:rsidRPr="00B34F48">
        <w:rPr>
          <w:color w:val="auto"/>
          <w:szCs w:val="24"/>
        </w:rPr>
        <w:t>0</w:t>
      </w:r>
      <w:r w:rsidR="00B20624" w:rsidRPr="00B34F48">
        <w:rPr>
          <w:color w:val="auto"/>
          <w:szCs w:val="24"/>
        </w:rPr>
        <w:t>%</w:t>
      </w:r>
      <w:r w:rsidR="00B80EDD" w:rsidRPr="00B34F48">
        <w:rPr>
          <w:color w:val="auto"/>
          <w:szCs w:val="24"/>
        </w:rPr>
        <w:t>,</w:t>
      </w:r>
      <w:r w:rsidR="00817E55" w:rsidRPr="00B34F48">
        <w:rPr>
          <w:color w:val="auto"/>
          <w:szCs w:val="24"/>
        </w:rPr>
        <w:t xml:space="preserve"> with application of</w:t>
      </w:r>
      <w:r w:rsidR="008A79F0" w:rsidRPr="00B34F48">
        <w:rPr>
          <w:color w:val="auto"/>
          <w:szCs w:val="24"/>
        </w:rPr>
        <w:t xml:space="preserve"> </w:t>
      </w:r>
      <w:r w:rsidR="00065E21" w:rsidRPr="00B34F48">
        <w:rPr>
          <w:color w:val="auto"/>
          <w:szCs w:val="24"/>
        </w:rPr>
        <w:t>SECNAVINST 1850.4E</w:t>
      </w:r>
      <w:r w:rsidR="00B34F48">
        <w:rPr>
          <w:color w:val="auto"/>
          <w:szCs w:val="24"/>
        </w:rPr>
        <w:t xml:space="preserve"> </w:t>
      </w:r>
      <w:r w:rsidR="002B0204" w:rsidRPr="00B34F48">
        <w:rPr>
          <w:color w:val="auto"/>
          <w:szCs w:val="24"/>
        </w:rPr>
        <w:t>and Veterans Administration Schedule for Rating Disabilities (VASRD)</w:t>
      </w:r>
      <w:r w:rsidR="00B20624" w:rsidRPr="00B34F48">
        <w:rPr>
          <w:color w:val="auto"/>
          <w:szCs w:val="24"/>
        </w:rPr>
        <w:t>.</w:t>
      </w:r>
      <w:r w:rsidR="0048539C" w:rsidRPr="00B34F48">
        <w:rPr>
          <w:color w:val="auto"/>
          <w:szCs w:val="24"/>
        </w:rPr>
        <w:t xml:space="preserve"> </w:t>
      </w:r>
      <w:r w:rsidR="00CA0169">
        <w:rPr>
          <w:color w:val="auto"/>
          <w:szCs w:val="24"/>
        </w:rPr>
        <w:t xml:space="preserve"> </w:t>
      </w:r>
      <w:r w:rsidR="00B20624" w:rsidRPr="00B34F48">
        <w:rPr>
          <w:color w:val="auto"/>
        </w:rPr>
        <w:t xml:space="preserve">The CI </w:t>
      </w:r>
      <w:r w:rsidR="00190E48" w:rsidRPr="00B34F48">
        <w:rPr>
          <w:color w:val="auto"/>
        </w:rPr>
        <w:t xml:space="preserve">made no appeals, </w:t>
      </w:r>
      <w:r w:rsidR="00B20624" w:rsidRPr="00B34F48">
        <w:rPr>
          <w:color w:val="auto"/>
        </w:rPr>
        <w:t>and was medically separated with a</w:t>
      </w:r>
      <w:r w:rsidR="00817E55" w:rsidRPr="00B34F48">
        <w:rPr>
          <w:color w:val="auto"/>
        </w:rPr>
        <w:t xml:space="preserve"> 0</w:t>
      </w:r>
      <w:r w:rsidR="00B20624" w:rsidRPr="00B34F48">
        <w:rPr>
          <w:color w:val="auto"/>
        </w:rPr>
        <w:t>% combined disability rating.</w:t>
      </w:r>
    </w:p>
    <w:p w:rsidR="004174F0" w:rsidRPr="00FE2DEF" w:rsidRDefault="004174F0" w:rsidP="00BF0E94">
      <w:pPr>
        <w:pBdr>
          <w:bottom w:val="single" w:sz="12" w:space="1" w:color="auto"/>
        </w:pBdr>
        <w:tabs>
          <w:tab w:val="left" w:pos="288"/>
          <w:tab w:val="left" w:pos="4752"/>
        </w:tabs>
        <w:jc w:val="both"/>
        <w:rPr>
          <w:color w:val="auto"/>
        </w:rPr>
      </w:pPr>
    </w:p>
    <w:p w:rsidR="00E90703" w:rsidRDefault="00E90703" w:rsidP="00BF0E94">
      <w:pPr>
        <w:tabs>
          <w:tab w:val="left" w:pos="288"/>
          <w:tab w:val="left" w:pos="4752"/>
        </w:tabs>
        <w:jc w:val="both"/>
        <w:rPr>
          <w:color w:val="auto"/>
          <w:u w:val="single"/>
        </w:rPr>
      </w:pPr>
    </w:p>
    <w:p w:rsidR="0048539C" w:rsidRPr="0048539C" w:rsidRDefault="002C6E5B" w:rsidP="0048539C">
      <w:pPr>
        <w:tabs>
          <w:tab w:val="left" w:pos="288"/>
          <w:tab w:val="left" w:pos="4752"/>
        </w:tabs>
        <w:jc w:val="both"/>
        <w:rPr>
          <w:color w:val="auto"/>
        </w:rPr>
      </w:pPr>
      <w:r w:rsidRPr="00FE2DEF">
        <w:rPr>
          <w:color w:val="auto"/>
          <w:u w:val="single"/>
        </w:rPr>
        <w:t>CI CONTENTION</w:t>
      </w:r>
      <w:r w:rsidRPr="00FE2DEF">
        <w:rPr>
          <w:color w:val="auto"/>
        </w:rPr>
        <w:t>:</w:t>
      </w:r>
      <w:r w:rsidR="00817E55">
        <w:rPr>
          <w:color w:val="auto"/>
        </w:rPr>
        <w:t xml:space="preserve">  “VA rating for discharge reason rated at 60%.”</w:t>
      </w:r>
      <w:r w:rsidR="0048539C">
        <w:rPr>
          <w:color w:val="auto"/>
        </w:rPr>
        <w:t xml:space="preserve"> </w:t>
      </w:r>
      <w:r w:rsidR="0048539C" w:rsidRPr="00D86AB5">
        <w:rPr>
          <w:rFonts w:eastAsiaTheme="minorHAnsi"/>
          <w:color w:val="auto"/>
          <w:szCs w:val="24"/>
        </w:rPr>
        <w:t>He</w:t>
      </w:r>
      <w:r w:rsidR="0048539C" w:rsidRPr="00FE2DEF">
        <w:rPr>
          <w:rFonts w:eastAsiaTheme="minorHAnsi"/>
          <w:color w:val="auto"/>
          <w:szCs w:val="24"/>
        </w:rPr>
        <w:t xml:space="preserve"> elaborates no specific contentions regarding rating or coding and mentions no additionally contended conditions.</w:t>
      </w:r>
    </w:p>
    <w:p w:rsidR="004174F0" w:rsidRPr="00FE2DEF" w:rsidRDefault="004174F0" w:rsidP="00BF0E94">
      <w:pPr>
        <w:pBdr>
          <w:bottom w:val="single" w:sz="12" w:space="1" w:color="auto"/>
        </w:pBdr>
        <w:tabs>
          <w:tab w:val="left" w:pos="288"/>
          <w:tab w:val="left" w:pos="4752"/>
        </w:tabs>
        <w:jc w:val="both"/>
        <w:rPr>
          <w:color w:val="auto"/>
        </w:rPr>
      </w:pPr>
    </w:p>
    <w:p w:rsidR="001537D8" w:rsidRPr="00FE2DEF" w:rsidRDefault="007F0AB7" w:rsidP="00BF0E94">
      <w:pPr>
        <w:jc w:val="left"/>
        <w:rPr>
          <w:color w:val="auto"/>
        </w:rPr>
      </w:pPr>
      <w:r w:rsidRPr="00FE2DEF">
        <w:rPr>
          <w:color w:val="auto"/>
          <w:u w:val="single"/>
        </w:rPr>
        <w:t>R</w:t>
      </w:r>
      <w:r w:rsidR="002C6E5B" w:rsidRPr="00FE2DEF">
        <w:rPr>
          <w:color w:val="auto"/>
          <w:u w:val="single"/>
        </w:rPr>
        <w:t>ATING COMPARISON</w:t>
      </w:r>
      <w:r w:rsidR="002C6E5B" w:rsidRPr="00FE2DEF">
        <w:rPr>
          <w:color w:val="auto"/>
        </w:rPr>
        <w:t>:</w:t>
      </w:r>
    </w:p>
    <w:p w:rsidR="002151AB" w:rsidRPr="00B53EC2" w:rsidRDefault="002151AB" w:rsidP="00BF0E94">
      <w:pPr>
        <w:rPr>
          <w:color w:val="auto"/>
        </w:rPr>
      </w:pPr>
    </w:p>
    <w:tbl>
      <w:tblPr>
        <w:tblStyle w:val="TableGrid"/>
        <w:tblpPr w:leftFromText="187" w:rightFromText="187" w:vertAnchor="text" w:tblpXSpec="center" w:tblpY="1"/>
        <w:tblOverlap w:val="never"/>
        <w:tblW w:w="9576" w:type="dxa"/>
        <w:jc w:val="center"/>
        <w:tblLayout w:type="fixed"/>
        <w:tblLook w:val="04A0"/>
      </w:tblPr>
      <w:tblGrid>
        <w:gridCol w:w="2448"/>
        <w:gridCol w:w="1080"/>
        <w:gridCol w:w="720"/>
        <w:gridCol w:w="2520"/>
        <w:gridCol w:w="1080"/>
        <w:gridCol w:w="738"/>
        <w:gridCol w:w="990"/>
      </w:tblGrid>
      <w:tr w:rsidR="002B4E22" w:rsidRPr="00B53EC2" w:rsidTr="00857538">
        <w:trPr>
          <w:trHeight w:val="233"/>
          <w:jc w:val="center"/>
        </w:trPr>
        <w:tc>
          <w:tcPr>
            <w:tcW w:w="4248" w:type="dxa"/>
            <w:gridSpan w:val="3"/>
            <w:tcBorders>
              <w:right w:val="thinThickThinSmallGap" w:sz="24" w:space="0" w:color="auto"/>
            </w:tcBorders>
            <w:shd w:val="clear" w:color="auto" w:fill="D9D9D9" w:themeFill="background1" w:themeFillShade="D9"/>
            <w:vAlign w:val="center"/>
          </w:tcPr>
          <w:p w:rsidR="002B4E22" w:rsidRPr="00B53EC2" w:rsidRDefault="00B731E4" w:rsidP="00857538">
            <w:pPr>
              <w:spacing w:line="180" w:lineRule="exact"/>
              <w:contextualSpacing/>
              <w:rPr>
                <w:rFonts w:ascii="Calibri" w:hAnsi="Calibri" w:cs="Calibri"/>
                <w:b/>
                <w:color w:val="auto"/>
                <w:sz w:val="18"/>
                <w:szCs w:val="18"/>
              </w:rPr>
            </w:pPr>
            <w:r w:rsidRPr="00B53EC2">
              <w:rPr>
                <w:rFonts w:ascii="Calibri" w:hAnsi="Calibri" w:cs="Calibri"/>
                <w:b/>
                <w:color w:val="auto"/>
                <w:sz w:val="18"/>
                <w:szCs w:val="18"/>
              </w:rPr>
              <w:t>Service PEB – Dated 200</w:t>
            </w:r>
            <w:r w:rsidR="00B53EC2" w:rsidRPr="00B53EC2">
              <w:rPr>
                <w:rFonts w:ascii="Calibri" w:hAnsi="Calibri" w:cs="Calibri"/>
                <w:b/>
                <w:color w:val="auto"/>
                <w:sz w:val="18"/>
                <w:szCs w:val="18"/>
              </w:rPr>
              <w:t>11009</w:t>
            </w:r>
          </w:p>
        </w:tc>
        <w:tc>
          <w:tcPr>
            <w:tcW w:w="5328" w:type="dxa"/>
            <w:gridSpan w:val="4"/>
            <w:tcBorders>
              <w:left w:val="thinThickThinSmallGap" w:sz="24" w:space="0" w:color="auto"/>
            </w:tcBorders>
            <w:shd w:val="clear" w:color="auto" w:fill="D9D9D9" w:themeFill="background1" w:themeFillShade="D9"/>
            <w:vAlign w:val="center"/>
          </w:tcPr>
          <w:p w:rsidR="002B4E22" w:rsidRPr="00B53EC2" w:rsidRDefault="002B4E22" w:rsidP="00857538">
            <w:pPr>
              <w:spacing w:line="180" w:lineRule="exact"/>
              <w:contextualSpacing/>
              <w:rPr>
                <w:rFonts w:ascii="Calibri" w:hAnsi="Calibri" w:cs="Calibri"/>
                <w:b/>
                <w:color w:val="auto"/>
                <w:sz w:val="18"/>
                <w:szCs w:val="18"/>
              </w:rPr>
            </w:pPr>
            <w:r w:rsidRPr="00B53EC2">
              <w:rPr>
                <w:rFonts w:ascii="Calibri" w:hAnsi="Calibri" w:cs="Calibri"/>
                <w:b/>
                <w:color w:val="auto"/>
                <w:sz w:val="18"/>
                <w:szCs w:val="18"/>
              </w:rPr>
              <w:t>VA (</w:t>
            </w:r>
            <w:r w:rsidR="00B53EC2" w:rsidRPr="00B53EC2">
              <w:rPr>
                <w:rFonts w:ascii="Calibri" w:hAnsi="Calibri" w:cs="Calibri"/>
                <w:b/>
                <w:color w:val="auto"/>
                <w:sz w:val="18"/>
                <w:szCs w:val="18"/>
              </w:rPr>
              <w:t xml:space="preserve">~3 </w:t>
            </w:r>
            <w:r w:rsidRPr="00B53EC2">
              <w:rPr>
                <w:rFonts w:ascii="Calibri" w:hAnsi="Calibri" w:cs="Calibri"/>
                <w:b/>
                <w:color w:val="auto"/>
                <w:sz w:val="18"/>
                <w:szCs w:val="18"/>
              </w:rPr>
              <w:t xml:space="preserve">Mo. </w:t>
            </w:r>
            <w:r w:rsidR="00B53EC2" w:rsidRPr="00B53EC2">
              <w:rPr>
                <w:rFonts w:ascii="Calibri" w:hAnsi="Calibri" w:cs="Calibri"/>
                <w:b/>
                <w:color w:val="auto"/>
                <w:sz w:val="18"/>
                <w:szCs w:val="18"/>
              </w:rPr>
              <w:t xml:space="preserve"> </w:t>
            </w:r>
            <w:r w:rsidRPr="00B53EC2">
              <w:rPr>
                <w:rFonts w:ascii="Calibri" w:hAnsi="Calibri" w:cs="Calibri"/>
                <w:b/>
                <w:color w:val="auto"/>
                <w:sz w:val="18"/>
                <w:szCs w:val="18"/>
              </w:rPr>
              <w:t xml:space="preserve">After Separation) – All Effective Date </w:t>
            </w:r>
            <w:r w:rsidR="002D08F3" w:rsidRPr="00B53EC2">
              <w:rPr>
                <w:rFonts w:ascii="Calibri" w:hAnsi="Calibri" w:cs="Calibri"/>
                <w:b/>
                <w:color w:val="auto"/>
                <w:sz w:val="18"/>
                <w:szCs w:val="18"/>
              </w:rPr>
              <w:t>200</w:t>
            </w:r>
            <w:r w:rsidR="00B53EC2" w:rsidRPr="00B53EC2">
              <w:rPr>
                <w:rFonts w:ascii="Calibri" w:hAnsi="Calibri" w:cs="Calibri"/>
                <w:b/>
                <w:color w:val="auto"/>
                <w:sz w:val="18"/>
                <w:szCs w:val="18"/>
              </w:rPr>
              <w:t>20108</w:t>
            </w:r>
          </w:p>
        </w:tc>
      </w:tr>
      <w:tr w:rsidR="002B4E22" w:rsidRPr="00B53EC2" w:rsidTr="00857538">
        <w:trPr>
          <w:trHeight w:val="278"/>
          <w:jc w:val="center"/>
        </w:trPr>
        <w:tc>
          <w:tcPr>
            <w:tcW w:w="2448" w:type="dxa"/>
            <w:tcBorders>
              <w:bottom w:val="single" w:sz="4" w:space="0" w:color="000000" w:themeColor="text1"/>
              <w:right w:val="single" w:sz="4" w:space="0" w:color="auto"/>
            </w:tcBorders>
            <w:shd w:val="clear" w:color="auto" w:fill="D9D9D9" w:themeFill="background1" w:themeFillShade="D9"/>
            <w:vAlign w:val="center"/>
          </w:tcPr>
          <w:p w:rsidR="002B4E22" w:rsidRPr="00B53EC2" w:rsidRDefault="002B4E22" w:rsidP="00857538">
            <w:pPr>
              <w:spacing w:line="180" w:lineRule="exact"/>
              <w:contextualSpacing/>
              <w:rPr>
                <w:rFonts w:ascii="Calibri" w:hAnsi="Calibri" w:cs="Calibri"/>
                <w:b/>
                <w:color w:val="auto"/>
                <w:sz w:val="18"/>
                <w:szCs w:val="18"/>
              </w:rPr>
            </w:pPr>
            <w:r w:rsidRPr="00B53EC2">
              <w:rPr>
                <w:rFonts w:ascii="Calibri" w:hAnsi="Calibri" w:cs="Calibri"/>
                <w:b/>
                <w:color w:val="auto"/>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B53EC2" w:rsidRDefault="002B4E22" w:rsidP="00857538">
            <w:pPr>
              <w:spacing w:line="180" w:lineRule="exact"/>
              <w:contextualSpacing/>
              <w:rPr>
                <w:rFonts w:ascii="Calibri" w:hAnsi="Calibri" w:cs="Calibri"/>
                <w:b/>
                <w:color w:val="auto"/>
                <w:sz w:val="18"/>
                <w:szCs w:val="18"/>
              </w:rPr>
            </w:pPr>
            <w:r w:rsidRPr="00B53EC2">
              <w:rPr>
                <w:rFonts w:ascii="Calibri" w:hAnsi="Calibri" w:cs="Calibri"/>
                <w:b/>
                <w:color w:val="auto"/>
                <w:sz w:val="18"/>
                <w:szCs w:val="18"/>
              </w:rPr>
              <w:t>Code</w:t>
            </w:r>
          </w:p>
        </w:tc>
        <w:tc>
          <w:tcPr>
            <w:tcW w:w="72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B53EC2" w:rsidRDefault="002B4E22" w:rsidP="00857538">
            <w:pPr>
              <w:spacing w:line="180" w:lineRule="exact"/>
              <w:contextualSpacing/>
              <w:rPr>
                <w:rFonts w:ascii="Calibri" w:hAnsi="Calibri" w:cs="Calibri"/>
                <w:b/>
                <w:color w:val="auto"/>
                <w:sz w:val="18"/>
                <w:szCs w:val="18"/>
              </w:rPr>
            </w:pPr>
            <w:r w:rsidRPr="00B53EC2">
              <w:rPr>
                <w:rFonts w:ascii="Calibri" w:hAnsi="Calibri" w:cs="Calibri"/>
                <w:b/>
                <w:color w:val="auto"/>
                <w:sz w:val="18"/>
                <w:szCs w:val="18"/>
              </w:rPr>
              <w:t>Rating</w:t>
            </w:r>
          </w:p>
        </w:tc>
        <w:tc>
          <w:tcPr>
            <w:tcW w:w="2520"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B53EC2" w:rsidRDefault="002B4E22" w:rsidP="00857538">
            <w:pPr>
              <w:spacing w:line="180" w:lineRule="exact"/>
              <w:contextualSpacing/>
              <w:rPr>
                <w:rFonts w:ascii="Calibri" w:hAnsi="Calibri" w:cs="Calibri"/>
                <w:b/>
                <w:color w:val="auto"/>
                <w:sz w:val="18"/>
                <w:szCs w:val="18"/>
              </w:rPr>
            </w:pPr>
            <w:r w:rsidRPr="00B53EC2">
              <w:rPr>
                <w:rFonts w:ascii="Calibri" w:hAnsi="Calibri" w:cs="Calibri"/>
                <w:b/>
                <w:color w:val="auto"/>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B53EC2" w:rsidRDefault="002B4E22" w:rsidP="00857538">
            <w:pPr>
              <w:spacing w:line="180" w:lineRule="exact"/>
              <w:contextualSpacing/>
              <w:rPr>
                <w:rFonts w:ascii="Calibri" w:hAnsi="Calibri" w:cs="Calibri"/>
                <w:b/>
                <w:color w:val="auto"/>
                <w:sz w:val="18"/>
                <w:szCs w:val="18"/>
              </w:rPr>
            </w:pPr>
            <w:r w:rsidRPr="00B53EC2">
              <w:rPr>
                <w:rFonts w:ascii="Calibri" w:hAnsi="Calibri" w:cs="Calibri"/>
                <w:b/>
                <w:color w:val="auto"/>
                <w:sz w:val="18"/>
                <w:szCs w:val="18"/>
              </w:rPr>
              <w:t>Code</w:t>
            </w:r>
          </w:p>
        </w:tc>
        <w:tc>
          <w:tcPr>
            <w:tcW w:w="738" w:type="dxa"/>
            <w:tcBorders>
              <w:bottom w:val="single" w:sz="4" w:space="0" w:color="000000" w:themeColor="text1"/>
            </w:tcBorders>
            <w:shd w:val="clear" w:color="auto" w:fill="D9D9D9" w:themeFill="background1" w:themeFillShade="D9"/>
            <w:vAlign w:val="center"/>
          </w:tcPr>
          <w:p w:rsidR="002B4E22" w:rsidRPr="00B53EC2" w:rsidRDefault="002B4E22" w:rsidP="00857538">
            <w:pPr>
              <w:spacing w:line="180" w:lineRule="exact"/>
              <w:contextualSpacing/>
              <w:rPr>
                <w:rFonts w:ascii="Calibri" w:hAnsi="Calibri" w:cs="Calibri"/>
                <w:b/>
                <w:color w:val="auto"/>
                <w:sz w:val="18"/>
                <w:szCs w:val="18"/>
              </w:rPr>
            </w:pPr>
            <w:r w:rsidRPr="00B53EC2">
              <w:rPr>
                <w:rFonts w:ascii="Calibri" w:hAnsi="Calibri" w:cs="Calibri"/>
                <w:b/>
                <w:color w:val="auto"/>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B53EC2" w:rsidRDefault="002B4E22" w:rsidP="00857538">
            <w:pPr>
              <w:spacing w:line="180" w:lineRule="exact"/>
              <w:contextualSpacing/>
              <w:rPr>
                <w:rFonts w:ascii="Calibri" w:hAnsi="Calibri" w:cs="Calibri"/>
                <w:b/>
                <w:color w:val="auto"/>
                <w:sz w:val="18"/>
                <w:szCs w:val="18"/>
              </w:rPr>
            </w:pPr>
            <w:r w:rsidRPr="00B53EC2">
              <w:rPr>
                <w:rFonts w:ascii="Calibri" w:hAnsi="Calibri" w:cs="Calibri"/>
                <w:b/>
                <w:color w:val="auto"/>
                <w:sz w:val="18"/>
                <w:szCs w:val="18"/>
              </w:rPr>
              <w:t>Exam</w:t>
            </w:r>
          </w:p>
        </w:tc>
      </w:tr>
      <w:tr w:rsidR="0048539C" w:rsidRPr="00B53EC2" w:rsidTr="001264B8">
        <w:trPr>
          <w:trHeight w:val="287"/>
          <w:jc w:val="center"/>
        </w:trPr>
        <w:tc>
          <w:tcPr>
            <w:tcW w:w="2448" w:type="dxa"/>
            <w:tcBorders>
              <w:right w:val="single" w:sz="4" w:space="0" w:color="auto"/>
            </w:tcBorders>
            <w:shd w:val="clear" w:color="auto" w:fill="FFFFFF" w:themeFill="background1"/>
            <w:vAlign w:val="center"/>
          </w:tcPr>
          <w:p w:rsidR="0048539C" w:rsidRPr="00B53EC2" w:rsidRDefault="0048539C" w:rsidP="00B53EC2">
            <w:pPr>
              <w:spacing w:line="180" w:lineRule="exact"/>
              <w:contextualSpacing/>
              <w:jc w:val="left"/>
              <w:rPr>
                <w:rFonts w:cstheme="minorHAnsi"/>
                <w:color w:val="auto"/>
                <w:sz w:val="18"/>
                <w:szCs w:val="18"/>
              </w:rPr>
            </w:pPr>
            <w:r w:rsidRPr="00B53EC2">
              <w:rPr>
                <w:rFonts w:cstheme="minorHAnsi"/>
                <w:color w:val="auto"/>
                <w:sz w:val="18"/>
                <w:szCs w:val="18"/>
              </w:rPr>
              <w:t>Recurrent Pulmonary Embolism</w:t>
            </w:r>
          </w:p>
        </w:tc>
        <w:tc>
          <w:tcPr>
            <w:tcW w:w="1080" w:type="dxa"/>
            <w:tcBorders>
              <w:left w:val="single" w:sz="4" w:space="0" w:color="auto"/>
            </w:tcBorders>
            <w:shd w:val="clear" w:color="auto" w:fill="FFFFFF" w:themeFill="background1"/>
            <w:vAlign w:val="center"/>
          </w:tcPr>
          <w:p w:rsidR="0048539C" w:rsidRPr="00B53EC2" w:rsidRDefault="0048539C" w:rsidP="00B53EC2">
            <w:pPr>
              <w:spacing w:line="180" w:lineRule="exact"/>
              <w:contextualSpacing/>
              <w:rPr>
                <w:rFonts w:cstheme="minorHAnsi"/>
                <w:color w:val="auto"/>
                <w:sz w:val="18"/>
                <w:szCs w:val="18"/>
              </w:rPr>
            </w:pPr>
            <w:r w:rsidRPr="00B53EC2">
              <w:rPr>
                <w:rFonts w:cstheme="minorHAnsi"/>
                <w:color w:val="auto"/>
                <w:sz w:val="18"/>
                <w:szCs w:val="18"/>
              </w:rPr>
              <w:t>7199-7120</w:t>
            </w:r>
          </w:p>
        </w:tc>
        <w:tc>
          <w:tcPr>
            <w:tcW w:w="720" w:type="dxa"/>
            <w:tcBorders>
              <w:right w:val="thinThickThinSmallGap" w:sz="24" w:space="0" w:color="auto"/>
            </w:tcBorders>
            <w:shd w:val="clear" w:color="auto" w:fill="FFFFFF" w:themeFill="background1"/>
            <w:vAlign w:val="center"/>
          </w:tcPr>
          <w:p w:rsidR="0048539C" w:rsidRPr="00B53EC2" w:rsidRDefault="0048539C" w:rsidP="00B53EC2">
            <w:pPr>
              <w:spacing w:line="180" w:lineRule="exact"/>
              <w:rPr>
                <w:rFonts w:cstheme="minorHAnsi"/>
                <w:color w:val="auto"/>
                <w:sz w:val="18"/>
                <w:szCs w:val="18"/>
              </w:rPr>
            </w:pPr>
            <w:r w:rsidRPr="00B53EC2">
              <w:rPr>
                <w:rFonts w:cstheme="minorHAnsi"/>
                <w:color w:val="auto"/>
                <w:sz w:val="18"/>
                <w:szCs w:val="18"/>
              </w:rPr>
              <w:t>0%</w:t>
            </w:r>
          </w:p>
        </w:tc>
        <w:tc>
          <w:tcPr>
            <w:tcW w:w="2520" w:type="dxa"/>
            <w:vMerge w:val="restart"/>
            <w:tcBorders>
              <w:left w:val="thinThickThinSmallGap" w:sz="24" w:space="0" w:color="auto"/>
            </w:tcBorders>
            <w:shd w:val="clear" w:color="auto" w:fill="FFFFFF" w:themeFill="background1"/>
            <w:vAlign w:val="center"/>
          </w:tcPr>
          <w:p w:rsidR="0048539C" w:rsidRPr="00B53EC2" w:rsidRDefault="0048539C" w:rsidP="00B53EC2">
            <w:pPr>
              <w:spacing w:line="180" w:lineRule="exact"/>
              <w:contextualSpacing/>
              <w:jc w:val="left"/>
              <w:rPr>
                <w:rFonts w:cstheme="minorHAnsi"/>
                <w:color w:val="auto"/>
                <w:sz w:val="18"/>
                <w:szCs w:val="18"/>
              </w:rPr>
            </w:pPr>
            <w:r w:rsidRPr="00B53EC2">
              <w:rPr>
                <w:rFonts w:cstheme="minorHAnsi"/>
                <w:color w:val="auto"/>
                <w:sz w:val="18"/>
                <w:szCs w:val="18"/>
              </w:rPr>
              <w:t>Residuals, Pulmonary Emboli</w:t>
            </w:r>
          </w:p>
        </w:tc>
        <w:tc>
          <w:tcPr>
            <w:tcW w:w="1080" w:type="dxa"/>
            <w:vMerge w:val="restart"/>
            <w:shd w:val="clear" w:color="auto" w:fill="FFFFFF" w:themeFill="background1"/>
            <w:vAlign w:val="center"/>
          </w:tcPr>
          <w:p w:rsidR="0048539C" w:rsidRPr="00B53EC2" w:rsidRDefault="0048539C" w:rsidP="00B53EC2">
            <w:pPr>
              <w:spacing w:line="180" w:lineRule="exact"/>
              <w:contextualSpacing/>
              <w:rPr>
                <w:rFonts w:cstheme="minorHAnsi"/>
                <w:color w:val="auto"/>
                <w:sz w:val="18"/>
                <w:szCs w:val="18"/>
              </w:rPr>
            </w:pPr>
            <w:r w:rsidRPr="00B53EC2">
              <w:rPr>
                <w:rFonts w:cstheme="minorHAnsi"/>
                <w:color w:val="auto"/>
                <w:sz w:val="18"/>
                <w:szCs w:val="18"/>
              </w:rPr>
              <w:t>6899-6817</w:t>
            </w:r>
          </w:p>
        </w:tc>
        <w:tc>
          <w:tcPr>
            <w:tcW w:w="738" w:type="dxa"/>
            <w:vMerge w:val="restart"/>
            <w:shd w:val="clear" w:color="auto" w:fill="FFFFFF" w:themeFill="background1"/>
            <w:vAlign w:val="center"/>
          </w:tcPr>
          <w:p w:rsidR="0048539C" w:rsidRPr="00B53EC2" w:rsidRDefault="0048539C" w:rsidP="00B53EC2">
            <w:pPr>
              <w:spacing w:line="180" w:lineRule="exact"/>
              <w:contextualSpacing/>
              <w:rPr>
                <w:rFonts w:cstheme="minorHAnsi"/>
                <w:color w:val="auto"/>
                <w:sz w:val="18"/>
                <w:szCs w:val="18"/>
              </w:rPr>
            </w:pPr>
            <w:r w:rsidRPr="00B53EC2">
              <w:rPr>
                <w:rFonts w:cstheme="minorHAnsi"/>
                <w:color w:val="auto"/>
                <w:sz w:val="18"/>
                <w:szCs w:val="18"/>
              </w:rPr>
              <w:t>60%</w:t>
            </w:r>
          </w:p>
        </w:tc>
        <w:tc>
          <w:tcPr>
            <w:tcW w:w="990" w:type="dxa"/>
            <w:vMerge w:val="restart"/>
            <w:shd w:val="clear" w:color="auto" w:fill="FFFFFF" w:themeFill="background1"/>
            <w:vAlign w:val="center"/>
          </w:tcPr>
          <w:p w:rsidR="0048539C" w:rsidRPr="00B53EC2" w:rsidRDefault="0048539C" w:rsidP="00B53EC2">
            <w:pPr>
              <w:spacing w:line="180" w:lineRule="exact"/>
              <w:contextualSpacing/>
              <w:rPr>
                <w:rFonts w:cstheme="minorHAnsi"/>
                <w:color w:val="auto"/>
                <w:sz w:val="18"/>
                <w:szCs w:val="18"/>
              </w:rPr>
            </w:pPr>
            <w:r w:rsidRPr="00B53EC2">
              <w:rPr>
                <w:rFonts w:cstheme="minorHAnsi"/>
                <w:color w:val="auto"/>
                <w:sz w:val="18"/>
                <w:szCs w:val="18"/>
              </w:rPr>
              <w:t>20020423</w:t>
            </w:r>
          </w:p>
        </w:tc>
      </w:tr>
      <w:tr w:rsidR="0048539C" w:rsidRPr="00B53EC2" w:rsidTr="001264B8">
        <w:trPr>
          <w:trHeight w:val="287"/>
          <w:jc w:val="center"/>
        </w:trPr>
        <w:tc>
          <w:tcPr>
            <w:tcW w:w="2448" w:type="dxa"/>
            <w:tcBorders>
              <w:right w:val="single" w:sz="4" w:space="0" w:color="auto"/>
            </w:tcBorders>
            <w:shd w:val="clear" w:color="auto" w:fill="FFFFFF" w:themeFill="background1"/>
            <w:vAlign w:val="center"/>
          </w:tcPr>
          <w:p w:rsidR="0048539C" w:rsidRPr="00B53EC2" w:rsidRDefault="0048539C" w:rsidP="00B53EC2">
            <w:pPr>
              <w:spacing w:line="180" w:lineRule="exact"/>
              <w:contextualSpacing/>
              <w:jc w:val="left"/>
              <w:rPr>
                <w:color w:val="auto"/>
                <w:sz w:val="18"/>
                <w:szCs w:val="18"/>
              </w:rPr>
            </w:pPr>
            <w:r>
              <w:rPr>
                <w:color w:val="auto"/>
                <w:sz w:val="18"/>
                <w:szCs w:val="18"/>
              </w:rPr>
              <w:t>Factor V (Leiden) Mutation</w:t>
            </w:r>
          </w:p>
        </w:tc>
        <w:tc>
          <w:tcPr>
            <w:tcW w:w="1800" w:type="dxa"/>
            <w:gridSpan w:val="2"/>
            <w:tcBorders>
              <w:left w:val="single" w:sz="4" w:space="0" w:color="auto"/>
              <w:right w:val="thinThickThinSmallGap" w:sz="24" w:space="0" w:color="auto"/>
            </w:tcBorders>
            <w:shd w:val="clear" w:color="auto" w:fill="FFFFFF" w:themeFill="background1"/>
            <w:vAlign w:val="center"/>
          </w:tcPr>
          <w:p w:rsidR="0048539C" w:rsidRPr="00B53EC2" w:rsidRDefault="0048539C" w:rsidP="00B53EC2">
            <w:pPr>
              <w:spacing w:line="180" w:lineRule="exact"/>
              <w:rPr>
                <w:color w:val="auto"/>
                <w:sz w:val="18"/>
                <w:szCs w:val="18"/>
              </w:rPr>
            </w:pPr>
            <w:r>
              <w:rPr>
                <w:color w:val="auto"/>
                <w:sz w:val="18"/>
                <w:szCs w:val="18"/>
              </w:rPr>
              <w:t>CAT II</w:t>
            </w:r>
          </w:p>
        </w:tc>
        <w:tc>
          <w:tcPr>
            <w:tcW w:w="2520" w:type="dxa"/>
            <w:vMerge/>
            <w:tcBorders>
              <w:left w:val="thinThickThinSmallGap" w:sz="24" w:space="0" w:color="auto"/>
            </w:tcBorders>
            <w:shd w:val="clear" w:color="auto" w:fill="FFFFFF" w:themeFill="background1"/>
            <w:vAlign w:val="center"/>
          </w:tcPr>
          <w:p w:rsidR="0048539C" w:rsidRPr="00B53EC2" w:rsidRDefault="0048539C" w:rsidP="00B53EC2">
            <w:pPr>
              <w:spacing w:line="180" w:lineRule="exact"/>
              <w:contextualSpacing/>
              <w:jc w:val="left"/>
              <w:rPr>
                <w:color w:val="auto"/>
                <w:sz w:val="18"/>
                <w:szCs w:val="18"/>
              </w:rPr>
            </w:pPr>
          </w:p>
        </w:tc>
        <w:tc>
          <w:tcPr>
            <w:tcW w:w="1080" w:type="dxa"/>
            <w:vMerge/>
            <w:shd w:val="clear" w:color="auto" w:fill="FFFFFF" w:themeFill="background1"/>
            <w:vAlign w:val="center"/>
          </w:tcPr>
          <w:p w:rsidR="0048539C" w:rsidRPr="00B53EC2" w:rsidRDefault="0048539C" w:rsidP="00B53EC2">
            <w:pPr>
              <w:spacing w:line="180" w:lineRule="exact"/>
              <w:contextualSpacing/>
              <w:rPr>
                <w:color w:val="auto"/>
                <w:sz w:val="18"/>
                <w:szCs w:val="18"/>
              </w:rPr>
            </w:pPr>
          </w:p>
        </w:tc>
        <w:tc>
          <w:tcPr>
            <w:tcW w:w="738" w:type="dxa"/>
            <w:vMerge/>
            <w:shd w:val="clear" w:color="auto" w:fill="FFFFFF" w:themeFill="background1"/>
            <w:vAlign w:val="center"/>
          </w:tcPr>
          <w:p w:rsidR="0048539C" w:rsidRPr="00B53EC2" w:rsidRDefault="0048539C" w:rsidP="00B53EC2">
            <w:pPr>
              <w:spacing w:line="180" w:lineRule="exact"/>
              <w:contextualSpacing/>
              <w:rPr>
                <w:color w:val="auto"/>
                <w:sz w:val="18"/>
                <w:szCs w:val="18"/>
              </w:rPr>
            </w:pPr>
          </w:p>
        </w:tc>
        <w:tc>
          <w:tcPr>
            <w:tcW w:w="990" w:type="dxa"/>
            <w:vMerge/>
            <w:shd w:val="clear" w:color="auto" w:fill="FFFFFF" w:themeFill="background1"/>
            <w:vAlign w:val="center"/>
          </w:tcPr>
          <w:p w:rsidR="0048539C" w:rsidRPr="00B53EC2" w:rsidRDefault="0048539C" w:rsidP="00B53EC2">
            <w:pPr>
              <w:spacing w:line="180" w:lineRule="exact"/>
              <w:contextualSpacing/>
              <w:rPr>
                <w:color w:val="auto"/>
                <w:sz w:val="18"/>
                <w:szCs w:val="18"/>
              </w:rPr>
            </w:pPr>
          </w:p>
        </w:tc>
      </w:tr>
      <w:tr w:rsidR="00B53EC2" w:rsidRPr="00B53EC2" w:rsidTr="00817893">
        <w:trPr>
          <w:trHeight w:val="287"/>
          <w:jc w:val="center"/>
        </w:trPr>
        <w:tc>
          <w:tcPr>
            <w:tcW w:w="4248" w:type="dxa"/>
            <w:gridSpan w:val="3"/>
            <w:vMerge w:val="restart"/>
            <w:tcBorders>
              <w:right w:val="thinThickThinSmallGap" w:sz="24" w:space="0" w:color="auto"/>
            </w:tcBorders>
            <w:shd w:val="clear" w:color="auto" w:fill="FFFFFF" w:themeFill="background1"/>
            <w:vAlign w:val="center"/>
          </w:tcPr>
          <w:p w:rsidR="00B53EC2" w:rsidRPr="00B53EC2" w:rsidRDefault="00B53EC2" w:rsidP="00B53EC2">
            <w:pPr>
              <w:spacing w:line="180" w:lineRule="exact"/>
              <w:rPr>
                <w:rFonts w:cstheme="minorHAnsi"/>
                <w:color w:val="auto"/>
                <w:sz w:val="18"/>
                <w:szCs w:val="18"/>
              </w:rPr>
            </w:pPr>
            <w:r w:rsidRPr="00B53EC2">
              <w:rPr>
                <w:rFonts w:cstheme="minorHAnsi"/>
                <w:color w:val="auto"/>
                <w:sz w:val="18"/>
                <w:szCs w:val="18"/>
              </w:rPr>
              <w:t>↓No Additional MEB/PEB Entries↓</w:t>
            </w:r>
          </w:p>
        </w:tc>
        <w:tc>
          <w:tcPr>
            <w:tcW w:w="2520" w:type="dxa"/>
            <w:tcBorders>
              <w:left w:val="thinThickThinSmallGap" w:sz="24" w:space="0" w:color="auto"/>
              <w:right w:val="single" w:sz="4" w:space="0" w:color="auto"/>
            </w:tcBorders>
            <w:shd w:val="clear" w:color="auto" w:fill="FFFFFF" w:themeFill="background1"/>
            <w:vAlign w:val="center"/>
          </w:tcPr>
          <w:p w:rsidR="00B53EC2" w:rsidRPr="00B53EC2" w:rsidRDefault="00B53EC2" w:rsidP="00B53EC2">
            <w:pPr>
              <w:spacing w:line="180" w:lineRule="exact"/>
              <w:contextualSpacing/>
              <w:jc w:val="left"/>
              <w:rPr>
                <w:rFonts w:cstheme="minorHAnsi"/>
                <w:color w:val="auto"/>
                <w:sz w:val="18"/>
                <w:szCs w:val="18"/>
              </w:rPr>
            </w:pPr>
            <w:r w:rsidRPr="00B53EC2">
              <w:rPr>
                <w:rFonts w:cstheme="minorHAnsi"/>
                <w:color w:val="auto"/>
                <w:sz w:val="18"/>
                <w:szCs w:val="18"/>
              </w:rPr>
              <w:t xml:space="preserve">Right </w:t>
            </w:r>
            <w:proofErr w:type="spellStart"/>
            <w:r w:rsidRPr="00B53EC2">
              <w:rPr>
                <w:rFonts w:cstheme="minorHAnsi"/>
                <w:color w:val="auto"/>
                <w:sz w:val="18"/>
                <w:szCs w:val="18"/>
              </w:rPr>
              <w:t>Patellofemora</w:t>
            </w:r>
            <w:r>
              <w:rPr>
                <w:rFonts w:cstheme="minorHAnsi"/>
                <w:color w:val="auto"/>
                <w:sz w:val="18"/>
                <w:szCs w:val="18"/>
              </w:rPr>
              <w:t>l</w:t>
            </w:r>
            <w:proofErr w:type="spellEnd"/>
            <w:r w:rsidRPr="00B53EC2">
              <w:rPr>
                <w:rFonts w:cstheme="minorHAnsi"/>
                <w:color w:val="auto"/>
                <w:sz w:val="18"/>
                <w:szCs w:val="18"/>
              </w:rPr>
              <w:t xml:space="preserve"> Syndrome</w:t>
            </w:r>
          </w:p>
        </w:tc>
        <w:tc>
          <w:tcPr>
            <w:tcW w:w="1080" w:type="dxa"/>
            <w:tcBorders>
              <w:left w:val="single" w:sz="4" w:space="0" w:color="auto"/>
            </w:tcBorders>
            <w:shd w:val="clear" w:color="auto" w:fill="FFFFFF" w:themeFill="background1"/>
            <w:vAlign w:val="center"/>
          </w:tcPr>
          <w:p w:rsidR="00B53EC2" w:rsidRPr="00B53EC2" w:rsidRDefault="00B53EC2" w:rsidP="00B53EC2">
            <w:pPr>
              <w:spacing w:line="180" w:lineRule="exact"/>
              <w:contextualSpacing/>
              <w:rPr>
                <w:rFonts w:cstheme="minorHAnsi"/>
                <w:color w:val="auto"/>
                <w:sz w:val="18"/>
                <w:szCs w:val="18"/>
              </w:rPr>
            </w:pPr>
            <w:r w:rsidRPr="00B53EC2">
              <w:rPr>
                <w:rFonts w:cstheme="minorHAnsi"/>
                <w:color w:val="auto"/>
                <w:sz w:val="18"/>
                <w:szCs w:val="18"/>
              </w:rPr>
              <w:t>5260-5024</w:t>
            </w:r>
          </w:p>
        </w:tc>
        <w:tc>
          <w:tcPr>
            <w:tcW w:w="738" w:type="dxa"/>
            <w:shd w:val="clear" w:color="auto" w:fill="FFFFFF" w:themeFill="background1"/>
            <w:vAlign w:val="center"/>
          </w:tcPr>
          <w:p w:rsidR="00B53EC2" w:rsidRPr="00B53EC2" w:rsidRDefault="00B53EC2" w:rsidP="00B53EC2">
            <w:pPr>
              <w:spacing w:line="180" w:lineRule="exact"/>
              <w:contextualSpacing/>
              <w:rPr>
                <w:rFonts w:cstheme="minorHAnsi"/>
                <w:color w:val="auto"/>
                <w:sz w:val="18"/>
                <w:szCs w:val="18"/>
              </w:rPr>
            </w:pPr>
            <w:r w:rsidRPr="00B53EC2">
              <w:rPr>
                <w:rFonts w:cstheme="minorHAnsi"/>
                <w:color w:val="auto"/>
                <w:sz w:val="18"/>
                <w:szCs w:val="18"/>
              </w:rPr>
              <w:t>10%</w:t>
            </w:r>
          </w:p>
        </w:tc>
        <w:tc>
          <w:tcPr>
            <w:tcW w:w="990" w:type="dxa"/>
            <w:shd w:val="clear" w:color="auto" w:fill="FFFFFF" w:themeFill="background1"/>
            <w:vAlign w:val="center"/>
          </w:tcPr>
          <w:p w:rsidR="00B53EC2" w:rsidRPr="00B53EC2" w:rsidRDefault="00B53EC2" w:rsidP="00B53EC2">
            <w:pPr>
              <w:spacing w:line="180" w:lineRule="exact"/>
              <w:contextualSpacing/>
              <w:rPr>
                <w:rFonts w:cstheme="minorHAnsi"/>
                <w:color w:val="auto"/>
                <w:sz w:val="18"/>
                <w:szCs w:val="18"/>
              </w:rPr>
            </w:pPr>
            <w:r w:rsidRPr="00B53EC2">
              <w:rPr>
                <w:rFonts w:cstheme="minorHAnsi"/>
                <w:color w:val="auto"/>
                <w:sz w:val="18"/>
                <w:szCs w:val="18"/>
              </w:rPr>
              <w:t>20020423</w:t>
            </w:r>
          </w:p>
        </w:tc>
      </w:tr>
      <w:tr w:rsidR="00B53EC2" w:rsidRPr="00B53EC2" w:rsidTr="00817893">
        <w:trPr>
          <w:trHeight w:val="287"/>
          <w:jc w:val="center"/>
        </w:trPr>
        <w:tc>
          <w:tcPr>
            <w:tcW w:w="4248" w:type="dxa"/>
            <w:gridSpan w:val="3"/>
            <w:vMerge/>
            <w:tcBorders>
              <w:right w:val="thinThickThinSmallGap" w:sz="24" w:space="0" w:color="auto"/>
            </w:tcBorders>
            <w:shd w:val="clear" w:color="auto" w:fill="FFFFFF" w:themeFill="background1"/>
            <w:vAlign w:val="center"/>
          </w:tcPr>
          <w:p w:rsidR="00B53EC2" w:rsidRPr="00B53EC2" w:rsidRDefault="00B53EC2" w:rsidP="00B53EC2">
            <w:pPr>
              <w:spacing w:line="180" w:lineRule="exact"/>
              <w:contextualSpacing/>
              <w:rPr>
                <w:rFonts w:cstheme="minorHAnsi"/>
                <w:color w:val="auto"/>
                <w:sz w:val="18"/>
                <w:szCs w:val="18"/>
              </w:rPr>
            </w:pPr>
          </w:p>
        </w:tc>
        <w:tc>
          <w:tcPr>
            <w:tcW w:w="2520" w:type="dxa"/>
            <w:tcBorders>
              <w:left w:val="thinThickThinSmallGap" w:sz="24" w:space="0" w:color="auto"/>
              <w:right w:val="single" w:sz="4" w:space="0" w:color="auto"/>
            </w:tcBorders>
            <w:shd w:val="clear" w:color="auto" w:fill="FFFFFF" w:themeFill="background1"/>
            <w:vAlign w:val="center"/>
          </w:tcPr>
          <w:p w:rsidR="00B53EC2" w:rsidRPr="00B53EC2" w:rsidRDefault="00B53EC2" w:rsidP="00B53EC2">
            <w:pPr>
              <w:spacing w:line="180" w:lineRule="exact"/>
              <w:contextualSpacing/>
              <w:jc w:val="left"/>
              <w:rPr>
                <w:rFonts w:cstheme="minorHAnsi"/>
                <w:color w:val="auto"/>
                <w:sz w:val="18"/>
                <w:szCs w:val="18"/>
              </w:rPr>
            </w:pPr>
            <w:r w:rsidRPr="00B53EC2">
              <w:rPr>
                <w:rFonts w:cstheme="minorHAnsi"/>
                <w:color w:val="auto"/>
                <w:sz w:val="18"/>
                <w:szCs w:val="18"/>
              </w:rPr>
              <w:t xml:space="preserve">Left </w:t>
            </w:r>
            <w:proofErr w:type="spellStart"/>
            <w:r w:rsidRPr="00B53EC2">
              <w:rPr>
                <w:rFonts w:cstheme="minorHAnsi"/>
                <w:color w:val="auto"/>
                <w:sz w:val="18"/>
                <w:szCs w:val="18"/>
              </w:rPr>
              <w:t>Patellofemoral</w:t>
            </w:r>
            <w:proofErr w:type="spellEnd"/>
            <w:r w:rsidRPr="00B53EC2">
              <w:rPr>
                <w:rFonts w:cstheme="minorHAnsi"/>
                <w:color w:val="auto"/>
                <w:sz w:val="18"/>
                <w:szCs w:val="18"/>
              </w:rPr>
              <w:t xml:space="preserve"> Syndrome</w:t>
            </w:r>
          </w:p>
        </w:tc>
        <w:tc>
          <w:tcPr>
            <w:tcW w:w="1080" w:type="dxa"/>
            <w:tcBorders>
              <w:left w:val="single" w:sz="4" w:space="0" w:color="auto"/>
            </w:tcBorders>
            <w:shd w:val="clear" w:color="auto" w:fill="FFFFFF" w:themeFill="background1"/>
            <w:vAlign w:val="center"/>
          </w:tcPr>
          <w:p w:rsidR="00B53EC2" w:rsidRPr="00B53EC2" w:rsidRDefault="00B53EC2" w:rsidP="00B53EC2">
            <w:pPr>
              <w:spacing w:line="180" w:lineRule="exact"/>
              <w:contextualSpacing/>
              <w:rPr>
                <w:rFonts w:cstheme="minorHAnsi"/>
                <w:color w:val="auto"/>
                <w:sz w:val="18"/>
                <w:szCs w:val="18"/>
              </w:rPr>
            </w:pPr>
            <w:r w:rsidRPr="00B53EC2">
              <w:rPr>
                <w:rFonts w:cstheme="minorHAnsi"/>
                <w:color w:val="auto"/>
                <w:sz w:val="18"/>
                <w:szCs w:val="18"/>
              </w:rPr>
              <w:t>5260-5024</w:t>
            </w:r>
          </w:p>
        </w:tc>
        <w:tc>
          <w:tcPr>
            <w:tcW w:w="738" w:type="dxa"/>
            <w:shd w:val="clear" w:color="auto" w:fill="FFFFFF" w:themeFill="background1"/>
            <w:vAlign w:val="center"/>
          </w:tcPr>
          <w:p w:rsidR="00B53EC2" w:rsidRPr="00B53EC2" w:rsidRDefault="00B53EC2" w:rsidP="00B53EC2">
            <w:pPr>
              <w:spacing w:line="180" w:lineRule="exact"/>
              <w:contextualSpacing/>
              <w:rPr>
                <w:rFonts w:cstheme="minorHAnsi"/>
                <w:color w:val="auto"/>
                <w:sz w:val="18"/>
                <w:szCs w:val="18"/>
              </w:rPr>
            </w:pPr>
            <w:r w:rsidRPr="00B53EC2">
              <w:rPr>
                <w:rFonts w:cstheme="minorHAnsi"/>
                <w:color w:val="auto"/>
                <w:sz w:val="18"/>
                <w:szCs w:val="18"/>
              </w:rPr>
              <w:t>10%</w:t>
            </w:r>
          </w:p>
        </w:tc>
        <w:tc>
          <w:tcPr>
            <w:tcW w:w="990" w:type="dxa"/>
            <w:shd w:val="clear" w:color="auto" w:fill="FFFFFF" w:themeFill="background1"/>
            <w:vAlign w:val="center"/>
          </w:tcPr>
          <w:p w:rsidR="00B53EC2" w:rsidRPr="00B53EC2" w:rsidRDefault="00B53EC2" w:rsidP="00B53EC2">
            <w:pPr>
              <w:spacing w:line="180" w:lineRule="exact"/>
              <w:contextualSpacing/>
              <w:rPr>
                <w:rFonts w:cstheme="minorHAnsi"/>
                <w:color w:val="auto"/>
                <w:sz w:val="18"/>
                <w:szCs w:val="18"/>
              </w:rPr>
            </w:pPr>
            <w:r w:rsidRPr="00B53EC2">
              <w:rPr>
                <w:rFonts w:cstheme="minorHAnsi"/>
                <w:color w:val="auto"/>
                <w:sz w:val="18"/>
                <w:szCs w:val="18"/>
              </w:rPr>
              <w:t>20020423</w:t>
            </w:r>
          </w:p>
        </w:tc>
      </w:tr>
      <w:tr w:rsidR="00B53EC2" w:rsidRPr="00B53EC2" w:rsidTr="00817893">
        <w:trPr>
          <w:trHeight w:val="287"/>
          <w:jc w:val="center"/>
        </w:trPr>
        <w:tc>
          <w:tcPr>
            <w:tcW w:w="4248" w:type="dxa"/>
            <w:gridSpan w:val="3"/>
            <w:vMerge/>
            <w:tcBorders>
              <w:right w:val="thinThickThinSmallGap" w:sz="24" w:space="0" w:color="auto"/>
            </w:tcBorders>
            <w:shd w:val="clear" w:color="auto" w:fill="FFFFFF" w:themeFill="background1"/>
            <w:vAlign w:val="center"/>
          </w:tcPr>
          <w:p w:rsidR="00B53EC2" w:rsidRPr="00B53EC2" w:rsidRDefault="00B53EC2" w:rsidP="00B53EC2">
            <w:pPr>
              <w:spacing w:line="180" w:lineRule="exact"/>
              <w:contextualSpacing/>
              <w:rPr>
                <w:rFonts w:cstheme="minorHAnsi"/>
                <w:color w:val="auto"/>
                <w:sz w:val="18"/>
                <w:szCs w:val="18"/>
              </w:rPr>
            </w:pPr>
          </w:p>
        </w:tc>
        <w:tc>
          <w:tcPr>
            <w:tcW w:w="2520" w:type="dxa"/>
            <w:tcBorders>
              <w:left w:val="thinThickThinSmallGap" w:sz="24" w:space="0" w:color="auto"/>
              <w:right w:val="single" w:sz="4" w:space="0" w:color="auto"/>
            </w:tcBorders>
            <w:shd w:val="clear" w:color="auto" w:fill="FFFFFF" w:themeFill="background1"/>
            <w:vAlign w:val="center"/>
          </w:tcPr>
          <w:p w:rsidR="00B53EC2" w:rsidRPr="00B53EC2" w:rsidRDefault="00B53EC2" w:rsidP="00B53EC2">
            <w:pPr>
              <w:spacing w:line="180" w:lineRule="exact"/>
              <w:contextualSpacing/>
              <w:jc w:val="left"/>
              <w:rPr>
                <w:rFonts w:cstheme="minorHAnsi"/>
                <w:color w:val="auto"/>
                <w:sz w:val="18"/>
                <w:szCs w:val="18"/>
              </w:rPr>
            </w:pPr>
            <w:r w:rsidRPr="00B53EC2">
              <w:rPr>
                <w:rFonts w:cstheme="minorHAnsi"/>
                <w:color w:val="auto"/>
                <w:sz w:val="18"/>
                <w:szCs w:val="18"/>
              </w:rPr>
              <w:t>Degenerative Disc Disease, Cervical Spine</w:t>
            </w:r>
          </w:p>
        </w:tc>
        <w:tc>
          <w:tcPr>
            <w:tcW w:w="1080" w:type="dxa"/>
            <w:tcBorders>
              <w:left w:val="single" w:sz="4" w:space="0" w:color="auto"/>
            </w:tcBorders>
            <w:shd w:val="clear" w:color="auto" w:fill="FFFFFF" w:themeFill="background1"/>
            <w:vAlign w:val="center"/>
          </w:tcPr>
          <w:p w:rsidR="00B53EC2" w:rsidRPr="00B53EC2" w:rsidRDefault="0048539C" w:rsidP="00B53EC2">
            <w:pPr>
              <w:spacing w:line="180" w:lineRule="exact"/>
              <w:contextualSpacing/>
              <w:rPr>
                <w:rFonts w:cstheme="minorHAnsi"/>
                <w:color w:val="auto"/>
                <w:sz w:val="18"/>
                <w:szCs w:val="18"/>
              </w:rPr>
            </w:pPr>
            <w:r>
              <w:rPr>
                <w:rFonts w:cstheme="minorHAnsi"/>
                <w:color w:val="auto"/>
                <w:sz w:val="18"/>
                <w:szCs w:val="18"/>
              </w:rPr>
              <w:t>5293-5290</w:t>
            </w:r>
          </w:p>
        </w:tc>
        <w:tc>
          <w:tcPr>
            <w:tcW w:w="738" w:type="dxa"/>
            <w:shd w:val="clear" w:color="auto" w:fill="FFFFFF" w:themeFill="background1"/>
            <w:vAlign w:val="center"/>
          </w:tcPr>
          <w:p w:rsidR="00B53EC2" w:rsidRPr="00B53EC2" w:rsidRDefault="0048539C" w:rsidP="00B53EC2">
            <w:pPr>
              <w:spacing w:line="180" w:lineRule="exact"/>
              <w:contextualSpacing/>
              <w:rPr>
                <w:rFonts w:cstheme="minorHAnsi"/>
                <w:color w:val="auto"/>
                <w:sz w:val="18"/>
                <w:szCs w:val="18"/>
              </w:rPr>
            </w:pPr>
            <w:r>
              <w:rPr>
                <w:rFonts w:cstheme="minorHAnsi"/>
                <w:color w:val="auto"/>
                <w:sz w:val="18"/>
                <w:szCs w:val="18"/>
              </w:rPr>
              <w:t>10%</w:t>
            </w:r>
          </w:p>
        </w:tc>
        <w:tc>
          <w:tcPr>
            <w:tcW w:w="990" w:type="dxa"/>
            <w:shd w:val="clear" w:color="auto" w:fill="FFFFFF" w:themeFill="background1"/>
            <w:vAlign w:val="center"/>
          </w:tcPr>
          <w:p w:rsidR="00B53EC2" w:rsidRPr="00B53EC2" w:rsidRDefault="00B53EC2" w:rsidP="00B53EC2">
            <w:pPr>
              <w:spacing w:line="180" w:lineRule="exact"/>
              <w:contextualSpacing/>
              <w:rPr>
                <w:rFonts w:cstheme="minorHAnsi"/>
                <w:color w:val="auto"/>
                <w:sz w:val="18"/>
                <w:szCs w:val="18"/>
              </w:rPr>
            </w:pPr>
            <w:r w:rsidRPr="00B53EC2">
              <w:rPr>
                <w:rFonts w:cstheme="minorHAnsi"/>
                <w:color w:val="auto"/>
                <w:sz w:val="18"/>
                <w:szCs w:val="18"/>
              </w:rPr>
              <w:t>20020423</w:t>
            </w:r>
          </w:p>
        </w:tc>
      </w:tr>
      <w:tr w:rsidR="00B53EC2" w:rsidRPr="00B53EC2" w:rsidTr="00817893">
        <w:trPr>
          <w:trHeight w:val="260"/>
          <w:jc w:val="center"/>
        </w:trPr>
        <w:tc>
          <w:tcPr>
            <w:tcW w:w="4248" w:type="dxa"/>
            <w:gridSpan w:val="3"/>
            <w:vMerge/>
            <w:tcBorders>
              <w:right w:val="thinThickThinSmallGap" w:sz="24" w:space="0" w:color="auto"/>
            </w:tcBorders>
            <w:shd w:val="clear" w:color="auto" w:fill="FFFFFF" w:themeFill="background1"/>
          </w:tcPr>
          <w:p w:rsidR="00B53EC2" w:rsidRPr="00B53EC2" w:rsidRDefault="00B53EC2" w:rsidP="00B53EC2">
            <w:pPr>
              <w:spacing w:line="180" w:lineRule="exact"/>
              <w:contextualSpacing/>
              <w:rPr>
                <w:rFonts w:cstheme="minorHAnsi"/>
                <w:color w:val="auto"/>
                <w:sz w:val="18"/>
                <w:szCs w:val="18"/>
              </w:rPr>
            </w:pPr>
          </w:p>
        </w:tc>
        <w:tc>
          <w:tcPr>
            <w:tcW w:w="4338" w:type="dxa"/>
            <w:gridSpan w:val="3"/>
            <w:tcBorders>
              <w:left w:val="thinThickThinSmallGap" w:sz="24" w:space="0" w:color="auto"/>
            </w:tcBorders>
            <w:shd w:val="clear" w:color="auto" w:fill="FFFFFF" w:themeFill="background1"/>
            <w:vAlign w:val="center"/>
          </w:tcPr>
          <w:p w:rsidR="00B53EC2" w:rsidRPr="00B53EC2" w:rsidRDefault="00DA043D" w:rsidP="00B53EC2">
            <w:pPr>
              <w:spacing w:line="180" w:lineRule="exact"/>
              <w:contextualSpacing/>
              <w:rPr>
                <w:rFonts w:cstheme="minorHAnsi"/>
                <w:color w:val="auto"/>
                <w:sz w:val="18"/>
                <w:szCs w:val="18"/>
              </w:rPr>
            </w:pPr>
            <w:r>
              <w:rPr>
                <w:rFonts w:cstheme="minorHAnsi"/>
                <w:color w:val="auto"/>
                <w:sz w:val="18"/>
                <w:szCs w:val="18"/>
              </w:rPr>
              <w:t>0% x 1/Not Service-</w:t>
            </w:r>
            <w:r w:rsidR="00B53EC2" w:rsidRPr="00B53EC2">
              <w:rPr>
                <w:rFonts w:cstheme="minorHAnsi"/>
                <w:color w:val="auto"/>
                <w:sz w:val="18"/>
                <w:szCs w:val="18"/>
              </w:rPr>
              <w:t>Connected x 7</w:t>
            </w:r>
          </w:p>
        </w:tc>
        <w:tc>
          <w:tcPr>
            <w:tcW w:w="990" w:type="dxa"/>
            <w:shd w:val="clear" w:color="auto" w:fill="FFFFFF" w:themeFill="background1"/>
            <w:vAlign w:val="center"/>
          </w:tcPr>
          <w:p w:rsidR="00B53EC2" w:rsidRPr="00B53EC2" w:rsidRDefault="00B53EC2" w:rsidP="00B53EC2">
            <w:pPr>
              <w:spacing w:line="180" w:lineRule="exact"/>
              <w:contextualSpacing/>
              <w:rPr>
                <w:rFonts w:cstheme="minorHAnsi"/>
                <w:color w:val="auto"/>
                <w:sz w:val="18"/>
                <w:szCs w:val="18"/>
              </w:rPr>
            </w:pPr>
            <w:r w:rsidRPr="00B53EC2">
              <w:rPr>
                <w:rFonts w:cstheme="minorHAnsi"/>
                <w:color w:val="auto"/>
                <w:sz w:val="18"/>
                <w:szCs w:val="18"/>
              </w:rPr>
              <w:t>20020423</w:t>
            </w:r>
          </w:p>
        </w:tc>
      </w:tr>
      <w:tr w:rsidR="007A65A9" w:rsidRPr="00B53EC2" w:rsidTr="00817893">
        <w:trPr>
          <w:trHeight w:val="242"/>
          <w:jc w:val="center"/>
        </w:trPr>
        <w:tc>
          <w:tcPr>
            <w:tcW w:w="4248" w:type="dxa"/>
            <w:gridSpan w:val="3"/>
            <w:tcBorders>
              <w:right w:val="thinThickThinSmallGap" w:sz="24" w:space="0" w:color="auto"/>
            </w:tcBorders>
            <w:shd w:val="clear" w:color="auto" w:fill="D9D9D9" w:themeFill="background1" w:themeFillShade="D9"/>
            <w:vAlign w:val="center"/>
          </w:tcPr>
          <w:p w:rsidR="007A65A9" w:rsidRPr="00B53EC2" w:rsidRDefault="007A65A9" w:rsidP="00857538">
            <w:pPr>
              <w:spacing w:line="180" w:lineRule="exact"/>
              <w:contextualSpacing/>
              <w:rPr>
                <w:rFonts w:ascii="Calibri" w:hAnsi="Calibri" w:cs="Calibri"/>
                <w:b/>
                <w:color w:val="auto"/>
                <w:sz w:val="18"/>
                <w:szCs w:val="18"/>
              </w:rPr>
            </w:pPr>
            <w:r w:rsidRPr="00B53EC2">
              <w:rPr>
                <w:rFonts w:ascii="Calibri" w:hAnsi="Calibri" w:cs="Calibri"/>
                <w:b/>
                <w:color w:val="auto"/>
                <w:sz w:val="18"/>
                <w:szCs w:val="18"/>
              </w:rPr>
              <w:t xml:space="preserve">Combined: </w:t>
            </w:r>
            <w:r w:rsidR="006458FD" w:rsidRPr="00B53EC2">
              <w:rPr>
                <w:rFonts w:ascii="Calibri" w:hAnsi="Calibri" w:cs="Calibri"/>
                <w:b/>
                <w:color w:val="auto"/>
                <w:sz w:val="18"/>
                <w:szCs w:val="18"/>
              </w:rPr>
              <w:t xml:space="preserve"> </w:t>
            </w:r>
            <w:r w:rsidR="00B53EC2" w:rsidRPr="00B53EC2">
              <w:rPr>
                <w:rFonts w:ascii="Calibri" w:hAnsi="Calibri" w:cs="Calibri"/>
                <w:b/>
                <w:color w:val="auto"/>
                <w:sz w:val="18"/>
                <w:szCs w:val="18"/>
              </w:rPr>
              <w:t>0</w:t>
            </w:r>
            <w:r w:rsidRPr="00B53EC2">
              <w:rPr>
                <w:rFonts w:ascii="Calibri" w:hAnsi="Calibri" w:cs="Calibri"/>
                <w:b/>
                <w:color w:val="auto"/>
                <w:sz w:val="18"/>
                <w:szCs w:val="18"/>
              </w:rPr>
              <w:t>%</w:t>
            </w:r>
          </w:p>
        </w:tc>
        <w:tc>
          <w:tcPr>
            <w:tcW w:w="5328" w:type="dxa"/>
            <w:gridSpan w:val="4"/>
            <w:tcBorders>
              <w:left w:val="thinThickThinSmallGap" w:sz="24" w:space="0" w:color="auto"/>
            </w:tcBorders>
            <w:shd w:val="clear" w:color="auto" w:fill="D9D9D9" w:themeFill="background1" w:themeFillShade="D9"/>
            <w:vAlign w:val="center"/>
          </w:tcPr>
          <w:p w:rsidR="007A65A9" w:rsidRPr="00B53EC2" w:rsidRDefault="007A65A9" w:rsidP="00857538">
            <w:pPr>
              <w:spacing w:line="180" w:lineRule="exact"/>
              <w:contextualSpacing/>
              <w:rPr>
                <w:rFonts w:ascii="Calibri" w:hAnsi="Calibri" w:cs="Calibri"/>
                <w:b/>
                <w:color w:val="auto"/>
                <w:sz w:val="18"/>
                <w:szCs w:val="18"/>
              </w:rPr>
            </w:pPr>
            <w:r w:rsidRPr="00B53EC2">
              <w:rPr>
                <w:rFonts w:ascii="Calibri" w:hAnsi="Calibri" w:cs="Calibri"/>
                <w:b/>
                <w:color w:val="auto"/>
                <w:sz w:val="18"/>
                <w:szCs w:val="18"/>
              </w:rPr>
              <w:t xml:space="preserve">Combined:  </w:t>
            </w:r>
            <w:r w:rsidR="00B53EC2">
              <w:rPr>
                <w:rFonts w:ascii="Calibri" w:hAnsi="Calibri" w:cs="Calibri"/>
                <w:b/>
                <w:color w:val="auto"/>
                <w:sz w:val="18"/>
                <w:szCs w:val="18"/>
              </w:rPr>
              <w:t>7</w:t>
            </w:r>
            <w:r w:rsidR="006F0F9C" w:rsidRPr="00B53EC2">
              <w:rPr>
                <w:rFonts w:ascii="Calibri" w:hAnsi="Calibri" w:cs="Calibri"/>
                <w:b/>
                <w:color w:val="auto"/>
                <w:sz w:val="18"/>
                <w:szCs w:val="18"/>
              </w:rPr>
              <w:t>0</w:t>
            </w:r>
            <w:r w:rsidRPr="00B53EC2">
              <w:rPr>
                <w:rFonts w:ascii="Calibri" w:hAnsi="Calibri" w:cs="Calibri"/>
                <w:b/>
                <w:color w:val="auto"/>
                <w:sz w:val="18"/>
                <w:szCs w:val="18"/>
              </w:rPr>
              <w:t>%</w:t>
            </w:r>
          </w:p>
        </w:tc>
      </w:tr>
    </w:tbl>
    <w:p w:rsidR="00A97CD9" w:rsidRPr="00FE2DEF" w:rsidRDefault="00A97CD9" w:rsidP="00A97CD9">
      <w:pPr>
        <w:pBdr>
          <w:bottom w:val="single" w:sz="12" w:space="1" w:color="auto"/>
        </w:pBdr>
        <w:tabs>
          <w:tab w:val="left" w:pos="288"/>
          <w:tab w:val="left" w:pos="4752"/>
        </w:tabs>
        <w:jc w:val="both"/>
        <w:rPr>
          <w:color w:val="auto"/>
          <w:szCs w:val="24"/>
        </w:rPr>
      </w:pPr>
    </w:p>
    <w:p w:rsidR="000973D5" w:rsidRDefault="000973D5" w:rsidP="000973D5">
      <w:pPr>
        <w:jc w:val="both"/>
        <w:rPr>
          <w:color w:val="auto"/>
        </w:rPr>
      </w:pPr>
    </w:p>
    <w:p w:rsidR="000973D5" w:rsidRPr="001F29F9" w:rsidRDefault="000973D5" w:rsidP="000973D5">
      <w:pPr>
        <w:jc w:val="both"/>
        <w:rPr>
          <w:color w:val="000000"/>
          <w:u w:val="single"/>
        </w:rPr>
      </w:pPr>
      <w:r w:rsidRPr="001F29F9">
        <w:rPr>
          <w:color w:val="000000"/>
          <w:u w:val="single"/>
        </w:rPr>
        <w:t>ANALYSIS SUMMARY</w:t>
      </w:r>
      <w:r w:rsidRPr="001F29F9">
        <w:rPr>
          <w:color w:val="000000"/>
        </w:rPr>
        <w:t>:</w:t>
      </w:r>
      <w:r>
        <w:rPr>
          <w:color w:val="000000"/>
        </w:rPr>
        <w:t xml:space="preserve"> </w:t>
      </w:r>
      <w:r w:rsidRPr="00B505E9">
        <w:rPr>
          <w:color w:val="000000"/>
        </w:rPr>
        <w:t xml:space="preserve">The Board acknowledges the sentiment expressed in the CI’s application regarding the significant impairment with which his service-connected condition continues to burden him. It is a fact, however, that the DES has neither the role nor the authority to compensate service members for anticipated future severity or potential complications of conditions resulting in medical separation. </w:t>
      </w:r>
      <w:r w:rsidR="00857538">
        <w:rPr>
          <w:color w:val="000000"/>
        </w:rPr>
        <w:t xml:space="preserve"> </w:t>
      </w:r>
      <w:r w:rsidRPr="00B505E9">
        <w:rPr>
          <w:color w:val="000000"/>
        </w:rPr>
        <w:t>This role and authority is granted by Congress to the Department of Veteran</w:t>
      </w:r>
      <w:r w:rsidR="00DA043D">
        <w:rPr>
          <w:color w:val="000000"/>
        </w:rPr>
        <w:t>s’</w:t>
      </w:r>
      <w:r w:rsidRPr="00B505E9">
        <w:rPr>
          <w:color w:val="000000"/>
        </w:rPr>
        <w:t xml:space="preserve"> Affairs (DVA). </w:t>
      </w:r>
      <w:r w:rsidR="00857538">
        <w:rPr>
          <w:color w:val="000000"/>
        </w:rPr>
        <w:t xml:space="preserve"> </w:t>
      </w:r>
      <w:r w:rsidRPr="00B505E9">
        <w:rPr>
          <w:color w:val="000000"/>
        </w:rPr>
        <w:t xml:space="preserve">The DVA, operating under a different set of laws (Title 38, United States Code), is </w:t>
      </w:r>
      <w:r w:rsidR="00DA043D">
        <w:rPr>
          <w:color w:val="000000"/>
        </w:rPr>
        <w:t>empowered to compensate service-</w:t>
      </w:r>
      <w:r w:rsidRPr="00B505E9">
        <w:rPr>
          <w:color w:val="000000"/>
        </w:rPr>
        <w:t xml:space="preserve">connected conditions and to periodically re-evaluate said conditions for the purpose of adjusting the </w:t>
      </w:r>
      <w:r w:rsidR="00DA043D">
        <w:rPr>
          <w:color w:val="000000"/>
        </w:rPr>
        <w:t>V</w:t>
      </w:r>
      <w:r w:rsidRPr="00B505E9">
        <w:rPr>
          <w:color w:val="000000"/>
        </w:rPr>
        <w:t xml:space="preserve">eteran’s disability rating should </w:t>
      </w:r>
      <w:r w:rsidR="00DA043D">
        <w:rPr>
          <w:color w:val="000000"/>
        </w:rPr>
        <w:t>the</w:t>
      </w:r>
      <w:r w:rsidRPr="00B505E9">
        <w:rPr>
          <w:color w:val="000000"/>
        </w:rPr>
        <w:t xml:space="preserve"> degree of impairment vary over time. </w:t>
      </w:r>
      <w:r w:rsidR="00857538">
        <w:rPr>
          <w:color w:val="000000"/>
        </w:rPr>
        <w:t xml:space="preserve"> </w:t>
      </w:r>
      <w:r w:rsidRPr="00B505E9">
        <w:rPr>
          <w:color w:val="000000"/>
        </w:rPr>
        <w:t xml:space="preserve">The Board utilizes </w:t>
      </w:r>
      <w:r w:rsidR="00DA043D">
        <w:rPr>
          <w:color w:val="000000"/>
        </w:rPr>
        <w:t>D</w:t>
      </w:r>
      <w:r w:rsidRPr="00B505E9">
        <w:rPr>
          <w:color w:val="000000"/>
        </w:rPr>
        <w:t xml:space="preserve">VA evidence proximal to separation in arriving at its recommendations; and, </w:t>
      </w:r>
      <w:proofErr w:type="spellStart"/>
      <w:r w:rsidRPr="00B505E9">
        <w:rPr>
          <w:color w:val="000000"/>
        </w:rPr>
        <w:t>DoDI</w:t>
      </w:r>
      <w:proofErr w:type="spellEnd"/>
      <w:r w:rsidRPr="00B505E9">
        <w:rPr>
          <w:color w:val="000000"/>
        </w:rPr>
        <w:t xml:space="preserve"> 6040.44 defines a 12-month interval for special consideration to post-separation evidence. </w:t>
      </w:r>
      <w:r w:rsidR="00857538">
        <w:rPr>
          <w:color w:val="000000"/>
        </w:rPr>
        <w:t xml:space="preserve"> </w:t>
      </w:r>
      <w:r w:rsidRPr="00B505E9">
        <w:rPr>
          <w:color w:val="000000"/>
        </w:rPr>
        <w:t xml:space="preserve">The Board’s authority as defined in </w:t>
      </w:r>
      <w:proofErr w:type="spellStart"/>
      <w:r w:rsidRPr="00B505E9">
        <w:rPr>
          <w:color w:val="000000"/>
        </w:rPr>
        <w:t>DoDI</w:t>
      </w:r>
      <w:proofErr w:type="spellEnd"/>
      <w:r w:rsidRPr="00B505E9">
        <w:rPr>
          <w:color w:val="000000"/>
        </w:rPr>
        <w:t xml:space="preserve"> 6044.40, however, resides in evaluating the fairness of DES fitness </w:t>
      </w:r>
      <w:r w:rsidRPr="00B505E9">
        <w:rPr>
          <w:color w:val="000000"/>
        </w:rPr>
        <w:lastRenderedPageBreak/>
        <w:t xml:space="preserve">determinations and rating decisions for disability at the time of separation. </w:t>
      </w:r>
      <w:r w:rsidR="00857538">
        <w:rPr>
          <w:color w:val="000000"/>
        </w:rPr>
        <w:t xml:space="preserve"> </w:t>
      </w:r>
      <w:r w:rsidRPr="00B505E9">
        <w:rPr>
          <w:color w:val="000000"/>
        </w:rPr>
        <w:t>Post-separation evidence therefore is probative only to the extent that it reasonably reflects the disability and fitness implications at the time of separation.</w:t>
      </w:r>
    </w:p>
    <w:p w:rsidR="004C60A3" w:rsidRPr="00FE2DEF" w:rsidRDefault="004C60A3" w:rsidP="00BF0E94">
      <w:pPr>
        <w:jc w:val="left"/>
        <w:rPr>
          <w:color w:val="auto"/>
          <w:szCs w:val="24"/>
        </w:rPr>
      </w:pPr>
    </w:p>
    <w:p w:rsidR="00DA043D" w:rsidRDefault="00CA0169" w:rsidP="00817893">
      <w:pPr>
        <w:jc w:val="both"/>
        <w:rPr>
          <w:color w:val="auto"/>
        </w:rPr>
      </w:pPr>
      <w:proofErr w:type="gramStart"/>
      <w:r>
        <w:rPr>
          <w:color w:val="auto"/>
          <w:u w:val="single"/>
        </w:rPr>
        <w:t xml:space="preserve">Recurrent </w:t>
      </w:r>
      <w:r w:rsidRPr="00CA0169">
        <w:rPr>
          <w:color w:val="auto"/>
          <w:u w:val="single"/>
        </w:rPr>
        <w:t xml:space="preserve">Pulmonary Emboli </w:t>
      </w:r>
      <w:r>
        <w:rPr>
          <w:color w:val="auto"/>
          <w:u w:val="single"/>
        </w:rPr>
        <w:t>C</w:t>
      </w:r>
      <w:r w:rsidRPr="00CA0169">
        <w:rPr>
          <w:color w:val="auto"/>
          <w:u w:val="single"/>
        </w:rPr>
        <w:t>ondition</w:t>
      </w:r>
      <w:r w:rsidRPr="00460B81">
        <w:rPr>
          <w:color w:val="auto"/>
        </w:rPr>
        <w:t>.</w:t>
      </w:r>
      <w:proofErr w:type="gramEnd"/>
      <w:r w:rsidR="0042265A">
        <w:rPr>
          <w:color w:val="auto"/>
        </w:rPr>
        <w:t xml:space="preserve">  </w:t>
      </w:r>
      <w:r w:rsidR="00460B81">
        <w:rPr>
          <w:color w:val="auto"/>
        </w:rPr>
        <w:t xml:space="preserve">The CI experienced two episodes of pulmonary </w:t>
      </w:r>
      <w:r w:rsidR="00792388">
        <w:rPr>
          <w:color w:val="auto"/>
        </w:rPr>
        <w:t xml:space="preserve">venous </w:t>
      </w:r>
      <w:proofErr w:type="spellStart"/>
      <w:r w:rsidR="00460B81">
        <w:rPr>
          <w:color w:val="auto"/>
        </w:rPr>
        <w:t>thromboembolism</w:t>
      </w:r>
      <w:proofErr w:type="spellEnd"/>
      <w:r w:rsidR="00460B81">
        <w:rPr>
          <w:color w:val="auto"/>
        </w:rPr>
        <w:t>.  The first occurred in May 1999.</w:t>
      </w:r>
      <w:r w:rsidR="0042265A">
        <w:rPr>
          <w:color w:val="auto"/>
        </w:rPr>
        <w:t xml:space="preserve">  </w:t>
      </w:r>
      <w:r w:rsidR="00460B81">
        <w:rPr>
          <w:color w:val="auto"/>
        </w:rPr>
        <w:t xml:space="preserve">The second episode occurred in September 1999 while on anticoagulation </w:t>
      </w:r>
      <w:r w:rsidR="00DA043D">
        <w:rPr>
          <w:color w:val="auto"/>
        </w:rPr>
        <w:t>therapy;</w:t>
      </w:r>
      <w:r w:rsidR="00460B81">
        <w:rPr>
          <w:color w:val="auto"/>
        </w:rPr>
        <w:t xml:space="preserve"> however</w:t>
      </w:r>
      <w:r w:rsidR="00DA043D">
        <w:rPr>
          <w:color w:val="auto"/>
        </w:rPr>
        <w:t>,</w:t>
      </w:r>
      <w:r w:rsidR="00460B81">
        <w:rPr>
          <w:color w:val="auto"/>
        </w:rPr>
        <w:t xml:space="preserve"> </w:t>
      </w:r>
      <w:r w:rsidR="00B302C7">
        <w:rPr>
          <w:color w:val="auto"/>
        </w:rPr>
        <w:t xml:space="preserve">laboratory testing indicated it </w:t>
      </w:r>
      <w:r w:rsidR="00460B81">
        <w:rPr>
          <w:color w:val="auto"/>
        </w:rPr>
        <w:t>was at sub</w:t>
      </w:r>
      <w:r w:rsidR="00B302C7">
        <w:rPr>
          <w:color w:val="auto"/>
        </w:rPr>
        <w:t>-</w:t>
      </w:r>
      <w:r w:rsidR="00460B81">
        <w:rPr>
          <w:color w:val="auto"/>
        </w:rPr>
        <w:t>therapeutic levels.</w:t>
      </w:r>
      <w:r w:rsidR="0042265A">
        <w:rPr>
          <w:color w:val="auto"/>
        </w:rPr>
        <w:t xml:space="preserve">  </w:t>
      </w:r>
      <w:r w:rsidR="00460B81">
        <w:rPr>
          <w:color w:val="auto"/>
        </w:rPr>
        <w:t xml:space="preserve">Lung scanning </w:t>
      </w:r>
      <w:r w:rsidR="00B302C7">
        <w:rPr>
          <w:color w:val="auto"/>
        </w:rPr>
        <w:t xml:space="preserve">following </w:t>
      </w:r>
      <w:r w:rsidR="00460B81">
        <w:rPr>
          <w:color w:val="auto"/>
        </w:rPr>
        <w:t xml:space="preserve">both of these episodes demonstrated resolution of the blood clot.  The CI was found to have a genetic condition that predisposed him to abnormally increased tendency to form clots and long term anticoagulation was recommended. </w:t>
      </w:r>
      <w:r w:rsidR="0042265A">
        <w:rPr>
          <w:color w:val="auto"/>
        </w:rPr>
        <w:t xml:space="preserve"> </w:t>
      </w:r>
      <w:r w:rsidR="00460B81">
        <w:rPr>
          <w:color w:val="auto"/>
        </w:rPr>
        <w:t>Due to the requirement for chronic anticoagulation he was disqualified from submarine duty.  He underwent MEB and the PEB determined he was fit for continued surface duty in September 1999 shortly after the second episode of pulmonary embolism.</w:t>
      </w:r>
      <w:r w:rsidR="0042265A">
        <w:rPr>
          <w:color w:val="auto"/>
        </w:rPr>
        <w:t xml:space="preserve">  </w:t>
      </w:r>
      <w:r w:rsidR="00DF1D37">
        <w:rPr>
          <w:color w:val="auto"/>
        </w:rPr>
        <w:t>Recurrent e</w:t>
      </w:r>
      <w:r w:rsidR="00646376">
        <w:rPr>
          <w:color w:val="auto"/>
        </w:rPr>
        <w:t xml:space="preserve">pisodes of increased chest pain prompted evaluation for </w:t>
      </w:r>
      <w:r w:rsidR="00B302C7">
        <w:rPr>
          <w:color w:val="auto"/>
        </w:rPr>
        <w:t xml:space="preserve">suspected </w:t>
      </w:r>
      <w:r w:rsidR="00646376">
        <w:rPr>
          <w:color w:val="auto"/>
        </w:rPr>
        <w:t xml:space="preserve">recurrent </w:t>
      </w:r>
      <w:r w:rsidR="008818AB">
        <w:rPr>
          <w:color w:val="auto"/>
        </w:rPr>
        <w:t xml:space="preserve">pulmonary embolism </w:t>
      </w:r>
      <w:r w:rsidR="00646376">
        <w:rPr>
          <w:color w:val="auto"/>
        </w:rPr>
        <w:t xml:space="preserve">in </w:t>
      </w:r>
      <w:r w:rsidR="000C758B">
        <w:rPr>
          <w:color w:val="auto"/>
        </w:rPr>
        <w:t xml:space="preserve">March 2000 and </w:t>
      </w:r>
      <w:r w:rsidR="008818AB">
        <w:rPr>
          <w:color w:val="auto"/>
        </w:rPr>
        <w:t xml:space="preserve">again in </w:t>
      </w:r>
      <w:r w:rsidR="00646376">
        <w:rPr>
          <w:color w:val="auto"/>
        </w:rPr>
        <w:t>May 2001</w:t>
      </w:r>
      <w:r w:rsidR="00DA043D">
        <w:rPr>
          <w:color w:val="auto"/>
        </w:rPr>
        <w:t>;</w:t>
      </w:r>
      <w:r w:rsidR="00646376">
        <w:rPr>
          <w:color w:val="auto"/>
        </w:rPr>
        <w:t xml:space="preserve"> </w:t>
      </w:r>
      <w:r w:rsidR="000C758B">
        <w:rPr>
          <w:color w:val="auto"/>
        </w:rPr>
        <w:t>however</w:t>
      </w:r>
      <w:r w:rsidR="00DA043D">
        <w:rPr>
          <w:color w:val="auto"/>
        </w:rPr>
        <w:t>,</w:t>
      </w:r>
      <w:r w:rsidR="000C758B">
        <w:rPr>
          <w:color w:val="auto"/>
        </w:rPr>
        <w:t xml:space="preserve"> pulmonary angiogram performed each time was negative for </w:t>
      </w:r>
      <w:r w:rsidR="008818AB">
        <w:rPr>
          <w:color w:val="auto"/>
        </w:rPr>
        <w:t>evidence of acute pulmonary embolism</w:t>
      </w:r>
      <w:r w:rsidR="00992625">
        <w:rPr>
          <w:color w:val="auto"/>
        </w:rPr>
        <w:t>,</w:t>
      </w:r>
      <w:r w:rsidR="008818AB">
        <w:rPr>
          <w:color w:val="auto"/>
        </w:rPr>
        <w:t xml:space="preserve"> chronic pulmonary embolism</w:t>
      </w:r>
      <w:r w:rsidR="00992625">
        <w:rPr>
          <w:color w:val="auto"/>
        </w:rPr>
        <w:t>,</w:t>
      </w:r>
      <w:r w:rsidR="008818AB">
        <w:rPr>
          <w:color w:val="auto"/>
        </w:rPr>
        <w:t xml:space="preserve"> or chronic pulmonary vascular disease.</w:t>
      </w:r>
      <w:r w:rsidR="008E60C6">
        <w:rPr>
          <w:color w:val="auto"/>
        </w:rPr>
        <w:t xml:space="preserve">  A computed axial tomography of the chest and CT angiography </w:t>
      </w:r>
      <w:r w:rsidR="00B302C7">
        <w:rPr>
          <w:color w:val="auto"/>
        </w:rPr>
        <w:t xml:space="preserve">of the chest </w:t>
      </w:r>
      <w:r w:rsidR="008E60C6">
        <w:rPr>
          <w:color w:val="auto"/>
        </w:rPr>
        <w:t>was also normal in March 2000</w:t>
      </w:r>
      <w:r w:rsidR="00E02A1C">
        <w:rPr>
          <w:color w:val="auto"/>
        </w:rPr>
        <w:t xml:space="preserve"> including other chest, lung and heart structure</w:t>
      </w:r>
      <w:r w:rsidR="00B302C7">
        <w:rPr>
          <w:color w:val="auto"/>
        </w:rPr>
        <w:t>s</w:t>
      </w:r>
      <w:r w:rsidR="00E02A1C">
        <w:rPr>
          <w:color w:val="auto"/>
        </w:rPr>
        <w:t>.  A VQ scan in May 2001 was reportedly normal as well.</w:t>
      </w:r>
      <w:r w:rsidR="0042265A">
        <w:rPr>
          <w:color w:val="auto"/>
        </w:rPr>
        <w:t xml:space="preserve">  </w:t>
      </w:r>
      <w:r w:rsidR="00DF1D37">
        <w:rPr>
          <w:color w:val="auto"/>
        </w:rPr>
        <w:t xml:space="preserve">The CI experienced persistent chronic chest pain of unclear cause that was controlled with medication but increased with activity preventing completion of the physical fitness test.  </w:t>
      </w:r>
      <w:proofErr w:type="gramStart"/>
      <w:r w:rsidR="00DF1D37">
        <w:rPr>
          <w:color w:val="auto"/>
        </w:rPr>
        <w:t>A</w:t>
      </w:r>
      <w:r w:rsidR="00992625">
        <w:rPr>
          <w:color w:val="auto"/>
        </w:rPr>
        <w:t xml:space="preserve"> </w:t>
      </w:r>
      <w:r w:rsidR="00DF1D37">
        <w:rPr>
          <w:color w:val="auto"/>
        </w:rPr>
        <w:t>clinic encounter</w:t>
      </w:r>
      <w:r w:rsidR="00FC1B2C">
        <w:rPr>
          <w:color w:val="auto"/>
        </w:rPr>
        <w:t xml:space="preserve"> on</w:t>
      </w:r>
      <w:r w:rsidR="00DA043D">
        <w:rPr>
          <w:color w:val="auto"/>
        </w:rPr>
        <w:t xml:space="preserve"> </w:t>
      </w:r>
      <w:r w:rsidR="00DF1D37">
        <w:rPr>
          <w:color w:val="auto"/>
        </w:rPr>
        <w:t>23 April 2001</w:t>
      </w:r>
      <w:r w:rsidR="00B302C7">
        <w:rPr>
          <w:color w:val="auto"/>
        </w:rPr>
        <w:t>,</w:t>
      </w:r>
      <w:r w:rsidR="00DF1D37">
        <w:rPr>
          <w:color w:val="auto"/>
        </w:rPr>
        <w:t xml:space="preserve"> noted adequate pain control with non-narcotic medication without side effects.</w:t>
      </w:r>
      <w:proofErr w:type="gramEnd"/>
      <w:r w:rsidR="0042265A">
        <w:rPr>
          <w:color w:val="auto"/>
        </w:rPr>
        <w:t xml:space="preserve">  </w:t>
      </w:r>
    </w:p>
    <w:p w:rsidR="00DA043D" w:rsidRDefault="00DA043D" w:rsidP="00817893">
      <w:pPr>
        <w:jc w:val="both"/>
        <w:rPr>
          <w:color w:val="auto"/>
        </w:rPr>
      </w:pPr>
    </w:p>
    <w:p w:rsidR="00DA043D" w:rsidRDefault="00DF1D37" w:rsidP="00817893">
      <w:pPr>
        <w:jc w:val="both"/>
        <w:rPr>
          <w:color w:val="auto"/>
        </w:rPr>
      </w:pPr>
      <w:r>
        <w:rPr>
          <w:color w:val="auto"/>
        </w:rPr>
        <w:t xml:space="preserve">A 5 June 2001 clinic entry recorded the pain level </w:t>
      </w:r>
      <w:r w:rsidR="00992625">
        <w:rPr>
          <w:color w:val="auto"/>
        </w:rPr>
        <w:t>w</w:t>
      </w:r>
      <w:r>
        <w:rPr>
          <w:color w:val="auto"/>
        </w:rPr>
        <w:t xml:space="preserve">as two on a scale of ten.  </w:t>
      </w:r>
      <w:r w:rsidR="00E02A1C">
        <w:rPr>
          <w:color w:val="auto"/>
        </w:rPr>
        <w:t>At the time of the MEB NARSUM</w:t>
      </w:r>
      <w:r w:rsidR="00FC1B2C">
        <w:rPr>
          <w:color w:val="auto"/>
        </w:rPr>
        <w:t xml:space="preserve"> dated</w:t>
      </w:r>
      <w:r w:rsidR="00E02A1C">
        <w:rPr>
          <w:color w:val="auto"/>
        </w:rPr>
        <w:t xml:space="preserve"> 10 August 2001, he could </w:t>
      </w:r>
      <w:r w:rsidR="00E02A1C" w:rsidRPr="008715AD">
        <w:rPr>
          <w:rFonts w:cs="Calibri"/>
          <w:color w:val="auto"/>
          <w:szCs w:val="24"/>
        </w:rPr>
        <w:t>carry out his</w:t>
      </w:r>
      <w:r w:rsidR="00E02A1C">
        <w:rPr>
          <w:rFonts w:cs="Calibri"/>
          <w:color w:val="auto"/>
          <w:szCs w:val="24"/>
        </w:rPr>
        <w:t xml:space="preserve"> </w:t>
      </w:r>
      <w:r w:rsidR="00E02A1C" w:rsidRPr="008715AD">
        <w:rPr>
          <w:rFonts w:cs="Calibri"/>
          <w:color w:val="auto"/>
          <w:szCs w:val="24"/>
        </w:rPr>
        <w:t xml:space="preserve">duties as an instructor, but he </w:t>
      </w:r>
      <w:r w:rsidR="00E02A1C">
        <w:rPr>
          <w:rFonts w:cs="Calibri"/>
          <w:color w:val="auto"/>
          <w:szCs w:val="24"/>
        </w:rPr>
        <w:t xml:space="preserve">could not </w:t>
      </w:r>
      <w:r w:rsidR="00E02A1C" w:rsidRPr="008715AD">
        <w:rPr>
          <w:rFonts w:cs="Calibri"/>
          <w:color w:val="auto"/>
          <w:szCs w:val="24"/>
        </w:rPr>
        <w:t>tolerate exercise</w:t>
      </w:r>
      <w:r w:rsidR="00E02A1C">
        <w:rPr>
          <w:rFonts w:cs="Calibri"/>
          <w:color w:val="auto"/>
          <w:szCs w:val="24"/>
        </w:rPr>
        <w:t xml:space="preserve"> due to chest pain.</w:t>
      </w:r>
      <w:r>
        <w:rPr>
          <w:rFonts w:cs="Calibri"/>
          <w:color w:val="auto"/>
          <w:szCs w:val="24"/>
        </w:rPr>
        <w:t xml:space="preserve">  His anticoagulant medication had been changed to an </w:t>
      </w:r>
      <w:proofErr w:type="spellStart"/>
      <w:r>
        <w:rPr>
          <w:rFonts w:cs="Calibri"/>
          <w:color w:val="auto"/>
          <w:szCs w:val="24"/>
        </w:rPr>
        <w:t>injectable</w:t>
      </w:r>
      <w:proofErr w:type="spellEnd"/>
      <w:r>
        <w:rPr>
          <w:rFonts w:cs="Calibri"/>
          <w:color w:val="auto"/>
          <w:szCs w:val="24"/>
        </w:rPr>
        <w:t xml:space="preserve"> form.  The physical examination, chest X-ray and electrocardiogram were normal.  The PEB determined the CI was unfit for continued military duty and cited the use of an </w:t>
      </w:r>
      <w:proofErr w:type="spellStart"/>
      <w:r>
        <w:rPr>
          <w:rFonts w:cs="Calibri"/>
          <w:color w:val="auto"/>
          <w:szCs w:val="24"/>
        </w:rPr>
        <w:t>injectable</w:t>
      </w:r>
      <w:proofErr w:type="spellEnd"/>
      <w:r>
        <w:rPr>
          <w:rFonts w:cs="Calibri"/>
          <w:color w:val="auto"/>
          <w:szCs w:val="24"/>
        </w:rPr>
        <w:t xml:space="preserve"> anticoagulant versus the oral form </w:t>
      </w:r>
      <w:r w:rsidR="004206A1">
        <w:rPr>
          <w:rFonts w:cs="Calibri"/>
          <w:color w:val="auto"/>
          <w:szCs w:val="24"/>
        </w:rPr>
        <w:t>in addition to the chest pain</w:t>
      </w:r>
      <w:r>
        <w:rPr>
          <w:rFonts w:cs="Calibri"/>
          <w:color w:val="auto"/>
          <w:szCs w:val="24"/>
        </w:rPr>
        <w:t>.</w:t>
      </w:r>
      <w:r w:rsidR="0042265A">
        <w:rPr>
          <w:rFonts w:cs="Calibri"/>
          <w:color w:val="auto"/>
          <w:szCs w:val="24"/>
        </w:rPr>
        <w:t xml:space="preserve">  </w:t>
      </w:r>
      <w:r>
        <w:rPr>
          <w:rFonts w:cs="Calibri"/>
          <w:color w:val="auto"/>
          <w:szCs w:val="24"/>
        </w:rPr>
        <w:t xml:space="preserve">At the time of the VA </w:t>
      </w:r>
      <w:r w:rsidR="00DA043D">
        <w:rPr>
          <w:rFonts w:cs="Calibri"/>
          <w:color w:val="auto"/>
          <w:szCs w:val="24"/>
        </w:rPr>
        <w:t>C</w:t>
      </w:r>
      <w:r>
        <w:rPr>
          <w:rFonts w:cs="Calibri"/>
          <w:color w:val="auto"/>
          <w:szCs w:val="24"/>
        </w:rPr>
        <w:t xml:space="preserve">ompensation and </w:t>
      </w:r>
      <w:r w:rsidR="00DA043D">
        <w:rPr>
          <w:rFonts w:cs="Calibri"/>
          <w:color w:val="auto"/>
          <w:szCs w:val="24"/>
        </w:rPr>
        <w:t>P</w:t>
      </w:r>
      <w:r>
        <w:rPr>
          <w:rFonts w:cs="Calibri"/>
          <w:color w:val="auto"/>
          <w:szCs w:val="24"/>
        </w:rPr>
        <w:t xml:space="preserve">ension (C&amp;P) examination, </w:t>
      </w:r>
      <w:r w:rsidR="00DA043D">
        <w:rPr>
          <w:rFonts w:cs="Calibri"/>
          <w:color w:val="auto"/>
          <w:szCs w:val="24"/>
        </w:rPr>
        <w:t>3</w:t>
      </w:r>
      <w:r>
        <w:rPr>
          <w:rFonts w:cs="Calibri"/>
          <w:color w:val="auto"/>
          <w:szCs w:val="24"/>
        </w:rPr>
        <w:t xml:space="preserve"> months after separation, there had been no recurrence</w:t>
      </w:r>
      <w:r w:rsidR="00992625">
        <w:rPr>
          <w:rFonts w:cs="Calibri"/>
          <w:color w:val="auto"/>
          <w:szCs w:val="24"/>
        </w:rPr>
        <w:t xml:space="preserve"> of pulmonary embolism</w:t>
      </w:r>
      <w:r>
        <w:rPr>
          <w:rFonts w:cs="Calibri"/>
          <w:color w:val="auto"/>
          <w:szCs w:val="24"/>
        </w:rPr>
        <w:t xml:space="preserve">.  The examiner recorded a third episode of pulmonary embolism in early 2000 but primary service treatment records indicate this was ruled out by a normal pulmonary angiogram and normal CT angiogram.  The CI reported chest pain with deep breathing.  The physical examination was normal and </w:t>
      </w:r>
      <w:proofErr w:type="spellStart"/>
      <w:r>
        <w:rPr>
          <w:rFonts w:cs="Calibri"/>
          <w:color w:val="auto"/>
          <w:szCs w:val="24"/>
        </w:rPr>
        <w:t>spirometry</w:t>
      </w:r>
      <w:proofErr w:type="spellEnd"/>
      <w:r>
        <w:rPr>
          <w:rFonts w:cs="Calibri"/>
          <w:color w:val="auto"/>
          <w:szCs w:val="24"/>
        </w:rPr>
        <w:t xml:space="preserve"> was normal.</w:t>
      </w:r>
      <w:r w:rsidR="0042265A">
        <w:rPr>
          <w:rFonts w:cs="Calibri"/>
          <w:color w:val="auto"/>
          <w:szCs w:val="24"/>
        </w:rPr>
        <w:t xml:space="preserve">  </w:t>
      </w:r>
      <w:r w:rsidR="004206A1">
        <w:rPr>
          <w:rFonts w:cs="Calibri"/>
          <w:color w:val="auto"/>
          <w:szCs w:val="24"/>
        </w:rPr>
        <w:t>The PEB rated the CI’s condition</w:t>
      </w:r>
      <w:r w:rsidR="00FC1B2C">
        <w:rPr>
          <w:rFonts w:cs="Calibri"/>
          <w:color w:val="auto"/>
          <w:szCs w:val="24"/>
        </w:rPr>
        <w:t xml:space="preserve"> at</w:t>
      </w:r>
      <w:r w:rsidR="004206A1">
        <w:rPr>
          <w:rFonts w:cs="Calibri"/>
          <w:color w:val="auto"/>
          <w:szCs w:val="24"/>
        </w:rPr>
        <w:t xml:space="preserve"> 0%</w:t>
      </w:r>
      <w:r w:rsidR="00B302C7">
        <w:rPr>
          <w:rFonts w:cs="Calibri"/>
          <w:color w:val="auto"/>
          <w:szCs w:val="24"/>
        </w:rPr>
        <w:t xml:space="preserve"> coded 7199-7120, varicose veins, </w:t>
      </w:r>
      <w:r w:rsidR="004206A1">
        <w:rPr>
          <w:rFonts w:cs="Calibri"/>
          <w:color w:val="auto"/>
          <w:szCs w:val="24"/>
        </w:rPr>
        <w:t xml:space="preserve">while the VA assigned a rating of 60% </w:t>
      </w:r>
      <w:r w:rsidR="00B302C7">
        <w:rPr>
          <w:rFonts w:cs="Calibri"/>
          <w:color w:val="auto"/>
          <w:szCs w:val="24"/>
        </w:rPr>
        <w:t xml:space="preserve">coded 6899-6817, pulmonary vascular disease, </w:t>
      </w:r>
      <w:r w:rsidR="004206A1">
        <w:rPr>
          <w:color w:val="auto"/>
        </w:rPr>
        <w:t>based on subjective complaints and treatment with Coumadin</w:t>
      </w:r>
      <w:r w:rsidR="00992625">
        <w:rPr>
          <w:color w:val="auto"/>
        </w:rPr>
        <w:t>,</w:t>
      </w:r>
      <w:r w:rsidR="004206A1">
        <w:rPr>
          <w:color w:val="auto"/>
        </w:rPr>
        <w:t xml:space="preserve"> although there were no objective findings noted on examination, chest X-ray or </w:t>
      </w:r>
      <w:proofErr w:type="spellStart"/>
      <w:r w:rsidR="004206A1">
        <w:rPr>
          <w:color w:val="auto"/>
        </w:rPr>
        <w:t>spirometry</w:t>
      </w:r>
      <w:proofErr w:type="spellEnd"/>
      <w:r w:rsidR="004206A1">
        <w:rPr>
          <w:color w:val="auto"/>
        </w:rPr>
        <w:t>.</w:t>
      </w:r>
      <w:r w:rsidR="00D93EA6">
        <w:rPr>
          <w:color w:val="auto"/>
        </w:rPr>
        <w:t xml:space="preserve">  </w:t>
      </w:r>
    </w:p>
    <w:p w:rsidR="00DA043D" w:rsidRDefault="00DA043D" w:rsidP="00817893">
      <w:pPr>
        <w:jc w:val="both"/>
        <w:rPr>
          <w:color w:val="auto"/>
        </w:rPr>
      </w:pPr>
    </w:p>
    <w:p w:rsidR="00DA043D" w:rsidRDefault="00B302C7" w:rsidP="00817893">
      <w:pPr>
        <w:jc w:val="both"/>
        <w:rPr>
          <w:rFonts w:asciiTheme="minorHAnsi" w:hAnsiTheme="minorHAnsi"/>
          <w:color w:val="auto"/>
          <w:szCs w:val="24"/>
        </w:rPr>
      </w:pPr>
      <w:r>
        <w:rPr>
          <w:color w:val="auto"/>
        </w:rPr>
        <w:t xml:space="preserve">The Board noted that the CI did not have varicose veins, or documentary evidence of peripheral venous thrombosis and that </w:t>
      </w:r>
      <w:r w:rsidR="00D93EA6">
        <w:rPr>
          <w:color w:val="auto"/>
        </w:rPr>
        <w:t xml:space="preserve">it is reasonable to consider rating </w:t>
      </w:r>
      <w:r>
        <w:rPr>
          <w:color w:val="auto"/>
        </w:rPr>
        <w:t>the unfitting medical condition under</w:t>
      </w:r>
      <w:r w:rsidR="00D93EA6">
        <w:rPr>
          <w:color w:val="auto"/>
        </w:rPr>
        <w:t xml:space="preserve"> other VASRD diagnostic codes including 6817.</w:t>
      </w:r>
      <w:r w:rsidR="0042265A">
        <w:rPr>
          <w:color w:val="auto"/>
        </w:rPr>
        <w:t xml:space="preserve">  </w:t>
      </w:r>
      <w:r w:rsidR="005951A0">
        <w:rPr>
          <w:rFonts w:asciiTheme="minorHAnsi" w:hAnsiTheme="minorHAnsi"/>
          <w:color w:val="auto"/>
          <w:szCs w:val="24"/>
        </w:rPr>
        <w:t xml:space="preserve">The CI had not had a recurrent pulmonary embolism </w:t>
      </w:r>
      <w:r w:rsidR="00D93EA6">
        <w:rPr>
          <w:rFonts w:asciiTheme="minorHAnsi" w:hAnsiTheme="minorHAnsi"/>
          <w:color w:val="auto"/>
          <w:szCs w:val="24"/>
        </w:rPr>
        <w:t xml:space="preserve">during the </w:t>
      </w:r>
      <w:r w:rsidR="00FC1B2C">
        <w:rPr>
          <w:rFonts w:asciiTheme="minorHAnsi" w:hAnsiTheme="minorHAnsi"/>
          <w:color w:val="auto"/>
          <w:szCs w:val="24"/>
        </w:rPr>
        <w:t>2</w:t>
      </w:r>
      <w:r w:rsidR="005951A0">
        <w:rPr>
          <w:rFonts w:asciiTheme="minorHAnsi" w:hAnsiTheme="minorHAnsi"/>
          <w:color w:val="auto"/>
          <w:szCs w:val="24"/>
        </w:rPr>
        <w:t xml:space="preserve"> years </w:t>
      </w:r>
      <w:r w:rsidR="00982740">
        <w:rPr>
          <w:rFonts w:asciiTheme="minorHAnsi" w:hAnsiTheme="minorHAnsi"/>
          <w:color w:val="auto"/>
          <w:szCs w:val="24"/>
        </w:rPr>
        <w:t xml:space="preserve">prior to separation </w:t>
      </w:r>
      <w:r w:rsidR="005951A0">
        <w:rPr>
          <w:rFonts w:asciiTheme="minorHAnsi" w:hAnsiTheme="minorHAnsi"/>
          <w:color w:val="auto"/>
          <w:szCs w:val="24"/>
        </w:rPr>
        <w:t>while on anticoagulant medication.  The recurrent episode in September 1999 was noted to have occurred in context of sub-therapeutic medica</w:t>
      </w:r>
      <w:r w:rsidR="00982740">
        <w:rPr>
          <w:rFonts w:asciiTheme="minorHAnsi" w:hAnsiTheme="minorHAnsi"/>
          <w:color w:val="auto"/>
          <w:szCs w:val="24"/>
        </w:rPr>
        <w:t xml:space="preserve">tion </w:t>
      </w:r>
      <w:r w:rsidR="005951A0">
        <w:rPr>
          <w:rFonts w:asciiTheme="minorHAnsi" w:hAnsiTheme="minorHAnsi"/>
          <w:color w:val="auto"/>
          <w:szCs w:val="24"/>
        </w:rPr>
        <w:t xml:space="preserve">levels.  Subsequent evaluations in March 2000 and May 2001 were normal showing no evidence of acute or chronic pulmonary </w:t>
      </w:r>
      <w:proofErr w:type="spellStart"/>
      <w:r w:rsidR="005951A0">
        <w:rPr>
          <w:rFonts w:asciiTheme="minorHAnsi" w:hAnsiTheme="minorHAnsi"/>
          <w:color w:val="auto"/>
          <w:szCs w:val="24"/>
        </w:rPr>
        <w:t>thromboembolism</w:t>
      </w:r>
      <w:proofErr w:type="spellEnd"/>
      <w:r w:rsidR="00D93EA6">
        <w:rPr>
          <w:rFonts w:asciiTheme="minorHAnsi" w:hAnsiTheme="minorHAnsi"/>
          <w:color w:val="auto"/>
          <w:szCs w:val="24"/>
        </w:rPr>
        <w:t>,</w:t>
      </w:r>
      <w:r w:rsidR="005951A0">
        <w:rPr>
          <w:rFonts w:asciiTheme="minorHAnsi" w:hAnsiTheme="minorHAnsi"/>
          <w:color w:val="auto"/>
          <w:szCs w:val="24"/>
        </w:rPr>
        <w:t xml:space="preserve"> or</w:t>
      </w:r>
      <w:r w:rsidR="00982740">
        <w:rPr>
          <w:rFonts w:asciiTheme="minorHAnsi" w:hAnsiTheme="minorHAnsi"/>
          <w:color w:val="auto"/>
          <w:szCs w:val="24"/>
        </w:rPr>
        <w:t xml:space="preserve"> pulmonary vascular disease.  </w:t>
      </w:r>
      <w:r w:rsidR="004206A1">
        <w:rPr>
          <w:rFonts w:asciiTheme="minorHAnsi" w:hAnsiTheme="minorHAnsi"/>
          <w:color w:val="auto"/>
          <w:szCs w:val="24"/>
        </w:rPr>
        <w:t>The Board considered the CI’s contention that his condition meets VASRD criteria for a 60% rating.  The evidence clearly establishes that,</w:t>
      </w:r>
      <w:r w:rsidR="004206A1" w:rsidRPr="00852CDA">
        <w:rPr>
          <w:rFonts w:asciiTheme="minorHAnsi" w:hAnsiTheme="minorHAnsi"/>
          <w:color w:val="auto"/>
          <w:szCs w:val="24"/>
        </w:rPr>
        <w:t xml:space="preserve"> </w:t>
      </w:r>
      <w:r w:rsidR="004206A1">
        <w:rPr>
          <w:rFonts w:asciiTheme="minorHAnsi" w:hAnsiTheme="minorHAnsi"/>
          <w:color w:val="auto"/>
          <w:szCs w:val="24"/>
        </w:rPr>
        <w:t xml:space="preserve">after </w:t>
      </w:r>
      <w:r w:rsidR="00181C46">
        <w:rPr>
          <w:rFonts w:asciiTheme="minorHAnsi" w:hAnsiTheme="minorHAnsi"/>
          <w:color w:val="auto"/>
          <w:szCs w:val="24"/>
        </w:rPr>
        <w:t>the second pulmonary embolism in Septem</w:t>
      </w:r>
      <w:r w:rsidR="00982740">
        <w:rPr>
          <w:rFonts w:asciiTheme="minorHAnsi" w:hAnsiTheme="minorHAnsi"/>
          <w:color w:val="auto"/>
          <w:szCs w:val="24"/>
        </w:rPr>
        <w:t>b</w:t>
      </w:r>
      <w:r w:rsidR="00181C46">
        <w:rPr>
          <w:rFonts w:asciiTheme="minorHAnsi" w:hAnsiTheme="minorHAnsi"/>
          <w:color w:val="auto"/>
          <w:szCs w:val="24"/>
        </w:rPr>
        <w:t xml:space="preserve">er 1999, </w:t>
      </w:r>
      <w:r w:rsidR="004206A1">
        <w:rPr>
          <w:rFonts w:asciiTheme="minorHAnsi" w:hAnsiTheme="minorHAnsi"/>
          <w:color w:val="auto"/>
          <w:szCs w:val="24"/>
        </w:rPr>
        <w:t xml:space="preserve">the CI did not have recurrent or chronic pulmonary </w:t>
      </w:r>
      <w:proofErr w:type="spellStart"/>
      <w:r w:rsidR="004206A1">
        <w:rPr>
          <w:rFonts w:asciiTheme="minorHAnsi" w:hAnsiTheme="minorHAnsi"/>
          <w:color w:val="auto"/>
          <w:szCs w:val="24"/>
        </w:rPr>
        <w:t>thromboembolism</w:t>
      </w:r>
      <w:proofErr w:type="spellEnd"/>
      <w:r w:rsidR="004206A1">
        <w:rPr>
          <w:rFonts w:asciiTheme="minorHAnsi" w:hAnsiTheme="minorHAnsi"/>
          <w:color w:val="auto"/>
          <w:szCs w:val="24"/>
        </w:rPr>
        <w:t xml:space="preserve"> as specified in </w:t>
      </w:r>
      <w:r w:rsidR="00982740">
        <w:rPr>
          <w:rFonts w:asciiTheme="minorHAnsi" w:hAnsiTheme="minorHAnsi"/>
          <w:color w:val="auto"/>
          <w:szCs w:val="24"/>
        </w:rPr>
        <w:t xml:space="preserve">the criteria for the 60% rating under diagnostic code 6817, pulmonary vascular disease.  </w:t>
      </w:r>
      <w:r w:rsidR="004206A1">
        <w:rPr>
          <w:rFonts w:asciiTheme="minorHAnsi" w:hAnsiTheme="minorHAnsi"/>
          <w:color w:val="auto"/>
          <w:szCs w:val="24"/>
        </w:rPr>
        <w:t xml:space="preserve">He had a genetic predisposition for the formation of blood clots and was taking </w:t>
      </w:r>
      <w:r w:rsidR="00982740">
        <w:rPr>
          <w:rFonts w:asciiTheme="minorHAnsi" w:hAnsiTheme="minorHAnsi"/>
          <w:color w:val="auto"/>
          <w:szCs w:val="24"/>
        </w:rPr>
        <w:t xml:space="preserve">anticoagulant medication </w:t>
      </w:r>
      <w:r w:rsidR="004206A1">
        <w:rPr>
          <w:rFonts w:asciiTheme="minorHAnsi" w:hAnsiTheme="minorHAnsi"/>
          <w:color w:val="auto"/>
          <w:szCs w:val="24"/>
        </w:rPr>
        <w:t xml:space="preserve">to prevent possible recurrent pulmonary </w:t>
      </w:r>
      <w:proofErr w:type="spellStart"/>
      <w:r w:rsidR="004206A1">
        <w:rPr>
          <w:rFonts w:asciiTheme="minorHAnsi" w:hAnsiTheme="minorHAnsi"/>
          <w:color w:val="auto"/>
          <w:szCs w:val="24"/>
        </w:rPr>
        <w:t>thromboemboli</w:t>
      </w:r>
      <w:proofErr w:type="spellEnd"/>
      <w:r w:rsidR="004206A1">
        <w:rPr>
          <w:rFonts w:asciiTheme="minorHAnsi" w:hAnsiTheme="minorHAnsi"/>
          <w:color w:val="auto"/>
          <w:szCs w:val="24"/>
        </w:rPr>
        <w:t>.</w:t>
      </w:r>
      <w:r w:rsidR="00982740">
        <w:rPr>
          <w:rFonts w:asciiTheme="minorHAnsi" w:hAnsiTheme="minorHAnsi"/>
          <w:color w:val="auto"/>
          <w:szCs w:val="24"/>
        </w:rPr>
        <w:t xml:space="preserve">  </w:t>
      </w:r>
      <w:r w:rsidR="004206A1">
        <w:rPr>
          <w:rFonts w:asciiTheme="minorHAnsi" w:hAnsiTheme="minorHAnsi"/>
          <w:color w:val="auto"/>
          <w:szCs w:val="24"/>
        </w:rPr>
        <w:t xml:space="preserve">However, the presence of the genetic predisposition does not equate to a diagnosis of actual chronic </w:t>
      </w:r>
      <w:r w:rsidR="00982740">
        <w:rPr>
          <w:rFonts w:asciiTheme="minorHAnsi" w:hAnsiTheme="minorHAnsi"/>
          <w:color w:val="auto"/>
          <w:szCs w:val="24"/>
        </w:rPr>
        <w:t xml:space="preserve">pulmonary </w:t>
      </w:r>
      <w:proofErr w:type="spellStart"/>
      <w:r w:rsidR="00982740">
        <w:rPr>
          <w:rFonts w:asciiTheme="minorHAnsi" w:hAnsiTheme="minorHAnsi"/>
          <w:color w:val="auto"/>
          <w:szCs w:val="24"/>
        </w:rPr>
        <w:t>thromboembolism</w:t>
      </w:r>
      <w:proofErr w:type="spellEnd"/>
      <w:r w:rsidR="00982740">
        <w:rPr>
          <w:rFonts w:asciiTheme="minorHAnsi" w:hAnsiTheme="minorHAnsi"/>
          <w:color w:val="auto"/>
          <w:szCs w:val="24"/>
        </w:rPr>
        <w:t xml:space="preserve">, including following resolution of a prior event.  </w:t>
      </w:r>
      <w:r w:rsidR="004206A1">
        <w:rPr>
          <w:rFonts w:asciiTheme="minorHAnsi" w:hAnsiTheme="minorHAnsi"/>
          <w:color w:val="auto"/>
          <w:szCs w:val="24"/>
        </w:rPr>
        <w:t xml:space="preserve">The fact that </w:t>
      </w:r>
      <w:r w:rsidR="004206A1">
        <w:rPr>
          <w:rFonts w:asciiTheme="minorHAnsi" w:hAnsiTheme="minorHAnsi"/>
          <w:color w:val="auto"/>
          <w:szCs w:val="24"/>
        </w:rPr>
        <w:lastRenderedPageBreak/>
        <w:t xml:space="preserve">treatment for the predisposition has been recommended and followed does not equate with the serious level of occupation impairment that the 60% level describes and does not </w:t>
      </w:r>
      <w:r w:rsidR="004206A1" w:rsidRPr="00BF2AAB">
        <w:rPr>
          <w:rFonts w:asciiTheme="minorHAnsi" w:hAnsiTheme="minorHAnsi"/>
          <w:color w:val="auto"/>
          <w:szCs w:val="24"/>
        </w:rPr>
        <w:t>m</w:t>
      </w:r>
      <w:r w:rsidR="004206A1">
        <w:rPr>
          <w:rFonts w:asciiTheme="minorHAnsi" w:hAnsiTheme="minorHAnsi"/>
          <w:color w:val="auto"/>
          <w:szCs w:val="24"/>
        </w:rPr>
        <w:t>e</w:t>
      </w:r>
      <w:r w:rsidR="004206A1" w:rsidRPr="00BF2AAB">
        <w:rPr>
          <w:rFonts w:asciiTheme="minorHAnsi" w:hAnsiTheme="minorHAnsi"/>
          <w:color w:val="auto"/>
          <w:szCs w:val="24"/>
        </w:rPr>
        <w:t xml:space="preserve">et the criteria for a 60 </w:t>
      </w:r>
      <w:r w:rsidR="00FC1B2C">
        <w:rPr>
          <w:rFonts w:asciiTheme="minorHAnsi" w:hAnsiTheme="minorHAnsi"/>
          <w:color w:val="auto"/>
          <w:szCs w:val="24"/>
        </w:rPr>
        <w:t>%</w:t>
      </w:r>
      <w:r w:rsidR="004206A1" w:rsidRPr="00BF2AAB">
        <w:rPr>
          <w:rFonts w:asciiTheme="minorHAnsi" w:hAnsiTheme="minorHAnsi"/>
          <w:color w:val="auto"/>
          <w:szCs w:val="24"/>
        </w:rPr>
        <w:t xml:space="preserve"> evaluation under </w:t>
      </w:r>
      <w:r w:rsidR="00FC1B2C">
        <w:rPr>
          <w:rFonts w:asciiTheme="minorHAnsi" w:hAnsiTheme="minorHAnsi"/>
          <w:color w:val="auto"/>
          <w:szCs w:val="24"/>
        </w:rPr>
        <w:t>diagnostic code</w:t>
      </w:r>
      <w:r w:rsidR="004206A1" w:rsidRPr="00BF2AAB">
        <w:rPr>
          <w:rFonts w:asciiTheme="minorHAnsi" w:hAnsiTheme="minorHAnsi"/>
          <w:color w:val="auto"/>
          <w:szCs w:val="24"/>
        </w:rPr>
        <w:t xml:space="preserve"> 6817</w:t>
      </w:r>
      <w:r w:rsidR="00982740">
        <w:rPr>
          <w:rFonts w:asciiTheme="minorHAnsi" w:hAnsiTheme="minorHAnsi"/>
          <w:color w:val="auto"/>
          <w:szCs w:val="24"/>
        </w:rPr>
        <w:t>.</w:t>
      </w:r>
      <w:r w:rsidR="00324E28">
        <w:rPr>
          <w:rFonts w:asciiTheme="minorHAnsi" w:hAnsiTheme="minorHAnsi"/>
          <w:color w:val="auto"/>
          <w:szCs w:val="24"/>
        </w:rPr>
        <w:t xml:space="preserve">  </w:t>
      </w:r>
      <w:r w:rsidR="00982740">
        <w:rPr>
          <w:rFonts w:asciiTheme="minorHAnsi" w:hAnsiTheme="minorHAnsi"/>
          <w:color w:val="auto"/>
          <w:szCs w:val="24"/>
        </w:rPr>
        <w:t xml:space="preserve">The Board considered the CI’s persisting chest pain with deep breathing that worsened with physical exertion.  </w:t>
      </w:r>
      <w:r w:rsidR="00284307">
        <w:rPr>
          <w:rFonts w:asciiTheme="minorHAnsi" w:hAnsiTheme="minorHAnsi"/>
          <w:color w:val="auto"/>
          <w:szCs w:val="24"/>
        </w:rPr>
        <w:t xml:space="preserve">The pain with deep breathing is consistent with </w:t>
      </w:r>
      <w:proofErr w:type="spellStart"/>
      <w:r w:rsidR="00284307">
        <w:rPr>
          <w:rFonts w:asciiTheme="minorHAnsi" w:hAnsiTheme="minorHAnsi"/>
          <w:color w:val="auto"/>
          <w:szCs w:val="24"/>
        </w:rPr>
        <w:t>pleuritic</w:t>
      </w:r>
      <w:proofErr w:type="spellEnd"/>
      <w:r w:rsidR="00284307">
        <w:rPr>
          <w:rFonts w:asciiTheme="minorHAnsi" w:hAnsiTheme="minorHAnsi"/>
          <w:color w:val="auto"/>
          <w:szCs w:val="24"/>
        </w:rPr>
        <w:t xml:space="preserve"> type pain, and the Board considered rating under the code for pleural disease.  </w:t>
      </w:r>
    </w:p>
    <w:p w:rsidR="00DA043D" w:rsidRDefault="00DA043D" w:rsidP="00817893">
      <w:pPr>
        <w:jc w:val="both"/>
        <w:rPr>
          <w:rFonts w:asciiTheme="minorHAnsi" w:hAnsiTheme="minorHAnsi"/>
          <w:color w:val="auto"/>
          <w:szCs w:val="24"/>
        </w:rPr>
      </w:pPr>
    </w:p>
    <w:p w:rsidR="00D925E9" w:rsidRDefault="00284307" w:rsidP="00817893">
      <w:pPr>
        <w:jc w:val="both"/>
        <w:rPr>
          <w:rFonts w:asciiTheme="minorHAnsi" w:hAnsiTheme="minorHAnsi"/>
          <w:color w:val="auto"/>
          <w:szCs w:val="24"/>
        </w:rPr>
      </w:pPr>
      <w:r>
        <w:rPr>
          <w:rFonts w:asciiTheme="minorHAnsi" w:hAnsiTheme="minorHAnsi"/>
          <w:color w:val="auto"/>
          <w:szCs w:val="24"/>
        </w:rPr>
        <w:t xml:space="preserve">However, </w:t>
      </w:r>
      <w:proofErr w:type="gramStart"/>
      <w:r>
        <w:rPr>
          <w:rFonts w:asciiTheme="minorHAnsi" w:hAnsiTheme="minorHAnsi"/>
          <w:color w:val="auto"/>
          <w:szCs w:val="24"/>
        </w:rPr>
        <w:t>ratings under the code for pleural disease is</w:t>
      </w:r>
      <w:proofErr w:type="gramEnd"/>
      <w:r>
        <w:rPr>
          <w:rFonts w:asciiTheme="minorHAnsi" w:hAnsiTheme="minorHAnsi"/>
          <w:color w:val="auto"/>
          <w:szCs w:val="24"/>
        </w:rPr>
        <w:t xml:space="preserve"> based on </w:t>
      </w:r>
      <w:proofErr w:type="spellStart"/>
      <w:r>
        <w:rPr>
          <w:rFonts w:asciiTheme="minorHAnsi" w:hAnsiTheme="minorHAnsi"/>
          <w:color w:val="auto"/>
          <w:szCs w:val="24"/>
        </w:rPr>
        <w:t>spirometric</w:t>
      </w:r>
      <w:proofErr w:type="spellEnd"/>
      <w:r>
        <w:rPr>
          <w:rFonts w:asciiTheme="minorHAnsi" w:hAnsiTheme="minorHAnsi"/>
          <w:color w:val="auto"/>
          <w:szCs w:val="24"/>
        </w:rPr>
        <w:t xml:space="preserve"> impairment in lung function and there was no residual impairment of lung function that was ratable under other VASRD codes.  The Board considered whether this pain could be considered a persisting symptom of resolved pulmonary embolism sufficient to warrant the 30% rating </w:t>
      </w:r>
      <w:proofErr w:type="gramStart"/>
      <w:r>
        <w:rPr>
          <w:rFonts w:asciiTheme="minorHAnsi" w:hAnsiTheme="minorHAnsi"/>
          <w:color w:val="auto"/>
          <w:szCs w:val="24"/>
        </w:rPr>
        <w:t>under</w:t>
      </w:r>
      <w:proofErr w:type="gramEnd"/>
      <w:r>
        <w:rPr>
          <w:rFonts w:asciiTheme="minorHAnsi" w:hAnsiTheme="minorHAnsi"/>
          <w:color w:val="auto"/>
          <w:szCs w:val="24"/>
        </w:rPr>
        <w:t xml:space="preserve"> 6817.  Repeated pulmonary angiograms were normal without evidence of recurrent or chronic pulmonary embolism and CT scanning did not detect any other source for the pain.  </w:t>
      </w:r>
      <w:r w:rsidR="00792388">
        <w:rPr>
          <w:rFonts w:asciiTheme="minorHAnsi" w:hAnsiTheme="minorHAnsi"/>
          <w:color w:val="auto"/>
          <w:szCs w:val="24"/>
        </w:rPr>
        <w:t>Although an objective cause was not shown on diagnostic imaging, the problem began in relation to the previous pulmonary embolism.</w:t>
      </w:r>
      <w:r>
        <w:rPr>
          <w:rFonts w:asciiTheme="minorHAnsi" w:hAnsiTheme="minorHAnsi"/>
          <w:color w:val="auto"/>
          <w:szCs w:val="24"/>
        </w:rPr>
        <w:t xml:space="preserve">  </w:t>
      </w:r>
      <w:r w:rsidR="00813256" w:rsidRPr="00DD6C2D">
        <w:rPr>
          <w:rFonts w:asciiTheme="minorHAnsi" w:hAnsiTheme="minorHAnsi"/>
          <w:color w:val="auto"/>
          <w:szCs w:val="24"/>
        </w:rPr>
        <w:t xml:space="preserve">After due deliberation, considering all of the evidence and mindful of VASRD §4.3 (reasonable doubt), the </w:t>
      </w:r>
      <w:r w:rsidR="00D925E9">
        <w:rPr>
          <w:rFonts w:asciiTheme="minorHAnsi" w:hAnsiTheme="minorHAnsi"/>
          <w:color w:val="auto"/>
          <w:szCs w:val="24"/>
        </w:rPr>
        <w:t xml:space="preserve">majority of the </w:t>
      </w:r>
      <w:r w:rsidR="00813256" w:rsidRPr="00DD6C2D">
        <w:rPr>
          <w:rFonts w:asciiTheme="minorHAnsi" w:hAnsiTheme="minorHAnsi"/>
          <w:color w:val="auto"/>
          <w:szCs w:val="24"/>
        </w:rPr>
        <w:t xml:space="preserve">Board recommends a separation rating of </w:t>
      </w:r>
      <w:r w:rsidR="00813256">
        <w:rPr>
          <w:rFonts w:asciiTheme="minorHAnsi" w:hAnsiTheme="minorHAnsi"/>
          <w:color w:val="auto"/>
          <w:szCs w:val="24"/>
        </w:rPr>
        <w:t>3</w:t>
      </w:r>
      <w:r w:rsidR="00813256" w:rsidRPr="00DD6C2D">
        <w:rPr>
          <w:rFonts w:asciiTheme="minorHAnsi" w:hAnsiTheme="minorHAnsi"/>
          <w:color w:val="auto"/>
          <w:szCs w:val="24"/>
        </w:rPr>
        <w:t xml:space="preserve">0% </w:t>
      </w:r>
      <w:r w:rsidR="00D925E9">
        <w:rPr>
          <w:rFonts w:asciiTheme="minorHAnsi" w:hAnsiTheme="minorHAnsi"/>
          <w:color w:val="auto"/>
          <w:szCs w:val="24"/>
        </w:rPr>
        <w:t xml:space="preserve">for persisting symptoms of chest pain following resolution of pulmonary </w:t>
      </w:r>
      <w:proofErr w:type="spellStart"/>
      <w:r w:rsidR="00D925E9">
        <w:rPr>
          <w:rFonts w:asciiTheme="minorHAnsi" w:hAnsiTheme="minorHAnsi"/>
          <w:color w:val="auto"/>
          <w:szCs w:val="24"/>
        </w:rPr>
        <w:t>thromboembolism</w:t>
      </w:r>
      <w:proofErr w:type="spellEnd"/>
      <w:r w:rsidR="00D925E9">
        <w:rPr>
          <w:rFonts w:asciiTheme="minorHAnsi" w:hAnsiTheme="minorHAnsi"/>
          <w:color w:val="auto"/>
          <w:szCs w:val="24"/>
        </w:rPr>
        <w:t>, coded 6817.</w:t>
      </w:r>
    </w:p>
    <w:p w:rsidR="00D93EA6" w:rsidRPr="00951381" w:rsidRDefault="00D93EA6" w:rsidP="00817893">
      <w:pPr>
        <w:tabs>
          <w:tab w:val="left" w:pos="288"/>
          <w:tab w:val="left" w:pos="4752"/>
        </w:tabs>
        <w:jc w:val="both"/>
        <w:rPr>
          <w:rFonts w:asciiTheme="minorHAnsi" w:hAnsiTheme="minorHAnsi"/>
          <w:color w:val="auto"/>
          <w:szCs w:val="24"/>
        </w:rPr>
      </w:pPr>
    </w:p>
    <w:p w:rsidR="008C3223" w:rsidRPr="008C3223" w:rsidRDefault="004C60A3" w:rsidP="00817893">
      <w:pPr>
        <w:jc w:val="both"/>
        <w:rPr>
          <w:color w:val="auto"/>
          <w:szCs w:val="24"/>
        </w:rPr>
      </w:pPr>
      <w:proofErr w:type="gramStart"/>
      <w:r w:rsidRPr="00FE2DEF">
        <w:rPr>
          <w:rFonts w:eastAsia="HiddenHorzOCR"/>
          <w:color w:val="auto"/>
          <w:szCs w:val="24"/>
          <w:u w:val="single"/>
        </w:rPr>
        <w:t>Ot</w:t>
      </w:r>
      <w:r w:rsidR="003604A5" w:rsidRPr="00FE2DEF">
        <w:rPr>
          <w:rFonts w:eastAsia="HiddenHorzOCR"/>
          <w:color w:val="auto"/>
          <w:szCs w:val="24"/>
          <w:u w:val="single"/>
        </w:rPr>
        <w:t xml:space="preserve">her </w:t>
      </w:r>
      <w:r w:rsidR="008F30F4" w:rsidRPr="00FE2DEF">
        <w:rPr>
          <w:rFonts w:eastAsia="HiddenHorzOCR"/>
          <w:color w:val="auto"/>
          <w:szCs w:val="24"/>
          <w:u w:val="single"/>
        </w:rPr>
        <w:t xml:space="preserve">PEB </w:t>
      </w:r>
      <w:r w:rsidR="003604A5" w:rsidRPr="00FE2DEF">
        <w:rPr>
          <w:rFonts w:eastAsia="HiddenHorzOCR"/>
          <w:color w:val="auto"/>
          <w:szCs w:val="24"/>
          <w:u w:val="single"/>
        </w:rPr>
        <w:t>Conditions</w:t>
      </w:r>
      <w:r w:rsidR="003604A5" w:rsidRPr="00FE2DEF">
        <w:rPr>
          <w:rFonts w:eastAsia="HiddenHorzOCR"/>
          <w:color w:val="auto"/>
          <w:szCs w:val="24"/>
        </w:rPr>
        <w:t>.</w:t>
      </w:r>
      <w:proofErr w:type="gramEnd"/>
      <w:r w:rsidR="00006561">
        <w:rPr>
          <w:rFonts w:eastAsia="HiddenHorzOCR"/>
          <w:color w:val="auto"/>
          <w:szCs w:val="24"/>
        </w:rPr>
        <w:t xml:space="preserve">  </w:t>
      </w:r>
      <w:r w:rsidR="008C3223" w:rsidRPr="00F41FA1">
        <w:rPr>
          <w:color w:val="auto"/>
          <w:szCs w:val="24"/>
        </w:rPr>
        <w:t xml:space="preserve">The other conditions forwarded by the MEB and adjudicated </w:t>
      </w:r>
      <w:r w:rsidR="006F5117">
        <w:rPr>
          <w:color w:val="auto"/>
          <w:szCs w:val="24"/>
        </w:rPr>
        <w:t xml:space="preserve">as not unfitting by the PEB was </w:t>
      </w:r>
      <w:r w:rsidR="00817893">
        <w:rPr>
          <w:color w:val="auto"/>
          <w:szCs w:val="24"/>
        </w:rPr>
        <w:t>f</w:t>
      </w:r>
      <w:r w:rsidR="006F5117">
        <w:rPr>
          <w:color w:val="auto"/>
          <w:szCs w:val="24"/>
        </w:rPr>
        <w:t xml:space="preserve">actor V (Leiden) </w:t>
      </w:r>
      <w:r w:rsidR="00817893">
        <w:rPr>
          <w:color w:val="auto"/>
          <w:szCs w:val="24"/>
        </w:rPr>
        <w:t>m</w:t>
      </w:r>
      <w:r w:rsidR="006F5117">
        <w:rPr>
          <w:color w:val="auto"/>
          <w:szCs w:val="24"/>
        </w:rPr>
        <w:t>utation which is a</w:t>
      </w:r>
      <w:r w:rsidR="006F5117" w:rsidRPr="00B614C4">
        <w:rPr>
          <w:color w:val="000000" w:themeColor="text1"/>
          <w:szCs w:val="24"/>
        </w:rPr>
        <w:t xml:space="preserve"> </w:t>
      </w:r>
      <w:r w:rsidR="00DA043D">
        <w:rPr>
          <w:color w:val="000000" w:themeColor="text1"/>
          <w:szCs w:val="24"/>
        </w:rPr>
        <w:t>c</w:t>
      </w:r>
      <w:r w:rsidR="006F5117">
        <w:rPr>
          <w:color w:val="000000" w:themeColor="text1"/>
          <w:szCs w:val="24"/>
        </w:rPr>
        <w:t>ategory II condition which</w:t>
      </w:r>
      <w:r w:rsidR="006F5117" w:rsidRPr="00B614C4">
        <w:rPr>
          <w:color w:val="000000" w:themeColor="text1"/>
          <w:szCs w:val="24"/>
        </w:rPr>
        <w:t xml:space="preserve"> contributed to </w:t>
      </w:r>
      <w:r w:rsidR="006F5117">
        <w:rPr>
          <w:color w:val="000000" w:themeColor="text1"/>
          <w:szCs w:val="24"/>
        </w:rPr>
        <w:t>the unfitting condition but was</w:t>
      </w:r>
      <w:r w:rsidR="006F5117" w:rsidRPr="00B614C4">
        <w:rPr>
          <w:color w:val="000000" w:themeColor="text1"/>
          <w:szCs w:val="24"/>
        </w:rPr>
        <w:t xml:space="preserve"> not sepa</w:t>
      </w:r>
      <w:r w:rsidR="006F5117">
        <w:rPr>
          <w:color w:val="000000" w:themeColor="text1"/>
          <w:szCs w:val="24"/>
        </w:rPr>
        <w:t>ra</w:t>
      </w:r>
      <w:r w:rsidR="006F5117" w:rsidRPr="00B614C4">
        <w:rPr>
          <w:color w:val="000000" w:themeColor="text1"/>
          <w:szCs w:val="24"/>
        </w:rPr>
        <w:t>tely unfitting by the PEB.</w:t>
      </w:r>
    </w:p>
    <w:p w:rsidR="00F6196E" w:rsidRPr="00FE2DEF" w:rsidRDefault="00F6196E" w:rsidP="00817893">
      <w:pPr>
        <w:jc w:val="both"/>
        <w:rPr>
          <w:rFonts w:eastAsia="HiddenHorzOCR"/>
          <w:color w:val="auto"/>
          <w:szCs w:val="24"/>
        </w:rPr>
      </w:pPr>
    </w:p>
    <w:p w:rsidR="00CC7EC0" w:rsidRDefault="00A02AA8" w:rsidP="00817893">
      <w:pPr>
        <w:jc w:val="both"/>
        <w:rPr>
          <w:color w:val="auto"/>
        </w:rPr>
      </w:pPr>
      <w:proofErr w:type="gramStart"/>
      <w:r w:rsidRPr="003D7E1F">
        <w:rPr>
          <w:color w:val="auto"/>
          <w:szCs w:val="24"/>
          <w:u w:val="single"/>
        </w:rPr>
        <w:t>Remaining Conditions</w:t>
      </w:r>
      <w:r w:rsidRPr="003D7E1F">
        <w:rPr>
          <w:color w:val="auto"/>
          <w:szCs w:val="24"/>
        </w:rPr>
        <w:t>.</w:t>
      </w:r>
      <w:proofErr w:type="gramEnd"/>
      <w:r w:rsidRPr="003D7E1F">
        <w:rPr>
          <w:color w:val="auto"/>
          <w:szCs w:val="24"/>
        </w:rPr>
        <w:t xml:space="preserve">  Other conditions identified in the DES file were</w:t>
      </w:r>
      <w:r w:rsidR="00B53EC2" w:rsidRPr="003D7E1F">
        <w:rPr>
          <w:color w:val="auto"/>
          <w:szCs w:val="24"/>
        </w:rPr>
        <w:t xml:space="preserve"> </w:t>
      </w:r>
      <w:r w:rsidR="003D7E1F" w:rsidRPr="003D7E1F">
        <w:rPr>
          <w:color w:val="auto"/>
          <w:szCs w:val="24"/>
        </w:rPr>
        <w:t>a single episode of a severe migraine in 19</w:t>
      </w:r>
      <w:r w:rsidR="003D7E1F">
        <w:rPr>
          <w:color w:val="auto"/>
          <w:szCs w:val="24"/>
        </w:rPr>
        <w:t xml:space="preserve">98 or </w:t>
      </w:r>
      <w:r w:rsidR="00006561">
        <w:rPr>
          <w:color w:val="auto"/>
          <w:szCs w:val="24"/>
        </w:rPr>
        <w:t>19</w:t>
      </w:r>
      <w:r w:rsidR="003D7E1F">
        <w:rPr>
          <w:color w:val="auto"/>
          <w:szCs w:val="24"/>
        </w:rPr>
        <w:t xml:space="preserve">99 with no reoccurrence, </w:t>
      </w:r>
      <w:r w:rsidR="003D7E1F" w:rsidRPr="003D7E1F">
        <w:rPr>
          <w:color w:val="auto"/>
          <w:szCs w:val="24"/>
        </w:rPr>
        <w:t>bilateral knee pain</w:t>
      </w:r>
      <w:r w:rsidR="003D7E1F">
        <w:rPr>
          <w:color w:val="auto"/>
          <w:szCs w:val="24"/>
        </w:rPr>
        <w:t>,</w:t>
      </w:r>
      <w:r w:rsidR="00CC7EC0">
        <w:rPr>
          <w:color w:val="auto"/>
          <w:szCs w:val="24"/>
        </w:rPr>
        <w:t xml:space="preserve"> low back pain</w:t>
      </w:r>
      <w:r w:rsidR="00910FBA">
        <w:rPr>
          <w:color w:val="auto"/>
          <w:szCs w:val="24"/>
        </w:rPr>
        <w:t>,</w:t>
      </w:r>
      <w:r w:rsidR="00CC7EC0">
        <w:rPr>
          <w:color w:val="auto"/>
          <w:szCs w:val="24"/>
        </w:rPr>
        <w:t xml:space="preserve"> fractured right little toe, </w:t>
      </w:r>
      <w:r w:rsidR="003D7E1F">
        <w:rPr>
          <w:color w:val="auto"/>
          <w:szCs w:val="24"/>
        </w:rPr>
        <w:t>mild to moderate high frequency hearing loss</w:t>
      </w:r>
      <w:r w:rsidR="006F0505">
        <w:rPr>
          <w:color w:val="auto"/>
          <w:szCs w:val="24"/>
        </w:rPr>
        <w:t xml:space="preserve"> and right lateral thigh hematoma</w:t>
      </w:r>
      <w:r w:rsidR="003D7E1F" w:rsidRPr="003D7E1F">
        <w:rPr>
          <w:color w:val="auto"/>
          <w:szCs w:val="24"/>
        </w:rPr>
        <w:t>. S</w:t>
      </w:r>
      <w:r w:rsidR="00B53EC2" w:rsidRPr="003D7E1F">
        <w:rPr>
          <w:color w:val="auto"/>
          <w:szCs w:val="24"/>
        </w:rPr>
        <w:t>everal additional non-acute conditions or medical complaints were also do</w:t>
      </w:r>
      <w:r w:rsidRPr="003D7E1F">
        <w:rPr>
          <w:color w:val="auto"/>
          <w:szCs w:val="24"/>
        </w:rPr>
        <w:t>cumented.  None of these conditions were significantly clinically or occupationally active during the MEB period; none carried attached duty limi</w:t>
      </w:r>
      <w:r w:rsidR="003D7E1F" w:rsidRPr="003D7E1F">
        <w:rPr>
          <w:color w:val="auto"/>
          <w:szCs w:val="24"/>
        </w:rPr>
        <w:t xml:space="preserve">tations or LIMDU; and, none </w:t>
      </w:r>
      <w:r w:rsidRPr="003D7E1F">
        <w:rPr>
          <w:color w:val="auto"/>
          <w:szCs w:val="24"/>
        </w:rPr>
        <w:t xml:space="preserve">were implicated in the </w:t>
      </w:r>
      <w:r w:rsidR="00DA043D">
        <w:rPr>
          <w:color w:val="auto"/>
          <w:szCs w:val="24"/>
        </w:rPr>
        <w:t>non-medical assessment (</w:t>
      </w:r>
      <w:r w:rsidRPr="003D7E1F">
        <w:rPr>
          <w:color w:val="auto"/>
          <w:szCs w:val="24"/>
        </w:rPr>
        <w:t>NMA</w:t>
      </w:r>
      <w:r w:rsidR="00DA043D">
        <w:rPr>
          <w:color w:val="auto"/>
          <w:szCs w:val="24"/>
        </w:rPr>
        <w:t>)</w:t>
      </w:r>
      <w:r w:rsidRPr="003D7E1F">
        <w:rPr>
          <w:color w:val="auto"/>
          <w:szCs w:val="24"/>
        </w:rPr>
        <w:t xml:space="preserve">. These conditions were reviewed by the </w:t>
      </w:r>
      <w:r w:rsidR="00006561">
        <w:rPr>
          <w:color w:val="auto"/>
          <w:szCs w:val="24"/>
        </w:rPr>
        <w:t>a</w:t>
      </w:r>
      <w:r w:rsidRPr="003D7E1F">
        <w:rPr>
          <w:color w:val="auto"/>
          <w:szCs w:val="24"/>
        </w:rPr>
        <w:t xml:space="preserve">ction </w:t>
      </w:r>
      <w:r w:rsidR="00006561">
        <w:rPr>
          <w:color w:val="auto"/>
          <w:szCs w:val="24"/>
        </w:rPr>
        <w:t>o</w:t>
      </w:r>
      <w:r w:rsidRPr="003D7E1F">
        <w:rPr>
          <w:color w:val="auto"/>
          <w:szCs w:val="24"/>
        </w:rPr>
        <w:t xml:space="preserve">fficer and considered by the Board.  It was determined that none could be argued as unfitting and subject to separation rating.  Additionally </w:t>
      </w:r>
      <w:r w:rsidR="003D7E1F" w:rsidRPr="003D7E1F">
        <w:rPr>
          <w:color w:val="auto"/>
          <w:szCs w:val="24"/>
        </w:rPr>
        <w:t xml:space="preserve">bilateral </w:t>
      </w:r>
      <w:proofErr w:type="spellStart"/>
      <w:r w:rsidR="003D7E1F" w:rsidRPr="003D7E1F">
        <w:rPr>
          <w:color w:val="auto"/>
          <w:szCs w:val="24"/>
        </w:rPr>
        <w:t>patellofemoral</w:t>
      </w:r>
      <w:proofErr w:type="spellEnd"/>
      <w:r w:rsidR="003D7E1F" w:rsidRPr="003D7E1F">
        <w:rPr>
          <w:color w:val="auto"/>
          <w:szCs w:val="24"/>
        </w:rPr>
        <w:t xml:space="preserve"> syndrome and degenerative disc disease of the cervical spine</w:t>
      </w:r>
      <w:r w:rsidRPr="003D7E1F">
        <w:rPr>
          <w:color w:val="auto"/>
          <w:szCs w:val="24"/>
        </w:rPr>
        <w:t xml:space="preserve"> and several other non-acute conditions were noted in the VA proximal to separation were not documented in the DES file.  The Board does not have the authority under </w:t>
      </w:r>
      <w:proofErr w:type="spellStart"/>
      <w:r w:rsidRPr="003D7E1F">
        <w:rPr>
          <w:color w:val="auto"/>
          <w:szCs w:val="24"/>
        </w:rPr>
        <w:t>DoDI</w:t>
      </w:r>
      <w:proofErr w:type="spellEnd"/>
      <w:r w:rsidRPr="003D7E1F">
        <w:rPr>
          <w:color w:val="auto"/>
          <w:szCs w:val="24"/>
        </w:rPr>
        <w:t xml:space="preserve"> 6040.44 to render fitness or rating recommendations for any conditions not considered by the DES.  The Board, therefore, has no reasonable basis for recommending any additional unfitting conditions for separation rating.</w:t>
      </w:r>
    </w:p>
    <w:p w:rsidR="00CC7EC0" w:rsidRPr="00FE2DEF" w:rsidRDefault="00CC7EC0" w:rsidP="00BF0E94">
      <w:pPr>
        <w:pBdr>
          <w:bottom w:val="single" w:sz="12" w:space="1" w:color="auto"/>
        </w:pBdr>
        <w:tabs>
          <w:tab w:val="left" w:pos="288"/>
          <w:tab w:val="left" w:pos="4752"/>
        </w:tabs>
        <w:jc w:val="both"/>
        <w:rPr>
          <w:color w:val="auto"/>
        </w:rPr>
      </w:pPr>
    </w:p>
    <w:p w:rsidR="00F1737C" w:rsidRPr="00FE2DEF" w:rsidRDefault="00F1737C" w:rsidP="006364ED">
      <w:pPr>
        <w:jc w:val="left"/>
        <w:rPr>
          <w:color w:val="auto"/>
          <w:szCs w:val="24"/>
        </w:rPr>
      </w:pPr>
    </w:p>
    <w:p w:rsidR="004E5E67" w:rsidRPr="00FE2DEF" w:rsidRDefault="00C56FC8" w:rsidP="00D925E9">
      <w:pPr>
        <w:jc w:val="both"/>
        <w:rPr>
          <w:rFonts w:eastAsiaTheme="minorHAnsi"/>
          <w:color w:val="auto"/>
          <w:szCs w:val="24"/>
        </w:rPr>
      </w:pPr>
      <w:r w:rsidRPr="00FE2DEF">
        <w:rPr>
          <w:color w:val="auto"/>
          <w:szCs w:val="24"/>
          <w:u w:val="single"/>
        </w:rPr>
        <w:t>BOARD FINDINGS</w:t>
      </w:r>
      <w:r w:rsidRPr="00FE2DEF">
        <w:rPr>
          <w:color w:val="auto"/>
          <w:szCs w:val="24"/>
        </w:rPr>
        <w:t>:</w:t>
      </w:r>
      <w:r w:rsidRPr="00FE2DEF">
        <w:rPr>
          <w:rFonts w:eastAsiaTheme="minorHAnsi"/>
          <w:color w:val="auto"/>
          <w:szCs w:val="24"/>
        </w:rPr>
        <w:t xml:space="preserve">  IAW </w:t>
      </w:r>
      <w:proofErr w:type="spellStart"/>
      <w:r w:rsidRPr="00FE2DEF">
        <w:rPr>
          <w:rFonts w:eastAsiaTheme="minorHAnsi"/>
          <w:color w:val="auto"/>
          <w:szCs w:val="24"/>
        </w:rPr>
        <w:t>DoDI</w:t>
      </w:r>
      <w:proofErr w:type="spellEnd"/>
      <w:r w:rsidRPr="00FE2DEF">
        <w:rPr>
          <w:rFonts w:eastAsiaTheme="minorHAnsi"/>
          <w:color w:val="auto"/>
          <w:szCs w:val="24"/>
        </w:rPr>
        <w:t xml:space="preserve"> 6040.44, provisions of </w:t>
      </w:r>
      <w:proofErr w:type="spellStart"/>
      <w:r w:rsidRPr="00FE2DEF">
        <w:rPr>
          <w:rFonts w:eastAsiaTheme="minorHAnsi"/>
          <w:color w:val="auto"/>
          <w:szCs w:val="24"/>
        </w:rPr>
        <w:t>DoD</w:t>
      </w:r>
      <w:proofErr w:type="spellEnd"/>
      <w:r w:rsidRPr="00FE2DEF">
        <w:rPr>
          <w:rFonts w:eastAsiaTheme="minorHAnsi"/>
          <w:color w:val="auto"/>
          <w:szCs w:val="24"/>
        </w:rPr>
        <w:t xml:space="preserve"> or Military Department regulations or guidelines relied upon by the PEB will not be considered by the Board to the extent they were inconsistent with the VASRD in effect at the time of the adjudication.</w:t>
      </w:r>
      <w:r w:rsidR="00D925E9">
        <w:rPr>
          <w:rFonts w:eastAsiaTheme="minorHAnsi"/>
          <w:color w:val="auto"/>
          <w:szCs w:val="24"/>
        </w:rPr>
        <w:t xml:space="preserve">  </w:t>
      </w:r>
      <w:r w:rsidR="00D925E9" w:rsidRPr="00030858">
        <w:rPr>
          <w:rFonts w:eastAsiaTheme="minorHAnsi"/>
          <w:color w:val="000000" w:themeColor="text1"/>
          <w:szCs w:val="24"/>
        </w:rPr>
        <w:t xml:space="preserve">As discussed above, PEB reliance on </w:t>
      </w:r>
      <w:r w:rsidR="00D925E9" w:rsidRPr="00B34F48">
        <w:rPr>
          <w:color w:val="auto"/>
          <w:szCs w:val="24"/>
        </w:rPr>
        <w:t>SECNAVINST 1850.4E</w:t>
      </w:r>
      <w:r w:rsidR="00D925E9">
        <w:rPr>
          <w:color w:val="auto"/>
          <w:szCs w:val="24"/>
        </w:rPr>
        <w:t xml:space="preserve"> </w:t>
      </w:r>
      <w:r w:rsidR="00D925E9" w:rsidRPr="00030858">
        <w:rPr>
          <w:rFonts w:eastAsiaTheme="minorHAnsi"/>
          <w:color w:val="000000" w:themeColor="text1"/>
          <w:szCs w:val="24"/>
        </w:rPr>
        <w:t xml:space="preserve">for rating </w:t>
      </w:r>
      <w:r w:rsidR="00D925E9">
        <w:rPr>
          <w:rFonts w:eastAsiaTheme="minorHAnsi"/>
          <w:color w:val="000000" w:themeColor="text1"/>
          <w:szCs w:val="24"/>
        </w:rPr>
        <w:t xml:space="preserve">the pulmonary </w:t>
      </w:r>
      <w:proofErr w:type="spellStart"/>
      <w:r w:rsidR="00D925E9">
        <w:rPr>
          <w:rFonts w:eastAsiaTheme="minorHAnsi"/>
          <w:color w:val="000000" w:themeColor="text1"/>
          <w:szCs w:val="24"/>
        </w:rPr>
        <w:t>thromboembolism</w:t>
      </w:r>
      <w:proofErr w:type="spellEnd"/>
      <w:r w:rsidR="00D925E9">
        <w:rPr>
          <w:rFonts w:eastAsiaTheme="minorHAnsi"/>
          <w:color w:val="000000" w:themeColor="text1"/>
          <w:szCs w:val="24"/>
        </w:rPr>
        <w:t xml:space="preserve"> condition </w:t>
      </w:r>
      <w:r w:rsidR="00D925E9" w:rsidRPr="00030858">
        <w:rPr>
          <w:rFonts w:eastAsiaTheme="minorHAnsi"/>
          <w:color w:val="000000" w:themeColor="text1"/>
          <w:szCs w:val="24"/>
        </w:rPr>
        <w:t>was operant in this case and the condition was adjudicated independently of that instruction by the Board.</w:t>
      </w:r>
      <w:r w:rsidR="00817893">
        <w:rPr>
          <w:rFonts w:eastAsiaTheme="minorHAnsi"/>
          <w:color w:val="000000" w:themeColor="text1"/>
          <w:szCs w:val="24"/>
        </w:rPr>
        <w:t xml:space="preserve">  </w:t>
      </w:r>
      <w:r w:rsidR="00D925E9" w:rsidRPr="001F5378">
        <w:rPr>
          <w:rFonts w:asciiTheme="minorHAnsi" w:hAnsiTheme="minorHAnsi"/>
          <w:color w:val="auto"/>
          <w:szCs w:val="24"/>
        </w:rPr>
        <w:t xml:space="preserve">In the matter of the </w:t>
      </w:r>
      <w:r w:rsidR="00D925E9">
        <w:rPr>
          <w:rFonts w:asciiTheme="minorHAnsi" w:hAnsiTheme="minorHAnsi"/>
          <w:color w:val="auto"/>
          <w:szCs w:val="24"/>
        </w:rPr>
        <w:t xml:space="preserve">pulmonary </w:t>
      </w:r>
      <w:proofErr w:type="spellStart"/>
      <w:r w:rsidR="00D925E9">
        <w:rPr>
          <w:rFonts w:asciiTheme="minorHAnsi" w:hAnsiTheme="minorHAnsi"/>
          <w:color w:val="auto"/>
          <w:szCs w:val="24"/>
        </w:rPr>
        <w:t>thromboembolism</w:t>
      </w:r>
      <w:proofErr w:type="spellEnd"/>
      <w:r w:rsidR="00D925E9">
        <w:rPr>
          <w:rFonts w:asciiTheme="minorHAnsi" w:hAnsiTheme="minorHAnsi"/>
          <w:color w:val="auto"/>
          <w:szCs w:val="24"/>
        </w:rPr>
        <w:t xml:space="preserve"> </w:t>
      </w:r>
      <w:r w:rsidR="00D925E9" w:rsidRPr="001F5378">
        <w:rPr>
          <w:rFonts w:asciiTheme="minorHAnsi" w:hAnsiTheme="minorHAnsi"/>
          <w:color w:val="auto"/>
          <w:szCs w:val="24"/>
        </w:rPr>
        <w:t>condition, the Board</w:t>
      </w:r>
      <w:r w:rsidR="00D925E9">
        <w:rPr>
          <w:rFonts w:asciiTheme="minorHAnsi" w:hAnsiTheme="minorHAnsi"/>
          <w:color w:val="auto"/>
          <w:szCs w:val="24"/>
        </w:rPr>
        <w:t xml:space="preserve"> </w:t>
      </w:r>
      <w:r w:rsidR="00D925E9" w:rsidRPr="001F5378">
        <w:rPr>
          <w:rFonts w:asciiTheme="minorHAnsi" w:hAnsiTheme="minorHAnsi"/>
          <w:color w:val="auto"/>
          <w:szCs w:val="24"/>
        </w:rPr>
        <w:t>by a vote of 2:1</w:t>
      </w:r>
      <w:r w:rsidR="00D925E9">
        <w:rPr>
          <w:rFonts w:asciiTheme="minorHAnsi" w:hAnsiTheme="minorHAnsi"/>
          <w:color w:val="auto"/>
          <w:szCs w:val="24"/>
        </w:rPr>
        <w:t xml:space="preserve"> </w:t>
      </w:r>
      <w:r w:rsidR="00D925E9" w:rsidRPr="001F5378">
        <w:rPr>
          <w:rFonts w:asciiTheme="minorHAnsi" w:hAnsiTheme="minorHAnsi"/>
          <w:color w:val="auto"/>
          <w:szCs w:val="24"/>
        </w:rPr>
        <w:t xml:space="preserve">recommends a </w:t>
      </w:r>
      <w:r w:rsidR="00D925E9">
        <w:rPr>
          <w:rFonts w:asciiTheme="minorHAnsi" w:hAnsiTheme="minorHAnsi"/>
          <w:color w:val="auto"/>
          <w:szCs w:val="24"/>
        </w:rPr>
        <w:t xml:space="preserve">separation </w:t>
      </w:r>
      <w:r w:rsidR="00D925E9" w:rsidRPr="001F5378">
        <w:rPr>
          <w:rFonts w:asciiTheme="minorHAnsi" w:hAnsiTheme="minorHAnsi"/>
          <w:color w:val="auto"/>
          <w:szCs w:val="24"/>
        </w:rPr>
        <w:t xml:space="preserve">rating of </w:t>
      </w:r>
      <w:r w:rsidR="00D925E9">
        <w:rPr>
          <w:rFonts w:asciiTheme="minorHAnsi" w:hAnsiTheme="minorHAnsi"/>
          <w:color w:val="auto"/>
          <w:szCs w:val="24"/>
        </w:rPr>
        <w:t>3</w:t>
      </w:r>
      <w:r w:rsidR="00D925E9" w:rsidRPr="001F5378">
        <w:rPr>
          <w:rFonts w:asciiTheme="minorHAnsi" w:hAnsiTheme="minorHAnsi"/>
          <w:color w:val="auto"/>
          <w:szCs w:val="24"/>
        </w:rPr>
        <w:t xml:space="preserve">0% coded </w:t>
      </w:r>
      <w:r w:rsidR="00D925E9">
        <w:rPr>
          <w:rFonts w:cs="Calibri"/>
          <w:color w:val="auto"/>
          <w:szCs w:val="24"/>
        </w:rPr>
        <w:t>6817</w:t>
      </w:r>
      <w:r w:rsidR="00D925E9">
        <w:rPr>
          <w:rFonts w:asciiTheme="minorHAnsi" w:hAnsiTheme="minorHAnsi"/>
          <w:color w:val="auto"/>
          <w:szCs w:val="24"/>
        </w:rPr>
        <w:t xml:space="preserve"> </w:t>
      </w:r>
      <w:r w:rsidR="00D925E9" w:rsidRPr="001F5378">
        <w:rPr>
          <w:rFonts w:asciiTheme="minorHAnsi" w:hAnsiTheme="minorHAnsi"/>
          <w:color w:val="auto"/>
          <w:szCs w:val="24"/>
        </w:rPr>
        <w:t>IAW VASRD §4.</w:t>
      </w:r>
      <w:r w:rsidR="00817893">
        <w:rPr>
          <w:rFonts w:asciiTheme="minorHAnsi" w:hAnsiTheme="minorHAnsi"/>
          <w:color w:val="auto"/>
          <w:szCs w:val="24"/>
        </w:rPr>
        <w:t>97</w:t>
      </w:r>
      <w:r w:rsidR="00D925E9" w:rsidRPr="001F5378">
        <w:rPr>
          <w:rFonts w:asciiTheme="minorHAnsi" w:hAnsiTheme="minorHAnsi"/>
          <w:color w:val="auto"/>
          <w:szCs w:val="24"/>
        </w:rPr>
        <w:t>.</w:t>
      </w:r>
      <w:r w:rsidR="00817893">
        <w:rPr>
          <w:rFonts w:asciiTheme="minorHAnsi" w:hAnsiTheme="minorHAnsi"/>
          <w:color w:val="auto"/>
          <w:szCs w:val="24"/>
        </w:rPr>
        <w:t xml:space="preserve">  </w:t>
      </w:r>
      <w:r w:rsidR="00D925E9" w:rsidRPr="001F5378">
        <w:rPr>
          <w:rFonts w:asciiTheme="minorHAnsi" w:hAnsiTheme="minorHAnsi"/>
          <w:color w:val="auto"/>
          <w:szCs w:val="24"/>
        </w:rPr>
        <w:t xml:space="preserve">The single voter for dissent (who recommended </w:t>
      </w:r>
      <w:r w:rsidR="00D925E9">
        <w:rPr>
          <w:rFonts w:asciiTheme="minorHAnsi" w:hAnsiTheme="minorHAnsi"/>
          <w:color w:val="auto"/>
          <w:szCs w:val="24"/>
        </w:rPr>
        <w:t xml:space="preserve">no </w:t>
      </w:r>
      <w:proofErr w:type="spellStart"/>
      <w:r w:rsidR="00D925E9">
        <w:rPr>
          <w:rFonts w:asciiTheme="minorHAnsi" w:hAnsiTheme="minorHAnsi"/>
          <w:color w:val="auto"/>
          <w:szCs w:val="24"/>
        </w:rPr>
        <w:t>recharacterization</w:t>
      </w:r>
      <w:proofErr w:type="spellEnd"/>
      <w:r w:rsidR="00D925E9" w:rsidRPr="001F5378">
        <w:rPr>
          <w:rFonts w:asciiTheme="minorHAnsi" w:hAnsiTheme="minorHAnsi"/>
          <w:color w:val="auto"/>
          <w:szCs w:val="24"/>
        </w:rPr>
        <w:t xml:space="preserve">) submitted the </w:t>
      </w:r>
      <w:proofErr w:type="spellStart"/>
      <w:r w:rsidR="00D925E9" w:rsidRPr="001F5378">
        <w:rPr>
          <w:rFonts w:asciiTheme="minorHAnsi" w:hAnsiTheme="minorHAnsi"/>
          <w:color w:val="auto"/>
          <w:szCs w:val="24"/>
        </w:rPr>
        <w:t>addended</w:t>
      </w:r>
      <w:proofErr w:type="spellEnd"/>
      <w:r w:rsidR="00D925E9" w:rsidRPr="001F5378">
        <w:rPr>
          <w:rFonts w:asciiTheme="minorHAnsi" w:hAnsiTheme="minorHAnsi"/>
          <w:color w:val="auto"/>
          <w:szCs w:val="24"/>
        </w:rPr>
        <w:t xml:space="preserve"> minority opinion.</w:t>
      </w:r>
      <w:r w:rsidR="00817893">
        <w:rPr>
          <w:rFonts w:asciiTheme="minorHAnsi" w:hAnsiTheme="minorHAnsi"/>
          <w:color w:val="auto"/>
          <w:szCs w:val="24"/>
        </w:rPr>
        <w:t xml:space="preserve">  </w:t>
      </w:r>
      <w:r w:rsidR="00D925E9" w:rsidRPr="001F5378">
        <w:rPr>
          <w:rFonts w:asciiTheme="minorHAnsi" w:hAnsiTheme="minorHAnsi"/>
          <w:color w:val="auto"/>
          <w:szCs w:val="24"/>
        </w:rPr>
        <w:t xml:space="preserve">In the matter of </w:t>
      </w:r>
      <w:r w:rsidR="00817893">
        <w:rPr>
          <w:rFonts w:asciiTheme="minorHAnsi" w:hAnsiTheme="minorHAnsi"/>
          <w:color w:val="auto"/>
          <w:szCs w:val="24"/>
        </w:rPr>
        <w:t>f</w:t>
      </w:r>
      <w:r w:rsidR="00817893">
        <w:rPr>
          <w:color w:val="auto"/>
          <w:szCs w:val="24"/>
        </w:rPr>
        <w:t xml:space="preserve">actor V (Leiden) mutation, </w:t>
      </w:r>
      <w:r w:rsidR="00817893" w:rsidRPr="003D7E1F">
        <w:rPr>
          <w:color w:val="auto"/>
          <w:szCs w:val="24"/>
        </w:rPr>
        <w:t>migraine</w:t>
      </w:r>
      <w:r w:rsidR="00817893">
        <w:rPr>
          <w:color w:val="auto"/>
          <w:szCs w:val="24"/>
        </w:rPr>
        <w:t>,</w:t>
      </w:r>
      <w:r w:rsidR="00817893" w:rsidRPr="003D7E1F">
        <w:rPr>
          <w:color w:val="auto"/>
          <w:szCs w:val="24"/>
        </w:rPr>
        <w:t xml:space="preserve"> knee pain</w:t>
      </w:r>
      <w:r w:rsidR="00817893">
        <w:rPr>
          <w:color w:val="auto"/>
          <w:szCs w:val="24"/>
        </w:rPr>
        <w:t xml:space="preserve">, low back pain, </w:t>
      </w:r>
      <w:r w:rsidR="00D925E9" w:rsidRPr="001F5378">
        <w:rPr>
          <w:rFonts w:asciiTheme="minorHAnsi" w:hAnsiTheme="minorHAnsi"/>
          <w:color w:val="auto"/>
          <w:szCs w:val="24"/>
        </w:rPr>
        <w:t>or any other medical conditions eligible for Board consideration; the Board unanimously agrees that it cannot recommend any findings of unfit for additional rating at separation.</w:t>
      </w:r>
      <w:r w:rsidR="00817893">
        <w:rPr>
          <w:rFonts w:asciiTheme="minorHAnsi" w:hAnsiTheme="minorHAnsi"/>
          <w:color w:val="auto"/>
          <w:szCs w:val="24"/>
        </w:rPr>
        <w:t xml:space="preserve">  </w:t>
      </w:r>
      <w:r w:rsidR="00D925E9" w:rsidRPr="00EC290D">
        <w:rPr>
          <w:rFonts w:asciiTheme="minorHAnsi" w:hAnsiTheme="minorHAnsi"/>
          <w:color w:val="auto"/>
          <w:szCs w:val="24"/>
        </w:rPr>
        <w:t>The Board unanimously agrees that there were no other conditions eligible for Board consideration which could be recommended as additionally unfitting for rating at separation.</w:t>
      </w:r>
    </w:p>
    <w:p w:rsidR="00640EBB" w:rsidRPr="00FE2DEF" w:rsidRDefault="00C56FC8" w:rsidP="00817893">
      <w:pPr>
        <w:jc w:val="both"/>
        <w:rPr>
          <w:color w:val="auto"/>
          <w:szCs w:val="24"/>
        </w:rPr>
      </w:pPr>
      <w:r w:rsidRPr="00FE2DEF">
        <w:rPr>
          <w:color w:val="auto"/>
          <w:szCs w:val="24"/>
          <w:u w:val="single"/>
        </w:rPr>
        <w:lastRenderedPageBreak/>
        <w:t>RECOMMENDATION</w:t>
      </w:r>
      <w:r w:rsidRPr="00FE2DEF">
        <w:rPr>
          <w:color w:val="auto"/>
          <w:szCs w:val="24"/>
        </w:rPr>
        <w:t>:</w:t>
      </w:r>
      <w:r w:rsidR="00640EBB">
        <w:rPr>
          <w:color w:val="auto"/>
          <w:szCs w:val="24"/>
        </w:rPr>
        <w:t xml:space="preserve">  </w:t>
      </w:r>
      <w:r w:rsidR="00640EBB" w:rsidRPr="00FE2DEF">
        <w:rPr>
          <w:color w:val="auto"/>
          <w:szCs w:val="24"/>
        </w:rPr>
        <w:t xml:space="preserve">The Board recommends that the CI’s prior determination be modified as follows and that the discharge with severance pay be </w:t>
      </w:r>
      <w:proofErr w:type="spellStart"/>
      <w:r w:rsidR="00640EBB" w:rsidRPr="00FE2DEF">
        <w:rPr>
          <w:color w:val="auto"/>
          <w:szCs w:val="24"/>
        </w:rPr>
        <w:t>recharacterized</w:t>
      </w:r>
      <w:proofErr w:type="spellEnd"/>
      <w:r w:rsidR="00640EBB" w:rsidRPr="00FE2DEF">
        <w:rPr>
          <w:color w:val="auto"/>
          <w:szCs w:val="24"/>
        </w:rPr>
        <w:t xml:space="preserve"> to reflect permanent disability retirement, effective as of the date of his prior medical separation:</w:t>
      </w:r>
    </w:p>
    <w:p w:rsidR="00640EBB" w:rsidRPr="00FE2DEF" w:rsidRDefault="00640EBB" w:rsidP="00817893">
      <w:pPr>
        <w:tabs>
          <w:tab w:val="left" w:pos="288"/>
          <w:tab w:val="left" w:pos="4752"/>
        </w:tabs>
        <w:jc w:val="both"/>
        <w:rPr>
          <w:color w:val="auto"/>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640EBB" w:rsidRPr="00FE2DEF" w:rsidTr="00284307">
        <w:trPr>
          <w:trHeight w:val="233"/>
          <w:jc w:val="center"/>
        </w:trPr>
        <w:tc>
          <w:tcPr>
            <w:tcW w:w="6480" w:type="dxa"/>
            <w:shd w:val="clear" w:color="auto" w:fill="D9D9D9"/>
            <w:vAlign w:val="center"/>
          </w:tcPr>
          <w:p w:rsidR="00640EBB" w:rsidRPr="00FE2DEF" w:rsidRDefault="00640EBB" w:rsidP="00284307">
            <w:pPr>
              <w:tabs>
                <w:tab w:val="left" w:pos="288"/>
                <w:tab w:val="left" w:pos="4752"/>
              </w:tabs>
              <w:rPr>
                <w:b/>
                <w:color w:val="auto"/>
                <w:szCs w:val="24"/>
              </w:rPr>
            </w:pPr>
            <w:r w:rsidRPr="00FE2DEF">
              <w:rPr>
                <w:b/>
                <w:color w:val="auto"/>
                <w:szCs w:val="24"/>
              </w:rPr>
              <w:t>UNFITTING CONDITION</w:t>
            </w:r>
          </w:p>
        </w:tc>
        <w:tc>
          <w:tcPr>
            <w:tcW w:w="1710" w:type="dxa"/>
            <w:shd w:val="clear" w:color="auto" w:fill="D9D9D9"/>
            <w:vAlign w:val="center"/>
          </w:tcPr>
          <w:p w:rsidR="00640EBB" w:rsidRPr="00FE2DEF" w:rsidRDefault="00640EBB" w:rsidP="00284307">
            <w:pPr>
              <w:tabs>
                <w:tab w:val="left" w:pos="288"/>
                <w:tab w:val="left" w:pos="4752"/>
              </w:tabs>
              <w:rPr>
                <w:b/>
                <w:color w:val="auto"/>
                <w:szCs w:val="24"/>
              </w:rPr>
            </w:pPr>
            <w:r w:rsidRPr="00FE2DEF">
              <w:rPr>
                <w:b/>
                <w:color w:val="auto"/>
                <w:szCs w:val="24"/>
              </w:rPr>
              <w:t>VASRD CODE</w:t>
            </w:r>
          </w:p>
        </w:tc>
        <w:tc>
          <w:tcPr>
            <w:tcW w:w="1170" w:type="dxa"/>
            <w:shd w:val="clear" w:color="auto" w:fill="D9D9D9"/>
            <w:vAlign w:val="center"/>
          </w:tcPr>
          <w:p w:rsidR="00640EBB" w:rsidRPr="00FE2DEF" w:rsidRDefault="00640EBB" w:rsidP="00284307">
            <w:pPr>
              <w:tabs>
                <w:tab w:val="left" w:pos="288"/>
                <w:tab w:val="left" w:pos="4752"/>
              </w:tabs>
              <w:rPr>
                <w:b/>
                <w:color w:val="auto"/>
                <w:szCs w:val="24"/>
              </w:rPr>
            </w:pPr>
            <w:r w:rsidRPr="00FE2DEF">
              <w:rPr>
                <w:b/>
                <w:color w:val="auto"/>
                <w:szCs w:val="24"/>
              </w:rPr>
              <w:t>RATING</w:t>
            </w:r>
          </w:p>
        </w:tc>
      </w:tr>
      <w:tr w:rsidR="00640EBB" w:rsidRPr="00FE2DEF" w:rsidTr="00284307">
        <w:trPr>
          <w:jc w:val="center"/>
        </w:trPr>
        <w:tc>
          <w:tcPr>
            <w:tcW w:w="6480" w:type="dxa"/>
            <w:vAlign w:val="center"/>
          </w:tcPr>
          <w:p w:rsidR="00640EBB" w:rsidRPr="009E5773" w:rsidRDefault="00640EBB" w:rsidP="00284307">
            <w:pPr>
              <w:tabs>
                <w:tab w:val="left" w:pos="288"/>
                <w:tab w:val="left" w:pos="4752"/>
              </w:tabs>
              <w:jc w:val="left"/>
              <w:rPr>
                <w:color w:val="auto"/>
                <w:szCs w:val="24"/>
              </w:rPr>
            </w:pPr>
            <w:r>
              <w:rPr>
                <w:color w:val="auto"/>
                <w:szCs w:val="24"/>
              </w:rPr>
              <w:t>Recurrent Pulmonary Embolism</w:t>
            </w:r>
          </w:p>
        </w:tc>
        <w:tc>
          <w:tcPr>
            <w:tcW w:w="1710" w:type="dxa"/>
            <w:vAlign w:val="center"/>
          </w:tcPr>
          <w:p w:rsidR="00640EBB" w:rsidRPr="009E5773" w:rsidRDefault="00640EBB" w:rsidP="00640EBB">
            <w:pPr>
              <w:tabs>
                <w:tab w:val="left" w:pos="288"/>
                <w:tab w:val="left" w:pos="4752"/>
              </w:tabs>
              <w:rPr>
                <w:color w:val="auto"/>
                <w:szCs w:val="24"/>
              </w:rPr>
            </w:pPr>
            <w:r>
              <w:rPr>
                <w:rFonts w:cs="Calibri"/>
                <w:color w:val="auto"/>
                <w:szCs w:val="24"/>
              </w:rPr>
              <w:t>6817</w:t>
            </w:r>
          </w:p>
        </w:tc>
        <w:tc>
          <w:tcPr>
            <w:tcW w:w="1170" w:type="dxa"/>
            <w:vAlign w:val="center"/>
          </w:tcPr>
          <w:p w:rsidR="00640EBB" w:rsidRPr="009E5773" w:rsidRDefault="00640EBB" w:rsidP="00640EBB">
            <w:pPr>
              <w:tabs>
                <w:tab w:val="left" w:pos="288"/>
                <w:tab w:val="left" w:pos="4752"/>
              </w:tabs>
              <w:rPr>
                <w:color w:val="auto"/>
                <w:szCs w:val="24"/>
              </w:rPr>
            </w:pPr>
            <w:r>
              <w:rPr>
                <w:color w:val="auto"/>
                <w:szCs w:val="24"/>
              </w:rPr>
              <w:t>30</w:t>
            </w:r>
            <w:r w:rsidRPr="009E5773">
              <w:rPr>
                <w:color w:val="auto"/>
                <w:szCs w:val="24"/>
              </w:rPr>
              <w:t>%</w:t>
            </w:r>
          </w:p>
        </w:tc>
      </w:tr>
      <w:tr w:rsidR="00640EBB" w:rsidRPr="00FE2DEF" w:rsidTr="00284307">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640EBB" w:rsidRPr="009E5773" w:rsidRDefault="00640EBB" w:rsidP="00284307">
            <w:pPr>
              <w:tabs>
                <w:tab w:val="left" w:pos="288"/>
                <w:tab w:val="left" w:pos="4752"/>
              </w:tabs>
              <w:rPr>
                <w:b/>
                <w:color w:val="auto"/>
                <w:szCs w:val="24"/>
              </w:rPr>
            </w:pPr>
            <w:r w:rsidRPr="009E5773">
              <w:rPr>
                <w:b/>
                <w:color w:val="auto"/>
                <w:szCs w:val="24"/>
              </w:rPr>
              <w:t>COMBINED</w:t>
            </w:r>
          </w:p>
        </w:tc>
        <w:tc>
          <w:tcPr>
            <w:tcW w:w="1170" w:type="dxa"/>
            <w:tcBorders>
              <w:bottom w:val="single" w:sz="4" w:space="0" w:color="000000"/>
            </w:tcBorders>
            <w:shd w:val="clear" w:color="auto" w:fill="D9D9D9" w:themeFill="background1" w:themeFillShade="D9"/>
            <w:vAlign w:val="center"/>
          </w:tcPr>
          <w:p w:rsidR="00640EBB" w:rsidRPr="009E5773" w:rsidRDefault="00640EBB" w:rsidP="00284307">
            <w:pPr>
              <w:tabs>
                <w:tab w:val="left" w:pos="288"/>
                <w:tab w:val="left" w:pos="4752"/>
              </w:tabs>
              <w:rPr>
                <w:b/>
                <w:color w:val="auto"/>
                <w:szCs w:val="24"/>
              </w:rPr>
            </w:pPr>
            <w:r>
              <w:rPr>
                <w:b/>
                <w:color w:val="auto"/>
                <w:szCs w:val="24"/>
              </w:rPr>
              <w:t>3</w:t>
            </w:r>
            <w:r w:rsidRPr="009E5773">
              <w:rPr>
                <w:b/>
                <w:color w:val="auto"/>
                <w:szCs w:val="24"/>
              </w:rPr>
              <w:t>0%</w:t>
            </w:r>
          </w:p>
        </w:tc>
      </w:tr>
    </w:tbl>
    <w:p w:rsidR="005B1D09" w:rsidRPr="00FE2DEF" w:rsidRDefault="005B1D09" w:rsidP="00BF0E94">
      <w:pPr>
        <w:pBdr>
          <w:bottom w:val="single" w:sz="12" w:space="1" w:color="auto"/>
        </w:pBdr>
        <w:tabs>
          <w:tab w:val="left" w:pos="288"/>
          <w:tab w:val="left" w:pos="4752"/>
        </w:tabs>
        <w:jc w:val="both"/>
        <w:rPr>
          <w:color w:val="auto"/>
        </w:rPr>
      </w:pPr>
    </w:p>
    <w:p w:rsidR="005B1D09" w:rsidRPr="00FE2DEF" w:rsidRDefault="005B1D09" w:rsidP="00BF0E94">
      <w:pPr>
        <w:rPr>
          <w:color w:val="auto"/>
          <w:szCs w:val="24"/>
        </w:rPr>
      </w:pPr>
    </w:p>
    <w:p w:rsidR="00D91DA6" w:rsidRPr="00FE2DEF" w:rsidRDefault="00FB1725" w:rsidP="00BF0E94">
      <w:pPr>
        <w:tabs>
          <w:tab w:val="left" w:pos="288"/>
          <w:tab w:val="left" w:pos="4752"/>
        </w:tabs>
        <w:jc w:val="both"/>
        <w:rPr>
          <w:color w:val="auto"/>
        </w:rPr>
      </w:pPr>
      <w:r w:rsidRPr="00FE2DEF">
        <w:rPr>
          <w:color w:val="auto"/>
        </w:rPr>
        <w:t>The following documentary evidence was considered:</w:t>
      </w:r>
    </w:p>
    <w:p w:rsidR="00EB5EFD" w:rsidRPr="00FE2DEF" w:rsidRDefault="00EB5EFD" w:rsidP="00BF0E94">
      <w:pPr>
        <w:tabs>
          <w:tab w:val="left" w:pos="288"/>
          <w:tab w:val="left" w:pos="4752"/>
        </w:tabs>
        <w:jc w:val="both"/>
        <w:rPr>
          <w:color w:val="auto"/>
        </w:rPr>
      </w:pPr>
    </w:p>
    <w:p w:rsidR="00114F20" w:rsidRPr="00FE2DEF" w:rsidRDefault="00FB1725" w:rsidP="00910FBA">
      <w:pPr>
        <w:tabs>
          <w:tab w:val="left" w:pos="288"/>
          <w:tab w:val="left" w:pos="4752"/>
        </w:tabs>
        <w:jc w:val="both"/>
        <w:rPr>
          <w:color w:val="auto"/>
        </w:rPr>
      </w:pPr>
      <w:r w:rsidRPr="00FE2DEF">
        <w:rPr>
          <w:color w:val="auto"/>
        </w:rPr>
        <w:t>Exhibit A.  DD Form 294</w:t>
      </w:r>
      <w:r w:rsidRPr="001D64F3">
        <w:rPr>
          <w:color w:val="auto"/>
        </w:rPr>
        <w:t xml:space="preserve">, </w:t>
      </w:r>
      <w:r w:rsidRPr="001D64F3">
        <w:rPr>
          <w:color w:val="auto"/>
          <w:szCs w:val="24"/>
        </w:rPr>
        <w:t>dated 20</w:t>
      </w:r>
      <w:r w:rsidR="001215DF" w:rsidRPr="001D64F3">
        <w:rPr>
          <w:color w:val="auto"/>
          <w:szCs w:val="24"/>
        </w:rPr>
        <w:t>1</w:t>
      </w:r>
      <w:r w:rsidR="00B53EC2">
        <w:rPr>
          <w:color w:val="auto"/>
          <w:szCs w:val="24"/>
        </w:rPr>
        <w:t>11110</w:t>
      </w:r>
      <w:r w:rsidR="00DA043D">
        <w:rPr>
          <w:color w:val="auto"/>
        </w:rPr>
        <w:t>, w/</w:t>
      </w:r>
      <w:proofErr w:type="spellStart"/>
      <w:r w:rsidR="00DA043D">
        <w:rPr>
          <w:color w:val="auto"/>
        </w:rPr>
        <w:t>atchs</w:t>
      </w:r>
      <w:proofErr w:type="spellEnd"/>
    </w:p>
    <w:p w:rsidR="00114F20" w:rsidRPr="00FE2DEF" w:rsidRDefault="00FB1725" w:rsidP="00910FBA">
      <w:pPr>
        <w:tabs>
          <w:tab w:val="left" w:pos="288"/>
          <w:tab w:val="left" w:pos="4752"/>
        </w:tabs>
        <w:jc w:val="both"/>
        <w:rPr>
          <w:color w:val="auto"/>
        </w:rPr>
      </w:pPr>
      <w:r w:rsidRPr="00FE2DEF">
        <w:rPr>
          <w:color w:val="auto"/>
        </w:rPr>
        <w:t>Exhib</w:t>
      </w:r>
      <w:r w:rsidR="00DA043D">
        <w:rPr>
          <w:color w:val="auto"/>
        </w:rPr>
        <w:t>it B.  Service Treatment Record</w:t>
      </w:r>
    </w:p>
    <w:p w:rsidR="00114F20" w:rsidRPr="00FE2DEF" w:rsidRDefault="00FB1725" w:rsidP="00910FBA">
      <w:pPr>
        <w:tabs>
          <w:tab w:val="left" w:pos="288"/>
          <w:tab w:val="left" w:pos="4752"/>
        </w:tabs>
        <w:jc w:val="both"/>
        <w:rPr>
          <w:color w:val="auto"/>
        </w:rPr>
      </w:pPr>
      <w:r w:rsidRPr="00FE2DEF">
        <w:rPr>
          <w:color w:val="auto"/>
        </w:rPr>
        <w:t>Exhibit C.  Department of Veterans</w:t>
      </w:r>
      <w:r w:rsidR="00DA043D">
        <w:rPr>
          <w:color w:val="auto"/>
        </w:rPr>
        <w:t>’ Affairs Treatment Record</w:t>
      </w:r>
    </w:p>
    <w:p w:rsidR="00D91DA6" w:rsidRPr="00FE2DEF" w:rsidRDefault="00D91DA6" w:rsidP="00910FBA">
      <w:pPr>
        <w:tabs>
          <w:tab w:val="left" w:pos="288"/>
          <w:tab w:val="left" w:pos="4752"/>
        </w:tabs>
        <w:jc w:val="both"/>
        <w:rPr>
          <w:color w:val="auto"/>
        </w:rPr>
      </w:pPr>
    </w:p>
    <w:p w:rsidR="00114F20" w:rsidRPr="00FE2DEF" w:rsidRDefault="00114F20" w:rsidP="00BF0E94">
      <w:pPr>
        <w:tabs>
          <w:tab w:val="left" w:pos="288"/>
          <w:tab w:val="left" w:pos="4752"/>
        </w:tabs>
        <w:jc w:val="both"/>
        <w:rPr>
          <w:color w:val="auto"/>
        </w:rPr>
      </w:pPr>
    </w:p>
    <w:p w:rsidR="00114F20" w:rsidRPr="00FE2DEF" w:rsidRDefault="00114F20" w:rsidP="00BF0E94">
      <w:pPr>
        <w:tabs>
          <w:tab w:val="left" w:pos="288"/>
          <w:tab w:val="left" w:pos="4752"/>
        </w:tabs>
        <w:jc w:val="both"/>
        <w:rPr>
          <w:color w:val="auto"/>
        </w:rPr>
      </w:pPr>
    </w:p>
    <w:p w:rsidR="00114F20" w:rsidRPr="00FE2DEF" w:rsidRDefault="00114F20" w:rsidP="00BF0E94">
      <w:pPr>
        <w:tabs>
          <w:tab w:val="left" w:pos="288"/>
          <w:tab w:val="left" w:pos="4752"/>
        </w:tabs>
        <w:jc w:val="both"/>
        <w:rPr>
          <w:color w:val="auto"/>
        </w:rPr>
      </w:pPr>
    </w:p>
    <w:p w:rsidR="00E3077F" w:rsidRPr="00FE2DEF" w:rsidRDefault="00220FA9" w:rsidP="00BF0E94">
      <w:pPr>
        <w:tabs>
          <w:tab w:val="left" w:pos="0"/>
          <w:tab w:val="left" w:pos="4320"/>
        </w:tabs>
        <w:jc w:val="both"/>
        <w:rPr>
          <w:color w:val="auto"/>
          <w:szCs w:val="24"/>
        </w:rPr>
      </w:pPr>
      <w:r w:rsidRPr="00FE2DEF">
        <w:rPr>
          <w:color w:val="auto"/>
          <w:szCs w:val="24"/>
        </w:rPr>
        <w:tab/>
      </w:r>
      <w:r w:rsidR="008E3C90" w:rsidRPr="00FE2DEF">
        <w:rPr>
          <w:color w:val="auto"/>
          <w:szCs w:val="24"/>
        </w:rPr>
        <w:t xml:space="preserve">           </w:t>
      </w:r>
      <w:r w:rsidR="00EA4EA0">
        <w:rPr>
          <w:color w:val="auto"/>
          <w:szCs w:val="24"/>
        </w:rPr>
        <w:t>XXXXXXXXXXXX</w:t>
      </w:r>
    </w:p>
    <w:p w:rsidR="002F195B" w:rsidRDefault="00220FA9" w:rsidP="00BF0E94">
      <w:pPr>
        <w:tabs>
          <w:tab w:val="left" w:pos="0"/>
          <w:tab w:val="left" w:pos="4320"/>
        </w:tabs>
        <w:jc w:val="both"/>
        <w:rPr>
          <w:color w:val="auto"/>
          <w:szCs w:val="24"/>
        </w:rPr>
      </w:pPr>
      <w:r w:rsidRPr="00FE2DEF">
        <w:rPr>
          <w:color w:val="auto"/>
          <w:szCs w:val="24"/>
        </w:rPr>
        <w:tab/>
      </w:r>
      <w:r w:rsidR="008E3C90" w:rsidRPr="00FE2DEF">
        <w:rPr>
          <w:color w:val="auto"/>
          <w:szCs w:val="24"/>
        </w:rPr>
        <w:t xml:space="preserve">           </w:t>
      </w:r>
      <w:r w:rsidR="00E3077F" w:rsidRPr="00FE2DEF">
        <w:rPr>
          <w:color w:val="auto"/>
          <w:szCs w:val="24"/>
        </w:rPr>
        <w:t xml:space="preserve">President </w:t>
      </w:r>
    </w:p>
    <w:p w:rsidR="00E3077F" w:rsidRPr="00FE2DEF" w:rsidRDefault="002F195B" w:rsidP="00BF0E94">
      <w:pPr>
        <w:tabs>
          <w:tab w:val="left" w:pos="0"/>
          <w:tab w:val="left" w:pos="4320"/>
        </w:tabs>
        <w:jc w:val="both"/>
        <w:rPr>
          <w:color w:val="auto"/>
          <w:szCs w:val="24"/>
        </w:rPr>
      </w:pPr>
      <w:r>
        <w:rPr>
          <w:color w:val="auto"/>
          <w:szCs w:val="24"/>
        </w:rPr>
        <w:tab/>
        <w:t xml:space="preserve">           </w:t>
      </w:r>
      <w:r w:rsidR="00220FA9" w:rsidRPr="00FE2DEF">
        <w:rPr>
          <w:color w:val="auto"/>
          <w:szCs w:val="24"/>
        </w:rPr>
        <w:t>P</w:t>
      </w:r>
      <w:r w:rsidR="00E3077F" w:rsidRPr="00FE2DEF">
        <w:rPr>
          <w:color w:val="auto"/>
          <w:szCs w:val="24"/>
        </w:rPr>
        <w:t>hysical Disability Board of Review</w:t>
      </w:r>
    </w:p>
    <w:p w:rsidR="00D10B40" w:rsidRDefault="00D10B40" w:rsidP="00D10B40">
      <w:pPr>
        <w:jc w:val="both"/>
        <w:rPr>
          <w:color w:val="auto"/>
          <w:szCs w:val="24"/>
          <w:u w:val="single"/>
        </w:rPr>
      </w:pPr>
    </w:p>
    <w:p w:rsidR="00D10B40" w:rsidRDefault="00D10B40" w:rsidP="00D10B40">
      <w:pPr>
        <w:jc w:val="both"/>
        <w:rPr>
          <w:color w:val="auto"/>
          <w:szCs w:val="24"/>
          <w:u w:val="single"/>
        </w:rPr>
      </w:pPr>
    </w:p>
    <w:p w:rsidR="0042265A" w:rsidRDefault="0042265A" w:rsidP="0042265A">
      <w:pPr>
        <w:jc w:val="both"/>
        <w:rPr>
          <w:color w:val="auto"/>
        </w:rPr>
      </w:pPr>
    </w:p>
    <w:p w:rsidR="0042265A" w:rsidRDefault="0042265A" w:rsidP="0042265A">
      <w:pPr>
        <w:jc w:val="both"/>
        <w:rPr>
          <w:color w:val="auto"/>
        </w:rPr>
      </w:pPr>
    </w:p>
    <w:p w:rsidR="0042265A" w:rsidRDefault="0042265A" w:rsidP="001264B8">
      <w:pPr>
        <w:jc w:val="both"/>
        <w:rPr>
          <w:color w:val="auto"/>
        </w:rPr>
      </w:pPr>
    </w:p>
    <w:p w:rsidR="0042265A" w:rsidRDefault="0042265A" w:rsidP="0042265A">
      <w:pPr>
        <w:jc w:val="both"/>
        <w:rPr>
          <w:color w:val="auto"/>
        </w:rPr>
      </w:pPr>
    </w:p>
    <w:p w:rsidR="0042265A" w:rsidRDefault="0042265A" w:rsidP="0042265A">
      <w:pPr>
        <w:tabs>
          <w:tab w:val="left" w:pos="288"/>
          <w:tab w:val="left" w:pos="4752"/>
        </w:tabs>
        <w:jc w:val="both"/>
        <w:rPr>
          <w:rFonts w:asciiTheme="minorHAnsi" w:hAnsiTheme="minorHAnsi"/>
          <w:color w:val="auto"/>
          <w:szCs w:val="24"/>
        </w:rPr>
      </w:pPr>
    </w:p>
    <w:p w:rsidR="00910FBA" w:rsidRDefault="00910FBA" w:rsidP="0042265A">
      <w:pPr>
        <w:tabs>
          <w:tab w:val="left" w:pos="288"/>
          <w:tab w:val="left" w:pos="4752"/>
        </w:tabs>
        <w:jc w:val="both"/>
        <w:rPr>
          <w:rFonts w:asciiTheme="minorHAnsi" w:hAnsiTheme="minorHAnsi"/>
          <w:color w:val="auto"/>
          <w:szCs w:val="24"/>
        </w:rPr>
      </w:pPr>
    </w:p>
    <w:p w:rsidR="00910FBA" w:rsidRDefault="00910FBA" w:rsidP="0042265A">
      <w:pPr>
        <w:tabs>
          <w:tab w:val="left" w:pos="288"/>
          <w:tab w:val="left" w:pos="4752"/>
        </w:tabs>
        <w:jc w:val="both"/>
        <w:rPr>
          <w:rFonts w:asciiTheme="minorHAnsi" w:hAnsiTheme="minorHAnsi"/>
          <w:color w:val="auto"/>
          <w:szCs w:val="24"/>
        </w:rPr>
      </w:pPr>
    </w:p>
    <w:p w:rsidR="00910FBA" w:rsidRDefault="00910FBA" w:rsidP="0042265A">
      <w:pPr>
        <w:tabs>
          <w:tab w:val="left" w:pos="288"/>
          <w:tab w:val="left" w:pos="4752"/>
        </w:tabs>
        <w:jc w:val="both"/>
        <w:rPr>
          <w:rFonts w:asciiTheme="minorHAnsi" w:hAnsiTheme="minorHAnsi"/>
          <w:color w:val="auto"/>
          <w:szCs w:val="24"/>
        </w:rPr>
      </w:pPr>
    </w:p>
    <w:p w:rsidR="00910FBA" w:rsidRDefault="00910FBA" w:rsidP="0042265A">
      <w:pPr>
        <w:tabs>
          <w:tab w:val="left" w:pos="288"/>
          <w:tab w:val="left" w:pos="4752"/>
        </w:tabs>
        <w:jc w:val="both"/>
        <w:rPr>
          <w:rFonts w:asciiTheme="minorHAnsi" w:hAnsiTheme="minorHAnsi"/>
          <w:color w:val="auto"/>
          <w:szCs w:val="24"/>
        </w:rPr>
      </w:pPr>
    </w:p>
    <w:p w:rsidR="00910FBA" w:rsidRDefault="00910FBA" w:rsidP="0042265A">
      <w:pPr>
        <w:tabs>
          <w:tab w:val="left" w:pos="288"/>
          <w:tab w:val="left" w:pos="4752"/>
        </w:tabs>
        <w:jc w:val="both"/>
        <w:rPr>
          <w:rFonts w:asciiTheme="minorHAnsi" w:hAnsiTheme="minorHAnsi"/>
          <w:color w:val="auto"/>
          <w:szCs w:val="24"/>
        </w:rPr>
      </w:pPr>
    </w:p>
    <w:p w:rsidR="00910FBA" w:rsidRDefault="00910FBA" w:rsidP="0042265A">
      <w:pPr>
        <w:tabs>
          <w:tab w:val="left" w:pos="288"/>
          <w:tab w:val="left" w:pos="4752"/>
        </w:tabs>
        <w:jc w:val="both"/>
        <w:rPr>
          <w:rFonts w:asciiTheme="minorHAnsi" w:hAnsiTheme="minorHAnsi"/>
          <w:color w:val="auto"/>
          <w:szCs w:val="24"/>
        </w:rPr>
      </w:pPr>
    </w:p>
    <w:p w:rsidR="00910FBA" w:rsidRDefault="00910FBA" w:rsidP="0042265A">
      <w:pPr>
        <w:tabs>
          <w:tab w:val="left" w:pos="288"/>
          <w:tab w:val="left" w:pos="4752"/>
        </w:tabs>
        <w:jc w:val="both"/>
        <w:rPr>
          <w:rFonts w:asciiTheme="minorHAnsi" w:hAnsiTheme="minorHAnsi"/>
          <w:color w:val="auto"/>
          <w:szCs w:val="24"/>
        </w:rPr>
      </w:pPr>
    </w:p>
    <w:p w:rsidR="00910FBA" w:rsidRDefault="00910FBA" w:rsidP="0042265A">
      <w:pPr>
        <w:tabs>
          <w:tab w:val="left" w:pos="288"/>
          <w:tab w:val="left" w:pos="4752"/>
        </w:tabs>
        <w:jc w:val="both"/>
        <w:rPr>
          <w:rFonts w:asciiTheme="minorHAnsi" w:hAnsiTheme="minorHAnsi"/>
          <w:color w:val="auto"/>
          <w:szCs w:val="24"/>
        </w:rPr>
      </w:pPr>
    </w:p>
    <w:p w:rsidR="00910FBA" w:rsidRDefault="00910FBA" w:rsidP="0042265A">
      <w:pPr>
        <w:tabs>
          <w:tab w:val="left" w:pos="288"/>
          <w:tab w:val="left" w:pos="4752"/>
        </w:tabs>
        <w:jc w:val="both"/>
        <w:rPr>
          <w:rFonts w:asciiTheme="minorHAnsi" w:hAnsiTheme="minorHAnsi"/>
          <w:color w:val="auto"/>
          <w:szCs w:val="24"/>
        </w:rPr>
      </w:pPr>
    </w:p>
    <w:p w:rsidR="00910FBA" w:rsidRDefault="00910FBA" w:rsidP="0042265A">
      <w:pPr>
        <w:tabs>
          <w:tab w:val="left" w:pos="288"/>
          <w:tab w:val="left" w:pos="4752"/>
        </w:tabs>
        <w:jc w:val="both"/>
        <w:rPr>
          <w:rFonts w:asciiTheme="minorHAnsi" w:hAnsiTheme="minorHAnsi"/>
          <w:color w:val="auto"/>
          <w:szCs w:val="24"/>
        </w:rPr>
      </w:pPr>
    </w:p>
    <w:p w:rsidR="00910FBA" w:rsidRDefault="00910FBA" w:rsidP="0042265A">
      <w:pPr>
        <w:tabs>
          <w:tab w:val="left" w:pos="288"/>
          <w:tab w:val="left" w:pos="4752"/>
        </w:tabs>
        <w:jc w:val="both"/>
        <w:rPr>
          <w:rFonts w:asciiTheme="minorHAnsi" w:hAnsiTheme="minorHAnsi"/>
          <w:color w:val="auto"/>
          <w:szCs w:val="24"/>
        </w:rPr>
      </w:pPr>
    </w:p>
    <w:p w:rsidR="00910FBA" w:rsidRDefault="00910FBA" w:rsidP="0042265A">
      <w:pPr>
        <w:tabs>
          <w:tab w:val="left" w:pos="288"/>
          <w:tab w:val="left" w:pos="4752"/>
        </w:tabs>
        <w:jc w:val="both"/>
        <w:rPr>
          <w:rFonts w:asciiTheme="minorHAnsi" w:hAnsiTheme="minorHAnsi"/>
          <w:color w:val="auto"/>
          <w:szCs w:val="24"/>
        </w:rPr>
      </w:pPr>
    </w:p>
    <w:p w:rsidR="00910FBA" w:rsidRDefault="00910FBA" w:rsidP="0042265A">
      <w:pPr>
        <w:tabs>
          <w:tab w:val="left" w:pos="288"/>
          <w:tab w:val="left" w:pos="4752"/>
        </w:tabs>
        <w:jc w:val="both"/>
        <w:rPr>
          <w:rFonts w:asciiTheme="minorHAnsi" w:hAnsiTheme="minorHAnsi"/>
          <w:color w:val="auto"/>
          <w:szCs w:val="24"/>
        </w:rPr>
      </w:pPr>
    </w:p>
    <w:p w:rsidR="00910FBA" w:rsidRDefault="00910FBA" w:rsidP="0042265A">
      <w:pPr>
        <w:tabs>
          <w:tab w:val="left" w:pos="288"/>
          <w:tab w:val="left" w:pos="4752"/>
        </w:tabs>
        <w:jc w:val="both"/>
        <w:rPr>
          <w:rFonts w:asciiTheme="minorHAnsi" w:hAnsiTheme="minorHAnsi"/>
          <w:color w:val="auto"/>
          <w:szCs w:val="24"/>
        </w:rPr>
      </w:pPr>
    </w:p>
    <w:p w:rsidR="00910FBA" w:rsidRDefault="00910FBA" w:rsidP="0042265A">
      <w:pPr>
        <w:tabs>
          <w:tab w:val="left" w:pos="288"/>
          <w:tab w:val="left" w:pos="4752"/>
        </w:tabs>
        <w:jc w:val="both"/>
        <w:rPr>
          <w:rFonts w:asciiTheme="minorHAnsi" w:hAnsiTheme="minorHAnsi"/>
          <w:color w:val="auto"/>
          <w:szCs w:val="24"/>
        </w:rPr>
      </w:pPr>
    </w:p>
    <w:p w:rsidR="00910FBA" w:rsidRDefault="00910FBA" w:rsidP="0042265A">
      <w:pPr>
        <w:tabs>
          <w:tab w:val="left" w:pos="288"/>
          <w:tab w:val="left" w:pos="4752"/>
        </w:tabs>
        <w:jc w:val="both"/>
        <w:rPr>
          <w:rFonts w:asciiTheme="minorHAnsi" w:hAnsiTheme="minorHAnsi"/>
          <w:color w:val="auto"/>
          <w:szCs w:val="24"/>
        </w:rPr>
      </w:pPr>
    </w:p>
    <w:p w:rsidR="00910FBA" w:rsidRDefault="00910FBA" w:rsidP="0042265A">
      <w:pPr>
        <w:tabs>
          <w:tab w:val="left" w:pos="288"/>
          <w:tab w:val="left" w:pos="4752"/>
        </w:tabs>
        <w:jc w:val="both"/>
        <w:rPr>
          <w:rFonts w:asciiTheme="minorHAnsi" w:hAnsiTheme="minorHAnsi"/>
          <w:color w:val="auto"/>
          <w:szCs w:val="24"/>
        </w:rPr>
      </w:pPr>
    </w:p>
    <w:p w:rsidR="00910FBA" w:rsidRDefault="00910FBA" w:rsidP="0042265A">
      <w:pPr>
        <w:tabs>
          <w:tab w:val="left" w:pos="288"/>
          <w:tab w:val="left" w:pos="4752"/>
        </w:tabs>
        <w:jc w:val="both"/>
        <w:rPr>
          <w:rFonts w:asciiTheme="minorHAnsi" w:hAnsiTheme="minorHAnsi"/>
          <w:color w:val="auto"/>
          <w:szCs w:val="24"/>
        </w:rPr>
      </w:pPr>
    </w:p>
    <w:p w:rsidR="00910FBA" w:rsidRDefault="00910FBA" w:rsidP="0042265A">
      <w:pPr>
        <w:tabs>
          <w:tab w:val="left" w:pos="288"/>
          <w:tab w:val="left" w:pos="4752"/>
        </w:tabs>
        <w:jc w:val="both"/>
        <w:rPr>
          <w:rFonts w:asciiTheme="minorHAnsi" w:hAnsiTheme="minorHAnsi"/>
          <w:color w:val="auto"/>
          <w:szCs w:val="24"/>
        </w:rPr>
      </w:pPr>
    </w:p>
    <w:p w:rsidR="00910FBA" w:rsidRDefault="00910FBA" w:rsidP="0042265A">
      <w:pPr>
        <w:tabs>
          <w:tab w:val="left" w:pos="288"/>
          <w:tab w:val="left" w:pos="4752"/>
        </w:tabs>
        <w:jc w:val="both"/>
        <w:rPr>
          <w:rFonts w:asciiTheme="minorHAnsi" w:hAnsiTheme="minorHAnsi"/>
          <w:color w:val="auto"/>
          <w:szCs w:val="24"/>
        </w:rPr>
      </w:pPr>
    </w:p>
    <w:p w:rsidR="00910FBA" w:rsidRDefault="00910FBA" w:rsidP="0042265A">
      <w:pPr>
        <w:tabs>
          <w:tab w:val="left" w:pos="288"/>
          <w:tab w:val="left" w:pos="4752"/>
        </w:tabs>
        <w:jc w:val="both"/>
        <w:rPr>
          <w:rFonts w:asciiTheme="minorHAnsi" w:hAnsiTheme="minorHAnsi"/>
          <w:color w:val="auto"/>
          <w:szCs w:val="24"/>
        </w:rPr>
      </w:pPr>
    </w:p>
    <w:p w:rsidR="00910FBA" w:rsidRDefault="00910FBA" w:rsidP="0042265A">
      <w:pPr>
        <w:tabs>
          <w:tab w:val="left" w:pos="288"/>
          <w:tab w:val="left" w:pos="4752"/>
        </w:tabs>
        <w:jc w:val="both"/>
        <w:rPr>
          <w:rFonts w:asciiTheme="minorHAnsi" w:hAnsiTheme="minorHAnsi"/>
          <w:color w:val="auto"/>
          <w:szCs w:val="24"/>
        </w:rPr>
      </w:pPr>
    </w:p>
    <w:p w:rsidR="00910FBA" w:rsidRDefault="00910FBA" w:rsidP="0042265A">
      <w:pPr>
        <w:tabs>
          <w:tab w:val="left" w:pos="288"/>
          <w:tab w:val="left" w:pos="4752"/>
        </w:tabs>
        <w:jc w:val="both"/>
        <w:rPr>
          <w:rFonts w:asciiTheme="minorHAnsi" w:hAnsiTheme="minorHAnsi"/>
          <w:color w:val="auto"/>
          <w:szCs w:val="24"/>
        </w:rPr>
      </w:pPr>
    </w:p>
    <w:p w:rsidR="00910FBA" w:rsidRDefault="00910FBA" w:rsidP="0042265A">
      <w:pPr>
        <w:tabs>
          <w:tab w:val="left" w:pos="288"/>
          <w:tab w:val="left" w:pos="4752"/>
        </w:tabs>
        <w:jc w:val="both"/>
        <w:rPr>
          <w:rFonts w:asciiTheme="minorHAnsi" w:hAnsiTheme="minorHAnsi"/>
          <w:color w:val="auto"/>
          <w:szCs w:val="24"/>
        </w:rPr>
      </w:pPr>
    </w:p>
    <w:p w:rsidR="00910FBA" w:rsidRDefault="00910FBA" w:rsidP="0042265A">
      <w:pPr>
        <w:tabs>
          <w:tab w:val="left" w:pos="288"/>
          <w:tab w:val="left" w:pos="4752"/>
        </w:tabs>
        <w:jc w:val="both"/>
        <w:rPr>
          <w:rFonts w:asciiTheme="minorHAnsi" w:hAnsiTheme="minorHAnsi"/>
          <w:color w:val="auto"/>
          <w:szCs w:val="24"/>
        </w:rPr>
      </w:pPr>
    </w:p>
    <w:p w:rsidR="00910FBA" w:rsidRDefault="00910FBA" w:rsidP="0042265A">
      <w:pPr>
        <w:tabs>
          <w:tab w:val="left" w:pos="288"/>
          <w:tab w:val="left" w:pos="4752"/>
        </w:tabs>
        <w:jc w:val="both"/>
        <w:rPr>
          <w:rFonts w:asciiTheme="minorHAnsi" w:hAnsiTheme="minorHAnsi"/>
          <w:color w:val="auto"/>
          <w:szCs w:val="24"/>
        </w:rPr>
      </w:pPr>
    </w:p>
    <w:p w:rsidR="00910FBA" w:rsidRDefault="00910FBA" w:rsidP="0042265A">
      <w:pPr>
        <w:tabs>
          <w:tab w:val="left" w:pos="288"/>
          <w:tab w:val="left" w:pos="4752"/>
        </w:tabs>
        <w:jc w:val="both"/>
        <w:rPr>
          <w:rFonts w:asciiTheme="minorHAnsi" w:hAnsiTheme="minorHAnsi"/>
          <w:color w:val="auto"/>
          <w:szCs w:val="24"/>
        </w:rPr>
      </w:pPr>
    </w:p>
    <w:p w:rsidR="00910FBA" w:rsidRDefault="00910FBA" w:rsidP="0042265A">
      <w:pPr>
        <w:tabs>
          <w:tab w:val="left" w:pos="288"/>
          <w:tab w:val="left" w:pos="4752"/>
        </w:tabs>
        <w:jc w:val="both"/>
        <w:rPr>
          <w:rFonts w:asciiTheme="minorHAnsi" w:hAnsiTheme="minorHAnsi"/>
          <w:color w:val="auto"/>
          <w:szCs w:val="24"/>
        </w:rPr>
      </w:pPr>
    </w:p>
    <w:p w:rsidR="00910FBA" w:rsidRDefault="0042265A" w:rsidP="0042265A">
      <w:pPr>
        <w:tabs>
          <w:tab w:val="left" w:pos="288"/>
          <w:tab w:val="left" w:pos="4752"/>
        </w:tabs>
        <w:jc w:val="both"/>
        <w:rPr>
          <w:rFonts w:asciiTheme="minorHAnsi" w:hAnsiTheme="minorHAnsi"/>
          <w:color w:val="auto"/>
          <w:szCs w:val="24"/>
        </w:rPr>
      </w:pPr>
      <w:proofErr w:type="gramStart"/>
      <w:r w:rsidRPr="0042265A">
        <w:rPr>
          <w:rFonts w:asciiTheme="minorHAnsi" w:hAnsiTheme="minorHAnsi"/>
          <w:color w:val="auto"/>
          <w:szCs w:val="24"/>
          <w:u w:val="single"/>
        </w:rPr>
        <w:t>Minority Opinion</w:t>
      </w:r>
      <w:r w:rsidRPr="0042265A">
        <w:rPr>
          <w:rFonts w:asciiTheme="minorHAnsi" w:hAnsiTheme="minorHAnsi"/>
          <w:color w:val="auto"/>
          <w:szCs w:val="24"/>
        </w:rPr>
        <w:t>.</w:t>
      </w:r>
      <w:proofErr w:type="gramEnd"/>
      <w:r w:rsidR="001264B8">
        <w:rPr>
          <w:rFonts w:asciiTheme="minorHAnsi" w:hAnsiTheme="minorHAnsi"/>
          <w:color w:val="auto"/>
          <w:szCs w:val="24"/>
        </w:rPr>
        <w:t xml:space="preserve">  </w:t>
      </w:r>
    </w:p>
    <w:p w:rsidR="00910FBA" w:rsidRDefault="00910FBA" w:rsidP="0042265A">
      <w:pPr>
        <w:tabs>
          <w:tab w:val="left" w:pos="288"/>
          <w:tab w:val="left" w:pos="4752"/>
        </w:tabs>
        <w:jc w:val="both"/>
        <w:rPr>
          <w:rFonts w:asciiTheme="minorHAnsi" w:hAnsiTheme="minorHAnsi"/>
          <w:color w:val="auto"/>
          <w:szCs w:val="24"/>
        </w:rPr>
      </w:pPr>
    </w:p>
    <w:p w:rsidR="0042265A" w:rsidRDefault="0042265A" w:rsidP="0042265A">
      <w:pPr>
        <w:tabs>
          <w:tab w:val="left" w:pos="288"/>
          <w:tab w:val="left" w:pos="4752"/>
        </w:tabs>
        <w:jc w:val="both"/>
        <w:rPr>
          <w:rFonts w:asciiTheme="minorHAnsi" w:hAnsiTheme="minorHAnsi"/>
          <w:color w:val="auto"/>
          <w:szCs w:val="24"/>
        </w:rPr>
      </w:pPr>
      <w:r w:rsidRPr="0042265A">
        <w:rPr>
          <w:rFonts w:asciiTheme="minorHAnsi" w:hAnsiTheme="minorHAnsi"/>
          <w:color w:val="auto"/>
          <w:szCs w:val="24"/>
        </w:rPr>
        <w:t>The Minority voter conclude</w:t>
      </w:r>
      <w:r w:rsidR="001264B8">
        <w:rPr>
          <w:rFonts w:asciiTheme="minorHAnsi" w:hAnsiTheme="minorHAnsi"/>
          <w:color w:val="auto"/>
          <w:szCs w:val="24"/>
        </w:rPr>
        <w:t>d</w:t>
      </w:r>
      <w:r w:rsidRPr="0042265A">
        <w:rPr>
          <w:rFonts w:asciiTheme="minorHAnsi" w:hAnsiTheme="minorHAnsi"/>
          <w:color w:val="auto"/>
          <w:szCs w:val="24"/>
        </w:rPr>
        <w:t xml:space="preserve"> that the rating more nearly approximated the 0% rating adjudicated by the PEB.</w:t>
      </w:r>
      <w:r w:rsidR="001264B8">
        <w:rPr>
          <w:rFonts w:asciiTheme="minorHAnsi" w:hAnsiTheme="minorHAnsi"/>
          <w:color w:val="auto"/>
          <w:szCs w:val="24"/>
        </w:rPr>
        <w:t xml:space="preserve">  The NARSUM examiner stated that the etiology of the CI’s chest pain was not established.  There </w:t>
      </w:r>
      <w:r>
        <w:rPr>
          <w:rFonts w:asciiTheme="minorHAnsi" w:hAnsiTheme="minorHAnsi"/>
          <w:color w:val="auto"/>
          <w:szCs w:val="24"/>
        </w:rPr>
        <w:t>were no objective findings of residuals by pulmonary angiogram or CT scanning of the chest including the pleura and other chest structures.</w:t>
      </w:r>
      <w:r w:rsidR="001264B8">
        <w:rPr>
          <w:rFonts w:asciiTheme="minorHAnsi" w:hAnsiTheme="minorHAnsi"/>
          <w:color w:val="auto"/>
          <w:szCs w:val="24"/>
        </w:rPr>
        <w:t xml:space="preserve">  </w:t>
      </w:r>
      <w:r>
        <w:rPr>
          <w:rFonts w:asciiTheme="minorHAnsi" w:hAnsiTheme="minorHAnsi"/>
          <w:color w:val="auto"/>
          <w:szCs w:val="24"/>
        </w:rPr>
        <w:t xml:space="preserve">Chest pain due to the pleural irritation from a pulmonary embolism normally resolves unless there is a complication resulting in scarring which was not shown in the CI’s case.  Regardless of cause, the CI’s pain was controlled by medications and did not interfere with routine military duties indicating that no impairment in civil occupation was apparent.  </w:t>
      </w:r>
      <w:r w:rsidRPr="00FE0589">
        <w:rPr>
          <w:rFonts w:asciiTheme="minorHAnsi" w:hAnsiTheme="minorHAnsi"/>
          <w:color w:val="auto"/>
          <w:szCs w:val="24"/>
        </w:rPr>
        <w:t>All evidence considered</w:t>
      </w:r>
      <w:proofErr w:type="gramStart"/>
      <w:r w:rsidRPr="00FE0589">
        <w:rPr>
          <w:rFonts w:asciiTheme="minorHAnsi" w:hAnsiTheme="minorHAnsi"/>
          <w:color w:val="auto"/>
          <w:szCs w:val="24"/>
        </w:rPr>
        <w:t>,</w:t>
      </w:r>
      <w:proofErr w:type="gramEnd"/>
      <w:r w:rsidRPr="00FE0589">
        <w:rPr>
          <w:rFonts w:asciiTheme="minorHAnsi" w:hAnsiTheme="minorHAnsi"/>
          <w:color w:val="auto"/>
          <w:szCs w:val="24"/>
        </w:rPr>
        <w:t xml:space="preserve"> there is not reasonable doubt in the CI’s favor supporting a change from the PEB’s rating decision for the </w:t>
      </w:r>
      <w:r>
        <w:rPr>
          <w:rFonts w:asciiTheme="minorHAnsi" w:hAnsiTheme="minorHAnsi"/>
          <w:color w:val="auto"/>
          <w:szCs w:val="24"/>
        </w:rPr>
        <w:t>pulmonary embolism condition.</w:t>
      </w:r>
    </w:p>
    <w:p w:rsidR="0042265A" w:rsidRDefault="0042265A" w:rsidP="0042265A">
      <w:pPr>
        <w:tabs>
          <w:tab w:val="left" w:pos="288"/>
          <w:tab w:val="left" w:pos="4752"/>
        </w:tabs>
        <w:jc w:val="both"/>
        <w:rPr>
          <w:rFonts w:asciiTheme="minorHAnsi" w:hAnsiTheme="minorHAnsi"/>
          <w:color w:val="auto"/>
          <w:szCs w:val="24"/>
        </w:rPr>
      </w:pPr>
    </w:p>
    <w:p w:rsidR="00910FBA" w:rsidRPr="002B7769" w:rsidRDefault="00910FBA" w:rsidP="00910FBA">
      <w:pPr>
        <w:jc w:val="both"/>
        <w:rPr>
          <w:rFonts w:cs="Calibri"/>
          <w:color w:val="000000" w:themeColor="text1"/>
          <w:szCs w:val="24"/>
        </w:rPr>
      </w:pPr>
      <w:r w:rsidRPr="002B7769">
        <w:rPr>
          <w:rFonts w:cs="Calibri"/>
          <w:color w:val="000000" w:themeColor="text1"/>
          <w:szCs w:val="24"/>
          <w:u w:val="single"/>
        </w:rPr>
        <w:t>RECOMMENDATION</w:t>
      </w:r>
      <w:r w:rsidRPr="002B7769">
        <w:rPr>
          <w:rFonts w:cs="Calibri"/>
          <w:color w:val="000000" w:themeColor="text1"/>
          <w:szCs w:val="24"/>
        </w:rPr>
        <w:t xml:space="preserve">:  The minority voter therefore, recommends that there be no </w:t>
      </w:r>
      <w:proofErr w:type="spellStart"/>
      <w:r w:rsidRPr="002B7769">
        <w:rPr>
          <w:rFonts w:cs="Calibri"/>
          <w:color w:val="000000" w:themeColor="text1"/>
          <w:szCs w:val="24"/>
        </w:rPr>
        <w:t>recharacterization</w:t>
      </w:r>
      <w:proofErr w:type="spellEnd"/>
      <w:r w:rsidRPr="002B7769">
        <w:rPr>
          <w:rFonts w:cs="Calibri"/>
          <w:color w:val="000000" w:themeColor="text1"/>
          <w:szCs w:val="24"/>
        </w:rPr>
        <w:t xml:space="preserve"> of the CI’s disability and separation determination, as follows:</w:t>
      </w:r>
    </w:p>
    <w:p w:rsidR="00910FBA" w:rsidRPr="002B7769" w:rsidRDefault="00910FBA" w:rsidP="00910FBA">
      <w:pPr>
        <w:tabs>
          <w:tab w:val="left" w:pos="288"/>
          <w:tab w:val="left" w:pos="4752"/>
        </w:tabs>
        <w:jc w:val="both"/>
        <w:rPr>
          <w:rFonts w:cs="Calibri"/>
          <w:color w:val="000000" w:themeColor="text1"/>
          <w:szCs w:val="24"/>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08"/>
        <w:gridCol w:w="1584"/>
        <w:gridCol w:w="1170"/>
      </w:tblGrid>
      <w:tr w:rsidR="00910FBA" w:rsidRPr="002B7769" w:rsidTr="00EA014A">
        <w:trPr>
          <w:trHeight w:val="233"/>
          <w:jc w:val="center"/>
        </w:trPr>
        <w:tc>
          <w:tcPr>
            <w:tcW w:w="6408" w:type="dxa"/>
            <w:shd w:val="clear" w:color="auto" w:fill="D9D9D9"/>
            <w:vAlign w:val="center"/>
          </w:tcPr>
          <w:p w:rsidR="00910FBA" w:rsidRPr="002B7769" w:rsidRDefault="00910FBA" w:rsidP="00EA014A">
            <w:pPr>
              <w:tabs>
                <w:tab w:val="left" w:pos="288"/>
                <w:tab w:val="left" w:pos="4752"/>
              </w:tabs>
              <w:rPr>
                <w:rFonts w:cs="Calibri"/>
                <w:b/>
                <w:color w:val="000000" w:themeColor="text1"/>
                <w:szCs w:val="24"/>
              </w:rPr>
            </w:pPr>
            <w:r w:rsidRPr="002B7769">
              <w:rPr>
                <w:rFonts w:cs="Calibri"/>
                <w:b/>
                <w:color w:val="000000" w:themeColor="text1"/>
                <w:szCs w:val="24"/>
              </w:rPr>
              <w:t>UNFITTING CONDITION</w:t>
            </w:r>
          </w:p>
        </w:tc>
        <w:tc>
          <w:tcPr>
            <w:tcW w:w="1584" w:type="dxa"/>
            <w:shd w:val="clear" w:color="auto" w:fill="D9D9D9"/>
            <w:vAlign w:val="center"/>
          </w:tcPr>
          <w:p w:rsidR="00910FBA" w:rsidRPr="002B7769" w:rsidRDefault="00910FBA" w:rsidP="00EA014A">
            <w:pPr>
              <w:tabs>
                <w:tab w:val="left" w:pos="288"/>
                <w:tab w:val="left" w:pos="4752"/>
              </w:tabs>
              <w:rPr>
                <w:rFonts w:cs="Calibri"/>
                <w:b/>
                <w:color w:val="000000" w:themeColor="text1"/>
                <w:szCs w:val="24"/>
              </w:rPr>
            </w:pPr>
            <w:r w:rsidRPr="002B7769">
              <w:rPr>
                <w:rFonts w:cs="Calibri"/>
                <w:b/>
                <w:color w:val="000000" w:themeColor="text1"/>
                <w:szCs w:val="24"/>
              </w:rPr>
              <w:t>VASRD CODE</w:t>
            </w:r>
          </w:p>
        </w:tc>
        <w:tc>
          <w:tcPr>
            <w:tcW w:w="1170" w:type="dxa"/>
            <w:shd w:val="clear" w:color="auto" w:fill="D9D9D9"/>
            <w:vAlign w:val="center"/>
          </w:tcPr>
          <w:p w:rsidR="00910FBA" w:rsidRPr="002B7769" w:rsidRDefault="00910FBA" w:rsidP="00EA014A">
            <w:pPr>
              <w:tabs>
                <w:tab w:val="left" w:pos="288"/>
                <w:tab w:val="left" w:pos="4752"/>
              </w:tabs>
              <w:rPr>
                <w:rFonts w:cs="Calibri"/>
                <w:b/>
                <w:color w:val="000000" w:themeColor="text1"/>
                <w:szCs w:val="24"/>
              </w:rPr>
            </w:pPr>
            <w:r w:rsidRPr="002B7769">
              <w:rPr>
                <w:rFonts w:cs="Calibri"/>
                <w:b/>
                <w:color w:val="000000" w:themeColor="text1"/>
                <w:szCs w:val="24"/>
              </w:rPr>
              <w:t>RATING</w:t>
            </w:r>
          </w:p>
        </w:tc>
      </w:tr>
      <w:tr w:rsidR="00910FBA" w:rsidRPr="002B7769" w:rsidTr="00EA014A">
        <w:trPr>
          <w:jc w:val="center"/>
        </w:trPr>
        <w:tc>
          <w:tcPr>
            <w:tcW w:w="6408" w:type="dxa"/>
            <w:vAlign w:val="center"/>
          </w:tcPr>
          <w:p w:rsidR="00910FBA" w:rsidRPr="00910FBA" w:rsidRDefault="00910FBA" w:rsidP="00910FBA">
            <w:pPr>
              <w:contextualSpacing/>
              <w:jc w:val="left"/>
              <w:rPr>
                <w:color w:val="auto"/>
                <w:szCs w:val="24"/>
              </w:rPr>
            </w:pPr>
            <w:r w:rsidRPr="00910FBA">
              <w:rPr>
                <w:color w:val="auto"/>
                <w:szCs w:val="24"/>
              </w:rPr>
              <w:t>Recurrent Pulmonary Embolism</w:t>
            </w:r>
          </w:p>
        </w:tc>
        <w:tc>
          <w:tcPr>
            <w:tcW w:w="1584" w:type="dxa"/>
            <w:vAlign w:val="center"/>
          </w:tcPr>
          <w:p w:rsidR="00910FBA" w:rsidRPr="00910FBA" w:rsidRDefault="00910FBA" w:rsidP="00910FBA">
            <w:pPr>
              <w:contextualSpacing/>
              <w:rPr>
                <w:color w:val="auto"/>
                <w:szCs w:val="24"/>
              </w:rPr>
            </w:pPr>
            <w:r w:rsidRPr="00910FBA">
              <w:rPr>
                <w:color w:val="auto"/>
                <w:szCs w:val="24"/>
              </w:rPr>
              <w:t>7199-7120</w:t>
            </w:r>
          </w:p>
        </w:tc>
        <w:tc>
          <w:tcPr>
            <w:tcW w:w="1170" w:type="dxa"/>
            <w:vAlign w:val="center"/>
          </w:tcPr>
          <w:p w:rsidR="00910FBA" w:rsidRPr="00910FBA" w:rsidRDefault="00910FBA" w:rsidP="00910FBA">
            <w:pPr>
              <w:rPr>
                <w:color w:val="auto"/>
                <w:szCs w:val="24"/>
              </w:rPr>
            </w:pPr>
            <w:r w:rsidRPr="00910FBA">
              <w:rPr>
                <w:color w:val="auto"/>
                <w:szCs w:val="24"/>
              </w:rPr>
              <w:t>0%</w:t>
            </w:r>
          </w:p>
        </w:tc>
      </w:tr>
      <w:tr w:rsidR="00910FBA" w:rsidRPr="002B7769" w:rsidTr="00EA014A">
        <w:tblPrEx>
          <w:tblLook w:val="0000"/>
        </w:tblPrEx>
        <w:trPr>
          <w:gridBefore w:val="1"/>
          <w:wBefore w:w="6408" w:type="dxa"/>
          <w:trHeight w:val="152"/>
          <w:jc w:val="center"/>
        </w:trPr>
        <w:tc>
          <w:tcPr>
            <w:tcW w:w="1584" w:type="dxa"/>
            <w:tcBorders>
              <w:left w:val="single" w:sz="4" w:space="0" w:color="auto"/>
              <w:bottom w:val="single" w:sz="4" w:space="0" w:color="000000"/>
            </w:tcBorders>
            <w:shd w:val="clear" w:color="auto" w:fill="D9D9D9" w:themeFill="background1" w:themeFillShade="D9"/>
            <w:vAlign w:val="center"/>
          </w:tcPr>
          <w:p w:rsidR="00910FBA" w:rsidRPr="002B7769" w:rsidRDefault="00910FBA" w:rsidP="00EA014A">
            <w:pPr>
              <w:tabs>
                <w:tab w:val="left" w:pos="288"/>
                <w:tab w:val="left" w:pos="4752"/>
              </w:tabs>
              <w:rPr>
                <w:rFonts w:cs="Calibri"/>
                <w:b/>
                <w:color w:val="000000" w:themeColor="text1"/>
                <w:szCs w:val="24"/>
              </w:rPr>
            </w:pPr>
            <w:r w:rsidRPr="002B7769">
              <w:rPr>
                <w:rFonts w:cs="Calibri"/>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910FBA" w:rsidRPr="002B7769" w:rsidRDefault="00910FBA" w:rsidP="00EA014A">
            <w:pPr>
              <w:tabs>
                <w:tab w:val="left" w:pos="288"/>
                <w:tab w:val="left" w:pos="4752"/>
              </w:tabs>
              <w:rPr>
                <w:rFonts w:cs="Calibri"/>
                <w:b/>
                <w:color w:val="000000" w:themeColor="text1"/>
                <w:szCs w:val="24"/>
              </w:rPr>
            </w:pPr>
            <w:r>
              <w:rPr>
                <w:rFonts w:cs="Calibri"/>
                <w:b/>
                <w:color w:val="000000" w:themeColor="text1"/>
                <w:szCs w:val="24"/>
              </w:rPr>
              <w:t>0</w:t>
            </w:r>
            <w:r w:rsidRPr="002B7769">
              <w:rPr>
                <w:rFonts w:cs="Calibri"/>
                <w:b/>
                <w:color w:val="000000" w:themeColor="text1"/>
                <w:szCs w:val="24"/>
              </w:rPr>
              <w:t>%</w:t>
            </w:r>
          </w:p>
        </w:tc>
      </w:tr>
    </w:tbl>
    <w:p w:rsidR="00910FBA" w:rsidRPr="002B7769" w:rsidRDefault="00910FBA" w:rsidP="00910FBA">
      <w:pPr>
        <w:tabs>
          <w:tab w:val="left" w:pos="0"/>
          <w:tab w:val="left" w:pos="4320"/>
        </w:tabs>
        <w:jc w:val="both"/>
        <w:rPr>
          <w:rFonts w:cs="Calibri"/>
          <w:color w:val="000000" w:themeColor="text1"/>
          <w:szCs w:val="24"/>
        </w:rPr>
      </w:pPr>
    </w:p>
    <w:p w:rsidR="00EA4EA0" w:rsidRDefault="00EA4EA0">
      <w:pPr>
        <w:rPr>
          <w:color w:val="auto"/>
          <w:szCs w:val="24"/>
        </w:rPr>
      </w:pPr>
      <w:r>
        <w:rPr>
          <w:color w:val="auto"/>
          <w:szCs w:val="24"/>
        </w:rPr>
        <w:br w:type="page"/>
      </w:r>
    </w:p>
    <w:p w:rsidR="00EA4EA0" w:rsidRDefault="00EA4EA0" w:rsidP="00EA4EA0">
      <w:pPr>
        <w:rPr>
          <w:rFonts w:ascii="Courier New" w:hAnsi="Courier New" w:cs="Courier New"/>
        </w:rPr>
      </w:pPr>
    </w:p>
    <w:p w:rsidR="00EA4EA0" w:rsidRDefault="00EA4EA0" w:rsidP="00EA4EA0">
      <w:pPr>
        <w:rPr>
          <w:rFonts w:ascii="Courier New" w:hAnsi="Courier New" w:cs="Courier New"/>
        </w:rPr>
      </w:pPr>
    </w:p>
    <w:p w:rsidR="00EA4EA0" w:rsidRDefault="00EA4EA0" w:rsidP="00EA4EA0">
      <w:pPr>
        <w:rPr>
          <w:rFonts w:ascii="Courier New" w:hAnsi="Courier New" w:cs="Courier New"/>
        </w:rPr>
      </w:pPr>
    </w:p>
    <w:p w:rsidR="00EA4EA0" w:rsidRDefault="00EA4EA0" w:rsidP="00EA4EA0">
      <w:pPr>
        <w:rPr>
          <w:rFonts w:ascii="Courier New" w:hAnsi="Courier New" w:cs="Courier New"/>
        </w:rPr>
      </w:pPr>
    </w:p>
    <w:p w:rsidR="00EA4EA0" w:rsidRDefault="00EA4EA0" w:rsidP="00EA4EA0">
      <w:pPr>
        <w:ind w:left="7200"/>
        <w:rPr>
          <w:rFonts w:ascii="Courier New" w:hAnsi="Courier New" w:cs="Courier New"/>
        </w:rPr>
      </w:pPr>
    </w:p>
    <w:p w:rsidR="00EA4EA0" w:rsidRDefault="00EA4EA0" w:rsidP="00EA4EA0">
      <w:pPr>
        <w:rPr>
          <w:rFonts w:ascii="Courier New" w:hAnsi="Courier New" w:cs="Courier New"/>
        </w:rPr>
      </w:pPr>
    </w:p>
    <w:p w:rsidR="00EA4EA0" w:rsidRDefault="00EA4EA0" w:rsidP="00EA4EA0">
      <w:pPr>
        <w:jc w:val="both"/>
        <w:rPr>
          <w:rFonts w:ascii="Courier New" w:hAnsi="Courier New" w:cs="Courier New"/>
        </w:rPr>
      </w:pPr>
      <w:r>
        <w:rPr>
          <w:rFonts w:ascii="Courier New" w:hAnsi="Courier New" w:cs="Courier New"/>
        </w:rPr>
        <w:t xml:space="preserve">MEMORANDUM FOR DIRECTOR, SECRETARY OF THE NAVY COUNCIL OF REVIEW </w:t>
      </w:r>
    </w:p>
    <w:p w:rsidR="00EA4EA0" w:rsidRDefault="00EA4EA0" w:rsidP="00EA4EA0">
      <w:pPr>
        <w:jc w:val="both"/>
        <w:rPr>
          <w:rFonts w:ascii="Courier New" w:hAnsi="Courier New" w:cs="Courier New"/>
        </w:rPr>
      </w:pPr>
      <w:r>
        <w:rPr>
          <w:rFonts w:ascii="Courier New" w:hAnsi="Courier New" w:cs="Courier New"/>
        </w:rPr>
        <w:t xml:space="preserve">               BOARDS </w:t>
      </w:r>
    </w:p>
    <w:p w:rsidR="00EA4EA0" w:rsidRDefault="00EA4EA0" w:rsidP="00EA4EA0">
      <w:pPr>
        <w:jc w:val="both"/>
        <w:rPr>
          <w:rFonts w:ascii="Courier New" w:hAnsi="Courier New" w:cs="Courier New"/>
        </w:rPr>
      </w:pPr>
    </w:p>
    <w:p w:rsidR="00EA4EA0" w:rsidRDefault="00EA4EA0" w:rsidP="00EA4EA0">
      <w:pPr>
        <w:jc w:val="both"/>
        <w:rPr>
          <w:rFonts w:ascii="Courier New" w:hAnsi="Courier New" w:cs="Courier New"/>
        </w:rPr>
      </w:pPr>
      <w:proofErr w:type="spellStart"/>
      <w:r>
        <w:rPr>
          <w:rFonts w:ascii="Courier New" w:hAnsi="Courier New" w:cs="Courier New"/>
        </w:rPr>
        <w:t>Subj</w:t>
      </w:r>
      <w:proofErr w:type="spellEnd"/>
      <w:r>
        <w:rPr>
          <w:rFonts w:ascii="Courier New" w:hAnsi="Courier New" w:cs="Courier New"/>
        </w:rPr>
        <w:t>:  PHYSICAL DISABILITY BOARD OF REVIEW (PDBR) RECOMMENDATION</w:t>
      </w:r>
    </w:p>
    <w:p w:rsidR="00EA4EA0" w:rsidRDefault="00EA4EA0" w:rsidP="00EA4EA0">
      <w:pPr>
        <w:jc w:val="both"/>
        <w:rPr>
          <w:rFonts w:ascii="Courier New" w:hAnsi="Courier New" w:cs="Courier New"/>
        </w:rPr>
      </w:pPr>
      <w:r>
        <w:rPr>
          <w:rFonts w:ascii="Courier New" w:hAnsi="Courier New" w:cs="Courier New"/>
        </w:rPr>
        <w:t xml:space="preserve">       XXXXXXXXXXXXXXXXX</w:t>
      </w:r>
    </w:p>
    <w:p w:rsidR="00EA4EA0" w:rsidRDefault="00EA4EA0" w:rsidP="00EA4EA0">
      <w:pPr>
        <w:jc w:val="both"/>
        <w:rPr>
          <w:rFonts w:ascii="Courier New" w:hAnsi="Courier New" w:cs="Courier New"/>
        </w:rPr>
      </w:pPr>
    </w:p>
    <w:p w:rsidR="00EA4EA0" w:rsidRDefault="00EA4EA0" w:rsidP="00EA4EA0">
      <w:pPr>
        <w:jc w:val="both"/>
        <w:rPr>
          <w:rFonts w:ascii="Courier New" w:hAnsi="Courier New" w:cs="Courier New"/>
        </w:rPr>
      </w:pPr>
      <w:r>
        <w:rPr>
          <w:rFonts w:ascii="Courier New" w:hAnsi="Courier New" w:cs="Courier New"/>
        </w:rPr>
        <w:t xml:space="preserve">Ref:   (a) </w:t>
      </w:r>
      <w:proofErr w:type="spellStart"/>
      <w:r>
        <w:rPr>
          <w:rFonts w:ascii="Courier New" w:hAnsi="Courier New" w:cs="Courier New"/>
        </w:rPr>
        <w:t>DoDI</w:t>
      </w:r>
      <w:proofErr w:type="spellEnd"/>
      <w:r>
        <w:rPr>
          <w:rFonts w:ascii="Courier New" w:hAnsi="Courier New" w:cs="Courier New"/>
        </w:rPr>
        <w:t xml:space="preserve"> 6040.44</w:t>
      </w:r>
    </w:p>
    <w:p w:rsidR="00EA4EA0" w:rsidRDefault="00EA4EA0" w:rsidP="00EA4EA0">
      <w:pPr>
        <w:jc w:val="both"/>
        <w:rPr>
          <w:rFonts w:ascii="Courier New" w:hAnsi="Courier New" w:cs="Courier New"/>
        </w:rPr>
      </w:pPr>
      <w:r>
        <w:rPr>
          <w:rFonts w:ascii="Courier New" w:hAnsi="Courier New" w:cs="Courier New"/>
        </w:rPr>
        <w:t xml:space="preserve">       (b) PDBR </w:t>
      </w:r>
      <w:proofErr w:type="spellStart"/>
      <w:r>
        <w:rPr>
          <w:rFonts w:ascii="Courier New" w:hAnsi="Courier New" w:cs="Courier New"/>
        </w:rPr>
        <w:t>ltr</w:t>
      </w:r>
      <w:proofErr w:type="spellEnd"/>
      <w:r>
        <w:rPr>
          <w:rFonts w:ascii="Courier New" w:hAnsi="Courier New" w:cs="Courier New"/>
        </w:rPr>
        <w:t xml:space="preserve"> </w:t>
      </w:r>
      <w:proofErr w:type="spellStart"/>
      <w:r>
        <w:rPr>
          <w:rFonts w:ascii="Courier New" w:hAnsi="Courier New" w:cs="Courier New"/>
        </w:rPr>
        <w:t>dtd</w:t>
      </w:r>
      <w:proofErr w:type="spellEnd"/>
      <w:r>
        <w:rPr>
          <w:rFonts w:ascii="Courier New" w:hAnsi="Courier New" w:cs="Courier New"/>
        </w:rPr>
        <w:t xml:space="preserve"> 7 May 12</w:t>
      </w:r>
    </w:p>
    <w:p w:rsidR="00EA4EA0" w:rsidRDefault="00EA4EA0" w:rsidP="00EA4EA0">
      <w:pPr>
        <w:ind w:left="-540"/>
        <w:jc w:val="both"/>
        <w:rPr>
          <w:rFonts w:ascii="Courier New" w:hAnsi="Courier New" w:cs="Courier New"/>
        </w:rPr>
      </w:pPr>
    </w:p>
    <w:p w:rsidR="00EA4EA0" w:rsidRDefault="00EA4EA0" w:rsidP="00EA4EA0">
      <w:pPr>
        <w:jc w:val="both"/>
        <w:rPr>
          <w:rFonts w:ascii="Courier New" w:hAnsi="Courier New" w:cs="Courier New"/>
        </w:rPr>
      </w:pPr>
      <w:r>
        <w:rPr>
          <w:rFonts w:ascii="Courier New" w:hAnsi="Courier New" w:cs="Courier New"/>
        </w:rPr>
        <w:t xml:space="preserve">    I have reviewed the subject case pursuant to reference (a) and non-concur with the majority recommendation of the PDBR as set forth in reference (b).  I do, however, concur with the minority voting member, for the reasons cited in his opinion, that </w:t>
      </w:r>
      <w:r w:rsidR="00160A9A">
        <w:rPr>
          <w:rFonts w:ascii="Courier New" w:hAnsi="Courier New" w:cs="Courier New"/>
        </w:rPr>
        <w:t>XXXXXXXXX</w:t>
      </w:r>
      <w:r>
        <w:rPr>
          <w:rFonts w:ascii="Courier New" w:hAnsi="Courier New" w:cs="Courier New"/>
        </w:rPr>
        <w:t xml:space="preserve"> condition was appropriately rated at zero percent at the time of his separation.  Therefore, </w:t>
      </w:r>
      <w:r w:rsidR="00160A9A">
        <w:rPr>
          <w:rFonts w:ascii="Courier New" w:hAnsi="Courier New" w:cs="Courier New"/>
        </w:rPr>
        <w:t>XXXXXXXXX</w:t>
      </w:r>
      <w:r>
        <w:rPr>
          <w:rFonts w:ascii="Courier New" w:hAnsi="Courier New" w:cs="Courier New"/>
        </w:rPr>
        <w:t xml:space="preserve"> records will not be corrected to reflect a change in either his characterization of separation or in the disability rating previously assigned by the Department of the Navy’s Physical Evaluation Board.</w:t>
      </w:r>
    </w:p>
    <w:p w:rsidR="00EA4EA0" w:rsidRDefault="00EA4EA0" w:rsidP="00EA4EA0">
      <w:pPr>
        <w:jc w:val="both"/>
        <w:rPr>
          <w:rFonts w:ascii="Courier New" w:hAnsi="Courier New" w:cs="Courier New"/>
        </w:rPr>
      </w:pPr>
    </w:p>
    <w:p w:rsidR="00EA4EA0" w:rsidRDefault="00EA4EA0" w:rsidP="00EA4EA0">
      <w:pPr>
        <w:jc w:val="both"/>
        <w:rPr>
          <w:rFonts w:ascii="Courier New" w:hAnsi="Courier New" w:cs="Courier New"/>
        </w:rPr>
      </w:pPr>
    </w:p>
    <w:p w:rsidR="00EA4EA0" w:rsidRDefault="00EA4EA0" w:rsidP="00EA4EA0">
      <w:pPr>
        <w:jc w:val="both"/>
        <w:rPr>
          <w:rFonts w:ascii="Courier New" w:hAnsi="Courier New" w:cs="Courier New"/>
        </w:rPr>
      </w:pPr>
    </w:p>
    <w:p w:rsidR="00EA4EA0" w:rsidRDefault="00EA4EA0" w:rsidP="00EA4EA0">
      <w:pPr>
        <w:tabs>
          <w:tab w:val="left" w:pos="4680"/>
        </w:tabs>
        <w:jc w:val="both"/>
        <w:rPr>
          <w:rFonts w:ascii="Courier New" w:hAnsi="Courier New" w:cs="Courier New"/>
        </w:rPr>
      </w:pPr>
      <w:r>
        <w:rPr>
          <w:rFonts w:ascii="Courier New" w:hAnsi="Courier New" w:cs="Courier New"/>
        </w:rPr>
        <w:tab/>
        <w:t>XXXXXXXXXXXX</w:t>
      </w:r>
    </w:p>
    <w:p w:rsidR="00EA4EA0" w:rsidRDefault="00EA4EA0" w:rsidP="00EA4EA0">
      <w:pPr>
        <w:tabs>
          <w:tab w:val="left" w:pos="4680"/>
        </w:tabs>
        <w:jc w:val="both"/>
        <w:rPr>
          <w:rFonts w:ascii="Courier New" w:hAnsi="Courier New" w:cs="Courier New"/>
        </w:rPr>
      </w:pPr>
      <w:r>
        <w:rPr>
          <w:rFonts w:ascii="Courier New" w:hAnsi="Courier New" w:cs="Courier New"/>
        </w:rPr>
        <w:tab/>
        <w:t>Principal Deputy</w:t>
      </w:r>
    </w:p>
    <w:p w:rsidR="00EA4EA0" w:rsidRDefault="00EA4EA0" w:rsidP="00EA4EA0">
      <w:pPr>
        <w:tabs>
          <w:tab w:val="left" w:pos="4680"/>
        </w:tabs>
        <w:jc w:val="both"/>
        <w:rPr>
          <w:rFonts w:ascii="Courier New" w:hAnsi="Courier New" w:cs="Courier New"/>
        </w:rPr>
      </w:pPr>
      <w:r>
        <w:rPr>
          <w:rFonts w:ascii="Courier New" w:hAnsi="Courier New" w:cs="Courier New"/>
        </w:rPr>
        <w:tab/>
        <w:t xml:space="preserve">Assistant Secretary of the Navy </w:t>
      </w:r>
    </w:p>
    <w:p w:rsidR="00EA4EA0" w:rsidRDefault="00EA4EA0" w:rsidP="00EA4EA0">
      <w:pPr>
        <w:jc w:val="both"/>
        <w:rPr>
          <w:rFonts w:ascii="Courier New" w:hAnsi="Courier New" w:cs="Courier New"/>
        </w:rPr>
      </w:pPr>
      <w:r>
        <w:rPr>
          <w:rFonts w:ascii="Courier New" w:hAnsi="Courier New" w:cs="Courier New"/>
        </w:rPr>
        <w:t xml:space="preserve">                                  (Manpower &amp; Reserve Affairs)</w:t>
      </w:r>
    </w:p>
    <w:p w:rsidR="00EA4EA0" w:rsidRDefault="00EA4EA0" w:rsidP="00EA4EA0">
      <w:pPr>
        <w:jc w:val="both"/>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p>
    <w:p w:rsidR="00EA4EA0" w:rsidRDefault="00EA4EA0" w:rsidP="00EA4EA0">
      <w:pPr>
        <w:jc w:val="both"/>
        <w:rPr>
          <w:rFonts w:ascii="Courier New" w:hAnsi="Courier New" w:cs="Courier New"/>
        </w:rPr>
      </w:pPr>
    </w:p>
    <w:p w:rsidR="00D10B40" w:rsidRPr="0042265A" w:rsidRDefault="00D10B40" w:rsidP="00D10B40">
      <w:pPr>
        <w:jc w:val="both"/>
        <w:rPr>
          <w:color w:val="auto"/>
          <w:szCs w:val="24"/>
        </w:rPr>
      </w:pPr>
    </w:p>
    <w:sectPr w:rsidR="00D10B40" w:rsidRPr="0042265A"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224" w:rsidRDefault="00972224">
      <w:r>
        <w:separator/>
      </w:r>
    </w:p>
  </w:endnote>
  <w:endnote w:type="continuationSeparator" w:id="0">
    <w:p w:rsidR="00972224" w:rsidRDefault="009722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284307" w:rsidRPr="00374247" w:rsidRDefault="00284307" w:rsidP="00374247">
        <w:pPr>
          <w:pStyle w:val="Footer"/>
          <w:ind w:firstLine="4320"/>
          <w:rPr>
            <w:color w:val="auto"/>
            <w:szCs w:val="24"/>
          </w:rPr>
        </w:pPr>
        <w:r w:rsidRPr="00374247">
          <w:rPr>
            <w:color w:val="auto"/>
            <w:szCs w:val="24"/>
          </w:rPr>
          <w:t xml:space="preserve">   </w:t>
        </w:r>
        <w:r w:rsidR="007D5EF1" w:rsidRPr="00374247">
          <w:rPr>
            <w:color w:val="auto"/>
            <w:szCs w:val="24"/>
          </w:rPr>
          <w:fldChar w:fldCharType="begin"/>
        </w:r>
        <w:r w:rsidRPr="00374247">
          <w:rPr>
            <w:color w:val="auto"/>
            <w:szCs w:val="24"/>
          </w:rPr>
          <w:instrText xml:space="preserve"> PAGE   \* MERGEFORMAT </w:instrText>
        </w:r>
        <w:r w:rsidR="007D5EF1" w:rsidRPr="00374247">
          <w:rPr>
            <w:color w:val="auto"/>
            <w:szCs w:val="24"/>
          </w:rPr>
          <w:fldChar w:fldCharType="separate"/>
        </w:r>
        <w:r w:rsidR="00160A9A">
          <w:rPr>
            <w:noProof/>
            <w:color w:val="auto"/>
            <w:szCs w:val="24"/>
          </w:rPr>
          <w:t>6</w:t>
        </w:r>
        <w:r w:rsidR="007D5EF1" w:rsidRPr="00374247">
          <w:rPr>
            <w:color w:val="auto"/>
            <w:szCs w:val="24"/>
          </w:rPr>
          <w:fldChar w:fldCharType="end"/>
        </w:r>
        <w:r w:rsidRPr="00374247">
          <w:rPr>
            <w:color w:val="auto"/>
            <w:szCs w:val="24"/>
          </w:rPr>
          <w:t xml:space="preserve">                                                           </w:t>
        </w:r>
        <w:r w:rsidRPr="00BA4ABE">
          <w:rPr>
            <w:caps/>
            <w:color w:val="auto"/>
          </w:rPr>
          <w:t>PD1101048</w:t>
        </w:r>
      </w:p>
    </w:sdtContent>
  </w:sdt>
  <w:p w:rsidR="00284307" w:rsidRPr="00684CE6" w:rsidRDefault="00284307">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224" w:rsidRDefault="00972224">
      <w:r>
        <w:separator/>
      </w:r>
    </w:p>
  </w:footnote>
  <w:footnote w:type="continuationSeparator" w:id="0">
    <w:p w:rsidR="00972224" w:rsidRDefault="009722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F1433C"/>
    <w:multiLevelType w:val="hybridMultilevel"/>
    <w:tmpl w:val="64661628"/>
    <w:lvl w:ilvl="0" w:tplc="0F30E17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1B3C38"/>
    <w:multiLevelType w:val="hybridMultilevel"/>
    <w:tmpl w:val="DC08B7D4"/>
    <w:lvl w:ilvl="0" w:tplc="CADE49F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1"/>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3"/>
  </w:num>
  <w:num w:numId="16">
    <w:abstractNumId w:val="1"/>
  </w:num>
  <w:num w:numId="17">
    <w:abstractNumId w:val="20"/>
  </w:num>
  <w:num w:numId="18">
    <w:abstractNumId w:val="10"/>
  </w:num>
  <w:num w:numId="19">
    <w:abstractNumId w:val="13"/>
  </w:num>
  <w:num w:numId="20">
    <w:abstractNumId w:val="18"/>
  </w:num>
  <w:num w:numId="21">
    <w:abstractNumId w:val="15"/>
  </w:num>
  <w:num w:numId="22">
    <w:abstractNumId w:val="2"/>
  </w:num>
  <w:num w:numId="23">
    <w:abstractNumId w:val="19"/>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315393"/>
  </w:hdrShapeDefaults>
  <w:footnotePr>
    <w:numRestart w:val="eachSect"/>
    <w:footnote w:id="-1"/>
    <w:footnote w:id="0"/>
  </w:footnotePr>
  <w:endnotePr>
    <w:endnote w:id="-1"/>
    <w:endnote w:id="0"/>
  </w:endnotePr>
  <w:compat/>
  <w:rsids>
    <w:rsidRoot w:val="001C28D1"/>
    <w:rsid w:val="000024F5"/>
    <w:rsid w:val="000059FA"/>
    <w:rsid w:val="00006186"/>
    <w:rsid w:val="00006561"/>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27ACC"/>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70DED"/>
    <w:rsid w:val="00072433"/>
    <w:rsid w:val="0007488B"/>
    <w:rsid w:val="00075702"/>
    <w:rsid w:val="00075A0C"/>
    <w:rsid w:val="000775C2"/>
    <w:rsid w:val="000806AD"/>
    <w:rsid w:val="00080BDF"/>
    <w:rsid w:val="00082482"/>
    <w:rsid w:val="00082CA0"/>
    <w:rsid w:val="00084CF2"/>
    <w:rsid w:val="00085D7B"/>
    <w:rsid w:val="0008708B"/>
    <w:rsid w:val="00092619"/>
    <w:rsid w:val="00092C66"/>
    <w:rsid w:val="000949DD"/>
    <w:rsid w:val="00094E4F"/>
    <w:rsid w:val="000973D5"/>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8B"/>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427B"/>
    <w:rsid w:val="000F43D0"/>
    <w:rsid w:val="000F4F18"/>
    <w:rsid w:val="000F688E"/>
    <w:rsid w:val="000F7181"/>
    <w:rsid w:val="001007CE"/>
    <w:rsid w:val="001008C1"/>
    <w:rsid w:val="001023DB"/>
    <w:rsid w:val="00102B8D"/>
    <w:rsid w:val="001031F4"/>
    <w:rsid w:val="00103948"/>
    <w:rsid w:val="00103CCF"/>
    <w:rsid w:val="0010417F"/>
    <w:rsid w:val="001042D2"/>
    <w:rsid w:val="0010530E"/>
    <w:rsid w:val="00105C07"/>
    <w:rsid w:val="00106AD8"/>
    <w:rsid w:val="001079FA"/>
    <w:rsid w:val="00107EC5"/>
    <w:rsid w:val="001103CD"/>
    <w:rsid w:val="00113D2A"/>
    <w:rsid w:val="00114F20"/>
    <w:rsid w:val="0011590B"/>
    <w:rsid w:val="00120AA1"/>
    <w:rsid w:val="001211AF"/>
    <w:rsid w:val="001215DF"/>
    <w:rsid w:val="001219DF"/>
    <w:rsid w:val="0012220B"/>
    <w:rsid w:val="00122ABE"/>
    <w:rsid w:val="001231DC"/>
    <w:rsid w:val="0012453A"/>
    <w:rsid w:val="0012489B"/>
    <w:rsid w:val="001264B8"/>
    <w:rsid w:val="001272AE"/>
    <w:rsid w:val="00130756"/>
    <w:rsid w:val="001315DD"/>
    <w:rsid w:val="0013525F"/>
    <w:rsid w:val="00135385"/>
    <w:rsid w:val="001364D1"/>
    <w:rsid w:val="001374C7"/>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0A9A"/>
    <w:rsid w:val="00161642"/>
    <w:rsid w:val="00161761"/>
    <w:rsid w:val="00166182"/>
    <w:rsid w:val="0017038B"/>
    <w:rsid w:val="0017139A"/>
    <w:rsid w:val="001724C8"/>
    <w:rsid w:val="001732C4"/>
    <w:rsid w:val="001745DD"/>
    <w:rsid w:val="00174FDE"/>
    <w:rsid w:val="00174FE3"/>
    <w:rsid w:val="00177659"/>
    <w:rsid w:val="001779E5"/>
    <w:rsid w:val="00180826"/>
    <w:rsid w:val="00181240"/>
    <w:rsid w:val="00181C46"/>
    <w:rsid w:val="00182A4C"/>
    <w:rsid w:val="00183F77"/>
    <w:rsid w:val="00183FB3"/>
    <w:rsid w:val="001844D8"/>
    <w:rsid w:val="00185DA8"/>
    <w:rsid w:val="00185ECB"/>
    <w:rsid w:val="001865E0"/>
    <w:rsid w:val="001870F0"/>
    <w:rsid w:val="0018776E"/>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200AA0"/>
    <w:rsid w:val="00202325"/>
    <w:rsid w:val="00202736"/>
    <w:rsid w:val="00203652"/>
    <w:rsid w:val="00204562"/>
    <w:rsid w:val="00205B4F"/>
    <w:rsid w:val="00205E68"/>
    <w:rsid w:val="002060B6"/>
    <w:rsid w:val="002066B5"/>
    <w:rsid w:val="00210EAC"/>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8054C"/>
    <w:rsid w:val="002810A4"/>
    <w:rsid w:val="00282DB6"/>
    <w:rsid w:val="00284307"/>
    <w:rsid w:val="00284A26"/>
    <w:rsid w:val="00285095"/>
    <w:rsid w:val="00287006"/>
    <w:rsid w:val="00292397"/>
    <w:rsid w:val="00292AB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C0DEA"/>
    <w:rsid w:val="002C34F6"/>
    <w:rsid w:val="002C3B6D"/>
    <w:rsid w:val="002C3F59"/>
    <w:rsid w:val="002C40D0"/>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6C0F"/>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10CD7"/>
    <w:rsid w:val="00313C3A"/>
    <w:rsid w:val="00313D7A"/>
    <w:rsid w:val="003155FB"/>
    <w:rsid w:val="0032136A"/>
    <w:rsid w:val="00323A90"/>
    <w:rsid w:val="00323E70"/>
    <w:rsid w:val="00324E28"/>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805"/>
    <w:rsid w:val="00337351"/>
    <w:rsid w:val="00337B0E"/>
    <w:rsid w:val="00341A54"/>
    <w:rsid w:val="00344A4F"/>
    <w:rsid w:val="00344D17"/>
    <w:rsid w:val="0034669F"/>
    <w:rsid w:val="003470C4"/>
    <w:rsid w:val="00351498"/>
    <w:rsid w:val="00352B22"/>
    <w:rsid w:val="00352CBF"/>
    <w:rsid w:val="00354547"/>
    <w:rsid w:val="003549F5"/>
    <w:rsid w:val="003567DE"/>
    <w:rsid w:val="003574F3"/>
    <w:rsid w:val="00357831"/>
    <w:rsid w:val="003604A5"/>
    <w:rsid w:val="0036114B"/>
    <w:rsid w:val="003618B6"/>
    <w:rsid w:val="003620C8"/>
    <w:rsid w:val="0036319E"/>
    <w:rsid w:val="003632A4"/>
    <w:rsid w:val="00363362"/>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A05"/>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9DE"/>
    <w:rsid w:val="003C5046"/>
    <w:rsid w:val="003C52F7"/>
    <w:rsid w:val="003C6068"/>
    <w:rsid w:val="003C7AEC"/>
    <w:rsid w:val="003D2BA3"/>
    <w:rsid w:val="003D316B"/>
    <w:rsid w:val="003D3C22"/>
    <w:rsid w:val="003D56A0"/>
    <w:rsid w:val="003D609F"/>
    <w:rsid w:val="003D69F5"/>
    <w:rsid w:val="003D7089"/>
    <w:rsid w:val="003D7DDB"/>
    <w:rsid w:val="003D7E1F"/>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74A4"/>
    <w:rsid w:val="004101B2"/>
    <w:rsid w:val="004123D7"/>
    <w:rsid w:val="00412658"/>
    <w:rsid w:val="004129DA"/>
    <w:rsid w:val="00415EA4"/>
    <w:rsid w:val="0041604B"/>
    <w:rsid w:val="004172DB"/>
    <w:rsid w:val="004174F0"/>
    <w:rsid w:val="004206A1"/>
    <w:rsid w:val="00420A1D"/>
    <w:rsid w:val="00420B1E"/>
    <w:rsid w:val="004211FD"/>
    <w:rsid w:val="00421485"/>
    <w:rsid w:val="004216DA"/>
    <w:rsid w:val="00421DEA"/>
    <w:rsid w:val="0042265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7A4"/>
    <w:rsid w:val="00454F28"/>
    <w:rsid w:val="0045645D"/>
    <w:rsid w:val="0045707D"/>
    <w:rsid w:val="004574C6"/>
    <w:rsid w:val="00457743"/>
    <w:rsid w:val="00457BCF"/>
    <w:rsid w:val="00457DCE"/>
    <w:rsid w:val="00460B81"/>
    <w:rsid w:val="00460E3F"/>
    <w:rsid w:val="0046111A"/>
    <w:rsid w:val="00462F68"/>
    <w:rsid w:val="0046369B"/>
    <w:rsid w:val="004640E9"/>
    <w:rsid w:val="004647EB"/>
    <w:rsid w:val="00466CED"/>
    <w:rsid w:val="00466EB5"/>
    <w:rsid w:val="00467592"/>
    <w:rsid w:val="00467690"/>
    <w:rsid w:val="004718E7"/>
    <w:rsid w:val="00472289"/>
    <w:rsid w:val="00472535"/>
    <w:rsid w:val="004761CC"/>
    <w:rsid w:val="004766C9"/>
    <w:rsid w:val="00480D4A"/>
    <w:rsid w:val="00481DA1"/>
    <w:rsid w:val="00483A2B"/>
    <w:rsid w:val="00484212"/>
    <w:rsid w:val="004848C3"/>
    <w:rsid w:val="00484BA9"/>
    <w:rsid w:val="0048539C"/>
    <w:rsid w:val="0048599A"/>
    <w:rsid w:val="00486818"/>
    <w:rsid w:val="0049255F"/>
    <w:rsid w:val="0049445D"/>
    <w:rsid w:val="00494D39"/>
    <w:rsid w:val="00495350"/>
    <w:rsid w:val="00495E3C"/>
    <w:rsid w:val="00497156"/>
    <w:rsid w:val="00497AE7"/>
    <w:rsid w:val="004A0C79"/>
    <w:rsid w:val="004A24D2"/>
    <w:rsid w:val="004A3214"/>
    <w:rsid w:val="004A4136"/>
    <w:rsid w:val="004A417B"/>
    <w:rsid w:val="004A4378"/>
    <w:rsid w:val="004A712D"/>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6E90"/>
    <w:rsid w:val="004D6F2B"/>
    <w:rsid w:val="004E0248"/>
    <w:rsid w:val="004E21A3"/>
    <w:rsid w:val="004E32EA"/>
    <w:rsid w:val="004E3517"/>
    <w:rsid w:val="004E5E6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8CB"/>
    <w:rsid w:val="00531DA0"/>
    <w:rsid w:val="00532E9D"/>
    <w:rsid w:val="00533075"/>
    <w:rsid w:val="00534D42"/>
    <w:rsid w:val="005350A5"/>
    <w:rsid w:val="00536379"/>
    <w:rsid w:val="00537238"/>
    <w:rsid w:val="005400C5"/>
    <w:rsid w:val="005404CD"/>
    <w:rsid w:val="00540BE0"/>
    <w:rsid w:val="00540BEF"/>
    <w:rsid w:val="00541C6B"/>
    <w:rsid w:val="00542C9A"/>
    <w:rsid w:val="005436C2"/>
    <w:rsid w:val="005442D4"/>
    <w:rsid w:val="0054586A"/>
    <w:rsid w:val="0054631F"/>
    <w:rsid w:val="00546C24"/>
    <w:rsid w:val="005471BA"/>
    <w:rsid w:val="00547BE6"/>
    <w:rsid w:val="0055034F"/>
    <w:rsid w:val="00550EA7"/>
    <w:rsid w:val="00550F3F"/>
    <w:rsid w:val="0055288D"/>
    <w:rsid w:val="00555259"/>
    <w:rsid w:val="00555C66"/>
    <w:rsid w:val="005569EF"/>
    <w:rsid w:val="00556BDE"/>
    <w:rsid w:val="00560D57"/>
    <w:rsid w:val="00562A94"/>
    <w:rsid w:val="00563FAD"/>
    <w:rsid w:val="005644F8"/>
    <w:rsid w:val="00566711"/>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06C"/>
    <w:rsid w:val="00586EC6"/>
    <w:rsid w:val="00587DDE"/>
    <w:rsid w:val="00593043"/>
    <w:rsid w:val="005951A0"/>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42F8"/>
    <w:rsid w:val="005B5B3D"/>
    <w:rsid w:val="005B5E8F"/>
    <w:rsid w:val="005B64CF"/>
    <w:rsid w:val="005B72DA"/>
    <w:rsid w:val="005C0E87"/>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4A7"/>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978"/>
    <w:rsid w:val="006008F8"/>
    <w:rsid w:val="006036C2"/>
    <w:rsid w:val="00605AAB"/>
    <w:rsid w:val="00606BEB"/>
    <w:rsid w:val="0061014A"/>
    <w:rsid w:val="0061054B"/>
    <w:rsid w:val="006110FB"/>
    <w:rsid w:val="00612FB0"/>
    <w:rsid w:val="0061356D"/>
    <w:rsid w:val="006136ED"/>
    <w:rsid w:val="00613E26"/>
    <w:rsid w:val="00614567"/>
    <w:rsid w:val="00615641"/>
    <w:rsid w:val="00616959"/>
    <w:rsid w:val="0062036E"/>
    <w:rsid w:val="006211D0"/>
    <w:rsid w:val="00621595"/>
    <w:rsid w:val="0062359D"/>
    <w:rsid w:val="00623634"/>
    <w:rsid w:val="00624D0C"/>
    <w:rsid w:val="006274B4"/>
    <w:rsid w:val="006307BA"/>
    <w:rsid w:val="006315BA"/>
    <w:rsid w:val="00634C4A"/>
    <w:rsid w:val="0063532E"/>
    <w:rsid w:val="006364ED"/>
    <w:rsid w:val="00637063"/>
    <w:rsid w:val="0063737C"/>
    <w:rsid w:val="00637BDC"/>
    <w:rsid w:val="00640363"/>
    <w:rsid w:val="00640622"/>
    <w:rsid w:val="00640EBB"/>
    <w:rsid w:val="006418C9"/>
    <w:rsid w:val="00642BD6"/>
    <w:rsid w:val="00643C8F"/>
    <w:rsid w:val="00645046"/>
    <w:rsid w:val="0064527A"/>
    <w:rsid w:val="006458FD"/>
    <w:rsid w:val="00645DE8"/>
    <w:rsid w:val="00645EA2"/>
    <w:rsid w:val="006460E7"/>
    <w:rsid w:val="00646376"/>
    <w:rsid w:val="00651E6D"/>
    <w:rsid w:val="00653AB2"/>
    <w:rsid w:val="00653D2D"/>
    <w:rsid w:val="00654551"/>
    <w:rsid w:val="006555E7"/>
    <w:rsid w:val="00655CCC"/>
    <w:rsid w:val="006560B6"/>
    <w:rsid w:val="0065726D"/>
    <w:rsid w:val="006573F2"/>
    <w:rsid w:val="00661BA2"/>
    <w:rsid w:val="00662AD0"/>
    <w:rsid w:val="00662F08"/>
    <w:rsid w:val="00663589"/>
    <w:rsid w:val="00664427"/>
    <w:rsid w:val="006649CD"/>
    <w:rsid w:val="00665D75"/>
    <w:rsid w:val="006708E3"/>
    <w:rsid w:val="00670DDC"/>
    <w:rsid w:val="00671389"/>
    <w:rsid w:val="00671EB4"/>
    <w:rsid w:val="00673CDC"/>
    <w:rsid w:val="0067443B"/>
    <w:rsid w:val="006770AA"/>
    <w:rsid w:val="00677150"/>
    <w:rsid w:val="0068098E"/>
    <w:rsid w:val="006810BD"/>
    <w:rsid w:val="00682486"/>
    <w:rsid w:val="006833A7"/>
    <w:rsid w:val="00684CE6"/>
    <w:rsid w:val="00684E2B"/>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471E"/>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E"/>
    <w:rsid w:val="006C1D6E"/>
    <w:rsid w:val="006C2EF6"/>
    <w:rsid w:val="006C3A68"/>
    <w:rsid w:val="006C3B08"/>
    <w:rsid w:val="006C6AB1"/>
    <w:rsid w:val="006C6E6B"/>
    <w:rsid w:val="006D145F"/>
    <w:rsid w:val="006D2000"/>
    <w:rsid w:val="006D2D39"/>
    <w:rsid w:val="006D2F31"/>
    <w:rsid w:val="006D4250"/>
    <w:rsid w:val="006D4E0E"/>
    <w:rsid w:val="006D5861"/>
    <w:rsid w:val="006D5CE2"/>
    <w:rsid w:val="006D7854"/>
    <w:rsid w:val="006E06D1"/>
    <w:rsid w:val="006E1313"/>
    <w:rsid w:val="006E2DC8"/>
    <w:rsid w:val="006E3200"/>
    <w:rsid w:val="006E58CB"/>
    <w:rsid w:val="006E7356"/>
    <w:rsid w:val="006E77C8"/>
    <w:rsid w:val="006F0505"/>
    <w:rsid w:val="006F0F9C"/>
    <w:rsid w:val="006F149D"/>
    <w:rsid w:val="006F1A46"/>
    <w:rsid w:val="006F45A0"/>
    <w:rsid w:val="006F4F06"/>
    <w:rsid w:val="006F5117"/>
    <w:rsid w:val="006F5A4E"/>
    <w:rsid w:val="006F5D37"/>
    <w:rsid w:val="006F6005"/>
    <w:rsid w:val="007005EA"/>
    <w:rsid w:val="00703B6C"/>
    <w:rsid w:val="00703BB0"/>
    <w:rsid w:val="00704041"/>
    <w:rsid w:val="00704519"/>
    <w:rsid w:val="00704C40"/>
    <w:rsid w:val="00704C88"/>
    <w:rsid w:val="00704EA1"/>
    <w:rsid w:val="00705BE5"/>
    <w:rsid w:val="00705C40"/>
    <w:rsid w:val="00706482"/>
    <w:rsid w:val="00706754"/>
    <w:rsid w:val="00706BEF"/>
    <w:rsid w:val="00706F6A"/>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C1D"/>
    <w:rsid w:val="007272F1"/>
    <w:rsid w:val="00727565"/>
    <w:rsid w:val="0073062D"/>
    <w:rsid w:val="0073093B"/>
    <w:rsid w:val="0073254D"/>
    <w:rsid w:val="007340F3"/>
    <w:rsid w:val="007347BB"/>
    <w:rsid w:val="00735704"/>
    <w:rsid w:val="00736A49"/>
    <w:rsid w:val="00737776"/>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0806"/>
    <w:rsid w:val="00771043"/>
    <w:rsid w:val="0077272B"/>
    <w:rsid w:val="00773AF7"/>
    <w:rsid w:val="00774FFD"/>
    <w:rsid w:val="00780378"/>
    <w:rsid w:val="0078085E"/>
    <w:rsid w:val="00781BD4"/>
    <w:rsid w:val="00782562"/>
    <w:rsid w:val="007828B4"/>
    <w:rsid w:val="00784832"/>
    <w:rsid w:val="00784EA0"/>
    <w:rsid w:val="00785D77"/>
    <w:rsid w:val="00786111"/>
    <w:rsid w:val="00790772"/>
    <w:rsid w:val="00790963"/>
    <w:rsid w:val="0079150B"/>
    <w:rsid w:val="0079154B"/>
    <w:rsid w:val="00791EED"/>
    <w:rsid w:val="00791F1E"/>
    <w:rsid w:val="00792388"/>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1C83"/>
    <w:rsid w:val="007B4181"/>
    <w:rsid w:val="007B5746"/>
    <w:rsid w:val="007B5C5C"/>
    <w:rsid w:val="007B6CE0"/>
    <w:rsid w:val="007B7B37"/>
    <w:rsid w:val="007B7C41"/>
    <w:rsid w:val="007C05C5"/>
    <w:rsid w:val="007C0715"/>
    <w:rsid w:val="007C0B04"/>
    <w:rsid w:val="007C11E9"/>
    <w:rsid w:val="007C238B"/>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5EF1"/>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0EFF"/>
    <w:rsid w:val="008012D6"/>
    <w:rsid w:val="00801B85"/>
    <w:rsid w:val="00803850"/>
    <w:rsid w:val="008039E8"/>
    <w:rsid w:val="00804385"/>
    <w:rsid w:val="00804E0E"/>
    <w:rsid w:val="00805AFD"/>
    <w:rsid w:val="00806397"/>
    <w:rsid w:val="008078D8"/>
    <w:rsid w:val="0080798E"/>
    <w:rsid w:val="00811D5B"/>
    <w:rsid w:val="00813256"/>
    <w:rsid w:val="00813C51"/>
    <w:rsid w:val="00816CCB"/>
    <w:rsid w:val="00817572"/>
    <w:rsid w:val="00817713"/>
    <w:rsid w:val="00817893"/>
    <w:rsid w:val="00817E55"/>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D8F"/>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428"/>
    <w:rsid w:val="00856AC7"/>
    <w:rsid w:val="00856FA4"/>
    <w:rsid w:val="00857538"/>
    <w:rsid w:val="00860E60"/>
    <w:rsid w:val="0086102A"/>
    <w:rsid w:val="0086162B"/>
    <w:rsid w:val="00861710"/>
    <w:rsid w:val="00861D5C"/>
    <w:rsid w:val="00861E7C"/>
    <w:rsid w:val="0086429C"/>
    <w:rsid w:val="00865207"/>
    <w:rsid w:val="008656A7"/>
    <w:rsid w:val="00865FA3"/>
    <w:rsid w:val="00866231"/>
    <w:rsid w:val="00871262"/>
    <w:rsid w:val="008715AD"/>
    <w:rsid w:val="0087170E"/>
    <w:rsid w:val="00871D4E"/>
    <w:rsid w:val="00871E7B"/>
    <w:rsid w:val="008721BB"/>
    <w:rsid w:val="0087566D"/>
    <w:rsid w:val="00875B50"/>
    <w:rsid w:val="00875B51"/>
    <w:rsid w:val="00875F2D"/>
    <w:rsid w:val="008762E7"/>
    <w:rsid w:val="008764DC"/>
    <w:rsid w:val="008818AB"/>
    <w:rsid w:val="00882CC2"/>
    <w:rsid w:val="0088325A"/>
    <w:rsid w:val="00883930"/>
    <w:rsid w:val="00884535"/>
    <w:rsid w:val="00886DCF"/>
    <w:rsid w:val="008902BE"/>
    <w:rsid w:val="0089038F"/>
    <w:rsid w:val="00890CDA"/>
    <w:rsid w:val="00891BBA"/>
    <w:rsid w:val="00892079"/>
    <w:rsid w:val="00892B90"/>
    <w:rsid w:val="00893BF3"/>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518A"/>
    <w:rsid w:val="008D51BB"/>
    <w:rsid w:val="008D75F4"/>
    <w:rsid w:val="008D795D"/>
    <w:rsid w:val="008D7B07"/>
    <w:rsid w:val="008E0D8F"/>
    <w:rsid w:val="008E0F4E"/>
    <w:rsid w:val="008E1E94"/>
    <w:rsid w:val="008E2D99"/>
    <w:rsid w:val="008E30D4"/>
    <w:rsid w:val="008E38B0"/>
    <w:rsid w:val="008E3C90"/>
    <w:rsid w:val="008E4A60"/>
    <w:rsid w:val="008E60C6"/>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0FBA"/>
    <w:rsid w:val="00911490"/>
    <w:rsid w:val="009115F2"/>
    <w:rsid w:val="00911B11"/>
    <w:rsid w:val="00914ADB"/>
    <w:rsid w:val="00917182"/>
    <w:rsid w:val="00917F0E"/>
    <w:rsid w:val="00920251"/>
    <w:rsid w:val="00923B25"/>
    <w:rsid w:val="0092402E"/>
    <w:rsid w:val="009259BA"/>
    <w:rsid w:val="00926FCB"/>
    <w:rsid w:val="009303BB"/>
    <w:rsid w:val="0093108A"/>
    <w:rsid w:val="00931B6D"/>
    <w:rsid w:val="0093311A"/>
    <w:rsid w:val="009346D0"/>
    <w:rsid w:val="00937F57"/>
    <w:rsid w:val="009419B4"/>
    <w:rsid w:val="00941A4C"/>
    <w:rsid w:val="00942645"/>
    <w:rsid w:val="009461E6"/>
    <w:rsid w:val="00950A3A"/>
    <w:rsid w:val="00951381"/>
    <w:rsid w:val="00952CC5"/>
    <w:rsid w:val="0095340A"/>
    <w:rsid w:val="00953AF6"/>
    <w:rsid w:val="0095423E"/>
    <w:rsid w:val="00954581"/>
    <w:rsid w:val="0095466C"/>
    <w:rsid w:val="00954E5B"/>
    <w:rsid w:val="00955100"/>
    <w:rsid w:val="00955316"/>
    <w:rsid w:val="00955E45"/>
    <w:rsid w:val="009576BC"/>
    <w:rsid w:val="00957899"/>
    <w:rsid w:val="00960357"/>
    <w:rsid w:val="0096168C"/>
    <w:rsid w:val="00961840"/>
    <w:rsid w:val="009625E3"/>
    <w:rsid w:val="00962F2D"/>
    <w:rsid w:val="00963A7A"/>
    <w:rsid w:val="009672CD"/>
    <w:rsid w:val="00971810"/>
    <w:rsid w:val="00972224"/>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2740"/>
    <w:rsid w:val="00984EBF"/>
    <w:rsid w:val="00985099"/>
    <w:rsid w:val="00985D32"/>
    <w:rsid w:val="00986514"/>
    <w:rsid w:val="00986FCC"/>
    <w:rsid w:val="00992625"/>
    <w:rsid w:val="009935C3"/>
    <w:rsid w:val="0099421F"/>
    <w:rsid w:val="00994FC8"/>
    <w:rsid w:val="009A0DE3"/>
    <w:rsid w:val="009A1643"/>
    <w:rsid w:val="009A215A"/>
    <w:rsid w:val="009A49D3"/>
    <w:rsid w:val="009A4F1B"/>
    <w:rsid w:val="009A66C5"/>
    <w:rsid w:val="009A66E7"/>
    <w:rsid w:val="009A79BA"/>
    <w:rsid w:val="009B14D1"/>
    <w:rsid w:val="009B1534"/>
    <w:rsid w:val="009B4963"/>
    <w:rsid w:val="009B4A3B"/>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283"/>
    <w:rsid w:val="009E3A7F"/>
    <w:rsid w:val="009E4C9B"/>
    <w:rsid w:val="009E4DFC"/>
    <w:rsid w:val="009E5773"/>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404B"/>
    <w:rsid w:val="00A06499"/>
    <w:rsid w:val="00A06F66"/>
    <w:rsid w:val="00A0798C"/>
    <w:rsid w:val="00A07BDD"/>
    <w:rsid w:val="00A07F12"/>
    <w:rsid w:val="00A1105B"/>
    <w:rsid w:val="00A1213C"/>
    <w:rsid w:val="00A130E8"/>
    <w:rsid w:val="00A13C7D"/>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FFB"/>
    <w:rsid w:val="00A41468"/>
    <w:rsid w:val="00A414A9"/>
    <w:rsid w:val="00A44141"/>
    <w:rsid w:val="00A44CCA"/>
    <w:rsid w:val="00A44D75"/>
    <w:rsid w:val="00A47CF1"/>
    <w:rsid w:val="00A50418"/>
    <w:rsid w:val="00A54980"/>
    <w:rsid w:val="00A54A47"/>
    <w:rsid w:val="00A56D26"/>
    <w:rsid w:val="00A571A7"/>
    <w:rsid w:val="00A5749A"/>
    <w:rsid w:val="00A575E1"/>
    <w:rsid w:val="00A57BA8"/>
    <w:rsid w:val="00A608FB"/>
    <w:rsid w:val="00A60D83"/>
    <w:rsid w:val="00A60F68"/>
    <w:rsid w:val="00A63DF3"/>
    <w:rsid w:val="00A65C78"/>
    <w:rsid w:val="00A65F67"/>
    <w:rsid w:val="00A660A8"/>
    <w:rsid w:val="00A66A45"/>
    <w:rsid w:val="00A67591"/>
    <w:rsid w:val="00A67CA6"/>
    <w:rsid w:val="00A67D21"/>
    <w:rsid w:val="00A70E7B"/>
    <w:rsid w:val="00A717EA"/>
    <w:rsid w:val="00A730B0"/>
    <w:rsid w:val="00A73B84"/>
    <w:rsid w:val="00A7411D"/>
    <w:rsid w:val="00A756C4"/>
    <w:rsid w:val="00A7592B"/>
    <w:rsid w:val="00A75ED7"/>
    <w:rsid w:val="00A76094"/>
    <w:rsid w:val="00A768E2"/>
    <w:rsid w:val="00A822E5"/>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3B9"/>
    <w:rsid w:val="00AA493E"/>
    <w:rsid w:val="00AA73AF"/>
    <w:rsid w:val="00AB062D"/>
    <w:rsid w:val="00AB0A8A"/>
    <w:rsid w:val="00AB1754"/>
    <w:rsid w:val="00AB1F8D"/>
    <w:rsid w:val="00AB241F"/>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5D2F"/>
    <w:rsid w:val="00AD6870"/>
    <w:rsid w:val="00AD68C5"/>
    <w:rsid w:val="00AD7F8F"/>
    <w:rsid w:val="00AE0BF9"/>
    <w:rsid w:val="00AE1273"/>
    <w:rsid w:val="00AE18C5"/>
    <w:rsid w:val="00AE24CA"/>
    <w:rsid w:val="00AE2CF4"/>
    <w:rsid w:val="00AE2D29"/>
    <w:rsid w:val="00AE2F15"/>
    <w:rsid w:val="00AE4624"/>
    <w:rsid w:val="00AE4B3E"/>
    <w:rsid w:val="00AE5E14"/>
    <w:rsid w:val="00AE6115"/>
    <w:rsid w:val="00AE625B"/>
    <w:rsid w:val="00AF01B2"/>
    <w:rsid w:val="00AF1103"/>
    <w:rsid w:val="00AF1668"/>
    <w:rsid w:val="00AF25B2"/>
    <w:rsid w:val="00AF28DE"/>
    <w:rsid w:val="00AF41EE"/>
    <w:rsid w:val="00AF4FA5"/>
    <w:rsid w:val="00AF5BB4"/>
    <w:rsid w:val="00AF6ECC"/>
    <w:rsid w:val="00B00D18"/>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ABA"/>
    <w:rsid w:val="00B23436"/>
    <w:rsid w:val="00B237F1"/>
    <w:rsid w:val="00B23F10"/>
    <w:rsid w:val="00B24328"/>
    <w:rsid w:val="00B24ED4"/>
    <w:rsid w:val="00B24F33"/>
    <w:rsid w:val="00B26354"/>
    <w:rsid w:val="00B26CA0"/>
    <w:rsid w:val="00B300BD"/>
    <w:rsid w:val="00B302C7"/>
    <w:rsid w:val="00B30B0D"/>
    <w:rsid w:val="00B31965"/>
    <w:rsid w:val="00B32179"/>
    <w:rsid w:val="00B32341"/>
    <w:rsid w:val="00B32685"/>
    <w:rsid w:val="00B32C2B"/>
    <w:rsid w:val="00B33007"/>
    <w:rsid w:val="00B331A9"/>
    <w:rsid w:val="00B33498"/>
    <w:rsid w:val="00B33598"/>
    <w:rsid w:val="00B34F48"/>
    <w:rsid w:val="00B3575C"/>
    <w:rsid w:val="00B35F7A"/>
    <w:rsid w:val="00B36569"/>
    <w:rsid w:val="00B37345"/>
    <w:rsid w:val="00B37F53"/>
    <w:rsid w:val="00B40A05"/>
    <w:rsid w:val="00B40A3E"/>
    <w:rsid w:val="00B427BB"/>
    <w:rsid w:val="00B43BA2"/>
    <w:rsid w:val="00B449EE"/>
    <w:rsid w:val="00B454AE"/>
    <w:rsid w:val="00B50227"/>
    <w:rsid w:val="00B50510"/>
    <w:rsid w:val="00B522CD"/>
    <w:rsid w:val="00B53EC2"/>
    <w:rsid w:val="00B54113"/>
    <w:rsid w:val="00B55143"/>
    <w:rsid w:val="00B555C8"/>
    <w:rsid w:val="00B55917"/>
    <w:rsid w:val="00B5646A"/>
    <w:rsid w:val="00B56F3D"/>
    <w:rsid w:val="00B57921"/>
    <w:rsid w:val="00B57E78"/>
    <w:rsid w:val="00B57EB8"/>
    <w:rsid w:val="00B609F6"/>
    <w:rsid w:val="00B60E75"/>
    <w:rsid w:val="00B643A6"/>
    <w:rsid w:val="00B64DD6"/>
    <w:rsid w:val="00B66505"/>
    <w:rsid w:val="00B668B1"/>
    <w:rsid w:val="00B6710C"/>
    <w:rsid w:val="00B67E84"/>
    <w:rsid w:val="00B72076"/>
    <w:rsid w:val="00B72303"/>
    <w:rsid w:val="00B727A9"/>
    <w:rsid w:val="00B72C72"/>
    <w:rsid w:val="00B72ED9"/>
    <w:rsid w:val="00B731E4"/>
    <w:rsid w:val="00B74194"/>
    <w:rsid w:val="00B751CE"/>
    <w:rsid w:val="00B75A8B"/>
    <w:rsid w:val="00B75B61"/>
    <w:rsid w:val="00B76796"/>
    <w:rsid w:val="00B771E0"/>
    <w:rsid w:val="00B7793B"/>
    <w:rsid w:val="00B77EE7"/>
    <w:rsid w:val="00B80EDD"/>
    <w:rsid w:val="00B812BD"/>
    <w:rsid w:val="00B81964"/>
    <w:rsid w:val="00B82277"/>
    <w:rsid w:val="00B83F87"/>
    <w:rsid w:val="00B8478F"/>
    <w:rsid w:val="00B84A37"/>
    <w:rsid w:val="00B84F93"/>
    <w:rsid w:val="00B91676"/>
    <w:rsid w:val="00B9322B"/>
    <w:rsid w:val="00B93640"/>
    <w:rsid w:val="00B950C9"/>
    <w:rsid w:val="00B955D5"/>
    <w:rsid w:val="00B95833"/>
    <w:rsid w:val="00BA1824"/>
    <w:rsid w:val="00BA1899"/>
    <w:rsid w:val="00BA2D98"/>
    <w:rsid w:val="00BA2F0C"/>
    <w:rsid w:val="00BA30D1"/>
    <w:rsid w:val="00BA30E1"/>
    <w:rsid w:val="00BA4609"/>
    <w:rsid w:val="00BA4ABE"/>
    <w:rsid w:val="00BA5BE2"/>
    <w:rsid w:val="00BA7F46"/>
    <w:rsid w:val="00BB0A0A"/>
    <w:rsid w:val="00BB133C"/>
    <w:rsid w:val="00BB1F04"/>
    <w:rsid w:val="00BB45B5"/>
    <w:rsid w:val="00BB4DDE"/>
    <w:rsid w:val="00BB6064"/>
    <w:rsid w:val="00BB65CE"/>
    <w:rsid w:val="00BB7012"/>
    <w:rsid w:val="00BC09D1"/>
    <w:rsid w:val="00BC1CF3"/>
    <w:rsid w:val="00BC2BE0"/>
    <w:rsid w:val="00BC3573"/>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C1B"/>
    <w:rsid w:val="00BE2FC1"/>
    <w:rsid w:val="00BE3142"/>
    <w:rsid w:val="00BE4039"/>
    <w:rsid w:val="00BE6365"/>
    <w:rsid w:val="00BF01B7"/>
    <w:rsid w:val="00BF0B7F"/>
    <w:rsid w:val="00BF0E94"/>
    <w:rsid w:val="00BF2988"/>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A71"/>
    <w:rsid w:val="00C31DDC"/>
    <w:rsid w:val="00C3223A"/>
    <w:rsid w:val="00C34168"/>
    <w:rsid w:val="00C34326"/>
    <w:rsid w:val="00C34CEB"/>
    <w:rsid w:val="00C36201"/>
    <w:rsid w:val="00C368E8"/>
    <w:rsid w:val="00C36C3D"/>
    <w:rsid w:val="00C36DDE"/>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4D3A"/>
    <w:rsid w:val="00C75F3D"/>
    <w:rsid w:val="00C80511"/>
    <w:rsid w:val="00C81937"/>
    <w:rsid w:val="00C826F5"/>
    <w:rsid w:val="00C83740"/>
    <w:rsid w:val="00C84527"/>
    <w:rsid w:val="00C84AD1"/>
    <w:rsid w:val="00C85579"/>
    <w:rsid w:val="00C8590C"/>
    <w:rsid w:val="00C862F1"/>
    <w:rsid w:val="00C863E5"/>
    <w:rsid w:val="00C86AF9"/>
    <w:rsid w:val="00C87BE6"/>
    <w:rsid w:val="00C87E58"/>
    <w:rsid w:val="00C87F76"/>
    <w:rsid w:val="00C931FC"/>
    <w:rsid w:val="00C932C5"/>
    <w:rsid w:val="00C934B4"/>
    <w:rsid w:val="00C94CB6"/>
    <w:rsid w:val="00C95299"/>
    <w:rsid w:val="00C95A72"/>
    <w:rsid w:val="00C9650E"/>
    <w:rsid w:val="00C97000"/>
    <w:rsid w:val="00C975BD"/>
    <w:rsid w:val="00CA0169"/>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5882"/>
    <w:rsid w:val="00CB758D"/>
    <w:rsid w:val="00CB7A3E"/>
    <w:rsid w:val="00CB7FF7"/>
    <w:rsid w:val="00CC0D0E"/>
    <w:rsid w:val="00CC1253"/>
    <w:rsid w:val="00CC19B3"/>
    <w:rsid w:val="00CC2044"/>
    <w:rsid w:val="00CC39D2"/>
    <w:rsid w:val="00CC69EC"/>
    <w:rsid w:val="00CC78A2"/>
    <w:rsid w:val="00CC7DF8"/>
    <w:rsid w:val="00CC7EC0"/>
    <w:rsid w:val="00CD15BE"/>
    <w:rsid w:val="00CD1EF2"/>
    <w:rsid w:val="00CD32BD"/>
    <w:rsid w:val="00CD34C7"/>
    <w:rsid w:val="00CD5653"/>
    <w:rsid w:val="00CD5E6D"/>
    <w:rsid w:val="00CD63C8"/>
    <w:rsid w:val="00CD76F8"/>
    <w:rsid w:val="00CD78A5"/>
    <w:rsid w:val="00CE0008"/>
    <w:rsid w:val="00CE02E8"/>
    <w:rsid w:val="00CE069E"/>
    <w:rsid w:val="00CE0DE0"/>
    <w:rsid w:val="00CE2CC2"/>
    <w:rsid w:val="00CE3722"/>
    <w:rsid w:val="00CF158D"/>
    <w:rsid w:val="00CF2166"/>
    <w:rsid w:val="00CF4340"/>
    <w:rsid w:val="00CF4394"/>
    <w:rsid w:val="00CF48B4"/>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0B40"/>
    <w:rsid w:val="00D12405"/>
    <w:rsid w:val="00D12A4E"/>
    <w:rsid w:val="00D1323B"/>
    <w:rsid w:val="00D14BAE"/>
    <w:rsid w:val="00D15107"/>
    <w:rsid w:val="00D1648B"/>
    <w:rsid w:val="00D16819"/>
    <w:rsid w:val="00D17DD9"/>
    <w:rsid w:val="00D20AC0"/>
    <w:rsid w:val="00D2321B"/>
    <w:rsid w:val="00D23350"/>
    <w:rsid w:val="00D237E7"/>
    <w:rsid w:val="00D23DE4"/>
    <w:rsid w:val="00D25A5C"/>
    <w:rsid w:val="00D26873"/>
    <w:rsid w:val="00D27C99"/>
    <w:rsid w:val="00D31683"/>
    <w:rsid w:val="00D33452"/>
    <w:rsid w:val="00D336C8"/>
    <w:rsid w:val="00D339E8"/>
    <w:rsid w:val="00D3654A"/>
    <w:rsid w:val="00D3662E"/>
    <w:rsid w:val="00D36B15"/>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25E9"/>
    <w:rsid w:val="00D93A41"/>
    <w:rsid w:val="00D93B9A"/>
    <w:rsid w:val="00D93EA6"/>
    <w:rsid w:val="00D95984"/>
    <w:rsid w:val="00D95C64"/>
    <w:rsid w:val="00D9706F"/>
    <w:rsid w:val="00D972D4"/>
    <w:rsid w:val="00DA043D"/>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18B7"/>
    <w:rsid w:val="00DC41C3"/>
    <w:rsid w:val="00DC4A3C"/>
    <w:rsid w:val="00DC4FA4"/>
    <w:rsid w:val="00DC5B37"/>
    <w:rsid w:val="00DD286D"/>
    <w:rsid w:val="00DD2CAF"/>
    <w:rsid w:val="00DD3593"/>
    <w:rsid w:val="00DD64E0"/>
    <w:rsid w:val="00DD7BE0"/>
    <w:rsid w:val="00DE0C67"/>
    <w:rsid w:val="00DE3AAD"/>
    <w:rsid w:val="00DE598A"/>
    <w:rsid w:val="00DE6952"/>
    <w:rsid w:val="00DE7A7D"/>
    <w:rsid w:val="00DE7E74"/>
    <w:rsid w:val="00DF071B"/>
    <w:rsid w:val="00DF1D37"/>
    <w:rsid w:val="00DF5C84"/>
    <w:rsid w:val="00DF5EC0"/>
    <w:rsid w:val="00DF6EF8"/>
    <w:rsid w:val="00DF6EFE"/>
    <w:rsid w:val="00E00A69"/>
    <w:rsid w:val="00E017BC"/>
    <w:rsid w:val="00E017F0"/>
    <w:rsid w:val="00E01A0E"/>
    <w:rsid w:val="00E025FE"/>
    <w:rsid w:val="00E02A1C"/>
    <w:rsid w:val="00E0346A"/>
    <w:rsid w:val="00E041E4"/>
    <w:rsid w:val="00E04AEE"/>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2E4E"/>
    <w:rsid w:val="00E43F59"/>
    <w:rsid w:val="00E464F0"/>
    <w:rsid w:val="00E46EF3"/>
    <w:rsid w:val="00E47370"/>
    <w:rsid w:val="00E473E9"/>
    <w:rsid w:val="00E47B47"/>
    <w:rsid w:val="00E50BEB"/>
    <w:rsid w:val="00E548FA"/>
    <w:rsid w:val="00E57703"/>
    <w:rsid w:val="00E57ED4"/>
    <w:rsid w:val="00E57FED"/>
    <w:rsid w:val="00E6092F"/>
    <w:rsid w:val="00E62049"/>
    <w:rsid w:val="00E629DA"/>
    <w:rsid w:val="00E64374"/>
    <w:rsid w:val="00E6451F"/>
    <w:rsid w:val="00E6469F"/>
    <w:rsid w:val="00E6546A"/>
    <w:rsid w:val="00E65C05"/>
    <w:rsid w:val="00E65D39"/>
    <w:rsid w:val="00E670F8"/>
    <w:rsid w:val="00E6741B"/>
    <w:rsid w:val="00E67FAC"/>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56DB"/>
    <w:rsid w:val="00E9763D"/>
    <w:rsid w:val="00EA1177"/>
    <w:rsid w:val="00EA118B"/>
    <w:rsid w:val="00EA11B6"/>
    <w:rsid w:val="00EA2181"/>
    <w:rsid w:val="00EA2DD8"/>
    <w:rsid w:val="00EA30FC"/>
    <w:rsid w:val="00EA3511"/>
    <w:rsid w:val="00EA4475"/>
    <w:rsid w:val="00EA4EA0"/>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09FC"/>
    <w:rsid w:val="00ED12F0"/>
    <w:rsid w:val="00ED290C"/>
    <w:rsid w:val="00ED2A6C"/>
    <w:rsid w:val="00ED4773"/>
    <w:rsid w:val="00ED5198"/>
    <w:rsid w:val="00ED5284"/>
    <w:rsid w:val="00ED664B"/>
    <w:rsid w:val="00ED6A61"/>
    <w:rsid w:val="00ED768E"/>
    <w:rsid w:val="00ED7DA4"/>
    <w:rsid w:val="00EE03BB"/>
    <w:rsid w:val="00EE0552"/>
    <w:rsid w:val="00EE0B44"/>
    <w:rsid w:val="00EE125D"/>
    <w:rsid w:val="00EE23DE"/>
    <w:rsid w:val="00EE25BD"/>
    <w:rsid w:val="00EE48BB"/>
    <w:rsid w:val="00EE6FE0"/>
    <w:rsid w:val="00EE704A"/>
    <w:rsid w:val="00EE7840"/>
    <w:rsid w:val="00EF2E75"/>
    <w:rsid w:val="00EF4C74"/>
    <w:rsid w:val="00EF5268"/>
    <w:rsid w:val="00EF5DEF"/>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0A15"/>
    <w:rsid w:val="00F70B44"/>
    <w:rsid w:val="00F718A8"/>
    <w:rsid w:val="00F7207E"/>
    <w:rsid w:val="00F72183"/>
    <w:rsid w:val="00F75C12"/>
    <w:rsid w:val="00F76D01"/>
    <w:rsid w:val="00F80B43"/>
    <w:rsid w:val="00F81C35"/>
    <w:rsid w:val="00F82981"/>
    <w:rsid w:val="00F8311F"/>
    <w:rsid w:val="00F83248"/>
    <w:rsid w:val="00F83376"/>
    <w:rsid w:val="00F85101"/>
    <w:rsid w:val="00F853AE"/>
    <w:rsid w:val="00F908D5"/>
    <w:rsid w:val="00F913B9"/>
    <w:rsid w:val="00F93C74"/>
    <w:rsid w:val="00F93DCC"/>
    <w:rsid w:val="00F9435D"/>
    <w:rsid w:val="00F966F9"/>
    <w:rsid w:val="00F96F61"/>
    <w:rsid w:val="00F97740"/>
    <w:rsid w:val="00FA0C8F"/>
    <w:rsid w:val="00FA1046"/>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B2C"/>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A27"/>
    <w:rsid w:val="00FE5D0A"/>
    <w:rsid w:val="00FE6469"/>
    <w:rsid w:val="00FE767B"/>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5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paragraph" w:styleId="NoSpacing">
    <w:name w:val="No Spacing"/>
    <w:uiPriority w:val="1"/>
    <w:qFormat/>
    <w:rsid w:val="00B74194"/>
    <w:pPr>
      <w:spacing w:line="240" w:lineRule="auto"/>
      <w:jc w:val="left"/>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927032671">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3C438-DB90-4CBC-AEBB-83935B3A6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2124</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3</cp:revision>
  <cp:lastPrinted>2012-05-03T13:27:00Z</cp:lastPrinted>
  <dcterms:created xsi:type="dcterms:W3CDTF">2012-06-13T20:25:00Z</dcterms:created>
  <dcterms:modified xsi:type="dcterms:W3CDTF">2012-06-13T20:31:00Z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