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FC29F1">
      <w:pPr>
        <w:tabs>
          <w:tab w:val="left" w:pos="288"/>
          <w:tab w:val="left" w:pos="4752"/>
          <w:tab w:val="left" w:pos="5130"/>
          <w:tab w:val="right" w:pos="9360"/>
        </w:tabs>
        <w:jc w:val="left"/>
        <w:rPr>
          <w:caps/>
          <w:color w:val="000000"/>
        </w:rPr>
      </w:pPr>
      <w:r w:rsidRPr="001F29F9">
        <w:rPr>
          <w:caps/>
          <w:color w:val="000000"/>
        </w:rPr>
        <w:t>NAME</w:t>
      </w:r>
      <w:r w:rsidR="00867669">
        <w:rPr>
          <w:caps/>
          <w:color w:val="000000"/>
        </w:rPr>
        <w:t xml:space="preserve">:  </w:t>
      </w:r>
      <w:r w:rsidR="00FC29F1">
        <w:rPr>
          <w:caps/>
          <w:color w:val="000000"/>
        </w:rPr>
        <w:t xml:space="preserve"> </w:t>
      </w:r>
      <w:r w:rsidR="00FC29F1">
        <w:rPr>
          <w:caps/>
          <w:color w:val="000000"/>
        </w:rPr>
        <w:tab/>
      </w:r>
      <w:r w:rsidR="00FC29F1">
        <w:rPr>
          <w:caps/>
          <w:color w:val="000000"/>
        </w:rPr>
        <w:tab/>
      </w:r>
      <w:r w:rsidR="00FC29F1">
        <w:rPr>
          <w:caps/>
          <w:color w:val="000000"/>
        </w:rPr>
        <w:tab/>
      </w:r>
      <w:r w:rsidRPr="001F29F9">
        <w:rPr>
          <w:caps/>
          <w:color w:val="000000"/>
        </w:rPr>
        <w:t>BRANCH OF SERVICE</w:t>
      </w:r>
      <w:r w:rsidRPr="00774E5C">
        <w:rPr>
          <w:caps/>
          <w:color w:val="000000"/>
        </w:rPr>
        <w:t xml:space="preserve">: </w:t>
      </w:r>
      <w:r w:rsidR="004C24C5" w:rsidRPr="00774E5C">
        <w:rPr>
          <w:caps/>
          <w:color w:val="000000"/>
        </w:rPr>
        <w:t xml:space="preserve"> </w:t>
      </w:r>
      <w:r w:rsidR="004216DA" w:rsidRPr="00774E5C">
        <w:rPr>
          <w:caps/>
          <w:color w:val="000000"/>
        </w:rPr>
        <w:t>navy</w:t>
      </w:r>
    </w:p>
    <w:p w:rsidR="00DE3AAD" w:rsidRPr="001F29F9" w:rsidRDefault="00012733" w:rsidP="00867669">
      <w:pPr>
        <w:tabs>
          <w:tab w:val="left" w:pos="288"/>
          <w:tab w:val="left" w:pos="4166"/>
          <w:tab w:val="left" w:pos="4752"/>
          <w:tab w:val="left" w:pos="5130"/>
          <w:tab w:val="left" w:pos="9270"/>
        </w:tabs>
        <w:jc w:val="left"/>
        <w:rPr>
          <w:caps/>
          <w:color w:val="000000"/>
        </w:rPr>
      </w:pPr>
      <w:r w:rsidRPr="001F29F9">
        <w:rPr>
          <w:caps/>
          <w:color w:val="000000"/>
        </w:rPr>
        <w:t>C</w:t>
      </w:r>
      <w:r w:rsidR="00DE3AAD" w:rsidRPr="001F29F9">
        <w:rPr>
          <w:caps/>
          <w:color w:val="000000"/>
        </w:rPr>
        <w:t>ASE NUMBER:  PD</w:t>
      </w:r>
      <w:r w:rsidR="008F58E1" w:rsidRPr="001F29F9">
        <w:rPr>
          <w:caps/>
          <w:color w:val="000000"/>
        </w:rPr>
        <w:t>1</w:t>
      </w:r>
      <w:r w:rsidR="008F58E1" w:rsidRPr="00774E5C">
        <w:rPr>
          <w:caps/>
          <w:color w:val="000000"/>
        </w:rPr>
        <w:t>1</w:t>
      </w:r>
      <w:r w:rsidR="00DE3AAD" w:rsidRPr="00774E5C">
        <w:rPr>
          <w:caps/>
          <w:color w:val="000000"/>
        </w:rPr>
        <w:t>0</w:t>
      </w:r>
      <w:r w:rsidR="00774E5C" w:rsidRPr="00774E5C">
        <w:rPr>
          <w:caps/>
          <w:color w:val="000000"/>
        </w:rPr>
        <w:t>1</w:t>
      </w:r>
      <w:r w:rsidR="00774E5C">
        <w:rPr>
          <w:caps/>
          <w:color w:val="000000"/>
        </w:rPr>
        <w:t>031</w:t>
      </w:r>
      <w:r w:rsidR="00DE3AAD" w:rsidRPr="001F29F9">
        <w:rPr>
          <w:color w:val="000000"/>
        </w:rPr>
        <w:t xml:space="preserve"> </w:t>
      </w:r>
      <w:r w:rsidR="00675DAC">
        <w:rPr>
          <w:color w:val="000000"/>
        </w:rPr>
        <w:t xml:space="preserve">                                </w:t>
      </w:r>
      <w:r w:rsidR="009969B0">
        <w:rPr>
          <w:color w:val="000000"/>
        </w:rPr>
        <w:t xml:space="preserve">  </w:t>
      </w:r>
      <w:r w:rsidR="006475DF">
        <w:rPr>
          <w:color w:val="000000"/>
        </w:rPr>
        <w:t xml:space="preserve">        </w:t>
      </w:r>
      <w:r w:rsidR="00C63DFB">
        <w:rPr>
          <w:color w:val="000000"/>
        </w:rPr>
        <w:t xml:space="preserve">  </w:t>
      </w:r>
      <w:r w:rsidR="00974123" w:rsidRPr="001F29F9">
        <w:rPr>
          <w:rFonts w:cs="Times New Roman"/>
          <w:color w:val="000000"/>
          <w:szCs w:val="24"/>
        </w:rPr>
        <w:t xml:space="preserve">DATE OF PLACEMENT ON TDRL:  </w:t>
      </w:r>
      <w:r w:rsidR="00974123" w:rsidRPr="001F29F9">
        <w:rPr>
          <w:color w:val="000000"/>
        </w:rPr>
        <w:t>200</w:t>
      </w:r>
      <w:r w:rsidR="00974123">
        <w:rPr>
          <w:color w:val="000000"/>
        </w:rPr>
        <w:t>50930</w:t>
      </w:r>
    </w:p>
    <w:p w:rsidR="00827B29" w:rsidRPr="002A4971" w:rsidRDefault="004F3639" w:rsidP="002A4971">
      <w:pPr>
        <w:tabs>
          <w:tab w:val="left" w:pos="288"/>
          <w:tab w:val="left" w:pos="5130"/>
        </w:tabs>
        <w:jc w:val="left"/>
        <w:rPr>
          <w:color w:val="000000"/>
        </w:rPr>
      </w:pPr>
      <w:r w:rsidRPr="001F29F9">
        <w:rPr>
          <w:caps/>
          <w:color w:val="000000"/>
        </w:rPr>
        <w:t>BOARD DATE:  201</w:t>
      </w:r>
      <w:r w:rsidR="00867669">
        <w:rPr>
          <w:caps/>
          <w:color w:val="000000"/>
        </w:rPr>
        <w:t>2</w:t>
      </w:r>
      <w:r w:rsidR="002A4971">
        <w:rPr>
          <w:caps/>
          <w:color w:val="000000"/>
        </w:rPr>
        <w:t>0726</w:t>
      </w:r>
      <w:r w:rsidR="00974123">
        <w:rPr>
          <w:caps/>
          <w:color w:val="000000"/>
        </w:rPr>
        <w:t xml:space="preserve">                                </w:t>
      </w:r>
      <w:r w:rsidR="00054C0C">
        <w:rPr>
          <w:caps/>
          <w:color w:val="000000"/>
        </w:rPr>
        <w:t xml:space="preserve">          </w:t>
      </w:r>
      <w:r w:rsidR="00974123">
        <w:rPr>
          <w:rFonts w:cs="Times New Roman"/>
          <w:caps/>
          <w:color w:val="000000"/>
          <w:szCs w:val="24"/>
        </w:rPr>
        <w:t xml:space="preserve">Date </w:t>
      </w:r>
      <w:r w:rsidR="00974123" w:rsidRPr="001F29F9">
        <w:rPr>
          <w:rFonts w:cs="Times New Roman"/>
          <w:caps/>
          <w:color w:val="000000"/>
          <w:szCs w:val="24"/>
        </w:rPr>
        <w:t xml:space="preserve">of Permanent </w:t>
      </w:r>
      <w:r w:rsidR="00974123" w:rsidRPr="001F29F9">
        <w:rPr>
          <w:rFonts w:cs="Times New Roman"/>
          <w:color w:val="000000"/>
          <w:szCs w:val="24"/>
        </w:rPr>
        <w:t xml:space="preserve">SEPARATION:  </w:t>
      </w:r>
      <w:r w:rsidR="00974123" w:rsidRPr="001F29F9">
        <w:rPr>
          <w:color w:val="000000"/>
        </w:rPr>
        <w:t>200</w:t>
      </w:r>
      <w:r w:rsidR="00974123">
        <w:rPr>
          <w:color w:val="000000"/>
        </w:rPr>
        <w:t>70821</w:t>
      </w:r>
    </w:p>
    <w:p w:rsidR="003C2E7A" w:rsidRPr="00F44E31" w:rsidRDefault="003C2E7A" w:rsidP="003C2E7A">
      <w:pPr>
        <w:pBdr>
          <w:bottom w:val="single" w:sz="12" w:space="1" w:color="auto"/>
        </w:pBdr>
        <w:tabs>
          <w:tab w:val="left" w:pos="288"/>
          <w:tab w:val="left" w:pos="4752"/>
        </w:tabs>
        <w:jc w:val="both"/>
        <w:rPr>
          <w:color w:val="000000"/>
        </w:rPr>
      </w:pPr>
    </w:p>
    <w:p w:rsidR="003C2E7A" w:rsidRPr="00F44E31" w:rsidRDefault="003C2E7A" w:rsidP="003C2E7A">
      <w:pPr>
        <w:tabs>
          <w:tab w:val="left" w:pos="288"/>
          <w:tab w:val="left" w:pos="4752"/>
        </w:tabs>
        <w:jc w:val="both"/>
        <w:rPr>
          <w:color w:val="000000"/>
        </w:rPr>
      </w:pPr>
    </w:p>
    <w:p w:rsidR="004174F0" w:rsidRPr="00F44E31" w:rsidRDefault="00FB0E80" w:rsidP="00A74452">
      <w:pPr>
        <w:tabs>
          <w:tab w:val="left" w:pos="288"/>
          <w:tab w:val="left" w:pos="4752"/>
        </w:tabs>
        <w:jc w:val="both"/>
        <w:rPr>
          <w:color w:val="000000"/>
        </w:rPr>
      </w:pPr>
      <w:r w:rsidRPr="001266B5">
        <w:rPr>
          <w:color w:val="000000"/>
          <w:u w:val="single"/>
        </w:rPr>
        <w:t>SUMMARY OF CASE</w:t>
      </w:r>
      <w:r w:rsidRPr="001266B5">
        <w:rPr>
          <w:color w:val="000000"/>
        </w:rPr>
        <w:t xml:space="preserve">:  </w:t>
      </w:r>
      <w:r w:rsidR="009759C2" w:rsidRPr="001266B5">
        <w:rPr>
          <w:color w:val="000000"/>
        </w:rPr>
        <w:t>Data extracted from the available evidence of record reflects that this covered individual (CI)</w:t>
      </w:r>
      <w:r w:rsidR="00570754" w:rsidRPr="001266B5">
        <w:rPr>
          <w:color w:val="000000"/>
        </w:rPr>
        <w:t xml:space="preserve"> </w:t>
      </w:r>
      <w:r w:rsidR="002C6E5B" w:rsidRPr="001266B5">
        <w:rPr>
          <w:color w:val="000000"/>
          <w:szCs w:val="24"/>
        </w:rPr>
        <w:t xml:space="preserve">was </w:t>
      </w:r>
      <w:r w:rsidR="00E322F7" w:rsidRPr="001266B5">
        <w:rPr>
          <w:color w:val="000000"/>
          <w:szCs w:val="24"/>
        </w:rPr>
        <w:t>an active duty</w:t>
      </w:r>
      <w:r w:rsidR="006D4E0E" w:rsidRPr="001266B5">
        <w:rPr>
          <w:color w:val="000000"/>
          <w:szCs w:val="24"/>
        </w:rPr>
        <w:t xml:space="preserve"> </w:t>
      </w:r>
      <w:r w:rsidR="002E15DE" w:rsidRPr="001266B5">
        <w:rPr>
          <w:color w:val="000000"/>
          <w:szCs w:val="24"/>
        </w:rPr>
        <w:t>AO1</w:t>
      </w:r>
      <w:r w:rsidR="00661BA2" w:rsidRPr="001266B5">
        <w:rPr>
          <w:color w:val="000000"/>
          <w:szCs w:val="24"/>
        </w:rPr>
        <w:t>/E-</w:t>
      </w:r>
      <w:r w:rsidR="002E15DE" w:rsidRPr="001266B5">
        <w:rPr>
          <w:color w:val="000000"/>
          <w:szCs w:val="24"/>
        </w:rPr>
        <w:t>6</w:t>
      </w:r>
      <w:r w:rsidR="00705C40" w:rsidRPr="001266B5">
        <w:rPr>
          <w:color w:val="000000"/>
          <w:szCs w:val="24"/>
        </w:rPr>
        <w:t xml:space="preserve"> (</w:t>
      </w:r>
      <w:r w:rsidR="00C47FB4">
        <w:rPr>
          <w:color w:val="000000"/>
          <w:szCs w:val="24"/>
        </w:rPr>
        <w:t>8342</w:t>
      </w:r>
      <w:r w:rsidR="003E0864" w:rsidRPr="001266B5">
        <w:rPr>
          <w:color w:val="000000"/>
          <w:szCs w:val="24"/>
        </w:rPr>
        <w:t>–F/A-18</w:t>
      </w:r>
      <w:r w:rsidR="00C47FB4">
        <w:rPr>
          <w:color w:val="000000"/>
          <w:szCs w:val="24"/>
        </w:rPr>
        <w:t xml:space="preserve"> </w:t>
      </w:r>
      <w:r w:rsidR="00FA5041" w:rsidRPr="001266B5">
        <w:rPr>
          <w:color w:val="000000"/>
          <w:szCs w:val="24"/>
        </w:rPr>
        <w:t>Systems Organizational Maintenance Technician</w:t>
      </w:r>
      <w:r w:rsidR="00E322F7" w:rsidRPr="001266B5">
        <w:rPr>
          <w:color w:val="000000"/>
          <w:szCs w:val="24"/>
        </w:rPr>
        <w:t>)</w:t>
      </w:r>
      <w:r w:rsidR="00C75F3D" w:rsidRPr="001266B5">
        <w:rPr>
          <w:color w:val="000000"/>
          <w:szCs w:val="24"/>
        </w:rPr>
        <w:t xml:space="preserve">, </w:t>
      </w:r>
      <w:r w:rsidR="002C6E5B" w:rsidRPr="001266B5">
        <w:rPr>
          <w:color w:val="000000"/>
          <w:szCs w:val="24"/>
        </w:rPr>
        <w:t xml:space="preserve">medically separated for </w:t>
      </w:r>
      <w:r w:rsidR="00FA5041" w:rsidRPr="001266B5">
        <w:rPr>
          <w:color w:val="000000"/>
          <w:szCs w:val="24"/>
        </w:rPr>
        <w:t>diabetes mellitus type II with fair amount of insulin resistance</w:t>
      </w:r>
      <w:r w:rsidR="00C75F3D" w:rsidRPr="001266B5">
        <w:rPr>
          <w:color w:val="000000"/>
          <w:szCs w:val="24"/>
        </w:rPr>
        <w:t>.</w:t>
      </w:r>
      <w:r w:rsidR="008A1D2B">
        <w:rPr>
          <w:color w:val="000000"/>
          <w:szCs w:val="24"/>
        </w:rPr>
        <w:t xml:space="preserve">  The requirement for insulin was disqualifying </w:t>
      </w:r>
      <w:r w:rsidR="00DE4D9E">
        <w:rPr>
          <w:color w:val="000000"/>
          <w:szCs w:val="24"/>
        </w:rPr>
        <w:t xml:space="preserve">for </w:t>
      </w:r>
      <w:r w:rsidR="008A1D2B">
        <w:rPr>
          <w:color w:val="000000"/>
          <w:szCs w:val="24"/>
        </w:rPr>
        <w:t xml:space="preserve">continued </w:t>
      </w:r>
      <w:proofErr w:type="gramStart"/>
      <w:r w:rsidR="008A1D2B">
        <w:rPr>
          <w:color w:val="000000"/>
          <w:szCs w:val="24"/>
        </w:rPr>
        <w:t>Naval</w:t>
      </w:r>
      <w:proofErr w:type="gramEnd"/>
      <w:r w:rsidR="008A1D2B">
        <w:rPr>
          <w:color w:val="000000"/>
          <w:szCs w:val="24"/>
        </w:rPr>
        <w:t xml:space="preserve"> service and the CI </w:t>
      </w:r>
      <w:r w:rsidR="00E65A00" w:rsidRPr="001266B5">
        <w:rPr>
          <w:color w:val="000000"/>
          <w:szCs w:val="24"/>
        </w:rPr>
        <w:t xml:space="preserve">was </w:t>
      </w:r>
      <w:r w:rsidR="00643C8F" w:rsidRPr="001266B5">
        <w:rPr>
          <w:color w:val="000000"/>
          <w:szCs w:val="24"/>
        </w:rPr>
        <w:t xml:space="preserve">placed on limited duty </w:t>
      </w:r>
      <w:r w:rsidR="00C63DFB">
        <w:rPr>
          <w:color w:val="000000"/>
          <w:szCs w:val="24"/>
        </w:rPr>
        <w:t xml:space="preserve">(LIMDU) </w:t>
      </w:r>
      <w:r w:rsidR="00643C8F" w:rsidRPr="001266B5">
        <w:rPr>
          <w:color w:val="000000"/>
          <w:szCs w:val="24"/>
        </w:rPr>
        <w:t xml:space="preserve">and </w:t>
      </w:r>
      <w:r w:rsidR="008A1D2B">
        <w:rPr>
          <w:color w:val="000000"/>
          <w:szCs w:val="24"/>
        </w:rPr>
        <w:t xml:space="preserve">referred for </w:t>
      </w:r>
      <w:r w:rsidR="00DE4D9E">
        <w:rPr>
          <w:color w:val="000000"/>
          <w:szCs w:val="24"/>
        </w:rPr>
        <w:t xml:space="preserve">a </w:t>
      </w:r>
      <w:r w:rsidR="00643C8F" w:rsidRPr="001266B5">
        <w:rPr>
          <w:color w:val="000000"/>
          <w:szCs w:val="24"/>
        </w:rPr>
        <w:t>Medical Evaluation Board (MEB).</w:t>
      </w:r>
      <w:r w:rsidR="00E65A00" w:rsidRPr="001266B5">
        <w:rPr>
          <w:color w:val="000000"/>
          <w:szCs w:val="24"/>
        </w:rPr>
        <w:t xml:space="preserve">  </w:t>
      </w:r>
      <w:r w:rsidR="00A90CAC" w:rsidRPr="001266B5">
        <w:rPr>
          <w:color w:val="000000"/>
          <w:szCs w:val="24"/>
        </w:rPr>
        <w:t xml:space="preserve">Diabetes mellitus type II </w:t>
      </w:r>
      <w:r w:rsidR="000A33C8" w:rsidRPr="001266B5">
        <w:rPr>
          <w:color w:val="000000"/>
          <w:szCs w:val="24"/>
        </w:rPr>
        <w:t>w</w:t>
      </w:r>
      <w:r w:rsidR="00A90CAC" w:rsidRPr="001266B5">
        <w:rPr>
          <w:color w:val="000000"/>
          <w:szCs w:val="24"/>
        </w:rPr>
        <w:t>as</w:t>
      </w:r>
      <w:r w:rsidR="000A33C8" w:rsidRPr="001266B5">
        <w:rPr>
          <w:color w:val="000000"/>
          <w:szCs w:val="24"/>
        </w:rPr>
        <w:t xml:space="preserve"> forwarded to the Physical Evaluation Board (PEB) as medically unacceptable IAW </w:t>
      </w:r>
      <w:r w:rsidR="00AB1F8D" w:rsidRPr="001266B5">
        <w:rPr>
          <w:color w:val="000000"/>
          <w:szCs w:val="24"/>
        </w:rPr>
        <w:t>SECNAVINST 1850.4E</w:t>
      </w:r>
      <w:r w:rsidR="00F60879">
        <w:rPr>
          <w:color w:val="000000"/>
          <w:szCs w:val="24"/>
        </w:rPr>
        <w:t xml:space="preserve">.  </w:t>
      </w:r>
      <w:r w:rsidR="001A5E62" w:rsidRPr="001266B5">
        <w:rPr>
          <w:color w:val="000000"/>
          <w:szCs w:val="24"/>
        </w:rPr>
        <w:t xml:space="preserve">No other conditions </w:t>
      </w:r>
      <w:r w:rsidR="001A5E62" w:rsidRPr="00F44E31">
        <w:rPr>
          <w:color w:val="000000"/>
          <w:szCs w:val="24"/>
        </w:rPr>
        <w:t>appeared on the MEB’s submission.</w:t>
      </w:r>
      <w:r w:rsidR="008A1D2B">
        <w:rPr>
          <w:color w:val="000000"/>
          <w:szCs w:val="24"/>
        </w:rPr>
        <w:t xml:space="preserve">  </w:t>
      </w:r>
      <w:r w:rsidR="00842BAA" w:rsidRPr="00F44E31">
        <w:rPr>
          <w:color w:val="000000"/>
          <w:szCs w:val="24"/>
        </w:rPr>
        <w:t xml:space="preserve">The PEB adjudicated the </w:t>
      </w:r>
      <w:r w:rsidR="0065114B" w:rsidRPr="00F44E31">
        <w:rPr>
          <w:color w:val="000000"/>
          <w:szCs w:val="24"/>
        </w:rPr>
        <w:t xml:space="preserve">diabetes mellitus type II with fair amount of insulin resistance </w:t>
      </w:r>
      <w:r w:rsidR="00842BAA" w:rsidRPr="00F44E31">
        <w:rPr>
          <w:color w:val="000000"/>
          <w:szCs w:val="24"/>
        </w:rPr>
        <w:t>condition as unfitting,</w:t>
      </w:r>
      <w:r w:rsidR="003C2E7A">
        <w:rPr>
          <w:color w:val="000000"/>
          <w:szCs w:val="24"/>
        </w:rPr>
        <w:t xml:space="preserve"> adjudicated a 40% rating </w:t>
      </w:r>
      <w:r w:rsidR="008A1D2B">
        <w:rPr>
          <w:color w:val="000000"/>
          <w:szCs w:val="24"/>
        </w:rPr>
        <w:t xml:space="preserve">with likely </w:t>
      </w:r>
      <w:r w:rsidR="008A1D2B" w:rsidRPr="00F44E31">
        <w:rPr>
          <w:color w:val="000000"/>
          <w:szCs w:val="24"/>
        </w:rPr>
        <w:t>application of SECNAVINST 1850.4E</w:t>
      </w:r>
      <w:r w:rsidR="008A1D2B">
        <w:rPr>
          <w:color w:val="000000"/>
          <w:szCs w:val="24"/>
        </w:rPr>
        <w:t xml:space="preserve">, </w:t>
      </w:r>
      <w:r w:rsidR="003C2E7A">
        <w:rPr>
          <w:color w:val="000000"/>
          <w:szCs w:val="24"/>
        </w:rPr>
        <w:t>and placed the CI on the Temporary Disability Retired List.</w:t>
      </w:r>
      <w:r w:rsidR="00DE4D9E">
        <w:rPr>
          <w:color w:val="000000"/>
          <w:szCs w:val="24"/>
        </w:rPr>
        <w:t xml:space="preserve">  The </w:t>
      </w:r>
      <w:r w:rsidR="008A1D2B">
        <w:rPr>
          <w:color w:val="000000"/>
          <w:szCs w:val="24"/>
        </w:rPr>
        <w:t xml:space="preserve">PEB noted the CI was a candidate for permanent limited duty but apparently this was not approved.  After approximately 17 months on the TDRL, the CI was reevaluated.  The PEB concluded the diabetes condition remained unfitting, and adjudicated </w:t>
      </w:r>
      <w:r w:rsidR="009F28EB">
        <w:rPr>
          <w:color w:val="000000"/>
          <w:szCs w:val="24"/>
        </w:rPr>
        <w:t>a</w:t>
      </w:r>
      <w:r w:rsidR="008A1D2B">
        <w:rPr>
          <w:color w:val="000000"/>
          <w:szCs w:val="24"/>
        </w:rPr>
        <w:t xml:space="preserve"> 20% rating with application of the </w:t>
      </w:r>
      <w:r w:rsidR="00842BAA" w:rsidRPr="00F44E31">
        <w:rPr>
          <w:color w:val="000000"/>
          <w:szCs w:val="24"/>
        </w:rPr>
        <w:t>Veterans Administration Schedule for Rating Disabilities (VASRD).</w:t>
      </w:r>
      <w:r w:rsidR="003C11D1" w:rsidRPr="00F44E31">
        <w:rPr>
          <w:color w:val="000000"/>
          <w:szCs w:val="24"/>
        </w:rPr>
        <w:t xml:space="preserve"> </w:t>
      </w:r>
      <w:r w:rsidR="008A1D2B">
        <w:rPr>
          <w:color w:val="000000"/>
          <w:szCs w:val="24"/>
        </w:rPr>
        <w:t xml:space="preserve"> </w:t>
      </w:r>
      <w:r w:rsidR="00B20624" w:rsidRPr="00F44E31">
        <w:rPr>
          <w:color w:val="000000"/>
        </w:rPr>
        <w:t xml:space="preserve">The CI </w:t>
      </w:r>
      <w:r w:rsidR="00190E48" w:rsidRPr="00F44E31">
        <w:rPr>
          <w:color w:val="000000"/>
        </w:rPr>
        <w:t xml:space="preserve">made no appeals, </w:t>
      </w:r>
      <w:r w:rsidR="00B20624" w:rsidRPr="00F44E31">
        <w:rPr>
          <w:color w:val="000000"/>
        </w:rPr>
        <w:t xml:space="preserve">and was medically separated with </w:t>
      </w:r>
      <w:r w:rsidR="00DB5431" w:rsidRPr="00F44E31">
        <w:rPr>
          <w:color w:val="000000"/>
        </w:rPr>
        <w:t>20</w:t>
      </w:r>
      <w:r w:rsidR="00B20624" w:rsidRPr="00F44E31">
        <w:rPr>
          <w:color w:val="000000"/>
        </w:rPr>
        <w:t xml:space="preserve">% </w:t>
      </w:r>
      <w:r w:rsidR="00A74452">
        <w:rPr>
          <w:color w:val="000000"/>
        </w:rPr>
        <w:t>disability</w:t>
      </w:r>
      <w:r w:rsidR="00B20624" w:rsidRPr="00F44E31">
        <w:rPr>
          <w:color w:val="000000"/>
        </w:rPr>
        <w:t>.</w:t>
      </w:r>
    </w:p>
    <w:p w:rsidR="00221154" w:rsidRPr="00F44E31" w:rsidRDefault="00221154" w:rsidP="00BF0E94">
      <w:pPr>
        <w:pBdr>
          <w:bottom w:val="single" w:sz="12" w:space="1" w:color="auto"/>
        </w:pBdr>
        <w:tabs>
          <w:tab w:val="left" w:pos="288"/>
          <w:tab w:val="left" w:pos="4752"/>
        </w:tabs>
        <w:jc w:val="both"/>
        <w:rPr>
          <w:color w:val="000000"/>
        </w:rPr>
      </w:pPr>
    </w:p>
    <w:p w:rsidR="004174F0" w:rsidRPr="00F44E31" w:rsidRDefault="004174F0" w:rsidP="00BF0E94">
      <w:pPr>
        <w:tabs>
          <w:tab w:val="left" w:pos="288"/>
          <w:tab w:val="left" w:pos="4752"/>
        </w:tabs>
        <w:jc w:val="both"/>
        <w:rPr>
          <w:color w:val="000000"/>
        </w:rPr>
      </w:pPr>
    </w:p>
    <w:p w:rsidR="00ED5284" w:rsidRPr="00A74452" w:rsidRDefault="002C6E5B" w:rsidP="00BF0E94">
      <w:pPr>
        <w:tabs>
          <w:tab w:val="left" w:pos="288"/>
          <w:tab w:val="left" w:pos="4752"/>
        </w:tabs>
        <w:jc w:val="both"/>
        <w:rPr>
          <w:color w:val="000000"/>
        </w:rPr>
      </w:pPr>
      <w:r w:rsidRPr="00F44E31">
        <w:rPr>
          <w:color w:val="000000"/>
          <w:u w:val="single"/>
        </w:rPr>
        <w:t>CI CONTENTION</w:t>
      </w:r>
      <w:r w:rsidRPr="00F44E31">
        <w:rPr>
          <w:color w:val="000000"/>
        </w:rPr>
        <w:t>:</w:t>
      </w:r>
      <w:r w:rsidR="00DB5431" w:rsidRPr="00F44E31">
        <w:rPr>
          <w:color w:val="000000"/>
        </w:rPr>
        <w:t xml:space="preserve">  “</w:t>
      </w:r>
      <w:r w:rsidR="008F0AFE" w:rsidRPr="00F44E31">
        <w:rPr>
          <w:color w:val="000000"/>
        </w:rPr>
        <w:t>UNFORTUNELLY DUE TO RECEI</w:t>
      </w:r>
      <w:r w:rsidR="00DB5431" w:rsidRPr="00F44E31">
        <w:rPr>
          <w:color w:val="000000"/>
        </w:rPr>
        <w:t xml:space="preserve">VING MISINFORMATION OF </w:t>
      </w:r>
      <w:r w:rsidR="00B17A4A" w:rsidRPr="00F44E31">
        <w:rPr>
          <w:color w:val="000000"/>
        </w:rPr>
        <w:t>AN</w:t>
      </w:r>
      <w:r w:rsidR="00DB5431" w:rsidRPr="00F44E31">
        <w:rPr>
          <w:color w:val="000000"/>
        </w:rPr>
        <w:t xml:space="preserve"> INFORMAL MEDICAL BOARDS OF 19 YEARS 7 MONTHS OF SERVICE. </w:t>
      </w:r>
      <w:r w:rsidR="008F0AFE" w:rsidRPr="00F44E31">
        <w:rPr>
          <w:color w:val="000000"/>
        </w:rPr>
        <w:t xml:space="preserve"> </w:t>
      </w:r>
      <w:r w:rsidR="00DB5431" w:rsidRPr="00F44E31">
        <w:rPr>
          <w:color w:val="000000"/>
        </w:rPr>
        <w:t xml:space="preserve">I WAS INFORMED I WILL BE ABLE TO MAINTAIN DEERS CERTIFICATION FOR LIFE &amp; FAMILY MEMBERS TO MAINTAIN ID CARD. </w:t>
      </w:r>
      <w:r w:rsidR="008F0AFE" w:rsidRPr="00F44E31">
        <w:rPr>
          <w:color w:val="000000"/>
        </w:rPr>
        <w:t xml:space="preserve"> </w:t>
      </w:r>
      <w:r w:rsidR="00E13AEA" w:rsidRPr="00F44E31">
        <w:rPr>
          <w:color w:val="000000"/>
        </w:rPr>
        <w:t>CONQUENTLY I WAS SEPARATED WI</w:t>
      </w:r>
      <w:r w:rsidR="00DB5431" w:rsidRPr="00F44E31">
        <w:rPr>
          <w:color w:val="000000"/>
        </w:rPr>
        <w:t xml:space="preserve">TH SERVERANCE FROM TDRL AT 20% </w:t>
      </w:r>
      <w:r w:rsidR="008F0AFE" w:rsidRPr="00F44E31">
        <w:rPr>
          <w:color w:val="000000"/>
        </w:rPr>
        <w:t>DUE</w:t>
      </w:r>
      <w:r w:rsidR="00DB5431" w:rsidRPr="00F44E31">
        <w:rPr>
          <w:color w:val="000000"/>
        </w:rPr>
        <w:t xml:space="preserve"> TO MISINFORMATION.”</w:t>
      </w:r>
    </w:p>
    <w:p w:rsidR="004174F0" w:rsidRPr="00F44E31" w:rsidRDefault="004174F0" w:rsidP="00BF0E94">
      <w:pPr>
        <w:pBdr>
          <w:bottom w:val="single" w:sz="12" w:space="1" w:color="auto"/>
        </w:pBdr>
        <w:tabs>
          <w:tab w:val="left" w:pos="288"/>
          <w:tab w:val="left" w:pos="4752"/>
        </w:tabs>
        <w:jc w:val="both"/>
        <w:rPr>
          <w:color w:val="000000"/>
        </w:rPr>
      </w:pPr>
    </w:p>
    <w:p w:rsidR="008A1D2B" w:rsidRDefault="008A1D2B">
      <w:pPr>
        <w:spacing w:line="240" w:lineRule="auto"/>
        <w:jc w:val="left"/>
        <w:rPr>
          <w:color w:val="000000"/>
          <w:u w:val="single"/>
        </w:rPr>
      </w:pPr>
    </w:p>
    <w:p w:rsidR="00F22456" w:rsidRPr="00C566C9" w:rsidRDefault="00F22456" w:rsidP="00F22456">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C63DFB">
        <w:rPr>
          <w:color w:val="auto"/>
        </w:rPr>
        <w:t>.</w:t>
      </w:r>
      <w:r w:rsidRPr="00C566C9">
        <w:rPr>
          <w:color w:val="auto"/>
        </w:rPr>
        <w:t>”</w:t>
      </w:r>
      <w:r>
        <w:rPr>
          <w:color w:val="auto"/>
        </w:rPr>
        <w:t xml:space="preserve">  </w:t>
      </w:r>
      <w:r w:rsidRPr="009239C0">
        <w:rPr>
          <w:color w:val="auto"/>
        </w:rPr>
        <w:t>The ratings for unfitting conditions will be reviewed in all cases.</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C73FB7">
        <w:rPr>
          <w:color w:val="auto"/>
        </w:rPr>
        <w:t>the Board for Correction of Naval Records (BCNR).</w:t>
      </w:r>
    </w:p>
    <w:p w:rsidR="00F22456" w:rsidRPr="00F64312" w:rsidRDefault="00F22456" w:rsidP="00F22456">
      <w:pPr>
        <w:pBdr>
          <w:bottom w:val="single" w:sz="12" w:space="1" w:color="auto"/>
        </w:pBdr>
        <w:tabs>
          <w:tab w:val="left" w:pos="288"/>
          <w:tab w:val="left" w:pos="4752"/>
        </w:tabs>
        <w:jc w:val="both"/>
        <w:rPr>
          <w:color w:val="auto"/>
        </w:rPr>
      </w:pPr>
    </w:p>
    <w:p w:rsidR="003C11D1" w:rsidRPr="00F44E31" w:rsidRDefault="003C11D1" w:rsidP="00BF0E94">
      <w:pPr>
        <w:jc w:val="left"/>
        <w:rPr>
          <w:color w:val="000000"/>
          <w:u w:val="single"/>
        </w:rPr>
      </w:pPr>
    </w:p>
    <w:p w:rsidR="001537D8" w:rsidRPr="00F44E31" w:rsidRDefault="007F0AB7" w:rsidP="00BF0E94">
      <w:pPr>
        <w:jc w:val="left"/>
        <w:rPr>
          <w:color w:val="000000"/>
          <w:szCs w:val="24"/>
        </w:rPr>
      </w:pPr>
      <w:r w:rsidRPr="00F44E31">
        <w:rPr>
          <w:color w:val="000000"/>
          <w:szCs w:val="24"/>
          <w:u w:val="single"/>
        </w:rPr>
        <w:t>R</w:t>
      </w:r>
      <w:r w:rsidR="002C6E5B" w:rsidRPr="00F44E31">
        <w:rPr>
          <w:color w:val="000000"/>
          <w:szCs w:val="24"/>
          <w:u w:val="single"/>
        </w:rPr>
        <w:t>ATING COMPARISON</w:t>
      </w:r>
      <w:r w:rsidR="002C6E5B" w:rsidRPr="00F44E31">
        <w:rPr>
          <w:color w:val="000000"/>
          <w:szCs w:val="24"/>
        </w:rPr>
        <w:t>:</w:t>
      </w:r>
    </w:p>
    <w:p w:rsidR="00E57703" w:rsidRPr="00F44E31" w:rsidRDefault="00E57703" w:rsidP="00BF0E94">
      <w:pPr>
        <w:tabs>
          <w:tab w:val="left" w:pos="288"/>
          <w:tab w:val="left" w:pos="4752"/>
        </w:tabs>
        <w:jc w:val="both"/>
        <w:rPr>
          <w:b/>
          <w:color w:val="000000"/>
          <w:szCs w:val="24"/>
          <w:u w:val="single"/>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30"/>
        <w:gridCol w:w="630"/>
        <w:gridCol w:w="629"/>
        <w:gridCol w:w="2341"/>
        <w:gridCol w:w="1080"/>
        <w:gridCol w:w="720"/>
        <w:gridCol w:w="1080"/>
      </w:tblGrid>
      <w:tr w:rsidR="00BF70A6" w:rsidRPr="00F44E31" w:rsidTr="00730CEF">
        <w:trPr>
          <w:trHeight w:val="233"/>
          <w:jc w:val="center"/>
        </w:trPr>
        <w:tc>
          <w:tcPr>
            <w:tcW w:w="4157" w:type="dxa"/>
            <w:gridSpan w:val="4"/>
            <w:tcBorders>
              <w:right w:val="thinThickThinSmallGap" w:sz="24" w:space="0" w:color="auto"/>
            </w:tcBorders>
            <w:shd w:val="clear" w:color="auto" w:fill="D9D9D9"/>
            <w:vAlign w:val="center"/>
          </w:tcPr>
          <w:p w:rsidR="00BF70A6" w:rsidRPr="00F44E31" w:rsidRDefault="00A57C35" w:rsidP="00DF2DF0">
            <w:pPr>
              <w:contextualSpacing/>
              <w:rPr>
                <w:rFonts w:eastAsia="Calibri"/>
                <w:b/>
                <w:color w:val="000000"/>
                <w:sz w:val="18"/>
                <w:szCs w:val="18"/>
              </w:rPr>
            </w:pPr>
            <w:r w:rsidRPr="00F44E31">
              <w:rPr>
                <w:rFonts w:eastAsia="Calibri" w:cs="Times New Roman"/>
                <w:b/>
                <w:color w:val="000000"/>
                <w:sz w:val="18"/>
                <w:szCs w:val="18"/>
              </w:rPr>
              <w:t>Final Service PEB – Dated 200</w:t>
            </w:r>
            <w:r w:rsidR="006A71AE" w:rsidRPr="00F44E31">
              <w:rPr>
                <w:rFonts w:eastAsia="Calibri" w:cs="Times New Roman"/>
                <w:b/>
                <w:color w:val="000000"/>
                <w:sz w:val="18"/>
                <w:szCs w:val="18"/>
              </w:rPr>
              <w:t>70306</w:t>
            </w:r>
          </w:p>
        </w:tc>
        <w:tc>
          <w:tcPr>
            <w:tcW w:w="5221" w:type="dxa"/>
            <w:gridSpan w:val="4"/>
            <w:tcBorders>
              <w:left w:val="thinThickThinSmallGap" w:sz="24" w:space="0" w:color="auto"/>
            </w:tcBorders>
            <w:shd w:val="clear" w:color="auto" w:fill="D9D9D9"/>
            <w:vAlign w:val="center"/>
          </w:tcPr>
          <w:p w:rsidR="00BF70A6" w:rsidRPr="00F44E31" w:rsidRDefault="0079014E" w:rsidP="00632DD7">
            <w:pPr>
              <w:contextualSpacing/>
              <w:rPr>
                <w:rFonts w:eastAsia="Calibri"/>
                <w:b/>
                <w:color w:val="000000"/>
                <w:sz w:val="18"/>
                <w:szCs w:val="18"/>
              </w:rPr>
            </w:pPr>
            <w:r w:rsidRPr="00F44E31">
              <w:rPr>
                <w:rFonts w:eastAsia="Calibri" w:cs="Times New Roman"/>
                <w:b/>
                <w:color w:val="000000"/>
                <w:sz w:val="18"/>
                <w:szCs w:val="18"/>
              </w:rPr>
              <w:t>VA</w:t>
            </w:r>
            <w:r w:rsidR="00A57C35" w:rsidRPr="00F44E31">
              <w:rPr>
                <w:rFonts w:eastAsia="Calibri" w:cs="Times New Roman"/>
                <w:b/>
                <w:color w:val="000000"/>
                <w:sz w:val="18"/>
                <w:szCs w:val="18"/>
              </w:rPr>
              <w:t xml:space="preserve"> – All Effective Date 200</w:t>
            </w:r>
            <w:r w:rsidR="00632DD7" w:rsidRPr="00F44E31">
              <w:rPr>
                <w:rFonts w:eastAsia="Calibri" w:cs="Times New Roman"/>
                <w:b/>
                <w:color w:val="000000"/>
                <w:sz w:val="18"/>
                <w:szCs w:val="18"/>
              </w:rPr>
              <w:t>51001</w:t>
            </w:r>
          </w:p>
        </w:tc>
      </w:tr>
      <w:tr w:rsidR="008902BE" w:rsidRPr="00F44E31" w:rsidTr="008A1D2B">
        <w:trPr>
          <w:trHeight w:val="233"/>
          <w:jc w:val="center"/>
        </w:trPr>
        <w:tc>
          <w:tcPr>
            <w:tcW w:w="2268" w:type="dxa"/>
            <w:tcBorders>
              <w:bottom w:val="single" w:sz="4" w:space="0" w:color="000000"/>
            </w:tcBorders>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Condition</w:t>
            </w:r>
          </w:p>
        </w:tc>
        <w:tc>
          <w:tcPr>
            <w:tcW w:w="630" w:type="dxa"/>
            <w:tcBorders>
              <w:bottom w:val="single" w:sz="4" w:space="0" w:color="000000"/>
            </w:tcBorders>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Code</w:t>
            </w:r>
          </w:p>
        </w:tc>
        <w:tc>
          <w:tcPr>
            <w:tcW w:w="1259" w:type="dxa"/>
            <w:gridSpan w:val="2"/>
            <w:tcBorders>
              <w:bottom w:val="single" w:sz="4" w:space="0" w:color="000000"/>
              <w:right w:val="thinThickThinSmallGap" w:sz="24" w:space="0" w:color="auto"/>
            </w:tcBorders>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Rating</w:t>
            </w:r>
          </w:p>
        </w:tc>
        <w:tc>
          <w:tcPr>
            <w:tcW w:w="2341" w:type="dxa"/>
            <w:vMerge w:val="restart"/>
            <w:tcBorders>
              <w:left w:val="thinThickThinSmallGap" w:sz="24" w:space="0" w:color="auto"/>
            </w:tcBorders>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Condition</w:t>
            </w:r>
          </w:p>
        </w:tc>
        <w:tc>
          <w:tcPr>
            <w:tcW w:w="1080" w:type="dxa"/>
            <w:vMerge w:val="restart"/>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Code</w:t>
            </w:r>
          </w:p>
        </w:tc>
        <w:tc>
          <w:tcPr>
            <w:tcW w:w="720" w:type="dxa"/>
            <w:vMerge w:val="restart"/>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Rating</w:t>
            </w:r>
          </w:p>
        </w:tc>
        <w:tc>
          <w:tcPr>
            <w:tcW w:w="1080" w:type="dxa"/>
            <w:vMerge w:val="restart"/>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Exam</w:t>
            </w:r>
          </w:p>
        </w:tc>
      </w:tr>
      <w:tr w:rsidR="008902BE" w:rsidRPr="00F44E31" w:rsidTr="008A1D2B">
        <w:trPr>
          <w:trHeight w:val="152"/>
          <w:jc w:val="center"/>
        </w:trPr>
        <w:tc>
          <w:tcPr>
            <w:tcW w:w="2268" w:type="dxa"/>
            <w:shd w:val="clear" w:color="auto" w:fill="D9D9D9"/>
            <w:vAlign w:val="center"/>
          </w:tcPr>
          <w:p w:rsidR="008902BE" w:rsidRPr="00F44E31" w:rsidRDefault="00A57C35" w:rsidP="00182565">
            <w:pPr>
              <w:contextualSpacing/>
              <w:rPr>
                <w:rFonts w:eastAsia="Calibri"/>
                <w:b/>
                <w:color w:val="000000"/>
                <w:sz w:val="18"/>
                <w:szCs w:val="18"/>
              </w:rPr>
            </w:pPr>
            <w:r w:rsidRPr="00F44E31">
              <w:rPr>
                <w:rFonts w:eastAsia="Calibri" w:cs="Times New Roman"/>
                <w:b/>
                <w:color w:val="000000"/>
                <w:sz w:val="18"/>
                <w:szCs w:val="18"/>
              </w:rPr>
              <w:t>On TDRL – 200</w:t>
            </w:r>
            <w:r w:rsidR="00182565" w:rsidRPr="00F44E31">
              <w:rPr>
                <w:rFonts w:eastAsia="Calibri" w:cs="Times New Roman"/>
                <w:b/>
                <w:color w:val="000000"/>
                <w:sz w:val="18"/>
                <w:szCs w:val="18"/>
              </w:rPr>
              <w:t>5</w:t>
            </w:r>
            <w:r w:rsidR="00063355" w:rsidRPr="00F44E31">
              <w:rPr>
                <w:rFonts w:eastAsia="Calibri" w:cs="Times New Roman"/>
                <w:b/>
                <w:color w:val="000000"/>
                <w:sz w:val="18"/>
                <w:szCs w:val="18"/>
              </w:rPr>
              <w:t>0930</w:t>
            </w:r>
          </w:p>
        </w:tc>
        <w:tc>
          <w:tcPr>
            <w:tcW w:w="630" w:type="dxa"/>
            <w:shd w:val="clear" w:color="auto" w:fill="D9D9D9"/>
            <w:vAlign w:val="center"/>
          </w:tcPr>
          <w:p w:rsidR="008902BE" w:rsidRPr="00F44E31" w:rsidRDefault="008902BE" w:rsidP="003B5F80">
            <w:pPr>
              <w:contextualSpacing/>
              <w:rPr>
                <w:rFonts w:eastAsia="Calibri"/>
                <w:b/>
                <w:color w:val="000000"/>
                <w:sz w:val="18"/>
                <w:szCs w:val="18"/>
              </w:rPr>
            </w:pPr>
          </w:p>
        </w:tc>
        <w:tc>
          <w:tcPr>
            <w:tcW w:w="630" w:type="dxa"/>
            <w:tcBorders>
              <w:right w:val="single" w:sz="4" w:space="0" w:color="auto"/>
            </w:tcBorders>
            <w:shd w:val="clear" w:color="auto" w:fill="D9D9D9"/>
            <w:vAlign w:val="center"/>
          </w:tcPr>
          <w:p w:rsidR="008902BE" w:rsidRPr="00F44E31" w:rsidRDefault="00A57C35" w:rsidP="003B5F80">
            <w:pPr>
              <w:contextualSpacing/>
              <w:rPr>
                <w:rFonts w:eastAsia="Calibri"/>
                <w:b/>
                <w:color w:val="000000"/>
                <w:sz w:val="18"/>
                <w:szCs w:val="18"/>
              </w:rPr>
            </w:pPr>
            <w:r w:rsidRPr="00F44E31">
              <w:rPr>
                <w:rFonts w:eastAsia="Calibri" w:cs="Times New Roman"/>
                <w:b/>
                <w:color w:val="000000"/>
                <w:sz w:val="18"/>
                <w:szCs w:val="18"/>
              </w:rPr>
              <w:t>TDRL</w:t>
            </w:r>
          </w:p>
        </w:tc>
        <w:tc>
          <w:tcPr>
            <w:tcW w:w="629" w:type="dxa"/>
            <w:tcBorders>
              <w:left w:val="single" w:sz="4" w:space="0" w:color="auto"/>
              <w:right w:val="thinThickThinSmallGap" w:sz="24" w:space="0" w:color="auto"/>
            </w:tcBorders>
            <w:shd w:val="clear" w:color="auto" w:fill="D9D9D9"/>
            <w:vAlign w:val="center"/>
          </w:tcPr>
          <w:p w:rsidR="008902BE" w:rsidRPr="00F44E31" w:rsidRDefault="00A57C35" w:rsidP="003B5F80">
            <w:pPr>
              <w:tabs>
                <w:tab w:val="left" w:pos="206"/>
                <w:tab w:val="center" w:pos="387"/>
              </w:tabs>
              <w:contextualSpacing/>
              <w:rPr>
                <w:rFonts w:eastAsia="Calibri"/>
                <w:b/>
                <w:color w:val="000000"/>
                <w:sz w:val="18"/>
                <w:szCs w:val="18"/>
              </w:rPr>
            </w:pPr>
            <w:r w:rsidRPr="00F44E31">
              <w:rPr>
                <w:rFonts w:eastAsia="Calibri" w:cs="Times New Roman"/>
                <w:b/>
                <w:color w:val="000000"/>
                <w:sz w:val="18"/>
                <w:szCs w:val="18"/>
              </w:rPr>
              <w:t>Sep.</w:t>
            </w:r>
          </w:p>
        </w:tc>
        <w:tc>
          <w:tcPr>
            <w:tcW w:w="2341" w:type="dxa"/>
            <w:vMerge/>
            <w:tcBorders>
              <w:left w:val="thinThickThinSmallGap" w:sz="24" w:space="0" w:color="auto"/>
            </w:tcBorders>
            <w:shd w:val="clear" w:color="auto" w:fill="D9D9D9"/>
            <w:vAlign w:val="center"/>
          </w:tcPr>
          <w:p w:rsidR="008902BE" w:rsidRPr="00F44E31" w:rsidRDefault="008902BE" w:rsidP="003B5F80">
            <w:pPr>
              <w:contextualSpacing/>
              <w:rPr>
                <w:rFonts w:eastAsia="Calibri"/>
                <w:b/>
                <w:color w:val="000000"/>
                <w:sz w:val="18"/>
                <w:szCs w:val="18"/>
              </w:rPr>
            </w:pPr>
          </w:p>
        </w:tc>
        <w:tc>
          <w:tcPr>
            <w:tcW w:w="1080" w:type="dxa"/>
            <w:vMerge/>
            <w:shd w:val="clear" w:color="auto" w:fill="C6D9F1"/>
          </w:tcPr>
          <w:p w:rsidR="008902BE" w:rsidRPr="00F44E31" w:rsidRDefault="008902BE" w:rsidP="003B5F80">
            <w:pPr>
              <w:contextualSpacing/>
              <w:rPr>
                <w:rFonts w:eastAsia="Calibri"/>
                <w:b/>
                <w:color w:val="000000"/>
                <w:sz w:val="18"/>
                <w:szCs w:val="18"/>
              </w:rPr>
            </w:pPr>
          </w:p>
        </w:tc>
        <w:tc>
          <w:tcPr>
            <w:tcW w:w="720" w:type="dxa"/>
            <w:vMerge/>
            <w:shd w:val="clear" w:color="auto" w:fill="C6D9F1"/>
          </w:tcPr>
          <w:p w:rsidR="008902BE" w:rsidRPr="00F44E31" w:rsidRDefault="008902BE" w:rsidP="003B5F80">
            <w:pPr>
              <w:contextualSpacing/>
              <w:rPr>
                <w:rFonts w:eastAsia="Calibri"/>
                <w:b/>
                <w:color w:val="000000"/>
                <w:sz w:val="18"/>
                <w:szCs w:val="18"/>
              </w:rPr>
            </w:pPr>
          </w:p>
        </w:tc>
        <w:tc>
          <w:tcPr>
            <w:tcW w:w="1080" w:type="dxa"/>
            <w:vMerge/>
            <w:shd w:val="clear" w:color="auto" w:fill="C6D9F1"/>
          </w:tcPr>
          <w:p w:rsidR="008902BE" w:rsidRPr="00F44E31" w:rsidRDefault="008902BE" w:rsidP="003B5F80">
            <w:pPr>
              <w:contextualSpacing/>
              <w:rPr>
                <w:rFonts w:eastAsia="Calibri"/>
                <w:b/>
                <w:color w:val="000000"/>
                <w:sz w:val="18"/>
                <w:szCs w:val="18"/>
              </w:rPr>
            </w:pPr>
          </w:p>
        </w:tc>
      </w:tr>
      <w:tr w:rsidR="000D2CFD" w:rsidRPr="00F44E31" w:rsidTr="008A1D2B">
        <w:trPr>
          <w:trHeight w:val="125"/>
          <w:jc w:val="center"/>
        </w:trPr>
        <w:tc>
          <w:tcPr>
            <w:tcW w:w="2268" w:type="dxa"/>
            <w:tcBorders>
              <w:right w:val="single" w:sz="4" w:space="0" w:color="auto"/>
            </w:tcBorders>
            <w:shd w:val="clear" w:color="auto" w:fill="FFFFFF"/>
          </w:tcPr>
          <w:p w:rsidR="00BC5860" w:rsidRPr="00F44E31" w:rsidRDefault="00DF2DF0" w:rsidP="008A1D2B">
            <w:pPr>
              <w:spacing w:line="180" w:lineRule="exact"/>
              <w:contextualSpacing/>
              <w:jc w:val="both"/>
              <w:rPr>
                <w:color w:val="000000"/>
                <w:sz w:val="18"/>
                <w:szCs w:val="18"/>
              </w:rPr>
            </w:pPr>
            <w:r w:rsidRPr="00F44E31">
              <w:rPr>
                <w:color w:val="000000"/>
                <w:sz w:val="18"/>
                <w:szCs w:val="18"/>
              </w:rPr>
              <w:t>Diabetes Mellitus Type</w:t>
            </w:r>
            <w:r w:rsidR="007C31DB" w:rsidRPr="00F44E31">
              <w:rPr>
                <w:color w:val="000000"/>
                <w:sz w:val="18"/>
                <w:szCs w:val="18"/>
              </w:rPr>
              <w:t xml:space="preserve"> II </w:t>
            </w:r>
          </w:p>
        </w:tc>
        <w:tc>
          <w:tcPr>
            <w:tcW w:w="630" w:type="dxa"/>
            <w:tcBorders>
              <w:left w:val="single" w:sz="4" w:space="0" w:color="auto"/>
            </w:tcBorders>
            <w:shd w:val="clear" w:color="auto" w:fill="FFFFFF"/>
            <w:vAlign w:val="center"/>
          </w:tcPr>
          <w:p w:rsidR="00BC5860" w:rsidRPr="00F44E31" w:rsidRDefault="00DF2DF0" w:rsidP="003B5F80">
            <w:pPr>
              <w:spacing w:line="180" w:lineRule="exact"/>
              <w:contextualSpacing/>
              <w:rPr>
                <w:color w:val="000000"/>
                <w:sz w:val="18"/>
                <w:szCs w:val="18"/>
              </w:rPr>
            </w:pPr>
            <w:r w:rsidRPr="00F44E31">
              <w:rPr>
                <w:rFonts w:eastAsia="Calibri"/>
                <w:color w:val="000000"/>
                <w:sz w:val="18"/>
                <w:szCs w:val="18"/>
              </w:rPr>
              <w:t>7913</w:t>
            </w:r>
          </w:p>
        </w:tc>
        <w:tc>
          <w:tcPr>
            <w:tcW w:w="630" w:type="dxa"/>
            <w:tcBorders>
              <w:right w:val="single" w:sz="4" w:space="0" w:color="auto"/>
            </w:tcBorders>
            <w:shd w:val="clear" w:color="auto" w:fill="FFFFFF"/>
            <w:vAlign w:val="center"/>
          </w:tcPr>
          <w:p w:rsidR="00BC5860" w:rsidRPr="00F44E31" w:rsidRDefault="00DF2DF0" w:rsidP="003B5F80">
            <w:pPr>
              <w:spacing w:line="180" w:lineRule="exact"/>
              <w:rPr>
                <w:color w:val="000000"/>
                <w:sz w:val="18"/>
                <w:szCs w:val="18"/>
              </w:rPr>
            </w:pPr>
            <w:r w:rsidRPr="00F44E31">
              <w:rPr>
                <w:rFonts w:eastAsia="Calibri"/>
                <w:color w:val="000000"/>
                <w:sz w:val="18"/>
                <w:szCs w:val="18"/>
              </w:rPr>
              <w:t>40</w:t>
            </w:r>
            <w:r w:rsidR="000D2CFD" w:rsidRPr="00F44E31">
              <w:rPr>
                <w:rFonts w:eastAsia="Calibri"/>
                <w:color w:val="000000"/>
                <w:sz w:val="18"/>
                <w:szCs w:val="18"/>
              </w:rPr>
              <w:t>%</w:t>
            </w:r>
          </w:p>
        </w:tc>
        <w:tc>
          <w:tcPr>
            <w:tcW w:w="629" w:type="dxa"/>
            <w:tcBorders>
              <w:left w:val="single" w:sz="4" w:space="0" w:color="auto"/>
              <w:right w:val="thinThickThinSmallGap" w:sz="24" w:space="0" w:color="auto"/>
            </w:tcBorders>
            <w:shd w:val="clear" w:color="auto" w:fill="FFFFFF"/>
            <w:vAlign w:val="center"/>
          </w:tcPr>
          <w:p w:rsidR="00BC5860" w:rsidRPr="00F44E31" w:rsidRDefault="00DF2DF0" w:rsidP="003B5F80">
            <w:pPr>
              <w:spacing w:line="180" w:lineRule="exact"/>
              <w:rPr>
                <w:color w:val="000000"/>
                <w:sz w:val="18"/>
                <w:szCs w:val="18"/>
              </w:rPr>
            </w:pPr>
            <w:r w:rsidRPr="00F44E31">
              <w:rPr>
                <w:rFonts w:eastAsia="Calibri"/>
                <w:color w:val="000000"/>
                <w:sz w:val="18"/>
                <w:szCs w:val="18"/>
              </w:rPr>
              <w:t>20</w:t>
            </w:r>
            <w:r w:rsidR="000D2CFD" w:rsidRPr="00F44E31">
              <w:rPr>
                <w:rFonts w:eastAsia="Calibri"/>
                <w:color w:val="000000"/>
                <w:sz w:val="18"/>
                <w:szCs w:val="18"/>
              </w:rPr>
              <w:t>%</w:t>
            </w:r>
          </w:p>
        </w:tc>
        <w:tc>
          <w:tcPr>
            <w:tcW w:w="2341" w:type="dxa"/>
            <w:tcBorders>
              <w:left w:val="thinThickThinSmallGap" w:sz="24" w:space="0" w:color="auto"/>
            </w:tcBorders>
            <w:shd w:val="clear" w:color="auto" w:fill="FFFFFF"/>
            <w:vAlign w:val="center"/>
          </w:tcPr>
          <w:p w:rsidR="00BC5860" w:rsidRPr="00F44E31" w:rsidRDefault="00DF2DF0" w:rsidP="005A241C">
            <w:pPr>
              <w:spacing w:line="180" w:lineRule="exact"/>
              <w:contextualSpacing/>
              <w:jc w:val="left"/>
              <w:rPr>
                <w:color w:val="000000"/>
                <w:sz w:val="18"/>
                <w:szCs w:val="18"/>
              </w:rPr>
            </w:pPr>
            <w:r w:rsidRPr="00F44E31">
              <w:rPr>
                <w:rFonts w:eastAsia="Calibri"/>
                <w:color w:val="000000"/>
                <w:sz w:val="18"/>
                <w:szCs w:val="18"/>
              </w:rPr>
              <w:t>Diabetes Mellitus Type II</w:t>
            </w:r>
          </w:p>
        </w:tc>
        <w:tc>
          <w:tcPr>
            <w:tcW w:w="1080" w:type="dxa"/>
            <w:shd w:val="clear" w:color="auto" w:fill="FFFFFF"/>
            <w:vAlign w:val="center"/>
          </w:tcPr>
          <w:p w:rsidR="00BC5860" w:rsidRPr="00F44E31" w:rsidRDefault="00DF2DF0" w:rsidP="00DF2DF0">
            <w:pPr>
              <w:spacing w:line="180" w:lineRule="exact"/>
              <w:contextualSpacing/>
              <w:rPr>
                <w:color w:val="000000"/>
                <w:sz w:val="18"/>
                <w:szCs w:val="18"/>
              </w:rPr>
            </w:pPr>
            <w:r w:rsidRPr="00F44E31">
              <w:rPr>
                <w:rFonts w:eastAsia="Calibri"/>
                <w:color w:val="000000"/>
                <w:sz w:val="18"/>
                <w:szCs w:val="18"/>
              </w:rPr>
              <w:t>7913</w:t>
            </w:r>
          </w:p>
        </w:tc>
        <w:tc>
          <w:tcPr>
            <w:tcW w:w="720" w:type="dxa"/>
            <w:shd w:val="clear" w:color="auto" w:fill="FFFFFF"/>
            <w:vAlign w:val="center"/>
          </w:tcPr>
          <w:p w:rsidR="00BC5860" w:rsidRPr="00F44E31" w:rsidRDefault="00DF2DF0" w:rsidP="003B5F80">
            <w:pPr>
              <w:spacing w:line="180" w:lineRule="exact"/>
              <w:contextualSpacing/>
              <w:rPr>
                <w:color w:val="000000"/>
                <w:sz w:val="18"/>
                <w:szCs w:val="18"/>
              </w:rPr>
            </w:pPr>
            <w:r w:rsidRPr="00F44E31">
              <w:rPr>
                <w:rFonts w:eastAsia="Calibri"/>
                <w:color w:val="000000"/>
                <w:sz w:val="18"/>
                <w:szCs w:val="18"/>
              </w:rPr>
              <w:t>40</w:t>
            </w:r>
            <w:r w:rsidR="000D2CFD" w:rsidRPr="00F44E31">
              <w:rPr>
                <w:rFonts w:eastAsia="Calibri"/>
                <w:color w:val="000000"/>
                <w:sz w:val="18"/>
                <w:szCs w:val="18"/>
              </w:rPr>
              <w:t>%</w:t>
            </w:r>
          </w:p>
        </w:tc>
        <w:tc>
          <w:tcPr>
            <w:tcW w:w="1080" w:type="dxa"/>
            <w:shd w:val="clear" w:color="auto" w:fill="FFFFFF"/>
            <w:vAlign w:val="center"/>
          </w:tcPr>
          <w:p w:rsidR="00BC5860" w:rsidRPr="00F44E31" w:rsidRDefault="006A6262" w:rsidP="008A1D2B">
            <w:pPr>
              <w:spacing w:line="180" w:lineRule="exact"/>
              <w:contextualSpacing/>
              <w:rPr>
                <w:color w:val="000000"/>
                <w:sz w:val="18"/>
                <w:szCs w:val="18"/>
              </w:rPr>
            </w:pPr>
            <w:r w:rsidRPr="00F44E31">
              <w:rPr>
                <w:rFonts w:eastAsia="Calibri"/>
                <w:color w:val="000000"/>
                <w:sz w:val="18"/>
                <w:szCs w:val="18"/>
              </w:rPr>
              <w:t>20060712</w:t>
            </w:r>
          </w:p>
        </w:tc>
      </w:tr>
      <w:tr w:rsidR="00182565" w:rsidRPr="00F44E31" w:rsidTr="008A1D2B">
        <w:trPr>
          <w:trHeight w:val="125"/>
          <w:jc w:val="center"/>
        </w:trPr>
        <w:tc>
          <w:tcPr>
            <w:tcW w:w="4157" w:type="dxa"/>
            <w:gridSpan w:val="4"/>
            <w:vMerge w:val="restart"/>
            <w:tcBorders>
              <w:right w:val="thinThickThinSmallGap" w:sz="24" w:space="0" w:color="auto"/>
            </w:tcBorders>
            <w:shd w:val="clear" w:color="auto" w:fill="FFFFFF"/>
            <w:vAlign w:val="center"/>
          </w:tcPr>
          <w:p w:rsidR="00182565" w:rsidRPr="00F44E31" w:rsidRDefault="00182565" w:rsidP="00B801AA">
            <w:pPr>
              <w:spacing w:line="180" w:lineRule="exact"/>
              <w:contextualSpacing/>
              <w:rPr>
                <w:color w:val="000000"/>
                <w:sz w:val="18"/>
                <w:szCs w:val="18"/>
              </w:rPr>
            </w:pPr>
            <w:r w:rsidRPr="00F44E31">
              <w:rPr>
                <w:rFonts w:eastAsia="Calibri"/>
                <w:color w:val="000000"/>
                <w:sz w:val="18"/>
                <w:szCs w:val="18"/>
              </w:rPr>
              <w:t>↓No Additional MEB/PEB Entries↓</w:t>
            </w:r>
          </w:p>
        </w:tc>
        <w:tc>
          <w:tcPr>
            <w:tcW w:w="2341" w:type="dxa"/>
            <w:tcBorders>
              <w:left w:val="thinThickThinSmallGap" w:sz="24" w:space="0" w:color="auto"/>
            </w:tcBorders>
            <w:shd w:val="clear" w:color="auto" w:fill="FFFFFF"/>
          </w:tcPr>
          <w:p w:rsidR="00182565" w:rsidRPr="00F44E31" w:rsidRDefault="007C31DB" w:rsidP="008A1D2B">
            <w:pPr>
              <w:spacing w:line="180" w:lineRule="exact"/>
              <w:contextualSpacing/>
              <w:jc w:val="both"/>
              <w:rPr>
                <w:color w:val="000000"/>
                <w:sz w:val="18"/>
                <w:szCs w:val="18"/>
              </w:rPr>
            </w:pPr>
            <w:r w:rsidRPr="00F44E31">
              <w:rPr>
                <w:rFonts w:eastAsia="Calibri"/>
                <w:color w:val="000000"/>
                <w:sz w:val="18"/>
                <w:szCs w:val="18"/>
              </w:rPr>
              <w:t>Eczema</w:t>
            </w:r>
            <w:r w:rsidR="008A1D2B">
              <w:rPr>
                <w:rFonts w:eastAsia="Calibri"/>
                <w:color w:val="000000"/>
                <w:sz w:val="18"/>
                <w:szCs w:val="18"/>
              </w:rPr>
              <w:t>,</w:t>
            </w:r>
            <w:r w:rsidRPr="00F44E31">
              <w:rPr>
                <w:rFonts w:eastAsia="Calibri"/>
                <w:color w:val="000000"/>
                <w:sz w:val="18"/>
                <w:szCs w:val="18"/>
              </w:rPr>
              <w:t xml:space="preserve"> </w:t>
            </w:r>
            <w:r w:rsidR="00182565" w:rsidRPr="00F44E31">
              <w:rPr>
                <w:rFonts w:eastAsia="Calibri"/>
                <w:color w:val="000000"/>
                <w:sz w:val="18"/>
                <w:szCs w:val="18"/>
              </w:rPr>
              <w:t>Back and Neck</w:t>
            </w:r>
          </w:p>
        </w:tc>
        <w:tc>
          <w:tcPr>
            <w:tcW w:w="1080" w:type="dxa"/>
            <w:shd w:val="clear" w:color="auto" w:fill="FFFFFF"/>
            <w:vAlign w:val="center"/>
          </w:tcPr>
          <w:p w:rsidR="00182565" w:rsidRPr="00F44E31" w:rsidRDefault="00182565" w:rsidP="003B5F80">
            <w:pPr>
              <w:spacing w:line="180" w:lineRule="exact"/>
              <w:contextualSpacing/>
              <w:rPr>
                <w:color w:val="000000"/>
                <w:sz w:val="18"/>
                <w:szCs w:val="18"/>
              </w:rPr>
            </w:pPr>
            <w:r w:rsidRPr="00F44E31">
              <w:rPr>
                <w:rFonts w:eastAsia="Calibri"/>
                <w:color w:val="000000"/>
                <w:sz w:val="18"/>
                <w:szCs w:val="18"/>
              </w:rPr>
              <w:t>7806</w:t>
            </w:r>
          </w:p>
        </w:tc>
        <w:tc>
          <w:tcPr>
            <w:tcW w:w="720" w:type="dxa"/>
            <w:shd w:val="clear" w:color="auto" w:fill="FFFFFF"/>
            <w:vAlign w:val="center"/>
          </w:tcPr>
          <w:p w:rsidR="00182565" w:rsidRPr="00F44E31" w:rsidRDefault="00182565" w:rsidP="00DF2DF0">
            <w:pPr>
              <w:spacing w:line="180" w:lineRule="exact"/>
              <w:contextualSpacing/>
              <w:rPr>
                <w:color w:val="000000"/>
                <w:sz w:val="18"/>
                <w:szCs w:val="18"/>
              </w:rPr>
            </w:pPr>
            <w:r w:rsidRPr="00F44E31">
              <w:rPr>
                <w:rFonts w:eastAsia="Calibri"/>
                <w:color w:val="000000"/>
                <w:sz w:val="18"/>
                <w:szCs w:val="18"/>
              </w:rPr>
              <w:t>10%</w:t>
            </w:r>
          </w:p>
        </w:tc>
        <w:tc>
          <w:tcPr>
            <w:tcW w:w="1080" w:type="dxa"/>
            <w:shd w:val="clear" w:color="auto" w:fill="FFFFFF"/>
            <w:vAlign w:val="center"/>
          </w:tcPr>
          <w:p w:rsidR="00182565" w:rsidRPr="00F44E31" w:rsidRDefault="00632DD7" w:rsidP="003B5F80">
            <w:pPr>
              <w:spacing w:line="180" w:lineRule="exact"/>
              <w:contextualSpacing/>
              <w:rPr>
                <w:color w:val="000000"/>
                <w:sz w:val="18"/>
                <w:szCs w:val="18"/>
              </w:rPr>
            </w:pPr>
            <w:r w:rsidRPr="00F44E31">
              <w:rPr>
                <w:rFonts w:eastAsia="Calibri"/>
                <w:color w:val="000000"/>
                <w:sz w:val="18"/>
                <w:szCs w:val="18"/>
              </w:rPr>
              <w:t>2006</w:t>
            </w:r>
            <w:r w:rsidR="006A6262" w:rsidRPr="00F44E31">
              <w:rPr>
                <w:rFonts w:eastAsia="Calibri"/>
                <w:color w:val="000000"/>
                <w:sz w:val="18"/>
                <w:szCs w:val="18"/>
              </w:rPr>
              <w:t>0712</w:t>
            </w:r>
          </w:p>
        </w:tc>
      </w:tr>
      <w:tr w:rsidR="00182565" w:rsidRPr="00F44E31" w:rsidTr="008A1D2B">
        <w:trPr>
          <w:trHeight w:val="188"/>
          <w:jc w:val="center"/>
        </w:trPr>
        <w:tc>
          <w:tcPr>
            <w:tcW w:w="4157" w:type="dxa"/>
            <w:gridSpan w:val="4"/>
            <w:vMerge/>
            <w:tcBorders>
              <w:right w:val="thinThickThinSmallGap" w:sz="24" w:space="0" w:color="auto"/>
            </w:tcBorders>
            <w:shd w:val="clear" w:color="auto" w:fill="FFFFFF"/>
          </w:tcPr>
          <w:p w:rsidR="00182565" w:rsidRPr="00F44E31" w:rsidRDefault="00182565" w:rsidP="00CF64E5">
            <w:pPr>
              <w:spacing w:line="180" w:lineRule="exact"/>
              <w:contextualSpacing/>
              <w:rPr>
                <w:color w:val="000000"/>
                <w:sz w:val="18"/>
                <w:szCs w:val="18"/>
              </w:rPr>
            </w:pPr>
          </w:p>
        </w:tc>
        <w:tc>
          <w:tcPr>
            <w:tcW w:w="2341" w:type="dxa"/>
            <w:tcBorders>
              <w:left w:val="thinThickThinSmallGap" w:sz="24" w:space="0" w:color="auto"/>
              <w:right w:val="single" w:sz="4" w:space="0" w:color="auto"/>
            </w:tcBorders>
            <w:shd w:val="clear" w:color="auto" w:fill="FFFFFF"/>
            <w:vAlign w:val="center"/>
          </w:tcPr>
          <w:p w:rsidR="00182565" w:rsidRPr="00F44E31" w:rsidRDefault="00182565" w:rsidP="003B5F80">
            <w:pPr>
              <w:spacing w:line="180" w:lineRule="exact"/>
              <w:contextualSpacing/>
              <w:jc w:val="left"/>
              <w:rPr>
                <w:color w:val="000000"/>
                <w:sz w:val="18"/>
                <w:szCs w:val="18"/>
              </w:rPr>
            </w:pPr>
            <w:r w:rsidRPr="00F44E31">
              <w:rPr>
                <w:rFonts w:eastAsia="Calibri"/>
                <w:color w:val="000000"/>
                <w:sz w:val="18"/>
                <w:szCs w:val="18"/>
              </w:rPr>
              <w:t>Tinea Pedis, Bilateral Feet</w:t>
            </w:r>
          </w:p>
        </w:tc>
        <w:tc>
          <w:tcPr>
            <w:tcW w:w="1080" w:type="dxa"/>
            <w:tcBorders>
              <w:left w:val="single" w:sz="4" w:space="0" w:color="auto"/>
              <w:right w:val="single" w:sz="4" w:space="0" w:color="auto"/>
            </w:tcBorders>
            <w:shd w:val="clear" w:color="auto" w:fill="FFFFFF"/>
          </w:tcPr>
          <w:p w:rsidR="00182565" w:rsidRPr="00F44E31" w:rsidRDefault="00182565" w:rsidP="003B5F80">
            <w:pPr>
              <w:spacing w:line="180" w:lineRule="exact"/>
              <w:contextualSpacing/>
              <w:rPr>
                <w:color w:val="000000"/>
                <w:sz w:val="18"/>
                <w:szCs w:val="18"/>
              </w:rPr>
            </w:pPr>
            <w:r w:rsidRPr="00F44E31">
              <w:rPr>
                <w:rFonts w:eastAsia="Calibri"/>
                <w:color w:val="000000"/>
                <w:sz w:val="18"/>
                <w:szCs w:val="18"/>
              </w:rPr>
              <w:t>7813-7806</w:t>
            </w:r>
          </w:p>
        </w:tc>
        <w:tc>
          <w:tcPr>
            <w:tcW w:w="720" w:type="dxa"/>
            <w:tcBorders>
              <w:left w:val="single" w:sz="4" w:space="0" w:color="auto"/>
              <w:right w:val="single" w:sz="4" w:space="0" w:color="auto"/>
            </w:tcBorders>
            <w:shd w:val="clear" w:color="auto" w:fill="FFFFFF"/>
          </w:tcPr>
          <w:p w:rsidR="00182565" w:rsidRPr="00F44E31" w:rsidRDefault="00182565" w:rsidP="003B5F80">
            <w:pPr>
              <w:spacing w:line="180" w:lineRule="exact"/>
              <w:contextualSpacing/>
              <w:rPr>
                <w:color w:val="000000"/>
                <w:sz w:val="18"/>
                <w:szCs w:val="18"/>
              </w:rPr>
            </w:pPr>
            <w:r w:rsidRPr="00F44E31">
              <w:rPr>
                <w:rFonts w:eastAsia="Calibri"/>
                <w:color w:val="000000"/>
                <w:sz w:val="18"/>
                <w:szCs w:val="18"/>
              </w:rPr>
              <w:t>10%</w:t>
            </w:r>
          </w:p>
        </w:tc>
        <w:tc>
          <w:tcPr>
            <w:tcW w:w="1080" w:type="dxa"/>
            <w:tcBorders>
              <w:left w:val="single" w:sz="4" w:space="0" w:color="auto"/>
            </w:tcBorders>
            <w:shd w:val="clear" w:color="auto" w:fill="FFFFFF"/>
            <w:vAlign w:val="center"/>
          </w:tcPr>
          <w:p w:rsidR="00182565" w:rsidRPr="00F44E31" w:rsidRDefault="00632DD7" w:rsidP="003B5F80">
            <w:pPr>
              <w:spacing w:line="180" w:lineRule="exact"/>
              <w:contextualSpacing/>
              <w:rPr>
                <w:color w:val="000000"/>
                <w:sz w:val="18"/>
                <w:szCs w:val="18"/>
              </w:rPr>
            </w:pPr>
            <w:r w:rsidRPr="00F44E31">
              <w:rPr>
                <w:rFonts w:eastAsia="Calibri"/>
                <w:color w:val="000000"/>
                <w:sz w:val="18"/>
                <w:szCs w:val="18"/>
              </w:rPr>
              <w:t>2006</w:t>
            </w:r>
            <w:r w:rsidR="006A6262" w:rsidRPr="00F44E31">
              <w:rPr>
                <w:rFonts w:eastAsia="Calibri"/>
                <w:color w:val="000000"/>
                <w:sz w:val="18"/>
                <w:szCs w:val="18"/>
              </w:rPr>
              <w:t>0712</w:t>
            </w:r>
          </w:p>
        </w:tc>
      </w:tr>
      <w:tr w:rsidR="00730CEF" w:rsidRPr="00F44E31" w:rsidTr="00C73FB7">
        <w:trPr>
          <w:trHeight w:val="200"/>
          <w:jc w:val="center"/>
        </w:trPr>
        <w:tc>
          <w:tcPr>
            <w:tcW w:w="4157" w:type="dxa"/>
            <w:gridSpan w:val="4"/>
            <w:vMerge/>
            <w:tcBorders>
              <w:bottom w:val="single" w:sz="4" w:space="0" w:color="000000"/>
              <w:right w:val="thinThickThinSmallGap" w:sz="24" w:space="0" w:color="auto"/>
            </w:tcBorders>
            <w:shd w:val="clear" w:color="auto" w:fill="FFFFFF"/>
          </w:tcPr>
          <w:p w:rsidR="00730CEF" w:rsidRPr="00F44E31" w:rsidRDefault="00730CEF" w:rsidP="00CF64E5">
            <w:pPr>
              <w:spacing w:line="180" w:lineRule="exact"/>
              <w:contextualSpacing/>
              <w:rPr>
                <w:color w:val="000000"/>
                <w:sz w:val="18"/>
                <w:szCs w:val="18"/>
              </w:rPr>
            </w:pPr>
          </w:p>
        </w:tc>
        <w:tc>
          <w:tcPr>
            <w:tcW w:w="4141" w:type="dxa"/>
            <w:gridSpan w:val="3"/>
            <w:tcBorders>
              <w:left w:val="thinThickThinSmallGap" w:sz="24" w:space="0" w:color="auto"/>
              <w:right w:val="single" w:sz="4" w:space="0" w:color="auto"/>
            </w:tcBorders>
            <w:shd w:val="clear" w:color="auto" w:fill="FFFFFF"/>
            <w:vAlign w:val="center"/>
          </w:tcPr>
          <w:p w:rsidR="00730CEF" w:rsidRPr="00F44E31" w:rsidRDefault="00C63DFB" w:rsidP="00730CEF">
            <w:pPr>
              <w:spacing w:line="180" w:lineRule="exact"/>
              <w:contextualSpacing/>
              <w:rPr>
                <w:color w:val="000000"/>
                <w:sz w:val="18"/>
                <w:szCs w:val="18"/>
              </w:rPr>
            </w:pPr>
            <w:r>
              <w:rPr>
                <w:rFonts w:eastAsia="Calibri"/>
                <w:color w:val="000000"/>
                <w:sz w:val="18"/>
                <w:szCs w:val="18"/>
              </w:rPr>
              <w:t>0% x 1/Not Service-</w:t>
            </w:r>
            <w:r w:rsidR="00730CEF" w:rsidRPr="00F44E31">
              <w:rPr>
                <w:rFonts w:eastAsia="Calibri"/>
                <w:color w:val="000000"/>
                <w:sz w:val="18"/>
                <w:szCs w:val="18"/>
              </w:rPr>
              <w:t xml:space="preserve">Connected x </w:t>
            </w:r>
            <w:r w:rsidR="00B02FF8" w:rsidRPr="00F44E31">
              <w:rPr>
                <w:rFonts w:eastAsia="Calibri"/>
                <w:color w:val="000000"/>
                <w:sz w:val="18"/>
                <w:szCs w:val="18"/>
              </w:rPr>
              <w:t>4</w:t>
            </w:r>
          </w:p>
        </w:tc>
        <w:tc>
          <w:tcPr>
            <w:tcW w:w="1080" w:type="dxa"/>
            <w:tcBorders>
              <w:left w:val="single" w:sz="4" w:space="0" w:color="auto"/>
            </w:tcBorders>
            <w:shd w:val="clear" w:color="auto" w:fill="FFFFFF"/>
            <w:vAlign w:val="center"/>
          </w:tcPr>
          <w:p w:rsidR="00730CEF" w:rsidRPr="00F44E31" w:rsidRDefault="00730CEF" w:rsidP="00730CEF">
            <w:pPr>
              <w:spacing w:line="180" w:lineRule="exact"/>
              <w:contextualSpacing/>
              <w:rPr>
                <w:color w:val="000000"/>
                <w:sz w:val="18"/>
                <w:szCs w:val="18"/>
              </w:rPr>
            </w:pPr>
            <w:r w:rsidRPr="00F44E31">
              <w:rPr>
                <w:rFonts w:eastAsia="Calibri"/>
                <w:color w:val="000000"/>
                <w:sz w:val="18"/>
                <w:szCs w:val="18"/>
              </w:rPr>
              <w:t>2006</w:t>
            </w:r>
            <w:r w:rsidR="006A6262" w:rsidRPr="00F44E31">
              <w:rPr>
                <w:rFonts w:eastAsia="Calibri"/>
                <w:color w:val="000000"/>
                <w:sz w:val="18"/>
                <w:szCs w:val="18"/>
              </w:rPr>
              <w:t>0712</w:t>
            </w:r>
          </w:p>
        </w:tc>
      </w:tr>
      <w:tr w:rsidR="006D4250" w:rsidRPr="00F44E31" w:rsidTr="00730CEF">
        <w:trPr>
          <w:trHeight w:val="242"/>
          <w:jc w:val="center"/>
        </w:trPr>
        <w:tc>
          <w:tcPr>
            <w:tcW w:w="4157" w:type="dxa"/>
            <w:gridSpan w:val="4"/>
            <w:tcBorders>
              <w:right w:val="thinThickThinSmallGap" w:sz="24" w:space="0" w:color="auto"/>
            </w:tcBorders>
            <w:shd w:val="clear" w:color="auto" w:fill="D9D9D9"/>
            <w:vAlign w:val="center"/>
          </w:tcPr>
          <w:p w:rsidR="006D4250" w:rsidRPr="00F44E31" w:rsidRDefault="006D4250" w:rsidP="003B5F80">
            <w:pPr>
              <w:contextualSpacing/>
              <w:rPr>
                <w:rFonts w:eastAsia="Calibri"/>
                <w:color w:val="000000"/>
                <w:sz w:val="18"/>
                <w:szCs w:val="18"/>
              </w:rPr>
            </w:pPr>
            <w:r w:rsidRPr="00F44E31">
              <w:rPr>
                <w:rFonts w:eastAsia="Calibri"/>
                <w:color w:val="000000"/>
                <w:sz w:val="18"/>
                <w:szCs w:val="18"/>
              </w:rPr>
              <w:t xml:space="preserve">Combined:  </w:t>
            </w:r>
            <w:r w:rsidR="00182565" w:rsidRPr="00F44E31">
              <w:rPr>
                <w:rFonts w:eastAsia="Calibri"/>
                <w:color w:val="000000"/>
                <w:sz w:val="18"/>
                <w:szCs w:val="18"/>
              </w:rPr>
              <w:t>20</w:t>
            </w:r>
            <w:r w:rsidRPr="00F44E31">
              <w:rPr>
                <w:rFonts w:eastAsia="Calibri"/>
                <w:color w:val="000000"/>
                <w:sz w:val="18"/>
                <w:szCs w:val="18"/>
              </w:rPr>
              <w:t>%</w:t>
            </w:r>
          </w:p>
        </w:tc>
        <w:tc>
          <w:tcPr>
            <w:tcW w:w="5221" w:type="dxa"/>
            <w:gridSpan w:val="4"/>
            <w:tcBorders>
              <w:left w:val="thinThickThinSmallGap" w:sz="24" w:space="0" w:color="auto"/>
            </w:tcBorders>
            <w:shd w:val="clear" w:color="auto" w:fill="D9D9D9"/>
            <w:vAlign w:val="center"/>
          </w:tcPr>
          <w:p w:rsidR="006D4250" w:rsidRPr="00F44E31" w:rsidRDefault="006D4250" w:rsidP="003B5F80">
            <w:pPr>
              <w:contextualSpacing/>
              <w:rPr>
                <w:rFonts w:eastAsia="Calibri"/>
                <w:color w:val="000000"/>
                <w:sz w:val="18"/>
                <w:szCs w:val="18"/>
              </w:rPr>
            </w:pPr>
            <w:r w:rsidRPr="00F44E31">
              <w:rPr>
                <w:rFonts w:eastAsia="Calibri"/>
                <w:color w:val="000000"/>
                <w:sz w:val="18"/>
                <w:szCs w:val="18"/>
              </w:rPr>
              <w:t xml:space="preserve">Combined: </w:t>
            </w:r>
            <w:r w:rsidR="00E57FED" w:rsidRPr="00F44E31">
              <w:rPr>
                <w:rFonts w:eastAsia="Calibri"/>
                <w:color w:val="000000"/>
                <w:sz w:val="18"/>
                <w:szCs w:val="18"/>
              </w:rPr>
              <w:t xml:space="preserve"> </w:t>
            </w:r>
            <w:r w:rsidR="00DF2DF0" w:rsidRPr="00F44E31">
              <w:rPr>
                <w:rFonts w:eastAsia="Calibri"/>
                <w:color w:val="000000"/>
                <w:sz w:val="18"/>
                <w:szCs w:val="18"/>
              </w:rPr>
              <w:t>5</w:t>
            </w:r>
            <w:r w:rsidR="006F0F9C" w:rsidRPr="00F44E31">
              <w:rPr>
                <w:rFonts w:eastAsia="Calibri"/>
                <w:color w:val="000000"/>
                <w:sz w:val="18"/>
                <w:szCs w:val="18"/>
              </w:rPr>
              <w:t>0</w:t>
            </w:r>
            <w:r w:rsidRPr="00F44E31">
              <w:rPr>
                <w:rFonts w:eastAsia="Calibri"/>
                <w:color w:val="000000"/>
                <w:sz w:val="18"/>
                <w:szCs w:val="18"/>
              </w:rPr>
              <w:t>%</w:t>
            </w:r>
          </w:p>
        </w:tc>
      </w:tr>
    </w:tbl>
    <w:p w:rsidR="009369A6" w:rsidRPr="00F44E31" w:rsidRDefault="009369A6" w:rsidP="00C63DFB">
      <w:pPr>
        <w:jc w:val="both"/>
        <w:rPr>
          <w:color w:val="000000"/>
          <w:szCs w:val="24"/>
          <w:u w:val="single"/>
        </w:rPr>
      </w:pPr>
    </w:p>
    <w:p w:rsidR="00C73FB7" w:rsidRDefault="002C6E5B" w:rsidP="00C73FB7">
      <w:pPr>
        <w:jc w:val="both"/>
        <w:rPr>
          <w:rFonts w:cs="Times New Roman"/>
          <w:color w:val="auto"/>
          <w:szCs w:val="24"/>
        </w:rPr>
      </w:pPr>
      <w:r w:rsidRPr="00F44E31">
        <w:rPr>
          <w:color w:val="000000"/>
          <w:szCs w:val="24"/>
          <w:u w:val="single"/>
        </w:rPr>
        <w:lastRenderedPageBreak/>
        <w:t>ANALYSIS SUMMARY</w:t>
      </w:r>
      <w:r w:rsidRPr="00F44E31">
        <w:rPr>
          <w:color w:val="000000"/>
          <w:szCs w:val="24"/>
        </w:rPr>
        <w:t>:</w:t>
      </w:r>
      <w:r w:rsidR="00C73FB7">
        <w:rPr>
          <w:color w:val="000000"/>
          <w:szCs w:val="24"/>
        </w:rPr>
        <w:t xml:space="preserve">  </w:t>
      </w:r>
      <w:r w:rsidR="00C73FB7" w:rsidRPr="007C3350">
        <w:rPr>
          <w:rFonts w:cs="Times New Roman"/>
          <w:color w:val="auto"/>
          <w:szCs w:val="24"/>
        </w:rPr>
        <w:t xml:space="preserve">The </w:t>
      </w:r>
      <w:r w:rsidR="00C63DFB">
        <w:rPr>
          <w:rFonts w:cs="Times New Roman"/>
          <w:color w:val="auto"/>
          <w:szCs w:val="24"/>
        </w:rPr>
        <w:t>Disability Evaluation System (</w:t>
      </w:r>
      <w:r w:rsidR="00C73FB7" w:rsidRPr="007C3350">
        <w:rPr>
          <w:rFonts w:cs="Times New Roman"/>
          <w:color w:val="auto"/>
          <w:szCs w:val="24"/>
        </w:rPr>
        <w:t xml:space="preserve">DES) is responsible for maintaining a fit and vital fighting force. </w:t>
      </w:r>
      <w:r w:rsidR="006475DF">
        <w:rPr>
          <w:rFonts w:cs="Times New Roman"/>
          <w:color w:val="auto"/>
          <w:szCs w:val="24"/>
        </w:rPr>
        <w:t xml:space="preserve"> </w:t>
      </w:r>
      <w:r w:rsidR="00C63DFB">
        <w:rPr>
          <w:rFonts w:cs="Times New Roman"/>
          <w:color w:val="auto"/>
          <w:szCs w:val="24"/>
        </w:rPr>
        <w:t xml:space="preserve">While the </w:t>
      </w:r>
      <w:r w:rsidR="00C73FB7"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C63DFB">
        <w:rPr>
          <w:rFonts w:cs="Times New Roman"/>
          <w:color w:val="auto"/>
          <w:szCs w:val="24"/>
        </w:rPr>
        <w:t xml:space="preserve">ime of final disposition.  The </w:t>
      </w:r>
      <w:r w:rsidR="00C73FB7"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C63DFB">
        <w:rPr>
          <w:rFonts w:cs="Times New Roman"/>
          <w:color w:val="auto"/>
          <w:szCs w:val="24"/>
        </w:rPr>
        <w:t>itions determined to be service-</w:t>
      </w:r>
      <w:r w:rsidR="00C73FB7" w:rsidRPr="007C3350">
        <w:rPr>
          <w:rFonts w:cs="Times New Roman"/>
          <w:color w:val="auto"/>
          <w:szCs w:val="24"/>
        </w:rPr>
        <w:t xml:space="preserve">connected by the </w:t>
      </w:r>
      <w:r w:rsidR="00C63DFB">
        <w:rPr>
          <w:rFonts w:cs="Times New Roman"/>
          <w:color w:val="auto"/>
          <w:szCs w:val="24"/>
        </w:rPr>
        <w:t>Department of Veterans’ Affairs (D</w:t>
      </w:r>
      <w:r w:rsidR="00C73FB7" w:rsidRPr="007C3350">
        <w:rPr>
          <w:rFonts w:cs="Times New Roman"/>
          <w:color w:val="auto"/>
          <w:szCs w:val="24"/>
        </w:rPr>
        <w:t>VA</w:t>
      </w:r>
      <w:r w:rsidR="00C63DFB">
        <w:rPr>
          <w:rFonts w:cs="Times New Roman"/>
          <w:color w:val="auto"/>
          <w:szCs w:val="24"/>
        </w:rPr>
        <w:t>)</w:t>
      </w:r>
      <w:r w:rsidR="00C73FB7" w:rsidRPr="007C3350">
        <w:rPr>
          <w:rFonts w:cs="Times New Roman"/>
          <w:color w:val="auto"/>
          <w:szCs w:val="24"/>
        </w:rPr>
        <w:t xml:space="preserve"> but not determined to be unfitting by the PEB.  However the </w:t>
      </w:r>
      <w:r w:rsidR="00C63DFB">
        <w:rPr>
          <w:rFonts w:cs="Times New Roman"/>
          <w:color w:val="auto"/>
          <w:szCs w:val="24"/>
        </w:rPr>
        <w:t>DVA</w:t>
      </w:r>
      <w:r w:rsidR="00C73FB7" w:rsidRPr="007C3350">
        <w:rPr>
          <w:rFonts w:cs="Times New Roman"/>
          <w:color w:val="auto"/>
          <w:szCs w:val="24"/>
        </w:rPr>
        <w:t>, operating under a different set of laws (Title 38, United States Code), is empo</w:t>
      </w:r>
      <w:r w:rsidR="003E4290">
        <w:rPr>
          <w:rFonts w:cs="Times New Roman"/>
          <w:color w:val="auto"/>
          <w:szCs w:val="24"/>
        </w:rPr>
        <w:t>wered to compensate all service-</w:t>
      </w:r>
      <w:r w:rsidR="00C73FB7" w:rsidRPr="007C3350">
        <w:rPr>
          <w:rFonts w:cs="Times New Roman"/>
          <w:color w:val="auto"/>
          <w:szCs w:val="24"/>
        </w:rPr>
        <w:t xml:space="preserve">connected conditions and to periodically re-evaluate said conditions for the purpose of adjusting the </w:t>
      </w:r>
      <w:r w:rsidR="003E4290">
        <w:rPr>
          <w:rFonts w:cs="Times New Roman"/>
          <w:color w:val="auto"/>
          <w:szCs w:val="24"/>
        </w:rPr>
        <w:t>V</w:t>
      </w:r>
      <w:r w:rsidR="00C73FB7" w:rsidRPr="007C3350">
        <w:rPr>
          <w:rFonts w:cs="Times New Roman"/>
          <w:color w:val="auto"/>
          <w:szCs w:val="24"/>
        </w:rPr>
        <w:t xml:space="preserve">eteran’s disability rating should </w:t>
      </w:r>
      <w:r w:rsidR="003E4290">
        <w:rPr>
          <w:rFonts w:cs="Times New Roman"/>
          <w:color w:val="auto"/>
          <w:szCs w:val="24"/>
        </w:rPr>
        <w:t>the</w:t>
      </w:r>
      <w:r w:rsidR="00C73FB7"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has neither the jurisdiction nor authority to scrutinize or render opinions in reference to the CI’s statements in the application regarding suspected DES improprietie</w:t>
      </w:r>
      <w:r w:rsidR="00C73FB7">
        <w:rPr>
          <w:rFonts w:cs="Times New Roman"/>
          <w:color w:val="auto"/>
          <w:szCs w:val="24"/>
        </w:rPr>
        <w:t>s in the processing of his case and the CI may consider application to the BCNR.</w:t>
      </w:r>
    </w:p>
    <w:p w:rsidR="002A520C" w:rsidRDefault="002A520C" w:rsidP="00F44E31">
      <w:pPr>
        <w:jc w:val="both"/>
        <w:rPr>
          <w:color w:val="000000"/>
          <w:szCs w:val="24"/>
        </w:rPr>
      </w:pPr>
    </w:p>
    <w:p w:rsidR="003E4290" w:rsidRDefault="00515F15" w:rsidP="00AA5E27">
      <w:pPr>
        <w:tabs>
          <w:tab w:val="left" w:pos="288"/>
          <w:tab w:val="left" w:pos="4752"/>
        </w:tabs>
        <w:jc w:val="both"/>
        <w:rPr>
          <w:color w:val="auto"/>
          <w:szCs w:val="24"/>
        </w:rPr>
      </w:pPr>
      <w:r w:rsidRPr="00F44E31">
        <w:rPr>
          <w:color w:val="auto"/>
          <w:szCs w:val="24"/>
          <w:u w:val="single"/>
        </w:rPr>
        <w:t xml:space="preserve">Diabetes </w:t>
      </w:r>
      <w:r w:rsidR="00AA5E27">
        <w:rPr>
          <w:color w:val="auto"/>
          <w:szCs w:val="24"/>
          <w:u w:val="single"/>
        </w:rPr>
        <w:t>M</w:t>
      </w:r>
      <w:r w:rsidRPr="00F44E31">
        <w:rPr>
          <w:color w:val="auto"/>
          <w:szCs w:val="24"/>
          <w:u w:val="single"/>
        </w:rPr>
        <w:t xml:space="preserve">ellitus </w:t>
      </w:r>
      <w:r w:rsidR="00AA5E27">
        <w:rPr>
          <w:color w:val="auto"/>
          <w:szCs w:val="24"/>
          <w:u w:val="single"/>
        </w:rPr>
        <w:t>T</w:t>
      </w:r>
      <w:r w:rsidRPr="00F44E31">
        <w:rPr>
          <w:color w:val="auto"/>
          <w:szCs w:val="24"/>
          <w:u w:val="single"/>
        </w:rPr>
        <w:t xml:space="preserve">ype II with </w:t>
      </w:r>
      <w:r w:rsidR="00AA5E27">
        <w:rPr>
          <w:color w:val="auto"/>
          <w:szCs w:val="24"/>
          <w:u w:val="single"/>
        </w:rPr>
        <w:t>F</w:t>
      </w:r>
      <w:r w:rsidRPr="00F44E31">
        <w:rPr>
          <w:color w:val="auto"/>
          <w:szCs w:val="24"/>
          <w:u w:val="single"/>
        </w:rPr>
        <w:t xml:space="preserve">air </w:t>
      </w:r>
      <w:r w:rsidR="00AA5E27">
        <w:rPr>
          <w:color w:val="auto"/>
          <w:szCs w:val="24"/>
          <w:u w:val="single"/>
        </w:rPr>
        <w:t>A</w:t>
      </w:r>
      <w:r w:rsidRPr="00F44E31">
        <w:rPr>
          <w:color w:val="auto"/>
          <w:szCs w:val="24"/>
          <w:u w:val="single"/>
        </w:rPr>
        <w:t xml:space="preserve">mount of </w:t>
      </w:r>
      <w:r w:rsidR="00AA5E27">
        <w:rPr>
          <w:color w:val="auto"/>
          <w:szCs w:val="24"/>
          <w:u w:val="single"/>
        </w:rPr>
        <w:t>I</w:t>
      </w:r>
      <w:r w:rsidRPr="00F44E31">
        <w:rPr>
          <w:color w:val="auto"/>
          <w:szCs w:val="24"/>
          <w:u w:val="single"/>
        </w:rPr>
        <w:t xml:space="preserve">nsulin </w:t>
      </w:r>
      <w:r w:rsidR="00AA5E27">
        <w:rPr>
          <w:color w:val="auto"/>
          <w:szCs w:val="24"/>
          <w:u w:val="single"/>
        </w:rPr>
        <w:t>R</w:t>
      </w:r>
      <w:r w:rsidRPr="00F44E31">
        <w:rPr>
          <w:color w:val="auto"/>
          <w:szCs w:val="24"/>
          <w:u w:val="single"/>
        </w:rPr>
        <w:t>esistance</w:t>
      </w:r>
      <w:r w:rsidRPr="00F44E31">
        <w:rPr>
          <w:color w:val="auto"/>
          <w:szCs w:val="24"/>
        </w:rPr>
        <w:t xml:space="preserve">.  The CI was diagnosed with </w:t>
      </w:r>
      <w:r w:rsidR="00D05AA5">
        <w:rPr>
          <w:color w:val="auto"/>
          <w:szCs w:val="24"/>
        </w:rPr>
        <w:t>d</w:t>
      </w:r>
      <w:r w:rsidRPr="00F44E31">
        <w:rPr>
          <w:color w:val="auto"/>
          <w:szCs w:val="24"/>
        </w:rPr>
        <w:t xml:space="preserve">iabetes </w:t>
      </w:r>
      <w:r w:rsidR="00D05AA5">
        <w:rPr>
          <w:color w:val="auto"/>
          <w:szCs w:val="24"/>
        </w:rPr>
        <w:t>m</w:t>
      </w:r>
      <w:r w:rsidRPr="00F44E31">
        <w:rPr>
          <w:color w:val="auto"/>
          <w:szCs w:val="24"/>
        </w:rPr>
        <w:t>ellitus</w:t>
      </w:r>
      <w:r w:rsidR="00F44E31" w:rsidRPr="00F44E31">
        <w:rPr>
          <w:color w:val="auto"/>
          <w:szCs w:val="24"/>
        </w:rPr>
        <w:t xml:space="preserve"> on September 20, 2004 after a week history of nausea, vomiting, dehydration.  He was noted to have blurry vision, weight loss, increased fluid intake and frequent </w:t>
      </w:r>
      <w:r w:rsidR="00787CCA" w:rsidRPr="00F44E31">
        <w:rPr>
          <w:color w:val="auto"/>
          <w:szCs w:val="24"/>
        </w:rPr>
        <w:t>urination</w:t>
      </w:r>
      <w:r w:rsidR="00F44E31" w:rsidRPr="00F44E31">
        <w:rPr>
          <w:color w:val="auto"/>
          <w:szCs w:val="24"/>
        </w:rPr>
        <w:t xml:space="preserve">.  </w:t>
      </w:r>
      <w:r w:rsidR="00787CCA" w:rsidRPr="00F44E31">
        <w:rPr>
          <w:color w:val="auto"/>
          <w:szCs w:val="24"/>
        </w:rPr>
        <w:t xml:space="preserve">He was </w:t>
      </w:r>
      <w:r w:rsidR="003C2E7A">
        <w:rPr>
          <w:color w:val="auto"/>
          <w:szCs w:val="24"/>
        </w:rPr>
        <w:t xml:space="preserve">hospitalized for initial treatment and </w:t>
      </w:r>
      <w:r w:rsidR="00787CCA" w:rsidRPr="00F44E31">
        <w:rPr>
          <w:color w:val="auto"/>
          <w:szCs w:val="24"/>
        </w:rPr>
        <w:t>begun on insulin and</w:t>
      </w:r>
      <w:r w:rsidR="003C2E7A">
        <w:rPr>
          <w:color w:val="auto"/>
          <w:szCs w:val="24"/>
        </w:rPr>
        <w:t xml:space="preserve"> oral medication.  </w:t>
      </w:r>
      <w:r w:rsidR="00787CCA">
        <w:rPr>
          <w:color w:val="auto"/>
          <w:szCs w:val="24"/>
        </w:rPr>
        <w:t xml:space="preserve">His blood glucose improved, he was discharge and he was followed as an outpatient.  </w:t>
      </w:r>
      <w:r w:rsidR="003C2E7A">
        <w:rPr>
          <w:color w:val="auto"/>
          <w:szCs w:val="24"/>
        </w:rPr>
        <w:t xml:space="preserve">Evaluation documented absence of any end organ damage or complications.  The diabetes was well controlled with medication, diet and exercise, however, the internal medicine physician concluded in April 2005 that continued insulin treatment was required for </w:t>
      </w:r>
      <w:r w:rsidR="009F28EB">
        <w:rPr>
          <w:color w:val="auto"/>
          <w:szCs w:val="24"/>
        </w:rPr>
        <w:t>control</w:t>
      </w:r>
      <w:r w:rsidR="003C2E7A">
        <w:rPr>
          <w:color w:val="auto"/>
          <w:szCs w:val="24"/>
        </w:rPr>
        <w:t xml:space="preserve"> of the CI’s diabetes.  Use of insulin was disqualifying for continued military duty and the CI was referred for MEB.</w:t>
      </w:r>
      <w:r w:rsidR="008A1D2B">
        <w:rPr>
          <w:color w:val="auto"/>
          <w:szCs w:val="24"/>
        </w:rPr>
        <w:t xml:space="preserve">  Service treatment records reflect that the CI was exercising </w:t>
      </w:r>
      <w:r w:rsidR="000325EF">
        <w:rPr>
          <w:color w:val="auto"/>
          <w:szCs w:val="24"/>
        </w:rPr>
        <w:t xml:space="preserve">regularly </w:t>
      </w:r>
      <w:r w:rsidR="008A1D2B">
        <w:rPr>
          <w:color w:val="auto"/>
          <w:szCs w:val="24"/>
        </w:rPr>
        <w:t>and was not experiencing hypoglycemic episodes</w:t>
      </w:r>
      <w:r w:rsidR="000325EF">
        <w:rPr>
          <w:color w:val="auto"/>
          <w:szCs w:val="24"/>
        </w:rPr>
        <w:t xml:space="preserve"> that warranted regulation of activities.  Although the 40</w:t>
      </w:r>
      <w:r w:rsidR="006569AD">
        <w:rPr>
          <w:color w:val="auto"/>
          <w:szCs w:val="24"/>
        </w:rPr>
        <w:t>%</w:t>
      </w:r>
      <w:r w:rsidR="000325EF">
        <w:rPr>
          <w:color w:val="auto"/>
          <w:szCs w:val="24"/>
        </w:rPr>
        <w:t xml:space="preserve"> rating was not supported by the evidence of the service treatment record, the PEB </w:t>
      </w:r>
      <w:r w:rsidR="008A1D2B">
        <w:rPr>
          <w:color w:val="auto"/>
          <w:szCs w:val="24"/>
        </w:rPr>
        <w:t xml:space="preserve">placed </w:t>
      </w:r>
      <w:r w:rsidR="000325EF">
        <w:rPr>
          <w:color w:val="auto"/>
          <w:szCs w:val="24"/>
        </w:rPr>
        <w:t xml:space="preserve">the </w:t>
      </w:r>
      <w:r w:rsidR="00DE4D9E">
        <w:rPr>
          <w:color w:val="auto"/>
          <w:szCs w:val="24"/>
        </w:rPr>
        <w:t xml:space="preserve">CI </w:t>
      </w:r>
      <w:r w:rsidR="008A1D2B">
        <w:rPr>
          <w:color w:val="auto"/>
          <w:szCs w:val="24"/>
        </w:rPr>
        <w:t>on the TDRL with a rating of 40%</w:t>
      </w:r>
      <w:r w:rsidR="000325EF">
        <w:rPr>
          <w:color w:val="auto"/>
          <w:szCs w:val="24"/>
        </w:rPr>
        <w:t>.</w:t>
      </w:r>
      <w:r w:rsidR="0036723A">
        <w:rPr>
          <w:color w:val="auto"/>
          <w:szCs w:val="24"/>
        </w:rPr>
        <w:t xml:space="preserve">  </w:t>
      </w:r>
    </w:p>
    <w:p w:rsidR="003E4290" w:rsidRDefault="003E4290" w:rsidP="00AA5E27">
      <w:pPr>
        <w:tabs>
          <w:tab w:val="left" w:pos="288"/>
          <w:tab w:val="left" w:pos="4752"/>
        </w:tabs>
        <w:jc w:val="both"/>
        <w:rPr>
          <w:color w:val="auto"/>
          <w:szCs w:val="24"/>
        </w:rPr>
      </w:pPr>
    </w:p>
    <w:p w:rsidR="00C73FB7" w:rsidRPr="00F64312" w:rsidRDefault="00D05AA5" w:rsidP="00AA5E27">
      <w:pPr>
        <w:tabs>
          <w:tab w:val="left" w:pos="288"/>
          <w:tab w:val="left" w:pos="4752"/>
        </w:tabs>
        <w:jc w:val="both"/>
        <w:rPr>
          <w:rFonts w:eastAsia="Calibri" w:cs="Times New Roman"/>
          <w:color w:val="auto"/>
          <w:szCs w:val="24"/>
        </w:rPr>
      </w:pPr>
      <w:r>
        <w:rPr>
          <w:color w:val="auto"/>
          <w:szCs w:val="24"/>
        </w:rPr>
        <w:t xml:space="preserve">A </w:t>
      </w:r>
      <w:r w:rsidR="003E4290">
        <w:rPr>
          <w:color w:val="auto"/>
          <w:szCs w:val="24"/>
        </w:rPr>
        <w:t>VA Compensation and Pension (</w:t>
      </w:r>
      <w:r>
        <w:rPr>
          <w:color w:val="auto"/>
          <w:szCs w:val="24"/>
        </w:rPr>
        <w:t>C&amp;P</w:t>
      </w:r>
      <w:r w:rsidR="003E4290">
        <w:rPr>
          <w:color w:val="auto"/>
          <w:szCs w:val="24"/>
        </w:rPr>
        <w:t>)</w:t>
      </w:r>
      <w:r>
        <w:rPr>
          <w:color w:val="auto"/>
          <w:szCs w:val="24"/>
        </w:rPr>
        <w:t xml:space="preserve"> examination </w:t>
      </w:r>
      <w:r w:rsidR="003E4290">
        <w:rPr>
          <w:color w:val="auto"/>
          <w:szCs w:val="24"/>
        </w:rPr>
        <w:t>performed</w:t>
      </w:r>
      <w:r>
        <w:rPr>
          <w:color w:val="auto"/>
          <w:szCs w:val="24"/>
        </w:rPr>
        <w:t xml:space="preserve"> on 12</w:t>
      </w:r>
      <w:r w:rsidR="00DE4D9E">
        <w:rPr>
          <w:color w:val="auto"/>
          <w:szCs w:val="24"/>
        </w:rPr>
        <w:t xml:space="preserve"> July </w:t>
      </w:r>
      <w:r>
        <w:rPr>
          <w:color w:val="auto"/>
          <w:szCs w:val="24"/>
        </w:rPr>
        <w:t>2006 noted well controlled diabetes on oral medication and insulin, with no evidence of end organ damage or hypoglycemic episodes.</w:t>
      </w:r>
      <w:r w:rsidR="001B66B0">
        <w:rPr>
          <w:color w:val="auto"/>
          <w:szCs w:val="24"/>
        </w:rPr>
        <w:t xml:space="preserve">  Despite the fact that the C&amp;P examination noted that t</w:t>
      </w:r>
      <w:r>
        <w:rPr>
          <w:color w:val="auto"/>
          <w:szCs w:val="24"/>
        </w:rPr>
        <w:t>he CI</w:t>
      </w:r>
      <w:r w:rsidRPr="00D05AA5">
        <w:rPr>
          <w:color w:val="auto"/>
          <w:szCs w:val="24"/>
        </w:rPr>
        <w:t xml:space="preserve"> </w:t>
      </w:r>
      <w:r>
        <w:rPr>
          <w:color w:val="auto"/>
          <w:szCs w:val="24"/>
        </w:rPr>
        <w:t xml:space="preserve">was active in </w:t>
      </w:r>
      <w:r w:rsidR="009F28EB">
        <w:rPr>
          <w:color w:val="auto"/>
          <w:szCs w:val="24"/>
        </w:rPr>
        <w:t>Jujitsu</w:t>
      </w:r>
      <w:r>
        <w:rPr>
          <w:color w:val="auto"/>
          <w:szCs w:val="24"/>
        </w:rPr>
        <w:t xml:space="preserve"> without indication of any reason for restriction of activities</w:t>
      </w:r>
      <w:r w:rsidR="001B66B0">
        <w:rPr>
          <w:color w:val="auto"/>
          <w:szCs w:val="24"/>
        </w:rPr>
        <w:t xml:space="preserve">, the VA adjudicated a 40% rating citing regulation of activities in its rating decision.  </w:t>
      </w:r>
      <w:r>
        <w:rPr>
          <w:color w:val="000000"/>
          <w:szCs w:val="24"/>
        </w:rPr>
        <w:t>At the time of the TDRL re</w:t>
      </w:r>
      <w:r w:rsidR="003E4290">
        <w:rPr>
          <w:color w:val="000000"/>
          <w:szCs w:val="24"/>
        </w:rPr>
        <w:t>-</w:t>
      </w:r>
      <w:r>
        <w:rPr>
          <w:color w:val="000000"/>
          <w:szCs w:val="24"/>
        </w:rPr>
        <w:t xml:space="preserve">evaluation, </w:t>
      </w:r>
      <w:r w:rsidR="003E4290">
        <w:rPr>
          <w:color w:val="000000"/>
          <w:szCs w:val="24"/>
        </w:rPr>
        <w:t>narrative summary (N</w:t>
      </w:r>
      <w:r>
        <w:rPr>
          <w:color w:val="000000"/>
          <w:szCs w:val="24"/>
        </w:rPr>
        <w:t>ARSUM</w:t>
      </w:r>
      <w:r w:rsidR="003E4290">
        <w:rPr>
          <w:color w:val="000000"/>
          <w:szCs w:val="24"/>
        </w:rPr>
        <w:t xml:space="preserve">) performed on </w:t>
      </w:r>
      <w:r>
        <w:rPr>
          <w:color w:val="000000"/>
          <w:szCs w:val="24"/>
        </w:rPr>
        <w:t xml:space="preserve">27 February 2007, the CI’s diabetes was well controlled on </w:t>
      </w:r>
      <w:r w:rsidR="00AA5E27">
        <w:rPr>
          <w:color w:val="000000"/>
          <w:szCs w:val="24"/>
        </w:rPr>
        <w:t xml:space="preserve">diet and </w:t>
      </w:r>
      <w:r>
        <w:rPr>
          <w:color w:val="000000"/>
          <w:szCs w:val="24"/>
        </w:rPr>
        <w:t xml:space="preserve">medication </w:t>
      </w:r>
      <w:r w:rsidR="00AA5E27">
        <w:rPr>
          <w:color w:val="000000"/>
          <w:szCs w:val="24"/>
        </w:rPr>
        <w:t xml:space="preserve">(oral medication </w:t>
      </w:r>
      <w:r>
        <w:rPr>
          <w:color w:val="000000"/>
          <w:szCs w:val="24"/>
        </w:rPr>
        <w:t>and insulin</w:t>
      </w:r>
      <w:r w:rsidR="00AA5E27">
        <w:rPr>
          <w:color w:val="000000"/>
          <w:szCs w:val="24"/>
        </w:rPr>
        <w:t>)</w:t>
      </w:r>
      <w:r>
        <w:rPr>
          <w:color w:val="000000"/>
          <w:szCs w:val="24"/>
        </w:rPr>
        <w:t>.  The CI felt well and denied any symptoms such as blurred vision, polyphagia, polyuria, polydipsia, lightheadedness, chest pain or shortness of breath.  The CI denied any eye, cardiovascular, pulmonary, skin, or neurological symptoms.</w:t>
      </w:r>
      <w:r w:rsidR="00AA5E27">
        <w:rPr>
          <w:color w:val="000000"/>
          <w:szCs w:val="24"/>
        </w:rPr>
        <w:t xml:space="preserve">  There were no hospitalizations for hypoglycemia or ketoacidosis.</w:t>
      </w:r>
      <w:r>
        <w:rPr>
          <w:color w:val="000000"/>
          <w:szCs w:val="24"/>
        </w:rPr>
        <w:t xml:space="preserve">  The physical examination</w:t>
      </w:r>
      <w:r w:rsidR="00AA5E27">
        <w:rPr>
          <w:color w:val="000000"/>
          <w:szCs w:val="24"/>
        </w:rPr>
        <w:t xml:space="preserve"> was normal.  </w:t>
      </w:r>
      <w:r>
        <w:rPr>
          <w:color w:val="000000"/>
          <w:szCs w:val="24"/>
        </w:rPr>
        <w:t xml:space="preserve">Laboratory testing was normal, with normal </w:t>
      </w:r>
      <w:r w:rsidR="009F28EB">
        <w:rPr>
          <w:color w:val="000000"/>
          <w:szCs w:val="24"/>
        </w:rPr>
        <w:t>blood</w:t>
      </w:r>
      <w:r>
        <w:rPr>
          <w:color w:val="000000"/>
          <w:szCs w:val="24"/>
        </w:rPr>
        <w:t xml:space="preserve"> glucose, negative urine microalbumin.  The HgbA1C was 6% reflecting good control.  The TDRL examiner concluded he was fit for release from TDRL and return “to active duty to prepare for retirement</w:t>
      </w:r>
      <w:r w:rsidR="003E4290">
        <w:rPr>
          <w:color w:val="000000"/>
          <w:szCs w:val="24"/>
        </w:rPr>
        <w:t>.</w:t>
      </w:r>
      <w:r>
        <w:rPr>
          <w:color w:val="000000"/>
          <w:szCs w:val="24"/>
        </w:rPr>
        <w:t xml:space="preserve">”  The accompanying internal medicine clinic record, </w:t>
      </w:r>
      <w:r w:rsidR="003E4290">
        <w:rPr>
          <w:color w:val="000000"/>
          <w:szCs w:val="24"/>
        </w:rPr>
        <w:t xml:space="preserve">dated </w:t>
      </w:r>
      <w:r>
        <w:rPr>
          <w:color w:val="000000"/>
          <w:szCs w:val="24"/>
        </w:rPr>
        <w:t>19 January 2007, noted the CI was exercising regularly and concluded the diabetes was well controlled without evidence of kidney, eye, or cardiac complications.</w:t>
      </w:r>
      <w:r w:rsidR="00C73FB7">
        <w:rPr>
          <w:color w:val="000000"/>
          <w:szCs w:val="24"/>
        </w:rPr>
        <w:t xml:space="preserve">  </w:t>
      </w:r>
      <w:r w:rsidR="003E4290">
        <w:rPr>
          <w:color w:val="000000"/>
          <w:szCs w:val="24"/>
        </w:rPr>
        <w:t xml:space="preserve">The </w:t>
      </w:r>
      <w:r>
        <w:rPr>
          <w:color w:val="000000"/>
          <w:szCs w:val="24"/>
        </w:rPr>
        <w:t xml:space="preserve">PEB concluded the diabetes unfitting for continued military service and adjudicated a </w:t>
      </w:r>
      <w:r w:rsidR="00F22456">
        <w:rPr>
          <w:color w:val="000000"/>
          <w:szCs w:val="24"/>
        </w:rPr>
        <w:t xml:space="preserve">permanent </w:t>
      </w:r>
      <w:r>
        <w:rPr>
          <w:color w:val="000000"/>
          <w:szCs w:val="24"/>
        </w:rPr>
        <w:t>20% rating.</w:t>
      </w:r>
      <w:r w:rsidR="009969B0">
        <w:rPr>
          <w:color w:val="000000"/>
          <w:szCs w:val="24"/>
        </w:rPr>
        <w:t xml:space="preserve">  </w:t>
      </w:r>
      <w:r w:rsidR="00C73FB7" w:rsidRPr="00F64312">
        <w:rPr>
          <w:rFonts w:cs="Times New Roman"/>
          <w:color w:val="auto"/>
        </w:rPr>
        <w:t>The Board directs attention to its rating recommendation based on the above evidence.</w:t>
      </w:r>
      <w:r w:rsidR="002C1457">
        <w:rPr>
          <w:rFonts w:cs="Times New Roman"/>
          <w:color w:val="auto"/>
        </w:rPr>
        <w:t xml:space="preserve">  </w:t>
      </w:r>
      <w:r w:rsidR="000030A4">
        <w:rPr>
          <w:rFonts w:cs="Times New Roman"/>
          <w:color w:val="auto"/>
        </w:rPr>
        <w:t>Both at the time of placement on the TDRL and at the time of permanent disability disposition and removal from the TDRL, the CI’s diabetes was treated with diet</w:t>
      </w:r>
      <w:r w:rsidR="001B66B0">
        <w:rPr>
          <w:rFonts w:cs="Times New Roman"/>
          <w:color w:val="auto"/>
        </w:rPr>
        <w:t xml:space="preserve"> and medication (</w:t>
      </w:r>
      <w:r w:rsidR="000030A4">
        <w:rPr>
          <w:rFonts w:cs="Times New Roman"/>
          <w:color w:val="auto"/>
        </w:rPr>
        <w:t>an oral medication and insulin</w:t>
      </w:r>
      <w:r w:rsidR="001B66B0">
        <w:rPr>
          <w:rFonts w:cs="Times New Roman"/>
          <w:color w:val="auto"/>
        </w:rPr>
        <w:t>)</w:t>
      </w:r>
      <w:r w:rsidR="000030A4">
        <w:rPr>
          <w:rFonts w:cs="Times New Roman"/>
          <w:color w:val="auto"/>
        </w:rPr>
        <w:t xml:space="preserve"> meeting the VASRD criteria for a 20% rating.</w:t>
      </w:r>
      <w:r w:rsidR="00AA5E27">
        <w:rPr>
          <w:rFonts w:cs="Times New Roman"/>
          <w:color w:val="auto"/>
        </w:rPr>
        <w:t xml:space="preserve">  </w:t>
      </w:r>
      <w:r w:rsidR="000030A4">
        <w:rPr>
          <w:rFonts w:cs="Times New Roman"/>
          <w:color w:val="auto"/>
        </w:rPr>
        <w:t>I</w:t>
      </w:r>
      <w:r w:rsidR="000030A4" w:rsidRPr="000030A4">
        <w:rPr>
          <w:rFonts w:cs="Times New Roman"/>
          <w:color w:val="auto"/>
        </w:rPr>
        <w:t>n order for a 40</w:t>
      </w:r>
      <w:r w:rsidR="00DE4D9E">
        <w:rPr>
          <w:rFonts w:cs="Times New Roman"/>
          <w:color w:val="auto"/>
        </w:rPr>
        <w:t xml:space="preserve">% </w:t>
      </w:r>
      <w:r w:rsidR="000030A4" w:rsidRPr="000030A4">
        <w:rPr>
          <w:rFonts w:cs="Times New Roman"/>
          <w:color w:val="auto"/>
        </w:rPr>
        <w:t xml:space="preserve">disability rating to be awarded, </w:t>
      </w:r>
      <w:r w:rsidR="000030A4">
        <w:rPr>
          <w:rFonts w:cs="Times New Roman"/>
          <w:color w:val="auto"/>
        </w:rPr>
        <w:t xml:space="preserve">the unfitting </w:t>
      </w:r>
      <w:r w:rsidR="000030A4" w:rsidRPr="000030A4">
        <w:rPr>
          <w:rFonts w:cs="Times New Roman"/>
          <w:color w:val="auto"/>
        </w:rPr>
        <w:t xml:space="preserve">diabetes mellitus must </w:t>
      </w:r>
      <w:r w:rsidR="001B66B0">
        <w:rPr>
          <w:rFonts w:cs="Times New Roman"/>
          <w:color w:val="auto"/>
        </w:rPr>
        <w:t xml:space="preserve">also </w:t>
      </w:r>
      <w:r w:rsidR="000030A4" w:rsidRPr="000030A4">
        <w:rPr>
          <w:rFonts w:cs="Times New Roman"/>
          <w:color w:val="auto"/>
        </w:rPr>
        <w:t>require regulation of activities</w:t>
      </w:r>
      <w:r w:rsidR="001B66B0">
        <w:rPr>
          <w:rFonts w:cs="Times New Roman"/>
          <w:color w:val="auto"/>
        </w:rPr>
        <w:t xml:space="preserve"> in addition to </w:t>
      </w:r>
      <w:r w:rsidR="001B66B0">
        <w:rPr>
          <w:rFonts w:cs="Times New Roman"/>
          <w:color w:val="auto"/>
        </w:rPr>
        <w:lastRenderedPageBreak/>
        <w:t>diet and medication</w:t>
      </w:r>
      <w:r w:rsidR="000030A4" w:rsidRPr="000030A4">
        <w:rPr>
          <w:rFonts w:cs="Times New Roman"/>
          <w:color w:val="auto"/>
        </w:rPr>
        <w:t xml:space="preserve">. </w:t>
      </w:r>
      <w:r w:rsidR="001B66B0">
        <w:rPr>
          <w:rFonts w:cs="Times New Roman"/>
          <w:color w:val="auto"/>
        </w:rPr>
        <w:t xml:space="preserve"> </w:t>
      </w:r>
      <w:r w:rsidR="000030A4" w:rsidRPr="000030A4">
        <w:rPr>
          <w:rFonts w:cs="Times New Roman"/>
          <w:color w:val="auto"/>
        </w:rPr>
        <w:t>These criteria are conjunctive; meaning that all three elements must be met.</w:t>
      </w:r>
      <w:r w:rsidR="000030A4">
        <w:rPr>
          <w:rFonts w:cs="Times New Roman"/>
          <w:color w:val="auto"/>
        </w:rPr>
        <w:t xml:space="preserve">  </w:t>
      </w:r>
      <w:r w:rsidR="001B66B0">
        <w:rPr>
          <w:rFonts w:cs="Times New Roman"/>
          <w:color w:val="auto"/>
        </w:rPr>
        <w:t>The definition of regulation of activities (</w:t>
      </w:r>
      <w:r w:rsidR="001B66B0" w:rsidRPr="007D0E1F">
        <w:rPr>
          <w:rFonts w:cs="Times New Roman"/>
          <w:color w:val="auto"/>
        </w:rPr>
        <w:t>“avoidance of strenuous occupational and recreational activities”</w:t>
      </w:r>
      <w:r w:rsidR="001B66B0">
        <w:rPr>
          <w:rFonts w:cs="Times New Roman"/>
          <w:color w:val="auto"/>
        </w:rPr>
        <w:t>), has been clarified by case law as the situation where avoidance of strenuous activities is medically necessary, prescribed and supported by medical evidence (lay evidence alone is insufficient to meet this component of the rating criteria).</w:t>
      </w:r>
      <w:r w:rsidR="009969B0">
        <w:rPr>
          <w:rFonts w:cs="Times New Roman"/>
          <w:color w:val="auto"/>
        </w:rPr>
        <w:t xml:space="preserve">  </w:t>
      </w:r>
      <w:r w:rsidR="00F22456" w:rsidRPr="000030A4">
        <w:rPr>
          <w:rFonts w:cs="Times New Roman"/>
          <w:color w:val="auto"/>
        </w:rPr>
        <w:t>It is clear that he required insulin, oral metformin</w:t>
      </w:r>
      <w:r w:rsidR="00F22456" w:rsidRPr="007D0E1F">
        <w:rPr>
          <w:rFonts w:cs="Times New Roman"/>
          <w:color w:val="auto"/>
        </w:rPr>
        <w:t xml:space="preserve"> and a restricted diet.  However, at the time of</w:t>
      </w:r>
      <w:r w:rsidR="000030A4" w:rsidRPr="007D0E1F">
        <w:rPr>
          <w:rFonts w:cs="Times New Roman"/>
          <w:color w:val="auto"/>
        </w:rPr>
        <w:t xml:space="preserve"> placement on the TDRL, and removal from the TDRL</w:t>
      </w:r>
      <w:r w:rsidR="00F22456" w:rsidRPr="007D0E1F">
        <w:rPr>
          <w:rFonts w:cs="Times New Roman"/>
          <w:color w:val="auto"/>
        </w:rPr>
        <w:t xml:space="preserve">, there </w:t>
      </w:r>
      <w:r w:rsidR="000030A4" w:rsidRPr="007D0E1F">
        <w:rPr>
          <w:rFonts w:cs="Times New Roman"/>
          <w:color w:val="auto"/>
        </w:rPr>
        <w:t>was</w:t>
      </w:r>
      <w:r w:rsidR="007D0E1F" w:rsidRPr="007D0E1F">
        <w:rPr>
          <w:rFonts w:cs="Times New Roman"/>
          <w:color w:val="auto"/>
        </w:rPr>
        <w:t xml:space="preserve"> </w:t>
      </w:r>
      <w:r w:rsidR="00F22456" w:rsidRPr="007D0E1F">
        <w:rPr>
          <w:rFonts w:cs="Times New Roman"/>
          <w:color w:val="auto"/>
        </w:rPr>
        <w:t>no</w:t>
      </w:r>
      <w:r w:rsidR="000030A4" w:rsidRPr="007D0E1F">
        <w:rPr>
          <w:rFonts w:cs="Times New Roman"/>
          <w:color w:val="auto"/>
        </w:rPr>
        <w:t xml:space="preserve"> </w:t>
      </w:r>
      <w:r w:rsidR="00F22456" w:rsidRPr="007D0E1F">
        <w:rPr>
          <w:rFonts w:cs="Times New Roman"/>
          <w:color w:val="auto"/>
        </w:rPr>
        <w:t xml:space="preserve">evidence that </w:t>
      </w:r>
      <w:r w:rsidR="001B66B0">
        <w:rPr>
          <w:rFonts w:cs="Times New Roman"/>
          <w:color w:val="auto"/>
        </w:rPr>
        <w:t xml:space="preserve">there was medically necessary or advised avoidance of strenuous </w:t>
      </w:r>
      <w:r w:rsidR="007D0E1F" w:rsidRPr="007D0E1F">
        <w:rPr>
          <w:rFonts w:cs="Times New Roman"/>
          <w:color w:val="auto"/>
        </w:rPr>
        <w:t>activities</w:t>
      </w:r>
      <w:r w:rsidR="001B66B0">
        <w:rPr>
          <w:rFonts w:cs="Times New Roman"/>
          <w:color w:val="auto"/>
        </w:rPr>
        <w:t>.</w:t>
      </w:r>
      <w:r w:rsidR="00AA5E27">
        <w:rPr>
          <w:rFonts w:cs="Times New Roman"/>
          <w:color w:val="auto"/>
        </w:rPr>
        <w:t xml:space="preserve">  The Board noted that the initial PEB placing the CI on the TDRL adjudicated a 40% rating.  </w:t>
      </w:r>
      <w:r w:rsidR="002C1457" w:rsidRPr="0036723A">
        <w:rPr>
          <w:color w:val="auto"/>
          <w:szCs w:val="24"/>
        </w:rPr>
        <w:t>It is recognized, in fact, that PEB’s across the services sometimes apply an overly generous initial rating in order to meet the DoD requirement of 30% disability for placement on TDRL.</w:t>
      </w:r>
      <w:r w:rsidR="002C1457">
        <w:rPr>
          <w:color w:val="auto"/>
          <w:szCs w:val="24"/>
        </w:rPr>
        <w:t xml:space="preserve">  </w:t>
      </w:r>
      <w:r w:rsidR="002C1457" w:rsidRPr="0036723A">
        <w:rPr>
          <w:color w:val="auto"/>
          <w:szCs w:val="24"/>
        </w:rPr>
        <w:t>This is in the member’s best interest at the time and does not mean that a final lower rating is unfair, even if perceived as incongruent with subjective severity from one rating to the next.</w:t>
      </w:r>
      <w:r w:rsidR="002C1457">
        <w:rPr>
          <w:color w:val="auto"/>
          <w:szCs w:val="24"/>
        </w:rPr>
        <w:t xml:space="preserve">  Th</w:t>
      </w:r>
      <w:r w:rsidR="002C1457" w:rsidRPr="0036723A">
        <w:rPr>
          <w:color w:val="auto"/>
          <w:szCs w:val="24"/>
        </w:rPr>
        <w:t>e Board’s relevant recommendations ar</w:t>
      </w:r>
      <w:r w:rsidR="002C1626">
        <w:rPr>
          <w:color w:val="auto"/>
          <w:szCs w:val="24"/>
        </w:rPr>
        <w:t>e assigned in assessment of the</w:t>
      </w:r>
      <w:r w:rsidR="002C1457" w:rsidRPr="0036723A">
        <w:rPr>
          <w:color w:val="auto"/>
          <w:szCs w:val="24"/>
        </w:rPr>
        <w:t xml:space="preserve"> permanent separation and rating determination, and the TDRL rating assignment is not considered a benchmark.</w:t>
      </w:r>
      <w:r w:rsidR="002C1457">
        <w:rPr>
          <w:color w:val="auto"/>
          <w:szCs w:val="24"/>
        </w:rPr>
        <w:t xml:space="preserve">  </w:t>
      </w:r>
      <w:r w:rsidR="002C1457" w:rsidRPr="0036723A">
        <w:rPr>
          <w:color w:val="auto"/>
          <w:szCs w:val="24"/>
        </w:rPr>
        <w:t>Thus the sole basis for the Board’s permanent disability recommendation is the VASRD rating for disability at the time the CI is permanently separated at exit from TDRL.</w:t>
      </w:r>
      <w:r w:rsidR="00AA5E27">
        <w:rPr>
          <w:color w:val="auto"/>
          <w:szCs w:val="24"/>
        </w:rPr>
        <w:t xml:space="preserve">  The Board also noted the VA 40% rating, however, the Board did not find there was evidence in the C&amp;P examination supporting a conclusion there was regulation of activity to meet the requirement for a rating higher than 20%.  </w:t>
      </w:r>
      <w:r w:rsidR="00C73FB7"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A5E27">
        <w:rPr>
          <w:rFonts w:eastAsia="Calibri" w:cs="Times New Roman"/>
          <w:color w:val="auto"/>
          <w:szCs w:val="24"/>
        </w:rPr>
        <w:t>diabetes mellitus</w:t>
      </w:r>
      <w:r w:rsidR="002F56D8">
        <w:rPr>
          <w:rFonts w:eastAsia="Calibri" w:cs="Times New Roman"/>
          <w:color w:val="auto"/>
          <w:szCs w:val="24"/>
        </w:rPr>
        <w:t xml:space="preserve"> condition.</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C73FB7" w:rsidRPr="00F64312" w:rsidRDefault="00C56FC8" w:rsidP="00C73FB7">
      <w:pPr>
        <w:jc w:val="both"/>
        <w:rPr>
          <w:rFonts w:eastAsia="Calibri" w:cs="Times New Roman"/>
          <w:color w:val="auto"/>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969B0">
        <w:rPr>
          <w:rFonts w:eastAsia="Calibri"/>
          <w:color w:val="000000"/>
          <w:szCs w:val="24"/>
        </w:rPr>
        <w:t xml:space="preserve">  </w:t>
      </w:r>
      <w:r w:rsidR="00C73FB7" w:rsidRPr="00F64312">
        <w:rPr>
          <w:rFonts w:eastAsia="Calibri" w:cs="Times New Roman"/>
          <w:color w:val="auto"/>
          <w:szCs w:val="24"/>
        </w:rPr>
        <w:t xml:space="preserve">In the matter of the </w:t>
      </w:r>
      <w:r w:rsidR="003125EF">
        <w:rPr>
          <w:rFonts w:eastAsia="Calibri" w:cs="Times New Roman"/>
          <w:color w:val="auto"/>
          <w:szCs w:val="24"/>
        </w:rPr>
        <w:t xml:space="preserve">diabetes mellitus </w:t>
      </w:r>
      <w:r w:rsidR="00C73FB7" w:rsidRPr="00F64312">
        <w:rPr>
          <w:rFonts w:eastAsia="Calibri" w:cs="Times New Roman"/>
          <w:color w:val="auto"/>
          <w:szCs w:val="24"/>
        </w:rPr>
        <w:t>condition and IAW VASRD §</w:t>
      </w:r>
      <w:r w:rsidR="009F28EB" w:rsidRPr="002A4971">
        <w:rPr>
          <w:rFonts w:eastAsia="Calibri" w:cs="Times New Roman"/>
          <w:color w:val="auto"/>
          <w:szCs w:val="24"/>
        </w:rPr>
        <w:t>4.</w:t>
      </w:r>
      <w:r w:rsidR="009F28EB">
        <w:rPr>
          <w:rFonts w:eastAsia="Calibri" w:cs="Times New Roman"/>
          <w:color w:val="auto"/>
          <w:szCs w:val="24"/>
        </w:rPr>
        <w:t>119,</w:t>
      </w:r>
      <w:r w:rsidR="00C73FB7" w:rsidRPr="00F64312">
        <w:rPr>
          <w:rFonts w:eastAsia="Calibri" w:cs="Times New Roman"/>
          <w:color w:val="auto"/>
          <w:szCs w:val="24"/>
        </w:rPr>
        <w:t xml:space="preserve"> the Board </w:t>
      </w:r>
      <w:r w:rsidR="00C73FB7" w:rsidRPr="002A4971">
        <w:rPr>
          <w:rFonts w:eastAsia="Calibri" w:cs="Times New Roman"/>
          <w:color w:val="auto"/>
          <w:szCs w:val="24"/>
        </w:rPr>
        <w:t>unanimously</w:t>
      </w:r>
      <w:r w:rsidR="00C73FB7" w:rsidRPr="00F64312">
        <w:rPr>
          <w:rFonts w:eastAsia="Calibri" w:cs="Times New Roman"/>
          <w:color w:val="auto"/>
          <w:szCs w:val="24"/>
        </w:rPr>
        <w:t xml:space="preserve"> recommends no change in the PEB adjudication.  There were no other conditions within the Board’s scop</w:t>
      </w:r>
      <w:r w:rsidR="002F56D8">
        <w:rPr>
          <w:rFonts w:eastAsia="Calibri" w:cs="Times New Roman"/>
          <w:color w:val="auto"/>
          <w:szCs w:val="24"/>
        </w:rPr>
        <w:t>e of review for consideration.</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Default="00C56FC8" w:rsidP="009969B0">
      <w:pPr>
        <w:jc w:val="left"/>
        <w:rPr>
          <w:color w:val="000000"/>
          <w:szCs w:val="24"/>
        </w:rPr>
      </w:pPr>
      <w:r w:rsidRPr="001F29F9">
        <w:rPr>
          <w:color w:val="000000"/>
          <w:szCs w:val="24"/>
          <w:u w:val="single"/>
        </w:rPr>
        <w:t>RECOMMENDATION</w:t>
      </w:r>
      <w:r w:rsidRPr="001F29F9">
        <w:rPr>
          <w:color w:val="000000"/>
          <w:szCs w:val="24"/>
        </w:rPr>
        <w:t>:</w:t>
      </w:r>
      <w:r w:rsidR="009969B0">
        <w:rPr>
          <w:color w:val="000000"/>
          <w:szCs w:val="24"/>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that there be no recharacterization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p>
    <w:p w:rsidR="00C73FB7" w:rsidRPr="00F64312" w:rsidRDefault="00C73FB7" w:rsidP="00C73FB7">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530"/>
        <w:gridCol w:w="810"/>
        <w:gridCol w:w="1530"/>
      </w:tblGrid>
      <w:tr w:rsidR="00C73FB7" w:rsidRPr="00F64312" w:rsidTr="00C73FB7">
        <w:trPr>
          <w:trHeight w:val="206"/>
          <w:jc w:val="center"/>
        </w:trPr>
        <w:tc>
          <w:tcPr>
            <w:tcW w:w="5490" w:type="dxa"/>
            <w:vMerge w:val="restart"/>
            <w:shd w:val="clear" w:color="auto" w:fill="D9D9D9"/>
            <w:vAlign w:val="center"/>
          </w:tcPr>
          <w:p w:rsidR="00C73FB7" w:rsidRPr="00F64312" w:rsidRDefault="00C73FB7" w:rsidP="00C73FB7">
            <w:pPr>
              <w:tabs>
                <w:tab w:val="left" w:pos="288"/>
                <w:tab w:val="left" w:pos="4752"/>
              </w:tabs>
              <w:rPr>
                <w:rFonts w:eastAsia="Calibri" w:cs="Times New Roman"/>
                <w:b/>
                <w:color w:val="auto"/>
                <w:szCs w:val="24"/>
              </w:rPr>
            </w:pPr>
            <w:r w:rsidRPr="00F64312">
              <w:rPr>
                <w:rFonts w:eastAsia="Calibri" w:cs="Times New Roman"/>
                <w:b/>
                <w:color w:val="auto"/>
                <w:szCs w:val="24"/>
              </w:rPr>
              <w:t>UNFITTING CONDITION</w:t>
            </w:r>
          </w:p>
        </w:tc>
        <w:tc>
          <w:tcPr>
            <w:tcW w:w="1530" w:type="dxa"/>
            <w:vMerge w:val="restart"/>
            <w:shd w:val="clear" w:color="auto" w:fill="D9D9D9"/>
            <w:vAlign w:val="center"/>
          </w:tcPr>
          <w:p w:rsidR="00C73FB7" w:rsidRPr="00F64312" w:rsidRDefault="00C73FB7" w:rsidP="00C73FB7">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C73FB7" w:rsidRPr="00F64312" w:rsidRDefault="00C73FB7" w:rsidP="00C73FB7">
            <w:pPr>
              <w:rPr>
                <w:color w:val="auto"/>
              </w:rPr>
            </w:pPr>
            <w:r w:rsidRPr="00F64312">
              <w:rPr>
                <w:rFonts w:eastAsia="Calibri" w:cs="Times New Roman"/>
                <w:b/>
                <w:color w:val="auto"/>
                <w:szCs w:val="24"/>
              </w:rPr>
              <w:t>RATING</w:t>
            </w:r>
          </w:p>
        </w:tc>
      </w:tr>
      <w:tr w:rsidR="00C73FB7" w:rsidRPr="00F64312" w:rsidTr="00C73FB7">
        <w:trPr>
          <w:trHeight w:val="194"/>
          <w:jc w:val="center"/>
        </w:trPr>
        <w:tc>
          <w:tcPr>
            <w:tcW w:w="5490" w:type="dxa"/>
            <w:vMerge/>
            <w:shd w:val="clear" w:color="auto" w:fill="D9D9D9"/>
            <w:vAlign w:val="center"/>
          </w:tcPr>
          <w:p w:rsidR="00C73FB7" w:rsidRPr="00F64312" w:rsidRDefault="00C73FB7" w:rsidP="00C73FB7">
            <w:pPr>
              <w:tabs>
                <w:tab w:val="left" w:pos="288"/>
                <w:tab w:val="left" w:pos="4752"/>
              </w:tabs>
              <w:rPr>
                <w:rFonts w:eastAsia="Calibri" w:cs="Times New Roman"/>
                <w:b/>
                <w:color w:val="auto"/>
                <w:szCs w:val="24"/>
              </w:rPr>
            </w:pPr>
          </w:p>
        </w:tc>
        <w:tc>
          <w:tcPr>
            <w:tcW w:w="1530" w:type="dxa"/>
            <w:vMerge/>
            <w:shd w:val="clear" w:color="auto" w:fill="D9D9D9"/>
            <w:vAlign w:val="center"/>
          </w:tcPr>
          <w:p w:rsidR="00C73FB7" w:rsidRPr="00F64312" w:rsidRDefault="00C73FB7" w:rsidP="00C73FB7">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C73FB7" w:rsidRPr="00F64312" w:rsidRDefault="00C73FB7" w:rsidP="00C73FB7">
            <w:pPr>
              <w:rPr>
                <w:color w:val="auto"/>
              </w:rPr>
            </w:pPr>
            <w:r w:rsidRPr="00F64312">
              <w:rPr>
                <w:rFonts w:eastAsia="Calibri" w:cs="Times New Roman"/>
                <w:b/>
                <w:color w:val="auto"/>
                <w:szCs w:val="24"/>
              </w:rPr>
              <w:t>TDRL</w:t>
            </w:r>
          </w:p>
        </w:tc>
        <w:tc>
          <w:tcPr>
            <w:tcW w:w="1530" w:type="dxa"/>
            <w:tcBorders>
              <w:top w:val="single" w:sz="4" w:space="0" w:color="auto"/>
            </w:tcBorders>
            <w:shd w:val="pct15" w:color="auto" w:fill="auto"/>
            <w:vAlign w:val="center"/>
          </w:tcPr>
          <w:p w:rsidR="00C73FB7" w:rsidRPr="00F64312" w:rsidRDefault="00C73FB7" w:rsidP="00C73FB7">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C73FB7" w:rsidRPr="00F64312" w:rsidTr="00C73FB7">
        <w:trPr>
          <w:trHeight w:val="197"/>
          <w:jc w:val="center"/>
        </w:trPr>
        <w:tc>
          <w:tcPr>
            <w:tcW w:w="5490" w:type="dxa"/>
            <w:vAlign w:val="center"/>
          </w:tcPr>
          <w:p w:rsidR="00C73FB7" w:rsidRPr="00F64312" w:rsidRDefault="003125EF" w:rsidP="00C73FB7">
            <w:pPr>
              <w:tabs>
                <w:tab w:val="left" w:pos="288"/>
                <w:tab w:val="left" w:pos="4752"/>
              </w:tabs>
              <w:jc w:val="left"/>
              <w:rPr>
                <w:rFonts w:eastAsia="Calibri" w:cs="Times New Roman"/>
                <w:color w:val="auto"/>
                <w:szCs w:val="24"/>
              </w:rPr>
            </w:pPr>
            <w:r>
              <w:rPr>
                <w:rFonts w:eastAsia="Calibri" w:cs="Times New Roman"/>
                <w:color w:val="auto"/>
                <w:szCs w:val="24"/>
              </w:rPr>
              <w:t>Diabetes Mellitus Type II</w:t>
            </w:r>
          </w:p>
        </w:tc>
        <w:tc>
          <w:tcPr>
            <w:tcW w:w="1530" w:type="dxa"/>
            <w:tcBorders>
              <w:bottom w:val="single" w:sz="4" w:space="0" w:color="000000"/>
            </w:tcBorders>
            <w:vAlign w:val="center"/>
          </w:tcPr>
          <w:p w:rsidR="00C73FB7" w:rsidRPr="00612A23" w:rsidRDefault="003125EF" w:rsidP="003125EF">
            <w:pPr>
              <w:tabs>
                <w:tab w:val="left" w:pos="288"/>
                <w:tab w:val="left" w:pos="4752"/>
              </w:tabs>
              <w:rPr>
                <w:color w:val="auto"/>
              </w:rPr>
            </w:pPr>
            <w:r>
              <w:rPr>
                <w:color w:val="auto"/>
              </w:rPr>
              <w:t>7913</w:t>
            </w:r>
          </w:p>
        </w:tc>
        <w:tc>
          <w:tcPr>
            <w:tcW w:w="810" w:type="dxa"/>
            <w:tcBorders>
              <w:bottom w:val="single" w:sz="4" w:space="0" w:color="000000"/>
            </w:tcBorders>
            <w:vAlign w:val="center"/>
          </w:tcPr>
          <w:p w:rsidR="00C73FB7" w:rsidRPr="00612A23" w:rsidRDefault="003125EF" w:rsidP="003125EF">
            <w:pPr>
              <w:tabs>
                <w:tab w:val="left" w:pos="288"/>
                <w:tab w:val="left" w:pos="4752"/>
              </w:tabs>
              <w:rPr>
                <w:color w:val="auto"/>
              </w:rPr>
            </w:pPr>
            <w:r>
              <w:rPr>
                <w:color w:val="auto"/>
              </w:rPr>
              <w:t>4</w:t>
            </w:r>
            <w:r w:rsidR="00C73FB7" w:rsidRPr="00612A23">
              <w:rPr>
                <w:color w:val="auto"/>
              </w:rPr>
              <w:t>0%</w:t>
            </w:r>
          </w:p>
        </w:tc>
        <w:tc>
          <w:tcPr>
            <w:tcW w:w="1530" w:type="dxa"/>
            <w:tcBorders>
              <w:bottom w:val="single" w:sz="4" w:space="0" w:color="000000"/>
            </w:tcBorders>
            <w:vAlign w:val="center"/>
          </w:tcPr>
          <w:p w:rsidR="00C73FB7" w:rsidRPr="00612A23" w:rsidRDefault="003125EF" w:rsidP="003125EF">
            <w:pPr>
              <w:tabs>
                <w:tab w:val="left" w:pos="288"/>
                <w:tab w:val="left" w:pos="4752"/>
              </w:tabs>
              <w:rPr>
                <w:rFonts w:eastAsia="Calibri" w:cs="Times New Roman"/>
                <w:color w:val="auto"/>
                <w:szCs w:val="24"/>
              </w:rPr>
            </w:pPr>
            <w:r>
              <w:rPr>
                <w:rFonts w:eastAsia="Calibri" w:cs="Times New Roman"/>
                <w:color w:val="auto"/>
                <w:szCs w:val="24"/>
              </w:rPr>
              <w:t>2</w:t>
            </w:r>
            <w:r w:rsidR="00C73FB7" w:rsidRPr="00612A23">
              <w:rPr>
                <w:rFonts w:eastAsia="Calibri" w:cs="Times New Roman"/>
                <w:color w:val="auto"/>
                <w:szCs w:val="24"/>
              </w:rPr>
              <w:t>0%</w:t>
            </w:r>
          </w:p>
        </w:tc>
      </w:tr>
      <w:tr w:rsidR="00C73FB7" w:rsidRPr="00F64312" w:rsidTr="00C73FB7">
        <w:tblPrEx>
          <w:tblLook w:val="0000" w:firstRow="0" w:lastRow="0" w:firstColumn="0" w:lastColumn="0" w:noHBand="0" w:noVBand="0"/>
        </w:tblPrEx>
        <w:trPr>
          <w:gridBefore w:val="1"/>
          <w:wBefore w:w="5490" w:type="dxa"/>
          <w:trHeight w:val="161"/>
          <w:jc w:val="center"/>
        </w:trPr>
        <w:tc>
          <w:tcPr>
            <w:tcW w:w="1530" w:type="dxa"/>
            <w:tcBorders>
              <w:left w:val="single" w:sz="4" w:space="0" w:color="auto"/>
            </w:tcBorders>
            <w:shd w:val="pct15" w:color="auto" w:fill="auto"/>
            <w:vAlign w:val="center"/>
          </w:tcPr>
          <w:p w:rsidR="00C73FB7" w:rsidRPr="00612A23" w:rsidRDefault="00C73FB7" w:rsidP="00C73FB7">
            <w:pPr>
              <w:tabs>
                <w:tab w:val="left" w:pos="288"/>
                <w:tab w:val="left" w:pos="4752"/>
              </w:tabs>
              <w:rPr>
                <w:rFonts w:eastAsia="Calibri" w:cs="Times New Roman"/>
                <w:b/>
                <w:color w:val="auto"/>
                <w:szCs w:val="24"/>
              </w:rPr>
            </w:pPr>
            <w:r w:rsidRPr="00612A23">
              <w:rPr>
                <w:rFonts w:eastAsia="Calibri" w:cs="Times New Roman"/>
                <w:b/>
                <w:color w:val="auto"/>
                <w:szCs w:val="24"/>
              </w:rPr>
              <w:t>COMBINED</w:t>
            </w:r>
          </w:p>
        </w:tc>
        <w:tc>
          <w:tcPr>
            <w:tcW w:w="810" w:type="dxa"/>
            <w:tcBorders>
              <w:left w:val="single" w:sz="4" w:space="0" w:color="auto"/>
            </w:tcBorders>
            <w:shd w:val="pct15" w:color="auto" w:fill="auto"/>
            <w:vAlign w:val="center"/>
          </w:tcPr>
          <w:p w:rsidR="00C73FB7" w:rsidRPr="00612A23" w:rsidRDefault="003125EF" w:rsidP="003125EF">
            <w:pPr>
              <w:tabs>
                <w:tab w:val="left" w:pos="288"/>
                <w:tab w:val="left" w:pos="4752"/>
              </w:tabs>
              <w:rPr>
                <w:rFonts w:eastAsia="Calibri" w:cs="Times New Roman"/>
                <w:b/>
                <w:color w:val="auto"/>
                <w:szCs w:val="24"/>
              </w:rPr>
            </w:pPr>
            <w:r>
              <w:rPr>
                <w:rFonts w:eastAsia="Calibri" w:cs="Times New Roman"/>
                <w:b/>
                <w:color w:val="auto"/>
                <w:szCs w:val="24"/>
              </w:rPr>
              <w:t>4</w:t>
            </w:r>
            <w:r w:rsidR="00C73FB7" w:rsidRPr="00612A23">
              <w:rPr>
                <w:rFonts w:eastAsia="Calibri" w:cs="Times New Roman"/>
                <w:b/>
                <w:color w:val="auto"/>
                <w:szCs w:val="24"/>
              </w:rPr>
              <w:t>0%</w:t>
            </w:r>
          </w:p>
        </w:tc>
        <w:tc>
          <w:tcPr>
            <w:tcW w:w="1530" w:type="dxa"/>
            <w:shd w:val="pct15" w:color="auto" w:fill="auto"/>
            <w:vAlign w:val="center"/>
          </w:tcPr>
          <w:p w:rsidR="00C73FB7" w:rsidRPr="00612A23" w:rsidRDefault="003125EF" w:rsidP="003125EF">
            <w:pPr>
              <w:tabs>
                <w:tab w:val="left" w:pos="288"/>
                <w:tab w:val="left" w:pos="4752"/>
              </w:tabs>
              <w:rPr>
                <w:rFonts w:eastAsia="Calibri" w:cs="Times New Roman"/>
                <w:b/>
                <w:color w:val="auto"/>
                <w:szCs w:val="24"/>
              </w:rPr>
            </w:pPr>
            <w:r>
              <w:rPr>
                <w:rFonts w:eastAsia="Calibri" w:cs="Times New Roman"/>
                <w:b/>
                <w:color w:val="auto"/>
                <w:szCs w:val="24"/>
              </w:rPr>
              <w:t>2</w:t>
            </w:r>
            <w:r w:rsidR="00C73FB7" w:rsidRPr="00612A23">
              <w:rPr>
                <w:rFonts w:eastAsia="Calibri" w:cs="Times New Roman"/>
                <w:b/>
                <w:color w:val="auto"/>
                <w:szCs w:val="24"/>
              </w:rPr>
              <w:t>0%</w:t>
            </w:r>
          </w:p>
        </w:tc>
      </w:tr>
    </w:tbl>
    <w:p w:rsidR="005B1D09" w:rsidRPr="001F29F9" w:rsidRDefault="005B1D09" w:rsidP="00BF0E94">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D91DA6" w:rsidRPr="001F29F9" w:rsidRDefault="00FB1725" w:rsidP="00BF0E94">
      <w:pPr>
        <w:tabs>
          <w:tab w:val="left" w:pos="288"/>
          <w:tab w:val="left" w:pos="4752"/>
        </w:tabs>
        <w:jc w:val="both"/>
        <w:rPr>
          <w:color w:val="000000"/>
        </w:rPr>
      </w:pPr>
      <w:r w:rsidRPr="001F29F9">
        <w:rPr>
          <w:color w:val="000000"/>
        </w:rPr>
        <w:t>The following documentary evidence was considered:</w:t>
      </w:r>
    </w:p>
    <w:p w:rsidR="00114F20" w:rsidRPr="001F29F9" w:rsidRDefault="00FB1725" w:rsidP="00B3575C">
      <w:pPr>
        <w:tabs>
          <w:tab w:val="left" w:pos="288"/>
          <w:tab w:val="left" w:pos="4752"/>
        </w:tabs>
        <w:spacing w:line="440" w:lineRule="exact"/>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632DD7">
        <w:rPr>
          <w:color w:val="000000"/>
          <w:szCs w:val="24"/>
        </w:rPr>
        <w:t>11109</w:t>
      </w:r>
      <w:r w:rsidR="002C1626">
        <w:rPr>
          <w:color w:val="000000"/>
        </w:rPr>
        <w:t>, w/</w:t>
      </w:r>
      <w:proofErr w:type="spellStart"/>
      <w:r w:rsidR="002C1626">
        <w:rPr>
          <w:color w:val="000000"/>
        </w:rPr>
        <w:t>atchs</w:t>
      </w:r>
      <w:proofErr w:type="spellEnd"/>
    </w:p>
    <w:p w:rsidR="00114F20" w:rsidRPr="001F29F9" w:rsidRDefault="00FB1725" w:rsidP="00BF0E94">
      <w:pPr>
        <w:tabs>
          <w:tab w:val="left" w:pos="288"/>
          <w:tab w:val="left" w:pos="4752"/>
        </w:tabs>
        <w:jc w:val="both"/>
        <w:rPr>
          <w:color w:val="000000"/>
        </w:rPr>
      </w:pPr>
      <w:r w:rsidRPr="001F29F9">
        <w:rPr>
          <w:color w:val="000000"/>
        </w:rPr>
        <w:t>Exhib</w:t>
      </w:r>
      <w:r w:rsidR="002C1626">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w:t>
      </w:r>
      <w:r w:rsidR="002C1626">
        <w:rPr>
          <w:color w:val="000000"/>
        </w:rPr>
        <w:t>terans’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FC29F1">
        <w:rPr>
          <w:color w:val="000000"/>
          <w:szCs w:val="24"/>
        </w:rPr>
        <w:t xml:space="preserve"> </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FC29F1" w:rsidRDefault="002F195B" w:rsidP="009969B0">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FC29F1" w:rsidRDefault="00FC29F1" w:rsidP="00FC29F1">
      <w:pPr>
        <w:tabs>
          <w:tab w:val="left" w:pos="0"/>
          <w:tab w:val="left" w:pos="4320"/>
        </w:tabs>
        <w:jc w:val="both"/>
        <w:rPr>
          <w:color w:val="auto"/>
        </w:rPr>
      </w:pPr>
      <w:r>
        <w:rPr>
          <w:color w:val="000000"/>
          <w:szCs w:val="24"/>
        </w:rPr>
        <w:br w:type="page"/>
      </w:r>
      <w:r>
        <w:rPr>
          <w:color w:val="auto"/>
        </w:rPr>
        <w:lastRenderedPageBreak/>
        <w:t xml:space="preserve">MEMORANDUM FOR DIRECTOR, SECRETARY OF THE NAVY COUNCIL OF REVIEW       </w:t>
      </w:r>
    </w:p>
    <w:p w:rsidR="00FC29F1" w:rsidRDefault="00FC29F1" w:rsidP="00FC29F1">
      <w:pPr>
        <w:tabs>
          <w:tab w:val="left" w:pos="0"/>
          <w:tab w:val="left" w:pos="4320"/>
        </w:tabs>
        <w:jc w:val="both"/>
        <w:rPr>
          <w:color w:val="auto"/>
        </w:rPr>
      </w:pPr>
      <w:r>
        <w:rPr>
          <w:color w:val="auto"/>
        </w:rPr>
        <w:t xml:space="preserve">               BOARDS </w:t>
      </w:r>
    </w:p>
    <w:p w:rsidR="00FC29F1" w:rsidRDefault="00FC29F1" w:rsidP="00FC29F1">
      <w:pPr>
        <w:tabs>
          <w:tab w:val="left" w:pos="0"/>
          <w:tab w:val="left" w:pos="4320"/>
        </w:tabs>
        <w:jc w:val="both"/>
        <w:rPr>
          <w:color w:val="000000"/>
          <w:szCs w:val="24"/>
        </w:rPr>
      </w:pPr>
    </w:p>
    <w:p w:rsidR="00FC29F1" w:rsidRDefault="00FC29F1" w:rsidP="00FC29F1">
      <w:pPr>
        <w:tabs>
          <w:tab w:val="left" w:pos="0"/>
          <w:tab w:val="left" w:pos="4320"/>
        </w:tabs>
        <w:jc w:val="both"/>
        <w:rPr>
          <w:color w:val="auto"/>
        </w:rPr>
      </w:pPr>
      <w:proofErr w:type="spellStart"/>
      <w:r>
        <w:rPr>
          <w:color w:val="auto"/>
        </w:rPr>
        <w:t>Subj</w:t>
      </w:r>
      <w:proofErr w:type="spellEnd"/>
      <w:r>
        <w:rPr>
          <w:color w:val="auto"/>
        </w:rPr>
        <w:t>:  PHYSICAL DISABILITY BOARD OF REVIEW (PDBR) RECOMMENDATIONS</w:t>
      </w:r>
    </w:p>
    <w:p w:rsidR="00FC29F1" w:rsidRDefault="00FC29F1" w:rsidP="00FC29F1">
      <w:pPr>
        <w:tabs>
          <w:tab w:val="left" w:pos="0"/>
          <w:tab w:val="left" w:pos="4320"/>
        </w:tabs>
        <w:jc w:val="both"/>
        <w:rPr>
          <w:color w:val="000000"/>
          <w:szCs w:val="24"/>
        </w:rPr>
      </w:pPr>
    </w:p>
    <w:p w:rsidR="00FC29F1" w:rsidRDefault="00FC29F1" w:rsidP="00FC29F1">
      <w:pPr>
        <w:tabs>
          <w:tab w:val="left" w:pos="0"/>
          <w:tab w:val="left" w:pos="4320"/>
        </w:tabs>
        <w:jc w:val="both"/>
        <w:rPr>
          <w:color w:val="auto"/>
        </w:rPr>
      </w:pPr>
      <w:r>
        <w:rPr>
          <w:color w:val="auto"/>
        </w:rPr>
        <w:t xml:space="preserve">Ref:   (a) </w:t>
      </w:r>
      <w:proofErr w:type="spellStart"/>
      <w:r>
        <w:rPr>
          <w:color w:val="auto"/>
        </w:rPr>
        <w:t>DoDI</w:t>
      </w:r>
      <w:proofErr w:type="spellEnd"/>
      <w:r>
        <w:rPr>
          <w:color w:val="auto"/>
        </w:rPr>
        <w:t xml:space="preserve"> 6040.44</w:t>
      </w:r>
    </w:p>
    <w:p w:rsidR="00FC29F1" w:rsidRDefault="00FC29F1" w:rsidP="00FC29F1">
      <w:pPr>
        <w:tabs>
          <w:tab w:val="left" w:pos="0"/>
          <w:tab w:val="left" w:pos="4320"/>
        </w:tabs>
        <w:jc w:val="both"/>
        <w:rPr>
          <w:color w:val="auto"/>
        </w:rPr>
      </w:pPr>
      <w:r>
        <w:rPr>
          <w:color w:val="auto"/>
        </w:rPr>
        <w:t xml:space="preserve">           (b) CORB </w:t>
      </w:r>
      <w:proofErr w:type="spellStart"/>
      <w:r>
        <w:rPr>
          <w:color w:val="auto"/>
        </w:rPr>
        <w:t>ltr</w:t>
      </w:r>
      <w:proofErr w:type="spellEnd"/>
      <w:r>
        <w:rPr>
          <w:color w:val="auto"/>
        </w:rPr>
        <w:t xml:space="preserve"> </w:t>
      </w:r>
      <w:proofErr w:type="spellStart"/>
      <w:r>
        <w:rPr>
          <w:color w:val="auto"/>
        </w:rPr>
        <w:t>dtd</w:t>
      </w:r>
      <w:proofErr w:type="spellEnd"/>
      <w:r>
        <w:rPr>
          <w:color w:val="auto"/>
        </w:rPr>
        <w:t xml:space="preserve"> 16 Aug 12</w:t>
      </w:r>
    </w:p>
    <w:p w:rsidR="00FC29F1" w:rsidRDefault="00FC29F1" w:rsidP="00FC29F1">
      <w:pPr>
        <w:tabs>
          <w:tab w:val="left" w:pos="0"/>
          <w:tab w:val="left" w:pos="4320"/>
        </w:tabs>
        <w:jc w:val="both"/>
        <w:rPr>
          <w:color w:val="000000"/>
          <w:szCs w:val="24"/>
        </w:rPr>
      </w:pPr>
    </w:p>
    <w:p w:rsidR="00FC29F1" w:rsidRDefault="00FC29F1" w:rsidP="00FC29F1">
      <w:pPr>
        <w:tabs>
          <w:tab w:val="left" w:pos="0"/>
          <w:tab w:val="left" w:pos="4320"/>
        </w:tabs>
        <w:jc w:val="both"/>
        <w:rPr>
          <w:color w:val="auto"/>
        </w:rPr>
      </w:pPr>
      <w:r>
        <w:rPr>
          <w:color w:val="auto"/>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 Physical Evaluation Board:</w:t>
      </w:r>
    </w:p>
    <w:p w:rsidR="00FC29F1" w:rsidRDefault="00FC29F1" w:rsidP="00FC29F1">
      <w:pPr>
        <w:tabs>
          <w:tab w:val="left" w:pos="0"/>
          <w:tab w:val="left" w:pos="4320"/>
        </w:tabs>
        <w:jc w:val="both"/>
        <w:rPr>
          <w:color w:val="000000"/>
          <w:szCs w:val="24"/>
        </w:rPr>
      </w:pPr>
    </w:p>
    <w:p w:rsidR="00FC29F1" w:rsidRDefault="00FC29F1" w:rsidP="00FC29F1">
      <w:pPr>
        <w:numPr>
          <w:ilvl w:val="0"/>
          <w:numId w:val="23"/>
        </w:numPr>
        <w:tabs>
          <w:tab w:val="left" w:pos="0"/>
          <w:tab w:val="left" w:pos="4320"/>
        </w:tabs>
        <w:jc w:val="both"/>
        <w:rPr>
          <w:color w:val="auto"/>
        </w:rPr>
      </w:pPr>
      <w:r>
        <w:rPr>
          <w:color w:val="auto"/>
        </w:rPr>
        <w:t>former USMC</w:t>
      </w:r>
    </w:p>
    <w:p w:rsidR="00FC29F1" w:rsidRDefault="00FC29F1" w:rsidP="00FC29F1">
      <w:pPr>
        <w:numPr>
          <w:ilvl w:val="0"/>
          <w:numId w:val="23"/>
        </w:numPr>
        <w:tabs>
          <w:tab w:val="left" w:pos="0"/>
          <w:tab w:val="left" w:pos="4320"/>
        </w:tabs>
        <w:jc w:val="both"/>
        <w:rPr>
          <w:color w:val="auto"/>
        </w:rPr>
      </w:pPr>
      <w:r>
        <w:rPr>
          <w:color w:val="auto"/>
        </w:rPr>
        <w:t>former USN</w:t>
      </w:r>
    </w:p>
    <w:p w:rsidR="00FC29F1" w:rsidRDefault="00FC29F1" w:rsidP="00FC29F1">
      <w:pPr>
        <w:numPr>
          <w:ilvl w:val="0"/>
          <w:numId w:val="23"/>
        </w:numPr>
        <w:tabs>
          <w:tab w:val="left" w:pos="0"/>
          <w:tab w:val="left" w:pos="4320"/>
        </w:tabs>
        <w:jc w:val="both"/>
        <w:rPr>
          <w:color w:val="auto"/>
        </w:rPr>
      </w:pPr>
      <w:r>
        <w:rPr>
          <w:color w:val="auto"/>
        </w:rPr>
        <w:t xml:space="preserve">former USN </w:t>
      </w:r>
    </w:p>
    <w:p w:rsidR="00FC29F1" w:rsidRDefault="00FC29F1" w:rsidP="00FC29F1">
      <w:pPr>
        <w:numPr>
          <w:ilvl w:val="0"/>
          <w:numId w:val="23"/>
        </w:numPr>
        <w:tabs>
          <w:tab w:val="left" w:pos="0"/>
          <w:tab w:val="left" w:pos="4320"/>
        </w:tabs>
        <w:jc w:val="both"/>
        <w:rPr>
          <w:color w:val="auto"/>
        </w:rPr>
      </w:pPr>
      <w:r>
        <w:rPr>
          <w:color w:val="auto"/>
        </w:rPr>
        <w:t xml:space="preserve">former USN </w:t>
      </w:r>
    </w:p>
    <w:p w:rsidR="00FC29F1" w:rsidRDefault="00FC29F1" w:rsidP="00FC29F1">
      <w:pPr>
        <w:numPr>
          <w:ilvl w:val="0"/>
          <w:numId w:val="23"/>
        </w:numPr>
        <w:tabs>
          <w:tab w:val="left" w:pos="0"/>
          <w:tab w:val="left" w:pos="4320"/>
        </w:tabs>
        <w:jc w:val="both"/>
        <w:rPr>
          <w:color w:val="auto"/>
        </w:rPr>
      </w:pPr>
      <w:r>
        <w:rPr>
          <w:color w:val="auto"/>
        </w:rPr>
        <w:t>former USMC</w:t>
      </w:r>
    </w:p>
    <w:p w:rsidR="00FC29F1" w:rsidRDefault="00FC29F1" w:rsidP="00FC29F1">
      <w:pPr>
        <w:numPr>
          <w:ilvl w:val="0"/>
          <w:numId w:val="23"/>
        </w:numPr>
        <w:tabs>
          <w:tab w:val="left" w:pos="0"/>
          <w:tab w:val="left" w:pos="4320"/>
        </w:tabs>
        <w:jc w:val="both"/>
        <w:rPr>
          <w:color w:val="auto"/>
        </w:rPr>
      </w:pPr>
      <w:r>
        <w:rPr>
          <w:color w:val="auto"/>
        </w:rPr>
        <w:t xml:space="preserve">former USN </w:t>
      </w:r>
    </w:p>
    <w:p w:rsidR="00FC29F1" w:rsidRDefault="00FC29F1" w:rsidP="00FC29F1">
      <w:pPr>
        <w:tabs>
          <w:tab w:val="left" w:pos="0"/>
          <w:tab w:val="left" w:pos="4320"/>
        </w:tabs>
        <w:jc w:val="both"/>
        <w:rPr>
          <w:color w:val="auto"/>
        </w:rPr>
      </w:pPr>
      <w:r>
        <w:rPr>
          <w:color w:val="auto"/>
        </w:rPr>
        <w:t xml:space="preserve">    </w:t>
      </w:r>
    </w:p>
    <w:p w:rsidR="00FC29F1" w:rsidRDefault="00FC29F1" w:rsidP="00FC29F1">
      <w:pPr>
        <w:tabs>
          <w:tab w:val="left" w:pos="0"/>
          <w:tab w:val="left" w:pos="4320"/>
        </w:tabs>
        <w:jc w:val="both"/>
        <w:rPr>
          <w:color w:val="000000"/>
          <w:szCs w:val="24"/>
        </w:rPr>
      </w:pPr>
    </w:p>
    <w:p w:rsidR="00FC29F1" w:rsidRDefault="00FC29F1" w:rsidP="00FC29F1">
      <w:pPr>
        <w:tabs>
          <w:tab w:val="left" w:pos="0"/>
          <w:tab w:val="left" w:pos="4320"/>
        </w:tabs>
        <w:jc w:val="both"/>
        <w:rPr>
          <w:color w:val="000000"/>
          <w:szCs w:val="24"/>
        </w:rPr>
      </w:pPr>
    </w:p>
    <w:p w:rsidR="00FC29F1" w:rsidRDefault="00FC29F1" w:rsidP="00FC29F1">
      <w:pPr>
        <w:tabs>
          <w:tab w:val="left" w:pos="0"/>
          <w:tab w:val="left" w:pos="4320"/>
        </w:tabs>
        <w:jc w:val="both"/>
        <w:rPr>
          <w:color w:val="000000"/>
          <w:szCs w:val="24"/>
        </w:rPr>
      </w:pPr>
      <w:r>
        <w:rPr>
          <w:color w:val="auto"/>
          <w:szCs w:val="24"/>
        </w:rPr>
        <w:tab/>
      </w:r>
      <w:r>
        <w:rPr>
          <w:color w:val="000000"/>
          <w:szCs w:val="24"/>
        </w:rPr>
        <w:t xml:space="preserve"> </w:t>
      </w:r>
    </w:p>
    <w:p w:rsidR="00FC29F1" w:rsidRDefault="00FC29F1" w:rsidP="00FC29F1">
      <w:pPr>
        <w:tabs>
          <w:tab w:val="left" w:pos="0"/>
          <w:tab w:val="left" w:pos="4320"/>
        </w:tabs>
        <w:jc w:val="both"/>
        <w:rPr>
          <w:color w:val="auto"/>
        </w:rPr>
      </w:pPr>
      <w:r>
        <w:rPr>
          <w:color w:val="auto"/>
          <w:szCs w:val="24"/>
        </w:rPr>
        <w:tab/>
      </w:r>
      <w:r>
        <w:rPr>
          <w:color w:val="auto"/>
        </w:rPr>
        <w:t>Assistant General Counsel</w:t>
      </w:r>
    </w:p>
    <w:p w:rsidR="00FC29F1" w:rsidRDefault="00FC29F1" w:rsidP="00FC29F1">
      <w:pPr>
        <w:tabs>
          <w:tab w:val="left" w:pos="0"/>
          <w:tab w:val="left" w:pos="4320"/>
        </w:tabs>
        <w:jc w:val="both"/>
        <w:rPr>
          <w:color w:val="auto"/>
        </w:rPr>
      </w:pPr>
      <w:r>
        <w:rPr>
          <w:color w:val="auto"/>
          <w:szCs w:val="24"/>
        </w:rPr>
        <w:tab/>
      </w:r>
      <w:r>
        <w:rPr>
          <w:color w:val="auto"/>
        </w:rPr>
        <w:t xml:space="preserve">  (Manpower &amp; Reserve Affairs)</w:t>
      </w:r>
    </w:p>
    <w:p w:rsidR="00A74452" w:rsidRDefault="00A74452" w:rsidP="00FC29F1">
      <w:pPr>
        <w:spacing w:line="240" w:lineRule="auto"/>
        <w:jc w:val="left"/>
        <w:rPr>
          <w:color w:val="000000"/>
          <w:szCs w:val="24"/>
          <w:u w:val="single"/>
        </w:rPr>
      </w:pPr>
      <w:bookmarkStart w:id="0" w:name="_GoBack"/>
      <w:bookmarkEnd w:id="0"/>
    </w:p>
    <w:sectPr w:rsidR="00A74452"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CE" w:rsidRDefault="001E3DCE">
      <w:r>
        <w:separator/>
      </w:r>
    </w:p>
  </w:endnote>
  <w:endnote w:type="continuationSeparator" w:id="0">
    <w:p w:rsidR="001E3DCE" w:rsidRDefault="001E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7D8E0D66-530B-4EE9-A350-14B8E2D9EF9B}"/>
    <w:embedBold r:id="rId2" w:fontKey="{09DB4BB5-8AAB-417F-99E3-5CDD560E6DFF}"/>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B7" w:rsidRPr="00374247" w:rsidRDefault="00C73FB7" w:rsidP="00374247">
    <w:pPr>
      <w:pStyle w:val="Footer"/>
      <w:ind w:firstLine="4320"/>
      <w:rPr>
        <w:color w:val="auto"/>
        <w:szCs w:val="24"/>
      </w:rPr>
    </w:pPr>
    <w:r w:rsidRPr="00374247">
      <w:rPr>
        <w:color w:val="auto"/>
        <w:szCs w:val="24"/>
      </w:rPr>
      <w:t xml:space="preserve">   </w:t>
    </w:r>
    <w:r w:rsidR="00597AEF" w:rsidRPr="00374247">
      <w:rPr>
        <w:color w:val="auto"/>
        <w:szCs w:val="24"/>
      </w:rPr>
      <w:fldChar w:fldCharType="begin"/>
    </w:r>
    <w:r w:rsidRPr="00374247">
      <w:rPr>
        <w:color w:val="auto"/>
        <w:szCs w:val="24"/>
      </w:rPr>
      <w:instrText xml:space="preserve"> PAGE   \* MERGEFORMAT </w:instrText>
    </w:r>
    <w:r w:rsidR="00597AEF" w:rsidRPr="00374247">
      <w:rPr>
        <w:color w:val="auto"/>
        <w:szCs w:val="24"/>
      </w:rPr>
      <w:fldChar w:fldCharType="separate"/>
    </w:r>
    <w:r w:rsidR="00FC29F1" w:rsidRPr="00FC29F1">
      <w:rPr>
        <w:noProof/>
        <w:color w:val="auto"/>
      </w:rPr>
      <w:t>4</w:t>
    </w:r>
    <w:r w:rsidR="00597AEF" w:rsidRPr="00374247">
      <w:rPr>
        <w:color w:val="auto"/>
        <w:szCs w:val="24"/>
      </w:rPr>
      <w:fldChar w:fldCharType="end"/>
    </w:r>
    <w:r w:rsidRPr="00374247">
      <w:rPr>
        <w:color w:val="auto"/>
        <w:szCs w:val="24"/>
      </w:rPr>
      <w:t xml:space="preserve">                                                           </w:t>
    </w:r>
    <w:r w:rsidRPr="00632DD7">
      <w:rPr>
        <w:color w:val="auto"/>
        <w:szCs w:val="24"/>
      </w:rPr>
      <w:t>PD1101031</w:t>
    </w:r>
  </w:p>
  <w:p w:rsidR="00C73FB7" w:rsidRPr="00684CE6" w:rsidRDefault="00C73FB7">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CE" w:rsidRDefault="001E3DCE">
      <w:r>
        <w:separator/>
      </w:r>
    </w:p>
  </w:footnote>
  <w:footnote w:type="continuationSeparator" w:id="0">
    <w:p w:rsidR="001E3DCE" w:rsidRDefault="001E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D02C03"/>
    <w:multiLevelType w:val="hybridMultilevel"/>
    <w:tmpl w:val="451A4B46"/>
    <w:lvl w:ilvl="0" w:tplc="C87A9854">
      <w:start w:val="2"/>
      <w:numFmt w:val="bullet"/>
      <w:lvlText w:val="-"/>
      <w:lvlJc w:val="left"/>
      <w:pPr>
        <w:ind w:left="900" w:hanging="360"/>
      </w:pPr>
      <w:rPr>
        <w:rFonts w:ascii="Courier New" w:eastAsia="Times New Roman"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24F5"/>
    <w:rsid w:val="000030A4"/>
    <w:rsid w:val="000059FA"/>
    <w:rsid w:val="00006186"/>
    <w:rsid w:val="00006F87"/>
    <w:rsid w:val="00007107"/>
    <w:rsid w:val="00010ABA"/>
    <w:rsid w:val="00010B0F"/>
    <w:rsid w:val="00012428"/>
    <w:rsid w:val="00012733"/>
    <w:rsid w:val="00013417"/>
    <w:rsid w:val="000145C2"/>
    <w:rsid w:val="0001473F"/>
    <w:rsid w:val="00014A47"/>
    <w:rsid w:val="00014A9E"/>
    <w:rsid w:val="00015A5D"/>
    <w:rsid w:val="00017778"/>
    <w:rsid w:val="00021361"/>
    <w:rsid w:val="00022CF3"/>
    <w:rsid w:val="00023913"/>
    <w:rsid w:val="00023D43"/>
    <w:rsid w:val="00024002"/>
    <w:rsid w:val="00024DE7"/>
    <w:rsid w:val="00024EDA"/>
    <w:rsid w:val="00026092"/>
    <w:rsid w:val="00030776"/>
    <w:rsid w:val="000307E0"/>
    <w:rsid w:val="000325EF"/>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C0C"/>
    <w:rsid w:val="000575C5"/>
    <w:rsid w:val="000577C9"/>
    <w:rsid w:val="00060FFD"/>
    <w:rsid w:val="00061D69"/>
    <w:rsid w:val="00063355"/>
    <w:rsid w:val="0006431E"/>
    <w:rsid w:val="000652EA"/>
    <w:rsid w:val="00065E21"/>
    <w:rsid w:val="000673ED"/>
    <w:rsid w:val="00067854"/>
    <w:rsid w:val="00070A71"/>
    <w:rsid w:val="00070DED"/>
    <w:rsid w:val="00072433"/>
    <w:rsid w:val="00072B3E"/>
    <w:rsid w:val="0007388C"/>
    <w:rsid w:val="0007449E"/>
    <w:rsid w:val="0007488B"/>
    <w:rsid w:val="00075702"/>
    <w:rsid w:val="00075A0C"/>
    <w:rsid w:val="00075EF7"/>
    <w:rsid w:val="000775C2"/>
    <w:rsid w:val="00077835"/>
    <w:rsid w:val="000806AD"/>
    <w:rsid w:val="00080BDF"/>
    <w:rsid w:val="00080C57"/>
    <w:rsid w:val="00082482"/>
    <w:rsid w:val="00082CA0"/>
    <w:rsid w:val="00084CF2"/>
    <w:rsid w:val="00085D7B"/>
    <w:rsid w:val="0008708B"/>
    <w:rsid w:val="0009198E"/>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1A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5EC"/>
    <w:rsid w:val="000E7034"/>
    <w:rsid w:val="000F02BE"/>
    <w:rsid w:val="000F0928"/>
    <w:rsid w:val="000F0B3D"/>
    <w:rsid w:val="000F1E65"/>
    <w:rsid w:val="000F2E47"/>
    <w:rsid w:val="000F427B"/>
    <w:rsid w:val="000F43D0"/>
    <w:rsid w:val="000F4F18"/>
    <w:rsid w:val="000F688E"/>
    <w:rsid w:val="000F6B3B"/>
    <w:rsid w:val="000F7181"/>
    <w:rsid w:val="000F7581"/>
    <w:rsid w:val="001007CE"/>
    <w:rsid w:val="001008C1"/>
    <w:rsid w:val="001023DB"/>
    <w:rsid w:val="00102B8D"/>
    <w:rsid w:val="001031F4"/>
    <w:rsid w:val="00103948"/>
    <w:rsid w:val="00103CCF"/>
    <w:rsid w:val="00104135"/>
    <w:rsid w:val="0010417F"/>
    <w:rsid w:val="001042D2"/>
    <w:rsid w:val="0010530E"/>
    <w:rsid w:val="00105C07"/>
    <w:rsid w:val="00106920"/>
    <w:rsid w:val="00106AD8"/>
    <w:rsid w:val="001078DB"/>
    <w:rsid w:val="001079FA"/>
    <w:rsid w:val="00107EC5"/>
    <w:rsid w:val="001103CD"/>
    <w:rsid w:val="00113D2A"/>
    <w:rsid w:val="00114A44"/>
    <w:rsid w:val="00114F20"/>
    <w:rsid w:val="0011590B"/>
    <w:rsid w:val="001211AF"/>
    <w:rsid w:val="001215DF"/>
    <w:rsid w:val="001219DF"/>
    <w:rsid w:val="0012220B"/>
    <w:rsid w:val="00122ABE"/>
    <w:rsid w:val="001231DC"/>
    <w:rsid w:val="0012453A"/>
    <w:rsid w:val="0012489B"/>
    <w:rsid w:val="001266B5"/>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0A9D"/>
    <w:rsid w:val="00161642"/>
    <w:rsid w:val="00161761"/>
    <w:rsid w:val="00161DD3"/>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565"/>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701"/>
    <w:rsid w:val="001B20E6"/>
    <w:rsid w:val="001B4843"/>
    <w:rsid w:val="001B4C0B"/>
    <w:rsid w:val="001B4D12"/>
    <w:rsid w:val="001B4EC2"/>
    <w:rsid w:val="001B5B59"/>
    <w:rsid w:val="001B60E0"/>
    <w:rsid w:val="001B66B0"/>
    <w:rsid w:val="001B745C"/>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29F"/>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DCE"/>
    <w:rsid w:val="001E3F7C"/>
    <w:rsid w:val="001E3FE1"/>
    <w:rsid w:val="001E41FE"/>
    <w:rsid w:val="001E635C"/>
    <w:rsid w:val="001F0297"/>
    <w:rsid w:val="001F186B"/>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272"/>
    <w:rsid w:val="00220F5C"/>
    <w:rsid w:val="00220FA9"/>
    <w:rsid w:val="00221154"/>
    <w:rsid w:val="002216BF"/>
    <w:rsid w:val="00221B9B"/>
    <w:rsid w:val="00222268"/>
    <w:rsid w:val="00225080"/>
    <w:rsid w:val="00225196"/>
    <w:rsid w:val="00225CB4"/>
    <w:rsid w:val="002268CB"/>
    <w:rsid w:val="00226B1A"/>
    <w:rsid w:val="0022782F"/>
    <w:rsid w:val="00227F0B"/>
    <w:rsid w:val="0023049F"/>
    <w:rsid w:val="002310C3"/>
    <w:rsid w:val="002316F6"/>
    <w:rsid w:val="00231AD5"/>
    <w:rsid w:val="00232028"/>
    <w:rsid w:val="00232C9B"/>
    <w:rsid w:val="00232E73"/>
    <w:rsid w:val="00232F09"/>
    <w:rsid w:val="002335D5"/>
    <w:rsid w:val="002338CA"/>
    <w:rsid w:val="00233FE5"/>
    <w:rsid w:val="00234B3B"/>
    <w:rsid w:val="00234D98"/>
    <w:rsid w:val="00235AD0"/>
    <w:rsid w:val="00235B4D"/>
    <w:rsid w:val="00236018"/>
    <w:rsid w:val="002374C9"/>
    <w:rsid w:val="0024162D"/>
    <w:rsid w:val="0024174E"/>
    <w:rsid w:val="00242238"/>
    <w:rsid w:val="0024227D"/>
    <w:rsid w:val="00242D14"/>
    <w:rsid w:val="002432F4"/>
    <w:rsid w:val="00245473"/>
    <w:rsid w:val="00246860"/>
    <w:rsid w:val="002468D9"/>
    <w:rsid w:val="00246995"/>
    <w:rsid w:val="00246DFF"/>
    <w:rsid w:val="00246E89"/>
    <w:rsid w:val="0025183C"/>
    <w:rsid w:val="00252351"/>
    <w:rsid w:val="002528EC"/>
    <w:rsid w:val="00253EAA"/>
    <w:rsid w:val="00255049"/>
    <w:rsid w:val="00256143"/>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CB2"/>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2F35"/>
    <w:rsid w:val="00293DB6"/>
    <w:rsid w:val="00293FE8"/>
    <w:rsid w:val="00294437"/>
    <w:rsid w:val="00296686"/>
    <w:rsid w:val="00297A00"/>
    <w:rsid w:val="00297A45"/>
    <w:rsid w:val="00297E20"/>
    <w:rsid w:val="002A233F"/>
    <w:rsid w:val="002A3237"/>
    <w:rsid w:val="002A4119"/>
    <w:rsid w:val="002A4971"/>
    <w:rsid w:val="002A520C"/>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1457"/>
    <w:rsid w:val="002C1626"/>
    <w:rsid w:val="002C34F6"/>
    <w:rsid w:val="002C3B6D"/>
    <w:rsid w:val="002C3F59"/>
    <w:rsid w:val="002C5D9D"/>
    <w:rsid w:val="002C5F10"/>
    <w:rsid w:val="002C6E5B"/>
    <w:rsid w:val="002D08F3"/>
    <w:rsid w:val="002D18B4"/>
    <w:rsid w:val="002D2058"/>
    <w:rsid w:val="002D231A"/>
    <w:rsid w:val="002D5330"/>
    <w:rsid w:val="002D5F57"/>
    <w:rsid w:val="002D603C"/>
    <w:rsid w:val="002D73D4"/>
    <w:rsid w:val="002D7787"/>
    <w:rsid w:val="002E15DE"/>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6D8"/>
    <w:rsid w:val="002F6AD8"/>
    <w:rsid w:val="002F7F81"/>
    <w:rsid w:val="00300A36"/>
    <w:rsid w:val="00301B45"/>
    <w:rsid w:val="00305856"/>
    <w:rsid w:val="00305867"/>
    <w:rsid w:val="0030678B"/>
    <w:rsid w:val="00306D16"/>
    <w:rsid w:val="00307595"/>
    <w:rsid w:val="00307DA6"/>
    <w:rsid w:val="00310CD7"/>
    <w:rsid w:val="003125EF"/>
    <w:rsid w:val="00313C3A"/>
    <w:rsid w:val="00313D7A"/>
    <w:rsid w:val="003155FB"/>
    <w:rsid w:val="00316032"/>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B55"/>
    <w:rsid w:val="00332DE3"/>
    <w:rsid w:val="0033334F"/>
    <w:rsid w:val="0033414F"/>
    <w:rsid w:val="00334514"/>
    <w:rsid w:val="0033555E"/>
    <w:rsid w:val="0033601F"/>
    <w:rsid w:val="00336805"/>
    <w:rsid w:val="00337351"/>
    <w:rsid w:val="00341A54"/>
    <w:rsid w:val="003422F6"/>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23A"/>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06F"/>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02F8"/>
    <w:rsid w:val="003A27B2"/>
    <w:rsid w:val="003A40B4"/>
    <w:rsid w:val="003A41BA"/>
    <w:rsid w:val="003A5491"/>
    <w:rsid w:val="003A5958"/>
    <w:rsid w:val="003A694D"/>
    <w:rsid w:val="003A6A99"/>
    <w:rsid w:val="003A6E60"/>
    <w:rsid w:val="003A727F"/>
    <w:rsid w:val="003A76AB"/>
    <w:rsid w:val="003A7FF8"/>
    <w:rsid w:val="003B17AC"/>
    <w:rsid w:val="003B2143"/>
    <w:rsid w:val="003B227A"/>
    <w:rsid w:val="003B3A77"/>
    <w:rsid w:val="003B4319"/>
    <w:rsid w:val="003B5854"/>
    <w:rsid w:val="003B5F80"/>
    <w:rsid w:val="003B6764"/>
    <w:rsid w:val="003B7A8B"/>
    <w:rsid w:val="003C11D1"/>
    <w:rsid w:val="003C247E"/>
    <w:rsid w:val="003C294B"/>
    <w:rsid w:val="003C2E7A"/>
    <w:rsid w:val="003C31D6"/>
    <w:rsid w:val="003C4999"/>
    <w:rsid w:val="003C5046"/>
    <w:rsid w:val="003C5645"/>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864"/>
    <w:rsid w:val="003E0B5A"/>
    <w:rsid w:val="003E1682"/>
    <w:rsid w:val="003E31E3"/>
    <w:rsid w:val="003E3E93"/>
    <w:rsid w:val="003E4290"/>
    <w:rsid w:val="003E46D1"/>
    <w:rsid w:val="003E6214"/>
    <w:rsid w:val="003E7E81"/>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674"/>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BD2"/>
    <w:rsid w:val="00433F36"/>
    <w:rsid w:val="0043410A"/>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29B"/>
    <w:rsid w:val="00466CED"/>
    <w:rsid w:val="00466EB5"/>
    <w:rsid w:val="00467592"/>
    <w:rsid w:val="00467690"/>
    <w:rsid w:val="00467A14"/>
    <w:rsid w:val="004718E7"/>
    <w:rsid w:val="00472289"/>
    <w:rsid w:val="00472535"/>
    <w:rsid w:val="00475F4C"/>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AA9"/>
    <w:rsid w:val="004A0C79"/>
    <w:rsid w:val="004A24D2"/>
    <w:rsid w:val="004A3214"/>
    <w:rsid w:val="004A4136"/>
    <w:rsid w:val="004A417B"/>
    <w:rsid w:val="004A4378"/>
    <w:rsid w:val="004A712D"/>
    <w:rsid w:val="004A7C03"/>
    <w:rsid w:val="004B03F3"/>
    <w:rsid w:val="004B0CC9"/>
    <w:rsid w:val="004B2536"/>
    <w:rsid w:val="004B46D7"/>
    <w:rsid w:val="004B556B"/>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517B"/>
    <w:rsid w:val="004D6E90"/>
    <w:rsid w:val="004D6F2B"/>
    <w:rsid w:val="004E0248"/>
    <w:rsid w:val="004E21A3"/>
    <w:rsid w:val="004E32EA"/>
    <w:rsid w:val="004E3517"/>
    <w:rsid w:val="004E3D3F"/>
    <w:rsid w:val="004E6866"/>
    <w:rsid w:val="004F0C58"/>
    <w:rsid w:val="004F21DA"/>
    <w:rsid w:val="004F3222"/>
    <w:rsid w:val="004F3639"/>
    <w:rsid w:val="004F3BFA"/>
    <w:rsid w:val="004F4E3C"/>
    <w:rsid w:val="004F5A1A"/>
    <w:rsid w:val="004F6BC6"/>
    <w:rsid w:val="004F77A3"/>
    <w:rsid w:val="005000AB"/>
    <w:rsid w:val="00500EAF"/>
    <w:rsid w:val="00500F3C"/>
    <w:rsid w:val="00501068"/>
    <w:rsid w:val="0050160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5F15"/>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66C"/>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C2D"/>
    <w:rsid w:val="00560D57"/>
    <w:rsid w:val="0056231F"/>
    <w:rsid w:val="00562A94"/>
    <w:rsid w:val="00563FAD"/>
    <w:rsid w:val="005675D8"/>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5F7"/>
    <w:rsid w:val="00593043"/>
    <w:rsid w:val="00595B60"/>
    <w:rsid w:val="00595B63"/>
    <w:rsid w:val="00595BF0"/>
    <w:rsid w:val="00597AEF"/>
    <w:rsid w:val="00597E16"/>
    <w:rsid w:val="005A0B1D"/>
    <w:rsid w:val="005A1846"/>
    <w:rsid w:val="005A241C"/>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B7AE0"/>
    <w:rsid w:val="005C0E87"/>
    <w:rsid w:val="005C1398"/>
    <w:rsid w:val="005C16F3"/>
    <w:rsid w:val="005C17B0"/>
    <w:rsid w:val="005C1FE3"/>
    <w:rsid w:val="005C3758"/>
    <w:rsid w:val="005C3F4C"/>
    <w:rsid w:val="005C4AA3"/>
    <w:rsid w:val="005C4D72"/>
    <w:rsid w:val="005C50C1"/>
    <w:rsid w:val="005C62C2"/>
    <w:rsid w:val="005D2306"/>
    <w:rsid w:val="005D2562"/>
    <w:rsid w:val="005D2666"/>
    <w:rsid w:val="005D4548"/>
    <w:rsid w:val="005D4A74"/>
    <w:rsid w:val="005D5E91"/>
    <w:rsid w:val="005D5FD7"/>
    <w:rsid w:val="005D67EF"/>
    <w:rsid w:val="005E3064"/>
    <w:rsid w:val="005E54DC"/>
    <w:rsid w:val="005E65DC"/>
    <w:rsid w:val="005E6AEE"/>
    <w:rsid w:val="005E72B2"/>
    <w:rsid w:val="005E79A0"/>
    <w:rsid w:val="005F097E"/>
    <w:rsid w:val="005F1115"/>
    <w:rsid w:val="005F1AB6"/>
    <w:rsid w:val="005F246E"/>
    <w:rsid w:val="005F27F2"/>
    <w:rsid w:val="005F2B27"/>
    <w:rsid w:val="005F30FB"/>
    <w:rsid w:val="005F3567"/>
    <w:rsid w:val="005F3AFE"/>
    <w:rsid w:val="005F424D"/>
    <w:rsid w:val="005F55F5"/>
    <w:rsid w:val="005F5EC1"/>
    <w:rsid w:val="005F67A9"/>
    <w:rsid w:val="005F6B6D"/>
    <w:rsid w:val="005F73CA"/>
    <w:rsid w:val="005F7A11"/>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0E7A"/>
    <w:rsid w:val="006315BA"/>
    <w:rsid w:val="00632DD7"/>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75DF"/>
    <w:rsid w:val="0065114B"/>
    <w:rsid w:val="00651E6D"/>
    <w:rsid w:val="0065237D"/>
    <w:rsid w:val="00652943"/>
    <w:rsid w:val="00653AB2"/>
    <w:rsid w:val="00653D2D"/>
    <w:rsid w:val="0065435E"/>
    <w:rsid w:val="00654551"/>
    <w:rsid w:val="00654F91"/>
    <w:rsid w:val="006552B8"/>
    <w:rsid w:val="006555E7"/>
    <w:rsid w:val="00655CCC"/>
    <w:rsid w:val="006560B6"/>
    <w:rsid w:val="006569AD"/>
    <w:rsid w:val="0065726D"/>
    <w:rsid w:val="006573F2"/>
    <w:rsid w:val="00661BA2"/>
    <w:rsid w:val="00662AD0"/>
    <w:rsid w:val="00662F08"/>
    <w:rsid w:val="00663589"/>
    <w:rsid w:val="00664427"/>
    <w:rsid w:val="00664840"/>
    <w:rsid w:val="006649CD"/>
    <w:rsid w:val="006650ED"/>
    <w:rsid w:val="00665D75"/>
    <w:rsid w:val="006708E3"/>
    <w:rsid w:val="00670DDC"/>
    <w:rsid w:val="00671389"/>
    <w:rsid w:val="00671EB4"/>
    <w:rsid w:val="00673CDC"/>
    <w:rsid w:val="0067443B"/>
    <w:rsid w:val="00675DAC"/>
    <w:rsid w:val="006770AA"/>
    <w:rsid w:val="0068098E"/>
    <w:rsid w:val="006810BD"/>
    <w:rsid w:val="00682486"/>
    <w:rsid w:val="006833A7"/>
    <w:rsid w:val="00683F84"/>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6262"/>
    <w:rsid w:val="006A6812"/>
    <w:rsid w:val="006A71AE"/>
    <w:rsid w:val="006A75FA"/>
    <w:rsid w:val="006A77E0"/>
    <w:rsid w:val="006B07D5"/>
    <w:rsid w:val="006B1309"/>
    <w:rsid w:val="006B14E1"/>
    <w:rsid w:val="006B31E6"/>
    <w:rsid w:val="006B3923"/>
    <w:rsid w:val="006B3F3E"/>
    <w:rsid w:val="006B4AA2"/>
    <w:rsid w:val="006B4C4D"/>
    <w:rsid w:val="006B53C4"/>
    <w:rsid w:val="006B586B"/>
    <w:rsid w:val="006B5923"/>
    <w:rsid w:val="006B67D9"/>
    <w:rsid w:val="006B6C14"/>
    <w:rsid w:val="006B7159"/>
    <w:rsid w:val="006B715E"/>
    <w:rsid w:val="006C1D6E"/>
    <w:rsid w:val="006C204B"/>
    <w:rsid w:val="006C2EF6"/>
    <w:rsid w:val="006C3A68"/>
    <w:rsid w:val="006C3B08"/>
    <w:rsid w:val="006C5E4B"/>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0CB"/>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C19"/>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27BE2"/>
    <w:rsid w:val="0073062D"/>
    <w:rsid w:val="0073093B"/>
    <w:rsid w:val="00730CEF"/>
    <w:rsid w:val="0073254D"/>
    <w:rsid w:val="00732FEE"/>
    <w:rsid w:val="007340F3"/>
    <w:rsid w:val="007347BB"/>
    <w:rsid w:val="00735704"/>
    <w:rsid w:val="00736684"/>
    <w:rsid w:val="00736A49"/>
    <w:rsid w:val="007419A1"/>
    <w:rsid w:val="007421AB"/>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0E73"/>
    <w:rsid w:val="00752035"/>
    <w:rsid w:val="0076100C"/>
    <w:rsid w:val="007612A5"/>
    <w:rsid w:val="007614AF"/>
    <w:rsid w:val="00763CAE"/>
    <w:rsid w:val="00763F95"/>
    <w:rsid w:val="007651ED"/>
    <w:rsid w:val="00766C87"/>
    <w:rsid w:val="00771043"/>
    <w:rsid w:val="0077258F"/>
    <w:rsid w:val="0077272B"/>
    <w:rsid w:val="00773AF7"/>
    <w:rsid w:val="00774E5C"/>
    <w:rsid w:val="00774FFD"/>
    <w:rsid w:val="00780378"/>
    <w:rsid w:val="0078085E"/>
    <w:rsid w:val="00781BD4"/>
    <w:rsid w:val="00782562"/>
    <w:rsid w:val="007828B4"/>
    <w:rsid w:val="00784832"/>
    <w:rsid w:val="00784EA0"/>
    <w:rsid w:val="00785D77"/>
    <w:rsid w:val="00786111"/>
    <w:rsid w:val="00787CCA"/>
    <w:rsid w:val="0079014E"/>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1DB"/>
    <w:rsid w:val="007C3412"/>
    <w:rsid w:val="007C3E5A"/>
    <w:rsid w:val="007C433E"/>
    <w:rsid w:val="007C4452"/>
    <w:rsid w:val="007C4B3C"/>
    <w:rsid w:val="007C4DB1"/>
    <w:rsid w:val="007C4E00"/>
    <w:rsid w:val="007C6046"/>
    <w:rsid w:val="007C605A"/>
    <w:rsid w:val="007C6F0C"/>
    <w:rsid w:val="007C7C39"/>
    <w:rsid w:val="007D0292"/>
    <w:rsid w:val="007D0E1F"/>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76A"/>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71A"/>
    <w:rsid w:val="007F748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467"/>
    <w:rsid w:val="008220F1"/>
    <w:rsid w:val="0082340B"/>
    <w:rsid w:val="00823D6A"/>
    <w:rsid w:val="008249F0"/>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67669"/>
    <w:rsid w:val="00867D8A"/>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1D2B"/>
    <w:rsid w:val="008A39D7"/>
    <w:rsid w:val="008A55DE"/>
    <w:rsid w:val="008A5705"/>
    <w:rsid w:val="008A5C34"/>
    <w:rsid w:val="008A63A9"/>
    <w:rsid w:val="008A6AB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03E"/>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AFE"/>
    <w:rsid w:val="008F1E08"/>
    <w:rsid w:val="008F30F4"/>
    <w:rsid w:val="008F58E1"/>
    <w:rsid w:val="008F6E05"/>
    <w:rsid w:val="008F6FC8"/>
    <w:rsid w:val="0090045D"/>
    <w:rsid w:val="00900906"/>
    <w:rsid w:val="00900D8F"/>
    <w:rsid w:val="00901229"/>
    <w:rsid w:val="009014E3"/>
    <w:rsid w:val="009020ED"/>
    <w:rsid w:val="00902198"/>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CE4"/>
    <w:rsid w:val="00971810"/>
    <w:rsid w:val="00972996"/>
    <w:rsid w:val="009730B4"/>
    <w:rsid w:val="0097320E"/>
    <w:rsid w:val="009732B8"/>
    <w:rsid w:val="00974123"/>
    <w:rsid w:val="00974647"/>
    <w:rsid w:val="0097514A"/>
    <w:rsid w:val="009759C2"/>
    <w:rsid w:val="00975C72"/>
    <w:rsid w:val="00976869"/>
    <w:rsid w:val="00977740"/>
    <w:rsid w:val="00977CB4"/>
    <w:rsid w:val="009809B8"/>
    <w:rsid w:val="00980CC9"/>
    <w:rsid w:val="00981086"/>
    <w:rsid w:val="009818AF"/>
    <w:rsid w:val="00981B1C"/>
    <w:rsid w:val="0098222D"/>
    <w:rsid w:val="009842F3"/>
    <w:rsid w:val="00984EBF"/>
    <w:rsid w:val="00985099"/>
    <w:rsid w:val="00985D32"/>
    <w:rsid w:val="00986054"/>
    <w:rsid w:val="00986514"/>
    <w:rsid w:val="0098669C"/>
    <w:rsid w:val="00986FCC"/>
    <w:rsid w:val="00990FD6"/>
    <w:rsid w:val="009935C3"/>
    <w:rsid w:val="0099421F"/>
    <w:rsid w:val="00994FC8"/>
    <w:rsid w:val="009969B0"/>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833"/>
    <w:rsid w:val="009C0938"/>
    <w:rsid w:val="009C0C22"/>
    <w:rsid w:val="009C15D9"/>
    <w:rsid w:val="009C1A1D"/>
    <w:rsid w:val="009C22C8"/>
    <w:rsid w:val="009C3F82"/>
    <w:rsid w:val="009C582A"/>
    <w:rsid w:val="009C5C56"/>
    <w:rsid w:val="009C68C8"/>
    <w:rsid w:val="009C72DD"/>
    <w:rsid w:val="009C78FD"/>
    <w:rsid w:val="009C7DF5"/>
    <w:rsid w:val="009D056C"/>
    <w:rsid w:val="009D060F"/>
    <w:rsid w:val="009D1ADE"/>
    <w:rsid w:val="009D297C"/>
    <w:rsid w:val="009D3652"/>
    <w:rsid w:val="009D37CA"/>
    <w:rsid w:val="009D4229"/>
    <w:rsid w:val="009D4268"/>
    <w:rsid w:val="009D5DE9"/>
    <w:rsid w:val="009E09D0"/>
    <w:rsid w:val="009E0A29"/>
    <w:rsid w:val="009E1181"/>
    <w:rsid w:val="009E1283"/>
    <w:rsid w:val="009E1C4E"/>
    <w:rsid w:val="009E3A7F"/>
    <w:rsid w:val="009E4C9B"/>
    <w:rsid w:val="009E4DFC"/>
    <w:rsid w:val="009E5789"/>
    <w:rsid w:val="009E57B1"/>
    <w:rsid w:val="009E6379"/>
    <w:rsid w:val="009F020F"/>
    <w:rsid w:val="009F28EB"/>
    <w:rsid w:val="009F3B63"/>
    <w:rsid w:val="009F43E2"/>
    <w:rsid w:val="009F6292"/>
    <w:rsid w:val="009F7708"/>
    <w:rsid w:val="009F7809"/>
    <w:rsid w:val="009F7822"/>
    <w:rsid w:val="009F7AF5"/>
    <w:rsid w:val="00A00613"/>
    <w:rsid w:val="00A006F1"/>
    <w:rsid w:val="00A007A7"/>
    <w:rsid w:val="00A00D14"/>
    <w:rsid w:val="00A01408"/>
    <w:rsid w:val="00A01C36"/>
    <w:rsid w:val="00A02457"/>
    <w:rsid w:val="00A02AA8"/>
    <w:rsid w:val="00A03190"/>
    <w:rsid w:val="00A03A9E"/>
    <w:rsid w:val="00A0404B"/>
    <w:rsid w:val="00A06F66"/>
    <w:rsid w:val="00A0798C"/>
    <w:rsid w:val="00A07BDD"/>
    <w:rsid w:val="00A07F12"/>
    <w:rsid w:val="00A07FB8"/>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0CC"/>
    <w:rsid w:val="00A248C3"/>
    <w:rsid w:val="00A2496E"/>
    <w:rsid w:val="00A2515A"/>
    <w:rsid w:val="00A253E8"/>
    <w:rsid w:val="00A258B7"/>
    <w:rsid w:val="00A25A0C"/>
    <w:rsid w:val="00A25A83"/>
    <w:rsid w:val="00A262B6"/>
    <w:rsid w:val="00A305AD"/>
    <w:rsid w:val="00A31D87"/>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34E"/>
    <w:rsid w:val="00A717EA"/>
    <w:rsid w:val="00A730B0"/>
    <w:rsid w:val="00A73B84"/>
    <w:rsid w:val="00A7411D"/>
    <w:rsid w:val="00A74452"/>
    <w:rsid w:val="00A75261"/>
    <w:rsid w:val="00A756C4"/>
    <w:rsid w:val="00A7592B"/>
    <w:rsid w:val="00A75ED7"/>
    <w:rsid w:val="00A76094"/>
    <w:rsid w:val="00A768E2"/>
    <w:rsid w:val="00A82C52"/>
    <w:rsid w:val="00A838E8"/>
    <w:rsid w:val="00A83C15"/>
    <w:rsid w:val="00A84EC4"/>
    <w:rsid w:val="00A86CB6"/>
    <w:rsid w:val="00A90CAC"/>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E27"/>
    <w:rsid w:val="00AA73AF"/>
    <w:rsid w:val="00AB062D"/>
    <w:rsid w:val="00AB0A8A"/>
    <w:rsid w:val="00AB0E33"/>
    <w:rsid w:val="00AB1754"/>
    <w:rsid w:val="00AB1EB6"/>
    <w:rsid w:val="00AB1F8D"/>
    <w:rsid w:val="00AB27DD"/>
    <w:rsid w:val="00AB4BA4"/>
    <w:rsid w:val="00AB592E"/>
    <w:rsid w:val="00AC0C1C"/>
    <w:rsid w:val="00AC1305"/>
    <w:rsid w:val="00AC3497"/>
    <w:rsid w:val="00AC37BE"/>
    <w:rsid w:val="00AC439D"/>
    <w:rsid w:val="00AC62CC"/>
    <w:rsid w:val="00AC66AB"/>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62D"/>
    <w:rsid w:val="00B02145"/>
    <w:rsid w:val="00B022DC"/>
    <w:rsid w:val="00B02FF8"/>
    <w:rsid w:val="00B04562"/>
    <w:rsid w:val="00B0472F"/>
    <w:rsid w:val="00B06930"/>
    <w:rsid w:val="00B0773A"/>
    <w:rsid w:val="00B07955"/>
    <w:rsid w:val="00B1176B"/>
    <w:rsid w:val="00B140B8"/>
    <w:rsid w:val="00B14FAA"/>
    <w:rsid w:val="00B15BED"/>
    <w:rsid w:val="00B15D30"/>
    <w:rsid w:val="00B15F09"/>
    <w:rsid w:val="00B16D18"/>
    <w:rsid w:val="00B177DE"/>
    <w:rsid w:val="00B17A4A"/>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22F"/>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1AA"/>
    <w:rsid w:val="00B80EDD"/>
    <w:rsid w:val="00B812BD"/>
    <w:rsid w:val="00B81964"/>
    <w:rsid w:val="00B82277"/>
    <w:rsid w:val="00B83F87"/>
    <w:rsid w:val="00B8478F"/>
    <w:rsid w:val="00B84F93"/>
    <w:rsid w:val="00B91676"/>
    <w:rsid w:val="00B9322B"/>
    <w:rsid w:val="00B93640"/>
    <w:rsid w:val="00B955D5"/>
    <w:rsid w:val="00B95833"/>
    <w:rsid w:val="00B962A6"/>
    <w:rsid w:val="00BA1824"/>
    <w:rsid w:val="00BA2D98"/>
    <w:rsid w:val="00BA2F0C"/>
    <w:rsid w:val="00BA30D1"/>
    <w:rsid w:val="00BA30E1"/>
    <w:rsid w:val="00BA4609"/>
    <w:rsid w:val="00BA5BE2"/>
    <w:rsid w:val="00BA6A9C"/>
    <w:rsid w:val="00BA7F46"/>
    <w:rsid w:val="00BB0338"/>
    <w:rsid w:val="00BB0388"/>
    <w:rsid w:val="00BB0A0A"/>
    <w:rsid w:val="00BB133C"/>
    <w:rsid w:val="00BB195E"/>
    <w:rsid w:val="00BB1F04"/>
    <w:rsid w:val="00BB2212"/>
    <w:rsid w:val="00BB45B5"/>
    <w:rsid w:val="00BB4DDE"/>
    <w:rsid w:val="00BB6064"/>
    <w:rsid w:val="00BB65CE"/>
    <w:rsid w:val="00BB7012"/>
    <w:rsid w:val="00BC09D1"/>
    <w:rsid w:val="00BC1CF3"/>
    <w:rsid w:val="00BC2BE0"/>
    <w:rsid w:val="00BC3573"/>
    <w:rsid w:val="00BC5860"/>
    <w:rsid w:val="00BC7F82"/>
    <w:rsid w:val="00BD0A3C"/>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E6D50"/>
    <w:rsid w:val="00BE6E11"/>
    <w:rsid w:val="00BE7DF9"/>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619"/>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416F"/>
    <w:rsid w:val="00C45B27"/>
    <w:rsid w:val="00C4652E"/>
    <w:rsid w:val="00C46E94"/>
    <w:rsid w:val="00C472C7"/>
    <w:rsid w:val="00C47FB4"/>
    <w:rsid w:val="00C5019E"/>
    <w:rsid w:val="00C50C8C"/>
    <w:rsid w:val="00C51962"/>
    <w:rsid w:val="00C5377C"/>
    <w:rsid w:val="00C53E8A"/>
    <w:rsid w:val="00C54583"/>
    <w:rsid w:val="00C54DF3"/>
    <w:rsid w:val="00C560A7"/>
    <w:rsid w:val="00C56FC8"/>
    <w:rsid w:val="00C60F23"/>
    <w:rsid w:val="00C6170B"/>
    <w:rsid w:val="00C62EB2"/>
    <w:rsid w:val="00C63431"/>
    <w:rsid w:val="00C63DFB"/>
    <w:rsid w:val="00C64C87"/>
    <w:rsid w:val="00C65414"/>
    <w:rsid w:val="00C665FE"/>
    <w:rsid w:val="00C71BEC"/>
    <w:rsid w:val="00C725AB"/>
    <w:rsid w:val="00C7372E"/>
    <w:rsid w:val="00C73942"/>
    <w:rsid w:val="00C73A83"/>
    <w:rsid w:val="00C73FB7"/>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D8D"/>
    <w:rsid w:val="00CD76F8"/>
    <w:rsid w:val="00CD77AD"/>
    <w:rsid w:val="00CD78A5"/>
    <w:rsid w:val="00CE02E8"/>
    <w:rsid w:val="00CE069E"/>
    <w:rsid w:val="00CE0DE0"/>
    <w:rsid w:val="00CE2CC2"/>
    <w:rsid w:val="00CE3722"/>
    <w:rsid w:val="00CE64CE"/>
    <w:rsid w:val="00CF158D"/>
    <w:rsid w:val="00CF1F1C"/>
    <w:rsid w:val="00CF2166"/>
    <w:rsid w:val="00CF4340"/>
    <w:rsid w:val="00CF4394"/>
    <w:rsid w:val="00CF48B4"/>
    <w:rsid w:val="00CF5C12"/>
    <w:rsid w:val="00CF5F34"/>
    <w:rsid w:val="00CF64E5"/>
    <w:rsid w:val="00CF7B72"/>
    <w:rsid w:val="00D000A9"/>
    <w:rsid w:val="00D00384"/>
    <w:rsid w:val="00D005DB"/>
    <w:rsid w:val="00D0064E"/>
    <w:rsid w:val="00D00981"/>
    <w:rsid w:val="00D02596"/>
    <w:rsid w:val="00D0280D"/>
    <w:rsid w:val="00D02AEF"/>
    <w:rsid w:val="00D03EC9"/>
    <w:rsid w:val="00D05669"/>
    <w:rsid w:val="00D05AA5"/>
    <w:rsid w:val="00D061EB"/>
    <w:rsid w:val="00D0654D"/>
    <w:rsid w:val="00D06952"/>
    <w:rsid w:val="00D07A72"/>
    <w:rsid w:val="00D10577"/>
    <w:rsid w:val="00D12405"/>
    <w:rsid w:val="00D12A4E"/>
    <w:rsid w:val="00D131BF"/>
    <w:rsid w:val="00D1323B"/>
    <w:rsid w:val="00D14BAE"/>
    <w:rsid w:val="00D15107"/>
    <w:rsid w:val="00D1648B"/>
    <w:rsid w:val="00D16819"/>
    <w:rsid w:val="00D17DD9"/>
    <w:rsid w:val="00D20AC0"/>
    <w:rsid w:val="00D229E7"/>
    <w:rsid w:val="00D22CFF"/>
    <w:rsid w:val="00D2321B"/>
    <w:rsid w:val="00D23350"/>
    <w:rsid w:val="00D237E7"/>
    <w:rsid w:val="00D23DE4"/>
    <w:rsid w:val="00D25A5C"/>
    <w:rsid w:val="00D26873"/>
    <w:rsid w:val="00D27C99"/>
    <w:rsid w:val="00D31683"/>
    <w:rsid w:val="00D33452"/>
    <w:rsid w:val="00D336C8"/>
    <w:rsid w:val="00D339E8"/>
    <w:rsid w:val="00D33FDD"/>
    <w:rsid w:val="00D34E76"/>
    <w:rsid w:val="00D3654A"/>
    <w:rsid w:val="00D3662E"/>
    <w:rsid w:val="00D36E6F"/>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70D"/>
    <w:rsid w:val="00D53F14"/>
    <w:rsid w:val="00D54BE4"/>
    <w:rsid w:val="00D54DDB"/>
    <w:rsid w:val="00D554BC"/>
    <w:rsid w:val="00D560DC"/>
    <w:rsid w:val="00D56602"/>
    <w:rsid w:val="00D60483"/>
    <w:rsid w:val="00D60C0C"/>
    <w:rsid w:val="00D61ABB"/>
    <w:rsid w:val="00D62D5C"/>
    <w:rsid w:val="00D63577"/>
    <w:rsid w:val="00D64921"/>
    <w:rsid w:val="00D67FD7"/>
    <w:rsid w:val="00D704E4"/>
    <w:rsid w:val="00D70549"/>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DE4"/>
    <w:rsid w:val="00D86AB5"/>
    <w:rsid w:val="00D86E57"/>
    <w:rsid w:val="00D876AD"/>
    <w:rsid w:val="00D87788"/>
    <w:rsid w:val="00D877C8"/>
    <w:rsid w:val="00D87DAD"/>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403"/>
    <w:rsid w:val="00DA3EC8"/>
    <w:rsid w:val="00DA40C1"/>
    <w:rsid w:val="00DA5564"/>
    <w:rsid w:val="00DA6B55"/>
    <w:rsid w:val="00DA6B97"/>
    <w:rsid w:val="00DA6CEE"/>
    <w:rsid w:val="00DA6F5F"/>
    <w:rsid w:val="00DB0015"/>
    <w:rsid w:val="00DB0359"/>
    <w:rsid w:val="00DB0ABB"/>
    <w:rsid w:val="00DB0EF9"/>
    <w:rsid w:val="00DB2AAD"/>
    <w:rsid w:val="00DB3231"/>
    <w:rsid w:val="00DB44E2"/>
    <w:rsid w:val="00DB4A6D"/>
    <w:rsid w:val="00DB5431"/>
    <w:rsid w:val="00DB5941"/>
    <w:rsid w:val="00DB626D"/>
    <w:rsid w:val="00DB6365"/>
    <w:rsid w:val="00DB756C"/>
    <w:rsid w:val="00DC02A0"/>
    <w:rsid w:val="00DC07B7"/>
    <w:rsid w:val="00DC0BF1"/>
    <w:rsid w:val="00DC17F2"/>
    <w:rsid w:val="00DC4001"/>
    <w:rsid w:val="00DC41C3"/>
    <w:rsid w:val="00DC4A3C"/>
    <w:rsid w:val="00DC4FA4"/>
    <w:rsid w:val="00DC5B37"/>
    <w:rsid w:val="00DD286D"/>
    <w:rsid w:val="00DD2CAF"/>
    <w:rsid w:val="00DD3593"/>
    <w:rsid w:val="00DD589D"/>
    <w:rsid w:val="00DD64E0"/>
    <w:rsid w:val="00DD775C"/>
    <w:rsid w:val="00DD7BE0"/>
    <w:rsid w:val="00DE0C67"/>
    <w:rsid w:val="00DE3AAD"/>
    <w:rsid w:val="00DE4D9E"/>
    <w:rsid w:val="00DE598A"/>
    <w:rsid w:val="00DE6952"/>
    <w:rsid w:val="00DE6FBE"/>
    <w:rsid w:val="00DE7A7D"/>
    <w:rsid w:val="00DE7E74"/>
    <w:rsid w:val="00DF071B"/>
    <w:rsid w:val="00DF0B34"/>
    <w:rsid w:val="00DF2DF0"/>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3AEA"/>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D68"/>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A00"/>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6C64"/>
    <w:rsid w:val="00E90703"/>
    <w:rsid w:val="00E90A62"/>
    <w:rsid w:val="00E9265E"/>
    <w:rsid w:val="00E956DB"/>
    <w:rsid w:val="00E9763D"/>
    <w:rsid w:val="00EA1177"/>
    <w:rsid w:val="00EA118B"/>
    <w:rsid w:val="00EA11B6"/>
    <w:rsid w:val="00EA2181"/>
    <w:rsid w:val="00EA2DD8"/>
    <w:rsid w:val="00EA30FC"/>
    <w:rsid w:val="00EA3C71"/>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3CE7"/>
    <w:rsid w:val="00ED4773"/>
    <w:rsid w:val="00ED5284"/>
    <w:rsid w:val="00ED664B"/>
    <w:rsid w:val="00ED6A61"/>
    <w:rsid w:val="00ED768E"/>
    <w:rsid w:val="00ED7CC1"/>
    <w:rsid w:val="00ED7DA4"/>
    <w:rsid w:val="00ED7FA0"/>
    <w:rsid w:val="00EE03BB"/>
    <w:rsid w:val="00EE0552"/>
    <w:rsid w:val="00EE0B44"/>
    <w:rsid w:val="00EE125D"/>
    <w:rsid w:val="00EE1799"/>
    <w:rsid w:val="00EE23DE"/>
    <w:rsid w:val="00EE48BB"/>
    <w:rsid w:val="00EE6FE0"/>
    <w:rsid w:val="00EE704A"/>
    <w:rsid w:val="00EE7840"/>
    <w:rsid w:val="00EF2E75"/>
    <w:rsid w:val="00EF4C74"/>
    <w:rsid w:val="00EF5268"/>
    <w:rsid w:val="00EF608E"/>
    <w:rsid w:val="00EF6C4A"/>
    <w:rsid w:val="00EF705B"/>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9F4"/>
    <w:rsid w:val="00F13AC6"/>
    <w:rsid w:val="00F14933"/>
    <w:rsid w:val="00F1516A"/>
    <w:rsid w:val="00F15EE5"/>
    <w:rsid w:val="00F171F9"/>
    <w:rsid w:val="00F1737C"/>
    <w:rsid w:val="00F173AA"/>
    <w:rsid w:val="00F22456"/>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4E31"/>
    <w:rsid w:val="00F46964"/>
    <w:rsid w:val="00F46F9A"/>
    <w:rsid w:val="00F470FD"/>
    <w:rsid w:val="00F50F30"/>
    <w:rsid w:val="00F5126A"/>
    <w:rsid w:val="00F5126E"/>
    <w:rsid w:val="00F516EF"/>
    <w:rsid w:val="00F51755"/>
    <w:rsid w:val="00F531D9"/>
    <w:rsid w:val="00F54D8E"/>
    <w:rsid w:val="00F5580D"/>
    <w:rsid w:val="00F56EA1"/>
    <w:rsid w:val="00F606D5"/>
    <w:rsid w:val="00F60879"/>
    <w:rsid w:val="00F611B3"/>
    <w:rsid w:val="00F6196E"/>
    <w:rsid w:val="00F61CCC"/>
    <w:rsid w:val="00F624DD"/>
    <w:rsid w:val="00F629C0"/>
    <w:rsid w:val="00F63FC7"/>
    <w:rsid w:val="00F65E1F"/>
    <w:rsid w:val="00F65ED5"/>
    <w:rsid w:val="00F6608B"/>
    <w:rsid w:val="00F6636A"/>
    <w:rsid w:val="00F66774"/>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43ED"/>
    <w:rsid w:val="00F966F9"/>
    <w:rsid w:val="00F96F61"/>
    <w:rsid w:val="00F97740"/>
    <w:rsid w:val="00FA0C8F"/>
    <w:rsid w:val="00FA2DEF"/>
    <w:rsid w:val="00FA2F7B"/>
    <w:rsid w:val="00FA3C90"/>
    <w:rsid w:val="00FA3C97"/>
    <w:rsid w:val="00FA3D30"/>
    <w:rsid w:val="00FA4B49"/>
    <w:rsid w:val="00FA5027"/>
    <w:rsid w:val="00FA5041"/>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9F1"/>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0021"/>
    <w:rsid w:val="00FE2A48"/>
    <w:rsid w:val="00FE2DEF"/>
    <w:rsid w:val="00FE323C"/>
    <w:rsid w:val="00FE3A27"/>
    <w:rsid w:val="00FE5D0A"/>
    <w:rsid w:val="00FE60E9"/>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6F"/>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rPr>
      <w:rFonts w:cs="Times New Roman"/>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s="Times New Roman"/>
      <w:color w:val="auto"/>
      <w:sz w:val="21"/>
      <w:szCs w:val="21"/>
    </w:rPr>
  </w:style>
  <w:style w:type="character" w:customStyle="1" w:styleId="PlainTextChar">
    <w:name w:val="Plain Text Char"/>
    <w:link w:val="PlainText"/>
    <w:uiPriority w:val="99"/>
    <w:rsid w:val="00D91DA6"/>
    <w:rPr>
      <w:rFonts w:ascii="Consolas" w:eastAsia="Calibri" w:hAnsi="Consolas" w:cs="Times New Roman"/>
      <w:sz w:val="21"/>
      <w:szCs w:val="21"/>
    </w:rPr>
  </w:style>
  <w:style w:type="character" w:customStyle="1" w:styleId="FooterChar">
    <w:name w:val="Footer Char"/>
    <w:link w:val="Footer"/>
    <w:uiPriority w:val="99"/>
    <w:rsid w:val="000379D0"/>
    <w:rPr>
      <w:color w:val="008080"/>
      <w:sz w:val="24"/>
    </w:rPr>
  </w:style>
  <w:style w:type="paragraph" w:styleId="BalloonText">
    <w:name w:val="Balloon Text"/>
    <w:basedOn w:val="Normal"/>
    <w:link w:val="BalloonTextChar"/>
    <w:rsid w:val="000379D0"/>
    <w:rPr>
      <w:rFonts w:ascii="Tahoma" w:hAnsi="Tahoma" w:cs="Times New Roman"/>
      <w:sz w:val="16"/>
      <w:szCs w:val="16"/>
    </w:rPr>
  </w:style>
  <w:style w:type="character" w:customStyle="1" w:styleId="BalloonTextChar">
    <w:name w:val="Balloon Text Char"/>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rsid w:val="0046111A"/>
    <w:rPr>
      <w:sz w:val="16"/>
      <w:szCs w:val="16"/>
    </w:rPr>
  </w:style>
  <w:style w:type="paragraph" w:styleId="CommentText">
    <w:name w:val="annotation text"/>
    <w:basedOn w:val="Normal"/>
    <w:link w:val="CommentTextChar"/>
    <w:rsid w:val="0046111A"/>
    <w:rPr>
      <w:rFonts w:cs="Times New Roman"/>
      <w:sz w:val="20"/>
    </w:rPr>
  </w:style>
  <w:style w:type="character" w:customStyle="1" w:styleId="CommentTextChar">
    <w:name w:val="Comment Text Char"/>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link w:val="CommentSubject"/>
    <w:rsid w:val="0046111A"/>
    <w:rPr>
      <w:b/>
      <w:bCs/>
      <w:color w:val="008080"/>
      <w:sz w:val="20"/>
    </w:rPr>
  </w:style>
  <w:style w:type="character" w:styleId="Hyperlink">
    <w:name w:val="Hyperlink"/>
    <w:rsid w:val="00750E3A"/>
    <w:rPr>
      <w:color w:val="0000FF"/>
      <w:u w:val="single"/>
    </w:rPr>
  </w:style>
  <w:style w:type="character" w:styleId="FollowedHyperlink">
    <w:name w:val="FollowedHyperlink"/>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0030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8031705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5472-12E9-4948-B836-B94A3AD3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2011-04-08T10:41:00Z</cp:lastPrinted>
  <dcterms:created xsi:type="dcterms:W3CDTF">2012-07-30T14:11:00Z</dcterms:created>
  <dcterms:modified xsi:type="dcterms:W3CDTF">2012-09-19T12:18:00Z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