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1B6061">
        <w:rPr>
          <w:caps/>
          <w:color w:val="000000" w:themeColor="text1"/>
        </w:rPr>
        <w:t>XXXXXXXXXXXXXXXXXX</w:t>
      </w:r>
      <w:r w:rsidRPr="001F29F9">
        <w:rPr>
          <w:caps/>
          <w:color w:val="000000" w:themeColor="text1"/>
        </w:rPr>
        <w:t xml:space="preserve">                </w:t>
      </w:r>
      <w:r>
        <w:rPr>
          <w:caps/>
          <w:color w:val="000000" w:themeColor="text1"/>
        </w:rPr>
        <w:tab/>
        <w:t xml:space="preserve">                            </w:t>
      </w:r>
      <w:r w:rsidRPr="001F29F9">
        <w:rPr>
          <w:caps/>
          <w:color w:val="000000" w:themeColor="text1"/>
        </w:rPr>
        <w:t xml:space="preserve">BRANCH OF </w:t>
      </w:r>
      <w:r w:rsidRPr="00380444">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380444" w:rsidRPr="006B3558">
        <w:rPr>
          <w:caps/>
          <w:color w:val="000000" w:themeColor="text1"/>
        </w:rPr>
        <w:t>PD1101027</w:t>
      </w:r>
      <w:r>
        <w:rPr>
          <w:color w:val="000000" w:themeColor="text1"/>
        </w:rPr>
        <w:tab/>
      </w:r>
      <w:r>
        <w:rPr>
          <w:color w:val="000000" w:themeColor="text1"/>
        </w:rPr>
        <w:tab/>
        <w:t xml:space="preserve">          </w:t>
      </w:r>
      <w:r w:rsidRPr="001F29F9">
        <w:rPr>
          <w:color w:val="000000" w:themeColor="text1"/>
        </w:rPr>
        <w:t xml:space="preserve"> SEPARATION DATE:  </w:t>
      </w:r>
      <w:r w:rsidR="00380444" w:rsidRPr="001F29F9">
        <w:rPr>
          <w:color w:val="000000" w:themeColor="text1"/>
        </w:rPr>
        <w:t>200</w:t>
      </w:r>
      <w:r w:rsidR="00380444">
        <w:rPr>
          <w:color w:val="000000" w:themeColor="text1"/>
        </w:rPr>
        <w:t>41129</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084431">
        <w:rPr>
          <w:caps/>
          <w:color w:val="000000"/>
        </w:rPr>
        <w:t>0921</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77496A" w:rsidRDefault="00AD2379" w:rsidP="00D0554E">
      <w:pPr>
        <w:jc w:val="both"/>
        <w:rPr>
          <w:b/>
          <w:color w:val="auto"/>
          <w:szCs w:val="24"/>
          <w:u w:val="single"/>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an active duty SGT/E-5</w:t>
      </w:r>
      <w:r w:rsidR="00380444">
        <w:rPr>
          <w:color w:val="000000"/>
        </w:rPr>
        <w:t xml:space="preserve"> (75B</w:t>
      </w:r>
      <w:r w:rsidRPr="001F29F9">
        <w:rPr>
          <w:color w:val="000000"/>
        </w:rPr>
        <w:t xml:space="preserve">, </w:t>
      </w:r>
      <w:r w:rsidR="00380444">
        <w:rPr>
          <w:color w:val="000000"/>
        </w:rPr>
        <w:t>Personnel</w:t>
      </w:r>
      <w:r w:rsidR="00A70270">
        <w:rPr>
          <w:color w:val="000000"/>
        </w:rPr>
        <w:t xml:space="preserve">) </w:t>
      </w:r>
      <w:r w:rsidRPr="001F29F9">
        <w:rPr>
          <w:color w:val="000000"/>
        </w:rPr>
        <w:t xml:space="preserve">medically separated for </w:t>
      </w:r>
      <w:r w:rsidR="00261B7E">
        <w:rPr>
          <w:color w:val="000000"/>
        </w:rPr>
        <w:t xml:space="preserve">a </w:t>
      </w:r>
      <w:r w:rsidR="00380444">
        <w:rPr>
          <w:color w:val="000000"/>
        </w:rPr>
        <w:t>lumbar spine</w:t>
      </w:r>
      <w:r w:rsidRPr="001F29F9">
        <w:rPr>
          <w:color w:val="000000"/>
        </w:rPr>
        <w:t xml:space="preserve"> </w:t>
      </w:r>
      <w:r w:rsidR="00261B7E">
        <w:rPr>
          <w:color w:val="000000"/>
        </w:rPr>
        <w:t>condition</w:t>
      </w:r>
      <w:r w:rsidRPr="0063477D">
        <w:rPr>
          <w:color w:val="000000"/>
          <w:szCs w:val="24"/>
        </w:rPr>
        <w:t xml:space="preserve">. </w:t>
      </w:r>
      <w:r w:rsidR="0063477D">
        <w:rPr>
          <w:color w:val="000000"/>
          <w:szCs w:val="24"/>
        </w:rPr>
        <w:t>S</w:t>
      </w:r>
      <w:r w:rsidR="0063477D" w:rsidRPr="0063477D">
        <w:rPr>
          <w:color w:val="000000"/>
          <w:szCs w:val="24"/>
        </w:rPr>
        <w:t>h</w:t>
      </w:r>
      <w:r w:rsidR="0063477D">
        <w:rPr>
          <w:color w:val="000000"/>
          <w:szCs w:val="24"/>
        </w:rPr>
        <w:t xml:space="preserve">e experienced an onset of low back pain in 1993; </w:t>
      </w:r>
      <w:r w:rsidR="00084431">
        <w:rPr>
          <w:color w:val="000000"/>
          <w:szCs w:val="24"/>
        </w:rPr>
        <w:t>which</w:t>
      </w:r>
      <w:r w:rsidR="0063477D">
        <w:rPr>
          <w:color w:val="000000"/>
          <w:szCs w:val="24"/>
        </w:rPr>
        <w:t xml:space="preserve"> was subsequently diagnosed as degenerative disc disease (DDD) complicated by spinal stenosis; and, for which she underwent surgery in early 2004.  Post-operatively the condition</w:t>
      </w:r>
      <w:r w:rsidR="00D0554E" w:rsidRPr="00D5694A">
        <w:rPr>
          <w:color w:val="000000"/>
          <w:szCs w:val="24"/>
        </w:rPr>
        <w:t xml:space="preserve"> </w:t>
      </w:r>
      <w:r w:rsidR="00D0554E" w:rsidRPr="009F3445">
        <w:rPr>
          <w:color w:val="000000"/>
          <w:szCs w:val="24"/>
        </w:rPr>
        <w:t xml:space="preserve">could not be adequately rehabilitated to meet </w:t>
      </w:r>
      <w:r w:rsidR="00D0554E">
        <w:rPr>
          <w:color w:val="000000"/>
          <w:szCs w:val="24"/>
        </w:rPr>
        <w:t>the physical requirements of her</w:t>
      </w:r>
      <w:r w:rsidR="00D0554E" w:rsidRPr="009F3445">
        <w:rPr>
          <w:color w:val="000000"/>
          <w:szCs w:val="24"/>
        </w:rPr>
        <w:t xml:space="preserve"> Military Occupational Specialty (MOS) or satisf</w:t>
      </w:r>
      <w:r w:rsidR="00D0554E">
        <w:rPr>
          <w:color w:val="000000"/>
          <w:szCs w:val="24"/>
        </w:rPr>
        <w:t>y physical fitness standards.  Sh</w:t>
      </w:r>
      <w:r w:rsidR="00D0554E" w:rsidRPr="009F3445">
        <w:rPr>
          <w:color w:val="000000"/>
          <w:szCs w:val="24"/>
        </w:rPr>
        <w:t>e was co</w:t>
      </w:r>
      <w:r w:rsidR="00D0554E">
        <w:rPr>
          <w:color w:val="000000"/>
          <w:szCs w:val="24"/>
        </w:rPr>
        <w:t>nsequently issued a permanent L4</w:t>
      </w:r>
      <w:r w:rsidR="00D0554E" w:rsidRPr="009F3445">
        <w:rPr>
          <w:color w:val="000000"/>
          <w:szCs w:val="24"/>
        </w:rPr>
        <w:t xml:space="preserve"> profile and referred for a Medical Evaluation Board (MEB).  </w:t>
      </w:r>
      <w:r w:rsidR="00D0554E">
        <w:rPr>
          <w:color w:val="000000"/>
          <w:szCs w:val="24"/>
        </w:rPr>
        <w:t>The single condition of “lumbar stenosis”</w:t>
      </w:r>
      <w:r w:rsidR="00D0554E" w:rsidRPr="009F3445">
        <w:rPr>
          <w:color w:val="000000"/>
          <w:szCs w:val="24"/>
        </w:rPr>
        <w:t xml:space="preserve"> was forwarded to the Physical Evaluation Board (PEB)</w:t>
      </w:r>
      <w:r w:rsidR="00D0554E">
        <w:rPr>
          <w:color w:val="000000"/>
          <w:szCs w:val="24"/>
        </w:rPr>
        <w:t xml:space="preserve">.  The </w:t>
      </w:r>
      <w:r w:rsidR="00D0554E" w:rsidRPr="009F3445">
        <w:rPr>
          <w:color w:val="000000"/>
          <w:szCs w:val="24"/>
        </w:rPr>
        <w:t xml:space="preserve">PEB adjudicated the condition as unfitting, rated </w:t>
      </w:r>
      <w:r w:rsidR="00D0554E">
        <w:rPr>
          <w:color w:val="000000"/>
          <w:szCs w:val="24"/>
        </w:rPr>
        <w:t>1</w:t>
      </w:r>
      <w:r w:rsidR="00D0554E" w:rsidRPr="009F3445">
        <w:rPr>
          <w:color w:val="000000"/>
          <w:szCs w:val="24"/>
        </w:rPr>
        <w:t xml:space="preserve">0%, citing criteria of the Veterans Administration Schedule for Rating Disabilities (VASRD).  </w:t>
      </w:r>
      <w:r w:rsidR="00D0554E" w:rsidRPr="001F29F9">
        <w:rPr>
          <w:color w:val="000000"/>
        </w:rPr>
        <w:t xml:space="preserve">The CI made no appeals, and was medically </w:t>
      </w:r>
      <w:r w:rsidR="00D0554E" w:rsidRPr="00726F84">
        <w:rPr>
          <w:color w:val="000000"/>
        </w:rPr>
        <w:t xml:space="preserve">separated with </w:t>
      </w:r>
      <w:r w:rsidR="00D0554E">
        <w:rPr>
          <w:color w:val="000000"/>
        </w:rPr>
        <w:t>that</w:t>
      </w:r>
      <w:r w:rsidR="00D0554E" w:rsidRPr="001F29F9">
        <w:rPr>
          <w:color w:val="000000"/>
        </w:rPr>
        <w:t xml:space="preserve"> disability rating</w:t>
      </w:r>
      <w:r w:rsidR="0077496A">
        <w:rPr>
          <w:color w:val="000000"/>
        </w:rPr>
        <w:t xml:space="preserve"> of 10%</w:t>
      </w:r>
      <w:r w:rsidR="00D0554E" w:rsidRPr="001F29F9">
        <w:rPr>
          <w:color w:val="000000"/>
        </w:rPr>
        <w:t>.</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D0554E">
        <w:rPr>
          <w:color w:val="000000"/>
        </w:rPr>
        <w:t xml:space="preserve"> The application borrows wording from the PEB’s DA Form 199, and states </w:t>
      </w:r>
      <w:r w:rsidR="00773C45">
        <w:rPr>
          <w:color w:val="000000"/>
        </w:rPr>
        <w:t>“</w:t>
      </w:r>
      <w:r w:rsidR="00D0554E" w:rsidRPr="008870B8">
        <w:rPr>
          <w:color w:val="000000" w:themeColor="text1"/>
        </w:rPr>
        <w:t>Low back pain due to multilevel degenerative disk disease and congenitally short pedic</w:t>
      </w:r>
      <w:r w:rsidR="00C4143A">
        <w:rPr>
          <w:color w:val="000000" w:themeColor="text1"/>
        </w:rPr>
        <w:t>l</w:t>
      </w:r>
      <w:r w:rsidR="00D0554E" w:rsidRPr="008870B8">
        <w:rPr>
          <w:color w:val="000000" w:themeColor="text1"/>
        </w:rPr>
        <w:t xml:space="preserve">es (EPTS), status L4/L5, L5/S1 foraminotomy (February 2002) without resolution of symptoms.  </w:t>
      </w:r>
      <w:proofErr w:type="gramStart"/>
      <w:r w:rsidR="00D0554E" w:rsidRPr="008870B8">
        <w:rPr>
          <w:color w:val="000000" w:themeColor="text1"/>
        </w:rPr>
        <w:t>Flexion 85, no radiculopathy or consistent muscular spasms.</w:t>
      </w:r>
      <w:r w:rsidR="00773C45">
        <w:rPr>
          <w:color w:val="000000"/>
        </w:rPr>
        <w:t>”</w:t>
      </w:r>
      <w:proofErr w:type="gramEnd"/>
      <w:r w:rsidR="004A2728">
        <w:rPr>
          <w:color w:val="000000"/>
        </w:rPr>
        <w:t xml:space="preserve"> </w:t>
      </w:r>
      <w:r w:rsidR="00C4143A">
        <w:rPr>
          <w:color w:val="000000"/>
        </w:rPr>
        <w:t xml:space="preserve"> </w:t>
      </w:r>
      <w:r w:rsidR="00084431">
        <w:rPr>
          <w:rFonts w:eastAsiaTheme="minorHAnsi"/>
          <w:color w:val="000000" w:themeColor="text1"/>
          <w:szCs w:val="24"/>
        </w:rPr>
        <w:t>She</w:t>
      </w:r>
      <w:r w:rsidR="004A2728" w:rsidRPr="00F72DEB">
        <w:rPr>
          <w:rFonts w:eastAsiaTheme="minorHAnsi"/>
          <w:color w:val="000000" w:themeColor="text1"/>
          <w:szCs w:val="24"/>
        </w:rPr>
        <w:t xml:space="preserv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00C4143A" w:rsidRPr="00C4143A">
        <w:rPr>
          <w:color w:val="auto"/>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221D83">
        <w:rPr>
          <w:color w:val="auto"/>
        </w:rPr>
        <w:t>.</w:t>
      </w:r>
      <w:r w:rsidR="00C4143A" w:rsidRPr="00C4143A">
        <w:rPr>
          <w:color w:val="auto"/>
        </w:rPr>
        <w:t xml:space="preserve">”  The rating for the unfitting </w:t>
      </w:r>
      <w:r w:rsidR="00C4143A">
        <w:rPr>
          <w:color w:val="auto"/>
        </w:rPr>
        <w:t>lumbar spine</w:t>
      </w:r>
      <w:r w:rsidR="00C4143A" w:rsidRPr="00C4143A">
        <w:rPr>
          <w:color w:val="auto"/>
        </w:rPr>
        <w:t xml:space="preserve"> condition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Correction of Military Records</w:t>
      </w:r>
      <w:r w:rsidRPr="00C4143A">
        <w:rPr>
          <w:color w:val="auto"/>
        </w:rPr>
        <w:t>.</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C4143A" w:rsidRDefault="00C4143A" w:rsidP="00BF0E94">
      <w:pPr>
        <w:jc w:val="left"/>
        <w:rPr>
          <w:color w:val="000000"/>
        </w:rPr>
      </w:pPr>
    </w:p>
    <w:tbl>
      <w:tblPr>
        <w:tblStyle w:val="TableGrid"/>
        <w:tblpPr w:leftFromText="187" w:rightFromText="187" w:vertAnchor="text" w:tblpXSpec="center" w:tblpY="1"/>
        <w:tblOverlap w:val="never"/>
        <w:tblW w:w="9378" w:type="dxa"/>
        <w:jc w:val="center"/>
        <w:tblLayout w:type="fixed"/>
        <w:tblLook w:val="04A0"/>
      </w:tblPr>
      <w:tblGrid>
        <w:gridCol w:w="2808"/>
        <w:gridCol w:w="630"/>
        <w:gridCol w:w="720"/>
        <w:gridCol w:w="2790"/>
        <w:gridCol w:w="720"/>
        <w:gridCol w:w="720"/>
        <w:gridCol w:w="990"/>
      </w:tblGrid>
      <w:tr w:rsidR="00C4143A" w:rsidRPr="008870B8" w:rsidTr="004222F3">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Service IPEB – Dated 20040707</w:t>
            </w:r>
          </w:p>
        </w:tc>
        <w:tc>
          <w:tcPr>
            <w:tcW w:w="5220" w:type="dxa"/>
            <w:gridSpan w:val="4"/>
            <w:tcBorders>
              <w:left w:val="thinThickThinSmallGap" w:sz="24" w:space="0" w:color="auto"/>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 xml:space="preserve">VA (2 Mo. </w:t>
            </w:r>
            <w:r>
              <w:rPr>
                <w:rFonts w:cs="Calibri"/>
                <w:b/>
                <w:color w:val="000000" w:themeColor="text1"/>
                <w:sz w:val="18"/>
                <w:szCs w:val="18"/>
              </w:rPr>
              <w:t>Post-</w:t>
            </w:r>
            <w:r w:rsidRPr="008870B8">
              <w:rPr>
                <w:rFonts w:cs="Calibri"/>
                <w:b/>
                <w:color w:val="000000" w:themeColor="text1"/>
                <w:sz w:val="18"/>
                <w:szCs w:val="18"/>
              </w:rPr>
              <w:t>Separation) –</w:t>
            </w:r>
            <w:r>
              <w:rPr>
                <w:rFonts w:cs="Calibri"/>
                <w:b/>
                <w:color w:val="000000" w:themeColor="text1"/>
                <w:sz w:val="18"/>
                <w:szCs w:val="18"/>
              </w:rPr>
              <w:t xml:space="preserve"> </w:t>
            </w:r>
            <w:r w:rsidRPr="008870B8">
              <w:rPr>
                <w:rFonts w:cs="Calibri"/>
                <w:b/>
                <w:color w:val="000000" w:themeColor="text1"/>
                <w:sz w:val="18"/>
                <w:szCs w:val="18"/>
              </w:rPr>
              <w:t>Effective 20041130</w:t>
            </w:r>
          </w:p>
        </w:tc>
      </w:tr>
      <w:tr w:rsidR="00C4143A" w:rsidRPr="001F29F9" w:rsidTr="004222F3">
        <w:trPr>
          <w:trHeight w:val="66"/>
          <w:jc w:val="center"/>
        </w:trPr>
        <w:tc>
          <w:tcPr>
            <w:tcW w:w="2808" w:type="dxa"/>
            <w:tcBorders>
              <w:bottom w:val="single" w:sz="4" w:space="0" w:color="000000" w:themeColor="text1"/>
              <w:right w:val="single" w:sz="4" w:space="0" w:color="auto"/>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C4143A" w:rsidRPr="008870B8" w:rsidRDefault="00C4143A" w:rsidP="004222F3">
            <w:pPr>
              <w:contextualSpacing/>
              <w:rPr>
                <w:rFonts w:cs="Calibri"/>
                <w:b/>
                <w:color w:val="000000" w:themeColor="text1"/>
                <w:sz w:val="18"/>
                <w:szCs w:val="18"/>
              </w:rPr>
            </w:pPr>
            <w:r w:rsidRPr="008870B8">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C4143A" w:rsidRPr="001F29F9" w:rsidRDefault="00C4143A" w:rsidP="004222F3">
            <w:pPr>
              <w:contextualSpacing/>
              <w:rPr>
                <w:rFonts w:cs="Calibri"/>
                <w:b/>
                <w:color w:val="000000" w:themeColor="text1"/>
                <w:sz w:val="18"/>
                <w:szCs w:val="18"/>
              </w:rPr>
            </w:pPr>
            <w:r w:rsidRPr="008870B8">
              <w:rPr>
                <w:rFonts w:cs="Calibri"/>
                <w:b/>
                <w:color w:val="000000" w:themeColor="text1"/>
                <w:sz w:val="18"/>
                <w:szCs w:val="18"/>
              </w:rPr>
              <w:t>Exam</w:t>
            </w:r>
          </w:p>
        </w:tc>
      </w:tr>
      <w:tr w:rsidR="00C4143A" w:rsidRPr="001F29F9" w:rsidTr="004222F3">
        <w:trPr>
          <w:trHeight w:val="66"/>
          <w:jc w:val="center"/>
        </w:trPr>
        <w:tc>
          <w:tcPr>
            <w:tcW w:w="2808" w:type="dxa"/>
            <w:tcBorders>
              <w:right w:val="single" w:sz="4" w:space="0" w:color="auto"/>
            </w:tcBorders>
            <w:shd w:val="clear" w:color="auto" w:fill="FFFFFF" w:themeFill="background1"/>
            <w:vAlign w:val="center"/>
          </w:tcPr>
          <w:p w:rsidR="00C4143A" w:rsidRPr="001F29F9" w:rsidRDefault="00C4143A" w:rsidP="004222F3">
            <w:pPr>
              <w:spacing w:line="220" w:lineRule="exact"/>
              <w:contextualSpacing/>
              <w:jc w:val="left"/>
              <w:rPr>
                <w:rFonts w:cs="Calibri"/>
                <w:color w:val="000000" w:themeColor="text1"/>
                <w:sz w:val="18"/>
                <w:szCs w:val="18"/>
              </w:rPr>
            </w:pPr>
            <w:r>
              <w:rPr>
                <w:rFonts w:cs="Calibri"/>
                <w:color w:val="000000" w:themeColor="text1"/>
                <w:sz w:val="18"/>
                <w:szCs w:val="18"/>
              </w:rPr>
              <w:t>Back Pain, Multilevel DDD</w:t>
            </w:r>
          </w:p>
        </w:tc>
        <w:tc>
          <w:tcPr>
            <w:tcW w:w="630" w:type="dxa"/>
            <w:tcBorders>
              <w:left w:val="single" w:sz="4" w:space="0" w:color="auto"/>
            </w:tcBorders>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Pr>
                <w:rFonts w:cs="Calibri"/>
                <w:color w:val="000000" w:themeColor="text1"/>
                <w:sz w:val="18"/>
                <w:szCs w:val="18"/>
              </w:rPr>
              <w:t>5243</w:t>
            </w:r>
          </w:p>
        </w:tc>
        <w:tc>
          <w:tcPr>
            <w:tcW w:w="720" w:type="dxa"/>
            <w:tcBorders>
              <w:right w:val="thinThickThinSmallGap" w:sz="24" w:space="0" w:color="auto"/>
            </w:tcBorders>
            <w:shd w:val="clear" w:color="auto" w:fill="FFFFFF" w:themeFill="background1"/>
            <w:vAlign w:val="center"/>
          </w:tcPr>
          <w:p w:rsidR="00C4143A" w:rsidRPr="001F29F9" w:rsidRDefault="00C4143A" w:rsidP="004222F3">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790" w:type="dxa"/>
            <w:tcBorders>
              <w:left w:val="thinThickThinSmallGap" w:sz="24" w:space="0" w:color="auto"/>
            </w:tcBorders>
            <w:shd w:val="clear" w:color="auto" w:fill="FFFFFF" w:themeFill="background1"/>
            <w:vAlign w:val="center"/>
          </w:tcPr>
          <w:p w:rsidR="00C4143A" w:rsidRPr="001F29F9" w:rsidRDefault="00C4143A" w:rsidP="004222F3">
            <w:pPr>
              <w:spacing w:line="220" w:lineRule="exact"/>
              <w:contextualSpacing/>
              <w:jc w:val="left"/>
              <w:rPr>
                <w:rFonts w:cs="Calibri"/>
                <w:color w:val="000000" w:themeColor="text1"/>
                <w:sz w:val="18"/>
                <w:szCs w:val="18"/>
              </w:rPr>
            </w:pPr>
            <w:r>
              <w:rPr>
                <w:rFonts w:cs="Calibri"/>
                <w:color w:val="000000" w:themeColor="text1"/>
                <w:sz w:val="18"/>
                <w:szCs w:val="18"/>
              </w:rPr>
              <w:t>DDD L4-5, L5-S1</w:t>
            </w:r>
          </w:p>
        </w:tc>
        <w:tc>
          <w:tcPr>
            <w:tcW w:w="720" w:type="dxa"/>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Pr>
                <w:rFonts w:cs="Calibri"/>
                <w:color w:val="000000" w:themeColor="text1"/>
                <w:sz w:val="18"/>
                <w:szCs w:val="18"/>
              </w:rPr>
              <w:t>5242</w:t>
            </w:r>
          </w:p>
        </w:tc>
        <w:tc>
          <w:tcPr>
            <w:tcW w:w="720" w:type="dxa"/>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50120</w:t>
            </w:r>
          </w:p>
        </w:tc>
      </w:tr>
      <w:tr w:rsidR="00C4143A" w:rsidRPr="001F29F9" w:rsidTr="004222F3">
        <w:trPr>
          <w:trHeight w:val="66"/>
          <w:jc w:val="center"/>
        </w:trPr>
        <w:tc>
          <w:tcPr>
            <w:tcW w:w="4158" w:type="dxa"/>
            <w:gridSpan w:val="3"/>
            <w:tcBorders>
              <w:right w:val="thinThickThinSmallGap" w:sz="24" w:space="0" w:color="auto"/>
            </w:tcBorders>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r>
              <w:rPr>
                <w:rFonts w:cs="Calibri"/>
                <w:color w:val="000000" w:themeColor="text1"/>
                <w:sz w:val="18"/>
                <w:szCs w:val="18"/>
              </w:rPr>
              <w:t>.</w:t>
            </w:r>
          </w:p>
        </w:tc>
        <w:tc>
          <w:tcPr>
            <w:tcW w:w="4230" w:type="dxa"/>
            <w:gridSpan w:val="3"/>
            <w:tcBorders>
              <w:left w:val="thinThickThinSmallGap" w:sz="24" w:space="0" w:color="auto"/>
            </w:tcBorders>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3 Additional Conditions</w:t>
            </w:r>
          </w:p>
        </w:tc>
        <w:tc>
          <w:tcPr>
            <w:tcW w:w="990" w:type="dxa"/>
            <w:shd w:val="clear" w:color="auto" w:fill="FFFFFF" w:themeFill="background1"/>
            <w:vAlign w:val="center"/>
          </w:tcPr>
          <w:p w:rsidR="00C4143A" w:rsidRPr="001F29F9" w:rsidRDefault="00C4143A" w:rsidP="004222F3">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50120</w:t>
            </w:r>
          </w:p>
        </w:tc>
      </w:tr>
      <w:tr w:rsidR="00C4143A" w:rsidRPr="001F29F9" w:rsidTr="004222F3">
        <w:trPr>
          <w:trHeight w:val="242"/>
          <w:jc w:val="center"/>
        </w:trPr>
        <w:tc>
          <w:tcPr>
            <w:tcW w:w="4158" w:type="dxa"/>
            <w:gridSpan w:val="3"/>
            <w:tcBorders>
              <w:right w:val="thinThickThinSmallGap" w:sz="24" w:space="0" w:color="auto"/>
            </w:tcBorders>
            <w:shd w:val="clear" w:color="auto" w:fill="D9D9D9" w:themeFill="background1" w:themeFillShade="D9"/>
          </w:tcPr>
          <w:p w:rsidR="00C4143A" w:rsidRPr="001F29F9" w:rsidRDefault="00C4143A" w:rsidP="004222F3">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C4143A" w:rsidRPr="001F29F9" w:rsidRDefault="00C4143A" w:rsidP="004222F3">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C4143A" w:rsidRDefault="00C4143A">
      <w:pPr>
        <w:spacing w:line="240" w:lineRule="auto"/>
        <w:jc w:val="left"/>
        <w:rPr>
          <w:color w:val="000000"/>
          <w:u w:val="single"/>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542022" w:rsidRPr="00817BE7" w:rsidRDefault="0063477D" w:rsidP="00B22D42">
      <w:pPr>
        <w:jc w:val="both"/>
        <w:rPr>
          <w:color w:val="000000"/>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132417">
        <w:rPr>
          <w:color w:val="000000"/>
        </w:rPr>
        <w:t>The CI experience</w:t>
      </w:r>
      <w:r w:rsidR="00865C26">
        <w:rPr>
          <w:color w:val="000000"/>
        </w:rPr>
        <w:t>d</w:t>
      </w:r>
      <w:r w:rsidR="00132417">
        <w:rPr>
          <w:color w:val="000000"/>
        </w:rPr>
        <w:t xml:space="preserve"> an </w:t>
      </w:r>
      <w:proofErr w:type="spellStart"/>
      <w:r w:rsidR="00132417">
        <w:rPr>
          <w:color w:val="000000"/>
        </w:rPr>
        <w:t>atraumatic</w:t>
      </w:r>
      <w:proofErr w:type="spellEnd"/>
      <w:r w:rsidR="00132417">
        <w:rPr>
          <w:color w:val="000000"/>
        </w:rPr>
        <w:t xml:space="preserve"> onset of low back pain with radicular pain in </w:t>
      </w:r>
      <w:proofErr w:type="gramStart"/>
      <w:r w:rsidR="00132417">
        <w:rPr>
          <w:color w:val="000000"/>
        </w:rPr>
        <w:t>1993, that</w:t>
      </w:r>
      <w:proofErr w:type="gramEnd"/>
      <w:r w:rsidR="00132417">
        <w:rPr>
          <w:color w:val="000000"/>
        </w:rPr>
        <w:t xml:space="preserve"> was treated conservatively and incurred temporary profiles over the ensuing years.  With worsening symptoms, she underwent specialty evaluation in 2003.  Magnetic resonance imaging</w:t>
      </w:r>
      <w:r w:rsidR="0077496A">
        <w:rPr>
          <w:color w:val="000000"/>
        </w:rPr>
        <w:t xml:space="preserve"> (MRI)</w:t>
      </w:r>
      <w:r w:rsidR="00132417">
        <w:rPr>
          <w:color w:val="000000"/>
        </w:rPr>
        <w:t xml:space="preserve"> at that time revealed “mild </w:t>
      </w:r>
      <w:proofErr w:type="spellStart"/>
      <w:r w:rsidR="00132417">
        <w:rPr>
          <w:color w:val="000000"/>
        </w:rPr>
        <w:t>hyperlordosis</w:t>
      </w:r>
      <w:proofErr w:type="spellEnd"/>
      <w:r w:rsidR="00132417">
        <w:rPr>
          <w:color w:val="000000"/>
        </w:rPr>
        <w:t xml:space="preserve"> and scoliosis” (anatomic, not functional), congenital spinal stenosis with shortened pedicles of the lower lumbar segments, disc protrusions at T10/11, L3/4, L4/5, and L5</w:t>
      </w:r>
      <w:r w:rsidR="00376097">
        <w:rPr>
          <w:color w:val="000000"/>
        </w:rPr>
        <w:t>/S1 (with foraminal stenosis and nerve root encroachment at this level), and multilevel “mild to moderate” DDD from L3 to S1.</w:t>
      </w:r>
      <w:r w:rsidR="00132417">
        <w:rPr>
          <w:color w:val="000000"/>
        </w:rPr>
        <w:t xml:space="preserve">  </w:t>
      </w:r>
      <w:r w:rsidR="00084431">
        <w:rPr>
          <w:color w:val="000000"/>
        </w:rPr>
        <w:t>L</w:t>
      </w:r>
      <w:r w:rsidR="00376097">
        <w:rPr>
          <w:color w:val="000000"/>
        </w:rPr>
        <w:t xml:space="preserve">eft lower extremity radicular pain was </w:t>
      </w:r>
      <w:r w:rsidR="00084431">
        <w:rPr>
          <w:color w:val="000000"/>
        </w:rPr>
        <w:t>a</w:t>
      </w:r>
      <w:r w:rsidR="00376097">
        <w:rPr>
          <w:color w:val="000000"/>
        </w:rPr>
        <w:t xml:space="preserve"> dominant complaint</w:t>
      </w:r>
      <w:r w:rsidR="00084431" w:rsidRPr="00084431">
        <w:rPr>
          <w:color w:val="000000"/>
        </w:rPr>
        <w:t xml:space="preserve"> </w:t>
      </w:r>
      <w:r w:rsidR="00084431">
        <w:rPr>
          <w:color w:val="000000"/>
        </w:rPr>
        <w:t>at this time;</w:t>
      </w:r>
      <w:r w:rsidR="00376097">
        <w:rPr>
          <w:color w:val="000000"/>
        </w:rPr>
        <w:t xml:space="preserve"> </w:t>
      </w:r>
      <w:r w:rsidR="00084431">
        <w:rPr>
          <w:color w:val="000000"/>
        </w:rPr>
        <w:t>and, a</w:t>
      </w:r>
      <w:r w:rsidR="00376097">
        <w:rPr>
          <w:color w:val="000000"/>
        </w:rPr>
        <w:t xml:space="preserve"> series of nerve root injections was undertaken</w:t>
      </w:r>
      <w:r w:rsidR="00084431">
        <w:rPr>
          <w:color w:val="000000"/>
        </w:rPr>
        <w:t>,</w:t>
      </w:r>
      <w:r w:rsidR="00817BE7">
        <w:rPr>
          <w:color w:val="000000"/>
        </w:rPr>
        <w:t xml:space="preserve"> which provide</w:t>
      </w:r>
      <w:r w:rsidR="00084431">
        <w:rPr>
          <w:color w:val="000000"/>
        </w:rPr>
        <w:t>d</w:t>
      </w:r>
      <w:r w:rsidR="00817BE7">
        <w:rPr>
          <w:color w:val="000000"/>
        </w:rPr>
        <w:t xml:space="preserve"> </w:t>
      </w:r>
      <w:r w:rsidR="00084431">
        <w:rPr>
          <w:color w:val="000000"/>
        </w:rPr>
        <w:t>inadequate relief</w:t>
      </w:r>
      <w:r w:rsidR="00817BE7">
        <w:rPr>
          <w:color w:val="000000"/>
        </w:rPr>
        <w:t>.  In February 2004 she underwent a bi-level laminectomy (</w:t>
      </w:r>
      <w:r w:rsidR="00904C37">
        <w:rPr>
          <w:color w:val="000000"/>
        </w:rPr>
        <w:t>L4</w:t>
      </w:r>
      <w:r w:rsidR="00817BE7">
        <w:rPr>
          <w:color w:val="000000"/>
        </w:rPr>
        <w:t xml:space="preserve">/5, L5/S1) with foraminotomy.  The </w:t>
      </w:r>
      <w:r w:rsidR="00704463">
        <w:rPr>
          <w:color w:val="000000"/>
        </w:rPr>
        <w:t>narrative summary (NARSUM)</w:t>
      </w:r>
      <w:r w:rsidR="00817BE7">
        <w:rPr>
          <w:color w:val="000000"/>
        </w:rPr>
        <w:t xml:space="preserve"> states that, “This afforded her some </w:t>
      </w:r>
      <w:proofErr w:type="gramStart"/>
      <w:r w:rsidR="00817BE7">
        <w:rPr>
          <w:color w:val="000000"/>
        </w:rPr>
        <w:t>relief,</w:t>
      </w:r>
      <w:proofErr w:type="gramEnd"/>
      <w:r w:rsidR="00817BE7">
        <w:rPr>
          <w:color w:val="000000"/>
        </w:rPr>
        <w:t xml:space="preserve"> however she continues to have significant pain.”  No nerve conduction studies are in evidence for the radiculopathy, but multiple normal neurologic physical exams are documented in the </w:t>
      </w:r>
      <w:r w:rsidR="0077496A">
        <w:rPr>
          <w:color w:val="000000"/>
        </w:rPr>
        <w:t>s</w:t>
      </w:r>
      <w:r w:rsidR="00817BE7">
        <w:rPr>
          <w:color w:val="000000"/>
        </w:rPr>
        <w:t xml:space="preserve">ervice </w:t>
      </w:r>
      <w:r w:rsidR="00EA70B7">
        <w:rPr>
          <w:color w:val="000000"/>
        </w:rPr>
        <w:t>treatment record (STR)</w:t>
      </w:r>
      <w:r w:rsidR="00817BE7">
        <w:rPr>
          <w:color w:val="000000"/>
        </w:rPr>
        <w:t xml:space="preserve">.  The NARSUM noted </w:t>
      </w:r>
      <w:r w:rsidR="00817BE7" w:rsidRPr="00817BE7">
        <w:rPr>
          <w:color w:val="000000"/>
        </w:rPr>
        <w:t>constant pain rated 6/10</w:t>
      </w:r>
      <w:r w:rsidR="00084431">
        <w:rPr>
          <w:color w:val="000000"/>
        </w:rPr>
        <w:t>,</w:t>
      </w:r>
      <w:r w:rsidR="00817BE7" w:rsidRPr="00817BE7">
        <w:rPr>
          <w:color w:val="000000"/>
        </w:rPr>
        <w:t xml:space="preserve"> “increased with activity.</w:t>
      </w:r>
      <w:r w:rsidR="0077496A">
        <w:rPr>
          <w:color w:val="000000"/>
        </w:rPr>
        <w:t>”</w:t>
      </w:r>
      <w:r w:rsidR="00817BE7" w:rsidRPr="00817BE7">
        <w:rPr>
          <w:color w:val="000000"/>
        </w:rPr>
        <w:t xml:space="preserve">  </w:t>
      </w:r>
      <w:r w:rsidR="00A34722">
        <w:rPr>
          <w:color w:val="000000"/>
        </w:rPr>
        <w:t xml:space="preserve">The physical exam noted a normal gait and with 5/5 motor strength, symmetric 2+ reflexes, and sensation intact to pinprick.  </w:t>
      </w:r>
      <w:r w:rsidR="00817BE7" w:rsidRPr="00817BE7">
        <w:rPr>
          <w:color w:val="000000"/>
        </w:rPr>
        <w:t xml:space="preserve">At the </w:t>
      </w:r>
      <w:r w:rsidR="00704463" w:rsidRPr="00817BE7">
        <w:rPr>
          <w:color w:val="000000"/>
          <w:szCs w:val="24"/>
        </w:rPr>
        <w:t xml:space="preserve">VA Compensation and Pension (C&amp;P) exam </w:t>
      </w:r>
      <w:r w:rsidR="00817BE7" w:rsidRPr="00817BE7">
        <w:rPr>
          <w:color w:val="000000"/>
          <w:szCs w:val="24"/>
        </w:rPr>
        <w:t>(2</w:t>
      </w:r>
      <w:r w:rsidR="00704463" w:rsidRPr="00817BE7">
        <w:rPr>
          <w:color w:val="000000"/>
          <w:szCs w:val="24"/>
        </w:rPr>
        <w:t xml:space="preserve"> months </w:t>
      </w:r>
      <w:r w:rsidR="00817BE7" w:rsidRPr="00817BE7">
        <w:rPr>
          <w:color w:val="000000"/>
          <w:szCs w:val="24"/>
        </w:rPr>
        <w:t>post</w:t>
      </w:r>
      <w:r w:rsidR="00704463" w:rsidRPr="00817BE7">
        <w:rPr>
          <w:color w:val="000000"/>
          <w:szCs w:val="24"/>
        </w:rPr>
        <w:t>-separation)</w:t>
      </w:r>
      <w:r w:rsidR="00817BE7">
        <w:rPr>
          <w:color w:val="000000"/>
          <w:szCs w:val="24"/>
        </w:rPr>
        <w:t xml:space="preserve"> the pain was rated 7/10 and the examiner stated, “</w:t>
      </w:r>
      <w:r w:rsidR="00817BE7" w:rsidRPr="00817BE7">
        <w:rPr>
          <w:color w:val="000000"/>
          <w:szCs w:val="24"/>
        </w:rPr>
        <w:t>Any physical activity brings it up or sometimes it</w:t>
      </w:r>
      <w:r w:rsidR="00817BE7">
        <w:rPr>
          <w:color w:val="000000"/>
          <w:szCs w:val="24"/>
        </w:rPr>
        <w:t xml:space="preserve"> </w:t>
      </w:r>
      <w:r w:rsidR="00817BE7" w:rsidRPr="00817BE7">
        <w:rPr>
          <w:color w:val="000000"/>
          <w:szCs w:val="24"/>
        </w:rPr>
        <w:t>just comes by itself.</w:t>
      </w:r>
      <w:r w:rsidR="00817BE7">
        <w:rPr>
          <w:color w:val="000000"/>
          <w:szCs w:val="24"/>
        </w:rPr>
        <w:t>”</w:t>
      </w:r>
      <w:r w:rsidR="00704463">
        <w:rPr>
          <w:color w:val="000000"/>
          <w:szCs w:val="24"/>
        </w:rPr>
        <w:t xml:space="preserve"> </w:t>
      </w:r>
      <w:r w:rsidR="00A34722">
        <w:rPr>
          <w:color w:val="000000"/>
          <w:szCs w:val="24"/>
        </w:rPr>
        <w:t xml:space="preserve"> The VA examiner noted 3 cumulative days of bedrest over the last year (not minimally compensable under the VASRD §4.71a rating formula for incapacitating episodes).  The VA physical exam noted normal gait, positive spasm</w:t>
      </w:r>
      <w:r w:rsidR="00F6699C">
        <w:rPr>
          <w:color w:val="000000"/>
          <w:szCs w:val="24"/>
        </w:rPr>
        <w:t>,</w:t>
      </w:r>
      <w:r w:rsidR="00A34722">
        <w:rPr>
          <w:color w:val="000000"/>
          <w:szCs w:val="24"/>
        </w:rPr>
        <w:t xml:space="preserve"> negative tenderness</w:t>
      </w:r>
      <w:r w:rsidR="00F6699C">
        <w:rPr>
          <w:color w:val="000000"/>
          <w:szCs w:val="24"/>
        </w:rPr>
        <w:t>, and the same normal neurologic findings as noted in the MEB exam</w:t>
      </w:r>
      <w:r w:rsidR="00A34722">
        <w:rPr>
          <w:color w:val="000000"/>
          <w:szCs w:val="24"/>
        </w:rPr>
        <w:t xml:space="preserve">.  </w:t>
      </w:r>
      <w:r w:rsidR="00F6699C">
        <w:rPr>
          <w:color w:val="000000"/>
          <w:szCs w:val="24"/>
        </w:rPr>
        <w:t>The VA range-of-</w:t>
      </w:r>
      <w:r w:rsidR="00084431">
        <w:rPr>
          <w:color w:val="000000"/>
          <w:szCs w:val="24"/>
        </w:rPr>
        <w:t>motion (ROM) measurements were</w:t>
      </w:r>
      <w:r w:rsidR="00F6699C">
        <w:rPr>
          <w:color w:val="000000"/>
          <w:szCs w:val="24"/>
        </w:rPr>
        <w:t xml:space="preserve"> flexion of 50</w:t>
      </w:r>
      <w:r w:rsidR="0077496A">
        <w:rPr>
          <w:color w:val="000000"/>
          <w:szCs w:val="24"/>
        </w:rPr>
        <w:t xml:space="preserve"> degrees</w:t>
      </w:r>
      <w:r w:rsidR="00F6699C">
        <w:rPr>
          <w:color w:val="000000"/>
          <w:szCs w:val="24"/>
        </w:rPr>
        <w:t xml:space="preserve"> and a combined ROM of 145</w:t>
      </w:r>
      <w:r w:rsidR="0077496A">
        <w:rPr>
          <w:color w:val="000000"/>
          <w:szCs w:val="24"/>
        </w:rPr>
        <w:t xml:space="preserve"> degrees</w:t>
      </w:r>
      <w:r w:rsidR="00F6699C">
        <w:rPr>
          <w:color w:val="000000"/>
          <w:szCs w:val="24"/>
        </w:rPr>
        <w:t xml:space="preserve">; noting painful motion and fatigability.  </w:t>
      </w:r>
    </w:p>
    <w:p w:rsidR="00704463" w:rsidRDefault="00704463" w:rsidP="00B22D42">
      <w:pPr>
        <w:jc w:val="both"/>
        <w:rPr>
          <w:color w:val="000000"/>
        </w:rPr>
      </w:pPr>
    </w:p>
    <w:p w:rsidR="00FE6E1F" w:rsidRPr="00FE6E1F" w:rsidRDefault="00F6699C" w:rsidP="00FE6E1F">
      <w:pPr>
        <w:tabs>
          <w:tab w:val="left" w:pos="288"/>
          <w:tab w:val="left" w:pos="4752"/>
        </w:tabs>
        <w:jc w:val="both"/>
        <w:rPr>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PEB’s DA Form 199 </w:t>
      </w:r>
      <w:r w:rsidR="00084431">
        <w:rPr>
          <w:rFonts w:cs="Times New Roman"/>
          <w:color w:val="auto"/>
        </w:rPr>
        <w:t>quoted</w:t>
      </w:r>
      <w:r w:rsidR="007B4471">
        <w:rPr>
          <w:rFonts w:cs="Times New Roman"/>
          <w:color w:val="auto"/>
        </w:rPr>
        <w:t xml:space="preserve"> flexion of 85</w:t>
      </w:r>
      <w:r w:rsidR="0077496A">
        <w:rPr>
          <w:rFonts w:cs="Times New Roman"/>
          <w:color w:val="auto"/>
        </w:rPr>
        <w:t xml:space="preserve"> degrees</w:t>
      </w:r>
      <w:r w:rsidR="007B4471">
        <w:rPr>
          <w:rFonts w:cs="Times New Roman"/>
          <w:color w:val="auto"/>
        </w:rPr>
        <w:t xml:space="preserve"> in accurate support of its 10% rating, although the source ROM evaluation is not in evidence in the </w:t>
      </w:r>
      <w:r w:rsidR="00865C26">
        <w:rPr>
          <w:rFonts w:cs="Times New Roman"/>
          <w:color w:val="auto"/>
        </w:rPr>
        <w:t>service treatment record (STR).</w:t>
      </w:r>
      <w:r w:rsidR="007B4471">
        <w:rPr>
          <w:rFonts w:cs="Times New Roman"/>
          <w:color w:val="auto"/>
        </w:rPr>
        <w:t xml:space="preserve">  Other than a single outpatient entry</w:t>
      </w:r>
      <w:r w:rsidR="00084431">
        <w:rPr>
          <w:rFonts w:cs="Times New Roman"/>
          <w:color w:val="auto"/>
        </w:rPr>
        <w:t>,</w:t>
      </w:r>
      <w:r w:rsidR="007B4471">
        <w:rPr>
          <w:rFonts w:cs="Times New Roman"/>
          <w:color w:val="auto"/>
        </w:rPr>
        <w:t xml:space="preserve"> 18 months prior to separation (</w:t>
      </w:r>
      <w:r w:rsidR="0077496A">
        <w:rPr>
          <w:rFonts w:cs="Times New Roman"/>
          <w:color w:val="auto"/>
        </w:rPr>
        <w:t>9</w:t>
      </w:r>
      <w:r w:rsidR="007B4471">
        <w:rPr>
          <w:rFonts w:cs="Times New Roman"/>
          <w:color w:val="auto"/>
        </w:rPr>
        <w:t xml:space="preserve"> months prior to surgery)</w:t>
      </w:r>
      <w:r w:rsidR="00084431">
        <w:rPr>
          <w:rFonts w:cs="Times New Roman"/>
          <w:color w:val="auto"/>
        </w:rPr>
        <w:t>,</w:t>
      </w:r>
      <w:r w:rsidR="007B4471">
        <w:rPr>
          <w:rFonts w:cs="Times New Roman"/>
          <w:color w:val="auto"/>
        </w:rPr>
        <w:t xml:space="preserve"> </w:t>
      </w:r>
      <w:r w:rsidR="00084431">
        <w:rPr>
          <w:rFonts w:cs="Times New Roman"/>
          <w:color w:val="auto"/>
        </w:rPr>
        <w:t>which documented</w:t>
      </w:r>
      <w:r w:rsidR="007B4471">
        <w:rPr>
          <w:rFonts w:cs="Times New Roman"/>
          <w:color w:val="auto"/>
        </w:rPr>
        <w:t xml:space="preserve"> flexion of 30</w:t>
      </w:r>
      <w:r w:rsidR="0077496A">
        <w:rPr>
          <w:rFonts w:cs="Times New Roman"/>
          <w:color w:val="auto"/>
        </w:rPr>
        <w:t xml:space="preserve"> degrees</w:t>
      </w:r>
      <w:r w:rsidR="007B4471">
        <w:rPr>
          <w:rFonts w:cs="Times New Roman"/>
          <w:color w:val="auto"/>
        </w:rPr>
        <w:t xml:space="preserve"> (ratab</w:t>
      </w:r>
      <w:r w:rsidR="00084431">
        <w:rPr>
          <w:rFonts w:cs="Times New Roman"/>
          <w:color w:val="auto"/>
        </w:rPr>
        <w:t>le at 40%) and extension of 15</w:t>
      </w:r>
      <w:r w:rsidR="0077496A">
        <w:rPr>
          <w:rFonts w:cs="Times New Roman"/>
          <w:color w:val="auto"/>
        </w:rPr>
        <w:t xml:space="preserve"> degrees</w:t>
      </w:r>
      <w:r w:rsidR="00084431">
        <w:rPr>
          <w:rFonts w:cs="Times New Roman"/>
          <w:color w:val="auto"/>
        </w:rPr>
        <w:t>;</w:t>
      </w:r>
      <w:r w:rsidR="007B4471">
        <w:rPr>
          <w:rFonts w:cs="Times New Roman"/>
          <w:color w:val="auto"/>
        </w:rPr>
        <w:t xml:space="preserve"> there is no formal ROM evidence from the </w:t>
      </w:r>
      <w:r w:rsidR="0077496A">
        <w:rPr>
          <w:rFonts w:cs="Times New Roman"/>
          <w:color w:val="auto"/>
        </w:rPr>
        <w:t>s</w:t>
      </w:r>
      <w:r w:rsidR="007B4471">
        <w:rPr>
          <w:rFonts w:cs="Times New Roman"/>
          <w:color w:val="auto"/>
        </w:rPr>
        <w:t xml:space="preserve">ervice.  Given that the VA goniometric evaluation is the only source of evidence available to the Board that is compliant with </w:t>
      </w:r>
      <w:r w:rsidR="007B4471" w:rsidRPr="007B4471">
        <w:rPr>
          <w:rFonts w:cs="Times New Roman"/>
          <w:color w:val="auto"/>
        </w:rPr>
        <w:t>VASRD §4.46 (accurate measurement)</w:t>
      </w:r>
      <w:r w:rsidR="007B4471">
        <w:rPr>
          <w:rFonts w:cs="Times New Roman"/>
          <w:color w:val="auto"/>
        </w:rPr>
        <w:t>, that</w:t>
      </w:r>
      <w:r w:rsidR="00EA70B7">
        <w:rPr>
          <w:rFonts w:cs="Times New Roman"/>
          <w:color w:val="auto"/>
        </w:rPr>
        <w:t xml:space="preserve"> the VA evaluation was more temporally proximate to separation than the MEB evaluation (</w:t>
      </w:r>
      <w:r w:rsidR="0077496A">
        <w:rPr>
          <w:rFonts w:cs="Times New Roman"/>
          <w:color w:val="auto"/>
        </w:rPr>
        <w:t>7</w:t>
      </w:r>
      <w:r w:rsidR="00EA70B7">
        <w:rPr>
          <w:rFonts w:cs="Times New Roman"/>
          <w:color w:val="auto"/>
        </w:rPr>
        <w:t xml:space="preserve"> months </w:t>
      </w:r>
      <w:r w:rsidR="0077496A">
        <w:rPr>
          <w:rFonts w:cs="Times New Roman"/>
          <w:color w:val="auto"/>
        </w:rPr>
        <w:t xml:space="preserve">prior to </w:t>
      </w:r>
      <w:r w:rsidR="00EA70B7">
        <w:rPr>
          <w:rFonts w:cs="Times New Roman"/>
          <w:color w:val="auto"/>
        </w:rPr>
        <w:t>separation), and that the VA evaluation was clinically consistent with the pathology and severity reflected throughout the STR</w:t>
      </w:r>
      <w:r w:rsidR="0077496A">
        <w:rPr>
          <w:rFonts w:cs="Times New Roman"/>
          <w:color w:val="auto"/>
        </w:rPr>
        <w:t xml:space="preserve">. </w:t>
      </w:r>
      <w:r w:rsidR="00EA70B7">
        <w:rPr>
          <w:rFonts w:cs="Times New Roman"/>
          <w:color w:val="auto"/>
        </w:rPr>
        <w:t xml:space="preserve"> </w:t>
      </w:r>
      <w:r w:rsidR="0077496A">
        <w:rPr>
          <w:rFonts w:cs="Times New Roman"/>
          <w:color w:val="auto"/>
        </w:rPr>
        <w:t>The Board</w:t>
      </w:r>
      <w:r w:rsidR="00EA70B7">
        <w:rPr>
          <w:rFonts w:cs="Times New Roman"/>
          <w:color w:val="auto"/>
        </w:rPr>
        <w:t xml:space="preserve"> </w:t>
      </w:r>
      <w:r w:rsidR="0077496A">
        <w:rPr>
          <w:rFonts w:cs="Times New Roman"/>
          <w:color w:val="auto"/>
        </w:rPr>
        <w:t>was</w:t>
      </w:r>
      <w:r w:rsidR="00EA70B7">
        <w:rPr>
          <w:rFonts w:cs="Times New Roman"/>
          <w:color w:val="auto"/>
        </w:rPr>
        <w:t xml:space="preserve"> in agreement that predominant probative value should be assigned to the VA evidence proximate to separation.  The VA ROMs were accurately rated 20% IAW the §4.71a general rating formula for the spine.  </w:t>
      </w:r>
      <w:r w:rsidR="00EA70B7" w:rsidRPr="00EA70B7">
        <w:rPr>
          <w:rFonts w:eastAsia="Calibri"/>
          <w:color w:val="auto"/>
          <w:szCs w:val="24"/>
        </w:rPr>
        <w:t xml:space="preserve">The Board considered whether additional </w:t>
      </w:r>
      <w:r w:rsidR="0077496A">
        <w:rPr>
          <w:rFonts w:eastAsia="Calibri"/>
          <w:color w:val="auto"/>
          <w:szCs w:val="24"/>
        </w:rPr>
        <w:t>s</w:t>
      </w:r>
      <w:r w:rsidR="00EA70B7" w:rsidRPr="00EA70B7">
        <w:rPr>
          <w:rFonts w:eastAsia="Calibri"/>
          <w:color w:val="auto"/>
          <w:szCs w:val="24"/>
        </w:rPr>
        <w:t>ervice rating</w:t>
      </w:r>
      <w:r w:rsidR="0077496A">
        <w:rPr>
          <w:rFonts w:eastAsia="Calibri"/>
          <w:color w:val="auto"/>
          <w:szCs w:val="24"/>
        </w:rPr>
        <w:t>s</w:t>
      </w:r>
      <w:r w:rsidR="00EA70B7" w:rsidRPr="00EA70B7">
        <w:rPr>
          <w:rFonts w:eastAsia="Calibri"/>
          <w:color w:val="auto"/>
          <w:szCs w:val="24"/>
        </w:rPr>
        <w:t xml:space="preserve"> could be recommende</w:t>
      </w:r>
      <w:r w:rsidR="00EA70B7">
        <w:rPr>
          <w:rFonts w:eastAsia="Calibri"/>
          <w:color w:val="auto"/>
          <w:szCs w:val="24"/>
        </w:rPr>
        <w:t>d under a peripheral nerve code</w:t>
      </w:r>
      <w:r w:rsidR="00EA70B7" w:rsidRPr="00EA70B7">
        <w:rPr>
          <w:rFonts w:eastAsia="Calibri"/>
          <w:color w:val="auto"/>
          <w:szCs w:val="24"/>
        </w:rPr>
        <w:t xml:space="preserve"> for the </w:t>
      </w:r>
      <w:r w:rsidR="00EA70B7">
        <w:rPr>
          <w:rFonts w:eastAsia="Calibri"/>
          <w:color w:val="auto"/>
          <w:szCs w:val="24"/>
        </w:rPr>
        <w:t>persistent</w:t>
      </w:r>
      <w:r w:rsidR="00EA70B7" w:rsidRPr="00EA70B7">
        <w:rPr>
          <w:rFonts w:eastAsia="Calibri"/>
          <w:color w:val="auto"/>
          <w:szCs w:val="24"/>
        </w:rPr>
        <w:t xml:space="preserve"> radiculopathy </w:t>
      </w:r>
      <w:r w:rsidR="00EA70B7">
        <w:rPr>
          <w:rFonts w:eastAsia="Calibri"/>
          <w:color w:val="auto"/>
          <w:szCs w:val="24"/>
        </w:rPr>
        <w:t>in evidence</w:t>
      </w:r>
      <w:r w:rsidR="00EA70B7" w:rsidRPr="00EA70B7">
        <w:rPr>
          <w:rFonts w:eastAsia="Calibri"/>
          <w:color w:val="auto"/>
          <w:szCs w:val="24"/>
        </w:rPr>
        <w:t>.  Firm Board precedence requires a functional impairment tied to fitness to support a recommendation for addition of a peripheral nerve rating to disability in spine cases.  The pain component of a radiculopathy is subsumed under the general spine rating as specified in §4.71a.  The</w:t>
      </w:r>
      <w:r w:rsidR="00EA70B7">
        <w:rPr>
          <w:rFonts w:eastAsia="Calibri"/>
          <w:color w:val="auto"/>
          <w:szCs w:val="24"/>
        </w:rPr>
        <w:t>re was no</w:t>
      </w:r>
      <w:r w:rsidR="00EA70B7" w:rsidRPr="00EA70B7">
        <w:rPr>
          <w:rFonts w:eastAsia="Calibri"/>
          <w:color w:val="auto"/>
          <w:szCs w:val="24"/>
        </w:rPr>
        <w:t xml:space="preserve"> sensory </w:t>
      </w:r>
      <w:r w:rsidR="00EA70B7">
        <w:rPr>
          <w:rFonts w:eastAsia="Calibri"/>
          <w:color w:val="auto"/>
          <w:szCs w:val="24"/>
        </w:rPr>
        <w:t>deficit or motor weakness in evidence</w:t>
      </w:r>
      <w:r w:rsidR="00FE6E1F">
        <w:rPr>
          <w:rFonts w:eastAsia="Calibri"/>
          <w:color w:val="auto"/>
          <w:szCs w:val="24"/>
        </w:rPr>
        <w:t xml:space="preserve">.  </w:t>
      </w:r>
      <w:r w:rsidR="00EA70B7" w:rsidRPr="00EA70B7">
        <w:rPr>
          <w:rFonts w:eastAsia="Calibri"/>
          <w:color w:val="auto"/>
          <w:szCs w:val="24"/>
        </w:rPr>
        <w:t>There is thus no evidence of a separately ratable functional impairment (with fitness implications) from the residual radiculopathy; and, the Board cannot support a recommendation for an additional disability rating on this basis.</w:t>
      </w:r>
      <w:r w:rsidR="00FE6E1F" w:rsidRPr="00FE6E1F">
        <w:rPr>
          <w:rFonts w:eastAsia="Calibri" w:cs="Times New Roman"/>
          <w:color w:val="auto"/>
          <w:szCs w:val="24"/>
        </w:rPr>
        <w:t xml:space="preserve"> </w:t>
      </w:r>
      <w:r w:rsidR="00FE6E1F">
        <w:rPr>
          <w:rFonts w:eastAsia="Calibri" w:cs="Times New Roman"/>
          <w:color w:val="auto"/>
          <w:szCs w:val="24"/>
        </w:rPr>
        <w:t xml:space="preserve"> </w:t>
      </w:r>
      <w:r w:rsidR="00FE6E1F" w:rsidRPr="00241B01">
        <w:rPr>
          <w:rFonts w:eastAsia="Calibri" w:cs="Times New Roman"/>
          <w:color w:val="auto"/>
          <w:szCs w:val="24"/>
        </w:rPr>
        <w:t xml:space="preserve">After due deliberation, considering all of the evidence and mindful of VASRD §4.3 (reasonable doubt), the Board recommends a disability rating of </w:t>
      </w:r>
      <w:r w:rsidR="00FE6E1F">
        <w:rPr>
          <w:rFonts w:eastAsia="Calibri" w:cs="Times New Roman"/>
          <w:color w:val="auto"/>
          <w:szCs w:val="24"/>
        </w:rPr>
        <w:t>2</w:t>
      </w:r>
      <w:r w:rsidR="00FE6E1F" w:rsidRPr="00241B01">
        <w:rPr>
          <w:rFonts w:eastAsia="Calibri" w:cs="Times New Roman"/>
          <w:color w:val="auto"/>
          <w:szCs w:val="24"/>
        </w:rPr>
        <w:t xml:space="preserve">0% for the </w:t>
      </w:r>
      <w:r w:rsidR="00FE6E1F">
        <w:rPr>
          <w:rFonts w:eastAsia="Calibri" w:cs="Times New Roman"/>
          <w:color w:val="auto"/>
          <w:szCs w:val="24"/>
        </w:rPr>
        <w:t>lumbar spine</w:t>
      </w:r>
      <w:r w:rsidR="00FE6E1F" w:rsidRPr="00241B01">
        <w:rPr>
          <w:rFonts w:eastAsia="Calibri" w:cs="Times New Roman"/>
          <w:color w:val="auto"/>
          <w:szCs w:val="24"/>
        </w:rPr>
        <w:t xml:space="preserve"> condition.</w:t>
      </w:r>
      <w:r w:rsidR="00FE6E1F">
        <w:rPr>
          <w:rFonts w:eastAsia="Calibri" w:cs="Times New Roman"/>
          <w:color w:val="auto"/>
          <w:szCs w:val="24"/>
        </w:rPr>
        <w:t xml:space="preserve">  </w:t>
      </w:r>
      <w:r w:rsidR="00FE6E1F">
        <w:rPr>
          <w:color w:val="000000"/>
          <w:szCs w:val="24"/>
        </w:rPr>
        <w:t xml:space="preserve">The </w:t>
      </w:r>
      <w:r w:rsidR="0077496A">
        <w:rPr>
          <w:color w:val="000000"/>
          <w:szCs w:val="24"/>
        </w:rPr>
        <w:lastRenderedPageBreak/>
        <w:t>a</w:t>
      </w:r>
      <w:r w:rsidR="00FE6E1F">
        <w:rPr>
          <w:color w:val="000000"/>
          <w:szCs w:val="24"/>
        </w:rPr>
        <w:t xml:space="preserve">ction </w:t>
      </w:r>
      <w:r w:rsidR="0077496A">
        <w:rPr>
          <w:color w:val="000000"/>
          <w:szCs w:val="24"/>
        </w:rPr>
        <w:t>o</w:t>
      </w:r>
      <w:r w:rsidR="00FE6E1F">
        <w:rPr>
          <w:color w:val="000000"/>
          <w:szCs w:val="24"/>
        </w:rPr>
        <w:t xml:space="preserve">fficer recommended, and the Board concurred </w:t>
      </w:r>
      <w:r w:rsidR="00FE6E1F" w:rsidRPr="00FE6E1F">
        <w:rPr>
          <w:color w:val="000000"/>
          <w:szCs w:val="24"/>
        </w:rPr>
        <w:t xml:space="preserve">with, the </w:t>
      </w:r>
      <w:r w:rsidR="00FE6E1F" w:rsidRPr="00FE6E1F">
        <w:rPr>
          <w:color w:val="auto"/>
          <w:szCs w:val="24"/>
        </w:rPr>
        <w:t xml:space="preserve">code </w:t>
      </w:r>
      <w:r w:rsidR="00FE6E1F" w:rsidRPr="00FE6E1F">
        <w:rPr>
          <w:color w:val="auto"/>
        </w:rPr>
        <w:t xml:space="preserve">5242 (degenerative arthritis of the spine) </w:t>
      </w:r>
      <w:r w:rsidR="00FE6E1F" w:rsidRPr="00FE6E1F">
        <w:rPr>
          <w:color w:val="auto"/>
          <w:szCs w:val="24"/>
        </w:rPr>
        <w:t>for its clinical compatibility.</w:t>
      </w:r>
    </w:p>
    <w:p w:rsidR="00AD2379" w:rsidRDefault="00AD2379" w:rsidP="006364ED">
      <w:pPr>
        <w:jc w:val="left"/>
        <w:rPr>
          <w:color w:val="000000"/>
          <w:highlight w:val="magenta"/>
        </w:rPr>
      </w:pPr>
    </w:p>
    <w:p w:rsidR="0077496A" w:rsidRDefault="0077496A" w:rsidP="006364ED">
      <w:pPr>
        <w:jc w:val="left"/>
        <w:rPr>
          <w:color w:val="000000"/>
          <w:highlight w:val="magenta"/>
        </w:rPr>
      </w:pPr>
    </w:p>
    <w:p w:rsidR="0077496A" w:rsidRPr="009A7578" w:rsidRDefault="0077496A" w:rsidP="006364ED">
      <w:pPr>
        <w:jc w:val="left"/>
        <w:rPr>
          <w:color w:val="000000"/>
          <w:highlight w:val="magenta"/>
        </w:rPr>
      </w:pPr>
    </w:p>
    <w:p w:rsidR="00FE6E1F" w:rsidRDefault="00AD2379" w:rsidP="00FE6E1F">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PEB ruling in this case that any prerogatives </w:t>
      </w:r>
      <w:r w:rsidRPr="009B71A9">
        <w:rPr>
          <w:rFonts w:cs="Times New Roman"/>
          <w:color w:val="auto"/>
        </w:rPr>
        <w:t>outside the VASRD were exercised.</w:t>
      </w:r>
      <w:r w:rsidR="008734E7" w:rsidRPr="009B71A9">
        <w:rPr>
          <w:rFonts w:cs="Times New Roman"/>
          <w:color w:val="auto"/>
        </w:rPr>
        <w:t xml:space="preserve"> </w:t>
      </w:r>
      <w:r w:rsidRPr="009B71A9">
        <w:rPr>
          <w:rFonts w:cs="Times New Roman"/>
          <w:color w:val="auto"/>
        </w:rPr>
        <w:t xml:space="preserve"> </w:t>
      </w:r>
      <w:r w:rsidR="00FE6E1F" w:rsidRPr="009B71A9">
        <w:rPr>
          <w:rFonts w:eastAsia="Calibri" w:cs="Times New Roman"/>
          <w:color w:val="auto"/>
          <w:szCs w:val="24"/>
        </w:rPr>
        <w:t xml:space="preserve">In the matter of the lumbar spine condition, the Board unanimously recommends a </w:t>
      </w:r>
      <w:bookmarkStart w:id="0" w:name="_GoBack"/>
      <w:bookmarkEnd w:id="0"/>
      <w:r w:rsidR="00FE6E1F" w:rsidRPr="009B71A9">
        <w:rPr>
          <w:rFonts w:eastAsia="Calibri" w:cs="Times New Roman"/>
          <w:color w:val="auto"/>
          <w:szCs w:val="24"/>
        </w:rPr>
        <w:t>disability rating of 20%, coded 5242, IAW VASRD §4.71a.  There were</w:t>
      </w:r>
      <w:r w:rsidR="00FE6E1F" w:rsidRPr="003471C5">
        <w:rPr>
          <w:rFonts w:eastAsia="Calibri" w:cs="Times New Roman"/>
          <w:color w:val="auto"/>
          <w:szCs w:val="24"/>
        </w:rPr>
        <w:t xml:space="preserv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FE6E1F" w:rsidRDefault="00AD2379" w:rsidP="00FE6E1F">
      <w:pPr>
        <w:jc w:val="both"/>
        <w:rPr>
          <w:rFonts w:eastAsia="Calibri" w:cs="Times New Roman"/>
          <w:color w:val="000080"/>
          <w:szCs w:val="24"/>
        </w:rPr>
      </w:pPr>
      <w:r w:rsidRPr="009A7578">
        <w:rPr>
          <w:color w:val="000000"/>
          <w:u w:val="single"/>
        </w:rPr>
        <w:t>RECOMMENDATION</w:t>
      </w:r>
      <w:r w:rsidRPr="009A7578">
        <w:rPr>
          <w:color w:val="000000"/>
        </w:rPr>
        <w:t xml:space="preserve">: </w:t>
      </w:r>
      <w:r w:rsidR="00FE6E1F" w:rsidRPr="00565636">
        <w:rPr>
          <w:rFonts w:eastAsia="Calibri" w:cs="Times New Roman"/>
          <w:color w:val="auto"/>
          <w:szCs w:val="24"/>
        </w:rPr>
        <w:t xml:space="preserve">The Board </w:t>
      </w:r>
      <w:r w:rsidR="00FE6E1F" w:rsidRPr="00FE6E1F">
        <w:rPr>
          <w:rFonts w:eastAsia="Calibri" w:cs="Times New Roman"/>
          <w:color w:val="auto"/>
          <w:szCs w:val="24"/>
        </w:rPr>
        <w:t>recommends that the CI’s prior determination be modified as follows, effective as of the date of her prior medical</w:t>
      </w:r>
      <w:r w:rsidR="00FE6E1F" w:rsidRPr="00565636">
        <w:rPr>
          <w:rFonts w:eastAsia="Calibri" w:cs="Times New Roman"/>
          <w:color w:val="auto"/>
          <w:szCs w:val="24"/>
        </w:rPr>
        <w:t xml:space="preserve"> separation</w:t>
      </w:r>
      <w:r w:rsidR="00FE6E1F">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FE6E1F" w:rsidP="00BF0E94">
            <w:pPr>
              <w:tabs>
                <w:tab w:val="left" w:pos="288"/>
                <w:tab w:val="left" w:pos="4752"/>
              </w:tabs>
              <w:jc w:val="left"/>
              <w:rPr>
                <w:color w:val="000000"/>
              </w:rPr>
            </w:pPr>
            <w:r>
              <w:rPr>
                <w:color w:val="000000"/>
              </w:rPr>
              <w:t>Multi</w:t>
            </w:r>
            <w:r w:rsidR="00221D83">
              <w:rPr>
                <w:color w:val="000000"/>
              </w:rPr>
              <w:t>-</w:t>
            </w:r>
            <w:r>
              <w:rPr>
                <w:color w:val="000000"/>
              </w:rPr>
              <w:t>level Degenerative Disc Disease, Lumbosacral Spine</w:t>
            </w:r>
          </w:p>
        </w:tc>
        <w:tc>
          <w:tcPr>
            <w:tcW w:w="1530" w:type="dxa"/>
            <w:vAlign w:val="center"/>
          </w:tcPr>
          <w:p w:rsidR="00AD2379" w:rsidRPr="000D5DBE" w:rsidRDefault="00FE6E1F" w:rsidP="00BF0E94">
            <w:pPr>
              <w:tabs>
                <w:tab w:val="left" w:pos="288"/>
                <w:tab w:val="left" w:pos="4752"/>
              </w:tabs>
              <w:rPr>
                <w:color w:val="000000"/>
              </w:rPr>
            </w:pPr>
            <w:r>
              <w:rPr>
                <w:color w:val="000000"/>
              </w:rPr>
              <w:t>5242</w:t>
            </w:r>
          </w:p>
        </w:tc>
        <w:tc>
          <w:tcPr>
            <w:tcW w:w="1026" w:type="dxa"/>
            <w:vAlign w:val="center"/>
          </w:tcPr>
          <w:p w:rsidR="00AD2379" w:rsidRPr="000D5DBE" w:rsidRDefault="00FE6E1F"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FE6E1F"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380444" w:rsidRPr="001F29F9">
        <w:rPr>
          <w:color w:val="000000" w:themeColor="text1"/>
          <w:szCs w:val="24"/>
        </w:rPr>
        <w:t>201</w:t>
      </w:r>
      <w:r w:rsidR="00380444">
        <w:rPr>
          <w:color w:val="000000" w:themeColor="text1"/>
          <w:szCs w:val="24"/>
        </w:rPr>
        <w:t>11110</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77496A">
        <w:rPr>
          <w:color w:val="000000"/>
        </w:rPr>
        <w:t>’</w:t>
      </w:r>
      <w:r w:rsidRPr="001F29F9">
        <w:rPr>
          <w:color w:val="000000"/>
        </w:rPr>
        <w:t xml:space="preserve">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1B6061">
        <w:rPr>
          <w:color w:val="000000"/>
        </w:rPr>
        <w:t>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95270D" w:rsidRPr="006235F5" w:rsidRDefault="00AD2379" w:rsidP="009B71A9">
      <w:pPr>
        <w:tabs>
          <w:tab w:val="left" w:pos="0"/>
          <w:tab w:val="left" w:pos="4320"/>
        </w:tabs>
        <w:jc w:val="both"/>
        <w:rPr>
          <w:rFonts w:eastAsia="Calibri" w:cs="Times New Roman"/>
          <w:color w:val="auto"/>
          <w:szCs w:val="24"/>
        </w:rPr>
      </w:pPr>
      <w:r w:rsidRPr="001F29F9">
        <w:rPr>
          <w:color w:val="000000"/>
        </w:rPr>
        <w:tab/>
        <w:t xml:space="preserve">           Physical Disability Board of Review</w:t>
      </w:r>
    </w:p>
    <w:p w:rsidR="001B6061" w:rsidRDefault="001B6061" w:rsidP="006235F5">
      <w:pPr>
        <w:tabs>
          <w:tab w:val="left" w:pos="288"/>
          <w:tab w:val="left" w:pos="4752"/>
        </w:tabs>
        <w:jc w:val="both"/>
        <w:rPr>
          <w:rFonts w:eastAsia="Calibri" w:cs="Times New Roman"/>
          <w:color w:val="auto"/>
          <w:szCs w:val="24"/>
        </w:rPr>
      </w:pPr>
    </w:p>
    <w:p w:rsidR="001B6061" w:rsidRDefault="001B6061">
      <w:pPr>
        <w:spacing w:line="240" w:lineRule="auto"/>
        <w:jc w:val="left"/>
        <w:rPr>
          <w:rFonts w:eastAsia="Calibri" w:cs="Times New Roman"/>
          <w:color w:val="auto"/>
          <w:szCs w:val="24"/>
        </w:rPr>
      </w:pPr>
      <w:r>
        <w:rPr>
          <w:rFonts w:eastAsia="Calibri" w:cs="Times New Roman"/>
          <w:color w:val="auto"/>
          <w:szCs w:val="24"/>
        </w:rPr>
        <w:br w:type="page"/>
      </w:r>
    </w:p>
    <w:p w:rsidR="001B6061" w:rsidRDefault="001B6061" w:rsidP="001B6061">
      <w:pPr>
        <w:sectPr w:rsidR="001B6061">
          <w:pgSz w:w="12240" w:h="15840"/>
          <w:pgMar w:top="2160" w:right="1440" w:bottom="1440" w:left="1440" w:header="720" w:footer="720" w:gutter="0"/>
          <w:cols w:space="720"/>
        </w:sectPr>
      </w:pPr>
    </w:p>
    <w:p w:rsidR="001B6061" w:rsidRDefault="001B6061" w:rsidP="001B6061">
      <w:pPr>
        <w:pStyle w:val="Header"/>
        <w:tabs>
          <w:tab w:val="left" w:pos="720"/>
        </w:tabs>
        <w:jc w:val="left"/>
      </w:pPr>
      <w:r>
        <w:lastRenderedPageBreak/>
        <w:t>SFMR-RB</w:t>
      </w:r>
      <w:r>
        <w:tab/>
      </w:r>
      <w:r>
        <w:tab/>
      </w:r>
      <w:r>
        <w:tab/>
      </w:r>
      <w:r>
        <w:tab/>
      </w:r>
      <w:r>
        <w:tab/>
      </w:r>
      <w:r>
        <w:tab/>
      </w:r>
      <w:r>
        <w:tab/>
      </w:r>
      <w:r>
        <w:tab/>
      </w:r>
      <w:r>
        <w:tab/>
      </w:r>
    </w:p>
    <w:p w:rsidR="001B6061" w:rsidRDefault="001B6061" w:rsidP="001B6061">
      <w:pPr>
        <w:pStyle w:val="Header"/>
        <w:tabs>
          <w:tab w:val="left" w:pos="720"/>
        </w:tabs>
        <w:jc w:val="left"/>
      </w:pPr>
    </w:p>
    <w:p w:rsidR="001B6061" w:rsidRDefault="001B6061" w:rsidP="001B6061">
      <w:pPr>
        <w:jc w:val="left"/>
      </w:pPr>
    </w:p>
    <w:p w:rsidR="001B6061" w:rsidRDefault="001B6061" w:rsidP="001B6061">
      <w:pPr>
        <w:jc w:val="left"/>
      </w:pPr>
      <w:r>
        <w:t xml:space="preserve">MEMORANDUM FOR Commander, US Army Physical Disability Agency </w:t>
      </w:r>
    </w:p>
    <w:p w:rsidR="001B6061" w:rsidRDefault="001B6061" w:rsidP="001B6061">
      <w:pPr>
        <w:jc w:val="left"/>
      </w:pPr>
      <w:r>
        <w:t xml:space="preserve">(TAPD-ZB </w:t>
      </w:r>
      <w:proofErr w:type="gramStart"/>
      <w:r>
        <w:t>/  )</w:t>
      </w:r>
      <w:proofErr w:type="gramEnd"/>
      <w:r>
        <w:t>, 2900 Crystal Drive, Suite 300, Arlington, VA 22202</w:t>
      </w:r>
    </w:p>
    <w:p w:rsidR="001B6061" w:rsidRDefault="001B6061" w:rsidP="001B6061">
      <w:pPr>
        <w:jc w:val="left"/>
      </w:pPr>
    </w:p>
    <w:p w:rsidR="001B6061" w:rsidRDefault="001B6061" w:rsidP="001B6061">
      <w:pPr>
        <w:ind w:right="-180"/>
        <w:jc w:val="left"/>
      </w:pPr>
      <w:r>
        <w:t xml:space="preserve">SUBJECT:  Department of Defense Physical Disability Board of Review Recommendation </w:t>
      </w:r>
    </w:p>
    <w:p w:rsidR="001B6061" w:rsidRDefault="001B6061" w:rsidP="001B6061">
      <w:pPr>
        <w:pStyle w:val="Header"/>
        <w:tabs>
          <w:tab w:val="left" w:pos="720"/>
        </w:tabs>
        <w:jc w:val="left"/>
      </w:pPr>
      <w:proofErr w:type="gramStart"/>
      <w:r>
        <w:t>for</w:t>
      </w:r>
      <w:proofErr w:type="gramEnd"/>
      <w:r>
        <w:t xml:space="preserve"> XXXXXXXXXXXXXXXXXXX, AR20120017728 (PD201101027)</w:t>
      </w:r>
    </w:p>
    <w:p w:rsidR="001B6061" w:rsidRDefault="001B6061" w:rsidP="001B6061">
      <w:pPr>
        <w:pStyle w:val="Header"/>
        <w:tabs>
          <w:tab w:val="left" w:pos="720"/>
        </w:tabs>
        <w:jc w:val="left"/>
      </w:pPr>
    </w:p>
    <w:p w:rsidR="001B6061" w:rsidRDefault="001B6061" w:rsidP="001B6061">
      <w:pPr>
        <w:jc w:val="left"/>
      </w:pPr>
    </w:p>
    <w:p w:rsidR="001B6061" w:rsidRDefault="001B6061" w:rsidP="001B606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1B6061" w:rsidRDefault="001B6061" w:rsidP="001B6061">
      <w:pPr>
        <w:jc w:val="left"/>
      </w:pPr>
    </w:p>
    <w:p w:rsidR="001B6061" w:rsidRDefault="001B6061" w:rsidP="001B6061">
      <w:pPr>
        <w:jc w:val="left"/>
      </w:pPr>
      <w:r>
        <w:t xml:space="preserve">2.  I direct that all the Department of the Army records of the individual concerned be corrected accordingly no later than 120 days from the date of this memorandum.   </w:t>
      </w:r>
    </w:p>
    <w:p w:rsidR="001B6061" w:rsidRDefault="001B6061" w:rsidP="001B6061">
      <w:pPr>
        <w:jc w:val="left"/>
      </w:pPr>
    </w:p>
    <w:p w:rsidR="001B6061" w:rsidRDefault="001B6061" w:rsidP="001B606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B6061" w:rsidRDefault="001B6061" w:rsidP="001B6061">
      <w:pPr>
        <w:jc w:val="left"/>
      </w:pPr>
    </w:p>
    <w:p w:rsidR="001B6061" w:rsidRDefault="001B6061" w:rsidP="001B6061">
      <w:pPr>
        <w:jc w:val="left"/>
      </w:pPr>
      <w:r>
        <w:t xml:space="preserve"> BY ORDER OF THE SECRETARY OF THE ARMY:</w:t>
      </w:r>
    </w:p>
    <w:p w:rsidR="001B6061" w:rsidRDefault="001B6061" w:rsidP="001B6061">
      <w:pPr>
        <w:jc w:val="left"/>
      </w:pPr>
    </w:p>
    <w:p w:rsidR="001B6061" w:rsidRDefault="001B6061" w:rsidP="001B6061">
      <w:pPr>
        <w:jc w:val="left"/>
      </w:pPr>
    </w:p>
    <w:p w:rsidR="001B6061" w:rsidRDefault="001B6061" w:rsidP="001B6061">
      <w:pPr>
        <w:pStyle w:val="Header"/>
        <w:tabs>
          <w:tab w:val="left" w:pos="720"/>
        </w:tabs>
        <w:jc w:val="left"/>
      </w:pPr>
    </w:p>
    <w:p w:rsidR="001B6061" w:rsidRDefault="001B6061" w:rsidP="001B6061">
      <w:pPr>
        <w:jc w:val="left"/>
      </w:pPr>
    </w:p>
    <w:p w:rsidR="001B6061" w:rsidRDefault="001B6061" w:rsidP="001B6061">
      <w:pPr>
        <w:jc w:val="left"/>
      </w:pPr>
      <w:bookmarkStart w:id="1" w:name="OLE_LINK4"/>
      <w:bookmarkStart w:id="2" w:name="OLE_LINK3"/>
      <w:r>
        <w:t>Encl</w:t>
      </w:r>
      <w:r>
        <w:tab/>
      </w:r>
      <w:r>
        <w:tab/>
      </w:r>
      <w:r>
        <w:tab/>
      </w:r>
      <w:r>
        <w:tab/>
      </w:r>
      <w:r>
        <w:tab/>
      </w:r>
      <w:r>
        <w:tab/>
        <w:t xml:space="preserve">     XXXXXXXXXXXXXXXXXXXX</w:t>
      </w:r>
    </w:p>
    <w:p w:rsidR="001B6061" w:rsidRDefault="001B6061" w:rsidP="001B6061">
      <w:pPr>
        <w:jc w:val="left"/>
      </w:pPr>
      <w:r>
        <w:tab/>
      </w:r>
      <w:r>
        <w:tab/>
      </w:r>
      <w:r>
        <w:tab/>
      </w:r>
      <w:r>
        <w:tab/>
      </w:r>
      <w:r>
        <w:tab/>
      </w:r>
      <w:r>
        <w:tab/>
        <w:t xml:space="preserve">     Deputy Assistant Secretary</w:t>
      </w:r>
    </w:p>
    <w:p w:rsidR="001B6061" w:rsidRDefault="001B6061" w:rsidP="001B6061">
      <w:pPr>
        <w:jc w:val="left"/>
      </w:pPr>
      <w:r>
        <w:tab/>
      </w:r>
      <w:r>
        <w:tab/>
      </w:r>
      <w:r>
        <w:tab/>
      </w:r>
      <w:r>
        <w:tab/>
      </w:r>
      <w:r>
        <w:tab/>
      </w:r>
      <w:r>
        <w:tab/>
        <w:t xml:space="preserve">         (Army Review Boards)</w:t>
      </w:r>
      <w:bookmarkEnd w:id="1"/>
      <w:bookmarkEnd w:id="2"/>
    </w:p>
    <w:p w:rsidR="001B6061" w:rsidRDefault="001B6061" w:rsidP="001B6061">
      <w:pPr>
        <w:jc w:val="left"/>
      </w:pPr>
    </w:p>
    <w:p w:rsidR="001B6061" w:rsidRDefault="001B6061" w:rsidP="001B6061">
      <w:pPr>
        <w:jc w:val="left"/>
      </w:pPr>
      <w:r>
        <w:t xml:space="preserve">CF: </w:t>
      </w:r>
    </w:p>
    <w:p w:rsidR="001B6061" w:rsidRDefault="001B6061" w:rsidP="001B6061">
      <w:pPr>
        <w:jc w:val="left"/>
      </w:pPr>
      <w:r>
        <w:t xml:space="preserve">(  ) </w:t>
      </w:r>
      <w:proofErr w:type="spellStart"/>
      <w:proofErr w:type="gramStart"/>
      <w:r>
        <w:t>DoD</w:t>
      </w:r>
      <w:proofErr w:type="spellEnd"/>
      <w:proofErr w:type="gramEnd"/>
      <w:r>
        <w:t xml:space="preserve"> PDBR</w:t>
      </w:r>
    </w:p>
    <w:p w:rsidR="001B6061" w:rsidRDefault="001B6061" w:rsidP="001B6061">
      <w:pPr>
        <w:jc w:val="left"/>
      </w:pPr>
      <w:r>
        <w:t>(  ) DVA</w:t>
      </w:r>
    </w:p>
    <w:p w:rsidR="00FE7EB9" w:rsidRPr="006235F5" w:rsidRDefault="00FE7EB9" w:rsidP="001B6061">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A0" w:rsidRDefault="004E51A0">
      <w:r>
        <w:separator/>
      </w:r>
    </w:p>
  </w:endnote>
  <w:endnote w:type="continuationSeparator" w:id="0">
    <w:p w:rsidR="004E51A0" w:rsidRDefault="004E5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30607C" w:rsidRPr="0030607C">
      <w:fldChar w:fldCharType="begin"/>
    </w:r>
    <w:r w:rsidR="004E51A0">
      <w:instrText xml:space="preserve"> PAGE   \* MERGEFORMAT </w:instrText>
    </w:r>
    <w:r w:rsidR="0030607C" w:rsidRPr="0030607C">
      <w:fldChar w:fldCharType="separate"/>
    </w:r>
    <w:r w:rsidR="001B6061" w:rsidRPr="001B6061">
      <w:rPr>
        <w:noProof/>
        <w:color w:val="auto"/>
      </w:rPr>
      <w:t>4</w:t>
    </w:r>
    <w:r w:rsidR="0030607C">
      <w:rPr>
        <w:noProof/>
        <w:color w:val="auto"/>
      </w:rPr>
      <w:fldChar w:fldCharType="end"/>
    </w:r>
    <w:r w:rsidRPr="00374247">
      <w:rPr>
        <w:color w:val="auto"/>
      </w:rPr>
      <w:t xml:space="preserve">                                                           </w:t>
    </w:r>
    <w:r w:rsidRPr="001D64F3">
      <w:rPr>
        <w:color w:val="auto"/>
      </w:rPr>
      <w:t>PD1</w:t>
    </w:r>
    <w:r w:rsidR="00380444">
      <w:rPr>
        <w:color w:val="auto"/>
      </w:rPr>
      <w:t>101027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A0" w:rsidRDefault="004E51A0">
      <w:r>
        <w:separator/>
      </w:r>
    </w:p>
  </w:footnote>
  <w:footnote w:type="continuationSeparator" w:id="0">
    <w:p w:rsidR="004E51A0" w:rsidRDefault="004E5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56A2"/>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660D"/>
    <w:rsid w:val="000575C5"/>
    <w:rsid w:val="000577C9"/>
    <w:rsid w:val="00060C18"/>
    <w:rsid w:val="00060FFD"/>
    <w:rsid w:val="00061D69"/>
    <w:rsid w:val="00062513"/>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431"/>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2417"/>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05B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61"/>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1D83"/>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07C"/>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097"/>
    <w:rsid w:val="0037628C"/>
    <w:rsid w:val="00376A07"/>
    <w:rsid w:val="00376B81"/>
    <w:rsid w:val="00376E08"/>
    <w:rsid w:val="00377BD2"/>
    <w:rsid w:val="00380444"/>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51A0"/>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58F"/>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1F6F"/>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77D"/>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96A"/>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447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1772E"/>
    <w:rsid w:val="00817BE7"/>
    <w:rsid w:val="008208C3"/>
    <w:rsid w:val="008220F1"/>
    <w:rsid w:val="0082340B"/>
    <w:rsid w:val="00823D6A"/>
    <w:rsid w:val="00827B29"/>
    <w:rsid w:val="00827DB6"/>
    <w:rsid w:val="008304B2"/>
    <w:rsid w:val="00830999"/>
    <w:rsid w:val="00830D5E"/>
    <w:rsid w:val="00830F69"/>
    <w:rsid w:val="00831940"/>
    <w:rsid w:val="008324D9"/>
    <w:rsid w:val="00832CAB"/>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C26"/>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4C37"/>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1E29"/>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1D1"/>
    <w:rsid w:val="009A55E4"/>
    <w:rsid w:val="009A66C5"/>
    <w:rsid w:val="009A66E7"/>
    <w:rsid w:val="009A7578"/>
    <w:rsid w:val="009A79BA"/>
    <w:rsid w:val="009B10F9"/>
    <w:rsid w:val="009B14D1"/>
    <w:rsid w:val="009B1534"/>
    <w:rsid w:val="009B4963"/>
    <w:rsid w:val="009B4A3B"/>
    <w:rsid w:val="009B557B"/>
    <w:rsid w:val="009B6023"/>
    <w:rsid w:val="009B69D3"/>
    <w:rsid w:val="009B71A9"/>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4722"/>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DE9"/>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143A"/>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54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5E4"/>
    <w:rsid w:val="00D3662E"/>
    <w:rsid w:val="00D366FF"/>
    <w:rsid w:val="00D373F1"/>
    <w:rsid w:val="00D37567"/>
    <w:rsid w:val="00D37D36"/>
    <w:rsid w:val="00D40B1F"/>
    <w:rsid w:val="00D40D75"/>
    <w:rsid w:val="00D43978"/>
    <w:rsid w:val="00D43CBD"/>
    <w:rsid w:val="00D441F1"/>
    <w:rsid w:val="00D449F0"/>
    <w:rsid w:val="00D45319"/>
    <w:rsid w:val="00D4582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A70B7"/>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202"/>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699C"/>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4C11"/>
    <w:rsid w:val="00FB593A"/>
    <w:rsid w:val="00FB6410"/>
    <w:rsid w:val="00FB6E82"/>
    <w:rsid w:val="00FB792E"/>
    <w:rsid w:val="00FB7CF0"/>
    <w:rsid w:val="00FC0042"/>
    <w:rsid w:val="00FC1E67"/>
    <w:rsid w:val="00FC2A13"/>
    <w:rsid w:val="00FC3DE5"/>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6E1F"/>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743059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11C9-1F14-48B5-90FD-5E602C9D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2012-09-25T14:11:00Z</cp:lastPrinted>
  <dcterms:created xsi:type="dcterms:W3CDTF">2012-10-19T19:24:00Z</dcterms:created>
  <dcterms:modified xsi:type="dcterms:W3CDTF">2012-10-19T19:24:00Z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