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B4F95" w:rsidRDefault="00540BEF" w:rsidP="00BF0E94">
      <w:pPr>
        <w:tabs>
          <w:tab w:val="left" w:pos="288"/>
          <w:tab w:val="left" w:pos="4752"/>
        </w:tabs>
        <w:rPr>
          <w:color w:val="000000" w:themeColor="text1"/>
        </w:rPr>
      </w:pPr>
      <w:r w:rsidRPr="003B4F95">
        <w:rPr>
          <w:color w:val="000000" w:themeColor="text1"/>
        </w:rPr>
        <w:t>RECORD OF PROCEEDINGS</w:t>
      </w:r>
    </w:p>
    <w:p w:rsidR="00540BEF" w:rsidRPr="003B4F95" w:rsidRDefault="00540BEF" w:rsidP="00BF0E94">
      <w:pPr>
        <w:tabs>
          <w:tab w:val="left" w:pos="288"/>
          <w:tab w:val="left" w:pos="4752"/>
        </w:tabs>
        <w:rPr>
          <w:color w:val="000000" w:themeColor="text1"/>
        </w:rPr>
      </w:pPr>
      <w:r w:rsidRPr="003B4F95">
        <w:rPr>
          <w:color w:val="000000" w:themeColor="text1"/>
        </w:rPr>
        <w:t>PHYSICAL DISABILITY BOARD OF REVIEW</w:t>
      </w:r>
    </w:p>
    <w:p w:rsidR="00540BEF" w:rsidRPr="003B4F95" w:rsidRDefault="00540BEF" w:rsidP="00BF0E94">
      <w:pPr>
        <w:tabs>
          <w:tab w:val="left" w:pos="288"/>
          <w:tab w:val="left" w:pos="4752"/>
        </w:tabs>
        <w:jc w:val="both"/>
        <w:rPr>
          <w:caps/>
          <w:color w:val="000000" w:themeColor="text1"/>
        </w:rPr>
      </w:pPr>
    </w:p>
    <w:p w:rsidR="00E0346A" w:rsidRPr="003B4F95" w:rsidRDefault="00F629C0" w:rsidP="00BF0E94">
      <w:pPr>
        <w:tabs>
          <w:tab w:val="left" w:pos="288"/>
          <w:tab w:val="left" w:pos="4752"/>
          <w:tab w:val="left" w:pos="5130"/>
          <w:tab w:val="left" w:pos="9270"/>
        </w:tabs>
        <w:jc w:val="both"/>
        <w:rPr>
          <w:caps/>
          <w:color w:val="000000" w:themeColor="text1"/>
        </w:rPr>
      </w:pPr>
      <w:r w:rsidRPr="003B4F95">
        <w:rPr>
          <w:caps/>
          <w:color w:val="000000" w:themeColor="text1"/>
        </w:rPr>
        <w:t xml:space="preserve">NAME:  </w:t>
      </w:r>
      <w:r w:rsidR="00CC492E">
        <w:rPr>
          <w:caps/>
          <w:color w:val="000000" w:themeColor="text1"/>
        </w:rPr>
        <w:t>XXXXXXXXXXXX</w:t>
      </w:r>
      <w:r w:rsidR="004216DA" w:rsidRPr="003B4F95">
        <w:rPr>
          <w:caps/>
          <w:color w:val="000000" w:themeColor="text1"/>
        </w:rPr>
        <w:t xml:space="preserve">             </w:t>
      </w:r>
      <w:r w:rsidR="00332DE3" w:rsidRPr="003B4F95">
        <w:rPr>
          <w:caps/>
          <w:color w:val="000000" w:themeColor="text1"/>
        </w:rPr>
        <w:t xml:space="preserve"> </w:t>
      </w:r>
      <w:r w:rsidR="004216DA" w:rsidRPr="003B4F95">
        <w:rPr>
          <w:caps/>
          <w:color w:val="000000" w:themeColor="text1"/>
        </w:rPr>
        <w:t xml:space="preserve">  </w:t>
      </w:r>
      <w:r w:rsidR="00DC69CD">
        <w:rPr>
          <w:caps/>
          <w:color w:val="000000" w:themeColor="text1"/>
        </w:rPr>
        <w:tab/>
      </w:r>
      <w:r w:rsidR="00DC69CD">
        <w:rPr>
          <w:caps/>
          <w:color w:val="000000" w:themeColor="text1"/>
        </w:rPr>
        <w:tab/>
        <w:t xml:space="preserve">                      </w:t>
      </w:r>
      <w:r w:rsidR="002E65C8">
        <w:rPr>
          <w:caps/>
          <w:color w:val="000000" w:themeColor="text1"/>
        </w:rPr>
        <w:t xml:space="preserve">   </w:t>
      </w:r>
      <w:r w:rsidRPr="003B4F95">
        <w:rPr>
          <w:caps/>
          <w:color w:val="000000" w:themeColor="text1"/>
        </w:rPr>
        <w:t xml:space="preserve">BRANCH OF SERVICE: </w:t>
      </w:r>
      <w:r w:rsidR="004C24C5" w:rsidRPr="003B4F95">
        <w:rPr>
          <w:caps/>
          <w:color w:val="000000" w:themeColor="text1"/>
        </w:rPr>
        <w:t xml:space="preserve"> </w:t>
      </w:r>
      <w:r w:rsidR="00332DE3" w:rsidRPr="003B4F95">
        <w:rPr>
          <w:caps/>
          <w:color w:val="000000" w:themeColor="text1"/>
        </w:rPr>
        <w:t>Army</w:t>
      </w:r>
    </w:p>
    <w:p w:rsidR="00DE3AAD" w:rsidRPr="003B4F95" w:rsidRDefault="00012733" w:rsidP="0068098E">
      <w:pPr>
        <w:tabs>
          <w:tab w:val="left" w:pos="288"/>
          <w:tab w:val="left" w:pos="4166"/>
          <w:tab w:val="left" w:pos="4752"/>
          <w:tab w:val="left" w:pos="5130"/>
          <w:tab w:val="left" w:pos="9270"/>
        </w:tabs>
        <w:jc w:val="both"/>
        <w:rPr>
          <w:caps/>
          <w:color w:val="000000" w:themeColor="text1"/>
        </w:rPr>
      </w:pPr>
      <w:r w:rsidRPr="003B4F95">
        <w:rPr>
          <w:caps/>
          <w:color w:val="000000" w:themeColor="text1"/>
        </w:rPr>
        <w:t>C</w:t>
      </w:r>
      <w:r w:rsidR="00DE3AAD" w:rsidRPr="003B4F95">
        <w:rPr>
          <w:caps/>
          <w:color w:val="000000" w:themeColor="text1"/>
        </w:rPr>
        <w:t>ASE NUMBER:  PD</w:t>
      </w:r>
      <w:r w:rsidR="008F58E1" w:rsidRPr="003B4F95">
        <w:rPr>
          <w:caps/>
          <w:color w:val="000000" w:themeColor="text1"/>
        </w:rPr>
        <w:t>11</w:t>
      </w:r>
      <w:r w:rsidR="00DE3AAD" w:rsidRPr="003B4F95">
        <w:rPr>
          <w:caps/>
          <w:color w:val="000000" w:themeColor="text1"/>
        </w:rPr>
        <w:t>0</w:t>
      </w:r>
      <w:r w:rsidR="00F42C9D" w:rsidRPr="003B4F95">
        <w:rPr>
          <w:caps/>
          <w:color w:val="000000" w:themeColor="text1"/>
        </w:rPr>
        <w:t>1025</w:t>
      </w:r>
      <w:r w:rsidR="00DE3AAD" w:rsidRPr="003B4F95">
        <w:rPr>
          <w:color w:val="000000" w:themeColor="text1"/>
        </w:rPr>
        <w:t xml:space="preserve"> </w:t>
      </w:r>
      <w:r w:rsidR="00DE3AAD" w:rsidRPr="003B4F95">
        <w:rPr>
          <w:color w:val="000000" w:themeColor="text1"/>
        </w:rPr>
        <w:tab/>
      </w:r>
      <w:r w:rsidR="0068098E" w:rsidRPr="003B4F95">
        <w:rPr>
          <w:color w:val="000000" w:themeColor="text1"/>
        </w:rPr>
        <w:tab/>
      </w:r>
      <w:r w:rsidR="00DE3AAD" w:rsidRPr="003B4F95">
        <w:rPr>
          <w:color w:val="000000" w:themeColor="text1"/>
        </w:rPr>
        <w:t xml:space="preserve">         </w:t>
      </w:r>
      <w:r w:rsidR="00E0346A" w:rsidRPr="003B4F95">
        <w:rPr>
          <w:color w:val="000000" w:themeColor="text1"/>
        </w:rPr>
        <w:t xml:space="preserve">                    </w:t>
      </w:r>
      <w:r w:rsidR="00DE3AAD" w:rsidRPr="003B4F95">
        <w:rPr>
          <w:color w:val="000000" w:themeColor="text1"/>
        </w:rPr>
        <w:t>SEPARATION DATE:  200</w:t>
      </w:r>
      <w:r w:rsidR="00F42C9D" w:rsidRPr="003B4F95">
        <w:rPr>
          <w:color w:val="000000" w:themeColor="text1"/>
        </w:rPr>
        <w:t>90410</w:t>
      </w:r>
    </w:p>
    <w:p w:rsidR="003B2143" w:rsidRPr="003B4F95" w:rsidRDefault="00CF1364" w:rsidP="008F1E9C">
      <w:pPr>
        <w:tabs>
          <w:tab w:val="left" w:pos="288"/>
          <w:tab w:val="left" w:pos="5130"/>
        </w:tabs>
        <w:jc w:val="both"/>
        <w:rPr>
          <w:color w:val="000000" w:themeColor="text1"/>
        </w:rPr>
      </w:pPr>
      <w:r w:rsidRPr="003B4F95">
        <w:rPr>
          <w:caps/>
          <w:color w:val="000000" w:themeColor="text1"/>
        </w:rPr>
        <w:t>BOARD DATE:  2012</w:t>
      </w:r>
      <w:r w:rsidR="00E41CB9" w:rsidRPr="003B4F95">
        <w:rPr>
          <w:caps/>
          <w:color w:val="000000" w:themeColor="text1"/>
        </w:rPr>
        <w:t>0416</w:t>
      </w:r>
    </w:p>
    <w:p w:rsidR="00365712" w:rsidRPr="003B4F95" w:rsidRDefault="00365712" w:rsidP="00365712">
      <w:pPr>
        <w:pBdr>
          <w:bottom w:val="single" w:sz="12" w:space="1" w:color="auto"/>
        </w:pBdr>
        <w:tabs>
          <w:tab w:val="left" w:pos="288"/>
          <w:tab w:val="left" w:pos="4752"/>
        </w:tabs>
        <w:jc w:val="both"/>
        <w:rPr>
          <w:color w:val="000000" w:themeColor="text1"/>
        </w:rPr>
      </w:pPr>
    </w:p>
    <w:p w:rsidR="00365712" w:rsidRPr="003B4F95" w:rsidRDefault="00365712" w:rsidP="00365712">
      <w:pPr>
        <w:tabs>
          <w:tab w:val="left" w:pos="288"/>
          <w:tab w:val="left" w:pos="4752"/>
        </w:tabs>
        <w:jc w:val="both"/>
        <w:rPr>
          <w:color w:val="000000" w:themeColor="text1"/>
        </w:rPr>
      </w:pPr>
    </w:p>
    <w:p w:rsidR="002F2981" w:rsidRPr="003B4F95" w:rsidRDefault="00FB0E80" w:rsidP="00BF0E94">
      <w:pPr>
        <w:tabs>
          <w:tab w:val="left" w:pos="288"/>
          <w:tab w:val="left" w:pos="4752"/>
        </w:tabs>
        <w:jc w:val="both"/>
        <w:rPr>
          <w:color w:val="000000" w:themeColor="text1"/>
        </w:rPr>
      </w:pPr>
      <w:r w:rsidRPr="003B4F95">
        <w:rPr>
          <w:color w:val="000000" w:themeColor="text1"/>
          <w:u w:val="single"/>
        </w:rPr>
        <w:t>SUMMARY OF CASE</w:t>
      </w:r>
      <w:r w:rsidRPr="003B4F95">
        <w:rPr>
          <w:color w:val="000000" w:themeColor="text1"/>
        </w:rPr>
        <w:t xml:space="preserve">:  </w:t>
      </w:r>
      <w:r w:rsidR="009759C2" w:rsidRPr="003B4F95">
        <w:rPr>
          <w:color w:val="000000" w:themeColor="text1"/>
        </w:rPr>
        <w:t>Data extracted from the available evidence of record reflects that this covered individual (CI)</w:t>
      </w:r>
      <w:r w:rsidR="00570754" w:rsidRPr="003B4F95">
        <w:rPr>
          <w:color w:val="000000" w:themeColor="text1"/>
        </w:rPr>
        <w:t xml:space="preserve"> </w:t>
      </w:r>
      <w:r w:rsidR="002C6E5B" w:rsidRPr="003B4F95">
        <w:rPr>
          <w:color w:val="000000" w:themeColor="text1"/>
          <w:szCs w:val="24"/>
        </w:rPr>
        <w:t xml:space="preserve">was </w:t>
      </w:r>
      <w:r w:rsidR="00E322F7" w:rsidRPr="003B4F95">
        <w:rPr>
          <w:color w:val="000000" w:themeColor="text1"/>
          <w:szCs w:val="24"/>
        </w:rPr>
        <w:t>an active duty</w:t>
      </w:r>
      <w:r w:rsidR="002E65E6" w:rsidRPr="003B4F95">
        <w:rPr>
          <w:color w:val="000000" w:themeColor="text1"/>
          <w:szCs w:val="24"/>
        </w:rPr>
        <w:t xml:space="preserve"> </w:t>
      </w:r>
      <w:r w:rsidR="00661BA2" w:rsidRPr="003B4F95">
        <w:rPr>
          <w:color w:val="000000" w:themeColor="text1"/>
          <w:szCs w:val="24"/>
        </w:rPr>
        <w:t>S</w:t>
      </w:r>
      <w:r w:rsidR="00F42C9D" w:rsidRPr="003B4F95">
        <w:rPr>
          <w:color w:val="000000" w:themeColor="text1"/>
          <w:szCs w:val="24"/>
        </w:rPr>
        <w:t>PC</w:t>
      </w:r>
      <w:r w:rsidR="00661BA2" w:rsidRPr="003B4F95">
        <w:rPr>
          <w:color w:val="000000" w:themeColor="text1"/>
          <w:szCs w:val="24"/>
        </w:rPr>
        <w:t>/E-</w:t>
      </w:r>
      <w:r w:rsidR="00F42C9D" w:rsidRPr="003B4F95">
        <w:rPr>
          <w:color w:val="000000" w:themeColor="text1"/>
          <w:szCs w:val="24"/>
        </w:rPr>
        <w:t>4</w:t>
      </w:r>
      <w:r w:rsidR="00705C40" w:rsidRPr="003B4F95">
        <w:rPr>
          <w:color w:val="000000" w:themeColor="text1"/>
          <w:szCs w:val="24"/>
        </w:rPr>
        <w:t xml:space="preserve"> (</w:t>
      </w:r>
      <w:r w:rsidR="00F42C9D" w:rsidRPr="003B4F95">
        <w:rPr>
          <w:color w:val="000000" w:themeColor="text1"/>
          <w:szCs w:val="24"/>
        </w:rPr>
        <w:t>11B10</w:t>
      </w:r>
      <w:r w:rsidR="00C75F3D" w:rsidRPr="003B4F95">
        <w:rPr>
          <w:color w:val="000000" w:themeColor="text1"/>
          <w:szCs w:val="24"/>
        </w:rPr>
        <w:t xml:space="preserve"> / </w:t>
      </w:r>
      <w:r w:rsidR="00F42C9D" w:rsidRPr="003B4F95">
        <w:rPr>
          <w:color w:val="000000" w:themeColor="text1"/>
          <w:szCs w:val="24"/>
        </w:rPr>
        <w:t>Infantry</w:t>
      </w:r>
      <w:r w:rsidR="00E322F7" w:rsidRPr="003B4F95">
        <w:rPr>
          <w:color w:val="000000" w:themeColor="text1"/>
          <w:szCs w:val="24"/>
        </w:rPr>
        <w:t>)</w:t>
      </w:r>
      <w:r w:rsidR="00C75F3D" w:rsidRPr="003B4F95">
        <w:rPr>
          <w:color w:val="000000" w:themeColor="text1"/>
          <w:szCs w:val="24"/>
        </w:rPr>
        <w:t xml:space="preserve">, </w:t>
      </w:r>
      <w:r w:rsidR="002C6E5B" w:rsidRPr="003B4F95">
        <w:rPr>
          <w:color w:val="000000" w:themeColor="text1"/>
          <w:szCs w:val="24"/>
        </w:rPr>
        <w:t xml:space="preserve">medically separated for </w:t>
      </w:r>
      <w:r w:rsidR="00AA5281">
        <w:rPr>
          <w:color w:val="000000" w:themeColor="text1"/>
          <w:szCs w:val="24"/>
        </w:rPr>
        <w:t>b</w:t>
      </w:r>
      <w:r w:rsidR="00F42C9D" w:rsidRPr="003B4F95">
        <w:rPr>
          <w:color w:val="000000" w:themeColor="text1"/>
          <w:szCs w:val="24"/>
        </w:rPr>
        <w:t xml:space="preserve">ilateral </w:t>
      </w:r>
      <w:proofErr w:type="spellStart"/>
      <w:r w:rsidR="00AA5281">
        <w:rPr>
          <w:color w:val="000000" w:themeColor="text1"/>
          <w:szCs w:val="24"/>
        </w:rPr>
        <w:t>p</w:t>
      </w:r>
      <w:r w:rsidR="00F42C9D" w:rsidRPr="003B4F95">
        <w:rPr>
          <w:color w:val="000000" w:themeColor="text1"/>
          <w:szCs w:val="24"/>
        </w:rPr>
        <w:t>atellofemoral</w:t>
      </w:r>
      <w:proofErr w:type="spellEnd"/>
      <w:r w:rsidR="00F42C9D" w:rsidRPr="003B4F95">
        <w:rPr>
          <w:color w:val="000000" w:themeColor="text1"/>
          <w:szCs w:val="24"/>
        </w:rPr>
        <w:t xml:space="preserve"> </w:t>
      </w:r>
      <w:r w:rsidR="00AA5281">
        <w:rPr>
          <w:color w:val="000000" w:themeColor="text1"/>
          <w:szCs w:val="24"/>
        </w:rPr>
        <w:t>p</w:t>
      </w:r>
      <w:r w:rsidR="00F42C9D" w:rsidRPr="003B4F95">
        <w:rPr>
          <w:color w:val="000000" w:themeColor="text1"/>
          <w:szCs w:val="24"/>
        </w:rPr>
        <w:t xml:space="preserve">ain </w:t>
      </w:r>
      <w:r w:rsidR="00AA5281">
        <w:rPr>
          <w:color w:val="000000" w:themeColor="text1"/>
          <w:szCs w:val="24"/>
        </w:rPr>
        <w:t>s</w:t>
      </w:r>
      <w:r w:rsidR="00F42C9D" w:rsidRPr="003B4F95">
        <w:rPr>
          <w:color w:val="000000" w:themeColor="text1"/>
          <w:szCs w:val="24"/>
        </w:rPr>
        <w:t>yndrome.</w:t>
      </w:r>
      <w:r w:rsidR="00365712" w:rsidRPr="003B4F95">
        <w:rPr>
          <w:color w:val="000000" w:themeColor="text1"/>
          <w:szCs w:val="24"/>
        </w:rPr>
        <w:t xml:space="preserve">  </w:t>
      </w:r>
      <w:r w:rsidR="00C633D8" w:rsidRPr="003B4F95">
        <w:rPr>
          <w:color w:val="000000" w:themeColor="text1"/>
          <w:szCs w:val="24"/>
        </w:rPr>
        <w:t xml:space="preserve">The history of knee injury or insidious pain onset was discussed in the </w:t>
      </w:r>
      <w:r w:rsidR="003E46CC">
        <w:rPr>
          <w:color w:val="000000" w:themeColor="text1"/>
          <w:szCs w:val="24"/>
        </w:rPr>
        <w:t>narrative summary (</w:t>
      </w:r>
      <w:r w:rsidR="00C633D8" w:rsidRPr="003B4F95">
        <w:rPr>
          <w:color w:val="000000" w:themeColor="text1"/>
          <w:szCs w:val="24"/>
        </w:rPr>
        <w:t>NARSUM</w:t>
      </w:r>
      <w:r w:rsidR="003E46CC">
        <w:rPr>
          <w:color w:val="000000" w:themeColor="text1"/>
          <w:szCs w:val="24"/>
        </w:rPr>
        <w:t>)</w:t>
      </w:r>
      <w:r w:rsidR="00C633D8" w:rsidRPr="003B4F95">
        <w:rPr>
          <w:color w:val="000000" w:themeColor="text1"/>
          <w:szCs w:val="24"/>
        </w:rPr>
        <w:t xml:space="preserve"> and </w:t>
      </w:r>
      <w:r w:rsidR="003E46CC">
        <w:rPr>
          <w:color w:val="000000" w:themeColor="text1"/>
          <w:szCs w:val="24"/>
        </w:rPr>
        <w:t>Disability Evaluation System (</w:t>
      </w:r>
      <w:r w:rsidR="00C633D8" w:rsidRPr="003B4F95">
        <w:rPr>
          <w:color w:val="000000" w:themeColor="text1"/>
          <w:szCs w:val="24"/>
        </w:rPr>
        <w:t>DES</w:t>
      </w:r>
      <w:r w:rsidR="003E46CC">
        <w:rPr>
          <w:color w:val="000000" w:themeColor="text1"/>
          <w:szCs w:val="24"/>
        </w:rPr>
        <w:t>)</w:t>
      </w:r>
      <w:r w:rsidR="00C633D8" w:rsidRPr="003B4F95">
        <w:rPr>
          <w:color w:val="000000" w:themeColor="text1"/>
          <w:szCs w:val="24"/>
        </w:rPr>
        <w:t xml:space="preserve"> file.  The CI underwent left knee </w:t>
      </w:r>
      <w:r w:rsidR="00DC69CD" w:rsidRPr="003B4F95">
        <w:rPr>
          <w:color w:val="000000" w:themeColor="text1"/>
          <w:szCs w:val="24"/>
        </w:rPr>
        <w:t>arthroscopic</w:t>
      </w:r>
      <w:r w:rsidR="00C633D8" w:rsidRPr="003B4F95">
        <w:rPr>
          <w:color w:val="000000" w:themeColor="text1"/>
          <w:szCs w:val="24"/>
        </w:rPr>
        <w:t xml:space="preserve"> surgery for </w:t>
      </w:r>
      <w:proofErr w:type="spellStart"/>
      <w:r w:rsidR="00C633D8" w:rsidRPr="003B4F95">
        <w:rPr>
          <w:color w:val="000000" w:themeColor="text1"/>
          <w:szCs w:val="24"/>
        </w:rPr>
        <w:t>meniscal</w:t>
      </w:r>
      <w:proofErr w:type="spellEnd"/>
      <w:r w:rsidR="00C633D8" w:rsidRPr="003B4F95">
        <w:rPr>
          <w:color w:val="000000" w:themeColor="text1"/>
          <w:szCs w:val="24"/>
        </w:rPr>
        <w:t xml:space="preserve"> repair.  </w:t>
      </w:r>
      <w:r w:rsidR="00643C8F" w:rsidRPr="003B4F95">
        <w:rPr>
          <w:color w:val="000000" w:themeColor="text1"/>
          <w:szCs w:val="24"/>
        </w:rPr>
        <w:t xml:space="preserve">He did not respond adequately to treatment and was unable to perform within his Military Occupational Specialty (MOS) or meet physical fitness standards.  He was issued a permanent </w:t>
      </w:r>
      <w:r w:rsidR="00F42C9D" w:rsidRPr="003B4F95">
        <w:rPr>
          <w:color w:val="000000" w:themeColor="text1"/>
          <w:szCs w:val="24"/>
        </w:rPr>
        <w:t>L3</w:t>
      </w:r>
      <w:r w:rsidR="00643C8F" w:rsidRPr="003B4F95">
        <w:rPr>
          <w:color w:val="000000" w:themeColor="text1"/>
          <w:szCs w:val="24"/>
        </w:rPr>
        <w:t xml:space="preserve"> profile and underwent a Medical Evaluation Board (MEB).</w:t>
      </w:r>
      <w:r w:rsidR="00365712" w:rsidRPr="003B4F95">
        <w:rPr>
          <w:color w:val="000000" w:themeColor="text1"/>
          <w:szCs w:val="24"/>
        </w:rPr>
        <w:t xml:space="preserve">  </w:t>
      </w:r>
      <w:r w:rsidR="00F42C9D" w:rsidRPr="003B4F95">
        <w:rPr>
          <w:color w:val="000000" w:themeColor="text1"/>
          <w:szCs w:val="24"/>
        </w:rPr>
        <w:t xml:space="preserve">Bilateral </w:t>
      </w:r>
      <w:r w:rsidR="003E46CC">
        <w:rPr>
          <w:color w:val="000000" w:themeColor="text1"/>
          <w:szCs w:val="24"/>
        </w:rPr>
        <w:t>k</w:t>
      </w:r>
      <w:r w:rsidR="00F42C9D" w:rsidRPr="003B4F95">
        <w:rPr>
          <w:color w:val="000000" w:themeColor="text1"/>
          <w:szCs w:val="24"/>
        </w:rPr>
        <w:t xml:space="preserve">nee </w:t>
      </w:r>
      <w:r w:rsidR="003E46CC">
        <w:rPr>
          <w:color w:val="000000" w:themeColor="text1"/>
          <w:szCs w:val="24"/>
        </w:rPr>
        <w:t>p</w:t>
      </w:r>
      <w:r w:rsidR="00F42C9D" w:rsidRPr="003B4F95">
        <w:rPr>
          <w:color w:val="000000" w:themeColor="text1"/>
          <w:szCs w:val="24"/>
        </w:rPr>
        <w:t xml:space="preserve">ain and </w:t>
      </w:r>
      <w:r w:rsidR="003E46CC">
        <w:rPr>
          <w:color w:val="000000" w:themeColor="text1"/>
          <w:szCs w:val="24"/>
        </w:rPr>
        <w:t>c</w:t>
      </w:r>
      <w:r w:rsidR="00F42C9D" w:rsidRPr="003B4F95">
        <w:rPr>
          <w:color w:val="000000" w:themeColor="text1"/>
          <w:szCs w:val="24"/>
        </w:rPr>
        <w:t xml:space="preserve">hronic left </w:t>
      </w:r>
      <w:r w:rsidR="003E46CC">
        <w:rPr>
          <w:color w:val="000000" w:themeColor="text1"/>
          <w:szCs w:val="24"/>
        </w:rPr>
        <w:t>k</w:t>
      </w:r>
      <w:r w:rsidR="00F42C9D" w:rsidRPr="003B4F95">
        <w:rPr>
          <w:color w:val="000000" w:themeColor="text1"/>
          <w:szCs w:val="24"/>
        </w:rPr>
        <w:t xml:space="preserve">nee </w:t>
      </w:r>
      <w:r w:rsidR="003E46CC">
        <w:rPr>
          <w:color w:val="000000" w:themeColor="text1"/>
          <w:szCs w:val="24"/>
        </w:rPr>
        <w:t>p</w:t>
      </w:r>
      <w:r w:rsidR="00F42C9D" w:rsidRPr="003B4F95">
        <w:rPr>
          <w:color w:val="000000" w:themeColor="text1"/>
          <w:szCs w:val="24"/>
        </w:rPr>
        <w:t xml:space="preserve">ain </w:t>
      </w:r>
      <w:r w:rsidR="003E46CC">
        <w:rPr>
          <w:color w:val="000000" w:themeColor="text1"/>
          <w:szCs w:val="24"/>
        </w:rPr>
        <w:t>s</w:t>
      </w:r>
      <w:r w:rsidR="00F42C9D" w:rsidRPr="003B4F95">
        <w:rPr>
          <w:color w:val="000000" w:themeColor="text1"/>
          <w:szCs w:val="24"/>
        </w:rPr>
        <w:t xml:space="preserve">tatus </w:t>
      </w:r>
      <w:r w:rsidR="003E46CC">
        <w:rPr>
          <w:color w:val="000000" w:themeColor="text1"/>
          <w:szCs w:val="24"/>
        </w:rPr>
        <w:t>p</w:t>
      </w:r>
      <w:r w:rsidR="00F42C9D" w:rsidRPr="003B4F95">
        <w:rPr>
          <w:color w:val="000000" w:themeColor="text1"/>
          <w:szCs w:val="24"/>
        </w:rPr>
        <w:t xml:space="preserve">ost </w:t>
      </w:r>
      <w:r w:rsidR="003E46CC">
        <w:rPr>
          <w:color w:val="000000" w:themeColor="text1"/>
          <w:szCs w:val="24"/>
        </w:rPr>
        <w:t>m</w:t>
      </w:r>
      <w:r w:rsidR="00F42C9D" w:rsidRPr="003B4F95">
        <w:rPr>
          <w:color w:val="000000" w:themeColor="text1"/>
          <w:szCs w:val="24"/>
        </w:rPr>
        <w:t xml:space="preserve">edial and </w:t>
      </w:r>
      <w:r w:rsidR="003E46CC">
        <w:rPr>
          <w:color w:val="000000" w:themeColor="text1"/>
          <w:szCs w:val="24"/>
        </w:rPr>
        <w:t>l</w:t>
      </w:r>
      <w:r w:rsidR="00F42C9D" w:rsidRPr="003B4F95">
        <w:rPr>
          <w:color w:val="000000" w:themeColor="text1"/>
          <w:szCs w:val="24"/>
        </w:rPr>
        <w:t xml:space="preserve">ateral </w:t>
      </w:r>
      <w:r w:rsidR="003E46CC">
        <w:rPr>
          <w:color w:val="000000" w:themeColor="text1"/>
          <w:szCs w:val="24"/>
        </w:rPr>
        <w:t>m</w:t>
      </w:r>
      <w:r w:rsidR="00F42C9D" w:rsidRPr="003B4F95">
        <w:rPr>
          <w:color w:val="000000" w:themeColor="text1"/>
          <w:szCs w:val="24"/>
        </w:rPr>
        <w:t xml:space="preserve">eniscus </w:t>
      </w:r>
      <w:r w:rsidR="003E46CC">
        <w:rPr>
          <w:color w:val="000000" w:themeColor="text1"/>
          <w:szCs w:val="24"/>
        </w:rPr>
        <w:t>r</w:t>
      </w:r>
      <w:r w:rsidR="00F42C9D" w:rsidRPr="003B4F95">
        <w:rPr>
          <w:color w:val="000000" w:themeColor="text1"/>
          <w:szCs w:val="24"/>
        </w:rPr>
        <w:t>epair</w:t>
      </w:r>
      <w:r w:rsidR="000A33C8" w:rsidRPr="003B4F95">
        <w:rPr>
          <w:color w:val="000000" w:themeColor="text1"/>
          <w:szCs w:val="24"/>
        </w:rPr>
        <w:t xml:space="preserve"> were forwarded to the Physical Evaluation Board (PEB) as medically unacceptable IAW AR 40-501</w:t>
      </w:r>
      <w:r w:rsidR="00376E08" w:rsidRPr="003B4F95">
        <w:rPr>
          <w:color w:val="000000" w:themeColor="text1"/>
          <w:szCs w:val="24"/>
        </w:rPr>
        <w:t>.</w:t>
      </w:r>
      <w:r w:rsidR="00365712" w:rsidRPr="003B4F95">
        <w:rPr>
          <w:color w:val="000000" w:themeColor="text1"/>
          <w:szCs w:val="24"/>
        </w:rPr>
        <w:t xml:space="preserve">  </w:t>
      </w:r>
      <w:r w:rsidR="00F42C9D" w:rsidRPr="003B4F95">
        <w:rPr>
          <w:color w:val="000000" w:themeColor="text1"/>
          <w:szCs w:val="24"/>
        </w:rPr>
        <w:t>Two</w:t>
      </w:r>
      <w:r w:rsidR="009C5C56" w:rsidRPr="003B4F95">
        <w:rPr>
          <w:color w:val="000000" w:themeColor="text1"/>
          <w:szCs w:val="24"/>
        </w:rPr>
        <w:t xml:space="preserve"> </w:t>
      </w:r>
      <w:r w:rsidR="00954E5B" w:rsidRPr="003B4F95">
        <w:rPr>
          <w:color w:val="000000" w:themeColor="text1"/>
          <w:szCs w:val="24"/>
        </w:rPr>
        <w:t xml:space="preserve">other conditions, as identified in the rating chart below, were forwarded on the </w:t>
      </w:r>
      <w:r w:rsidR="00B04562" w:rsidRPr="003B4F95">
        <w:rPr>
          <w:color w:val="000000" w:themeColor="text1"/>
          <w:szCs w:val="24"/>
        </w:rPr>
        <w:t xml:space="preserve">MEB submission </w:t>
      </w:r>
      <w:r w:rsidR="00954E5B" w:rsidRPr="003B4F95">
        <w:rPr>
          <w:color w:val="000000" w:themeColor="text1"/>
          <w:szCs w:val="24"/>
        </w:rPr>
        <w:t>as medically acceptable conditions</w:t>
      </w:r>
      <w:r w:rsidR="00B04562" w:rsidRPr="003B4F95">
        <w:rPr>
          <w:color w:val="000000" w:themeColor="text1"/>
          <w:szCs w:val="24"/>
        </w:rPr>
        <w:t>.</w:t>
      </w:r>
      <w:r w:rsidR="00365712" w:rsidRPr="003B4F95">
        <w:rPr>
          <w:color w:val="000000" w:themeColor="text1"/>
          <w:szCs w:val="24"/>
        </w:rPr>
        <w:t xml:space="preserve">  </w:t>
      </w:r>
      <w:r w:rsidR="00842BAA" w:rsidRPr="003B4F95">
        <w:rPr>
          <w:color w:val="000000" w:themeColor="text1"/>
          <w:szCs w:val="24"/>
        </w:rPr>
        <w:t xml:space="preserve">The PEB adjudicated the </w:t>
      </w:r>
      <w:r w:rsidR="003E46CC">
        <w:rPr>
          <w:color w:val="000000" w:themeColor="text1"/>
          <w:szCs w:val="24"/>
        </w:rPr>
        <w:t>b</w:t>
      </w:r>
      <w:r w:rsidR="00F42C9D" w:rsidRPr="003B4F95">
        <w:rPr>
          <w:color w:val="000000" w:themeColor="text1"/>
          <w:szCs w:val="24"/>
        </w:rPr>
        <w:t xml:space="preserve">ilateral </w:t>
      </w:r>
      <w:r w:rsidR="003E46CC">
        <w:rPr>
          <w:color w:val="000000" w:themeColor="text1"/>
          <w:szCs w:val="24"/>
        </w:rPr>
        <w:t>k</w:t>
      </w:r>
      <w:r w:rsidR="00F42C9D" w:rsidRPr="003B4F95">
        <w:rPr>
          <w:color w:val="000000" w:themeColor="text1"/>
          <w:szCs w:val="24"/>
        </w:rPr>
        <w:t>nee</w:t>
      </w:r>
      <w:r w:rsidR="00842BAA" w:rsidRPr="003B4F95">
        <w:rPr>
          <w:color w:val="000000" w:themeColor="text1"/>
          <w:szCs w:val="24"/>
        </w:rPr>
        <w:t xml:space="preserve"> condition as unfitting, rated </w:t>
      </w:r>
      <w:r w:rsidR="008F1E9C" w:rsidRPr="003B4F95">
        <w:rPr>
          <w:color w:val="000000" w:themeColor="text1"/>
          <w:szCs w:val="24"/>
        </w:rPr>
        <w:t>as 10% for each knee (</w:t>
      </w:r>
      <w:r w:rsidR="00F42C9D" w:rsidRPr="003B4F95">
        <w:rPr>
          <w:color w:val="000000" w:themeColor="text1"/>
          <w:szCs w:val="24"/>
        </w:rPr>
        <w:t>20</w:t>
      </w:r>
      <w:r w:rsidR="00842BAA" w:rsidRPr="003B4F95">
        <w:rPr>
          <w:color w:val="000000" w:themeColor="text1"/>
          <w:szCs w:val="24"/>
        </w:rPr>
        <w:t>%</w:t>
      </w:r>
      <w:r w:rsidR="008F1E9C" w:rsidRPr="003B4F95">
        <w:rPr>
          <w:color w:val="000000" w:themeColor="text1"/>
          <w:szCs w:val="24"/>
        </w:rPr>
        <w:t>)</w:t>
      </w:r>
      <w:r w:rsidR="00F42C9D" w:rsidRPr="003B4F95">
        <w:rPr>
          <w:color w:val="000000" w:themeColor="text1"/>
          <w:szCs w:val="24"/>
        </w:rPr>
        <w:t>;</w:t>
      </w:r>
      <w:r w:rsidR="00842BAA" w:rsidRPr="003B4F95">
        <w:rPr>
          <w:color w:val="000000" w:themeColor="text1"/>
          <w:szCs w:val="24"/>
        </w:rPr>
        <w:t xml:space="preserve"> </w:t>
      </w:r>
      <w:proofErr w:type="gramStart"/>
      <w:r w:rsidR="00842BAA" w:rsidRPr="003B4F95">
        <w:rPr>
          <w:color w:val="000000" w:themeColor="text1"/>
          <w:szCs w:val="24"/>
        </w:rPr>
        <w:t>with</w:t>
      </w:r>
      <w:proofErr w:type="gramEnd"/>
      <w:r w:rsidR="00842BAA" w:rsidRPr="003B4F95">
        <w:rPr>
          <w:color w:val="000000" w:themeColor="text1"/>
          <w:szCs w:val="24"/>
        </w:rPr>
        <w:t xml:space="preserve"> application of the </w:t>
      </w:r>
      <w:r w:rsidR="008F1E9C" w:rsidRPr="003B4F95">
        <w:rPr>
          <w:color w:val="000000" w:themeColor="text1"/>
          <w:szCs w:val="24"/>
        </w:rPr>
        <w:t>VASRD</w:t>
      </w:r>
      <w:r w:rsidR="00842BAA" w:rsidRPr="003B4F95">
        <w:rPr>
          <w:color w:val="000000" w:themeColor="text1"/>
          <w:szCs w:val="24"/>
        </w:rPr>
        <w:t>.</w:t>
      </w:r>
      <w:r w:rsidR="00365712" w:rsidRPr="003B4F95">
        <w:rPr>
          <w:color w:val="000000" w:themeColor="text1"/>
          <w:szCs w:val="24"/>
        </w:rPr>
        <w:t xml:space="preserve">  </w:t>
      </w:r>
      <w:r w:rsidR="00437D77" w:rsidRPr="003B4F95">
        <w:rPr>
          <w:color w:val="000000" w:themeColor="text1"/>
        </w:rPr>
        <w:t xml:space="preserve">The CI appealed to </w:t>
      </w:r>
      <w:r w:rsidR="00F42C9D" w:rsidRPr="003B4F95">
        <w:rPr>
          <w:color w:val="000000" w:themeColor="text1"/>
        </w:rPr>
        <w:t xml:space="preserve">a </w:t>
      </w:r>
      <w:r w:rsidR="003E46CC">
        <w:rPr>
          <w:color w:val="000000" w:themeColor="text1"/>
        </w:rPr>
        <w:t>F</w:t>
      </w:r>
      <w:r w:rsidR="008F1E9C" w:rsidRPr="003B4F95">
        <w:rPr>
          <w:color w:val="000000" w:themeColor="text1"/>
        </w:rPr>
        <w:t xml:space="preserve">ormal </w:t>
      </w:r>
      <w:r w:rsidR="00437D77" w:rsidRPr="003B4F95">
        <w:rPr>
          <w:color w:val="000000" w:themeColor="text1"/>
        </w:rPr>
        <w:t>PEB</w:t>
      </w:r>
      <w:r w:rsidR="003E46CC">
        <w:rPr>
          <w:color w:val="000000" w:themeColor="text1"/>
        </w:rPr>
        <w:t xml:space="preserve"> (FPEB)</w:t>
      </w:r>
      <w:r w:rsidR="00F42C9D" w:rsidRPr="003B4F95">
        <w:rPr>
          <w:color w:val="000000" w:themeColor="text1"/>
        </w:rPr>
        <w:t>; however, later waived the appeal process</w:t>
      </w:r>
      <w:r w:rsidR="00437D77" w:rsidRPr="003B4F95">
        <w:rPr>
          <w:color w:val="000000" w:themeColor="text1"/>
        </w:rPr>
        <w:t xml:space="preserve"> </w:t>
      </w:r>
      <w:r w:rsidR="00F42C9D" w:rsidRPr="003B4F95">
        <w:rPr>
          <w:color w:val="000000" w:themeColor="text1"/>
        </w:rPr>
        <w:t xml:space="preserve">prior to the FPEB convening </w:t>
      </w:r>
      <w:r w:rsidR="00437D77" w:rsidRPr="003B4F95">
        <w:rPr>
          <w:color w:val="000000" w:themeColor="text1"/>
        </w:rPr>
        <w:t xml:space="preserve">and was then medically separated with a </w:t>
      </w:r>
      <w:r w:rsidR="00F42C9D" w:rsidRPr="003B4F95">
        <w:rPr>
          <w:color w:val="000000" w:themeColor="text1"/>
        </w:rPr>
        <w:t>20</w:t>
      </w:r>
      <w:r w:rsidR="00437D77" w:rsidRPr="003B4F95">
        <w:rPr>
          <w:color w:val="000000" w:themeColor="text1"/>
        </w:rPr>
        <w:t>% combined disability rating.</w:t>
      </w:r>
      <w:r w:rsidR="008F1E9C" w:rsidRPr="003B4F95">
        <w:rPr>
          <w:color w:val="000000" w:themeColor="text1"/>
        </w:rPr>
        <w:t xml:space="preserve">  </w:t>
      </w:r>
    </w:p>
    <w:p w:rsidR="004174F0" w:rsidRPr="003B4F95" w:rsidRDefault="004174F0" w:rsidP="00BF0E94">
      <w:pPr>
        <w:pBdr>
          <w:bottom w:val="single" w:sz="12" w:space="1" w:color="auto"/>
        </w:pBdr>
        <w:tabs>
          <w:tab w:val="left" w:pos="288"/>
          <w:tab w:val="left" w:pos="4752"/>
        </w:tabs>
        <w:jc w:val="both"/>
        <w:rPr>
          <w:color w:val="000000" w:themeColor="text1"/>
        </w:rPr>
      </w:pPr>
    </w:p>
    <w:p w:rsidR="004174F0" w:rsidRPr="003B4F95" w:rsidRDefault="004174F0" w:rsidP="00BF0E94">
      <w:pPr>
        <w:tabs>
          <w:tab w:val="left" w:pos="288"/>
          <w:tab w:val="left" w:pos="4752"/>
        </w:tabs>
        <w:jc w:val="both"/>
        <w:rPr>
          <w:color w:val="000000" w:themeColor="text1"/>
        </w:rPr>
      </w:pPr>
    </w:p>
    <w:p w:rsidR="00ED5284" w:rsidRPr="003B4F95" w:rsidRDefault="002C6E5B" w:rsidP="00CC100E">
      <w:pPr>
        <w:autoSpaceDE w:val="0"/>
        <w:autoSpaceDN w:val="0"/>
        <w:adjustRightInd w:val="0"/>
        <w:jc w:val="both"/>
        <w:rPr>
          <w:rFonts w:eastAsiaTheme="minorHAnsi"/>
          <w:color w:val="000000" w:themeColor="text1"/>
          <w:szCs w:val="24"/>
        </w:rPr>
      </w:pPr>
      <w:r w:rsidRPr="003B4F95">
        <w:rPr>
          <w:color w:val="000000" w:themeColor="text1"/>
          <w:u w:val="single"/>
        </w:rPr>
        <w:t>CI CONTENTION</w:t>
      </w:r>
      <w:r w:rsidRPr="003B4F95">
        <w:rPr>
          <w:color w:val="000000" w:themeColor="text1"/>
        </w:rPr>
        <w:t>:</w:t>
      </w:r>
      <w:r w:rsidR="00F42C9D" w:rsidRPr="003B4F95">
        <w:rPr>
          <w:color w:val="000000" w:themeColor="text1"/>
        </w:rPr>
        <w:t xml:space="preserve"> </w:t>
      </w:r>
      <w:r w:rsidR="00365712" w:rsidRPr="003B4F95">
        <w:rPr>
          <w:color w:val="000000" w:themeColor="text1"/>
        </w:rPr>
        <w:t xml:space="preserve"> </w:t>
      </w:r>
      <w:r w:rsidR="00F42C9D" w:rsidRPr="003B4F95">
        <w:rPr>
          <w:color w:val="000000" w:themeColor="text1"/>
        </w:rPr>
        <w:t>“</w:t>
      </w:r>
      <w:r w:rsidR="00F42C9D" w:rsidRPr="003B4F95">
        <w:rPr>
          <w:rFonts w:asciiTheme="minorHAnsi" w:hAnsiTheme="minorHAnsi"/>
          <w:color w:val="000000" w:themeColor="text1"/>
          <w:szCs w:val="24"/>
        </w:rPr>
        <w:t>Lack of</w:t>
      </w:r>
      <w:r w:rsidR="00365712" w:rsidRPr="003B4F95">
        <w:rPr>
          <w:rFonts w:asciiTheme="minorHAnsi" w:hAnsiTheme="minorHAnsi"/>
          <w:color w:val="000000" w:themeColor="text1"/>
          <w:szCs w:val="24"/>
        </w:rPr>
        <w:t xml:space="preserve"> </w:t>
      </w:r>
      <w:r w:rsidR="00F42C9D" w:rsidRPr="003B4F95">
        <w:rPr>
          <w:rFonts w:asciiTheme="minorHAnsi" w:hAnsiTheme="minorHAnsi"/>
          <w:color w:val="000000" w:themeColor="text1"/>
          <w:szCs w:val="24"/>
        </w:rPr>
        <w:t xml:space="preserve">ability to perform labor intensive jobs due to chronic pain resulting from bilateral </w:t>
      </w:r>
      <w:proofErr w:type="spellStart"/>
      <w:r w:rsidR="00F42C9D" w:rsidRPr="003B4F95">
        <w:rPr>
          <w:rFonts w:asciiTheme="minorHAnsi" w:hAnsiTheme="minorHAnsi"/>
          <w:color w:val="000000" w:themeColor="text1"/>
          <w:szCs w:val="24"/>
        </w:rPr>
        <w:t>patellofemoral</w:t>
      </w:r>
      <w:proofErr w:type="spellEnd"/>
      <w:r w:rsidR="00F42C9D" w:rsidRPr="003B4F95">
        <w:rPr>
          <w:rFonts w:asciiTheme="minorHAnsi" w:hAnsiTheme="minorHAnsi"/>
          <w:color w:val="000000" w:themeColor="text1"/>
          <w:szCs w:val="24"/>
        </w:rPr>
        <w:t xml:space="preserve"> pain syndrome, thereby limiting the employment options in an already competitive job market.”</w:t>
      </w:r>
      <w:r w:rsidR="00365712" w:rsidRPr="003B4F95">
        <w:rPr>
          <w:rFonts w:asciiTheme="minorHAnsi" w:hAnsiTheme="minorHAnsi"/>
          <w:color w:val="000000" w:themeColor="text1"/>
          <w:szCs w:val="24"/>
        </w:rPr>
        <w:t xml:space="preserve">  </w:t>
      </w:r>
      <w:r w:rsidR="00ED5284" w:rsidRPr="003B4F95">
        <w:rPr>
          <w:rFonts w:eastAsiaTheme="minorHAnsi"/>
          <w:color w:val="000000" w:themeColor="text1"/>
          <w:szCs w:val="24"/>
        </w:rPr>
        <w:t>He elaborates no specific contentions regarding rating or coding and mentions no additionally contended conditions.</w:t>
      </w:r>
      <w:r w:rsidR="00E41CB9" w:rsidRPr="003B4F95">
        <w:rPr>
          <w:rFonts w:eastAsiaTheme="minorHAnsi"/>
          <w:color w:val="000000" w:themeColor="text1"/>
          <w:szCs w:val="24"/>
        </w:rPr>
        <w:t xml:space="preserve">  </w:t>
      </w:r>
    </w:p>
    <w:p w:rsidR="004174F0" w:rsidRPr="003B4F95" w:rsidRDefault="004174F0" w:rsidP="00365712">
      <w:pPr>
        <w:pBdr>
          <w:bottom w:val="single" w:sz="12" w:space="1" w:color="auto"/>
        </w:pBdr>
        <w:tabs>
          <w:tab w:val="left" w:pos="288"/>
          <w:tab w:val="left" w:pos="4752"/>
        </w:tabs>
        <w:jc w:val="both"/>
        <w:rPr>
          <w:color w:val="000000" w:themeColor="text1"/>
        </w:rPr>
      </w:pPr>
    </w:p>
    <w:p w:rsidR="004174F0" w:rsidRPr="003B4F95" w:rsidRDefault="004174F0" w:rsidP="00BF0E94">
      <w:pPr>
        <w:tabs>
          <w:tab w:val="left" w:pos="288"/>
          <w:tab w:val="left" w:pos="4752"/>
        </w:tabs>
        <w:jc w:val="both"/>
        <w:rPr>
          <w:color w:val="000000" w:themeColor="text1"/>
        </w:rPr>
      </w:pPr>
    </w:p>
    <w:p w:rsidR="001537D8" w:rsidRPr="00DC69CD" w:rsidRDefault="007F0AB7" w:rsidP="00BF0E94">
      <w:pPr>
        <w:jc w:val="left"/>
        <w:rPr>
          <w:color w:val="auto"/>
        </w:rPr>
      </w:pPr>
      <w:r w:rsidRPr="003B4F95">
        <w:rPr>
          <w:color w:val="000000" w:themeColor="text1"/>
          <w:u w:val="single"/>
        </w:rPr>
        <w:t>R</w:t>
      </w:r>
      <w:r w:rsidR="002C6E5B" w:rsidRPr="003B4F95">
        <w:rPr>
          <w:color w:val="000000" w:themeColor="text1"/>
          <w:u w:val="single"/>
        </w:rPr>
        <w:t>ATING COMPARISON</w:t>
      </w:r>
      <w:r w:rsidR="002C6E5B" w:rsidRPr="003B4F95">
        <w:rPr>
          <w:color w:val="000000" w:themeColor="text1"/>
        </w:rPr>
        <w:t>:</w:t>
      </w:r>
    </w:p>
    <w:p w:rsidR="002151AB" w:rsidRPr="00DC69CD" w:rsidRDefault="002151AB" w:rsidP="009817E5">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DC69CD" w:rsidTr="0036571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DC69CD" w:rsidRDefault="00B731E4"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Service PEB – Dated 200</w:t>
            </w:r>
            <w:r w:rsidR="009817E5" w:rsidRPr="00DC69CD">
              <w:rPr>
                <w:rFonts w:ascii="Calibri" w:hAnsi="Calibri" w:cs="Calibri"/>
                <w:b/>
                <w:color w:val="auto"/>
                <w:sz w:val="18"/>
                <w:szCs w:val="18"/>
              </w:rPr>
              <w:t>81031</w:t>
            </w:r>
          </w:p>
        </w:tc>
        <w:tc>
          <w:tcPr>
            <w:tcW w:w="5220" w:type="dxa"/>
            <w:gridSpan w:val="4"/>
            <w:tcBorders>
              <w:left w:val="thinThickThinSmallGap" w:sz="24" w:space="0" w:color="auto"/>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VA (</w:t>
            </w:r>
            <w:r w:rsidR="009817E5" w:rsidRPr="00DC69CD">
              <w:rPr>
                <w:rFonts w:ascii="Calibri" w:hAnsi="Calibri" w:cs="Calibri"/>
                <w:b/>
                <w:color w:val="auto"/>
                <w:sz w:val="18"/>
                <w:szCs w:val="18"/>
              </w:rPr>
              <w:t>2</w:t>
            </w:r>
            <w:r w:rsidR="0079154B" w:rsidRPr="00DC69CD">
              <w:rPr>
                <w:rFonts w:ascii="Calibri" w:hAnsi="Calibri" w:cs="Calibri"/>
                <w:b/>
                <w:color w:val="auto"/>
                <w:sz w:val="18"/>
                <w:szCs w:val="18"/>
              </w:rPr>
              <w:t xml:space="preserve"> </w:t>
            </w:r>
            <w:r w:rsidRPr="00DC69CD">
              <w:rPr>
                <w:rFonts w:ascii="Calibri" w:hAnsi="Calibri" w:cs="Calibri"/>
                <w:b/>
                <w:color w:val="auto"/>
                <w:sz w:val="18"/>
                <w:szCs w:val="18"/>
              </w:rPr>
              <w:t xml:space="preserve">Mo. After Separation) – All Effective Date </w:t>
            </w:r>
            <w:r w:rsidR="002D08F3" w:rsidRPr="00DC69CD">
              <w:rPr>
                <w:rFonts w:ascii="Calibri" w:hAnsi="Calibri" w:cs="Calibri"/>
                <w:b/>
                <w:color w:val="auto"/>
                <w:sz w:val="18"/>
                <w:szCs w:val="18"/>
              </w:rPr>
              <w:t>200</w:t>
            </w:r>
            <w:r w:rsidR="009817E5" w:rsidRPr="00DC69CD">
              <w:rPr>
                <w:rFonts w:ascii="Calibri" w:hAnsi="Calibri" w:cs="Calibri"/>
                <w:b/>
                <w:color w:val="auto"/>
                <w:sz w:val="18"/>
                <w:szCs w:val="18"/>
              </w:rPr>
              <w:t>90411</w:t>
            </w:r>
          </w:p>
        </w:tc>
      </w:tr>
      <w:tr w:rsidR="002B4E22" w:rsidRPr="00DC69CD" w:rsidTr="00365712">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DC69CD" w:rsidRDefault="002B4E22"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Exam</w:t>
            </w:r>
          </w:p>
        </w:tc>
      </w:tr>
      <w:tr w:rsidR="009817E5" w:rsidRPr="00DC69CD" w:rsidTr="00365712">
        <w:trPr>
          <w:trHeight w:val="287"/>
          <w:jc w:val="center"/>
        </w:trPr>
        <w:tc>
          <w:tcPr>
            <w:tcW w:w="2178" w:type="dxa"/>
            <w:vMerge w:val="restart"/>
            <w:tcBorders>
              <w:right w:val="single" w:sz="4" w:space="0" w:color="auto"/>
            </w:tcBorders>
            <w:shd w:val="clear" w:color="auto" w:fill="FFFFFF" w:themeFill="background1"/>
            <w:vAlign w:val="center"/>
          </w:tcPr>
          <w:p w:rsidR="009817E5" w:rsidRPr="00DC69CD" w:rsidRDefault="009817E5" w:rsidP="008F1E9C">
            <w:pPr>
              <w:spacing w:line="180" w:lineRule="exact"/>
              <w:contextualSpacing/>
              <w:jc w:val="left"/>
              <w:rPr>
                <w:rFonts w:ascii="Calibri" w:eastAsia="Times New Roman" w:hAnsi="Calibri" w:cs="Calibri"/>
                <w:color w:val="auto"/>
                <w:sz w:val="18"/>
                <w:szCs w:val="18"/>
              </w:rPr>
            </w:pPr>
            <w:r w:rsidRPr="00DC69CD">
              <w:rPr>
                <w:rFonts w:ascii="Calibri" w:hAnsi="Calibri" w:cs="Calibri"/>
                <w:color w:val="auto"/>
                <w:sz w:val="18"/>
                <w:szCs w:val="18"/>
              </w:rPr>
              <w:t xml:space="preserve">Bilateral </w:t>
            </w:r>
            <w:proofErr w:type="spellStart"/>
            <w:r w:rsidRPr="00DC69CD">
              <w:rPr>
                <w:rFonts w:ascii="Calibri" w:hAnsi="Calibri" w:cs="Calibri"/>
                <w:color w:val="auto"/>
                <w:sz w:val="18"/>
                <w:szCs w:val="18"/>
              </w:rPr>
              <w:t>Patellofemoral</w:t>
            </w:r>
            <w:proofErr w:type="spellEnd"/>
            <w:r w:rsidRPr="00DC69CD">
              <w:rPr>
                <w:rFonts w:ascii="Calibri" w:hAnsi="Calibri" w:cs="Calibri"/>
                <w:color w:val="auto"/>
                <w:sz w:val="18"/>
                <w:szCs w:val="18"/>
              </w:rPr>
              <w:t xml:space="preserve"> Pain Syndrome</w:t>
            </w:r>
          </w:p>
        </w:tc>
        <w:tc>
          <w:tcPr>
            <w:tcW w:w="1080" w:type="dxa"/>
            <w:vMerge w:val="restart"/>
            <w:tcBorders>
              <w:left w:val="single" w:sz="4" w:space="0" w:color="auto"/>
            </w:tcBorders>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9817E5" w:rsidRPr="00DC69CD" w:rsidRDefault="008F1E9C" w:rsidP="008F1E9C">
            <w:pPr>
              <w:spacing w:line="180" w:lineRule="exact"/>
              <w:rPr>
                <w:rFonts w:ascii="Calibri" w:eastAsia="Times New Roman" w:hAnsi="Calibri" w:cs="Calibri"/>
                <w:color w:val="auto"/>
                <w:sz w:val="18"/>
                <w:szCs w:val="18"/>
              </w:rPr>
            </w:pPr>
            <w:r w:rsidRPr="00DC69CD">
              <w:rPr>
                <w:rFonts w:ascii="Calibri" w:hAnsi="Calibri" w:cs="Calibri"/>
                <w:color w:val="auto"/>
                <w:sz w:val="18"/>
                <w:szCs w:val="18"/>
              </w:rPr>
              <w:t>1</w:t>
            </w:r>
            <w:r w:rsidR="009817E5" w:rsidRPr="00DC69CD">
              <w:rPr>
                <w:rFonts w:ascii="Calibri" w:hAnsi="Calibri" w:cs="Calibri"/>
                <w:color w:val="auto"/>
                <w:sz w:val="18"/>
                <w:szCs w:val="18"/>
              </w:rPr>
              <w:t>0%</w:t>
            </w:r>
          </w:p>
        </w:tc>
        <w:tc>
          <w:tcPr>
            <w:tcW w:w="2322" w:type="dxa"/>
            <w:tcBorders>
              <w:left w:val="thinThickThinSmallGap" w:sz="24" w:space="0" w:color="auto"/>
            </w:tcBorders>
            <w:shd w:val="clear" w:color="auto" w:fill="FFFFFF" w:themeFill="background1"/>
            <w:vAlign w:val="center"/>
          </w:tcPr>
          <w:p w:rsidR="009817E5" w:rsidRPr="00DC69CD" w:rsidRDefault="009817E5" w:rsidP="008F1E9C">
            <w:pPr>
              <w:spacing w:line="180" w:lineRule="exact"/>
              <w:contextualSpacing/>
              <w:jc w:val="left"/>
              <w:rPr>
                <w:rFonts w:ascii="Calibri" w:eastAsia="Times New Roman" w:hAnsi="Calibri" w:cs="Calibri"/>
                <w:color w:val="auto"/>
                <w:sz w:val="18"/>
                <w:szCs w:val="18"/>
              </w:rPr>
            </w:pPr>
            <w:proofErr w:type="spellStart"/>
            <w:r w:rsidRPr="00DC69CD">
              <w:rPr>
                <w:rFonts w:ascii="Calibri" w:hAnsi="Calibri" w:cs="Calibri"/>
                <w:color w:val="auto"/>
                <w:sz w:val="18"/>
                <w:szCs w:val="18"/>
              </w:rPr>
              <w:t>Patellofemoral</w:t>
            </w:r>
            <w:proofErr w:type="spellEnd"/>
            <w:r w:rsidRPr="00DC69CD">
              <w:rPr>
                <w:rFonts w:ascii="Calibri" w:hAnsi="Calibri" w:cs="Calibri"/>
                <w:color w:val="auto"/>
                <w:sz w:val="18"/>
                <w:szCs w:val="18"/>
              </w:rPr>
              <w:t xml:space="preserve"> Pain Syndrome Lt Knee</w:t>
            </w:r>
          </w:p>
        </w:tc>
        <w:tc>
          <w:tcPr>
            <w:tcW w:w="1080" w:type="dxa"/>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5260</w:t>
            </w:r>
          </w:p>
        </w:tc>
        <w:tc>
          <w:tcPr>
            <w:tcW w:w="828" w:type="dxa"/>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10%</w:t>
            </w:r>
          </w:p>
        </w:tc>
        <w:tc>
          <w:tcPr>
            <w:tcW w:w="990" w:type="dxa"/>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20090608</w:t>
            </w:r>
          </w:p>
        </w:tc>
      </w:tr>
      <w:tr w:rsidR="009817E5" w:rsidRPr="00DC69CD" w:rsidTr="00365712">
        <w:trPr>
          <w:trHeight w:val="287"/>
          <w:jc w:val="center"/>
        </w:trPr>
        <w:tc>
          <w:tcPr>
            <w:tcW w:w="2178" w:type="dxa"/>
            <w:vMerge/>
            <w:tcBorders>
              <w:right w:val="single" w:sz="4" w:space="0" w:color="auto"/>
            </w:tcBorders>
            <w:shd w:val="clear" w:color="auto" w:fill="FFFFFF" w:themeFill="background1"/>
            <w:vAlign w:val="center"/>
          </w:tcPr>
          <w:p w:rsidR="009817E5" w:rsidRPr="00DC69CD" w:rsidRDefault="009817E5" w:rsidP="008F1E9C">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9817E5" w:rsidRPr="00DC69CD" w:rsidRDefault="009817E5" w:rsidP="008F1E9C">
            <w:pPr>
              <w:spacing w:line="180" w:lineRule="exact"/>
              <w:contextualSpacing/>
              <w:rPr>
                <w:rFonts w:cs="Calibri"/>
                <w:color w:val="auto"/>
                <w:sz w:val="18"/>
                <w:szCs w:val="18"/>
              </w:rPr>
            </w:pPr>
          </w:p>
        </w:tc>
        <w:tc>
          <w:tcPr>
            <w:tcW w:w="900" w:type="dxa"/>
            <w:tcBorders>
              <w:right w:val="thinThickThinSmallGap" w:sz="24" w:space="0" w:color="auto"/>
            </w:tcBorders>
            <w:shd w:val="clear" w:color="auto" w:fill="FFFFFF" w:themeFill="background1"/>
            <w:vAlign w:val="center"/>
          </w:tcPr>
          <w:p w:rsidR="009817E5" w:rsidRPr="00DC69CD" w:rsidRDefault="008F1E9C" w:rsidP="008F1E9C">
            <w:pPr>
              <w:spacing w:line="180" w:lineRule="exact"/>
              <w:rPr>
                <w:rFonts w:cs="Calibri"/>
                <w:color w:val="auto"/>
                <w:sz w:val="18"/>
                <w:szCs w:val="18"/>
              </w:rPr>
            </w:pPr>
            <w:r w:rsidRPr="00DC69CD">
              <w:rPr>
                <w:rFonts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9817E5" w:rsidRPr="00DC69CD" w:rsidRDefault="009817E5" w:rsidP="008F1E9C">
            <w:pPr>
              <w:spacing w:line="180" w:lineRule="exact"/>
              <w:contextualSpacing/>
              <w:jc w:val="left"/>
              <w:rPr>
                <w:rFonts w:cs="Calibri"/>
                <w:color w:val="auto"/>
                <w:sz w:val="18"/>
                <w:szCs w:val="18"/>
              </w:rPr>
            </w:pPr>
            <w:proofErr w:type="spellStart"/>
            <w:r w:rsidRPr="00DC69CD">
              <w:rPr>
                <w:rFonts w:cs="Calibri"/>
                <w:color w:val="auto"/>
                <w:sz w:val="18"/>
                <w:szCs w:val="18"/>
              </w:rPr>
              <w:t>Patellofemoral</w:t>
            </w:r>
            <w:proofErr w:type="spellEnd"/>
            <w:r w:rsidRPr="00DC69CD">
              <w:rPr>
                <w:rFonts w:cs="Calibri"/>
                <w:color w:val="auto"/>
                <w:sz w:val="18"/>
                <w:szCs w:val="18"/>
              </w:rPr>
              <w:t xml:space="preserve"> Pain Syndrome </w:t>
            </w:r>
            <w:proofErr w:type="spellStart"/>
            <w:r w:rsidRPr="00DC69CD">
              <w:rPr>
                <w:rFonts w:cs="Calibri"/>
                <w:color w:val="auto"/>
                <w:sz w:val="18"/>
                <w:szCs w:val="18"/>
              </w:rPr>
              <w:t>Rt</w:t>
            </w:r>
            <w:proofErr w:type="spellEnd"/>
            <w:r w:rsidRPr="00DC69CD">
              <w:rPr>
                <w:rFonts w:cs="Calibri"/>
                <w:color w:val="auto"/>
                <w:sz w:val="18"/>
                <w:szCs w:val="18"/>
              </w:rPr>
              <w:t xml:space="preserve"> Knee</w:t>
            </w:r>
          </w:p>
        </w:tc>
        <w:tc>
          <w:tcPr>
            <w:tcW w:w="1080" w:type="dxa"/>
            <w:shd w:val="clear" w:color="auto" w:fill="FFFFFF" w:themeFill="background1"/>
            <w:vAlign w:val="center"/>
          </w:tcPr>
          <w:p w:rsidR="009817E5" w:rsidRPr="00DC69CD" w:rsidRDefault="009817E5" w:rsidP="008F1E9C">
            <w:pPr>
              <w:spacing w:line="180" w:lineRule="exact"/>
              <w:contextualSpacing/>
              <w:rPr>
                <w:rFonts w:cs="Calibri"/>
                <w:color w:val="auto"/>
                <w:sz w:val="18"/>
                <w:szCs w:val="18"/>
              </w:rPr>
            </w:pPr>
            <w:r w:rsidRPr="00DC69CD">
              <w:rPr>
                <w:rFonts w:cs="Calibri"/>
                <w:color w:val="auto"/>
                <w:sz w:val="18"/>
                <w:szCs w:val="18"/>
              </w:rPr>
              <w:t>5260</w:t>
            </w:r>
          </w:p>
        </w:tc>
        <w:tc>
          <w:tcPr>
            <w:tcW w:w="828" w:type="dxa"/>
            <w:shd w:val="clear" w:color="auto" w:fill="FFFFFF" w:themeFill="background1"/>
            <w:vAlign w:val="center"/>
          </w:tcPr>
          <w:p w:rsidR="009817E5" w:rsidRPr="00DC69CD" w:rsidRDefault="009817E5" w:rsidP="008F1E9C">
            <w:pPr>
              <w:spacing w:line="180" w:lineRule="exact"/>
              <w:contextualSpacing/>
              <w:rPr>
                <w:rFonts w:cs="Calibri"/>
                <w:color w:val="auto"/>
                <w:sz w:val="18"/>
                <w:szCs w:val="18"/>
              </w:rPr>
            </w:pPr>
            <w:r w:rsidRPr="00DC69CD">
              <w:rPr>
                <w:rFonts w:cs="Calibri"/>
                <w:color w:val="auto"/>
                <w:sz w:val="18"/>
                <w:szCs w:val="18"/>
              </w:rPr>
              <w:t>10%</w:t>
            </w:r>
          </w:p>
        </w:tc>
        <w:tc>
          <w:tcPr>
            <w:tcW w:w="990" w:type="dxa"/>
            <w:shd w:val="clear" w:color="auto" w:fill="FFFFFF" w:themeFill="background1"/>
            <w:vAlign w:val="center"/>
          </w:tcPr>
          <w:p w:rsidR="009817E5" w:rsidRPr="00DC69CD" w:rsidRDefault="009817E5" w:rsidP="008F1E9C">
            <w:pPr>
              <w:spacing w:line="180" w:lineRule="exact"/>
              <w:contextualSpacing/>
              <w:rPr>
                <w:rFonts w:cs="Calibri"/>
                <w:color w:val="auto"/>
                <w:sz w:val="18"/>
                <w:szCs w:val="18"/>
              </w:rPr>
            </w:pPr>
            <w:r w:rsidRPr="00DC69CD">
              <w:rPr>
                <w:rFonts w:cs="Calibri"/>
                <w:color w:val="auto"/>
                <w:sz w:val="18"/>
                <w:szCs w:val="18"/>
              </w:rPr>
              <w:t>20090608</w:t>
            </w:r>
          </w:p>
        </w:tc>
      </w:tr>
      <w:tr w:rsidR="009817E5" w:rsidRPr="00DC69CD" w:rsidTr="00365712">
        <w:trPr>
          <w:trHeight w:val="287"/>
          <w:jc w:val="center"/>
        </w:trPr>
        <w:tc>
          <w:tcPr>
            <w:tcW w:w="2178" w:type="dxa"/>
            <w:tcBorders>
              <w:right w:val="single" w:sz="4" w:space="0" w:color="auto"/>
            </w:tcBorders>
            <w:shd w:val="clear" w:color="auto" w:fill="FFFFFF" w:themeFill="background1"/>
            <w:vAlign w:val="center"/>
          </w:tcPr>
          <w:p w:rsidR="009817E5" w:rsidRPr="00DC69CD" w:rsidRDefault="009817E5" w:rsidP="008F1E9C">
            <w:pPr>
              <w:spacing w:line="180" w:lineRule="exact"/>
              <w:contextualSpacing/>
              <w:jc w:val="left"/>
              <w:rPr>
                <w:rFonts w:ascii="Calibri" w:eastAsia="Times New Roman" w:hAnsi="Calibri" w:cs="Calibri"/>
                <w:color w:val="auto"/>
                <w:sz w:val="18"/>
                <w:szCs w:val="18"/>
              </w:rPr>
            </w:pPr>
            <w:proofErr w:type="spellStart"/>
            <w:r w:rsidRPr="00DC69CD">
              <w:rPr>
                <w:rFonts w:ascii="Calibri" w:hAnsi="Calibri" w:cs="Calibri"/>
                <w:color w:val="auto"/>
                <w:sz w:val="18"/>
                <w:szCs w:val="18"/>
              </w:rPr>
              <w:t>Pes</w:t>
            </w:r>
            <w:proofErr w:type="spellEnd"/>
            <w:r w:rsidRPr="00DC69CD">
              <w:rPr>
                <w:rFonts w:ascii="Calibri" w:hAnsi="Calibri" w:cs="Calibri"/>
                <w:color w:val="auto"/>
                <w:sz w:val="18"/>
                <w:szCs w:val="18"/>
              </w:rPr>
              <w:t xml:space="preserve"> </w:t>
            </w:r>
            <w:proofErr w:type="spellStart"/>
            <w:r w:rsidRPr="00DC69CD">
              <w:rPr>
                <w:rFonts w:ascii="Calibri" w:hAnsi="Calibri" w:cs="Calibri"/>
                <w:color w:val="auto"/>
                <w:sz w:val="18"/>
                <w:szCs w:val="18"/>
              </w:rPr>
              <w:t>Planus</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9817E5" w:rsidRPr="00DC69CD" w:rsidRDefault="008F1E9C" w:rsidP="008F1E9C">
            <w:pPr>
              <w:spacing w:line="180" w:lineRule="exact"/>
              <w:rPr>
                <w:rFonts w:ascii="Calibri" w:eastAsia="Times New Roman" w:hAnsi="Calibri" w:cs="Calibri"/>
                <w:color w:val="auto"/>
                <w:sz w:val="18"/>
                <w:szCs w:val="18"/>
              </w:rPr>
            </w:pPr>
            <w:r w:rsidRPr="00DC69CD">
              <w:rPr>
                <w:rFonts w:ascii="Calibri" w:hAnsi="Calibri" w:cs="Calibri"/>
                <w:color w:val="auto"/>
                <w:sz w:val="18"/>
                <w:szCs w:val="18"/>
              </w:rPr>
              <w:t>Not Unfitting</w:t>
            </w:r>
          </w:p>
        </w:tc>
        <w:tc>
          <w:tcPr>
            <w:tcW w:w="5220" w:type="dxa"/>
            <w:gridSpan w:val="4"/>
            <w:tcBorders>
              <w:left w:val="thinThickThinSmallGap" w:sz="24" w:space="0" w:color="auto"/>
            </w:tcBorders>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eastAsia="Times New Roman" w:hAnsi="Calibri" w:cs="Calibri"/>
                <w:color w:val="auto"/>
                <w:sz w:val="18"/>
                <w:szCs w:val="18"/>
              </w:rPr>
              <w:t>No Corresponding VA Entry</w:t>
            </w:r>
          </w:p>
        </w:tc>
      </w:tr>
      <w:tr w:rsidR="009817E5" w:rsidRPr="00DC69CD" w:rsidTr="00365712">
        <w:trPr>
          <w:trHeight w:val="287"/>
          <w:jc w:val="center"/>
        </w:trPr>
        <w:tc>
          <w:tcPr>
            <w:tcW w:w="2178" w:type="dxa"/>
            <w:tcBorders>
              <w:right w:val="single" w:sz="4" w:space="0" w:color="auto"/>
            </w:tcBorders>
            <w:shd w:val="clear" w:color="auto" w:fill="FFFFFF" w:themeFill="background1"/>
            <w:vAlign w:val="center"/>
          </w:tcPr>
          <w:p w:rsidR="009817E5" w:rsidRPr="00DC69CD" w:rsidRDefault="009817E5" w:rsidP="008F1E9C">
            <w:pPr>
              <w:spacing w:line="180" w:lineRule="exact"/>
              <w:contextualSpacing/>
              <w:jc w:val="left"/>
              <w:rPr>
                <w:rFonts w:ascii="Calibri" w:eastAsia="Times New Roman" w:hAnsi="Calibri" w:cs="Calibri"/>
                <w:color w:val="auto"/>
                <w:sz w:val="18"/>
                <w:szCs w:val="18"/>
              </w:rPr>
            </w:pPr>
            <w:r w:rsidRPr="00DC69CD">
              <w:rPr>
                <w:rFonts w:ascii="Calibri" w:eastAsia="Times New Roman" w:hAnsi="Calibri" w:cs="Calibri"/>
                <w:color w:val="auto"/>
                <w:sz w:val="18"/>
                <w:szCs w:val="18"/>
              </w:rPr>
              <w:t>Mechanical Back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9817E5" w:rsidRPr="00DC69CD" w:rsidRDefault="008F1E9C"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817E5" w:rsidRPr="00DC69CD" w:rsidRDefault="009817E5" w:rsidP="008F1E9C">
            <w:pPr>
              <w:spacing w:line="180" w:lineRule="exact"/>
              <w:contextualSpacing/>
              <w:jc w:val="left"/>
              <w:rPr>
                <w:rFonts w:ascii="Calibri" w:eastAsia="Times New Roman" w:hAnsi="Calibri" w:cs="Calibri"/>
                <w:color w:val="auto"/>
                <w:sz w:val="18"/>
                <w:szCs w:val="18"/>
              </w:rPr>
            </w:pPr>
            <w:r w:rsidRPr="00DC69CD">
              <w:rPr>
                <w:rFonts w:ascii="Calibri" w:eastAsia="Times New Roman" w:hAnsi="Calibri" w:cs="Calibri"/>
                <w:color w:val="auto"/>
                <w:sz w:val="18"/>
                <w:szCs w:val="18"/>
              </w:rPr>
              <w:t>Mechanical Low Back Pain</w:t>
            </w:r>
          </w:p>
        </w:tc>
        <w:tc>
          <w:tcPr>
            <w:tcW w:w="1080" w:type="dxa"/>
            <w:tcBorders>
              <w:left w:val="single" w:sz="4" w:space="0" w:color="auto"/>
            </w:tcBorders>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eastAsia="Times New Roman" w:hAnsi="Calibri" w:cs="Calibri"/>
                <w:color w:val="auto"/>
                <w:sz w:val="18"/>
                <w:szCs w:val="18"/>
              </w:rPr>
              <w:t>5237</w:t>
            </w:r>
          </w:p>
        </w:tc>
        <w:tc>
          <w:tcPr>
            <w:tcW w:w="828" w:type="dxa"/>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eastAsia="Times New Roman" w:hAnsi="Calibri" w:cs="Calibri"/>
                <w:color w:val="auto"/>
                <w:sz w:val="18"/>
                <w:szCs w:val="18"/>
              </w:rPr>
              <w:t>10%</w:t>
            </w:r>
          </w:p>
        </w:tc>
        <w:tc>
          <w:tcPr>
            <w:tcW w:w="990" w:type="dxa"/>
            <w:shd w:val="clear" w:color="auto" w:fill="FFFFFF" w:themeFill="background1"/>
            <w:vAlign w:val="center"/>
          </w:tcPr>
          <w:p w:rsidR="009817E5"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eastAsia="Times New Roman" w:hAnsi="Calibri" w:cs="Calibri"/>
                <w:color w:val="auto"/>
                <w:sz w:val="18"/>
                <w:szCs w:val="18"/>
              </w:rPr>
              <w:t>20090608</w:t>
            </w:r>
          </w:p>
        </w:tc>
      </w:tr>
      <w:tr w:rsidR="007A65A9" w:rsidRPr="00DC69CD" w:rsidTr="008F1E9C">
        <w:trPr>
          <w:trHeight w:val="260"/>
          <w:jc w:val="center"/>
        </w:trPr>
        <w:tc>
          <w:tcPr>
            <w:tcW w:w="4158" w:type="dxa"/>
            <w:gridSpan w:val="3"/>
            <w:tcBorders>
              <w:right w:val="thinThickThinSmallGap" w:sz="24" w:space="0" w:color="auto"/>
            </w:tcBorders>
            <w:shd w:val="clear" w:color="auto" w:fill="FFFFFF" w:themeFill="background1"/>
            <w:vAlign w:val="center"/>
          </w:tcPr>
          <w:p w:rsidR="00BC5860" w:rsidRPr="00DC69CD" w:rsidRDefault="009817E5"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DC69CD" w:rsidRDefault="007A65A9"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 xml:space="preserve">0% </w:t>
            </w:r>
            <w:r w:rsidR="00374EA1" w:rsidRPr="00DC69CD">
              <w:rPr>
                <w:rFonts w:ascii="Calibri" w:hAnsi="Calibri" w:cs="Calibri"/>
                <w:color w:val="auto"/>
                <w:sz w:val="18"/>
                <w:szCs w:val="18"/>
              </w:rPr>
              <w:t>x</w:t>
            </w:r>
            <w:r w:rsidRPr="00DC69CD">
              <w:rPr>
                <w:rFonts w:ascii="Calibri" w:hAnsi="Calibri" w:cs="Calibri"/>
                <w:color w:val="auto"/>
                <w:sz w:val="18"/>
                <w:szCs w:val="18"/>
              </w:rPr>
              <w:t xml:space="preserve"> </w:t>
            </w:r>
            <w:r w:rsidR="009817E5" w:rsidRPr="00DC69CD">
              <w:rPr>
                <w:rFonts w:ascii="Calibri" w:hAnsi="Calibri" w:cs="Calibri"/>
                <w:color w:val="auto"/>
                <w:sz w:val="18"/>
                <w:szCs w:val="18"/>
              </w:rPr>
              <w:t>2</w:t>
            </w:r>
            <w:r w:rsidR="003E46CC">
              <w:rPr>
                <w:rFonts w:ascii="Calibri" w:hAnsi="Calibri" w:cs="Calibri"/>
                <w:color w:val="auto"/>
                <w:sz w:val="18"/>
                <w:szCs w:val="18"/>
              </w:rPr>
              <w:t>/Not Service-</w:t>
            </w:r>
            <w:r w:rsidRPr="00DC69CD">
              <w:rPr>
                <w:rFonts w:ascii="Calibri" w:hAnsi="Calibri" w:cs="Calibri"/>
                <w:color w:val="auto"/>
                <w:sz w:val="18"/>
                <w:szCs w:val="18"/>
              </w:rPr>
              <w:t xml:space="preserve">Connected </w:t>
            </w:r>
            <w:r w:rsidR="00374EA1" w:rsidRPr="00DC69CD">
              <w:rPr>
                <w:rFonts w:ascii="Calibri" w:hAnsi="Calibri" w:cs="Calibri"/>
                <w:color w:val="auto"/>
                <w:sz w:val="18"/>
                <w:szCs w:val="18"/>
              </w:rPr>
              <w:t>x</w:t>
            </w:r>
            <w:r w:rsidRPr="00DC69CD">
              <w:rPr>
                <w:rFonts w:ascii="Calibri" w:hAnsi="Calibri" w:cs="Calibri"/>
                <w:color w:val="auto"/>
                <w:sz w:val="18"/>
                <w:szCs w:val="18"/>
              </w:rPr>
              <w:t xml:space="preserve"> </w:t>
            </w:r>
            <w:r w:rsidR="009817E5" w:rsidRPr="00DC69CD">
              <w:rPr>
                <w:rFonts w:ascii="Calibri" w:hAnsi="Calibri" w:cs="Calibri"/>
                <w:color w:val="auto"/>
                <w:sz w:val="18"/>
                <w:szCs w:val="18"/>
              </w:rPr>
              <w:t>5</w:t>
            </w:r>
          </w:p>
        </w:tc>
        <w:tc>
          <w:tcPr>
            <w:tcW w:w="990" w:type="dxa"/>
            <w:shd w:val="clear" w:color="auto" w:fill="FFFFFF" w:themeFill="background1"/>
            <w:vAlign w:val="center"/>
          </w:tcPr>
          <w:p w:rsidR="00BC5860" w:rsidRPr="00DC69CD" w:rsidRDefault="002D08F3" w:rsidP="008F1E9C">
            <w:pPr>
              <w:spacing w:line="180" w:lineRule="exact"/>
              <w:contextualSpacing/>
              <w:rPr>
                <w:rFonts w:ascii="Calibri" w:eastAsia="Times New Roman" w:hAnsi="Calibri" w:cs="Calibri"/>
                <w:color w:val="auto"/>
                <w:sz w:val="18"/>
                <w:szCs w:val="18"/>
              </w:rPr>
            </w:pPr>
            <w:r w:rsidRPr="00DC69CD">
              <w:rPr>
                <w:rFonts w:ascii="Calibri" w:hAnsi="Calibri" w:cs="Calibri"/>
                <w:color w:val="auto"/>
                <w:sz w:val="18"/>
                <w:szCs w:val="18"/>
              </w:rPr>
              <w:t>200</w:t>
            </w:r>
            <w:r w:rsidR="009817E5" w:rsidRPr="00DC69CD">
              <w:rPr>
                <w:rFonts w:ascii="Calibri" w:hAnsi="Calibri" w:cs="Calibri"/>
                <w:color w:val="auto"/>
                <w:sz w:val="18"/>
                <w:szCs w:val="18"/>
              </w:rPr>
              <w:t>90608</w:t>
            </w:r>
          </w:p>
        </w:tc>
      </w:tr>
      <w:tr w:rsidR="007A65A9" w:rsidRPr="00DC69CD" w:rsidTr="0036571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DC69CD" w:rsidRDefault="007A65A9"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 xml:space="preserve">Combined: </w:t>
            </w:r>
            <w:r w:rsidR="006458FD" w:rsidRPr="00DC69CD">
              <w:rPr>
                <w:rFonts w:ascii="Calibri" w:hAnsi="Calibri" w:cs="Calibri"/>
                <w:b/>
                <w:color w:val="auto"/>
                <w:sz w:val="18"/>
                <w:szCs w:val="18"/>
              </w:rPr>
              <w:t xml:space="preserve"> </w:t>
            </w:r>
            <w:r w:rsidR="009817E5" w:rsidRPr="00DC69CD">
              <w:rPr>
                <w:rFonts w:ascii="Calibri" w:hAnsi="Calibri" w:cs="Calibri"/>
                <w:b/>
                <w:color w:val="auto"/>
                <w:sz w:val="18"/>
                <w:szCs w:val="18"/>
              </w:rPr>
              <w:t>20</w:t>
            </w:r>
            <w:r w:rsidRPr="00DC69CD">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DC69CD" w:rsidRDefault="007A65A9" w:rsidP="008F1E9C">
            <w:pPr>
              <w:spacing w:line="180" w:lineRule="exact"/>
              <w:contextualSpacing/>
              <w:rPr>
                <w:rFonts w:ascii="Calibri" w:hAnsi="Calibri" w:cs="Calibri"/>
                <w:b/>
                <w:color w:val="auto"/>
                <w:sz w:val="18"/>
                <w:szCs w:val="18"/>
              </w:rPr>
            </w:pPr>
            <w:r w:rsidRPr="00DC69CD">
              <w:rPr>
                <w:rFonts w:ascii="Calibri" w:hAnsi="Calibri" w:cs="Calibri"/>
                <w:b/>
                <w:color w:val="auto"/>
                <w:sz w:val="18"/>
                <w:szCs w:val="18"/>
              </w:rPr>
              <w:t xml:space="preserve">Combined: </w:t>
            </w:r>
            <w:r w:rsidR="00365712" w:rsidRPr="00DC69CD">
              <w:rPr>
                <w:rFonts w:ascii="Calibri" w:hAnsi="Calibri" w:cs="Calibri"/>
                <w:b/>
                <w:color w:val="auto"/>
                <w:sz w:val="18"/>
                <w:szCs w:val="18"/>
              </w:rPr>
              <w:t xml:space="preserve"> </w:t>
            </w:r>
            <w:r w:rsidR="009817E5" w:rsidRPr="00DC69CD">
              <w:rPr>
                <w:rFonts w:ascii="Calibri" w:hAnsi="Calibri" w:cs="Calibri"/>
                <w:b/>
                <w:color w:val="auto"/>
                <w:sz w:val="18"/>
                <w:szCs w:val="18"/>
              </w:rPr>
              <w:t>3</w:t>
            </w:r>
            <w:r w:rsidR="006F0F9C" w:rsidRPr="00DC69CD">
              <w:rPr>
                <w:rFonts w:ascii="Calibri" w:hAnsi="Calibri" w:cs="Calibri"/>
                <w:b/>
                <w:color w:val="auto"/>
                <w:sz w:val="18"/>
                <w:szCs w:val="18"/>
              </w:rPr>
              <w:t>0</w:t>
            </w:r>
            <w:r w:rsidRPr="00DC69CD">
              <w:rPr>
                <w:rFonts w:ascii="Calibri" w:hAnsi="Calibri" w:cs="Calibri"/>
                <w:b/>
                <w:color w:val="auto"/>
                <w:sz w:val="18"/>
                <w:szCs w:val="18"/>
              </w:rPr>
              <w:t>%</w:t>
            </w:r>
          </w:p>
        </w:tc>
      </w:tr>
    </w:tbl>
    <w:p w:rsidR="00A97CD9" w:rsidRPr="00DC69CD" w:rsidRDefault="00A97CD9" w:rsidP="00A97CD9">
      <w:pPr>
        <w:pBdr>
          <w:bottom w:val="single" w:sz="12" w:space="1" w:color="auto"/>
        </w:pBdr>
        <w:tabs>
          <w:tab w:val="left" w:pos="288"/>
          <w:tab w:val="left" w:pos="4752"/>
        </w:tabs>
        <w:jc w:val="both"/>
        <w:rPr>
          <w:color w:val="auto"/>
          <w:szCs w:val="24"/>
        </w:rPr>
      </w:pPr>
    </w:p>
    <w:p w:rsidR="009817E5" w:rsidRPr="00DC69CD" w:rsidRDefault="009817E5" w:rsidP="009817E5">
      <w:pPr>
        <w:jc w:val="both"/>
        <w:rPr>
          <w:color w:val="auto"/>
        </w:rPr>
      </w:pPr>
    </w:p>
    <w:p w:rsidR="004C60A3" w:rsidRDefault="002C6E5B" w:rsidP="00DA4C31">
      <w:pPr>
        <w:autoSpaceDE w:val="0"/>
        <w:autoSpaceDN w:val="0"/>
        <w:adjustRightInd w:val="0"/>
        <w:jc w:val="both"/>
        <w:rPr>
          <w:rFonts w:cs="Calibri"/>
          <w:color w:val="000000" w:themeColor="text1"/>
          <w:szCs w:val="24"/>
        </w:rPr>
      </w:pPr>
      <w:r w:rsidRPr="00DC69CD">
        <w:rPr>
          <w:color w:val="auto"/>
          <w:szCs w:val="24"/>
          <w:u w:val="single"/>
        </w:rPr>
        <w:t>ANALYSIS SUMMARY</w:t>
      </w:r>
      <w:r w:rsidRPr="00DC69CD">
        <w:rPr>
          <w:color w:val="auto"/>
          <w:szCs w:val="24"/>
        </w:rPr>
        <w:t>:</w:t>
      </w:r>
      <w:r w:rsidR="00C633D8" w:rsidRPr="00DC69CD">
        <w:rPr>
          <w:color w:val="auto"/>
          <w:szCs w:val="24"/>
        </w:rPr>
        <w:t xml:space="preserve">  The Board acknowledges the sentiment expressed in the CI’s application regarding the significant impairment with which his service-aggravated condition continues to burden him.  It is a fact, however, that the DES has neither the role nor the authority to compensate service members</w:t>
      </w:r>
      <w:r w:rsidR="00C633D8" w:rsidRPr="00DA4C31">
        <w:rPr>
          <w:color w:val="auto"/>
          <w:szCs w:val="24"/>
        </w:rPr>
        <w:t xml:space="preserve"> for anticipated future severity or potential complications of conditions resulting in medical separation.  This role and authority is granted by Congress to the </w:t>
      </w:r>
      <w:r w:rsidR="00C633D8" w:rsidRPr="00DA4C31">
        <w:rPr>
          <w:color w:val="auto"/>
          <w:szCs w:val="24"/>
        </w:rPr>
        <w:lastRenderedPageBreak/>
        <w:t>Department of Veteran</w:t>
      </w:r>
      <w:r w:rsidR="003E46CC">
        <w:rPr>
          <w:color w:val="auto"/>
          <w:szCs w:val="24"/>
        </w:rPr>
        <w:t>s’</w:t>
      </w:r>
      <w:r w:rsidR="00C633D8" w:rsidRPr="00DA4C31">
        <w:rPr>
          <w:color w:val="auto"/>
          <w:szCs w:val="24"/>
        </w:rPr>
        <w:t xml:space="preserve"> Affairs (DVA).  The DVA, operating under a different set of laws (Title 38, United States Code), is </w:t>
      </w:r>
      <w:r w:rsidR="00AB772F">
        <w:rPr>
          <w:color w:val="auto"/>
          <w:szCs w:val="24"/>
        </w:rPr>
        <w:t>empowered to compensate service-</w:t>
      </w:r>
      <w:r w:rsidR="00C633D8" w:rsidRPr="00DA4C31">
        <w:rPr>
          <w:color w:val="auto"/>
          <w:szCs w:val="24"/>
        </w:rPr>
        <w:t xml:space="preserve">connected conditions and to periodically re-evaluate said conditions for the purpose of adjusting the </w:t>
      </w:r>
      <w:r w:rsidR="003E46CC">
        <w:rPr>
          <w:color w:val="auto"/>
          <w:szCs w:val="24"/>
        </w:rPr>
        <w:t>V</w:t>
      </w:r>
      <w:r w:rsidR="00C633D8" w:rsidRPr="00DA4C31">
        <w:rPr>
          <w:color w:val="auto"/>
          <w:szCs w:val="24"/>
        </w:rPr>
        <w:t xml:space="preserve">eteran’s disability rating should </w:t>
      </w:r>
      <w:r w:rsidR="003E46CC">
        <w:rPr>
          <w:color w:val="auto"/>
          <w:szCs w:val="24"/>
        </w:rPr>
        <w:t>the</w:t>
      </w:r>
      <w:r w:rsidR="00C633D8" w:rsidRPr="00DA4C31">
        <w:rPr>
          <w:color w:val="auto"/>
          <w:szCs w:val="24"/>
        </w:rPr>
        <w:t xml:space="preserve"> degree of impairment vary over time.  </w:t>
      </w:r>
      <w:r w:rsidR="00DA4C31" w:rsidRPr="00DA4C31">
        <w:rPr>
          <w:rFonts w:cs="Calibri"/>
          <w:color w:val="auto"/>
          <w:szCs w:val="24"/>
        </w:rPr>
        <w:t>The Board</w:t>
      </w:r>
      <w:r w:rsidR="00DA4C31">
        <w:rPr>
          <w:rFonts w:cs="Calibri"/>
          <w:color w:val="000000" w:themeColor="text1"/>
          <w:szCs w:val="24"/>
        </w:rPr>
        <w:t xml:space="preserve"> also noted the CI’s service appeal contended primarily categorizing his condition as “in the performance of duty under conditions simulating war</w:t>
      </w:r>
      <w:r w:rsidR="00AA5281">
        <w:rPr>
          <w:rFonts w:cs="Calibri"/>
          <w:color w:val="000000" w:themeColor="text1"/>
          <w:szCs w:val="24"/>
        </w:rPr>
        <w:t>.</w:t>
      </w:r>
      <w:r w:rsidR="00DA4C31">
        <w:rPr>
          <w:rFonts w:cs="Calibri"/>
          <w:color w:val="000000" w:themeColor="text1"/>
          <w:szCs w:val="24"/>
        </w:rPr>
        <w:t xml:space="preserve">” </w:t>
      </w:r>
      <w:r w:rsidR="00DA4C31" w:rsidRPr="00554AFC">
        <w:rPr>
          <w:rFonts w:cs="Calibri"/>
          <w:color w:val="000000" w:themeColor="text1"/>
          <w:szCs w:val="24"/>
        </w:rPr>
        <w:t>The Board’s</w:t>
      </w:r>
      <w:r w:rsidR="00DA4C31">
        <w:rPr>
          <w:rFonts w:cs="Calibri"/>
          <w:color w:val="000000" w:themeColor="text1"/>
          <w:szCs w:val="24"/>
        </w:rPr>
        <w:t xml:space="preserve"> </w:t>
      </w:r>
      <w:r w:rsidR="00DA4C31" w:rsidRPr="00554AFC">
        <w:rPr>
          <w:rFonts w:cs="Calibri"/>
          <w:color w:val="000000" w:themeColor="text1"/>
          <w:szCs w:val="24"/>
        </w:rPr>
        <w:t xml:space="preserve">authority as defined in </w:t>
      </w:r>
      <w:proofErr w:type="spellStart"/>
      <w:r w:rsidR="00DA4C31" w:rsidRPr="00554AFC">
        <w:rPr>
          <w:rFonts w:cs="Calibri"/>
          <w:color w:val="000000" w:themeColor="text1"/>
          <w:szCs w:val="24"/>
        </w:rPr>
        <w:t>DoDI</w:t>
      </w:r>
      <w:proofErr w:type="spellEnd"/>
      <w:r w:rsidR="00DA4C31" w:rsidRPr="00554AFC">
        <w:rPr>
          <w:rFonts w:cs="Calibri"/>
          <w:color w:val="000000" w:themeColor="text1"/>
          <w:szCs w:val="24"/>
        </w:rPr>
        <w:t xml:space="preserve"> 6040.44, however, resides in evaluating the fairness of DES fitness</w:t>
      </w:r>
      <w:r w:rsidR="00DA4C31">
        <w:rPr>
          <w:rFonts w:cs="Calibri"/>
          <w:color w:val="000000" w:themeColor="text1"/>
          <w:szCs w:val="24"/>
        </w:rPr>
        <w:t xml:space="preserve"> </w:t>
      </w:r>
      <w:r w:rsidR="00DA4C31" w:rsidRPr="00554AFC">
        <w:rPr>
          <w:rFonts w:cs="Calibri"/>
          <w:color w:val="000000" w:themeColor="text1"/>
          <w:szCs w:val="24"/>
        </w:rPr>
        <w:t xml:space="preserve">determinations and rating decisions for disability at the time of separation. </w:t>
      </w:r>
      <w:r w:rsidR="00DA4C31">
        <w:rPr>
          <w:rFonts w:cs="Calibri"/>
          <w:color w:val="000000" w:themeColor="text1"/>
          <w:szCs w:val="24"/>
        </w:rPr>
        <w:t xml:space="preserve"> </w:t>
      </w:r>
      <w:r w:rsidR="00DA4C31" w:rsidRPr="00554AFC">
        <w:rPr>
          <w:rFonts w:cs="Calibri"/>
          <w:color w:val="000000" w:themeColor="text1"/>
          <w:szCs w:val="24"/>
        </w:rPr>
        <w:t>Post-separation evidence</w:t>
      </w:r>
      <w:r w:rsidR="00DA4C31">
        <w:rPr>
          <w:rFonts w:cs="Calibri"/>
          <w:color w:val="000000" w:themeColor="text1"/>
          <w:szCs w:val="24"/>
        </w:rPr>
        <w:t xml:space="preserve"> </w:t>
      </w:r>
      <w:r w:rsidR="00DA4C31" w:rsidRPr="00554AFC">
        <w:rPr>
          <w:rFonts w:cs="Calibri"/>
          <w:color w:val="000000" w:themeColor="text1"/>
          <w:szCs w:val="24"/>
        </w:rPr>
        <w:t>therefore is probative only to the extent that it reasonably reflects the disability and fitness implications</w:t>
      </w:r>
      <w:r w:rsidR="00DA4C31">
        <w:rPr>
          <w:rFonts w:cs="Calibri"/>
          <w:color w:val="000000" w:themeColor="text1"/>
          <w:szCs w:val="24"/>
        </w:rPr>
        <w:t xml:space="preserve"> </w:t>
      </w:r>
      <w:r w:rsidR="00DA4C31" w:rsidRPr="00554AFC">
        <w:rPr>
          <w:rFonts w:cs="Calibri"/>
          <w:color w:val="000000" w:themeColor="text1"/>
          <w:szCs w:val="24"/>
        </w:rPr>
        <w:t>at the time of separation.</w:t>
      </w:r>
      <w:r w:rsidR="00DA4C31">
        <w:rPr>
          <w:rFonts w:cs="Calibri"/>
          <w:color w:val="000000" w:themeColor="text1"/>
          <w:szCs w:val="24"/>
        </w:rPr>
        <w:t xml:space="preserve">  The Board has no jurisdiction on </w:t>
      </w:r>
      <w:r w:rsidR="00AA5281">
        <w:rPr>
          <w:rFonts w:cs="Calibri"/>
          <w:color w:val="000000" w:themeColor="text1"/>
          <w:szCs w:val="24"/>
        </w:rPr>
        <w:t>combat-related</w:t>
      </w:r>
      <w:r w:rsidR="00DA4C31">
        <w:rPr>
          <w:rFonts w:cs="Calibri"/>
          <w:color w:val="000000" w:themeColor="text1"/>
          <w:szCs w:val="24"/>
        </w:rPr>
        <w:t xml:space="preserve"> determinations.  </w:t>
      </w:r>
    </w:p>
    <w:p w:rsidR="00DA4C31" w:rsidRPr="001F29F9" w:rsidRDefault="00DA4C31" w:rsidP="00DA4C31">
      <w:pPr>
        <w:autoSpaceDE w:val="0"/>
        <w:autoSpaceDN w:val="0"/>
        <w:adjustRightInd w:val="0"/>
        <w:jc w:val="both"/>
        <w:rPr>
          <w:color w:val="000000" w:themeColor="text1"/>
          <w:szCs w:val="24"/>
        </w:rPr>
      </w:pPr>
    </w:p>
    <w:p w:rsidR="00C633D8" w:rsidRPr="00DC69CD" w:rsidRDefault="009817E5" w:rsidP="00A5282B">
      <w:pPr>
        <w:jc w:val="both"/>
        <w:rPr>
          <w:color w:val="auto"/>
          <w:szCs w:val="24"/>
        </w:rPr>
      </w:pPr>
      <w:proofErr w:type="gramStart"/>
      <w:r w:rsidRPr="00A5282B">
        <w:rPr>
          <w:color w:val="000000" w:themeColor="text1"/>
          <w:szCs w:val="24"/>
          <w:u w:val="single"/>
        </w:rPr>
        <w:t>Bilateral Knee</w:t>
      </w:r>
      <w:r w:rsidR="003F2EEE" w:rsidRPr="00A5282B">
        <w:rPr>
          <w:color w:val="000000" w:themeColor="text1"/>
          <w:szCs w:val="24"/>
          <w:u w:val="single"/>
        </w:rPr>
        <w:t xml:space="preserve"> Condition</w:t>
      </w:r>
      <w:r w:rsidR="00C633D8" w:rsidRPr="00A5282B">
        <w:rPr>
          <w:color w:val="000000" w:themeColor="text1"/>
          <w:szCs w:val="24"/>
        </w:rPr>
        <w:t>.</w:t>
      </w:r>
      <w:proofErr w:type="gramEnd"/>
      <w:r w:rsidR="00C633D8" w:rsidRPr="00A5282B">
        <w:rPr>
          <w:color w:val="000000" w:themeColor="text1"/>
          <w:szCs w:val="24"/>
        </w:rPr>
        <w:t xml:space="preserve">  </w:t>
      </w:r>
      <w:r w:rsidR="00DA4C31">
        <w:rPr>
          <w:color w:val="000000" w:themeColor="text1"/>
          <w:szCs w:val="24"/>
        </w:rPr>
        <w:t xml:space="preserve">The CI had onset of bilateral knee pain in March 2007.  There are numerous notes regarding the causative trauma for the knee conditions that relate to </w:t>
      </w:r>
      <w:r w:rsidR="00AA5281">
        <w:rPr>
          <w:color w:val="000000" w:themeColor="text1"/>
          <w:szCs w:val="24"/>
        </w:rPr>
        <w:t>a combat-related</w:t>
      </w:r>
      <w:r w:rsidR="00DA4C31">
        <w:rPr>
          <w:color w:val="000000" w:themeColor="text1"/>
          <w:szCs w:val="24"/>
        </w:rPr>
        <w:t xml:space="preserve"> determination, but are not germane for rating determination.  The CI underwent arthroscopic surgery of the left knee including repair of a meniscus tear and </w:t>
      </w:r>
      <w:proofErr w:type="spellStart"/>
      <w:r w:rsidR="00DA4C31">
        <w:rPr>
          <w:color w:val="000000" w:themeColor="text1"/>
          <w:szCs w:val="24"/>
        </w:rPr>
        <w:t>osteochondral</w:t>
      </w:r>
      <w:proofErr w:type="spellEnd"/>
      <w:r w:rsidR="00DA4C31">
        <w:rPr>
          <w:color w:val="000000" w:themeColor="text1"/>
          <w:szCs w:val="24"/>
        </w:rPr>
        <w:t xml:space="preserve"> repair in </w:t>
      </w:r>
      <w:r w:rsidR="003E46CC">
        <w:rPr>
          <w:color w:val="000000" w:themeColor="text1"/>
          <w:szCs w:val="24"/>
        </w:rPr>
        <w:t xml:space="preserve">     </w:t>
      </w:r>
      <w:r w:rsidR="00DA4C31">
        <w:rPr>
          <w:color w:val="000000" w:themeColor="text1"/>
          <w:szCs w:val="24"/>
        </w:rPr>
        <w:t xml:space="preserve">August 2007.  Prolonged post-surgical convalescence and use of crutches was not successful in decreasing the CI’s pain.  Evaluation for right knee pain indicated radiographic abnormality, which on consult was determined to likely not be the etiology of the CI’s pain.  The NARSUM diagnosis was bilateral </w:t>
      </w:r>
      <w:proofErr w:type="spellStart"/>
      <w:r w:rsidR="00DA4C31">
        <w:rPr>
          <w:color w:val="000000" w:themeColor="text1"/>
          <w:szCs w:val="24"/>
        </w:rPr>
        <w:t>patellofemoral</w:t>
      </w:r>
      <w:proofErr w:type="spellEnd"/>
      <w:r w:rsidR="00DA4C31">
        <w:rPr>
          <w:color w:val="000000" w:themeColor="text1"/>
          <w:szCs w:val="24"/>
        </w:rPr>
        <w:t xml:space="preserve"> pain syndrome.  The PEB found both the left and right knee as unfitting.  </w:t>
      </w:r>
      <w:r w:rsidR="00A57C35" w:rsidRPr="00CC100E">
        <w:rPr>
          <w:color w:val="000000" w:themeColor="text1"/>
          <w:szCs w:val="24"/>
        </w:rPr>
        <w:t xml:space="preserve">There were </w:t>
      </w:r>
      <w:r w:rsidR="003E46CC">
        <w:rPr>
          <w:color w:val="000000" w:themeColor="text1"/>
          <w:szCs w:val="24"/>
        </w:rPr>
        <w:t>three</w:t>
      </w:r>
      <w:r w:rsidR="00A57C35" w:rsidRPr="00CC100E">
        <w:rPr>
          <w:color w:val="000000" w:themeColor="text1"/>
          <w:szCs w:val="24"/>
        </w:rPr>
        <w:t xml:space="preserve"> range</w:t>
      </w:r>
      <w:r w:rsidR="003E46CC">
        <w:rPr>
          <w:color w:val="000000" w:themeColor="text1"/>
          <w:szCs w:val="24"/>
        </w:rPr>
        <w:t>-</w:t>
      </w:r>
      <w:r w:rsidR="00A57C35" w:rsidRPr="00CC100E">
        <w:rPr>
          <w:color w:val="000000" w:themeColor="text1"/>
          <w:szCs w:val="24"/>
        </w:rPr>
        <w:t>of</w:t>
      </w:r>
      <w:r w:rsidR="003E46CC">
        <w:rPr>
          <w:color w:val="000000" w:themeColor="text1"/>
          <w:szCs w:val="24"/>
        </w:rPr>
        <w:t>-</w:t>
      </w:r>
      <w:r w:rsidR="00A57C35" w:rsidRPr="00CC100E">
        <w:rPr>
          <w:color w:val="000000" w:themeColor="text1"/>
          <w:szCs w:val="24"/>
        </w:rPr>
        <w:t>motion (ROM) evaluations in evidence, with documentation of additional ratable criteria, which the Board weighed in arriving at its rating recommendation.</w:t>
      </w:r>
      <w:r w:rsidR="00A5282B" w:rsidRPr="00CC100E">
        <w:rPr>
          <w:color w:val="000000" w:themeColor="text1"/>
          <w:szCs w:val="24"/>
        </w:rPr>
        <w:t xml:space="preserve">  The exams are summarized below.</w:t>
      </w:r>
      <w:r w:rsidR="00CC100E" w:rsidRPr="00CC100E">
        <w:rPr>
          <w:color w:val="000000" w:themeColor="text1"/>
          <w:szCs w:val="24"/>
        </w:rPr>
        <w:t xml:space="preserve">  </w:t>
      </w:r>
    </w:p>
    <w:p w:rsidR="00365712" w:rsidRPr="00DC69CD" w:rsidRDefault="00365712" w:rsidP="00CF1364">
      <w:pPr>
        <w:jc w:val="both"/>
        <w:rPr>
          <w:rFonts w:eastAsiaTheme="minorHAnsi"/>
          <w:color w:val="auto"/>
          <w:szCs w:val="18"/>
        </w:rPr>
      </w:pPr>
    </w:p>
    <w:tbl>
      <w:tblPr>
        <w:tblW w:w="8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1585"/>
        <w:gridCol w:w="1350"/>
        <w:gridCol w:w="816"/>
        <w:gridCol w:w="990"/>
        <w:gridCol w:w="1429"/>
        <w:gridCol w:w="1260"/>
      </w:tblGrid>
      <w:tr w:rsidR="00973D81" w:rsidRPr="00DC69CD" w:rsidTr="00DC69CD">
        <w:trPr>
          <w:trHeight w:val="217"/>
          <w:jc w:val="center"/>
        </w:trPr>
        <w:tc>
          <w:tcPr>
            <w:tcW w:w="1492" w:type="dxa"/>
            <w:vMerge w:val="restart"/>
            <w:shd w:val="clear" w:color="auto" w:fill="D9D9D9" w:themeFill="background1" w:themeFillShade="D9"/>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ROM – Knees</w:t>
            </w:r>
          </w:p>
        </w:tc>
        <w:tc>
          <w:tcPr>
            <w:tcW w:w="2935" w:type="dxa"/>
            <w:gridSpan w:val="2"/>
            <w:shd w:val="clear" w:color="auto" w:fill="D9D9D9" w:themeFill="background1" w:themeFillShade="D9"/>
          </w:tcPr>
          <w:p w:rsidR="00973D81" w:rsidRPr="00DC69CD" w:rsidRDefault="00973D81" w:rsidP="00AA5EDA">
            <w:pPr>
              <w:spacing w:line="180" w:lineRule="exact"/>
              <w:contextualSpacing/>
              <w:rPr>
                <w:rFonts w:asciiTheme="minorHAnsi" w:eastAsia="Calibri" w:hAnsiTheme="minorHAnsi"/>
                <w:color w:val="auto"/>
                <w:sz w:val="18"/>
                <w:szCs w:val="18"/>
              </w:rPr>
            </w:pPr>
            <w:r w:rsidRPr="00DC69CD">
              <w:rPr>
                <w:rFonts w:eastAsia="Calibri"/>
                <w:color w:val="auto"/>
                <w:sz w:val="18"/>
                <w:szCs w:val="18"/>
              </w:rPr>
              <w:t>MEB ~ 6 Mo. Pre-Sep</w:t>
            </w:r>
          </w:p>
          <w:p w:rsidR="00973D81" w:rsidRPr="00DC69CD" w:rsidRDefault="00973D81" w:rsidP="00AA5EDA">
            <w:pPr>
              <w:spacing w:line="180" w:lineRule="exact"/>
              <w:contextualSpacing/>
              <w:rPr>
                <w:rFonts w:eastAsia="Calibri"/>
                <w:color w:val="auto"/>
                <w:sz w:val="18"/>
                <w:szCs w:val="18"/>
              </w:rPr>
            </w:pPr>
            <w:r w:rsidRPr="00DC69CD">
              <w:rPr>
                <w:rFonts w:asciiTheme="minorHAnsi" w:eastAsia="Calibri" w:hAnsiTheme="minorHAnsi"/>
                <w:color w:val="auto"/>
                <w:sz w:val="18"/>
                <w:szCs w:val="18"/>
              </w:rPr>
              <w:t>(20080714)</w:t>
            </w:r>
          </w:p>
        </w:tc>
        <w:tc>
          <w:tcPr>
            <w:tcW w:w="1806" w:type="dxa"/>
            <w:gridSpan w:val="2"/>
            <w:shd w:val="clear" w:color="auto" w:fill="D9D9D9" w:themeFill="background1" w:themeFillShade="D9"/>
          </w:tcPr>
          <w:p w:rsidR="00973D81" w:rsidRPr="00DC69CD" w:rsidRDefault="00973D81" w:rsidP="00B620FE">
            <w:pPr>
              <w:spacing w:line="180" w:lineRule="exact"/>
              <w:contextualSpacing/>
              <w:rPr>
                <w:rFonts w:asciiTheme="minorHAnsi" w:eastAsia="Calibri" w:hAnsiTheme="minorHAnsi"/>
                <w:color w:val="auto"/>
                <w:sz w:val="18"/>
                <w:szCs w:val="18"/>
              </w:rPr>
            </w:pPr>
            <w:r w:rsidRPr="00DC69CD">
              <w:rPr>
                <w:rFonts w:eastAsia="Calibri"/>
                <w:color w:val="auto"/>
                <w:sz w:val="18"/>
                <w:szCs w:val="18"/>
              </w:rPr>
              <w:t>PT ~ 6 Mo. Pre-Sep</w:t>
            </w:r>
          </w:p>
          <w:p w:rsidR="00973D81" w:rsidRPr="00DC69CD" w:rsidRDefault="00973D81" w:rsidP="00B620FE">
            <w:pPr>
              <w:spacing w:line="180" w:lineRule="exact"/>
              <w:contextualSpacing/>
              <w:rPr>
                <w:rFonts w:eastAsia="Calibri"/>
                <w:color w:val="auto"/>
                <w:sz w:val="18"/>
                <w:szCs w:val="18"/>
              </w:rPr>
            </w:pPr>
            <w:r w:rsidRPr="00DC69CD">
              <w:rPr>
                <w:rFonts w:asciiTheme="minorHAnsi" w:eastAsia="Calibri" w:hAnsiTheme="minorHAnsi"/>
                <w:color w:val="auto"/>
                <w:sz w:val="18"/>
                <w:szCs w:val="18"/>
              </w:rPr>
              <w:t>(20080722)</w:t>
            </w:r>
          </w:p>
        </w:tc>
        <w:tc>
          <w:tcPr>
            <w:tcW w:w="2689" w:type="dxa"/>
            <w:gridSpan w:val="2"/>
            <w:shd w:val="clear" w:color="auto" w:fill="D9D9D9" w:themeFill="background1" w:themeFillShade="D9"/>
          </w:tcPr>
          <w:p w:rsidR="00973D81" w:rsidRPr="00DC69CD" w:rsidRDefault="00973D81" w:rsidP="00AA5EDA">
            <w:pPr>
              <w:spacing w:line="180" w:lineRule="exact"/>
              <w:contextualSpacing/>
              <w:rPr>
                <w:rFonts w:asciiTheme="minorHAnsi" w:eastAsia="Calibri" w:hAnsiTheme="minorHAnsi"/>
                <w:color w:val="auto"/>
                <w:sz w:val="18"/>
                <w:szCs w:val="18"/>
              </w:rPr>
            </w:pPr>
            <w:r w:rsidRPr="00DC69CD">
              <w:rPr>
                <w:rFonts w:eastAsia="Calibri"/>
                <w:color w:val="auto"/>
                <w:sz w:val="18"/>
                <w:szCs w:val="18"/>
              </w:rPr>
              <w:t>VA</w:t>
            </w:r>
            <w:r w:rsidRPr="00DC69CD">
              <w:rPr>
                <w:rFonts w:eastAsiaTheme="minorHAnsi"/>
                <w:color w:val="auto"/>
                <w:sz w:val="18"/>
                <w:szCs w:val="18"/>
              </w:rPr>
              <w:t xml:space="preserve"> C&amp;P </w:t>
            </w:r>
            <w:r w:rsidRPr="00DC69CD">
              <w:rPr>
                <w:rFonts w:eastAsia="Calibri"/>
                <w:color w:val="auto"/>
                <w:sz w:val="18"/>
                <w:szCs w:val="18"/>
              </w:rPr>
              <w:t>~ 2 Mo. After-Sep</w:t>
            </w:r>
          </w:p>
          <w:p w:rsidR="00973D81" w:rsidRPr="00DC69CD" w:rsidRDefault="00973D81" w:rsidP="00AA5EDA">
            <w:pPr>
              <w:spacing w:line="180" w:lineRule="exact"/>
              <w:contextualSpacing/>
              <w:rPr>
                <w:rFonts w:eastAsiaTheme="minorHAnsi"/>
                <w:color w:val="auto"/>
                <w:sz w:val="18"/>
                <w:szCs w:val="18"/>
              </w:rPr>
            </w:pPr>
            <w:r w:rsidRPr="00DC69CD">
              <w:rPr>
                <w:rFonts w:asciiTheme="minorHAnsi" w:eastAsia="Calibri" w:hAnsiTheme="minorHAnsi"/>
                <w:color w:val="auto"/>
                <w:sz w:val="18"/>
                <w:szCs w:val="18"/>
              </w:rPr>
              <w:t>(20090608)</w:t>
            </w:r>
          </w:p>
        </w:tc>
      </w:tr>
      <w:tr w:rsidR="00973D81" w:rsidRPr="00DC69CD" w:rsidTr="00DC69CD">
        <w:trPr>
          <w:trHeight w:val="216"/>
          <w:jc w:val="center"/>
        </w:trPr>
        <w:tc>
          <w:tcPr>
            <w:tcW w:w="1492" w:type="dxa"/>
            <w:vMerge/>
            <w:shd w:val="clear" w:color="auto" w:fill="D9D9D9" w:themeFill="background1" w:themeFillShade="D9"/>
            <w:vAlign w:val="center"/>
          </w:tcPr>
          <w:p w:rsidR="00973D81" w:rsidRPr="00DC69CD" w:rsidRDefault="00973D81" w:rsidP="00AA5EDA">
            <w:pPr>
              <w:spacing w:line="180" w:lineRule="exact"/>
              <w:contextualSpacing/>
              <w:rPr>
                <w:rFonts w:eastAsia="Calibri"/>
                <w:color w:val="auto"/>
                <w:sz w:val="18"/>
                <w:szCs w:val="18"/>
              </w:rPr>
            </w:pPr>
          </w:p>
        </w:tc>
        <w:tc>
          <w:tcPr>
            <w:tcW w:w="1585" w:type="dxa"/>
            <w:shd w:val="clear" w:color="auto" w:fill="D9D9D9" w:themeFill="background1" w:themeFillShade="D9"/>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Left</w:t>
            </w:r>
          </w:p>
        </w:tc>
        <w:tc>
          <w:tcPr>
            <w:tcW w:w="1350" w:type="dxa"/>
            <w:shd w:val="clear" w:color="auto" w:fill="D9D9D9" w:themeFill="background1" w:themeFillShade="D9"/>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Right</w:t>
            </w:r>
          </w:p>
        </w:tc>
        <w:tc>
          <w:tcPr>
            <w:tcW w:w="816" w:type="dxa"/>
            <w:shd w:val="clear" w:color="auto" w:fill="D9D9D9" w:themeFill="background1" w:themeFillShade="D9"/>
          </w:tcPr>
          <w:p w:rsidR="00973D81" w:rsidRPr="00DC69CD" w:rsidRDefault="00973D81" w:rsidP="002C4009">
            <w:pPr>
              <w:spacing w:line="180" w:lineRule="exact"/>
              <w:contextualSpacing/>
              <w:rPr>
                <w:rFonts w:eastAsia="Calibri"/>
                <w:color w:val="auto"/>
                <w:sz w:val="18"/>
                <w:szCs w:val="18"/>
              </w:rPr>
            </w:pPr>
            <w:r w:rsidRPr="00DC69CD">
              <w:rPr>
                <w:rFonts w:eastAsia="Calibri"/>
                <w:color w:val="auto"/>
                <w:sz w:val="18"/>
                <w:szCs w:val="18"/>
              </w:rPr>
              <w:t>Left</w:t>
            </w:r>
          </w:p>
        </w:tc>
        <w:tc>
          <w:tcPr>
            <w:tcW w:w="990" w:type="dxa"/>
            <w:shd w:val="clear" w:color="auto" w:fill="D9D9D9" w:themeFill="background1" w:themeFillShade="D9"/>
            <w:vAlign w:val="center"/>
          </w:tcPr>
          <w:p w:rsidR="00973D81" w:rsidRPr="00DC69CD" w:rsidRDefault="00973D81" w:rsidP="002C4009">
            <w:pPr>
              <w:spacing w:line="180" w:lineRule="exact"/>
              <w:contextualSpacing/>
              <w:rPr>
                <w:rFonts w:eastAsia="Calibri"/>
                <w:color w:val="auto"/>
                <w:sz w:val="18"/>
                <w:szCs w:val="18"/>
              </w:rPr>
            </w:pPr>
            <w:r w:rsidRPr="00DC69CD">
              <w:rPr>
                <w:rFonts w:eastAsia="Calibri"/>
                <w:color w:val="auto"/>
                <w:sz w:val="18"/>
                <w:szCs w:val="18"/>
              </w:rPr>
              <w:t>Right</w:t>
            </w:r>
          </w:p>
        </w:tc>
        <w:tc>
          <w:tcPr>
            <w:tcW w:w="1429" w:type="dxa"/>
            <w:shd w:val="clear" w:color="auto" w:fill="D9D9D9" w:themeFill="background1" w:themeFillShade="D9"/>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Left</w:t>
            </w:r>
          </w:p>
        </w:tc>
        <w:tc>
          <w:tcPr>
            <w:tcW w:w="1260" w:type="dxa"/>
            <w:shd w:val="clear" w:color="auto" w:fill="D9D9D9" w:themeFill="background1" w:themeFillShade="D9"/>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Right</w:t>
            </w:r>
          </w:p>
        </w:tc>
      </w:tr>
      <w:tr w:rsidR="00973D81" w:rsidRPr="00DC69CD" w:rsidTr="00DC69CD">
        <w:trPr>
          <w:jc w:val="center"/>
        </w:trPr>
        <w:tc>
          <w:tcPr>
            <w:tcW w:w="1492" w:type="dxa"/>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Flexion (140⁰)</w:t>
            </w:r>
          </w:p>
        </w:tc>
        <w:tc>
          <w:tcPr>
            <w:tcW w:w="1585" w:type="dxa"/>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122⁰</w:t>
            </w:r>
          </w:p>
        </w:tc>
        <w:tc>
          <w:tcPr>
            <w:tcW w:w="1350" w:type="dxa"/>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126⁰</w:t>
            </w:r>
          </w:p>
        </w:tc>
        <w:tc>
          <w:tcPr>
            <w:tcW w:w="816" w:type="dxa"/>
            <w:vAlign w:val="center"/>
          </w:tcPr>
          <w:p w:rsidR="00973D81" w:rsidRPr="00DC69CD" w:rsidRDefault="00973D81" w:rsidP="002C4009">
            <w:pPr>
              <w:spacing w:line="180" w:lineRule="exact"/>
              <w:contextualSpacing/>
              <w:rPr>
                <w:rFonts w:eastAsia="Calibri"/>
                <w:color w:val="auto"/>
                <w:sz w:val="18"/>
                <w:szCs w:val="18"/>
              </w:rPr>
            </w:pPr>
            <w:r w:rsidRPr="00DC69CD">
              <w:rPr>
                <w:rFonts w:eastAsia="Calibri"/>
                <w:color w:val="auto"/>
                <w:sz w:val="18"/>
                <w:szCs w:val="18"/>
              </w:rPr>
              <w:t>121⁰</w:t>
            </w:r>
          </w:p>
        </w:tc>
        <w:tc>
          <w:tcPr>
            <w:tcW w:w="990" w:type="dxa"/>
            <w:vAlign w:val="center"/>
          </w:tcPr>
          <w:p w:rsidR="00973D81" w:rsidRPr="00DC69CD" w:rsidRDefault="00973D81" w:rsidP="002C4009">
            <w:pPr>
              <w:spacing w:line="180" w:lineRule="exact"/>
              <w:contextualSpacing/>
              <w:rPr>
                <w:rFonts w:eastAsia="Calibri"/>
                <w:color w:val="auto"/>
                <w:sz w:val="18"/>
                <w:szCs w:val="18"/>
              </w:rPr>
            </w:pPr>
            <w:r w:rsidRPr="00DC69CD">
              <w:rPr>
                <w:rFonts w:eastAsia="Calibri"/>
                <w:color w:val="auto"/>
                <w:sz w:val="18"/>
                <w:szCs w:val="18"/>
              </w:rPr>
              <w:t>126⁰</w:t>
            </w:r>
          </w:p>
        </w:tc>
        <w:tc>
          <w:tcPr>
            <w:tcW w:w="1429" w:type="dxa"/>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105⁰</w:t>
            </w:r>
          </w:p>
        </w:tc>
        <w:tc>
          <w:tcPr>
            <w:tcW w:w="1260" w:type="dxa"/>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100⁰</w:t>
            </w:r>
          </w:p>
        </w:tc>
      </w:tr>
      <w:tr w:rsidR="00973D81" w:rsidRPr="00DC69CD" w:rsidTr="00DC69CD">
        <w:trPr>
          <w:jc w:val="center"/>
        </w:trPr>
        <w:tc>
          <w:tcPr>
            <w:tcW w:w="1492" w:type="dxa"/>
            <w:tcBorders>
              <w:bottom w:val="single" w:sz="4" w:space="0" w:color="auto"/>
            </w:tcBorders>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Extension (0⁰)</w:t>
            </w:r>
          </w:p>
        </w:tc>
        <w:tc>
          <w:tcPr>
            <w:tcW w:w="1585" w:type="dxa"/>
            <w:tcBorders>
              <w:bottom w:val="single" w:sz="4" w:space="0" w:color="auto"/>
            </w:tcBorders>
            <w:vAlign w:val="center"/>
          </w:tcPr>
          <w:p w:rsidR="00973D81" w:rsidRPr="00DC69CD" w:rsidRDefault="00DA4C31" w:rsidP="00AA5EDA">
            <w:pPr>
              <w:spacing w:line="180" w:lineRule="exact"/>
              <w:contextualSpacing/>
              <w:rPr>
                <w:rFonts w:eastAsia="Calibri"/>
                <w:color w:val="auto"/>
                <w:sz w:val="18"/>
                <w:szCs w:val="18"/>
              </w:rPr>
            </w:pPr>
            <w:r w:rsidRPr="00DC69CD">
              <w:rPr>
                <w:rFonts w:eastAsia="Calibri"/>
                <w:color w:val="auto"/>
                <w:sz w:val="18"/>
                <w:szCs w:val="18"/>
              </w:rPr>
              <w:t>N</w:t>
            </w:r>
            <w:r w:rsidR="00FD58C5" w:rsidRPr="00DC69CD">
              <w:rPr>
                <w:rFonts w:eastAsia="Calibri"/>
                <w:color w:val="auto"/>
                <w:sz w:val="18"/>
                <w:szCs w:val="18"/>
              </w:rPr>
              <w:t>ormal</w:t>
            </w:r>
          </w:p>
        </w:tc>
        <w:tc>
          <w:tcPr>
            <w:tcW w:w="1350" w:type="dxa"/>
            <w:tcBorders>
              <w:bottom w:val="single" w:sz="4" w:space="0" w:color="auto"/>
            </w:tcBorders>
            <w:vAlign w:val="center"/>
          </w:tcPr>
          <w:p w:rsidR="00973D81" w:rsidRPr="00DC69CD" w:rsidRDefault="00FD58C5" w:rsidP="00AA5EDA">
            <w:pPr>
              <w:spacing w:line="180" w:lineRule="exact"/>
              <w:contextualSpacing/>
              <w:rPr>
                <w:rFonts w:eastAsia="Calibri"/>
                <w:color w:val="auto"/>
                <w:sz w:val="18"/>
                <w:szCs w:val="18"/>
              </w:rPr>
            </w:pPr>
            <w:r w:rsidRPr="00DC69CD">
              <w:rPr>
                <w:rFonts w:eastAsia="Calibri"/>
                <w:color w:val="auto"/>
                <w:sz w:val="18"/>
                <w:szCs w:val="18"/>
              </w:rPr>
              <w:t>normal</w:t>
            </w:r>
          </w:p>
        </w:tc>
        <w:tc>
          <w:tcPr>
            <w:tcW w:w="816" w:type="dxa"/>
            <w:tcBorders>
              <w:bottom w:val="single" w:sz="4" w:space="0" w:color="auto"/>
            </w:tcBorders>
            <w:vAlign w:val="center"/>
          </w:tcPr>
          <w:p w:rsidR="00973D81" w:rsidRPr="00DC69CD" w:rsidRDefault="00973D81" w:rsidP="002C4009">
            <w:pPr>
              <w:spacing w:line="180" w:lineRule="exact"/>
              <w:contextualSpacing/>
              <w:rPr>
                <w:rFonts w:eastAsia="Calibri"/>
                <w:color w:val="auto"/>
                <w:sz w:val="18"/>
                <w:szCs w:val="18"/>
              </w:rPr>
            </w:pPr>
            <w:r w:rsidRPr="00DC69CD">
              <w:rPr>
                <w:rFonts w:eastAsia="Calibri"/>
                <w:color w:val="auto"/>
                <w:sz w:val="18"/>
                <w:szCs w:val="18"/>
              </w:rPr>
              <w:t>-1⁰</w:t>
            </w:r>
          </w:p>
        </w:tc>
        <w:tc>
          <w:tcPr>
            <w:tcW w:w="990" w:type="dxa"/>
            <w:tcBorders>
              <w:bottom w:val="single" w:sz="4" w:space="0" w:color="auto"/>
            </w:tcBorders>
            <w:vAlign w:val="center"/>
          </w:tcPr>
          <w:p w:rsidR="00973D81" w:rsidRPr="00DC69CD" w:rsidRDefault="00973D81" w:rsidP="002C4009">
            <w:pPr>
              <w:spacing w:line="180" w:lineRule="exact"/>
              <w:contextualSpacing/>
              <w:rPr>
                <w:rFonts w:eastAsia="Calibri"/>
                <w:color w:val="auto"/>
                <w:sz w:val="18"/>
                <w:szCs w:val="18"/>
              </w:rPr>
            </w:pPr>
            <w:r w:rsidRPr="00DC69CD">
              <w:rPr>
                <w:rFonts w:eastAsia="Calibri"/>
                <w:color w:val="auto"/>
                <w:sz w:val="18"/>
                <w:szCs w:val="18"/>
              </w:rPr>
              <w:t>0⁰</w:t>
            </w:r>
          </w:p>
        </w:tc>
        <w:tc>
          <w:tcPr>
            <w:tcW w:w="1429" w:type="dxa"/>
            <w:tcBorders>
              <w:bottom w:val="single" w:sz="4" w:space="0" w:color="auto"/>
            </w:tcBorders>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0⁰</w:t>
            </w:r>
          </w:p>
        </w:tc>
        <w:tc>
          <w:tcPr>
            <w:tcW w:w="1260" w:type="dxa"/>
            <w:tcBorders>
              <w:bottom w:val="single" w:sz="4" w:space="0" w:color="auto"/>
            </w:tcBorders>
            <w:vAlign w:val="center"/>
          </w:tcPr>
          <w:p w:rsidR="00973D81" w:rsidRPr="00DC69CD" w:rsidRDefault="00973D81" w:rsidP="00AA5EDA">
            <w:pPr>
              <w:spacing w:line="180" w:lineRule="exact"/>
              <w:contextualSpacing/>
              <w:rPr>
                <w:rFonts w:eastAsia="Calibri"/>
                <w:color w:val="auto"/>
                <w:sz w:val="18"/>
                <w:szCs w:val="18"/>
              </w:rPr>
            </w:pPr>
            <w:r w:rsidRPr="00DC69CD">
              <w:rPr>
                <w:rFonts w:eastAsia="Calibri"/>
                <w:color w:val="auto"/>
                <w:sz w:val="18"/>
                <w:szCs w:val="18"/>
              </w:rPr>
              <w:t>0⁰</w:t>
            </w:r>
          </w:p>
        </w:tc>
      </w:tr>
      <w:tr w:rsidR="00FD58C5" w:rsidRPr="00DC69CD" w:rsidTr="00DC69CD">
        <w:trPr>
          <w:jc w:val="center"/>
        </w:trPr>
        <w:tc>
          <w:tcPr>
            <w:tcW w:w="1492" w:type="dxa"/>
            <w:tcBorders>
              <w:top w:val="single" w:sz="4" w:space="0" w:color="auto"/>
              <w:left w:val="single" w:sz="4" w:space="0" w:color="auto"/>
              <w:bottom w:val="single" w:sz="4" w:space="0" w:color="auto"/>
              <w:right w:val="single" w:sz="4" w:space="0" w:color="auto"/>
            </w:tcBorders>
            <w:vAlign w:val="center"/>
          </w:tcPr>
          <w:p w:rsidR="00FD58C5" w:rsidRPr="00DC69CD" w:rsidRDefault="00FD58C5"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 xml:space="preserve">Comment: </w:t>
            </w:r>
          </w:p>
          <w:p w:rsidR="00FD58C5" w:rsidRPr="00DC69CD" w:rsidRDefault="00FD58C5"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L surgery 20070803</w:t>
            </w:r>
          </w:p>
        </w:tc>
        <w:tc>
          <w:tcPr>
            <w:tcW w:w="2935" w:type="dxa"/>
            <w:gridSpan w:val="2"/>
            <w:tcBorders>
              <w:top w:val="single" w:sz="4" w:space="0" w:color="auto"/>
              <w:left w:val="single" w:sz="4" w:space="0" w:color="auto"/>
              <w:bottom w:val="single" w:sz="4" w:space="0" w:color="auto"/>
              <w:right w:val="single" w:sz="4" w:space="0" w:color="auto"/>
            </w:tcBorders>
            <w:vAlign w:val="center"/>
          </w:tcPr>
          <w:p w:rsidR="00FD58C5" w:rsidRPr="00DC69CD" w:rsidRDefault="00FD58C5" w:rsidP="000E6EA7">
            <w:pPr>
              <w:tabs>
                <w:tab w:val="left" w:pos="288"/>
                <w:tab w:val="left" w:pos="4752"/>
              </w:tabs>
              <w:spacing w:line="180" w:lineRule="exact"/>
              <w:jc w:val="left"/>
              <w:rPr>
                <w:rFonts w:eastAsiaTheme="minorHAnsi"/>
                <w:color w:val="auto"/>
                <w:sz w:val="18"/>
                <w:szCs w:val="18"/>
              </w:rPr>
            </w:pPr>
            <w:r w:rsidRPr="00DC69CD">
              <w:rPr>
                <w:rFonts w:eastAsiaTheme="minorHAnsi"/>
                <w:color w:val="auto"/>
                <w:sz w:val="18"/>
                <w:szCs w:val="18"/>
              </w:rPr>
              <w:t xml:space="preserve">Pain on motion; tender along both knee joint lines medially, L&gt;R; L </w:t>
            </w:r>
            <w:r w:rsidR="000E6EA7" w:rsidRPr="00DC69CD">
              <w:rPr>
                <w:rFonts w:eastAsiaTheme="minorHAnsi"/>
                <w:color w:val="auto"/>
                <w:sz w:val="18"/>
                <w:szCs w:val="18"/>
              </w:rPr>
              <w:t>r</w:t>
            </w:r>
            <w:r w:rsidRPr="00DC69CD">
              <w:rPr>
                <w:rFonts w:eastAsiaTheme="minorHAnsi"/>
                <w:color w:val="auto"/>
                <w:sz w:val="18"/>
                <w:szCs w:val="18"/>
              </w:rPr>
              <w:t>etro</w:t>
            </w:r>
            <w:r w:rsidR="00DC69CD">
              <w:rPr>
                <w:rFonts w:eastAsiaTheme="minorHAnsi"/>
                <w:color w:val="auto"/>
                <w:sz w:val="18"/>
                <w:szCs w:val="18"/>
              </w:rPr>
              <w:t>-</w:t>
            </w:r>
            <w:r w:rsidRPr="00DC69CD">
              <w:rPr>
                <w:rFonts w:eastAsiaTheme="minorHAnsi"/>
                <w:color w:val="auto"/>
                <w:sz w:val="18"/>
                <w:szCs w:val="18"/>
              </w:rPr>
              <w:t xml:space="preserve">patellar </w:t>
            </w:r>
            <w:proofErr w:type="spellStart"/>
            <w:r w:rsidRPr="00DC69CD">
              <w:rPr>
                <w:rFonts w:eastAsiaTheme="minorHAnsi"/>
                <w:color w:val="auto"/>
                <w:sz w:val="18"/>
                <w:szCs w:val="18"/>
              </w:rPr>
              <w:t>crepitus</w:t>
            </w:r>
            <w:proofErr w:type="spellEnd"/>
            <w:r w:rsidRPr="00DC69CD">
              <w:rPr>
                <w:rFonts w:eastAsiaTheme="minorHAnsi"/>
                <w:color w:val="auto"/>
                <w:sz w:val="18"/>
                <w:szCs w:val="18"/>
              </w:rPr>
              <w:t>; ligaments intact except for minimal laxity of the L ACL; McMurray’s test was negative bilaterally for clicks, but mildly painful on the left</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FD58C5" w:rsidRPr="00DC69CD" w:rsidRDefault="00FD58C5" w:rsidP="000E6EA7">
            <w:pPr>
              <w:tabs>
                <w:tab w:val="left" w:pos="288"/>
                <w:tab w:val="left" w:pos="4752"/>
              </w:tabs>
              <w:spacing w:line="180" w:lineRule="exact"/>
              <w:jc w:val="left"/>
              <w:rPr>
                <w:rFonts w:eastAsiaTheme="minorHAnsi"/>
                <w:color w:val="auto"/>
                <w:sz w:val="18"/>
                <w:szCs w:val="18"/>
              </w:rPr>
            </w:pPr>
            <w:r w:rsidRPr="00DC69CD">
              <w:rPr>
                <w:rFonts w:eastAsiaTheme="minorHAnsi"/>
                <w:color w:val="auto"/>
                <w:sz w:val="18"/>
                <w:szCs w:val="18"/>
              </w:rPr>
              <w:t>AROM limited due to pain/arthritis</w:t>
            </w: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FD58C5" w:rsidRPr="00DC69CD" w:rsidRDefault="00FD58C5" w:rsidP="000E6EA7">
            <w:pPr>
              <w:tabs>
                <w:tab w:val="left" w:pos="288"/>
                <w:tab w:val="left" w:pos="4752"/>
              </w:tabs>
              <w:spacing w:line="180" w:lineRule="exact"/>
              <w:jc w:val="left"/>
              <w:rPr>
                <w:rFonts w:eastAsiaTheme="minorHAnsi"/>
                <w:color w:val="auto"/>
                <w:sz w:val="18"/>
                <w:szCs w:val="18"/>
              </w:rPr>
            </w:pPr>
            <w:r w:rsidRPr="00DC69CD">
              <w:rPr>
                <w:rFonts w:eastAsiaTheme="minorHAnsi"/>
                <w:color w:val="auto"/>
                <w:sz w:val="18"/>
                <w:szCs w:val="18"/>
              </w:rPr>
              <w:t xml:space="preserve">Mild pain-no weakness or fatigue; no laxity, no </w:t>
            </w:r>
            <w:r w:rsidR="002E65C8">
              <w:rPr>
                <w:rFonts w:eastAsiaTheme="minorHAnsi"/>
                <w:color w:val="auto"/>
                <w:sz w:val="18"/>
                <w:szCs w:val="18"/>
              </w:rPr>
              <w:t>instability present; negative Mc</w:t>
            </w:r>
            <w:r w:rsidRPr="00DC69CD">
              <w:rPr>
                <w:rFonts w:eastAsiaTheme="minorHAnsi"/>
                <w:color w:val="auto"/>
                <w:sz w:val="18"/>
                <w:szCs w:val="18"/>
              </w:rPr>
              <w:t xml:space="preserve">Murray's; negative </w:t>
            </w:r>
            <w:proofErr w:type="spellStart"/>
            <w:r w:rsidRPr="00DC69CD">
              <w:rPr>
                <w:rFonts w:eastAsiaTheme="minorHAnsi"/>
                <w:color w:val="auto"/>
                <w:sz w:val="18"/>
                <w:szCs w:val="18"/>
              </w:rPr>
              <w:t>Lachman's</w:t>
            </w:r>
            <w:proofErr w:type="spellEnd"/>
            <w:r w:rsidRPr="00DC69CD">
              <w:rPr>
                <w:rFonts w:eastAsiaTheme="minorHAnsi"/>
                <w:color w:val="auto"/>
                <w:sz w:val="18"/>
                <w:szCs w:val="18"/>
              </w:rPr>
              <w:t xml:space="preserve"> test bilaterally; </w:t>
            </w:r>
            <w:proofErr w:type="spellStart"/>
            <w:r w:rsidRPr="00DC69CD">
              <w:rPr>
                <w:rFonts w:eastAsiaTheme="minorHAnsi"/>
                <w:color w:val="auto"/>
                <w:sz w:val="18"/>
                <w:szCs w:val="18"/>
              </w:rPr>
              <w:t>neg</w:t>
            </w:r>
            <w:proofErr w:type="spellEnd"/>
            <w:r w:rsidRPr="00DC69CD">
              <w:rPr>
                <w:rFonts w:eastAsiaTheme="minorHAnsi"/>
                <w:color w:val="auto"/>
                <w:sz w:val="18"/>
                <w:szCs w:val="18"/>
              </w:rPr>
              <w:t xml:space="preserve"> </w:t>
            </w:r>
            <w:proofErr w:type="spellStart"/>
            <w:r w:rsidRPr="00DC69CD">
              <w:rPr>
                <w:rFonts w:eastAsiaTheme="minorHAnsi"/>
                <w:color w:val="auto"/>
                <w:sz w:val="18"/>
                <w:szCs w:val="18"/>
              </w:rPr>
              <w:t>DeLuca</w:t>
            </w:r>
            <w:proofErr w:type="spellEnd"/>
          </w:p>
        </w:tc>
      </w:tr>
      <w:tr w:rsidR="00973D81" w:rsidRPr="00DC69CD" w:rsidTr="00DC69CD">
        <w:trPr>
          <w:jc w:val="center"/>
        </w:trPr>
        <w:tc>
          <w:tcPr>
            <w:tcW w:w="1492"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§4.71a Rating*</w:t>
            </w:r>
          </w:p>
        </w:tc>
        <w:tc>
          <w:tcPr>
            <w:tcW w:w="1585"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10%</w:t>
            </w:r>
          </w:p>
        </w:tc>
        <w:tc>
          <w:tcPr>
            <w:tcW w:w="1350"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10%</w:t>
            </w:r>
          </w:p>
        </w:tc>
        <w:tc>
          <w:tcPr>
            <w:tcW w:w="816"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2C4009">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10%</w:t>
            </w:r>
          </w:p>
        </w:tc>
        <w:tc>
          <w:tcPr>
            <w:tcW w:w="990"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2C4009">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10%</w:t>
            </w:r>
          </w:p>
        </w:tc>
        <w:tc>
          <w:tcPr>
            <w:tcW w:w="1429"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tcPr>
          <w:p w:rsidR="00973D81" w:rsidRPr="00DC69CD" w:rsidRDefault="00973D81" w:rsidP="00AA5EDA">
            <w:pPr>
              <w:tabs>
                <w:tab w:val="left" w:pos="288"/>
                <w:tab w:val="left" w:pos="4752"/>
              </w:tabs>
              <w:spacing w:line="180" w:lineRule="exact"/>
              <w:rPr>
                <w:rFonts w:eastAsiaTheme="minorHAnsi"/>
                <w:color w:val="auto"/>
                <w:sz w:val="18"/>
                <w:szCs w:val="18"/>
              </w:rPr>
            </w:pPr>
            <w:r w:rsidRPr="00DC69CD">
              <w:rPr>
                <w:rFonts w:eastAsiaTheme="minorHAnsi"/>
                <w:color w:val="auto"/>
                <w:sz w:val="18"/>
                <w:szCs w:val="18"/>
              </w:rPr>
              <w:t>10%</w:t>
            </w:r>
          </w:p>
        </w:tc>
      </w:tr>
    </w:tbl>
    <w:p w:rsidR="00365712" w:rsidRPr="00DC69CD" w:rsidRDefault="000E6EA7" w:rsidP="00AA5EDA">
      <w:pPr>
        <w:jc w:val="both"/>
        <w:rPr>
          <w:rFonts w:eastAsiaTheme="minorHAnsi"/>
          <w:color w:val="auto"/>
          <w:szCs w:val="18"/>
        </w:rPr>
      </w:pPr>
      <w:r w:rsidRPr="00DC69CD">
        <w:rPr>
          <w:color w:val="auto"/>
          <w:sz w:val="20"/>
          <w:szCs w:val="24"/>
        </w:rPr>
        <w:t xml:space="preserve">    </w:t>
      </w:r>
      <w:r w:rsidR="00AA5EDA" w:rsidRPr="00DC69CD">
        <w:rPr>
          <w:color w:val="auto"/>
          <w:sz w:val="20"/>
          <w:szCs w:val="24"/>
        </w:rPr>
        <w:t>* Conceding §4.59 (painful motion)</w:t>
      </w:r>
    </w:p>
    <w:p w:rsidR="00365712" w:rsidRPr="00DC69CD" w:rsidRDefault="00365712" w:rsidP="00BF0E94">
      <w:pPr>
        <w:jc w:val="left"/>
        <w:rPr>
          <w:color w:val="auto"/>
          <w:szCs w:val="24"/>
        </w:rPr>
      </w:pPr>
    </w:p>
    <w:p w:rsidR="006B34B8" w:rsidRPr="00CC100E" w:rsidRDefault="00FD58C5" w:rsidP="002C4009">
      <w:pPr>
        <w:jc w:val="both"/>
        <w:rPr>
          <w:rFonts w:eastAsia="HiddenHorzOCR"/>
          <w:color w:val="auto"/>
          <w:szCs w:val="24"/>
        </w:rPr>
      </w:pPr>
      <w:r w:rsidRPr="00DC69CD">
        <w:rPr>
          <w:color w:val="auto"/>
          <w:szCs w:val="24"/>
        </w:rPr>
        <w:t>All exams indicated normal gait and sensory and motor exams of both</w:t>
      </w:r>
      <w:r w:rsidR="0042647B" w:rsidRPr="00DC69CD">
        <w:rPr>
          <w:color w:val="auto"/>
          <w:szCs w:val="24"/>
        </w:rPr>
        <w:t xml:space="preserve"> </w:t>
      </w:r>
      <w:r w:rsidRPr="00DC69CD">
        <w:rPr>
          <w:color w:val="auto"/>
          <w:szCs w:val="24"/>
        </w:rPr>
        <w:t>lower extremities.  T</w:t>
      </w:r>
      <w:r>
        <w:rPr>
          <w:color w:val="auto"/>
          <w:szCs w:val="24"/>
        </w:rPr>
        <w:t xml:space="preserve">here </w:t>
      </w:r>
      <w:r w:rsidR="00A5282B">
        <w:rPr>
          <w:color w:val="auto"/>
          <w:szCs w:val="24"/>
        </w:rPr>
        <w:t xml:space="preserve">was no post-surgical history of either knee giving way or locking.  </w:t>
      </w:r>
      <w:r w:rsidR="002C4009" w:rsidRPr="00182508">
        <w:rPr>
          <w:color w:val="auto"/>
          <w:szCs w:val="24"/>
        </w:rPr>
        <w:t xml:space="preserve">The PEB and the VA chose different coding for the knee conditions, but arrived at the same rating.  The PEB coded analogous to degenerative arthritis and rated 10% for each knee; the VA coded 5260 for (knee) </w:t>
      </w:r>
      <w:r w:rsidR="00AA5281">
        <w:rPr>
          <w:color w:val="auto"/>
          <w:szCs w:val="24"/>
        </w:rPr>
        <w:t>l</w:t>
      </w:r>
      <w:r w:rsidR="002C4009" w:rsidRPr="00182508">
        <w:rPr>
          <w:color w:val="auto"/>
          <w:szCs w:val="24"/>
        </w:rPr>
        <w:t xml:space="preserve">eg, limitation of flexion, and rated 10% for each knee.  </w:t>
      </w:r>
      <w:r w:rsidR="002C4009">
        <w:rPr>
          <w:rFonts w:eastAsia="HiddenHorzOCR"/>
          <w:color w:val="auto"/>
          <w:szCs w:val="24"/>
        </w:rPr>
        <w:t xml:space="preserve">All exams documented pain-limited </w:t>
      </w:r>
      <w:r w:rsidR="002C4009" w:rsidRPr="002C4009">
        <w:rPr>
          <w:rFonts w:eastAsia="HiddenHorzOCR"/>
          <w:color w:val="auto"/>
          <w:szCs w:val="24"/>
        </w:rPr>
        <w:t xml:space="preserve">ROM which is </w:t>
      </w:r>
      <w:proofErr w:type="spellStart"/>
      <w:r w:rsidR="002C4009" w:rsidRPr="00182508">
        <w:rPr>
          <w:rFonts w:eastAsia="HiddenHorzOCR"/>
          <w:color w:val="auto"/>
          <w:szCs w:val="24"/>
        </w:rPr>
        <w:t>noncompensable</w:t>
      </w:r>
      <w:proofErr w:type="spellEnd"/>
      <w:r w:rsidR="002C4009" w:rsidRPr="00182508">
        <w:rPr>
          <w:rFonts w:eastAsia="HiddenHorzOCR"/>
          <w:color w:val="auto"/>
          <w:szCs w:val="24"/>
        </w:rPr>
        <w:t xml:space="preserve"> under the appropriate diagnostic knee codes for flexion or extension; but warrant a rating of 10</w:t>
      </w:r>
      <w:r w:rsidR="00182508">
        <w:rPr>
          <w:rFonts w:eastAsia="HiddenHorzOCR"/>
          <w:color w:val="auto"/>
          <w:szCs w:val="24"/>
        </w:rPr>
        <w:t>%</w:t>
      </w:r>
      <w:r w:rsidR="002C4009" w:rsidRPr="00182508">
        <w:rPr>
          <w:rFonts w:eastAsia="HiddenHorzOCR"/>
          <w:color w:val="auto"/>
          <w:szCs w:val="24"/>
        </w:rPr>
        <w:t xml:space="preserve"> by limitation of motion under the criteria of 5003 or with application of §4.59 (painful motion).  </w:t>
      </w:r>
      <w:r w:rsidR="006B34B8" w:rsidRPr="000E6EA7">
        <w:rPr>
          <w:rFonts w:eastAsia="HiddenHorzOCR"/>
          <w:color w:val="auto"/>
          <w:szCs w:val="24"/>
        </w:rPr>
        <w:t xml:space="preserve">There is </w:t>
      </w:r>
      <w:r w:rsidR="006B34B8" w:rsidRPr="00CC100E">
        <w:rPr>
          <w:rFonts w:eastAsia="HiddenHorzOCR"/>
          <w:color w:val="auto"/>
          <w:szCs w:val="24"/>
        </w:rPr>
        <w:t>no route to rating higher than 10% under any applicable code and no coexistent pathology which would merit additional rating for the right knee condition under a separate code.</w:t>
      </w:r>
    </w:p>
    <w:p w:rsidR="006B34B8" w:rsidRPr="00CC100E" w:rsidRDefault="006B34B8" w:rsidP="002C4009">
      <w:pPr>
        <w:jc w:val="both"/>
        <w:rPr>
          <w:rFonts w:eastAsia="HiddenHorzOCR"/>
          <w:color w:val="auto"/>
          <w:szCs w:val="24"/>
        </w:rPr>
      </w:pPr>
    </w:p>
    <w:p w:rsidR="002C4009" w:rsidRDefault="006B34B8" w:rsidP="002C4009">
      <w:pPr>
        <w:jc w:val="both"/>
        <w:rPr>
          <w:rFonts w:eastAsia="HiddenHorzOCR"/>
          <w:color w:val="auto"/>
          <w:szCs w:val="24"/>
        </w:rPr>
      </w:pPr>
      <w:r w:rsidRPr="00CC100E">
        <w:rPr>
          <w:rFonts w:eastAsia="HiddenHorzOCR"/>
          <w:color w:val="auto"/>
          <w:szCs w:val="24"/>
        </w:rPr>
        <w:t xml:space="preserve">The </w:t>
      </w:r>
      <w:r w:rsidR="00182508" w:rsidRPr="00CC100E">
        <w:rPr>
          <w:rFonts w:eastAsia="HiddenHorzOCR"/>
          <w:color w:val="auto"/>
          <w:szCs w:val="24"/>
        </w:rPr>
        <w:t xml:space="preserve">left knee had </w:t>
      </w:r>
      <w:proofErr w:type="spellStart"/>
      <w:r w:rsidR="00182508" w:rsidRPr="00CC100E">
        <w:rPr>
          <w:rFonts w:eastAsia="HiddenHorzOCR"/>
          <w:color w:val="auto"/>
          <w:szCs w:val="24"/>
        </w:rPr>
        <w:t>semilunar</w:t>
      </w:r>
      <w:proofErr w:type="spellEnd"/>
      <w:r w:rsidR="00182508" w:rsidRPr="00CC100E">
        <w:rPr>
          <w:rFonts w:eastAsia="HiddenHorzOCR"/>
          <w:color w:val="auto"/>
          <w:szCs w:val="24"/>
        </w:rPr>
        <w:t xml:space="preserve"> cartilage surgery and</w:t>
      </w:r>
      <w:r w:rsidRPr="00CC100E">
        <w:rPr>
          <w:rFonts w:eastAsia="HiddenHorzOCR"/>
          <w:color w:val="auto"/>
          <w:szCs w:val="24"/>
        </w:rPr>
        <w:t xml:space="preserve"> </w:t>
      </w:r>
      <w:r w:rsidR="00182508" w:rsidRPr="00CC100E">
        <w:rPr>
          <w:rFonts w:eastAsia="HiddenHorzOCR"/>
          <w:color w:val="auto"/>
          <w:szCs w:val="24"/>
        </w:rPr>
        <w:t xml:space="preserve">MEB </w:t>
      </w:r>
      <w:r w:rsidRPr="00CC100E">
        <w:rPr>
          <w:rFonts w:eastAsia="HiddenHorzOCR"/>
          <w:color w:val="auto"/>
          <w:szCs w:val="24"/>
        </w:rPr>
        <w:t xml:space="preserve">exam </w:t>
      </w:r>
      <w:r w:rsidR="00182508" w:rsidRPr="00CC100E">
        <w:rPr>
          <w:rFonts w:eastAsia="HiddenHorzOCR"/>
          <w:color w:val="auto"/>
          <w:szCs w:val="24"/>
        </w:rPr>
        <w:t xml:space="preserve">indication of </w:t>
      </w:r>
      <w:r w:rsidRPr="00CC100E">
        <w:rPr>
          <w:rFonts w:eastAsia="HiddenHorzOCR"/>
          <w:color w:val="auto"/>
          <w:szCs w:val="24"/>
        </w:rPr>
        <w:t xml:space="preserve">minimal </w:t>
      </w:r>
      <w:r w:rsidR="00182508" w:rsidRPr="00CC100E">
        <w:rPr>
          <w:rFonts w:eastAsia="HiddenHorzOCR"/>
          <w:color w:val="auto"/>
          <w:szCs w:val="24"/>
        </w:rPr>
        <w:t>ligament laxity</w:t>
      </w:r>
      <w:r w:rsidRPr="00CC100E">
        <w:rPr>
          <w:rFonts w:eastAsia="HiddenHorzOCR"/>
          <w:color w:val="auto"/>
          <w:szCs w:val="24"/>
        </w:rPr>
        <w:t>.  T</w:t>
      </w:r>
      <w:r w:rsidR="00182508" w:rsidRPr="00CC100E">
        <w:rPr>
          <w:rFonts w:eastAsia="HiddenHorzOCR"/>
          <w:color w:val="auto"/>
          <w:szCs w:val="24"/>
        </w:rPr>
        <w:t>he Board considered alternate or dual left knee coding under 5257 (</w:t>
      </w:r>
      <w:r w:rsidR="00AB772F">
        <w:rPr>
          <w:rFonts w:eastAsia="HiddenHorzOCR"/>
          <w:color w:val="auto"/>
          <w:szCs w:val="24"/>
        </w:rPr>
        <w:t>k</w:t>
      </w:r>
      <w:r w:rsidR="00182508" w:rsidRPr="00CC100E">
        <w:rPr>
          <w:rFonts w:eastAsia="HiddenHorzOCR"/>
          <w:color w:val="auto"/>
          <w:szCs w:val="24"/>
        </w:rPr>
        <w:t>nee, other impairment of), 5258 (</w:t>
      </w:r>
      <w:r w:rsidR="00AB772F">
        <w:rPr>
          <w:rFonts w:eastAsia="HiddenHorzOCR"/>
          <w:color w:val="auto"/>
          <w:szCs w:val="24"/>
        </w:rPr>
        <w:t>c</w:t>
      </w:r>
      <w:r w:rsidR="00182508" w:rsidRPr="00CC100E">
        <w:rPr>
          <w:rFonts w:eastAsia="HiddenHorzOCR"/>
          <w:color w:val="auto"/>
          <w:szCs w:val="24"/>
        </w:rPr>
        <w:t xml:space="preserve">artilage, </w:t>
      </w:r>
      <w:proofErr w:type="spellStart"/>
      <w:r w:rsidR="00182508" w:rsidRPr="00CC100E">
        <w:rPr>
          <w:rFonts w:eastAsia="HiddenHorzOCR"/>
          <w:color w:val="auto"/>
          <w:szCs w:val="24"/>
        </w:rPr>
        <w:t>semilunar</w:t>
      </w:r>
      <w:proofErr w:type="spellEnd"/>
      <w:r w:rsidR="00182508" w:rsidRPr="00CC100E">
        <w:rPr>
          <w:rFonts w:eastAsia="HiddenHorzOCR"/>
          <w:color w:val="auto"/>
          <w:szCs w:val="24"/>
        </w:rPr>
        <w:t>, dislocated, with frequent episodes of “locking,” pain, and effusion into the joint - 20%), and 5259 (</w:t>
      </w:r>
      <w:r w:rsidR="00AB772F">
        <w:rPr>
          <w:rFonts w:eastAsia="HiddenHorzOCR"/>
          <w:color w:val="auto"/>
          <w:szCs w:val="24"/>
        </w:rPr>
        <w:t>c</w:t>
      </w:r>
      <w:r w:rsidR="00182508" w:rsidRPr="00CC100E">
        <w:rPr>
          <w:rFonts w:eastAsia="HiddenHorzOCR"/>
          <w:color w:val="auto"/>
          <w:szCs w:val="24"/>
        </w:rPr>
        <w:t xml:space="preserve">artilage, </w:t>
      </w:r>
      <w:proofErr w:type="spellStart"/>
      <w:r w:rsidR="00182508" w:rsidRPr="00CC100E">
        <w:rPr>
          <w:rFonts w:eastAsia="HiddenHorzOCR"/>
          <w:color w:val="auto"/>
          <w:szCs w:val="24"/>
        </w:rPr>
        <w:t>semilunar</w:t>
      </w:r>
      <w:proofErr w:type="spellEnd"/>
      <w:r w:rsidR="00182508" w:rsidRPr="00CC100E">
        <w:rPr>
          <w:rFonts w:eastAsia="HiddenHorzOCR"/>
          <w:color w:val="auto"/>
          <w:szCs w:val="24"/>
        </w:rPr>
        <w:t xml:space="preserve">, removal of, </w:t>
      </w:r>
      <w:r w:rsidR="00182508" w:rsidRPr="00CC100E">
        <w:rPr>
          <w:rFonts w:eastAsia="HiddenHorzOCR"/>
          <w:color w:val="auto"/>
          <w:szCs w:val="24"/>
        </w:rPr>
        <w:lastRenderedPageBreak/>
        <w:t xml:space="preserve">symptomatic -10%) and consideration of </w:t>
      </w:r>
      <w:r w:rsidR="002C4009" w:rsidRPr="00CC100E">
        <w:rPr>
          <w:rFonts w:eastAsia="HiddenHorzOCR"/>
          <w:color w:val="auto"/>
          <w:szCs w:val="24"/>
        </w:rPr>
        <w:t xml:space="preserve">VASRD §4.40 (functional loss).  </w:t>
      </w:r>
      <w:r w:rsidRPr="00CC100E">
        <w:rPr>
          <w:rFonts w:eastAsia="HiddenHorzOCR"/>
          <w:color w:val="auto"/>
          <w:szCs w:val="24"/>
        </w:rPr>
        <w:t xml:space="preserve">No exam demonstrated </w:t>
      </w:r>
      <w:r w:rsidR="00DC69CD">
        <w:rPr>
          <w:rFonts w:eastAsia="HiddenHorzOCR"/>
          <w:color w:val="auto"/>
          <w:szCs w:val="24"/>
        </w:rPr>
        <w:t xml:space="preserve">significant </w:t>
      </w:r>
      <w:r w:rsidRPr="00CC100E">
        <w:rPr>
          <w:rFonts w:eastAsia="HiddenHorzOCR"/>
          <w:color w:val="auto"/>
          <w:szCs w:val="24"/>
        </w:rPr>
        <w:t>instability, the later VA</w:t>
      </w:r>
      <w:r>
        <w:rPr>
          <w:rFonts w:eastAsia="HiddenHorzOCR"/>
          <w:color w:val="auto"/>
          <w:szCs w:val="24"/>
        </w:rPr>
        <w:t xml:space="preserve"> exam demonstrated no ligament laxity, and there</w:t>
      </w:r>
      <w:r w:rsidR="00DC69CD">
        <w:rPr>
          <w:rFonts w:eastAsia="HiddenHorzOCR"/>
          <w:color w:val="auto"/>
          <w:szCs w:val="24"/>
        </w:rPr>
        <w:t xml:space="preserve"> </w:t>
      </w:r>
      <w:r>
        <w:rPr>
          <w:rFonts w:eastAsia="HiddenHorzOCR"/>
          <w:color w:val="auto"/>
          <w:szCs w:val="24"/>
        </w:rPr>
        <w:t>were no significant indications of recurrent effusion or symptoms of locking or give way.  Alternate coding of 5259 at 10% would rate no higher than the PEB 10% coding and offered no benefit to the CI.  The</w:t>
      </w:r>
      <w:r w:rsidR="00DC69CD">
        <w:rPr>
          <w:rFonts w:eastAsia="HiddenHorzOCR"/>
          <w:color w:val="auto"/>
          <w:szCs w:val="24"/>
        </w:rPr>
        <w:t>re</w:t>
      </w:r>
      <w:r>
        <w:rPr>
          <w:rFonts w:eastAsia="HiddenHorzOCR"/>
          <w:color w:val="auto"/>
          <w:szCs w:val="24"/>
        </w:rPr>
        <w:t xml:space="preserve"> were insufficient findings for dual rating the left knee with adherence to the tenants of </w:t>
      </w:r>
      <w:r w:rsidRPr="00182508">
        <w:rPr>
          <w:rFonts w:eastAsia="HiddenHorzOCR"/>
          <w:color w:val="auto"/>
          <w:szCs w:val="24"/>
        </w:rPr>
        <w:t>VASRD §</w:t>
      </w:r>
      <w:r w:rsidRPr="006B34B8">
        <w:rPr>
          <w:rFonts w:eastAsia="HiddenHorzOCR"/>
          <w:color w:val="auto"/>
          <w:szCs w:val="24"/>
        </w:rPr>
        <w:t>4.14 (</w:t>
      </w:r>
      <w:r>
        <w:rPr>
          <w:rFonts w:eastAsia="HiddenHorzOCR"/>
          <w:color w:val="auto"/>
          <w:szCs w:val="24"/>
        </w:rPr>
        <w:t>a</w:t>
      </w:r>
      <w:r w:rsidRPr="006B34B8">
        <w:rPr>
          <w:rFonts w:eastAsia="HiddenHorzOCR"/>
          <w:color w:val="auto"/>
          <w:szCs w:val="24"/>
        </w:rPr>
        <w:t xml:space="preserve">voidance of pyramiding).  </w:t>
      </w:r>
      <w:r w:rsidR="002C4009" w:rsidRPr="00182508">
        <w:rPr>
          <w:rFonts w:eastAsia="HiddenHorzOCR"/>
          <w:color w:val="auto"/>
          <w:szCs w:val="24"/>
        </w:rPr>
        <w:t xml:space="preserve">All evidence considered, there is not reasonable doubt in the CI’s favor supporting a change from the PEB’s coding or 10% rating decision for the </w:t>
      </w:r>
      <w:r w:rsidR="00182508" w:rsidRPr="00182508">
        <w:rPr>
          <w:rFonts w:eastAsia="HiddenHorzOCR"/>
          <w:color w:val="auto"/>
          <w:szCs w:val="24"/>
        </w:rPr>
        <w:t>each</w:t>
      </w:r>
      <w:r w:rsidR="002C4009" w:rsidRPr="00182508">
        <w:rPr>
          <w:rFonts w:eastAsia="HiddenHorzOCR"/>
          <w:color w:val="auto"/>
          <w:szCs w:val="24"/>
        </w:rPr>
        <w:t xml:space="preserve"> knee</w:t>
      </w:r>
      <w:r w:rsidR="002C4009" w:rsidRPr="00814546">
        <w:rPr>
          <w:rFonts w:eastAsia="HiddenHorzOCR"/>
          <w:color w:val="auto"/>
          <w:szCs w:val="24"/>
        </w:rPr>
        <w:t xml:space="preserve"> condition</w:t>
      </w:r>
      <w:r w:rsidR="00182508">
        <w:rPr>
          <w:rFonts w:eastAsia="HiddenHorzOCR"/>
          <w:color w:val="auto"/>
          <w:szCs w:val="24"/>
        </w:rPr>
        <w:t xml:space="preserve"> (10% left</w:t>
      </w:r>
      <w:r>
        <w:rPr>
          <w:rFonts w:eastAsia="HiddenHorzOCR"/>
          <w:color w:val="auto"/>
          <w:szCs w:val="24"/>
        </w:rPr>
        <w:t>;</w:t>
      </w:r>
      <w:r w:rsidR="00182508">
        <w:rPr>
          <w:rFonts w:eastAsia="HiddenHorzOCR"/>
          <w:color w:val="auto"/>
          <w:szCs w:val="24"/>
        </w:rPr>
        <w:t xml:space="preserve"> 10% right)</w:t>
      </w:r>
      <w:r w:rsidR="002C4009" w:rsidRPr="00814546">
        <w:rPr>
          <w:rFonts w:eastAsia="HiddenHorzOCR"/>
          <w:color w:val="auto"/>
          <w:szCs w:val="24"/>
        </w:rPr>
        <w:t>.</w:t>
      </w:r>
      <w:r>
        <w:rPr>
          <w:rFonts w:eastAsia="HiddenHorzOCR"/>
          <w:color w:val="auto"/>
          <w:szCs w:val="24"/>
        </w:rPr>
        <w:t xml:space="preserve">  </w:t>
      </w:r>
    </w:p>
    <w:p w:rsidR="000E6EA7" w:rsidRPr="00FD58C5" w:rsidRDefault="000E6EA7" w:rsidP="0042647B">
      <w:pPr>
        <w:jc w:val="both"/>
        <w:rPr>
          <w:color w:val="auto"/>
          <w:szCs w:val="24"/>
        </w:rPr>
      </w:pPr>
    </w:p>
    <w:p w:rsidR="00EC337D" w:rsidRDefault="004C60A3" w:rsidP="0042647B">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 xml:space="preserve">The other conditions forwarded by the MEB and adjudicated as not unfitting by the PEB were </w:t>
      </w:r>
      <w:proofErr w:type="spellStart"/>
      <w:r w:rsidR="00AB772F">
        <w:rPr>
          <w:color w:val="000000" w:themeColor="text1"/>
          <w:szCs w:val="24"/>
        </w:rPr>
        <w:t>p</w:t>
      </w:r>
      <w:r w:rsidR="009817E5">
        <w:rPr>
          <w:color w:val="000000" w:themeColor="text1"/>
          <w:szCs w:val="24"/>
        </w:rPr>
        <w:t>es</w:t>
      </w:r>
      <w:proofErr w:type="spellEnd"/>
      <w:r w:rsidR="009817E5">
        <w:rPr>
          <w:color w:val="000000" w:themeColor="text1"/>
          <w:szCs w:val="24"/>
        </w:rPr>
        <w:t xml:space="preserve"> </w:t>
      </w:r>
      <w:proofErr w:type="spellStart"/>
      <w:r w:rsidR="00AB772F">
        <w:rPr>
          <w:color w:val="000000" w:themeColor="text1"/>
          <w:szCs w:val="24"/>
        </w:rPr>
        <w:t>p</w:t>
      </w:r>
      <w:r w:rsidR="009817E5">
        <w:rPr>
          <w:color w:val="000000" w:themeColor="text1"/>
          <w:szCs w:val="24"/>
        </w:rPr>
        <w:t>lanus</w:t>
      </w:r>
      <w:proofErr w:type="spellEnd"/>
      <w:r w:rsidR="009817E5">
        <w:rPr>
          <w:color w:val="000000" w:themeColor="text1"/>
          <w:szCs w:val="24"/>
        </w:rPr>
        <w:t xml:space="preserve"> and </w:t>
      </w:r>
      <w:r w:rsidR="00AB772F">
        <w:rPr>
          <w:color w:val="000000" w:themeColor="text1"/>
          <w:szCs w:val="24"/>
        </w:rPr>
        <w:t>m</w:t>
      </w:r>
      <w:r w:rsidR="009817E5">
        <w:rPr>
          <w:color w:val="000000" w:themeColor="text1"/>
          <w:szCs w:val="24"/>
        </w:rPr>
        <w:t xml:space="preserve">echanical </w:t>
      </w:r>
      <w:r w:rsidR="00AB772F">
        <w:rPr>
          <w:color w:val="000000" w:themeColor="text1"/>
          <w:szCs w:val="24"/>
        </w:rPr>
        <w:t>b</w:t>
      </w:r>
      <w:r w:rsidR="009817E5">
        <w:rPr>
          <w:color w:val="000000" w:themeColor="text1"/>
          <w:szCs w:val="24"/>
        </w:rPr>
        <w:t xml:space="preserve">ack </w:t>
      </w:r>
      <w:r w:rsidR="00AB772F">
        <w:rPr>
          <w:color w:val="000000" w:themeColor="text1"/>
          <w:szCs w:val="24"/>
        </w:rPr>
        <w:t>p</w:t>
      </w:r>
      <w:r w:rsidR="009817E5">
        <w:rPr>
          <w:color w:val="000000" w:themeColor="text1"/>
          <w:szCs w:val="24"/>
        </w:rPr>
        <w:t>ain</w:t>
      </w:r>
      <w:r w:rsidR="008C3223" w:rsidRPr="001F29F9">
        <w:rPr>
          <w:color w:val="000000" w:themeColor="text1"/>
          <w:szCs w:val="24"/>
        </w:rPr>
        <w:t xml:space="preserve">.  None of these conditions were profiled, implicated </w:t>
      </w:r>
      <w:r w:rsidR="008C3223" w:rsidRPr="00A5282B">
        <w:rPr>
          <w:color w:val="000000" w:themeColor="text1"/>
          <w:szCs w:val="24"/>
        </w:rPr>
        <w:t xml:space="preserve">in the </w:t>
      </w:r>
      <w:r w:rsidR="0080588E" w:rsidRPr="00A5282B">
        <w:rPr>
          <w:color w:val="000000" w:themeColor="text1"/>
          <w:szCs w:val="24"/>
        </w:rPr>
        <w:t>c</w:t>
      </w:r>
      <w:r w:rsidR="008C3223" w:rsidRPr="00A5282B">
        <w:rPr>
          <w:color w:val="000000" w:themeColor="text1"/>
          <w:szCs w:val="24"/>
        </w:rPr>
        <w:t xml:space="preserve">ommander’s statement or noted as failing retention standards.  All were reviewed by the </w:t>
      </w:r>
      <w:r w:rsidR="0080588E" w:rsidRPr="00A5282B">
        <w:rPr>
          <w:color w:val="000000" w:themeColor="text1"/>
          <w:szCs w:val="24"/>
        </w:rPr>
        <w:t xml:space="preserve">action officer </w:t>
      </w:r>
      <w:r w:rsidR="008C3223" w:rsidRPr="00A5282B">
        <w:rPr>
          <w:color w:val="000000" w:themeColor="text1"/>
          <w:szCs w:val="24"/>
        </w:rPr>
        <w:t>and considered by the Board.  There was no indication from the record that any of</w:t>
      </w:r>
      <w:r w:rsidR="008C3223" w:rsidRPr="001F29F9">
        <w:rPr>
          <w:color w:val="000000" w:themeColor="text1"/>
          <w:szCs w:val="24"/>
        </w:rPr>
        <w:t xml:space="preserve">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 xml:space="preserve">performance.  </w:t>
      </w:r>
      <w:r w:rsidR="00DC69CD">
        <w:rPr>
          <w:color w:val="000000" w:themeColor="text1"/>
          <w:szCs w:val="24"/>
        </w:rPr>
        <w:t>All evidence considered</w:t>
      </w:r>
      <w:r w:rsidR="00DC69CD" w:rsidRPr="001F29F9">
        <w:rPr>
          <w:color w:val="000000" w:themeColor="text1"/>
          <w:szCs w:val="24"/>
        </w:rPr>
        <w:t xml:space="preserve"> there is not </w:t>
      </w:r>
      <w:r w:rsidR="00DC69CD">
        <w:rPr>
          <w:color w:val="000000" w:themeColor="text1"/>
          <w:szCs w:val="24"/>
        </w:rPr>
        <w:t>a preponderance of the evidence</w:t>
      </w:r>
      <w:r w:rsidR="00DC69CD" w:rsidRPr="001F29F9">
        <w:rPr>
          <w:color w:val="000000" w:themeColor="text1"/>
          <w:szCs w:val="24"/>
        </w:rPr>
        <w:t xml:space="preserve"> in the CI’s favor supporting </w:t>
      </w:r>
      <w:proofErr w:type="spellStart"/>
      <w:r w:rsidR="00DC69CD" w:rsidRPr="001F29F9">
        <w:rPr>
          <w:color w:val="000000" w:themeColor="text1"/>
          <w:szCs w:val="24"/>
        </w:rPr>
        <w:t>recharacterization</w:t>
      </w:r>
      <w:proofErr w:type="spellEnd"/>
      <w:r w:rsidR="00DC69CD" w:rsidRPr="001F29F9">
        <w:rPr>
          <w:color w:val="000000" w:themeColor="text1"/>
          <w:szCs w:val="24"/>
        </w:rPr>
        <w:t xml:space="preserve"> of the PEB fitness adjudication for any of the stated conditions.</w:t>
      </w:r>
      <w:r w:rsidR="00DC69CD">
        <w:rPr>
          <w:color w:val="000000" w:themeColor="text1"/>
          <w:szCs w:val="24"/>
        </w:rPr>
        <w:t xml:space="preserve">  </w:t>
      </w:r>
    </w:p>
    <w:p w:rsidR="008F1E9C" w:rsidRPr="001F29F9" w:rsidRDefault="008F1E9C" w:rsidP="00BF0E94">
      <w:pPr>
        <w:jc w:val="both"/>
        <w:rPr>
          <w:color w:val="000000" w:themeColor="text1"/>
          <w:szCs w:val="24"/>
        </w:rPr>
      </w:pPr>
    </w:p>
    <w:p w:rsidR="001031F4" w:rsidRPr="001F29F9" w:rsidRDefault="00F6196E" w:rsidP="00DA4C31">
      <w:pPr>
        <w:jc w:val="both"/>
        <w:rPr>
          <w:color w:val="000000" w:themeColor="text1"/>
        </w:rPr>
      </w:pPr>
      <w:proofErr w:type="gramStart"/>
      <w:r w:rsidRPr="00CC100E">
        <w:rPr>
          <w:color w:val="000000" w:themeColor="text1"/>
          <w:szCs w:val="24"/>
          <w:u w:val="single"/>
        </w:rPr>
        <w:t>Remaining Conditions</w:t>
      </w:r>
      <w:r w:rsidRPr="00CC100E">
        <w:rPr>
          <w:color w:val="000000" w:themeColor="text1"/>
          <w:szCs w:val="24"/>
        </w:rPr>
        <w:t>.</w:t>
      </w:r>
      <w:proofErr w:type="gramEnd"/>
      <w:r w:rsidRPr="00CC100E">
        <w:rPr>
          <w:color w:val="000000" w:themeColor="text1"/>
          <w:szCs w:val="24"/>
        </w:rPr>
        <w:t xml:space="preserve"> </w:t>
      </w:r>
      <w:r w:rsidR="003C5B54" w:rsidRPr="00CC100E">
        <w:rPr>
          <w:color w:val="000000" w:themeColor="text1"/>
          <w:szCs w:val="24"/>
        </w:rPr>
        <w:t xml:space="preserve"> </w:t>
      </w:r>
      <w:r w:rsidR="00DA4C31" w:rsidRPr="00CC100E">
        <w:rPr>
          <w:color w:val="000000" w:themeColor="text1"/>
          <w:szCs w:val="24"/>
        </w:rPr>
        <w:t>Other conditions identified in the DES file were wrist sprain, hypertension, ankle problem, sleep apnea or narcolepsy, history of broken left fifth finger (1997), history of brief loss of consciousness (2001), surgery for wisdom teeth and orthodontics.  Several additional non-acute conditions or medical complaints were also documented.  None of these conditions were occupationally significant during the MEB period, none carried attached profiles, and none were implicated in the commander’s statement</w:t>
      </w:r>
      <w:r w:rsidR="00DA4C31" w:rsidRPr="00F74ACB">
        <w:rPr>
          <w:color w:val="000000" w:themeColor="text1"/>
          <w:szCs w:val="24"/>
        </w:rPr>
        <w:t>.  These conditions were reviewed by the action officer and considered by the Board.  It was determined that none could be argued as unfitting and subject to separation rating.  No other conditions</w:t>
      </w:r>
      <w:r w:rsidR="00AB772F">
        <w:rPr>
          <w:color w:val="000000" w:themeColor="text1"/>
          <w:szCs w:val="24"/>
        </w:rPr>
        <w:t xml:space="preserve"> were service-</w:t>
      </w:r>
      <w:r w:rsidR="00DA4C31" w:rsidRPr="001F29F9">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r w:rsidR="003B4F95">
        <w:rPr>
          <w:color w:val="000000" w:themeColor="text1"/>
          <w:szCs w:val="24"/>
        </w:rPr>
        <w:t xml:space="preserve">  </w:t>
      </w:r>
    </w:p>
    <w:p w:rsidR="00DA4C31" w:rsidRPr="001F29F9" w:rsidRDefault="00DA4C31" w:rsidP="00DA4C31">
      <w:pPr>
        <w:pBdr>
          <w:bottom w:val="single" w:sz="12" w:space="1" w:color="auto"/>
        </w:pBdr>
        <w:tabs>
          <w:tab w:val="left" w:pos="288"/>
          <w:tab w:val="left" w:pos="4752"/>
        </w:tabs>
        <w:jc w:val="both"/>
        <w:rPr>
          <w:color w:val="000000" w:themeColor="text1"/>
        </w:rPr>
      </w:pPr>
    </w:p>
    <w:p w:rsidR="00DA4C31" w:rsidRPr="001F29F9" w:rsidRDefault="00DA4C31" w:rsidP="00DA4C31">
      <w:pPr>
        <w:jc w:val="left"/>
        <w:rPr>
          <w:color w:val="000000" w:themeColor="text1"/>
          <w:szCs w:val="24"/>
        </w:rPr>
      </w:pPr>
    </w:p>
    <w:p w:rsidR="00D42FE2" w:rsidRPr="00381569" w:rsidRDefault="00C56FC8" w:rsidP="00D42FE2">
      <w:pPr>
        <w:jc w:val="both"/>
        <w:rPr>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w:t>
      </w:r>
      <w:r w:rsidRPr="00D42FE2">
        <w:rPr>
          <w:rFonts w:eastAsiaTheme="minorHAnsi"/>
          <w:color w:val="auto"/>
          <w:szCs w:val="24"/>
        </w:rPr>
        <w:t xml:space="preserve">not be considered by the Board to the extent they were inconsistent with the </w:t>
      </w:r>
      <w:r w:rsidRPr="00CC100E">
        <w:rPr>
          <w:rFonts w:eastAsiaTheme="minorHAnsi"/>
          <w:color w:val="auto"/>
          <w:szCs w:val="24"/>
        </w:rPr>
        <w:t>VASRD in effect at the time of the adjudication.</w:t>
      </w:r>
      <w:r w:rsidR="00A5282B" w:rsidRPr="00CC100E">
        <w:rPr>
          <w:rFonts w:eastAsiaTheme="minorHAnsi"/>
          <w:color w:val="auto"/>
          <w:szCs w:val="24"/>
        </w:rPr>
        <w:t xml:space="preserve">  </w:t>
      </w:r>
      <w:r w:rsidR="00D42FE2" w:rsidRPr="00CC100E">
        <w:rPr>
          <w:color w:val="auto"/>
          <w:szCs w:val="24"/>
        </w:rPr>
        <w:t xml:space="preserve">The Board did not surmise from the record or PEB ruling in this case that any prerogatives outside the VASRD were exercised.  </w:t>
      </w:r>
      <w:r w:rsidR="00DA4C31" w:rsidRPr="00CC100E">
        <w:rPr>
          <w:rFonts w:eastAsiaTheme="minorHAnsi"/>
          <w:color w:val="000000" w:themeColor="text1"/>
          <w:szCs w:val="24"/>
        </w:rPr>
        <w:t xml:space="preserve">In the matter of the bilateral </w:t>
      </w:r>
      <w:proofErr w:type="spellStart"/>
      <w:r w:rsidR="00DA4C31" w:rsidRPr="00CC100E">
        <w:rPr>
          <w:rFonts w:eastAsiaTheme="minorHAnsi"/>
          <w:color w:val="000000" w:themeColor="text1"/>
          <w:szCs w:val="24"/>
        </w:rPr>
        <w:t>patellofemoral</w:t>
      </w:r>
      <w:proofErr w:type="spellEnd"/>
      <w:r w:rsidR="00DA4C31" w:rsidRPr="00CC100E">
        <w:rPr>
          <w:rFonts w:eastAsiaTheme="minorHAnsi"/>
          <w:color w:val="000000" w:themeColor="text1"/>
          <w:szCs w:val="24"/>
        </w:rPr>
        <w:t xml:space="preserve"> pain syndrome condition and IAW VASRD §4.71a, the Board unanimously recommends no change in the PEB adjudication at separation of rating of 10% for the left knee and 10% for the right knee.  </w:t>
      </w:r>
      <w:r w:rsidR="00D42FE2" w:rsidRPr="00CC100E">
        <w:rPr>
          <w:color w:val="auto"/>
          <w:szCs w:val="24"/>
        </w:rPr>
        <w:t xml:space="preserve">In the matter of the </w:t>
      </w:r>
      <w:proofErr w:type="spellStart"/>
      <w:r w:rsidR="00AB772F">
        <w:rPr>
          <w:color w:val="auto"/>
          <w:szCs w:val="24"/>
        </w:rPr>
        <w:t>p</w:t>
      </w:r>
      <w:r w:rsidR="00381569" w:rsidRPr="00CC100E">
        <w:rPr>
          <w:color w:val="auto"/>
          <w:szCs w:val="24"/>
        </w:rPr>
        <w:t>es</w:t>
      </w:r>
      <w:proofErr w:type="spellEnd"/>
      <w:r w:rsidR="00381569" w:rsidRPr="00CC100E">
        <w:rPr>
          <w:color w:val="auto"/>
          <w:szCs w:val="24"/>
        </w:rPr>
        <w:t xml:space="preserve"> </w:t>
      </w:r>
      <w:proofErr w:type="spellStart"/>
      <w:r w:rsidR="00AB772F">
        <w:rPr>
          <w:color w:val="auto"/>
          <w:szCs w:val="24"/>
        </w:rPr>
        <w:t>planus</w:t>
      </w:r>
      <w:proofErr w:type="spellEnd"/>
      <w:r w:rsidR="00AB772F">
        <w:rPr>
          <w:color w:val="auto"/>
          <w:szCs w:val="24"/>
        </w:rPr>
        <w:t xml:space="preserve"> and mechanical b</w:t>
      </w:r>
      <w:r w:rsidR="00381569" w:rsidRPr="00CC100E">
        <w:rPr>
          <w:color w:val="auto"/>
          <w:szCs w:val="24"/>
        </w:rPr>
        <w:t xml:space="preserve">ack </w:t>
      </w:r>
      <w:r w:rsidR="00AB772F">
        <w:rPr>
          <w:color w:val="auto"/>
          <w:szCs w:val="24"/>
        </w:rPr>
        <w:t>p</w:t>
      </w:r>
      <w:r w:rsidR="00381569" w:rsidRPr="00CC100E">
        <w:rPr>
          <w:color w:val="auto"/>
          <w:szCs w:val="24"/>
        </w:rPr>
        <w:t xml:space="preserve">ain </w:t>
      </w:r>
      <w:r w:rsidR="00D42FE2" w:rsidRPr="00CC100E">
        <w:rPr>
          <w:color w:val="auto"/>
          <w:szCs w:val="24"/>
        </w:rPr>
        <w:t>conditions, the Board unanimously recommends no change from the PEB adjudications as not unfitting.  The Board unanimously agrees that there were no other conditions eligible for Board consideration which could b</w:t>
      </w:r>
      <w:r w:rsidR="00D42FE2" w:rsidRPr="006B34B8">
        <w:rPr>
          <w:color w:val="auto"/>
          <w:szCs w:val="24"/>
        </w:rPr>
        <w:t>e</w:t>
      </w:r>
      <w:r w:rsidR="00D42FE2" w:rsidRPr="00381569">
        <w:rPr>
          <w:color w:val="auto"/>
          <w:szCs w:val="24"/>
        </w:rPr>
        <w:t xml:space="preserve"> recommended as unfitting for additional </w:t>
      </w:r>
      <w:r w:rsidR="00AB772F">
        <w:rPr>
          <w:color w:val="auto"/>
          <w:szCs w:val="24"/>
        </w:rPr>
        <w:t>s</w:t>
      </w:r>
      <w:r w:rsidR="00D42FE2" w:rsidRPr="00381569">
        <w:rPr>
          <w:color w:val="auto"/>
          <w:szCs w:val="24"/>
        </w:rPr>
        <w:t xml:space="preserve">ervice disability rating.  </w:t>
      </w:r>
    </w:p>
    <w:p w:rsidR="00F1737C" w:rsidRPr="00381569" w:rsidRDefault="00F1737C" w:rsidP="00BF0E94">
      <w:pPr>
        <w:pBdr>
          <w:bottom w:val="single" w:sz="12" w:space="1" w:color="auto"/>
        </w:pBdr>
        <w:tabs>
          <w:tab w:val="left" w:pos="288"/>
          <w:tab w:val="left" w:pos="4752"/>
        </w:tabs>
        <w:jc w:val="both"/>
        <w:rPr>
          <w:color w:val="auto"/>
        </w:rPr>
      </w:pPr>
    </w:p>
    <w:p w:rsidR="00F1737C" w:rsidRPr="001F29F9" w:rsidRDefault="00F1737C" w:rsidP="006364ED">
      <w:pPr>
        <w:jc w:val="left"/>
        <w:rPr>
          <w:color w:val="000000" w:themeColor="text1"/>
          <w:szCs w:val="24"/>
        </w:rPr>
      </w:pPr>
    </w:p>
    <w:p w:rsidR="00DC69CD" w:rsidRDefault="00DC69CD">
      <w:pPr>
        <w:rPr>
          <w:color w:val="000000" w:themeColor="text1"/>
          <w:szCs w:val="24"/>
          <w:u w:val="single"/>
        </w:rPr>
      </w:pPr>
      <w:r>
        <w:rPr>
          <w:color w:val="000000" w:themeColor="text1"/>
          <w:szCs w:val="24"/>
          <w:u w:val="single"/>
        </w:rPr>
        <w:br w:type="page"/>
      </w:r>
    </w:p>
    <w:p w:rsidR="006B4AA2" w:rsidRPr="00CC100E" w:rsidRDefault="00C56FC8" w:rsidP="00A5282B">
      <w:pPr>
        <w:jc w:val="left"/>
        <w:rPr>
          <w:color w:val="auto"/>
        </w:rPr>
      </w:pPr>
      <w:r w:rsidRPr="001F29F9">
        <w:rPr>
          <w:color w:val="000000" w:themeColor="text1"/>
          <w:szCs w:val="24"/>
          <w:u w:val="single"/>
        </w:rPr>
        <w:lastRenderedPageBreak/>
        <w:t>RECOMMENDATION</w:t>
      </w:r>
      <w:r w:rsidRPr="001F29F9">
        <w:rPr>
          <w:color w:val="000000" w:themeColor="text1"/>
          <w:szCs w:val="24"/>
        </w:rPr>
        <w:t>:</w:t>
      </w:r>
      <w:r w:rsidR="00A5282B">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CC100E">
        <w:rPr>
          <w:color w:val="auto"/>
          <w:szCs w:val="24"/>
        </w:rPr>
        <w:t>recharacterization</w:t>
      </w:r>
      <w:proofErr w:type="spellEnd"/>
      <w:r w:rsidRPr="00CC100E">
        <w:rPr>
          <w:color w:val="auto"/>
          <w:szCs w:val="24"/>
        </w:rPr>
        <w:t xml:space="preserve"> of the CI’s disability and separation determination</w:t>
      </w:r>
      <w:r w:rsidR="008C3FD0" w:rsidRPr="00CC100E">
        <w:rPr>
          <w:color w:val="auto"/>
          <w:szCs w:val="24"/>
        </w:rPr>
        <w:t>,</w:t>
      </w:r>
      <w:r w:rsidR="00BD2A49" w:rsidRPr="00CC100E">
        <w:rPr>
          <w:color w:val="auto"/>
          <w:szCs w:val="24"/>
        </w:rPr>
        <w:t xml:space="preserve"> as follows:</w:t>
      </w:r>
      <w:r w:rsidR="003604A5" w:rsidRPr="00CC100E">
        <w:rPr>
          <w:color w:val="auto"/>
          <w:szCs w:val="24"/>
        </w:rPr>
        <w:t xml:space="preserve"> </w:t>
      </w:r>
      <w:r w:rsidR="00A5282B" w:rsidRPr="00CC100E">
        <w:rPr>
          <w:color w:val="auto"/>
          <w:szCs w:val="24"/>
        </w:rPr>
        <w:t xml:space="preserve"> </w:t>
      </w:r>
    </w:p>
    <w:p w:rsidR="001E3FE1" w:rsidRPr="00CC100E" w:rsidRDefault="001E3FE1" w:rsidP="00BF0E94">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5"/>
        <w:gridCol w:w="81"/>
        <w:gridCol w:w="1656"/>
        <w:gridCol w:w="1724"/>
        <w:gridCol w:w="1084"/>
      </w:tblGrid>
      <w:tr w:rsidR="004101B2" w:rsidRPr="00CC100E" w:rsidTr="00365712">
        <w:trPr>
          <w:trHeight w:val="206"/>
          <w:jc w:val="center"/>
        </w:trPr>
        <w:tc>
          <w:tcPr>
            <w:tcW w:w="6462" w:type="dxa"/>
            <w:gridSpan w:val="3"/>
            <w:tcBorders>
              <w:right w:val="single" w:sz="4" w:space="0" w:color="auto"/>
            </w:tcBorders>
            <w:shd w:val="clear" w:color="auto" w:fill="D9D9D9"/>
            <w:vAlign w:val="center"/>
          </w:tcPr>
          <w:p w:rsidR="004101B2" w:rsidRPr="00CC100E" w:rsidRDefault="004101B2" w:rsidP="00365712">
            <w:pPr>
              <w:tabs>
                <w:tab w:val="left" w:pos="288"/>
                <w:tab w:val="left" w:pos="4752"/>
              </w:tabs>
              <w:rPr>
                <w:b/>
                <w:color w:val="auto"/>
                <w:szCs w:val="24"/>
              </w:rPr>
            </w:pPr>
            <w:r w:rsidRPr="00CC100E">
              <w:rPr>
                <w:b/>
                <w:color w:val="auto"/>
                <w:szCs w:val="24"/>
              </w:rPr>
              <w:t>UNFITTING CONDITION</w:t>
            </w:r>
          </w:p>
        </w:tc>
        <w:tc>
          <w:tcPr>
            <w:tcW w:w="1724" w:type="dxa"/>
            <w:tcBorders>
              <w:left w:val="single" w:sz="4" w:space="0" w:color="auto"/>
            </w:tcBorders>
            <w:shd w:val="clear" w:color="auto" w:fill="D9D9D9"/>
            <w:vAlign w:val="center"/>
          </w:tcPr>
          <w:p w:rsidR="004101B2" w:rsidRPr="00CC100E" w:rsidRDefault="004101B2" w:rsidP="00365712">
            <w:pPr>
              <w:tabs>
                <w:tab w:val="left" w:pos="288"/>
                <w:tab w:val="left" w:pos="4752"/>
              </w:tabs>
              <w:rPr>
                <w:b/>
                <w:color w:val="auto"/>
                <w:szCs w:val="24"/>
              </w:rPr>
            </w:pPr>
            <w:r w:rsidRPr="00CC100E">
              <w:rPr>
                <w:b/>
                <w:color w:val="auto"/>
                <w:szCs w:val="24"/>
              </w:rPr>
              <w:t>VASRD CODE</w:t>
            </w:r>
          </w:p>
        </w:tc>
        <w:tc>
          <w:tcPr>
            <w:tcW w:w="1084" w:type="dxa"/>
            <w:shd w:val="clear" w:color="auto" w:fill="D9D9D9"/>
            <w:vAlign w:val="center"/>
          </w:tcPr>
          <w:p w:rsidR="004101B2" w:rsidRPr="00CC100E" w:rsidRDefault="004101B2" w:rsidP="00365712">
            <w:pPr>
              <w:tabs>
                <w:tab w:val="left" w:pos="288"/>
                <w:tab w:val="left" w:pos="4752"/>
              </w:tabs>
              <w:rPr>
                <w:b/>
                <w:color w:val="auto"/>
                <w:szCs w:val="24"/>
              </w:rPr>
            </w:pPr>
            <w:r w:rsidRPr="00CC100E">
              <w:rPr>
                <w:b/>
                <w:color w:val="auto"/>
                <w:szCs w:val="24"/>
              </w:rPr>
              <w:t>RATING</w:t>
            </w:r>
          </w:p>
        </w:tc>
      </w:tr>
      <w:tr w:rsidR="00CF1364" w:rsidRPr="00CC100E" w:rsidTr="00CF1364">
        <w:trPr>
          <w:jc w:val="center"/>
        </w:trPr>
        <w:tc>
          <w:tcPr>
            <w:tcW w:w="4725" w:type="dxa"/>
            <w:vMerge w:val="restart"/>
            <w:tcBorders>
              <w:right w:val="single" w:sz="4" w:space="0" w:color="auto"/>
            </w:tcBorders>
            <w:vAlign w:val="center"/>
          </w:tcPr>
          <w:p w:rsidR="00CF1364" w:rsidRPr="00CC100E" w:rsidRDefault="00CF1364" w:rsidP="00365712">
            <w:pPr>
              <w:tabs>
                <w:tab w:val="left" w:pos="288"/>
                <w:tab w:val="left" w:pos="4752"/>
              </w:tabs>
              <w:jc w:val="left"/>
              <w:rPr>
                <w:color w:val="auto"/>
                <w:szCs w:val="24"/>
              </w:rPr>
            </w:pPr>
            <w:r w:rsidRPr="00CC100E">
              <w:rPr>
                <w:color w:val="auto"/>
                <w:szCs w:val="24"/>
              </w:rPr>
              <w:t xml:space="preserve">Bilateral </w:t>
            </w:r>
            <w:proofErr w:type="spellStart"/>
            <w:r w:rsidRPr="00CC100E">
              <w:rPr>
                <w:color w:val="auto"/>
                <w:szCs w:val="24"/>
              </w:rPr>
              <w:t>Patellofemoral</w:t>
            </w:r>
            <w:proofErr w:type="spellEnd"/>
            <w:r w:rsidRPr="00CC100E">
              <w:rPr>
                <w:color w:val="auto"/>
                <w:szCs w:val="24"/>
              </w:rPr>
              <w:t xml:space="preserve"> Pain Syndrome</w:t>
            </w:r>
          </w:p>
        </w:tc>
        <w:tc>
          <w:tcPr>
            <w:tcW w:w="1737" w:type="dxa"/>
            <w:gridSpan w:val="2"/>
            <w:tcBorders>
              <w:right w:val="single" w:sz="4" w:space="0" w:color="auto"/>
            </w:tcBorders>
            <w:vAlign w:val="center"/>
          </w:tcPr>
          <w:p w:rsidR="00CF1364" w:rsidRPr="00CC100E" w:rsidRDefault="00CF1364" w:rsidP="00365712">
            <w:pPr>
              <w:tabs>
                <w:tab w:val="left" w:pos="288"/>
                <w:tab w:val="left" w:pos="4752"/>
              </w:tabs>
              <w:jc w:val="left"/>
              <w:rPr>
                <w:color w:val="auto"/>
                <w:szCs w:val="24"/>
              </w:rPr>
            </w:pPr>
            <w:r w:rsidRPr="00CC100E">
              <w:rPr>
                <w:color w:val="auto"/>
                <w:szCs w:val="24"/>
              </w:rPr>
              <w:t>Left</w:t>
            </w:r>
          </w:p>
        </w:tc>
        <w:tc>
          <w:tcPr>
            <w:tcW w:w="1724" w:type="dxa"/>
            <w:tcBorders>
              <w:left w:val="single" w:sz="4" w:space="0" w:color="auto"/>
            </w:tcBorders>
            <w:vAlign w:val="center"/>
          </w:tcPr>
          <w:p w:rsidR="00CF1364" w:rsidRPr="00CC100E" w:rsidRDefault="00CF1364" w:rsidP="00365712">
            <w:pPr>
              <w:tabs>
                <w:tab w:val="left" w:pos="288"/>
                <w:tab w:val="left" w:pos="4752"/>
              </w:tabs>
              <w:rPr>
                <w:color w:val="auto"/>
                <w:szCs w:val="24"/>
              </w:rPr>
            </w:pPr>
            <w:r w:rsidRPr="00CC100E">
              <w:rPr>
                <w:color w:val="auto"/>
                <w:szCs w:val="24"/>
              </w:rPr>
              <w:t>5099-5003</w:t>
            </w:r>
          </w:p>
        </w:tc>
        <w:tc>
          <w:tcPr>
            <w:tcW w:w="1084" w:type="dxa"/>
            <w:vAlign w:val="center"/>
          </w:tcPr>
          <w:p w:rsidR="00CF1364" w:rsidRPr="00CC100E" w:rsidRDefault="00CF1364" w:rsidP="00CF1364">
            <w:pPr>
              <w:tabs>
                <w:tab w:val="left" w:pos="288"/>
                <w:tab w:val="left" w:pos="4752"/>
              </w:tabs>
              <w:rPr>
                <w:color w:val="auto"/>
                <w:szCs w:val="24"/>
              </w:rPr>
            </w:pPr>
            <w:r w:rsidRPr="00CC100E">
              <w:rPr>
                <w:color w:val="auto"/>
                <w:szCs w:val="24"/>
              </w:rPr>
              <w:t>10%</w:t>
            </w:r>
          </w:p>
        </w:tc>
      </w:tr>
      <w:tr w:rsidR="00CF1364" w:rsidRPr="00CC100E" w:rsidTr="00CF1364">
        <w:trPr>
          <w:jc w:val="center"/>
        </w:trPr>
        <w:tc>
          <w:tcPr>
            <w:tcW w:w="4725" w:type="dxa"/>
            <w:vMerge/>
            <w:tcBorders>
              <w:right w:val="single" w:sz="4" w:space="0" w:color="auto"/>
            </w:tcBorders>
            <w:vAlign w:val="center"/>
          </w:tcPr>
          <w:p w:rsidR="00CF1364" w:rsidRPr="00CC100E" w:rsidRDefault="00CF1364" w:rsidP="00365712">
            <w:pPr>
              <w:tabs>
                <w:tab w:val="left" w:pos="288"/>
                <w:tab w:val="left" w:pos="4752"/>
              </w:tabs>
              <w:jc w:val="left"/>
              <w:rPr>
                <w:color w:val="auto"/>
                <w:szCs w:val="24"/>
              </w:rPr>
            </w:pPr>
          </w:p>
        </w:tc>
        <w:tc>
          <w:tcPr>
            <w:tcW w:w="1737" w:type="dxa"/>
            <w:gridSpan w:val="2"/>
            <w:tcBorders>
              <w:right w:val="single" w:sz="4" w:space="0" w:color="auto"/>
            </w:tcBorders>
            <w:vAlign w:val="center"/>
          </w:tcPr>
          <w:p w:rsidR="00CF1364" w:rsidRPr="00CC100E" w:rsidRDefault="00CF1364" w:rsidP="00365712">
            <w:pPr>
              <w:tabs>
                <w:tab w:val="left" w:pos="288"/>
                <w:tab w:val="left" w:pos="4752"/>
              </w:tabs>
              <w:jc w:val="left"/>
              <w:rPr>
                <w:color w:val="auto"/>
                <w:szCs w:val="24"/>
              </w:rPr>
            </w:pPr>
            <w:r w:rsidRPr="00CC100E">
              <w:rPr>
                <w:color w:val="auto"/>
                <w:szCs w:val="24"/>
              </w:rPr>
              <w:t>Right</w:t>
            </w:r>
          </w:p>
        </w:tc>
        <w:tc>
          <w:tcPr>
            <w:tcW w:w="1724" w:type="dxa"/>
            <w:tcBorders>
              <w:left w:val="single" w:sz="4" w:space="0" w:color="auto"/>
            </w:tcBorders>
            <w:vAlign w:val="center"/>
          </w:tcPr>
          <w:p w:rsidR="00CF1364" w:rsidRPr="00CC100E" w:rsidRDefault="00CF1364" w:rsidP="002C4009">
            <w:pPr>
              <w:tabs>
                <w:tab w:val="left" w:pos="288"/>
                <w:tab w:val="left" w:pos="4752"/>
              </w:tabs>
              <w:rPr>
                <w:color w:val="auto"/>
                <w:szCs w:val="24"/>
              </w:rPr>
            </w:pPr>
            <w:r w:rsidRPr="00CC100E">
              <w:rPr>
                <w:color w:val="auto"/>
                <w:szCs w:val="24"/>
              </w:rPr>
              <w:t>5099-5003</w:t>
            </w:r>
          </w:p>
        </w:tc>
        <w:tc>
          <w:tcPr>
            <w:tcW w:w="1084" w:type="dxa"/>
            <w:vAlign w:val="center"/>
          </w:tcPr>
          <w:p w:rsidR="00CF1364" w:rsidRPr="00CC100E" w:rsidRDefault="00CF1364" w:rsidP="002C4009">
            <w:pPr>
              <w:tabs>
                <w:tab w:val="left" w:pos="288"/>
                <w:tab w:val="left" w:pos="4752"/>
              </w:tabs>
              <w:rPr>
                <w:color w:val="auto"/>
                <w:szCs w:val="24"/>
              </w:rPr>
            </w:pPr>
            <w:r w:rsidRPr="00CC100E">
              <w:rPr>
                <w:color w:val="auto"/>
                <w:szCs w:val="24"/>
              </w:rPr>
              <w:t>10%</w:t>
            </w:r>
          </w:p>
        </w:tc>
      </w:tr>
      <w:tr w:rsidR="004101B2" w:rsidRPr="00CC100E" w:rsidTr="00365712">
        <w:tblPrEx>
          <w:tblLook w:val="0000"/>
        </w:tblPrEx>
        <w:trPr>
          <w:gridBefore w:val="2"/>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CC100E" w:rsidRDefault="004101B2" w:rsidP="00365712">
            <w:pPr>
              <w:tabs>
                <w:tab w:val="left" w:pos="288"/>
                <w:tab w:val="left" w:pos="4752"/>
              </w:tabs>
              <w:rPr>
                <w:b/>
                <w:color w:val="auto"/>
                <w:szCs w:val="24"/>
              </w:rPr>
            </w:pPr>
            <w:r w:rsidRPr="00CC100E">
              <w:rPr>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CC100E" w:rsidRDefault="00CF1364" w:rsidP="00365712">
            <w:pPr>
              <w:tabs>
                <w:tab w:val="left" w:pos="288"/>
                <w:tab w:val="left" w:pos="4752"/>
              </w:tabs>
              <w:rPr>
                <w:b/>
                <w:color w:val="auto"/>
                <w:szCs w:val="24"/>
              </w:rPr>
            </w:pPr>
            <w:r w:rsidRPr="00CC100E">
              <w:rPr>
                <w:b/>
                <w:color w:val="auto"/>
                <w:szCs w:val="24"/>
              </w:rPr>
              <w:t>2</w:t>
            </w:r>
            <w:r w:rsidR="00911490" w:rsidRPr="00CC100E">
              <w:rPr>
                <w:b/>
                <w:color w:val="auto"/>
                <w:szCs w:val="24"/>
              </w:rPr>
              <w:t>0</w:t>
            </w:r>
            <w:r w:rsidR="004101B2" w:rsidRPr="00CC100E">
              <w:rPr>
                <w:b/>
                <w:color w:val="auto"/>
                <w:szCs w:val="24"/>
              </w:rPr>
              <w:t>%</w:t>
            </w:r>
          </w:p>
        </w:tc>
      </w:tr>
    </w:tbl>
    <w:p w:rsidR="000E6EA7" w:rsidRPr="00381569" w:rsidRDefault="000E6EA7" w:rsidP="000E6EA7">
      <w:pPr>
        <w:pBdr>
          <w:bottom w:val="single" w:sz="12" w:space="1" w:color="auto"/>
        </w:pBdr>
        <w:tabs>
          <w:tab w:val="left" w:pos="288"/>
          <w:tab w:val="left" w:pos="4752"/>
        </w:tabs>
        <w:jc w:val="both"/>
        <w:rPr>
          <w:color w:val="auto"/>
        </w:rPr>
      </w:pPr>
    </w:p>
    <w:p w:rsidR="000E6EA7" w:rsidRPr="001F29F9" w:rsidRDefault="000E6EA7" w:rsidP="000E6EA7">
      <w:pPr>
        <w:jc w:val="left"/>
        <w:rPr>
          <w:color w:val="000000" w:themeColor="text1"/>
          <w:szCs w:val="24"/>
        </w:rPr>
      </w:pPr>
    </w:p>
    <w:p w:rsidR="00D91DA6" w:rsidRPr="001F29F9" w:rsidRDefault="00FB1725" w:rsidP="00365712">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365712">
      <w:pPr>
        <w:tabs>
          <w:tab w:val="left" w:pos="288"/>
          <w:tab w:val="left" w:pos="4752"/>
        </w:tabs>
        <w:jc w:val="both"/>
        <w:rPr>
          <w:color w:val="000000" w:themeColor="text1"/>
        </w:rPr>
      </w:pPr>
    </w:p>
    <w:p w:rsidR="00114F20" w:rsidRPr="001F29F9" w:rsidRDefault="00FB1725" w:rsidP="00365712">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817E5">
        <w:rPr>
          <w:color w:val="000000" w:themeColor="text1"/>
          <w:szCs w:val="24"/>
        </w:rPr>
        <w:t>11117</w:t>
      </w:r>
      <w:r w:rsidR="00AB772F">
        <w:rPr>
          <w:color w:val="000000" w:themeColor="text1"/>
        </w:rPr>
        <w:t>, w/</w:t>
      </w:r>
      <w:proofErr w:type="spellStart"/>
      <w:r w:rsidR="00AB772F">
        <w:rPr>
          <w:color w:val="000000" w:themeColor="text1"/>
        </w:rPr>
        <w:t>atchs</w:t>
      </w:r>
      <w:proofErr w:type="spellEnd"/>
    </w:p>
    <w:p w:rsidR="00114F20" w:rsidRPr="001F29F9" w:rsidRDefault="00FB1725" w:rsidP="00365712">
      <w:pPr>
        <w:tabs>
          <w:tab w:val="left" w:pos="288"/>
          <w:tab w:val="left" w:pos="4752"/>
        </w:tabs>
        <w:jc w:val="both"/>
        <w:rPr>
          <w:color w:val="000000" w:themeColor="text1"/>
        </w:rPr>
      </w:pPr>
      <w:r w:rsidRPr="001F29F9">
        <w:rPr>
          <w:color w:val="000000" w:themeColor="text1"/>
        </w:rPr>
        <w:t>Exhib</w:t>
      </w:r>
      <w:r w:rsidR="00AB772F">
        <w:rPr>
          <w:color w:val="000000" w:themeColor="text1"/>
        </w:rPr>
        <w:t>it B.  Service Treatment Record</w:t>
      </w:r>
    </w:p>
    <w:p w:rsidR="00114F20" w:rsidRPr="001F29F9" w:rsidRDefault="00FB1725" w:rsidP="00365712">
      <w:pPr>
        <w:tabs>
          <w:tab w:val="left" w:pos="288"/>
          <w:tab w:val="left" w:pos="4752"/>
        </w:tabs>
        <w:jc w:val="both"/>
        <w:rPr>
          <w:color w:val="000000" w:themeColor="text1"/>
        </w:rPr>
      </w:pPr>
      <w:r w:rsidRPr="001F29F9">
        <w:rPr>
          <w:color w:val="000000" w:themeColor="text1"/>
        </w:rPr>
        <w:t>Exhibit C.  Department of Ve</w:t>
      </w:r>
      <w:r w:rsidR="00AB772F">
        <w:rPr>
          <w:color w:val="000000" w:themeColor="text1"/>
        </w:rPr>
        <w:t>terans Affairs Treatment Record</w:t>
      </w:r>
    </w:p>
    <w:p w:rsidR="00D91DA6" w:rsidRPr="001F29F9" w:rsidRDefault="00D91DA6" w:rsidP="00365712">
      <w:pPr>
        <w:tabs>
          <w:tab w:val="left" w:pos="288"/>
          <w:tab w:val="left" w:pos="4752"/>
        </w:tabs>
        <w:jc w:val="both"/>
        <w:rPr>
          <w:color w:val="000000" w:themeColor="text1"/>
        </w:rPr>
      </w:pPr>
    </w:p>
    <w:p w:rsidR="00114F20" w:rsidRPr="001F29F9" w:rsidRDefault="00114F20" w:rsidP="00365712">
      <w:pPr>
        <w:tabs>
          <w:tab w:val="left" w:pos="288"/>
          <w:tab w:val="left" w:pos="4752"/>
        </w:tabs>
        <w:jc w:val="both"/>
        <w:rPr>
          <w:color w:val="000000" w:themeColor="text1"/>
        </w:rPr>
      </w:pPr>
    </w:p>
    <w:p w:rsidR="00114F20" w:rsidRPr="001F29F9" w:rsidRDefault="00114F20" w:rsidP="00365712">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C492E">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CC492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C492E" w:rsidRDefault="00CC492E">
      <w:pPr>
        <w:rPr>
          <w:color w:val="000000" w:themeColor="text1"/>
          <w:szCs w:val="24"/>
        </w:rPr>
      </w:pPr>
      <w:r>
        <w:rPr>
          <w:color w:val="000000" w:themeColor="text1"/>
          <w:szCs w:val="24"/>
        </w:rPr>
        <w:br w:type="page"/>
      </w:r>
    </w:p>
    <w:p w:rsidR="00CC492E" w:rsidRDefault="00CC492E" w:rsidP="00CC492E">
      <w:pPr>
        <w:sectPr w:rsidR="00CC492E">
          <w:pgSz w:w="12240" w:h="15840"/>
          <w:pgMar w:top="2160" w:right="1440" w:bottom="1440" w:left="1440" w:header="720" w:footer="720" w:gutter="0"/>
          <w:cols w:space="720"/>
        </w:sectPr>
      </w:pPr>
    </w:p>
    <w:p w:rsidR="00CC492E" w:rsidRDefault="00CC492E" w:rsidP="00CC492E">
      <w:pPr>
        <w:pStyle w:val="Header"/>
        <w:tabs>
          <w:tab w:val="left" w:pos="720"/>
        </w:tabs>
        <w:jc w:val="left"/>
      </w:pPr>
      <w:r>
        <w:lastRenderedPageBreak/>
        <w:t>SFMR-RB</w:t>
      </w:r>
      <w:r>
        <w:tab/>
      </w:r>
      <w:r>
        <w:tab/>
      </w:r>
      <w:r>
        <w:tab/>
      </w:r>
      <w:r>
        <w:tab/>
      </w:r>
      <w:r>
        <w:tab/>
      </w:r>
      <w:r>
        <w:tab/>
      </w:r>
      <w:r>
        <w:tab/>
      </w:r>
      <w:r>
        <w:tab/>
      </w:r>
      <w:r>
        <w:tab/>
      </w:r>
    </w:p>
    <w:p w:rsidR="00CC492E" w:rsidRDefault="00CC492E" w:rsidP="00CC492E">
      <w:pPr>
        <w:pStyle w:val="Header"/>
        <w:tabs>
          <w:tab w:val="left" w:pos="720"/>
        </w:tabs>
        <w:jc w:val="left"/>
      </w:pPr>
    </w:p>
    <w:p w:rsidR="00CC492E" w:rsidRDefault="00CC492E" w:rsidP="00CC492E">
      <w:pPr>
        <w:jc w:val="left"/>
      </w:pPr>
    </w:p>
    <w:p w:rsidR="00CC492E" w:rsidRDefault="00CC492E" w:rsidP="00CC492E">
      <w:pPr>
        <w:jc w:val="left"/>
      </w:pPr>
      <w:r>
        <w:t xml:space="preserve">MEMORANDUM FOR Commander, US Army Physical Disability Agency </w:t>
      </w:r>
    </w:p>
    <w:p w:rsidR="00CC492E" w:rsidRDefault="00CC492E" w:rsidP="00CC492E">
      <w:pPr>
        <w:jc w:val="left"/>
      </w:pPr>
      <w:r>
        <w:t>(TAPD-ZB /), 2900 Crystal Drive, Suite 300, Arlington, VA  22202</w:t>
      </w:r>
    </w:p>
    <w:p w:rsidR="00CC492E" w:rsidRDefault="00CC492E" w:rsidP="00CC492E">
      <w:pPr>
        <w:jc w:val="left"/>
      </w:pPr>
    </w:p>
    <w:p w:rsidR="00CC492E" w:rsidRDefault="00CC492E" w:rsidP="00CC492E">
      <w:pPr>
        <w:ind w:right="-180"/>
        <w:jc w:val="left"/>
      </w:pPr>
      <w:r>
        <w:t>SUBJECT:  Department of Defense Physical Disability Board of Review Recommendation for XXXXXXXXX, AR20120007682 (PD201101025)</w:t>
      </w:r>
    </w:p>
    <w:p w:rsidR="00CC492E" w:rsidRDefault="00CC492E" w:rsidP="00CC492E">
      <w:pPr>
        <w:pStyle w:val="Header"/>
        <w:tabs>
          <w:tab w:val="left" w:pos="720"/>
        </w:tabs>
        <w:jc w:val="left"/>
      </w:pPr>
    </w:p>
    <w:p w:rsidR="00CC492E" w:rsidRDefault="00CC492E" w:rsidP="00CC492E">
      <w:pPr>
        <w:jc w:val="left"/>
      </w:pPr>
    </w:p>
    <w:p w:rsidR="00CC492E" w:rsidRDefault="00CC492E" w:rsidP="00CC492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C492E" w:rsidRDefault="00CC492E" w:rsidP="00CC492E">
      <w:pPr>
        <w:jc w:val="left"/>
      </w:pPr>
      <w:r>
        <w:t>This decision is final.  The individual concerned, counsel (if any), and any Members of Congress who have shown interest in this application have been notified of this decision by mail.</w:t>
      </w:r>
    </w:p>
    <w:p w:rsidR="00CC492E" w:rsidRDefault="00CC492E" w:rsidP="00CC492E">
      <w:pPr>
        <w:jc w:val="left"/>
      </w:pPr>
    </w:p>
    <w:p w:rsidR="00CC492E" w:rsidRDefault="00CC492E" w:rsidP="00CC492E">
      <w:pPr>
        <w:jc w:val="left"/>
      </w:pPr>
      <w:r>
        <w:t xml:space="preserve"> BY ORDER OF THE SECRETARY OF THE ARMY:</w:t>
      </w:r>
    </w:p>
    <w:p w:rsidR="00CC492E" w:rsidRDefault="00CC492E" w:rsidP="00CC492E">
      <w:pPr>
        <w:jc w:val="left"/>
      </w:pPr>
    </w:p>
    <w:p w:rsidR="00CC492E" w:rsidRDefault="00CC492E" w:rsidP="00CC492E">
      <w:pPr>
        <w:jc w:val="left"/>
      </w:pPr>
    </w:p>
    <w:p w:rsidR="00CC492E" w:rsidRDefault="00CC492E" w:rsidP="00CC492E">
      <w:pPr>
        <w:pStyle w:val="Header"/>
        <w:tabs>
          <w:tab w:val="left" w:pos="720"/>
        </w:tabs>
        <w:jc w:val="left"/>
      </w:pPr>
    </w:p>
    <w:p w:rsidR="00CC492E" w:rsidRDefault="00CC492E" w:rsidP="00CC492E">
      <w:pPr>
        <w:jc w:val="left"/>
      </w:pPr>
    </w:p>
    <w:p w:rsidR="00CC492E" w:rsidRDefault="00CC492E" w:rsidP="00CC492E">
      <w:pPr>
        <w:jc w:val="left"/>
      </w:pPr>
      <w:bookmarkStart w:id="0" w:name="OLE_LINK4"/>
      <w:bookmarkStart w:id="1" w:name="OLE_LINK3"/>
      <w:r>
        <w:t>Encl</w:t>
      </w:r>
      <w:r>
        <w:tab/>
      </w:r>
      <w:r>
        <w:tab/>
      </w:r>
      <w:r>
        <w:tab/>
      </w:r>
      <w:r>
        <w:tab/>
      </w:r>
      <w:r>
        <w:tab/>
      </w:r>
      <w:r>
        <w:tab/>
        <w:t xml:space="preserve">     XXXXXXXXX</w:t>
      </w:r>
    </w:p>
    <w:p w:rsidR="00CC492E" w:rsidRDefault="00CC492E" w:rsidP="00CC492E">
      <w:pPr>
        <w:jc w:val="left"/>
      </w:pPr>
      <w:r>
        <w:tab/>
      </w:r>
      <w:r>
        <w:tab/>
      </w:r>
      <w:r>
        <w:tab/>
      </w:r>
      <w:r>
        <w:tab/>
      </w:r>
      <w:r>
        <w:tab/>
      </w:r>
      <w:r>
        <w:tab/>
        <w:t xml:space="preserve">     Deputy Assistant Secretary</w:t>
      </w:r>
    </w:p>
    <w:p w:rsidR="00CC492E" w:rsidRDefault="00CC492E" w:rsidP="00CC492E">
      <w:pPr>
        <w:jc w:val="left"/>
      </w:pPr>
      <w:r>
        <w:tab/>
      </w:r>
      <w:r>
        <w:tab/>
      </w:r>
      <w:r>
        <w:tab/>
      </w:r>
      <w:r>
        <w:tab/>
      </w:r>
      <w:r>
        <w:tab/>
      </w:r>
      <w:r>
        <w:tab/>
        <w:t xml:space="preserve">         (Army Review Boards)</w:t>
      </w:r>
      <w:bookmarkEnd w:id="0"/>
      <w:bookmarkEnd w:id="1"/>
    </w:p>
    <w:p w:rsidR="00CC492E" w:rsidRDefault="00CC492E" w:rsidP="00CC492E">
      <w:pPr>
        <w:jc w:val="left"/>
      </w:pPr>
    </w:p>
    <w:p w:rsidR="00CC492E" w:rsidRDefault="00CC492E" w:rsidP="00CC492E">
      <w:pPr>
        <w:jc w:val="left"/>
      </w:pPr>
      <w:r>
        <w:t xml:space="preserve">CF: </w:t>
      </w:r>
    </w:p>
    <w:p w:rsidR="00CC492E" w:rsidRDefault="00CC492E" w:rsidP="00CC492E">
      <w:pPr>
        <w:jc w:val="left"/>
      </w:pPr>
      <w:r>
        <w:t xml:space="preserve">(  ) </w:t>
      </w:r>
      <w:proofErr w:type="spellStart"/>
      <w:proofErr w:type="gramStart"/>
      <w:r>
        <w:t>DoD</w:t>
      </w:r>
      <w:proofErr w:type="spellEnd"/>
      <w:proofErr w:type="gramEnd"/>
      <w:r>
        <w:t xml:space="preserve"> PDBR</w:t>
      </w:r>
    </w:p>
    <w:p w:rsidR="00CC492E" w:rsidRDefault="00CC492E" w:rsidP="00CC492E">
      <w:pPr>
        <w:jc w:val="left"/>
      </w:pPr>
      <w:r>
        <w:t>(  ) DVA</w:t>
      </w:r>
    </w:p>
    <w:p w:rsidR="00CC492E" w:rsidRDefault="00CC492E" w:rsidP="00CC492E">
      <w:pPr>
        <w:jc w:val="left"/>
      </w:pPr>
    </w:p>
    <w:p w:rsidR="00E3077F" w:rsidRPr="00365712" w:rsidRDefault="00E3077F" w:rsidP="00CC492E">
      <w:pPr>
        <w:tabs>
          <w:tab w:val="left" w:pos="0"/>
          <w:tab w:val="left" w:pos="4320"/>
        </w:tabs>
        <w:jc w:val="left"/>
        <w:rPr>
          <w:color w:val="auto"/>
          <w:szCs w:val="24"/>
        </w:rPr>
      </w:pPr>
    </w:p>
    <w:sectPr w:rsidR="00E3077F" w:rsidRPr="0036571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F9" w:rsidRDefault="00623CF9">
      <w:r>
        <w:separator/>
      </w:r>
    </w:p>
  </w:endnote>
  <w:endnote w:type="continuationSeparator" w:id="0">
    <w:p w:rsidR="00623CF9" w:rsidRDefault="00623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C4009" w:rsidRPr="00374247" w:rsidRDefault="002C4009" w:rsidP="00374247">
        <w:pPr>
          <w:pStyle w:val="Footer"/>
          <w:ind w:firstLine="4320"/>
          <w:rPr>
            <w:color w:val="auto"/>
            <w:szCs w:val="24"/>
          </w:rPr>
        </w:pPr>
        <w:r w:rsidRPr="00374247">
          <w:rPr>
            <w:color w:val="auto"/>
            <w:szCs w:val="24"/>
          </w:rPr>
          <w:t xml:space="preserve">   </w:t>
        </w:r>
        <w:r w:rsidR="001D689A" w:rsidRPr="00374247">
          <w:rPr>
            <w:color w:val="auto"/>
            <w:szCs w:val="24"/>
          </w:rPr>
          <w:fldChar w:fldCharType="begin"/>
        </w:r>
        <w:r w:rsidRPr="00374247">
          <w:rPr>
            <w:color w:val="auto"/>
            <w:szCs w:val="24"/>
          </w:rPr>
          <w:instrText xml:space="preserve"> PAGE   \* MERGEFORMAT </w:instrText>
        </w:r>
        <w:r w:rsidR="001D689A" w:rsidRPr="00374247">
          <w:rPr>
            <w:color w:val="auto"/>
            <w:szCs w:val="24"/>
          </w:rPr>
          <w:fldChar w:fldCharType="separate"/>
        </w:r>
        <w:r w:rsidR="00CC492E" w:rsidRPr="00CC492E">
          <w:rPr>
            <w:noProof/>
            <w:color w:val="auto"/>
          </w:rPr>
          <w:t>5</w:t>
        </w:r>
        <w:r w:rsidR="001D689A" w:rsidRPr="00374247">
          <w:rPr>
            <w:color w:val="auto"/>
            <w:szCs w:val="24"/>
          </w:rPr>
          <w:fldChar w:fldCharType="end"/>
        </w:r>
        <w:r w:rsidRPr="00374247">
          <w:rPr>
            <w:color w:val="auto"/>
            <w:szCs w:val="24"/>
          </w:rPr>
          <w:t xml:space="preserve">                                                           </w:t>
        </w:r>
        <w:r w:rsidRPr="001D64F3">
          <w:rPr>
            <w:color w:val="auto"/>
            <w:szCs w:val="24"/>
          </w:rPr>
          <w:t>PD</w:t>
        </w:r>
        <w:r w:rsidRPr="009817E5">
          <w:rPr>
            <w:color w:val="auto"/>
            <w:szCs w:val="24"/>
          </w:rPr>
          <w:t>110</w:t>
        </w:r>
        <w:r>
          <w:rPr>
            <w:color w:val="auto"/>
            <w:szCs w:val="24"/>
          </w:rPr>
          <w:t>1025</w:t>
        </w:r>
      </w:p>
    </w:sdtContent>
  </w:sdt>
  <w:p w:rsidR="002C4009" w:rsidRPr="00684CE6" w:rsidRDefault="002C400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F9" w:rsidRDefault="00623CF9">
      <w:r>
        <w:separator/>
      </w:r>
    </w:p>
  </w:footnote>
  <w:footnote w:type="continuationSeparator" w:id="0">
    <w:p w:rsidR="00623CF9" w:rsidRDefault="00623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1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5C5E"/>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EA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A2E"/>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508"/>
    <w:rsid w:val="00182A4C"/>
    <w:rsid w:val="00183F77"/>
    <w:rsid w:val="00183FB3"/>
    <w:rsid w:val="001844D8"/>
    <w:rsid w:val="00185DA8"/>
    <w:rsid w:val="00185ECB"/>
    <w:rsid w:val="001865E0"/>
    <w:rsid w:val="001870F0"/>
    <w:rsid w:val="00190E48"/>
    <w:rsid w:val="0019114B"/>
    <w:rsid w:val="0019273F"/>
    <w:rsid w:val="00193755"/>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9A"/>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400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C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12"/>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569"/>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4F95"/>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CC"/>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47B"/>
    <w:rsid w:val="00426A23"/>
    <w:rsid w:val="00427C7F"/>
    <w:rsid w:val="00427F54"/>
    <w:rsid w:val="004316FD"/>
    <w:rsid w:val="00433F36"/>
    <w:rsid w:val="00434860"/>
    <w:rsid w:val="00434BBD"/>
    <w:rsid w:val="0043503A"/>
    <w:rsid w:val="00436165"/>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0F8"/>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7AA"/>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0C5"/>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B3"/>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318"/>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CF9"/>
    <w:rsid w:val="00624D0C"/>
    <w:rsid w:val="00626A0F"/>
    <w:rsid w:val="006274B4"/>
    <w:rsid w:val="006307BA"/>
    <w:rsid w:val="006315BA"/>
    <w:rsid w:val="00632261"/>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687"/>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4B8"/>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5CD7"/>
    <w:rsid w:val="00766C87"/>
    <w:rsid w:val="00771043"/>
    <w:rsid w:val="0077272B"/>
    <w:rsid w:val="00773AF7"/>
    <w:rsid w:val="00774FFD"/>
    <w:rsid w:val="00780378"/>
    <w:rsid w:val="0078085E"/>
    <w:rsid w:val="00781BD4"/>
    <w:rsid w:val="00782562"/>
    <w:rsid w:val="007828B4"/>
    <w:rsid w:val="00783BC2"/>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DAE"/>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9D9"/>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180"/>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DA1"/>
    <w:rsid w:val="00882CC2"/>
    <w:rsid w:val="00883103"/>
    <w:rsid w:val="0088325A"/>
    <w:rsid w:val="00883930"/>
    <w:rsid w:val="00884535"/>
    <w:rsid w:val="00884AF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6A9"/>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1E9C"/>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3D81"/>
    <w:rsid w:val="00974647"/>
    <w:rsid w:val="0097514A"/>
    <w:rsid w:val="009759C2"/>
    <w:rsid w:val="00975C72"/>
    <w:rsid w:val="00976869"/>
    <w:rsid w:val="00977740"/>
    <w:rsid w:val="00977CB4"/>
    <w:rsid w:val="009809B8"/>
    <w:rsid w:val="00981086"/>
    <w:rsid w:val="009817E5"/>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DA1"/>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282B"/>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281"/>
    <w:rsid w:val="00AA5EDA"/>
    <w:rsid w:val="00AA73AF"/>
    <w:rsid w:val="00AB062D"/>
    <w:rsid w:val="00AB0A8A"/>
    <w:rsid w:val="00AB1754"/>
    <w:rsid w:val="00AB1F8D"/>
    <w:rsid w:val="00AB27DD"/>
    <w:rsid w:val="00AB4BA4"/>
    <w:rsid w:val="00AB592E"/>
    <w:rsid w:val="00AB772F"/>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20F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3C94"/>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3D8"/>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4E84"/>
    <w:rsid w:val="00CB5801"/>
    <w:rsid w:val="00CB758D"/>
    <w:rsid w:val="00CB7A3E"/>
    <w:rsid w:val="00CB7FF7"/>
    <w:rsid w:val="00CC0D0E"/>
    <w:rsid w:val="00CC100E"/>
    <w:rsid w:val="00CC1253"/>
    <w:rsid w:val="00CC19B3"/>
    <w:rsid w:val="00CC2044"/>
    <w:rsid w:val="00CC39D2"/>
    <w:rsid w:val="00CC492E"/>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364"/>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2FE2"/>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F6F"/>
    <w:rsid w:val="00D9706F"/>
    <w:rsid w:val="00D972D4"/>
    <w:rsid w:val="00DA0FE3"/>
    <w:rsid w:val="00DA195B"/>
    <w:rsid w:val="00DA27F3"/>
    <w:rsid w:val="00DA2D1E"/>
    <w:rsid w:val="00DA3EC8"/>
    <w:rsid w:val="00DA40C1"/>
    <w:rsid w:val="00DA4C3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9CD"/>
    <w:rsid w:val="00DD0D1E"/>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CB9"/>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37F1"/>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2C9D"/>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8C5"/>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Title">
    <w:name w:val="Title"/>
    <w:basedOn w:val="Normal"/>
    <w:link w:val="TitleChar"/>
    <w:qFormat/>
    <w:rsid w:val="00A5282B"/>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A5282B"/>
    <w:rPr>
      <w:rFonts w:ascii="Verdana" w:hAnsi="Verdana" w:cs="Times New Roman"/>
      <w:b/>
      <w:bCs/>
      <w:color w:val="800000"/>
      <w:szCs w:val="24"/>
    </w:rPr>
  </w:style>
  <w:style w:type="character" w:customStyle="1" w:styleId="HeaderChar">
    <w:name w:val="Header Char"/>
    <w:basedOn w:val="DefaultParagraphFont"/>
    <w:link w:val="Header"/>
    <w:uiPriority w:val="99"/>
    <w:rsid w:val="00CC492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30156828">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C0A4-A47F-4BB7-8B26-747FA6A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2012-05-16T15:18:00Z</dcterms:created>
  <dcterms:modified xsi:type="dcterms:W3CDTF">2012-05-16T15:18:00Z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