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5E474F" w:rsidRPr="00F64312" w:rsidRDefault="005E474F" w:rsidP="005E474F">
      <w:pPr>
        <w:tabs>
          <w:tab w:val="right" w:pos="9360"/>
        </w:tabs>
        <w:jc w:val="both"/>
        <w:rPr>
          <w:caps/>
          <w:color w:val="auto"/>
        </w:rPr>
      </w:pPr>
      <w:r w:rsidRPr="00F64312">
        <w:rPr>
          <w:caps/>
          <w:color w:val="auto"/>
        </w:rPr>
        <w:t xml:space="preserve">NAME:  </w:t>
      </w:r>
      <w:r w:rsidR="00E95571">
        <w:rPr>
          <w:caps/>
          <w:color w:val="auto"/>
        </w:rPr>
        <w:t>XXXXXXXXXXXX</w:t>
      </w:r>
      <w:r>
        <w:rPr>
          <w:caps/>
          <w:color w:val="auto"/>
        </w:rPr>
        <w:t xml:space="preserve">                                                                    </w:t>
      </w:r>
      <w:r w:rsidRPr="00F64312">
        <w:rPr>
          <w:caps/>
          <w:color w:val="auto"/>
        </w:rPr>
        <w:t>BRANCH OF SERVICE</w:t>
      </w:r>
      <w:r w:rsidRPr="00C71E97">
        <w:rPr>
          <w:caps/>
          <w:color w:val="auto"/>
        </w:rPr>
        <w:t xml:space="preserve">:   Army </w:t>
      </w:r>
    </w:p>
    <w:p w:rsidR="0095270D" w:rsidRDefault="005E474F" w:rsidP="005E474F">
      <w:pPr>
        <w:tabs>
          <w:tab w:val="left" w:pos="288"/>
          <w:tab w:val="left" w:pos="5130"/>
        </w:tabs>
        <w:jc w:val="both"/>
        <w:rPr>
          <w:color w:val="000000" w:themeColor="text1"/>
        </w:rPr>
      </w:pPr>
      <w:r w:rsidRPr="00F64312">
        <w:rPr>
          <w:caps/>
          <w:color w:val="auto"/>
        </w:rPr>
        <w:t>CASE NUMBER</w:t>
      </w:r>
      <w:r w:rsidRPr="00C71E97">
        <w:rPr>
          <w:caps/>
          <w:color w:val="auto"/>
        </w:rPr>
        <w:t>:  PD1101022</w:t>
      </w:r>
      <w:r w:rsidR="0095270D" w:rsidRPr="001F29F9">
        <w:rPr>
          <w:color w:val="000000" w:themeColor="text1"/>
        </w:rPr>
        <w:t xml:space="preserve">                           </w:t>
      </w:r>
      <w:r w:rsidR="0095270D">
        <w:rPr>
          <w:color w:val="000000" w:themeColor="text1"/>
        </w:rPr>
        <w:tab/>
      </w:r>
      <w:r w:rsidR="0095270D">
        <w:rPr>
          <w:color w:val="000000" w:themeColor="text1"/>
        </w:rPr>
        <w:tab/>
        <w:t xml:space="preserve">          </w:t>
      </w:r>
      <w:r w:rsidR="0095270D" w:rsidRPr="001F29F9">
        <w:rPr>
          <w:color w:val="000000" w:themeColor="text1"/>
        </w:rPr>
        <w:t xml:space="preserve"> SEPARATION DATE:  </w:t>
      </w:r>
      <w:r w:rsidRPr="00F64312">
        <w:rPr>
          <w:color w:val="auto"/>
        </w:rPr>
        <w:t>200</w:t>
      </w:r>
      <w:r>
        <w:rPr>
          <w:color w:val="auto"/>
        </w:rPr>
        <w:t>60312</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307589">
        <w:rPr>
          <w:caps/>
          <w:color w:val="000000"/>
        </w:rPr>
        <w:t>0926</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Pr="000B784E" w:rsidRDefault="00AD2379" w:rsidP="000B784E">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w:t>
      </w:r>
      <w:r w:rsidR="005E474F" w:rsidRPr="00C71E97">
        <w:rPr>
          <w:color w:val="auto"/>
        </w:rPr>
        <w:t xml:space="preserve">active duty SGT/E-5 </w:t>
      </w:r>
      <w:r w:rsidR="005E474F" w:rsidRPr="00FD207A">
        <w:rPr>
          <w:color w:val="auto"/>
        </w:rPr>
        <w:t>(15J, Aviation Safety NCO)</w:t>
      </w:r>
      <w:r w:rsidR="00A70270">
        <w:rPr>
          <w:color w:val="000000"/>
        </w:rPr>
        <w:t xml:space="preserve"> </w:t>
      </w:r>
      <w:r w:rsidRPr="001F29F9">
        <w:rPr>
          <w:color w:val="000000"/>
        </w:rPr>
        <w:t xml:space="preserve">medically separated for </w:t>
      </w:r>
      <w:r w:rsidR="005E474F">
        <w:rPr>
          <w:color w:val="000000"/>
        </w:rPr>
        <w:t xml:space="preserve">right </w:t>
      </w:r>
      <w:r w:rsidR="00CA39D6">
        <w:rPr>
          <w:color w:val="000000"/>
        </w:rPr>
        <w:t xml:space="preserve">(dominant) </w:t>
      </w:r>
      <w:r w:rsidR="005E474F">
        <w:rPr>
          <w:color w:val="000000"/>
        </w:rPr>
        <w:t>wrist and lumbar spine</w:t>
      </w:r>
      <w:r w:rsidRPr="001F29F9">
        <w:rPr>
          <w:color w:val="000000"/>
        </w:rPr>
        <w:t xml:space="preserve"> </w:t>
      </w:r>
      <w:r w:rsidR="00261B7E">
        <w:rPr>
          <w:color w:val="000000"/>
        </w:rPr>
        <w:t>condition</w:t>
      </w:r>
      <w:r w:rsidR="005E474F">
        <w:rPr>
          <w:color w:val="000000"/>
        </w:rPr>
        <w:t>s</w:t>
      </w:r>
      <w:r w:rsidRPr="001F29F9">
        <w:rPr>
          <w:color w:val="000000"/>
        </w:rPr>
        <w:t>.</w:t>
      </w:r>
      <w:r w:rsidR="0011462F">
        <w:rPr>
          <w:color w:val="000000"/>
        </w:rPr>
        <w:t xml:space="preserve"> </w:t>
      </w:r>
      <w:r w:rsidR="008B3A0D">
        <w:rPr>
          <w:color w:val="000000"/>
        </w:rPr>
        <w:t xml:space="preserve"> </w:t>
      </w:r>
      <w:r w:rsidR="004C3180">
        <w:rPr>
          <w:color w:val="000000"/>
        </w:rPr>
        <w:t xml:space="preserve">He fractured </w:t>
      </w:r>
      <w:r w:rsidR="006B2B56">
        <w:rPr>
          <w:color w:val="000000"/>
        </w:rPr>
        <w:t>his</w:t>
      </w:r>
      <w:r w:rsidR="00CA39D6">
        <w:rPr>
          <w:color w:val="000000"/>
        </w:rPr>
        <w:t xml:space="preserve"> </w:t>
      </w:r>
      <w:r w:rsidR="004C3180">
        <w:rPr>
          <w:color w:val="000000"/>
        </w:rPr>
        <w:t xml:space="preserve">wrist </w:t>
      </w:r>
      <w:r w:rsidR="006B2B56">
        <w:rPr>
          <w:color w:val="000000"/>
        </w:rPr>
        <w:t xml:space="preserve">from a </w:t>
      </w:r>
      <w:r w:rsidR="004C3180">
        <w:rPr>
          <w:color w:val="000000"/>
        </w:rPr>
        <w:t>f</w:t>
      </w:r>
      <w:r w:rsidR="006B2B56">
        <w:rPr>
          <w:color w:val="000000"/>
        </w:rPr>
        <w:t xml:space="preserve">all </w:t>
      </w:r>
      <w:r w:rsidR="00307589">
        <w:rPr>
          <w:color w:val="000000"/>
        </w:rPr>
        <w:t>2000; ultimately requiring a</w:t>
      </w:r>
      <w:r w:rsidR="004C3180">
        <w:rPr>
          <w:color w:val="000000"/>
        </w:rPr>
        <w:t xml:space="preserve"> surgical fusion</w:t>
      </w:r>
      <w:r w:rsidR="00F74C41">
        <w:rPr>
          <w:color w:val="000000"/>
        </w:rPr>
        <w:t>, followed by surgical revision</w:t>
      </w:r>
      <w:r w:rsidR="00CA39D6">
        <w:rPr>
          <w:color w:val="000000"/>
        </w:rPr>
        <w:t>; and, was left with persistent pain and limitation of motion</w:t>
      </w:r>
      <w:r w:rsidR="004C3180">
        <w:rPr>
          <w:color w:val="000000"/>
        </w:rPr>
        <w:t xml:space="preserve">.  </w:t>
      </w:r>
      <w:r w:rsidR="00CA39D6">
        <w:rPr>
          <w:color w:val="000000"/>
        </w:rPr>
        <w:t>He experienced an atraumatic onset of back pain in 2003; which was ultimately diagnosed as disc disease (non-surgical); and, which responded poorly to conservative interventions.</w:t>
      </w:r>
      <w:r w:rsidRPr="001F29F9">
        <w:rPr>
          <w:color w:val="000000"/>
        </w:rPr>
        <w:t xml:space="preserve"> </w:t>
      </w:r>
      <w:r w:rsidR="00CA39D6">
        <w:rPr>
          <w:color w:val="000000"/>
        </w:rPr>
        <w:t xml:space="preserve"> </w:t>
      </w:r>
      <w:r w:rsidR="005E474F" w:rsidRPr="00B7213F">
        <w:rPr>
          <w:color w:val="000000"/>
          <w:szCs w:val="24"/>
        </w:rPr>
        <w:t xml:space="preserve">Neither condition could be adequately rehabilitated to meet the physical requirements of his Military Occupational Specialty (MOS) or satisfy physical fitness standards.  He was consequently issued a permanent </w:t>
      </w:r>
      <w:r w:rsidR="005E474F">
        <w:rPr>
          <w:color w:val="000000"/>
          <w:szCs w:val="24"/>
        </w:rPr>
        <w:t>U3/</w:t>
      </w:r>
      <w:r w:rsidR="005E474F" w:rsidRPr="00B7213F">
        <w:rPr>
          <w:color w:val="000000"/>
          <w:szCs w:val="24"/>
        </w:rPr>
        <w:t xml:space="preserve">L3 profile and referred for a Medical Evaluation Board (MEB).  The </w:t>
      </w:r>
      <w:r w:rsidR="000B784E" w:rsidRPr="00B7213F">
        <w:rPr>
          <w:color w:val="000000"/>
          <w:szCs w:val="24"/>
        </w:rPr>
        <w:t xml:space="preserve">right </w:t>
      </w:r>
      <w:r w:rsidR="000B784E">
        <w:rPr>
          <w:color w:val="000000"/>
          <w:szCs w:val="24"/>
        </w:rPr>
        <w:t>wrist</w:t>
      </w:r>
      <w:r w:rsidR="000B784E" w:rsidRPr="00B7213F">
        <w:rPr>
          <w:color w:val="000000"/>
          <w:szCs w:val="24"/>
        </w:rPr>
        <w:t xml:space="preserve"> and </w:t>
      </w:r>
      <w:r w:rsidR="005E474F" w:rsidRPr="00B7213F">
        <w:rPr>
          <w:color w:val="000000"/>
          <w:szCs w:val="24"/>
        </w:rPr>
        <w:t xml:space="preserve">lumbar spine conditions were forwarded to the Physical Evaluation Board (PEB) as medically unacceptable IAW AR 40-501.  </w:t>
      </w:r>
      <w:r w:rsidR="000B784E">
        <w:rPr>
          <w:color w:val="000000"/>
          <w:szCs w:val="24"/>
        </w:rPr>
        <w:t>Five</w:t>
      </w:r>
      <w:r w:rsidR="000B784E" w:rsidRPr="00844DA7">
        <w:rPr>
          <w:color w:val="000000"/>
          <w:szCs w:val="24"/>
        </w:rPr>
        <w:t xml:space="preserve"> other conditions (as identified in the rating chart below) were </w:t>
      </w:r>
      <w:r w:rsidR="00307589">
        <w:rPr>
          <w:color w:val="000000"/>
          <w:szCs w:val="24"/>
        </w:rPr>
        <w:t>identified</w:t>
      </w:r>
      <w:r w:rsidR="000B784E" w:rsidRPr="00844DA7">
        <w:rPr>
          <w:color w:val="000000"/>
          <w:szCs w:val="24"/>
        </w:rPr>
        <w:t xml:space="preserve"> by the MEB, and forwarded </w:t>
      </w:r>
      <w:r w:rsidR="000B784E">
        <w:rPr>
          <w:color w:val="000000"/>
          <w:szCs w:val="24"/>
        </w:rPr>
        <w:t>as meeting retention standards.</w:t>
      </w:r>
      <w:r w:rsidR="000B784E" w:rsidRPr="00844DA7">
        <w:rPr>
          <w:color w:val="000000"/>
          <w:szCs w:val="24"/>
        </w:rPr>
        <w:t xml:space="preserve">  </w:t>
      </w:r>
      <w:r w:rsidR="006B2B56">
        <w:rPr>
          <w:color w:val="000000"/>
          <w:szCs w:val="24"/>
        </w:rPr>
        <w:t xml:space="preserve">The </w:t>
      </w:r>
      <w:r w:rsidR="005E474F" w:rsidRPr="00B7213F">
        <w:rPr>
          <w:color w:val="000000"/>
          <w:szCs w:val="24"/>
        </w:rPr>
        <w:t xml:space="preserve">PEB adjudicated the </w:t>
      </w:r>
      <w:r w:rsidR="000B784E" w:rsidRPr="00B7213F">
        <w:rPr>
          <w:color w:val="000000"/>
          <w:szCs w:val="24"/>
        </w:rPr>
        <w:t xml:space="preserve">right </w:t>
      </w:r>
      <w:r w:rsidR="000B784E">
        <w:rPr>
          <w:color w:val="000000"/>
          <w:szCs w:val="24"/>
        </w:rPr>
        <w:t>wrist</w:t>
      </w:r>
      <w:r w:rsidR="000B784E" w:rsidRPr="00B7213F">
        <w:rPr>
          <w:color w:val="000000"/>
          <w:szCs w:val="24"/>
        </w:rPr>
        <w:t xml:space="preserve"> and lumbar spine </w:t>
      </w:r>
      <w:r w:rsidR="005E474F" w:rsidRPr="00B7213F">
        <w:rPr>
          <w:color w:val="000000"/>
          <w:szCs w:val="24"/>
        </w:rPr>
        <w:t>conditio</w:t>
      </w:r>
      <w:r w:rsidR="00390C2E">
        <w:rPr>
          <w:color w:val="000000"/>
          <w:szCs w:val="24"/>
        </w:rPr>
        <w:t>ns as</w:t>
      </w:r>
      <w:r w:rsidR="006B2B56">
        <w:rPr>
          <w:color w:val="000000"/>
          <w:szCs w:val="24"/>
        </w:rPr>
        <w:t xml:space="preserve"> unfitting, rated 10% each; </w:t>
      </w:r>
      <w:r w:rsidR="005E474F" w:rsidRPr="00B7213F">
        <w:rPr>
          <w:color w:val="000000"/>
          <w:szCs w:val="24"/>
        </w:rPr>
        <w:t xml:space="preserve">citing criteria of the Veterans Administration Schedule for Rating Disabilities (VASRD) for </w:t>
      </w:r>
      <w:r w:rsidR="00390C2E">
        <w:rPr>
          <w:color w:val="000000"/>
          <w:szCs w:val="24"/>
        </w:rPr>
        <w:t>both conditions</w:t>
      </w:r>
      <w:r w:rsidR="005E474F" w:rsidRPr="000B784E">
        <w:rPr>
          <w:color w:val="000000"/>
          <w:szCs w:val="24"/>
        </w:rPr>
        <w:t xml:space="preserve">.  </w:t>
      </w:r>
      <w:r w:rsidR="000B784E" w:rsidRPr="000B784E">
        <w:rPr>
          <w:color w:val="000000"/>
        </w:rPr>
        <w:t xml:space="preserve">The remaining conditions were determined to be not unfitting.  </w:t>
      </w:r>
      <w:r w:rsidR="005E474F" w:rsidRPr="000B784E">
        <w:rPr>
          <w:color w:val="000000"/>
          <w:szCs w:val="24"/>
        </w:rPr>
        <w:t>The CI made no appeals, and was medically</w:t>
      </w:r>
      <w:r w:rsidR="006B2B56">
        <w:rPr>
          <w:color w:val="000000"/>
          <w:szCs w:val="24"/>
        </w:rPr>
        <w:t xml:space="preserve"> separated with a 20% combined </w:t>
      </w:r>
      <w:r w:rsidR="005E474F" w:rsidRPr="00B7213F">
        <w:rPr>
          <w:color w:val="000000"/>
          <w:szCs w:val="24"/>
        </w:rPr>
        <w:t>disability rating.</w:t>
      </w:r>
      <w:r w:rsidR="00882942">
        <w:rPr>
          <w:color w:val="000000"/>
          <w:szCs w:val="24"/>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6B5819" w:rsidRDefault="00AD2379" w:rsidP="00BF0E94">
      <w:pPr>
        <w:tabs>
          <w:tab w:val="left" w:pos="288"/>
          <w:tab w:val="left" w:pos="4752"/>
        </w:tabs>
        <w:jc w:val="both"/>
        <w:rPr>
          <w:color w:val="000000"/>
        </w:rPr>
      </w:pPr>
      <w:r w:rsidRPr="001F29F9">
        <w:rPr>
          <w:color w:val="000000"/>
          <w:u w:val="single"/>
        </w:rPr>
        <w:t>CI CONTENTION</w:t>
      </w:r>
      <w:r w:rsidRPr="001F29F9">
        <w:rPr>
          <w:color w:val="000000"/>
        </w:rPr>
        <w:t>:</w:t>
      </w:r>
      <w:r w:rsidRPr="00726F84">
        <w:rPr>
          <w:color w:val="000000"/>
        </w:rPr>
        <w:t xml:space="preserve"> </w:t>
      </w:r>
      <w:r w:rsidR="006B5819">
        <w:rPr>
          <w:color w:val="000000"/>
        </w:rPr>
        <w:t xml:space="preserve"> The application states in part</w:t>
      </w:r>
      <w:r w:rsidR="00307589">
        <w:rPr>
          <w:color w:val="000000"/>
        </w:rPr>
        <w:t xml:space="preserve"> (r</w:t>
      </w:r>
      <w:r w:rsidR="00743CEA">
        <w:rPr>
          <w:color w:val="000000"/>
        </w:rPr>
        <w:t>edacted for brevity, with preservation of content relevant to the Bo</w:t>
      </w:r>
      <w:r w:rsidR="00307589">
        <w:rPr>
          <w:color w:val="000000"/>
        </w:rPr>
        <w:t>ard’s scope and recommendations</w:t>
      </w:r>
      <w:r w:rsidR="00743CEA">
        <w:rPr>
          <w:color w:val="000000"/>
        </w:rPr>
        <w:t>)</w:t>
      </w:r>
      <w:r w:rsidR="006B5819">
        <w:rPr>
          <w:color w:val="000000"/>
        </w:rPr>
        <w:t xml:space="preserve">, </w:t>
      </w:r>
      <w:r w:rsidR="00773C45">
        <w:rPr>
          <w:color w:val="000000"/>
        </w:rPr>
        <w:t>“</w:t>
      </w:r>
      <w:r w:rsidR="00F61E77" w:rsidRPr="00CD0CC0">
        <w:rPr>
          <w:rFonts w:cs="Arial"/>
          <w:color w:val="auto"/>
          <w:szCs w:val="24"/>
        </w:rPr>
        <w:t xml:space="preserve">Was not allowed to </w:t>
      </w:r>
      <w:r w:rsidR="00F61E77" w:rsidRPr="00CD0CC0">
        <w:rPr>
          <w:rFonts w:cs="Times New Roman"/>
          <w:color w:val="auto"/>
          <w:szCs w:val="24"/>
        </w:rPr>
        <w:t xml:space="preserve">go </w:t>
      </w:r>
      <w:r w:rsidR="00F61E77" w:rsidRPr="00CD0CC0">
        <w:rPr>
          <w:rFonts w:cs="Arial"/>
          <w:color w:val="auto"/>
          <w:szCs w:val="24"/>
        </w:rPr>
        <w:t>into Medical Hold while receiving trea</w:t>
      </w:r>
      <w:r w:rsidR="00F61E77">
        <w:rPr>
          <w:rFonts w:cs="Arial"/>
          <w:color w:val="auto"/>
          <w:szCs w:val="24"/>
        </w:rPr>
        <w:t>t</w:t>
      </w:r>
      <w:r w:rsidR="00F61E77" w:rsidRPr="00CD0CC0">
        <w:rPr>
          <w:rFonts w:cs="Arial"/>
          <w:color w:val="auto"/>
          <w:szCs w:val="24"/>
        </w:rPr>
        <w:t xml:space="preserve">ments. </w:t>
      </w:r>
      <w:r w:rsidR="00F61E77">
        <w:rPr>
          <w:rFonts w:cs="Arial"/>
          <w:color w:val="auto"/>
          <w:szCs w:val="24"/>
        </w:rPr>
        <w:t xml:space="preserve"> </w:t>
      </w:r>
      <w:r w:rsidR="00F61E77" w:rsidRPr="00CD0CC0">
        <w:rPr>
          <w:rFonts w:cs="Arial"/>
          <w:color w:val="auto"/>
          <w:szCs w:val="24"/>
        </w:rPr>
        <w:t>Right hand surgery complete failure, discharged without furt</w:t>
      </w:r>
      <w:r w:rsidR="00F61E77">
        <w:rPr>
          <w:rFonts w:cs="Arial"/>
          <w:color w:val="auto"/>
          <w:szCs w:val="24"/>
        </w:rPr>
        <w:t>h</w:t>
      </w:r>
      <w:r w:rsidR="00F61E77" w:rsidRPr="00CD0CC0">
        <w:rPr>
          <w:rFonts w:cs="Arial"/>
          <w:color w:val="auto"/>
          <w:szCs w:val="24"/>
        </w:rPr>
        <w:t>er surgery</w:t>
      </w:r>
      <w:r w:rsidR="00F61E77">
        <w:rPr>
          <w:rFonts w:cs="Arial"/>
          <w:color w:val="auto"/>
          <w:szCs w:val="24"/>
        </w:rPr>
        <w:t xml:space="preserve"> </w:t>
      </w:r>
      <w:r w:rsidR="00F61E77" w:rsidRPr="00CD0CC0">
        <w:rPr>
          <w:rFonts w:cs="Arial"/>
          <w:color w:val="auto"/>
          <w:szCs w:val="24"/>
        </w:rPr>
        <w:t>and</w:t>
      </w:r>
      <w:r w:rsidR="00F61E77">
        <w:rPr>
          <w:rFonts w:cs="Arial"/>
          <w:color w:val="auto"/>
          <w:szCs w:val="24"/>
        </w:rPr>
        <w:t>/</w:t>
      </w:r>
      <w:r w:rsidR="00F61E77" w:rsidRPr="00CD0CC0">
        <w:rPr>
          <w:rFonts w:cs="Arial"/>
          <w:color w:val="auto"/>
          <w:szCs w:val="24"/>
        </w:rPr>
        <w:t>or treatment</w:t>
      </w:r>
      <w:r w:rsidR="00F61E77">
        <w:rPr>
          <w:rFonts w:cs="Arial"/>
          <w:color w:val="auto"/>
          <w:szCs w:val="24"/>
        </w:rPr>
        <w:t>.</w:t>
      </w:r>
      <w:r w:rsidR="00F61E77" w:rsidRPr="00CD0CC0">
        <w:rPr>
          <w:rFonts w:cs="Arial"/>
          <w:color w:val="auto"/>
          <w:szCs w:val="24"/>
        </w:rPr>
        <w:t xml:space="preserve"> </w:t>
      </w:r>
      <w:r w:rsidR="00F61E77">
        <w:rPr>
          <w:rFonts w:cs="Arial"/>
          <w:color w:val="auto"/>
          <w:szCs w:val="24"/>
        </w:rPr>
        <w:t xml:space="preserve"> </w:t>
      </w:r>
      <w:r w:rsidR="00F61E77" w:rsidRPr="00CD0CC0">
        <w:rPr>
          <w:rFonts w:cs="Arial"/>
          <w:color w:val="auto"/>
          <w:szCs w:val="24"/>
        </w:rPr>
        <w:t>Surgical report shows doctor error</w:t>
      </w:r>
      <w:r w:rsidR="00F61E77">
        <w:rPr>
          <w:rFonts w:cs="Arial"/>
          <w:color w:val="auto"/>
          <w:szCs w:val="24"/>
        </w:rPr>
        <w:t>…</w:t>
      </w:r>
      <w:r w:rsidR="00F61E77" w:rsidRPr="00CD0CC0">
        <w:rPr>
          <w:rFonts w:cs="Arial"/>
          <w:color w:val="auto"/>
          <w:szCs w:val="24"/>
        </w:rPr>
        <w:t xml:space="preserve"> Discharged wi</w:t>
      </w:r>
      <w:r w:rsidR="00F61E77">
        <w:rPr>
          <w:rFonts w:cs="Arial"/>
          <w:color w:val="auto"/>
          <w:szCs w:val="24"/>
        </w:rPr>
        <w:t>t</w:t>
      </w:r>
      <w:r w:rsidR="00F61E77" w:rsidRPr="00CD0CC0">
        <w:rPr>
          <w:rFonts w:cs="Arial"/>
          <w:color w:val="auto"/>
          <w:szCs w:val="24"/>
        </w:rPr>
        <w:t>h failed s</w:t>
      </w:r>
      <w:r w:rsidR="00F61E77">
        <w:rPr>
          <w:rFonts w:cs="Arial"/>
          <w:color w:val="auto"/>
          <w:szCs w:val="24"/>
        </w:rPr>
        <w:t>u</w:t>
      </w:r>
      <w:r w:rsidR="00F61E77" w:rsidRPr="00CD0CC0">
        <w:rPr>
          <w:rFonts w:cs="Arial"/>
          <w:color w:val="auto"/>
          <w:szCs w:val="24"/>
        </w:rPr>
        <w:t>rgery</w:t>
      </w:r>
      <w:r w:rsidR="00F61E77">
        <w:rPr>
          <w:rFonts w:cs="Arial"/>
          <w:color w:val="auto"/>
          <w:szCs w:val="24"/>
        </w:rPr>
        <w:t>…</w:t>
      </w:r>
      <w:r w:rsidR="00F61E77" w:rsidRPr="00CD0CC0">
        <w:rPr>
          <w:rFonts w:cs="Arial"/>
          <w:color w:val="auto"/>
          <w:szCs w:val="24"/>
        </w:rPr>
        <w:t xml:space="preserve"> i</w:t>
      </w:r>
      <w:r w:rsidR="00F61E77">
        <w:rPr>
          <w:rFonts w:cs="Arial"/>
          <w:color w:val="auto"/>
          <w:szCs w:val="24"/>
        </w:rPr>
        <w:t>tem</w:t>
      </w:r>
      <w:r w:rsidR="00F61E77" w:rsidRPr="00CD0CC0">
        <w:rPr>
          <w:rFonts w:cs="Arial"/>
          <w:color w:val="auto"/>
          <w:szCs w:val="24"/>
        </w:rPr>
        <w:t xml:space="preserve"> one of</w:t>
      </w:r>
      <w:r w:rsidR="00F61E77">
        <w:rPr>
          <w:rFonts w:cs="Arial"/>
          <w:color w:val="auto"/>
          <w:szCs w:val="24"/>
        </w:rPr>
        <w:t xml:space="preserve"> </w:t>
      </w:r>
      <w:r w:rsidR="00F61E77" w:rsidRPr="00CD0CC0">
        <w:rPr>
          <w:rFonts w:cs="Arial"/>
          <w:color w:val="auto"/>
          <w:szCs w:val="24"/>
        </w:rPr>
        <w:t>MEB Proceedings states "marked loss of function</w:t>
      </w:r>
      <w:r w:rsidR="00F61E77">
        <w:rPr>
          <w:rFonts w:cs="Arial"/>
          <w:color w:val="auto"/>
          <w:szCs w:val="24"/>
        </w:rPr>
        <w:t>.</w:t>
      </w:r>
      <w:r w:rsidR="00F61E77" w:rsidRPr="00CD0CC0">
        <w:rPr>
          <w:rFonts w:cs="Arial"/>
          <w:color w:val="auto"/>
          <w:szCs w:val="24"/>
        </w:rPr>
        <w:t>"</w:t>
      </w:r>
      <w:r w:rsidR="00307589">
        <w:rPr>
          <w:rFonts w:cs="Arial"/>
          <w:color w:val="auto"/>
          <w:szCs w:val="24"/>
        </w:rPr>
        <w:t xml:space="preserve"> </w:t>
      </w:r>
      <w:r w:rsidR="00F61E77" w:rsidRPr="00CD0CC0">
        <w:rPr>
          <w:rFonts w:cs="Arial"/>
          <w:color w:val="auto"/>
          <w:szCs w:val="24"/>
        </w:rPr>
        <w:t xml:space="preserve"> This was right hand of a right-handed perso</w:t>
      </w:r>
      <w:r w:rsidR="00F61E77">
        <w:rPr>
          <w:rFonts w:cs="Arial"/>
          <w:color w:val="auto"/>
          <w:szCs w:val="24"/>
        </w:rPr>
        <w:t xml:space="preserve">n.  </w:t>
      </w:r>
      <w:r w:rsidR="00F61E77" w:rsidRPr="00CD0CC0">
        <w:rPr>
          <w:rFonts w:cs="Times New Roman"/>
          <w:color w:val="auto"/>
          <w:szCs w:val="24"/>
        </w:rPr>
        <w:t>All condi</w:t>
      </w:r>
      <w:r w:rsidR="00F61E77">
        <w:rPr>
          <w:rFonts w:cs="Times New Roman"/>
          <w:color w:val="auto"/>
          <w:szCs w:val="24"/>
        </w:rPr>
        <w:t>t</w:t>
      </w:r>
      <w:r w:rsidR="00F61E77" w:rsidRPr="00CD0CC0">
        <w:rPr>
          <w:rFonts w:cs="Times New Roman"/>
          <w:color w:val="auto"/>
          <w:szCs w:val="24"/>
        </w:rPr>
        <w:t>ions</w:t>
      </w:r>
      <w:r w:rsidR="00F61E77">
        <w:rPr>
          <w:rFonts w:cs="Times New Roman"/>
          <w:color w:val="auto"/>
          <w:szCs w:val="24"/>
        </w:rPr>
        <w:t xml:space="preserve"> were</w:t>
      </w:r>
      <w:r w:rsidR="00F61E77" w:rsidRPr="00CD0CC0">
        <w:rPr>
          <w:rFonts w:cs="Times New Roman"/>
          <w:color w:val="auto"/>
          <w:szCs w:val="24"/>
        </w:rPr>
        <w:t xml:space="preserve"> not evaluated and taken into consideration.</w:t>
      </w:r>
      <w:r w:rsidR="00F61E77">
        <w:rPr>
          <w:rFonts w:cs="Times New Roman"/>
          <w:color w:val="auto"/>
          <w:szCs w:val="24"/>
        </w:rPr>
        <w:t xml:space="preserve"> </w:t>
      </w:r>
      <w:r w:rsidR="00F61E77" w:rsidRPr="00CD0CC0">
        <w:rPr>
          <w:rFonts w:cs="Times New Roman"/>
          <w:color w:val="auto"/>
          <w:szCs w:val="24"/>
        </w:rPr>
        <w:t xml:space="preserve"> Right Trapezius strain (right shoulder injury) not listed for ME</w:t>
      </w:r>
      <w:r w:rsidR="00F61E77">
        <w:rPr>
          <w:rFonts w:cs="Times New Roman"/>
          <w:color w:val="auto"/>
          <w:szCs w:val="24"/>
        </w:rPr>
        <w:t>B. …</w:t>
      </w:r>
      <w:r w:rsidR="00F61E77" w:rsidRPr="00CD0CC0">
        <w:rPr>
          <w:rFonts w:cs="Times New Roman"/>
          <w:color w:val="auto"/>
          <w:szCs w:val="24"/>
        </w:rPr>
        <w:t xml:space="preserve"> Left kn</w:t>
      </w:r>
      <w:r w:rsidR="00F61E77">
        <w:rPr>
          <w:rFonts w:cs="Times New Roman"/>
          <w:color w:val="auto"/>
          <w:szCs w:val="24"/>
        </w:rPr>
        <w:t>ee</w:t>
      </w:r>
      <w:r w:rsidR="00F61E77" w:rsidRPr="00CD0CC0">
        <w:rPr>
          <w:rFonts w:cs="Times New Roman"/>
          <w:color w:val="auto"/>
          <w:szCs w:val="24"/>
        </w:rPr>
        <w:t xml:space="preserve"> pain not listed although had be</w:t>
      </w:r>
      <w:r w:rsidR="00F61E77">
        <w:rPr>
          <w:rFonts w:cs="Times New Roman"/>
          <w:color w:val="auto"/>
          <w:szCs w:val="24"/>
        </w:rPr>
        <w:t xml:space="preserve">en </w:t>
      </w:r>
      <w:r w:rsidR="00F61E77" w:rsidRPr="00CD0CC0">
        <w:rPr>
          <w:rFonts w:cs="Times New Roman"/>
          <w:color w:val="auto"/>
          <w:szCs w:val="24"/>
        </w:rPr>
        <w:t>a</w:t>
      </w:r>
      <w:r w:rsidR="00F61E77">
        <w:rPr>
          <w:rFonts w:cs="Times New Roman"/>
          <w:color w:val="auto"/>
          <w:szCs w:val="24"/>
        </w:rPr>
        <w:t xml:space="preserve"> </w:t>
      </w:r>
      <w:r w:rsidR="00F61E77" w:rsidRPr="00CD0CC0">
        <w:rPr>
          <w:rFonts w:cs="Times New Roman"/>
          <w:color w:val="auto"/>
          <w:szCs w:val="24"/>
        </w:rPr>
        <w:t>medical issue no</w:t>
      </w:r>
      <w:r w:rsidR="00F61E77">
        <w:rPr>
          <w:rFonts w:cs="Times New Roman"/>
          <w:color w:val="auto"/>
          <w:szCs w:val="24"/>
        </w:rPr>
        <w:t>t</w:t>
      </w:r>
      <w:r w:rsidR="00F61E77" w:rsidRPr="00CD0CC0">
        <w:rPr>
          <w:rFonts w:cs="Times New Roman"/>
          <w:color w:val="auto"/>
          <w:szCs w:val="24"/>
        </w:rPr>
        <w:t>ed in medical file s</w:t>
      </w:r>
      <w:r w:rsidR="00F61E77">
        <w:rPr>
          <w:rFonts w:cs="Times New Roman"/>
          <w:color w:val="auto"/>
          <w:szCs w:val="24"/>
        </w:rPr>
        <w:t xml:space="preserve">ince 2003… [Elaborates severity and clinical course of back condition; then notes interference of other medical priorities with full resolution of the back condition.] </w:t>
      </w:r>
      <w:r w:rsidR="00743CEA">
        <w:rPr>
          <w:rFonts w:cs="Times New Roman"/>
          <w:color w:val="auto"/>
          <w:szCs w:val="24"/>
        </w:rPr>
        <w:t xml:space="preserve">… </w:t>
      </w:r>
      <w:r w:rsidR="00F61E77" w:rsidRPr="00CD0CC0">
        <w:rPr>
          <w:rFonts w:cs="Times New Roman"/>
          <w:color w:val="auto"/>
          <w:szCs w:val="24"/>
        </w:rPr>
        <w:t xml:space="preserve">Urinary retention had not been properly addressed as treatments </w:t>
      </w:r>
      <w:r w:rsidR="00F61E77">
        <w:rPr>
          <w:rFonts w:cs="Times New Roman"/>
          <w:color w:val="auto"/>
          <w:szCs w:val="24"/>
        </w:rPr>
        <w:t xml:space="preserve">with doctors </w:t>
      </w:r>
      <w:r w:rsidR="00F61E77" w:rsidRPr="00CD0CC0">
        <w:rPr>
          <w:rFonts w:cs="Times New Roman"/>
          <w:color w:val="auto"/>
          <w:szCs w:val="24"/>
        </w:rPr>
        <w:t>were not allowed to be continued</w:t>
      </w:r>
      <w:r w:rsidR="00F61E77">
        <w:rPr>
          <w:rFonts w:cs="Times New Roman"/>
          <w:color w:val="auto"/>
          <w:szCs w:val="24"/>
        </w:rPr>
        <w:t>.  …</w:t>
      </w:r>
      <w:r w:rsidR="00F61E77" w:rsidRPr="00CD0CC0">
        <w:rPr>
          <w:rFonts w:cs="Times New Roman"/>
          <w:color w:val="auto"/>
          <w:szCs w:val="24"/>
        </w:rPr>
        <w:t xml:space="preserve"> Found to </w:t>
      </w:r>
      <w:r w:rsidR="00F61E77">
        <w:rPr>
          <w:rFonts w:cs="Times New Roman"/>
          <w:color w:val="auto"/>
          <w:szCs w:val="24"/>
        </w:rPr>
        <w:t>b</w:t>
      </w:r>
      <w:r w:rsidR="00F61E77" w:rsidRPr="00CD0CC0">
        <w:rPr>
          <w:rFonts w:cs="Times New Roman"/>
          <w:color w:val="auto"/>
          <w:szCs w:val="24"/>
        </w:rPr>
        <w:t xml:space="preserve">e </w:t>
      </w:r>
      <w:proofErr w:type="gramStart"/>
      <w:r w:rsidR="00F61E77" w:rsidRPr="00CD0CC0">
        <w:rPr>
          <w:rFonts w:cs="Times New Roman"/>
          <w:color w:val="auto"/>
          <w:szCs w:val="24"/>
        </w:rPr>
        <w:t>Neurogenic</w:t>
      </w:r>
      <w:proofErr w:type="gramEnd"/>
      <w:r w:rsidR="00F61E77" w:rsidRPr="00CD0CC0">
        <w:rPr>
          <w:rFonts w:cs="Times New Roman"/>
          <w:color w:val="auto"/>
          <w:szCs w:val="24"/>
        </w:rPr>
        <w:t xml:space="preserve"> bladder secon</w:t>
      </w:r>
      <w:r w:rsidR="00F61E77">
        <w:rPr>
          <w:rFonts w:cs="Times New Roman"/>
          <w:color w:val="auto"/>
          <w:szCs w:val="24"/>
        </w:rPr>
        <w:t xml:space="preserve">dary </w:t>
      </w:r>
      <w:r w:rsidR="00F61E77" w:rsidRPr="00CD0CC0">
        <w:rPr>
          <w:rFonts w:cs="Times New Roman"/>
          <w:color w:val="auto"/>
          <w:szCs w:val="24"/>
        </w:rPr>
        <w:t>to</w:t>
      </w:r>
      <w:r w:rsidR="00F61E77">
        <w:rPr>
          <w:rFonts w:cs="Times New Roman"/>
          <w:color w:val="auto"/>
          <w:szCs w:val="24"/>
        </w:rPr>
        <w:t xml:space="preserve"> </w:t>
      </w:r>
      <w:r w:rsidR="00F61E77" w:rsidRPr="00CD0CC0">
        <w:rPr>
          <w:rFonts w:cs="Times New Roman"/>
          <w:color w:val="auto"/>
          <w:szCs w:val="24"/>
        </w:rPr>
        <w:t xml:space="preserve">back injuries. </w:t>
      </w:r>
      <w:r w:rsidR="00F61E77">
        <w:rPr>
          <w:rFonts w:cs="Times New Roman"/>
          <w:color w:val="auto"/>
          <w:szCs w:val="24"/>
        </w:rPr>
        <w:t>…</w:t>
      </w:r>
      <w:r w:rsidR="00F61E77" w:rsidRPr="00CD0CC0">
        <w:rPr>
          <w:rFonts w:cs="Times New Roman"/>
          <w:color w:val="auto"/>
          <w:szCs w:val="24"/>
        </w:rPr>
        <w:t xml:space="preserve"> When discharged I had many injuries that had not been f</w:t>
      </w:r>
      <w:r w:rsidR="00F61E77">
        <w:rPr>
          <w:rFonts w:cs="Times New Roman"/>
          <w:color w:val="auto"/>
          <w:szCs w:val="24"/>
        </w:rPr>
        <w:t xml:space="preserve">ully </w:t>
      </w:r>
      <w:r w:rsidR="00F61E77" w:rsidRPr="00CD0CC0">
        <w:rPr>
          <w:rFonts w:cs="Times New Roman"/>
          <w:color w:val="auto"/>
          <w:szCs w:val="24"/>
        </w:rPr>
        <w:t>addr</w:t>
      </w:r>
      <w:r w:rsidR="00F61E77">
        <w:rPr>
          <w:rFonts w:cs="Times New Roman"/>
          <w:color w:val="auto"/>
          <w:szCs w:val="24"/>
        </w:rPr>
        <w:t>e</w:t>
      </w:r>
      <w:r w:rsidR="00F61E77" w:rsidRPr="00CD0CC0">
        <w:rPr>
          <w:rFonts w:cs="Times New Roman"/>
          <w:color w:val="auto"/>
          <w:szCs w:val="24"/>
        </w:rPr>
        <w:t>ssed.</w:t>
      </w:r>
      <w:r w:rsidR="00307589">
        <w:rPr>
          <w:rFonts w:cs="Times New Roman"/>
          <w:color w:val="auto"/>
          <w:szCs w:val="24"/>
        </w:rPr>
        <w:t xml:space="preserve"> </w:t>
      </w:r>
      <w:r w:rsidR="00F61E77">
        <w:rPr>
          <w:rFonts w:cs="Times New Roman"/>
          <w:color w:val="auto"/>
          <w:szCs w:val="24"/>
        </w:rPr>
        <w:t xml:space="preserve"> </w:t>
      </w:r>
      <w:r w:rsidR="00F61E77" w:rsidRPr="00CD0CC0">
        <w:rPr>
          <w:rFonts w:cs="Arial"/>
          <w:color w:val="auto"/>
          <w:szCs w:val="24"/>
        </w:rPr>
        <w:t xml:space="preserve">It </w:t>
      </w:r>
      <w:r w:rsidR="00F61E77" w:rsidRPr="00CD0CC0">
        <w:rPr>
          <w:rFonts w:cs="Times New Roman"/>
          <w:color w:val="auto"/>
          <w:szCs w:val="24"/>
        </w:rPr>
        <w:t>took a ma</w:t>
      </w:r>
      <w:r w:rsidR="00F61E77">
        <w:rPr>
          <w:rFonts w:cs="Times New Roman"/>
          <w:color w:val="auto"/>
          <w:szCs w:val="24"/>
        </w:rPr>
        <w:t>t</w:t>
      </w:r>
      <w:r w:rsidR="00F61E77" w:rsidRPr="00CD0CC0">
        <w:rPr>
          <w:rFonts w:cs="Times New Roman"/>
          <w:color w:val="auto"/>
          <w:szCs w:val="24"/>
        </w:rPr>
        <w:t>ter of years to get all addressed through a very strained V A system resulting in my now 80% disability rating.</w:t>
      </w:r>
      <w:r w:rsidR="00773C45">
        <w:rPr>
          <w:color w:val="000000"/>
        </w:rPr>
        <w:t>”</w:t>
      </w:r>
      <w:r w:rsidR="004A2728">
        <w:rPr>
          <w:color w:val="000000"/>
        </w:rPr>
        <w:t xml:space="preserve"> </w:t>
      </w:r>
      <w:r w:rsidR="00743CEA">
        <w:rPr>
          <w:color w:val="000000"/>
        </w:rPr>
        <w:t xml:space="preserve"> </w:t>
      </w:r>
      <w:r w:rsidR="009C02C0">
        <w:rPr>
          <w:rFonts w:cs="Times New Roman"/>
          <w:color w:val="auto"/>
          <w:szCs w:val="24"/>
        </w:rPr>
        <w:t xml:space="preserve">There were also extensive remarks in block 15 of the DD Form 294 application reinforcing the above contentions; but, containing no reference to additional specific conditions requested for Board review.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087EDD">
        <w:rPr>
          <w:color w:val="auto"/>
        </w:rPr>
        <w:t xml:space="preserve">The Board wishes to clarify that the scope of its review as defined in </w:t>
      </w:r>
      <w:proofErr w:type="spellStart"/>
      <w:r w:rsidR="006B2B56">
        <w:rPr>
          <w:color w:val="000000"/>
        </w:rPr>
        <w:t>DoDI</w:t>
      </w:r>
      <w:proofErr w:type="spellEnd"/>
      <w:r w:rsidR="00DD44EA" w:rsidRPr="00087EDD">
        <w:rPr>
          <w:color w:val="000000"/>
        </w:rPr>
        <w:t xml:space="preserve"> </w:t>
      </w:r>
      <w:r w:rsidR="006B2B56">
        <w:rPr>
          <w:color w:val="auto"/>
        </w:rPr>
        <w:t xml:space="preserve">6040.44, </w:t>
      </w:r>
      <w:r w:rsidR="003A6FCD" w:rsidRPr="00087EDD">
        <w:rPr>
          <w:color w:val="auto"/>
        </w:rPr>
        <w:t>Enclosure 3, paragraph 5.e</w:t>
      </w:r>
      <w:proofErr w:type="gramStart"/>
      <w:r w:rsidR="003A6FCD" w:rsidRPr="00087EDD">
        <w:rPr>
          <w:color w:val="auto"/>
        </w:rPr>
        <w:t>.</w:t>
      </w:r>
      <w:r w:rsidR="006B2B56">
        <w:rPr>
          <w:color w:val="auto"/>
        </w:rPr>
        <w:t>(</w:t>
      </w:r>
      <w:proofErr w:type="gramEnd"/>
      <w:r w:rsidR="003A6FCD" w:rsidRPr="00087EDD">
        <w:rPr>
          <w:color w:val="auto"/>
        </w:rPr>
        <w:t xml:space="preserve">2) </w:t>
      </w:r>
      <w:r w:rsidRPr="00087EDD">
        <w:rPr>
          <w:color w:val="auto"/>
        </w:rPr>
        <w:t>is limited to those conditions which were determine</w:t>
      </w:r>
      <w:r w:rsidRPr="00C566C9">
        <w:rPr>
          <w:color w:val="auto"/>
        </w:rPr>
        <w:t>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B2B56">
        <w:rPr>
          <w:color w:val="auto"/>
        </w:rPr>
        <w:t>.</w:t>
      </w:r>
      <w:r w:rsidRPr="00C566C9">
        <w:rPr>
          <w:color w:val="auto"/>
        </w:rPr>
        <w:t>”</w:t>
      </w:r>
      <w:r>
        <w:rPr>
          <w:color w:val="auto"/>
        </w:rPr>
        <w:t xml:space="preserve">  </w:t>
      </w:r>
      <w:r w:rsidR="006B2B56">
        <w:rPr>
          <w:color w:val="auto"/>
        </w:rPr>
        <w:t xml:space="preserve">The </w:t>
      </w:r>
      <w:r w:rsidRPr="009239C0">
        <w:rPr>
          <w:color w:val="auto"/>
        </w:rPr>
        <w:t xml:space="preserve">ratings for </w:t>
      </w:r>
      <w:r w:rsidR="009C02C0">
        <w:rPr>
          <w:color w:val="auto"/>
        </w:rPr>
        <w:t xml:space="preserve">the </w:t>
      </w:r>
      <w:r w:rsidRPr="009239C0">
        <w:rPr>
          <w:color w:val="auto"/>
        </w:rPr>
        <w:t xml:space="preserve">unfitting </w:t>
      </w:r>
      <w:r w:rsidR="009C02C0">
        <w:rPr>
          <w:color w:val="auto"/>
        </w:rPr>
        <w:t xml:space="preserve">right wrist </w:t>
      </w:r>
      <w:r w:rsidR="00087EDD">
        <w:rPr>
          <w:color w:val="auto"/>
        </w:rPr>
        <w:t xml:space="preserve">(and/or hand) </w:t>
      </w:r>
      <w:r w:rsidR="009C02C0">
        <w:rPr>
          <w:color w:val="auto"/>
        </w:rPr>
        <w:t xml:space="preserve">and lumbar spine </w:t>
      </w:r>
      <w:r w:rsidRPr="009239C0">
        <w:rPr>
          <w:color w:val="auto"/>
        </w:rPr>
        <w:t xml:space="preserve">conditions </w:t>
      </w:r>
      <w:r w:rsidR="00AC25DD">
        <w:rPr>
          <w:color w:val="auto"/>
        </w:rPr>
        <w:t>are</w:t>
      </w:r>
      <w:r w:rsidRPr="009239C0">
        <w:rPr>
          <w:color w:val="auto"/>
        </w:rPr>
        <w:t xml:space="preserve"> </w:t>
      </w:r>
      <w:r w:rsidR="00AC25DD">
        <w:rPr>
          <w:color w:val="auto"/>
        </w:rPr>
        <w:t>addressed below</w:t>
      </w:r>
      <w:r w:rsidRPr="009239C0">
        <w:rPr>
          <w:color w:val="auto"/>
        </w:rPr>
        <w:t xml:space="preserve">.  </w:t>
      </w:r>
      <w:r w:rsidR="009C02C0">
        <w:rPr>
          <w:color w:val="auto"/>
        </w:rPr>
        <w:t xml:space="preserve">Of the conditions indentified and determined to be unfitting by the PEB, </w:t>
      </w:r>
      <w:r w:rsidR="00D03503">
        <w:rPr>
          <w:color w:val="auto"/>
        </w:rPr>
        <w:t xml:space="preserve">only the </w:t>
      </w:r>
      <w:r w:rsidR="00463456">
        <w:rPr>
          <w:color w:val="auto"/>
        </w:rPr>
        <w:t xml:space="preserve">condition of </w:t>
      </w:r>
      <w:r w:rsidR="00087EDD">
        <w:rPr>
          <w:color w:val="auto"/>
        </w:rPr>
        <w:t>urinary retention (due to prostatism or otherwise</w:t>
      </w:r>
      <w:r w:rsidR="00D03503">
        <w:rPr>
          <w:color w:val="auto"/>
        </w:rPr>
        <w:t>) was</w:t>
      </w:r>
      <w:r w:rsidR="00087EDD">
        <w:rPr>
          <w:color w:val="auto"/>
        </w:rPr>
        <w:t xml:space="preserve"> specified sufficiently in the application to meet the DoDI 6040.44 scope requirements.  </w:t>
      </w:r>
      <w:r w:rsidR="00016B11">
        <w:rPr>
          <w:color w:val="auto"/>
        </w:rPr>
        <w:t xml:space="preserve">The </w:t>
      </w:r>
      <w:r w:rsidR="001907A2">
        <w:rPr>
          <w:color w:val="auto"/>
        </w:rPr>
        <w:t>gastroesophageal reflux disease (GERD),</w:t>
      </w:r>
      <w:r w:rsidR="001907A2" w:rsidRPr="00D03503">
        <w:rPr>
          <w:color w:val="auto"/>
        </w:rPr>
        <w:t xml:space="preserve"> </w:t>
      </w:r>
      <w:r w:rsidR="001907A2">
        <w:rPr>
          <w:color w:val="auto"/>
        </w:rPr>
        <w:lastRenderedPageBreak/>
        <w:t xml:space="preserve">right hernia, </w:t>
      </w:r>
      <w:r w:rsidR="00016B11">
        <w:rPr>
          <w:color w:val="auto"/>
        </w:rPr>
        <w:t xml:space="preserve">nephrolithiasis and pneumonia conditions were not alluded to in the application; </w:t>
      </w:r>
      <w:r w:rsidR="00463456">
        <w:rPr>
          <w:color w:val="auto"/>
        </w:rPr>
        <w:t>e.g.</w:t>
      </w:r>
      <w:r w:rsidR="00016B11">
        <w:rPr>
          <w:color w:val="auto"/>
        </w:rPr>
        <w:t xml:space="preserve">, they do not satisfy scope requirements.  </w:t>
      </w:r>
      <w:r w:rsidR="005A4C2B">
        <w:rPr>
          <w:color w:val="auto"/>
        </w:rPr>
        <w:t xml:space="preserve">The right shoulder and left knee conditions specified in the application were not identified and adjudicated by the PEB; </w:t>
      </w:r>
      <w:r w:rsidR="00463456">
        <w:rPr>
          <w:color w:val="auto"/>
        </w:rPr>
        <w:t>e.g.</w:t>
      </w:r>
      <w:r w:rsidR="005A4C2B">
        <w:rPr>
          <w:color w:val="auto"/>
        </w:rPr>
        <w:t>, they do not satisfy scope requirements.  The above conditions which were excluded from scope, a</w:t>
      </w:r>
      <w:r w:rsidR="005A4C2B" w:rsidRPr="005A4C2B">
        <w:rPr>
          <w:color w:val="auto"/>
        </w:rPr>
        <w:t>ny other conditions intended in request for Board consideration, or any condition or contention outside the Board’s defined scope of review, remain eligible for future consider</w:t>
      </w:r>
      <w:r w:rsidR="00D42F8A">
        <w:rPr>
          <w:color w:val="auto"/>
        </w:rPr>
        <w:t xml:space="preserve">ation by the Army Board for </w:t>
      </w:r>
      <w:r w:rsidR="005A4C2B" w:rsidRPr="005A4C2B">
        <w:rPr>
          <w:color w:val="auto"/>
        </w:rPr>
        <w:t>Correc</w:t>
      </w:r>
      <w:r w:rsidR="00D42F8A">
        <w:rPr>
          <w:color w:val="auto"/>
        </w:rPr>
        <w:t>tion of Military Records (ABCMR)</w:t>
      </w:r>
      <w:r w:rsidR="005A4C2B" w:rsidRPr="005A4C2B">
        <w:rPr>
          <w:color w:val="auto"/>
        </w:rPr>
        <w:t>.</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8B2C8E" w:rsidRDefault="008B2C8E" w:rsidP="00BF0E94">
      <w:pPr>
        <w:jc w:val="left"/>
        <w:rPr>
          <w:color w:val="000000"/>
        </w:rPr>
      </w:pPr>
    </w:p>
    <w:tbl>
      <w:tblPr>
        <w:tblpPr w:leftFromText="187" w:rightFromText="187" w:vertAnchor="text" w:tblpXSpec="center" w:tblpY="1"/>
        <w:tblOverlap w:val="neve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8"/>
        <w:gridCol w:w="1080"/>
        <w:gridCol w:w="720"/>
        <w:gridCol w:w="2340"/>
        <w:gridCol w:w="1080"/>
        <w:gridCol w:w="720"/>
        <w:gridCol w:w="990"/>
      </w:tblGrid>
      <w:tr w:rsidR="008B2C8E" w:rsidRPr="00C66E28" w:rsidTr="00F74C41">
        <w:trPr>
          <w:trHeight w:val="233"/>
          <w:jc w:val="center"/>
        </w:trPr>
        <w:tc>
          <w:tcPr>
            <w:tcW w:w="4248" w:type="dxa"/>
            <w:gridSpan w:val="3"/>
            <w:tcBorders>
              <w:right w:val="thinThickThinSmallGap" w:sz="24" w:space="0" w:color="auto"/>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Service PEB – Dated 200</w:t>
            </w:r>
            <w:r>
              <w:rPr>
                <w:rFonts w:eastAsia="Calibri"/>
                <w:b/>
                <w:color w:val="000000"/>
                <w:sz w:val="18"/>
                <w:szCs w:val="18"/>
              </w:rPr>
              <w:t>51219</w:t>
            </w:r>
          </w:p>
        </w:tc>
        <w:tc>
          <w:tcPr>
            <w:tcW w:w="5130" w:type="dxa"/>
            <w:gridSpan w:val="4"/>
            <w:tcBorders>
              <w:left w:val="thinThickThinSmallGap" w:sz="24" w:space="0" w:color="auto"/>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VA (</w:t>
            </w:r>
            <w:r>
              <w:rPr>
                <w:rFonts w:eastAsia="Calibri"/>
                <w:b/>
                <w:color w:val="000000"/>
                <w:sz w:val="18"/>
                <w:szCs w:val="18"/>
              </w:rPr>
              <w:t>~8</w:t>
            </w:r>
            <w:r w:rsidRPr="00C66E28">
              <w:rPr>
                <w:rFonts w:eastAsia="Calibri"/>
                <w:b/>
                <w:color w:val="000000"/>
                <w:sz w:val="18"/>
                <w:szCs w:val="18"/>
              </w:rPr>
              <w:t xml:space="preserve"> Mo</w:t>
            </w:r>
            <w:r w:rsidRPr="00E23DAC">
              <w:rPr>
                <w:rFonts w:eastAsia="Calibri"/>
                <w:b/>
                <w:color w:val="000000"/>
                <w:sz w:val="18"/>
                <w:szCs w:val="18"/>
              </w:rPr>
              <w:t xml:space="preserve">. </w:t>
            </w:r>
            <w:r>
              <w:rPr>
                <w:rFonts w:eastAsia="Calibri"/>
                <w:b/>
                <w:color w:val="000000"/>
                <w:sz w:val="18"/>
                <w:szCs w:val="18"/>
              </w:rPr>
              <w:t>Post-</w:t>
            </w:r>
            <w:r w:rsidRPr="00E23DAC">
              <w:rPr>
                <w:rFonts w:eastAsia="Calibri"/>
                <w:b/>
                <w:color w:val="000000"/>
                <w:sz w:val="18"/>
                <w:szCs w:val="18"/>
              </w:rPr>
              <w:t>Separation</w:t>
            </w:r>
            <w:r w:rsidRPr="00C66E28">
              <w:rPr>
                <w:rFonts w:eastAsia="Calibri"/>
                <w:b/>
                <w:color w:val="000000"/>
                <w:sz w:val="18"/>
                <w:szCs w:val="18"/>
              </w:rPr>
              <w:t>) –</w:t>
            </w:r>
            <w:r>
              <w:rPr>
                <w:rFonts w:eastAsia="Calibri"/>
                <w:b/>
                <w:color w:val="000000"/>
                <w:sz w:val="18"/>
                <w:szCs w:val="18"/>
              </w:rPr>
              <w:t xml:space="preserve"> </w:t>
            </w:r>
            <w:r w:rsidRPr="00C66E28">
              <w:rPr>
                <w:rFonts w:eastAsia="Calibri"/>
                <w:b/>
                <w:color w:val="000000"/>
                <w:sz w:val="18"/>
                <w:szCs w:val="18"/>
              </w:rPr>
              <w:t>Effective 200</w:t>
            </w:r>
            <w:r>
              <w:rPr>
                <w:rFonts w:eastAsia="Calibri"/>
                <w:b/>
                <w:color w:val="000000"/>
                <w:sz w:val="18"/>
                <w:szCs w:val="18"/>
              </w:rPr>
              <w:t>60313</w:t>
            </w:r>
          </w:p>
        </w:tc>
      </w:tr>
      <w:tr w:rsidR="008B2C8E" w:rsidRPr="00C66E28" w:rsidTr="00F74C41">
        <w:trPr>
          <w:trHeight w:val="97"/>
          <w:jc w:val="center"/>
        </w:trPr>
        <w:tc>
          <w:tcPr>
            <w:tcW w:w="2448" w:type="dxa"/>
            <w:tcBorders>
              <w:bottom w:val="single" w:sz="4" w:space="0" w:color="000000"/>
              <w:right w:val="single" w:sz="4" w:space="0" w:color="auto"/>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Condition</w:t>
            </w:r>
          </w:p>
        </w:tc>
        <w:tc>
          <w:tcPr>
            <w:tcW w:w="1080" w:type="dxa"/>
            <w:tcBorders>
              <w:left w:val="single" w:sz="4" w:space="0" w:color="auto"/>
              <w:bottom w:val="single" w:sz="4" w:space="0" w:color="000000"/>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Code</w:t>
            </w:r>
          </w:p>
        </w:tc>
        <w:tc>
          <w:tcPr>
            <w:tcW w:w="720" w:type="dxa"/>
            <w:tcBorders>
              <w:bottom w:val="single" w:sz="4" w:space="0" w:color="000000"/>
              <w:right w:val="thinThickThinSmallGap" w:sz="24" w:space="0" w:color="auto"/>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Rating</w:t>
            </w:r>
          </w:p>
        </w:tc>
        <w:tc>
          <w:tcPr>
            <w:tcW w:w="2340" w:type="dxa"/>
            <w:tcBorders>
              <w:left w:val="thinThickThinSmallGap" w:sz="24" w:space="0" w:color="auto"/>
              <w:bottom w:val="single" w:sz="4" w:space="0" w:color="000000"/>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Condition</w:t>
            </w:r>
          </w:p>
        </w:tc>
        <w:tc>
          <w:tcPr>
            <w:tcW w:w="1080" w:type="dxa"/>
            <w:tcBorders>
              <w:bottom w:val="single" w:sz="4" w:space="0" w:color="000000"/>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Code</w:t>
            </w:r>
          </w:p>
        </w:tc>
        <w:tc>
          <w:tcPr>
            <w:tcW w:w="720" w:type="dxa"/>
            <w:tcBorders>
              <w:bottom w:val="single" w:sz="4" w:space="0" w:color="000000"/>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Rating</w:t>
            </w:r>
          </w:p>
        </w:tc>
        <w:tc>
          <w:tcPr>
            <w:tcW w:w="990" w:type="dxa"/>
            <w:tcBorders>
              <w:bottom w:val="single" w:sz="4" w:space="0" w:color="000000"/>
            </w:tcBorders>
            <w:shd w:val="clear" w:color="auto" w:fill="D9D9D9"/>
            <w:vAlign w:val="center"/>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Exam</w:t>
            </w:r>
          </w:p>
        </w:tc>
      </w:tr>
      <w:tr w:rsidR="008B2C8E" w:rsidRPr="00C66E28" w:rsidTr="00F74C41">
        <w:trPr>
          <w:trHeight w:val="115"/>
          <w:jc w:val="center"/>
        </w:trPr>
        <w:tc>
          <w:tcPr>
            <w:tcW w:w="2448" w:type="dxa"/>
            <w:tcBorders>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rFonts w:eastAsia="Calibri"/>
                <w:color w:val="000000"/>
                <w:sz w:val="18"/>
                <w:szCs w:val="18"/>
              </w:rPr>
              <w:t>Right Wrist Injury</w:t>
            </w:r>
          </w:p>
        </w:tc>
        <w:tc>
          <w:tcPr>
            <w:tcW w:w="1080" w:type="dxa"/>
            <w:tcBorders>
              <w:lef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rFonts w:eastAsia="Calibri"/>
                <w:color w:val="000000"/>
                <w:sz w:val="18"/>
                <w:szCs w:val="18"/>
              </w:rPr>
              <w:t>5099-5003</w:t>
            </w:r>
          </w:p>
        </w:tc>
        <w:tc>
          <w:tcPr>
            <w:tcW w:w="720" w:type="dxa"/>
            <w:tcBorders>
              <w:right w:val="thinThickThinSmallGap" w:sz="24" w:space="0" w:color="auto"/>
            </w:tcBorders>
            <w:shd w:val="clear" w:color="auto" w:fill="FFFFFF"/>
            <w:vAlign w:val="center"/>
          </w:tcPr>
          <w:p w:rsidR="008B2C8E" w:rsidRPr="00C66E28" w:rsidRDefault="008B2C8E" w:rsidP="00F74C41">
            <w:pPr>
              <w:spacing w:line="220" w:lineRule="exact"/>
              <w:rPr>
                <w:color w:val="000000"/>
                <w:sz w:val="18"/>
                <w:szCs w:val="18"/>
              </w:rPr>
            </w:pPr>
            <w:r>
              <w:rPr>
                <w:rFonts w:eastAsia="Calibri"/>
                <w:color w:val="000000"/>
                <w:sz w:val="18"/>
                <w:szCs w:val="18"/>
              </w:rPr>
              <w:t>10%</w:t>
            </w:r>
          </w:p>
        </w:tc>
        <w:tc>
          <w:tcPr>
            <w:tcW w:w="2340" w:type="dxa"/>
            <w:tcBorders>
              <w:left w:val="thinThickThinSmallGap" w:sz="2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rFonts w:eastAsia="Calibri"/>
                <w:color w:val="000000"/>
                <w:sz w:val="18"/>
                <w:szCs w:val="18"/>
              </w:rPr>
              <w:t>Fracture Right Wrist</w:t>
            </w:r>
          </w:p>
        </w:tc>
        <w:tc>
          <w:tcPr>
            <w:tcW w:w="1080" w:type="dxa"/>
            <w:shd w:val="clear" w:color="auto" w:fill="FFFFFF"/>
            <w:vAlign w:val="center"/>
          </w:tcPr>
          <w:p w:rsidR="008B2C8E" w:rsidRPr="00C66E28" w:rsidRDefault="008B2C8E" w:rsidP="00F74C41">
            <w:pPr>
              <w:spacing w:line="220" w:lineRule="exact"/>
              <w:contextualSpacing/>
              <w:rPr>
                <w:color w:val="000000"/>
                <w:sz w:val="18"/>
                <w:szCs w:val="18"/>
              </w:rPr>
            </w:pPr>
            <w:r>
              <w:rPr>
                <w:rFonts w:eastAsia="Calibri"/>
                <w:color w:val="000000"/>
                <w:sz w:val="18"/>
                <w:szCs w:val="18"/>
              </w:rPr>
              <w:t>5010-5215</w:t>
            </w:r>
          </w:p>
        </w:tc>
        <w:tc>
          <w:tcPr>
            <w:tcW w:w="720" w:type="dxa"/>
            <w:shd w:val="clear" w:color="auto" w:fill="FFFFFF"/>
            <w:vAlign w:val="center"/>
          </w:tcPr>
          <w:p w:rsidR="008B2C8E" w:rsidRPr="00C66E28" w:rsidRDefault="008B2C8E" w:rsidP="00F74C41">
            <w:pPr>
              <w:spacing w:line="220" w:lineRule="exact"/>
              <w:contextualSpacing/>
              <w:rPr>
                <w:color w:val="000000"/>
                <w:sz w:val="18"/>
                <w:szCs w:val="18"/>
              </w:rPr>
            </w:pPr>
            <w:r>
              <w:rPr>
                <w:rFonts w:eastAsia="Calibri"/>
                <w:color w:val="000000"/>
                <w:sz w:val="18"/>
                <w:szCs w:val="18"/>
              </w:rPr>
              <w:t>10%</w:t>
            </w:r>
          </w:p>
        </w:tc>
        <w:tc>
          <w:tcPr>
            <w:tcW w:w="990" w:type="dxa"/>
            <w:shd w:val="clear" w:color="auto" w:fill="FFFFFF"/>
            <w:vAlign w:val="center"/>
          </w:tcPr>
          <w:p w:rsidR="008B2C8E" w:rsidRPr="00C66E28" w:rsidRDefault="008B2C8E" w:rsidP="00F74C41">
            <w:pPr>
              <w:spacing w:line="22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61104</w:t>
            </w:r>
          </w:p>
        </w:tc>
      </w:tr>
      <w:tr w:rsidR="008B2C8E" w:rsidRPr="00C66E28" w:rsidTr="00F74C41">
        <w:trPr>
          <w:trHeight w:val="70"/>
          <w:jc w:val="center"/>
        </w:trPr>
        <w:tc>
          <w:tcPr>
            <w:tcW w:w="2448" w:type="dxa"/>
            <w:tcBorders>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rFonts w:eastAsia="Calibri"/>
                <w:color w:val="000000"/>
                <w:sz w:val="18"/>
                <w:szCs w:val="18"/>
              </w:rPr>
              <w:t>Low Back Pain</w:t>
            </w:r>
            <w:r w:rsidR="00CA39D6">
              <w:rPr>
                <w:rFonts w:eastAsia="Calibri"/>
                <w:color w:val="000000"/>
                <w:sz w:val="18"/>
                <w:szCs w:val="18"/>
              </w:rPr>
              <w:t xml:space="preserve"> w/ Disc </w:t>
            </w:r>
            <w:r>
              <w:rPr>
                <w:rFonts w:eastAsia="Calibri"/>
                <w:color w:val="000000"/>
                <w:sz w:val="18"/>
                <w:szCs w:val="18"/>
              </w:rPr>
              <w:t>D</w:t>
            </w:r>
            <w:r w:rsidR="00CA39D6">
              <w:rPr>
                <w:rFonts w:eastAsia="Calibri"/>
                <w:color w:val="000000"/>
                <w:sz w:val="18"/>
                <w:szCs w:val="18"/>
              </w:rPr>
              <w:t>isease</w:t>
            </w:r>
          </w:p>
        </w:tc>
        <w:tc>
          <w:tcPr>
            <w:tcW w:w="1080" w:type="dxa"/>
            <w:tcBorders>
              <w:lef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rFonts w:eastAsia="Calibri"/>
                <w:color w:val="000000"/>
                <w:sz w:val="18"/>
                <w:szCs w:val="18"/>
              </w:rPr>
              <w:t>5299-5237</w:t>
            </w:r>
          </w:p>
        </w:tc>
        <w:tc>
          <w:tcPr>
            <w:tcW w:w="720" w:type="dxa"/>
            <w:tcBorders>
              <w:right w:val="thinThickThinSmallGap" w:sz="24" w:space="0" w:color="auto"/>
            </w:tcBorders>
            <w:shd w:val="clear" w:color="auto" w:fill="FFFFFF"/>
            <w:vAlign w:val="center"/>
          </w:tcPr>
          <w:p w:rsidR="008B2C8E" w:rsidRPr="00C66E28" w:rsidRDefault="008B2C8E" w:rsidP="00F74C41">
            <w:pPr>
              <w:spacing w:line="220" w:lineRule="exact"/>
              <w:rPr>
                <w:color w:val="000000"/>
                <w:sz w:val="18"/>
                <w:szCs w:val="18"/>
              </w:rPr>
            </w:pPr>
            <w:r>
              <w:rPr>
                <w:rFonts w:eastAsia="Calibri"/>
                <w:color w:val="000000"/>
                <w:sz w:val="18"/>
                <w:szCs w:val="18"/>
              </w:rPr>
              <w:t>10%</w:t>
            </w:r>
          </w:p>
        </w:tc>
        <w:tc>
          <w:tcPr>
            <w:tcW w:w="2340" w:type="dxa"/>
            <w:tcBorders>
              <w:left w:val="thinThickThinSmallGap" w:sz="24" w:space="0" w:color="auto"/>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rFonts w:eastAsia="Calibri"/>
                <w:color w:val="000000"/>
                <w:sz w:val="18"/>
                <w:szCs w:val="18"/>
              </w:rPr>
              <w:t>Arthritis, Lumbar Spine</w:t>
            </w:r>
          </w:p>
        </w:tc>
        <w:tc>
          <w:tcPr>
            <w:tcW w:w="1080" w:type="dxa"/>
            <w:tcBorders>
              <w:lef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rFonts w:eastAsia="Calibri"/>
                <w:color w:val="000000"/>
                <w:sz w:val="18"/>
                <w:szCs w:val="18"/>
              </w:rPr>
              <w:t>5237</w:t>
            </w:r>
          </w:p>
        </w:tc>
        <w:tc>
          <w:tcPr>
            <w:tcW w:w="720" w:type="dxa"/>
            <w:shd w:val="clear" w:color="auto" w:fill="FFFFFF"/>
            <w:vAlign w:val="center"/>
          </w:tcPr>
          <w:p w:rsidR="008B2C8E" w:rsidRPr="00C66E28" w:rsidRDefault="008B2C8E" w:rsidP="00F74C41">
            <w:pPr>
              <w:spacing w:line="220" w:lineRule="exact"/>
              <w:contextualSpacing/>
              <w:rPr>
                <w:color w:val="000000"/>
                <w:sz w:val="18"/>
                <w:szCs w:val="18"/>
              </w:rPr>
            </w:pPr>
            <w:r>
              <w:rPr>
                <w:rFonts w:eastAsia="Calibri"/>
                <w:color w:val="000000"/>
                <w:sz w:val="18"/>
                <w:szCs w:val="18"/>
              </w:rPr>
              <w:t>10%</w:t>
            </w:r>
          </w:p>
        </w:tc>
        <w:tc>
          <w:tcPr>
            <w:tcW w:w="990" w:type="dxa"/>
            <w:shd w:val="clear" w:color="auto" w:fill="FFFFFF"/>
            <w:vAlign w:val="center"/>
          </w:tcPr>
          <w:p w:rsidR="008B2C8E" w:rsidRPr="00C66E28" w:rsidRDefault="008B2C8E" w:rsidP="00F74C41">
            <w:pPr>
              <w:spacing w:line="22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61104</w:t>
            </w:r>
          </w:p>
        </w:tc>
      </w:tr>
      <w:tr w:rsidR="008B2C8E" w:rsidRPr="00C66E28" w:rsidTr="00F74C41">
        <w:trPr>
          <w:trHeight w:val="66"/>
          <w:jc w:val="center"/>
        </w:trPr>
        <w:tc>
          <w:tcPr>
            <w:tcW w:w="2448" w:type="dxa"/>
            <w:tcBorders>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rFonts w:eastAsia="Calibri"/>
                <w:color w:val="000000"/>
                <w:sz w:val="18"/>
                <w:szCs w:val="18"/>
              </w:rPr>
              <w:t>Prostatism, Urinary Retention</w:t>
            </w:r>
          </w:p>
        </w:tc>
        <w:tc>
          <w:tcPr>
            <w:tcW w:w="1800" w:type="dxa"/>
            <w:gridSpan w:val="2"/>
            <w:tcBorders>
              <w:left w:val="single" w:sz="4" w:space="0" w:color="auto"/>
              <w:right w:val="thinThickThinSmallGap" w:sz="24" w:space="0" w:color="auto"/>
            </w:tcBorders>
            <w:shd w:val="clear" w:color="auto" w:fill="FFFFFF"/>
            <w:vAlign w:val="center"/>
          </w:tcPr>
          <w:p w:rsidR="008B2C8E" w:rsidRPr="00C66E28" w:rsidRDefault="008B2C8E" w:rsidP="00F74C41">
            <w:pPr>
              <w:spacing w:line="220" w:lineRule="exact"/>
              <w:contextualSpacing/>
              <w:rPr>
                <w:rFonts w:eastAsia="Calibri"/>
                <w:color w:val="000000"/>
                <w:sz w:val="18"/>
                <w:szCs w:val="18"/>
              </w:rPr>
            </w:pPr>
            <w:r>
              <w:rPr>
                <w:rFonts w:eastAsia="Calibri"/>
                <w:color w:val="000000"/>
                <w:sz w:val="18"/>
                <w:szCs w:val="18"/>
              </w:rPr>
              <w:t>Not Unfitting</w:t>
            </w:r>
          </w:p>
        </w:tc>
        <w:tc>
          <w:tcPr>
            <w:tcW w:w="2340" w:type="dxa"/>
            <w:tcBorders>
              <w:left w:val="thinThickThinSmallGap" w:sz="24" w:space="0" w:color="auto"/>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color w:val="000000"/>
                <w:sz w:val="18"/>
                <w:szCs w:val="18"/>
              </w:rPr>
              <w:t>Neurogenic Bladder</w:t>
            </w:r>
          </w:p>
        </w:tc>
        <w:tc>
          <w:tcPr>
            <w:tcW w:w="1080" w:type="dxa"/>
            <w:tcBorders>
              <w:left w:val="single" w:sz="4" w:space="0" w:color="auto"/>
              <w:righ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color w:val="000000"/>
                <w:sz w:val="18"/>
                <w:szCs w:val="18"/>
              </w:rPr>
              <w:t>7542</w:t>
            </w:r>
          </w:p>
        </w:tc>
        <w:tc>
          <w:tcPr>
            <w:tcW w:w="720" w:type="dxa"/>
            <w:tcBorders>
              <w:lef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color w:val="000000"/>
                <w:sz w:val="18"/>
                <w:szCs w:val="18"/>
              </w:rPr>
              <w:t>10%</w:t>
            </w:r>
          </w:p>
        </w:tc>
        <w:tc>
          <w:tcPr>
            <w:tcW w:w="990" w:type="dxa"/>
            <w:shd w:val="clear" w:color="auto" w:fill="FFFFFF"/>
            <w:vAlign w:val="center"/>
          </w:tcPr>
          <w:p w:rsidR="008B2C8E" w:rsidRPr="00C66E28" w:rsidRDefault="008B2C8E" w:rsidP="00F74C41">
            <w:pPr>
              <w:spacing w:line="220" w:lineRule="exact"/>
              <w:contextualSpacing/>
              <w:rPr>
                <w:color w:val="000000"/>
                <w:sz w:val="18"/>
                <w:szCs w:val="18"/>
                <w:highlight w:val="yellow"/>
              </w:rPr>
            </w:pPr>
            <w:r w:rsidRPr="00BA31C7">
              <w:rPr>
                <w:color w:val="000000"/>
                <w:sz w:val="18"/>
                <w:szCs w:val="18"/>
              </w:rPr>
              <w:t>20060929</w:t>
            </w:r>
          </w:p>
        </w:tc>
      </w:tr>
      <w:tr w:rsidR="008B2C8E" w:rsidRPr="00BA31C7" w:rsidTr="00F74C41">
        <w:trPr>
          <w:trHeight w:val="66"/>
          <w:jc w:val="center"/>
        </w:trPr>
        <w:tc>
          <w:tcPr>
            <w:tcW w:w="2448" w:type="dxa"/>
            <w:tcBorders>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rFonts w:eastAsia="Calibri"/>
                <w:color w:val="000000"/>
                <w:sz w:val="18"/>
                <w:szCs w:val="18"/>
              </w:rPr>
              <w:t>GERD</w:t>
            </w:r>
          </w:p>
        </w:tc>
        <w:tc>
          <w:tcPr>
            <w:tcW w:w="1800" w:type="dxa"/>
            <w:gridSpan w:val="2"/>
            <w:tcBorders>
              <w:left w:val="single" w:sz="4" w:space="0" w:color="auto"/>
              <w:right w:val="thinThickThinSmallGap" w:sz="24" w:space="0" w:color="auto"/>
            </w:tcBorders>
            <w:shd w:val="clear" w:color="auto" w:fill="FFFFFF"/>
            <w:vAlign w:val="center"/>
          </w:tcPr>
          <w:p w:rsidR="008B2C8E" w:rsidRPr="00C66E28" w:rsidRDefault="008B2C8E" w:rsidP="00F74C41">
            <w:pPr>
              <w:spacing w:line="220" w:lineRule="exact"/>
              <w:contextualSpacing/>
              <w:rPr>
                <w:rFonts w:eastAsia="Calibri"/>
                <w:color w:val="000000"/>
                <w:sz w:val="18"/>
                <w:szCs w:val="18"/>
              </w:rPr>
            </w:pPr>
            <w:r w:rsidRPr="00C66E28">
              <w:rPr>
                <w:rFonts w:eastAsia="Calibri"/>
                <w:color w:val="000000"/>
                <w:sz w:val="18"/>
                <w:szCs w:val="18"/>
              </w:rPr>
              <w:t>Not Unfitting</w:t>
            </w:r>
          </w:p>
        </w:tc>
        <w:tc>
          <w:tcPr>
            <w:tcW w:w="2340" w:type="dxa"/>
            <w:tcBorders>
              <w:left w:val="thinThickThinSmallGap" w:sz="24" w:space="0" w:color="auto"/>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color w:val="000000"/>
                <w:sz w:val="18"/>
                <w:szCs w:val="18"/>
              </w:rPr>
              <w:t>GERD</w:t>
            </w:r>
          </w:p>
        </w:tc>
        <w:tc>
          <w:tcPr>
            <w:tcW w:w="1080" w:type="dxa"/>
            <w:tcBorders>
              <w:left w:val="single" w:sz="4" w:space="0" w:color="auto"/>
              <w:righ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color w:val="000000"/>
                <w:sz w:val="18"/>
                <w:szCs w:val="18"/>
              </w:rPr>
              <w:t>7346</w:t>
            </w:r>
          </w:p>
        </w:tc>
        <w:tc>
          <w:tcPr>
            <w:tcW w:w="720" w:type="dxa"/>
            <w:tcBorders>
              <w:lef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color w:val="000000"/>
                <w:sz w:val="18"/>
                <w:szCs w:val="18"/>
              </w:rPr>
              <w:t>10%</w:t>
            </w:r>
          </w:p>
        </w:tc>
        <w:tc>
          <w:tcPr>
            <w:tcW w:w="990" w:type="dxa"/>
            <w:shd w:val="clear" w:color="auto" w:fill="FFFFFF"/>
            <w:vAlign w:val="center"/>
          </w:tcPr>
          <w:p w:rsidR="008B2C8E" w:rsidRPr="00BA31C7" w:rsidRDefault="008B2C8E" w:rsidP="00F74C41">
            <w:pPr>
              <w:spacing w:line="220" w:lineRule="exact"/>
              <w:contextualSpacing/>
              <w:rPr>
                <w:color w:val="000000"/>
                <w:sz w:val="18"/>
                <w:szCs w:val="18"/>
              </w:rPr>
            </w:pPr>
            <w:r w:rsidRPr="00BA31C7">
              <w:rPr>
                <w:color w:val="000000"/>
                <w:sz w:val="18"/>
                <w:szCs w:val="18"/>
              </w:rPr>
              <w:t>20060929</w:t>
            </w:r>
          </w:p>
        </w:tc>
      </w:tr>
      <w:tr w:rsidR="008B2C8E" w:rsidRPr="00C66E28" w:rsidTr="00F74C41">
        <w:trPr>
          <w:trHeight w:val="66"/>
          <w:jc w:val="center"/>
        </w:trPr>
        <w:tc>
          <w:tcPr>
            <w:tcW w:w="2448" w:type="dxa"/>
            <w:tcBorders>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color w:val="000000"/>
                <w:sz w:val="18"/>
                <w:szCs w:val="18"/>
              </w:rPr>
              <w:t>Asymptomatic Nephrolithiasis</w:t>
            </w:r>
          </w:p>
        </w:tc>
        <w:tc>
          <w:tcPr>
            <w:tcW w:w="1800" w:type="dxa"/>
            <w:gridSpan w:val="2"/>
            <w:tcBorders>
              <w:left w:val="single" w:sz="4" w:space="0" w:color="auto"/>
              <w:right w:val="thinThickThinSmallGap" w:sz="2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sidRPr="00C66E28">
              <w:rPr>
                <w:rFonts w:eastAsia="Calibri"/>
                <w:color w:val="000000"/>
                <w:sz w:val="18"/>
                <w:szCs w:val="18"/>
              </w:rPr>
              <w:t>Not Unfitting</w:t>
            </w:r>
          </w:p>
        </w:tc>
        <w:tc>
          <w:tcPr>
            <w:tcW w:w="2340" w:type="dxa"/>
            <w:tcBorders>
              <w:left w:val="thinThickThinSmallGap" w:sz="24" w:space="0" w:color="auto"/>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color w:val="000000"/>
                <w:sz w:val="18"/>
                <w:szCs w:val="18"/>
              </w:rPr>
              <w:t>Nephrolithiasis</w:t>
            </w:r>
          </w:p>
        </w:tc>
        <w:tc>
          <w:tcPr>
            <w:tcW w:w="1080" w:type="dxa"/>
            <w:tcBorders>
              <w:left w:val="single" w:sz="4" w:space="0" w:color="auto"/>
              <w:righ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color w:val="000000"/>
                <w:sz w:val="18"/>
                <w:szCs w:val="18"/>
              </w:rPr>
              <w:t>7508</w:t>
            </w:r>
          </w:p>
        </w:tc>
        <w:tc>
          <w:tcPr>
            <w:tcW w:w="720" w:type="dxa"/>
            <w:tcBorders>
              <w:lef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color w:val="000000"/>
                <w:sz w:val="18"/>
                <w:szCs w:val="18"/>
              </w:rPr>
              <w:t>0%</w:t>
            </w:r>
          </w:p>
        </w:tc>
        <w:tc>
          <w:tcPr>
            <w:tcW w:w="990" w:type="dxa"/>
            <w:shd w:val="clear" w:color="auto" w:fill="FFFFFF"/>
            <w:vAlign w:val="center"/>
          </w:tcPr>
          <w:p w:rsidR="008B2C8E" w:rsidRPr="00BA31C7" w:rsidRDefault="008B2C8E" w:rsidP="00F74C41">
            <w:pPr>
              <w:spacing w:line="220" w:lineRule="exact"/>
              <w:contextualSpacing/>
              <w:rPr>
                <w:color w:val="000000"/>
                <w:sz w:val="18"/>
                <w:szCs w:val="18"/>
              </w:rPr>
            </w:pPr>
            <w:r w:rsidRPr="00BA31C7">
              <w:rPr>
                <w:color w:val="000000"/>
                <w:sz w:val="18"/>
                <w:szCs w:val="18"/>
              </w:rPr>
              <w:t>20060929</w:t>
            </w:r>
          </w:p>
        </w:tc>
      </w:tr>
      <w:tr w:rsidR="008B2C8E" w:rsidRPr="00C66E28" w:rsidTr="00F74C41">
        <w:trPr>
          <w:trHeight w:val="66"/>
          <w:jc w:val="center"/>
        </w:trPr>
        <w:tc>
          <w:tcPr>
            <w:tcW w:w="2448" w:type="dxa"/>
            <w:tcBorders>
              <w:right w:val="single" w:sz="4" w:space="0" w:color="auto"/>
            </w:tcBorders>
            <w:shd w:val="clear" w:color="auto" w:fill="FFFFFF"/>
            <w:vAlign w:val="center"/>
          </w:tcPr>
          <w:p w:rsidR="008B2C8E" w:rsidRPr="00C66E28" w:rsidRDefault="008B2C8E" w:rsidP="00F74C41">
            <w:pPr>
              <w:spacing w:line="220" w:lineRule="exact"/>
              <w:contextualSpacing/>
              <w:jc w:val="left"/>
              <w:rPr>
                <w:rFonts w:eastAsia="Calibri"/>
                <w:color w:val="000000"/>
                <w:sz w:val="18"/>
                <w:szCs w:val="18"/>
              </w:rPr>
            </w:pPr>
            <w:r>
              <w:rPr>
                <w:rFonts w:eastAsia="Calibri"/>
                <w:color w:val="000000"/>
                <w:sz w:val="18"/>
                <w:szCs w:val="18"/>
              </w:rPr>
              <w:t>Right Inguinal Hernia</w:t>
            </w:r>
          </w:p>
        </w:tc>
        <w:tc>
          <w:tcPr>
            <w:tcW w:w="1800" w:type="dxa"/>
            <w:gridSpan w:val="2"/>
            <w:tcBorders>
              <w:left w:val="single" w:sz="4" w:space="0" w:color="auto"/>
              <w:right w:val="thinThickThinSmallGap" w:sz="24" w:space="0" w:color="auto"/>
            </w:tcBorders>
            <w:shd w:val="clear" w:color="auto" w:fill="FFFFFF"/>
            <w:vAlign w:val="center"/>
          </w:tcPr>
          <w:p w:rsidR="008B2C8E" w:rsidRPr="00C66E28" w:rsidRDefault="008B2C8E" w:rsidP="00F74C41">
            <w:pPr>
              <w:spacing w:line="220" w:lineRule="exact"/>
              <w:contextualSpacing/>
              <w:rPr>
                <w:rFonts w:eastAsia="Calibri"/>
                <w:color w:val="000000"/>
                <w:sz w:val="18"/>
                <w:szCs w:val="18"/>
              </w:rPr>
            </w:pPr>
            <w:r>
              <w:rPr>
                <w:color w:val="000000"/>
                <w:sz w:val="18"/>
                <w:szCs w:val="18"/>
              </w:rPr>
              <w:t>Not Unfitting</w:t>
            </w:r>
          </w:p>
        </w:tc>
        <w:tc>
          <w:tcPr>
            <w:tcW w:w="2340" w:type="dxa"/>
            <w:tcBorders>
              <w:left w:val="thinThickThinSmallGap" w:sz="24" w:space="0" w:color="auto"/>
              <w:right w:val="single" w:sz="4" w:space="0" w:color="auto"/>
            </w:tcBorders>
            <w:shd w:val="clear" w:color="auto" w:fill="FFFFFF"/>
            <w:vAlign w:val="center"/>
          </w:tcPr>
          <w:p w:rsidR="008B2C8E" w:rsidRDefault="008B2C8E" w:rsidP="00F74C41">
            <w:pPr>
              <w:spacing w:line="220" w:lineRule="exact"/>
              <w:contextualSpacing/>
              <w:jc w:val="left"/>
              <w:rPr>
                <w:color w:val="000000"/>
                <w:sz w:val="18"/>
                <w:szCs w:val="18"/>
              </w:rPr>
            </w:pPr>
            <w:r>
              <w:rPr>
                <w:color w:val="000000"/>
                <w:sz w:val="18"/>
                <w:szCs w:val="18"/>
              </w:rPr>
              <w:t>Inguinal Hernia</w:t>
            </w:r>
          </w:p>
        </w:tc>
        <w:tc>
          <w:tcPr>
            <w:tcW w:w="1080" w:type="dxa"/>
            <w:tcBorders>
              <w:left w:val="single" w:sz="4" w:space="0" w:color="auto"/>
              <w:right w:val="single" w:sz="4" w:space="0" w:color="auto"/>
            </w:tcBorders>
            <w:shd w:val="clear" w:color="auto" w:fill="FFFFFF"/>
            <w:vAlign w:val="center"/>
          </w:tcPr>
          <w:p w:rsidR="008B2C8E" w:rsidRDefault="008B2C8E" w:rsidP="00F74C41">
            <w:pPr>
              <w:spacing w:line="220" w:lineRule="exact"/>
              <w:contextualSpacing/>
              <w:rPr>
                <w:color w:val="000000"/>
                <w:sz w:val="18"/>
                <w:szCs w:val="18"/>
              </w:rPr>
            </w:pPr>
            <w:r>
              <w:rPr>
                <w:color w:val="000000"/>
                <w:sz w:val="18"/>
                <w:szCs w:val="18"/>
              </w:rPr>
              <w:t>7338</w:t>
            </w:r>
          </w:p>
        </w:tc>
        <w:tc>
          <w:tcPr>
            <w:tcW w:w="720" w:type="dxa"/>
            <w:tcBorders>
              <w:left w:val="single" w:sz="4" w:space="0" w:color="auto"/>
            </w:tcBorders>
            <w:shd w:val="clear" w:color="auto" w:fill="FFFFFF"/>
            <w:vAlign w:val="center"/>
          </w:tcPr>
          <w:p w:rsidR="008B2C8E" w:rsidRDefault="008B2C8E" w:rsidP="00F74C41">
            <w:pPr>
              <w:spacing w:line="220" w:lineRule="exact"/>
              <w:contextualSpacing/>
              <w:rPr>
                <w:color w:val="000000"/>
                <w:sz w:val="18"/>
                <w:szCs w:val="18"/>
              </w:rPr>
            </w:pPr>
            <w:r>
              <w:rPr>
                <w:color w:val="000000"/>
                <w:sz w:val="18"/>
                <w:szCs w:val="18"/>
              </w:rPr>
              <w:t>0%</w:t>
            </w:r>
          </w:p>
        </w:tc>
        <w:tc>
          <w:tcPr>
            <w:tcW w:w="990" w:type="dxa"/>
            <w:shd w:val="clear" w:color="auto" w:fill="FFFFFF"/>
            <w:vAlign w:val="center"/>
          </w:tcPr>
          <w:p w:rsidR="008B2C8E" w:rsidRPr="00C66E28" w:rsidRDefault="008B2C8E" w:rsidP="00F74C41">
            <w:pPr>
              <w:spacing w:line="220" w:lineRule="exact"/>
              <w:contextualSpacing/>
              <w:rPr>
                <w:color w:val="000000"/>
                <w:sz w:val="18"/>
                <w:szCs w:val="18"/>
                <w:highlight w:val="yellow"/>
              </w:rPr>
            </w:pPr>
            <w:r w:rsidRPr="00BA31C7">
              <w:rPr>
                <w:color w:val="000000"/>
                <w:sz w:val="18"/>
                <w:szCs w:val="18"/>
              </w:rPr>
              <w:t>20060929</w:t>
            </w:r>
          </w:p>
        </w:tc>
      </w:tr>
      <w:tr w:rsidR="008B2C8E" w:rsidRPr="00C66E28" w:rsidTr="00F74C41">
        <w:trPr>
          <w:trHeight w:val="66"/>
          <w:jc w:val="center"/>
        </w:trPr>
        <w:tc>
          <w:tcPr>
            <w:tcW w:w="2448" w:type="dxa"/>
            <w:tcBorders>
              <w:right w:val="single" w:sz="4" w:space="0" w:color="auto"/>
            </w:tcBorders>
            <w:shd w:val="clear" w:color="auto" w:fill="FFFFFF"/>
            <w:vAlign w:val="center"/>
          </w:tcPr>
          <w:p w:rsidR="008B2C8E" w:rsidRDefault="008B2C8E" w:rsidP="00F74C41">
            <w:pPr>
              <w:spacing w:line="220" w:lineRule="exact"/>
              <w:contextualSpacing/>
              <w:jc w:val="left"/>
              <w:rPr>
                <w:rFonts w:eastAsia="Calibri"/>
                <w:color w:val="000000"/>
                <w:sz w:val="18"/>
                <w:szCs w:val="18"/>
              </w:rPr>
            </w:pPr>
            <w:r>
              <w:rPr>
                <w:rFonts w:eastAsia="Calibri"/>
                <w:color w:val="000000"/>
                <w:sz w:val="18"/>
                <w:szCs w:val="18"/>
              </w:rPr>
              <w:t>History of Pneumonia</w:t>
            </w:r>
          </w:p>
        </w:tc>
        <w:tc>
          <w:tcPr>
            <w:tcW w:w="1800" w:type="dxa"/>
            <w:gridSpan w:val="2"/>
            <w:tcBorders>
              <w:left w:val="single" w:sz="4" w:space="0" w:color="auto"/>
              <w:right w:val="thinThickThinSmallGap" w:sz="24" w:space="0" w:color="auto"/>
            </w:tcBorders>
            <w:shd w:val="clear" w:color="auto" w:fill="FFFFFF"/>
            <w:vAlign w:val="center"/>
          </w:tcPr>
          <w:p w:rsidR="008B2C8E" w:rsidRDefault="008B2C8E" w:rsidP="00F74C41">
            <w:pPr>
              <w:spacing w:line="220" w:lineRule="exact"/>
              <w:contextualSpacing/>
              <w:rPr>
                <w:color w:val="000000"/>
                <w:sz w:val="18"/>
                <w:szCs w:val="18"/>
              </w:rPr>
            </w:pPr>
            <w:r>
              <w:rPr>
                <w:rFonts w:eastAsia="Calibri"/>
                <w:color w:val="000000"/>
                <w:sz w:val="18"/>
                <w:szCs w:val="18"/>
              </w:rPr>
              <w:t>Not Unfitting</w:t>
            </w:r>
          </w:p>
        </w:tc>
        <w:tc>
          <w:tcPr>
            <w:tcW w:w="2340" w:type="dxa"/>
            <w:tcBorders>
              <w:left w:val="thinThickThinSmallGap" w:sz="24" w:space="0" w:color="auto"/>
              <w:right w:val="single" w:sz="4" w:space="0" w:color="auto"/>
            </w:tcBorders>
            <w:shd w:val="clear" w:color="auto" w:fill="FFFFFF"/>
            <w:vAlign w:val="center"/>
          </w:tcPr>
          <w:p w:rsidR="008B2C8E" w:rsidRDefault="008B2C8E" w:rsidP="00F74C41">
            <w:pPr>
              <w:spacing w:line="220" w:lineRule="exact"/>
              <w:contextualSpacing/>
              <w:jc w:val="left"/>
              <w:rPr>
                <w:color w:val="000000"/>
                <w:sz w:val="18"/>
                <w:szCs w:val="18"/>
              </w:rPr>
            </w:pPr>
            <w:r>
              <w:rPr>
                <w:color w:val="000000"/>
                <w:sz w:val="18"/>
                <w:szCs w:val="18"/>
              </w:rPr>
              <w:t>Residuals of Pneumonia</w:t>
            </w:r>
          </w:p>
        </w:tc>
        <w:tc>
          <w:tcPr>
            <w:tcW w:w="1080" w:type="dxa"/>
            <w:tcBorders>
              <w:left w:val="single" w:sz="4" w:space="0" w:color="auto"/>
              <w:right w:val="single" w:sz="4" w:space="0" w:color="auto"/>
            </w:tcBorders>
            <w:shd w:val="clear" w:color="auto" w:fill="FFFFFF"/>
            <w:vAlign w:val="center"/>
          </w:tcPr>
          <w:p w:rsidR="008B2C8E" w:rsidRDefault="008B2C8E" w:rsidP="00F74C41">
            <w:pPr>
              <w:spacing w:line="220" w:lineRule="exact"/>
              <w:contextualSpacing/>
              <w:rPr>
                <w:color w:val="000000"/>
                <w:sz w:val="18"/>
                <w:szCs w:val="18"/>
              </w:rPr>
            </w:pPr>
            <w:r>
              <w:rPr>
                <w:color w:val="000000"/>
                <w:sz w:val="18"/>
                <w:szCs w:val="18"/>
              </w:rPr>
              <w:t>6899-6843</w:t>
            </w:r>
          </w:p>
        </w:tc>
        <w:tc>
          <w:tcPr>
            <w:tcW w:w="720" w:type="dxa"/>
            <w:tcBorders>
              <w:left w:val="single" w:sz="4" w:space="0" w:color="auto"/>
            </w:tcBorders>
            <w:shd w:val="clear" w:color="auto" w:fill="FFFFFF"/>
            <w:vAlign w:val="center"/>
          </w:tcPr>
          <w:p w:rsidR="008B2C8E" w:rsidRDefault="008B2C8E" w:rsidP="00F74C41">
            <w:pPr>
              <w:spacing w:line="220" w:lineRule="exact"/>
              <w:contextualSpacing/>
              <w:rPr>
                <w:color w:val="000000"/>
                <w:sz w:val="18"/>
                <w:szCs w:val="18"/>
              </w:rPr>
            </w:pPr>
            <w:r>
              <w:rPr>
                <w:color w:val="000000"/>
                <w:sz w:val="18"/>
                <w:szCs w:val="18"/>
              </w:rPr>
              <w:t>NSC</w:t>
            </w:r>
          </w:p>
        </w:tc>
        <w:tc>
          <w:tcPr>
            <w:tcW w:w="990" w:type="dxa"/>
            <w:shd w:val="clear" w:color="auto" w:fill="FFFFFF"/>
            <w:vAlign w:val="center"/>
          </w:tcPr>
          <w:p w:rsidR="008B2C8E" w:rsidRPr="00BA31C7" w:rsidRDefault="008B2C8E" w:rsidP="00F74C41">
            <w:pPr>
              <w:spacing w:line="220" w:lineRule="exact"/>
              <w:contextualSpacing/>
              <w:rPr>
                <w:color w:val="000000"/>
                <w:sz w:val="18"/>
                <w:szCs w:val="18"/>
              </w:rPr>
            </w:pPr>
            <w:r w:rsidRPr="00BA31C7">
              <w:rPr>
                <w:color w:val="000000"/>
                <w:sz w:val="18"/>
                <w:szCs w:val="18"/>
              </w:rPr>
              <w:t>20060927</w:t>
            </w:r>
          </w:p>
        </w:tc>
      </w:tr>
      <w:tr w:rsidR="008B2C8E" w:rsidRPr="00C66E28" w:rsidTr="00F74C41">
        <w:trPr>
          <w:trHeight w:val="66"/>
          <w:jc w:val="center"/>
        </w:trPr>
        <w:tc>
          <w:tcPr>
            <w:tcW w:w="4248" w:type="dxa"/>
            <w:gridSpan w:val="3"/>
            <w:vMerge w:val="restart"/>
            <w:tcBorders>
              <w:right w:val="thinThickThinSmallGap" w:sz="2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sidRPr="00C66E28">
              <w:rPr>
                <w:rFonts w:eastAsia="Calibri"/>
                <w:color w:val="000000"/>
                <w:sz w:val="18"/>
                <w:szCs w:val="18"/>
              </w:rPr>
              <w:t>No Additional MEB/PEB Entries</w:t>
            </w:r>
          </w:p>
        </w:tc>
        <w:tc>
          <w:tcPr>
            <w:tcW w:w="2340" w:type="dxa"/>
            <w:tcBorders>
              <w:left w:val="thinThickThinSmallGap" w:sz="24" w:space="0" w:color="auto"/>
              <w:right w:val="single" w:sz="4" w:space="0" w:color="auto"/>
            </w:tcBorders>
            <w:shd w:val="clear" w:color="auto" w:fill="FFFFFF"/>
            <w:vAlign w:val="center"/>
          </w:tcPr>
          <w:p w:rsidR="008B2C8E" w:rsidRPr="00C66E28" w:rsidRDefault="008B2C8E" w:rsidP="00F74C41">
            <w:pPr>
              <w:spacing w:line="220" w:lineRule="exact"/>
              <w:contextualSpacing/>
              <w:jc w:val="left"/>
              <w:rPr>
                <w:color w:val="000000"/>
                <w:sz w:val="18"/>
                <w:szCs w:val="18"/>
              </w:rPr>
            </w:pPr>
            <w:r>
              <w:rPr>
                <w:color w:val="000000"/>
                <w:sz w:val="18"/>
                <w:szCs w:val="18"/>
              </w:rPr>
              <w:t>Right Trapezius Strain</w:t>
            </w:r>
          </w:p>
        </w:tc>
        <w:tc>
          <w:tcPr>
            <w:tcW w:w="1080" w:type="dxa"/>
            <w:tcBorders>
              <w:left w:val="single" w:sz="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Pr>
                <w:color w:val="000000"/>
                <w:sz w:val="18"/>
                <w:szCs w:val="18"/>
              </w:rPr>
              <w:t>5201-5010</w:t>
            </w:r>
          </w:p>
        </w:tc>
        <w:tc>
          <w:tcPr>
            <w:tcW w:w="720" w:type="dxa"/>
            <w:shd w:val="clear" w:color="auto" w:fill="FFFFFF"/>
            <w:vAlign w:val="center"/>
          </w:tcPr>
          <w:p w:rsidR="008B2C8E" w:rsidRPr="00C66E28" w:rsidRDefault="008B2C8E" w:rsidP="00F74C41">
            <w:pPr>
              <w:spacing w:line="220" w:lineRule="exact"/>
              <w:contextualSpacing/>
              <w:rPr>
                <w:color w:val="000000"/>
                <w:sz w:val="18"/>
                <w:szCs w:val="18"/>
              </w:rPr>
            </w:pPr>
            <w:r>
              <w:rPr>
                <w:color w:val="000000"/>
                <w:sz w:val="18"/>
                <w:szCs w:val="18"/>
              </w:rPr>
              <w:t>10%</w:t>
            </w:r>
          </w:p>
        </w:tc>
        <w:tc>
          <w:tcPr>
            <w:tcW w:w="990" w:type="dxa"/>
            <w:shd w:val="clear" w:color="auto" w:fill="FFFFFF"/>
            <w:vAlign w:val="center"/>
          </w:tcPr>
          <w:p w:rsidR="008B2C8E" w:rsidRPr="00C66E28" w:rsidRDefault="008B2C8E" w:rsidP="00F74C41">
            <w:pPr>
              <w:spacing w:line="220" w:lineRule="exact"/>
              <w:contextualSpacing/>
              <w:rPr>
                <w:color w:val="000000"/>
                <w:sz w:val="18"/>
                <w:szCs w:val="18"/>
                <w:highlight w:val="yellow"/>
              </w:rPr>
            </w:pPr>
            <w:r w:rsidRPr="00BA31C7">
              <w:rPr>
                <w:color w:val="000000"/>
                <w:sz w:val="18"/>
                <w:szCs w:val="18"/>
              </w:rPr>
              <w:t>20061104</w:t>
            </w:r>
          </w:p>
        </w:tc>
      </w:tr>
      <w:tr w:rsidR="008B2C8E" w:rsidRPr="00C66E28" w:rsidTr="00F74C41">
        <w:trPr>
          <w:trHeight w:val="66"/>
          <w:jc w:val="center"/>
        </w:trPr>
        <w:tc>
          <w:tcPr>
            <w:tcW w:w="4248" w:type="dxa"/>
            <w:gridSpan w:val="3"/>
            <w:vMerge/>
            <w:tcBorders>
              <w:right w:val="thinThickThinSmallGap" w:sz="24" w:space="0" w:color="auto"/>
            </w:tcBorders>
            <w:shd w:val="clear" w:color="auto" w:fill="FFFFFF"/>
          </w:tcPr>
          <w:p w:rsidR="008B2C8E" w:rsidRPr="00C66E28" w:rsidRDefault="008B2C8E" w:rsidP="00F74C41">
            <w:pPr>
              <w:spacing w:line="220" w:lineRule="exact"/>
              <w:contextualSpacing/>
              <w:rPr>
                <w:color w:val="000000"/>
                <w:sz w:val="18"/>
                <w:szCs w:val="18"/>
              </w:rPr>
            </w:pPr>
          </w:p>
        </w:tc>
        <w:tc>
          <w:tcPr>
            <w:tcW w:w="4140" w:type="dxa"/>
            <w:gridSpan w:val="3"/>
            <w:tcBorders>
              <w:left w:val="thinThickThinSmallGap" w:sz="24" w:space="0" w:color="auto"/>
            </w:tcBorders>
            <w:shd w:val="clear" w:color="auto" w:fill="FFFFFF"/>
            <w:vAlign w:val="center"/>
          </w:tcPr>
          <w:p w:rsidR="008B2C8E" w:rsidRPr="00C66E28" w:rsidRDefault="008B2C8E" w:rsidP="00F74C41">
            <w:pPr>
              <w:spacing w:line="220" w:lineRule="exact"/>
              <w:contextualSpacing/>
              <w:rPr>
                <w:color w:val="000000"/>
                <w:sz w:val="18"/>
                <w:szCs w:val="18"/>
              </w:rPr>
            </w:pPr>
            <w:r w:rsidRPr="00C66E28">
              <w:rPr>
                <w:rFonts w:eastAsia="Calibri"/>
                <w:color w:val="000000"/>
                <w:sz w:val="18"/>
                <w:szCs w:val="18"/>
              </w:rPr>
              <w:t xml:space="preserve">0% x </w:t>
            </w:r>
            <w:r>
              <w:rPr>
                <w:rFonts w:eastAsia="Calibri"/>
                <w:color w:val="000000"/>
                <w:sz w:val="18"/>
                <w:szCs w:val="18"/>
              </w:rPr>
              <w:t xml:space="preserve">1 Additional </w:t>
            </w:r>
            <w:r w:rsidRPr="00C66E28">
              <w:rPr>
                <w:rFonts w:eastAsia="Calibri"/>
                <w:color w:val="000000"/>
                <w:sz w:val="18"/>
                <w:szCs w:val="18"/>
              </w:rPr>
              <w:t>/</w:t>
            </w:r>
            <w:r>
              <w:rPr>
                <w:rFonts w:eastAsia="Calibri"/>
                <w:color w:val="000000"/>
                <w:sz w:val="18"/>
                <w:szCs w:val="18"/>
              </w:rPr>
              <w:t xml:space="preserve"> </w:t>
            </w:r>
            <w:r w:rsidRPr="00C66E28">
              <w:rPr>
                <w:rFonts w:eastAsia="Calibri"/>
                <w:color w:val="000000"/>
                <w:sz w:val="18"/>
                <w:szCs w:val="18"/>
              </w:rPr>
              <w:t xml:space="preserve">Not Service Connected </w:t>
            </w:r>
            <w:r>
              <w:rPr>
                <w:rFonts w:eastAsia="Calibri"/>
                <w:color w:val="000000"/>
                <w:sz w:val="18"/>
                <w:szCs w:val="18"/>
              </w:rPr>
              <w:t xml:space="preserve">(NSC) </w:t>
            </w:r>
            <w:r w:rsidRPr="00C66E28">
              <w:rPr>
                <w:rFonts w:eastAsia="Calibri"/>
                <w:color w:val="000000"/>
                <w:sz w:val="18"/>
                <w:szCs w:val="18"/>
              </w:rPr>
              <w:t xml:space="preserve">x </w:t>
            </w:r>
            <w:r>
              <w:rPr>
                <w:rFonts w:eastAsia="Calibri"/>
                <w:color w:val="000000"/>
                <w:sz w:val="18"/>
                <w:szCs w:val="18"/>
              </w:rPr>
              <w:t>1</w:t>
            </w:r>
          </w:p>
        </w:tc>
        <w:tc>
          <w:tcPr>
            <w:tcW w:w="990" w:type="dxa"/>
            <w:shd w:val="clear" w:color="auto" w:fill="FFFFFF"/>
            <w:vAlign w:val="center"/>
          </w:tcPr>
          <w:p w:rsidR="008B2C8E" w:rsidRPr="00C66E28" w:rsidRDefault="008B2C8E" w:rsidP="00F74C41">
            <w:pPr>
              <w:spacing w:line="220" w:lineRule="exact"/>
              <w:contextualSpacing/>
              <w:rPr>
                <w:color w:val="000000"/>
                <w:sz w:val="18"/>
                <w:szCs w:val="18"/>
              </w:rPr>
            </w:pPr>
            <w:r w:rsidRPr="00C66E28">
              <w:rPr>
                <w:rFonts w:eastAsia="Calibri"/>
                <w:color w:val="000000"/>
                <w:sz w:val="18"/>
                <w:szCs w:val="18"/>
              </w:rPr>
              <w:t>200</w:t>
            </w:r>
            <w:r>
              <w:rPr>
                <w:rFonts w:eastAsia="Calibri"/>
                <w:color w:val="000000"/>
                <w:sz w:val="18"/>
                <w:szCs w:val="18"/>
              </w:rPr>
              <w:t>60929</w:t>
            </w:r>
          </w:p>
        </w:tc>
      </w:tr>
      <w:tr w:rsidR="008B2C8E" w:rsidRPr="00C66E28" w:rsidTr="00F74C41">
        <w:trPr>
          <w:trHeight w:val="115"/>
          <w:jc w:val="center"/>
        </w:trPr>
        <w:tc>
          <w:tcPr>
            <w:tcW w:w="4248" w:type="dxa"/>
            <w:gridSpan w:val="3"/>
            <w:tcBorders>
              <w:right w:val="thinThickThinSmallGap" w:sz="24" w:space="0" w:color="auto"/>
            </w:tcBorders>
            <w:shd w:val="clear" w:color="auto" w:fill="D9D9D9"/>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20</w:t>
            </w:r>
            <w:r w:rsidRPr="00C66E28">
              <w:rPr>
                <w:rFonts w:eastAsia="Calibri"/>
                <w:b/>
                <w:color w:val="000000"/>
                <w:sz w:val="18"/>
                <w:szCs w:val="18"/>
              </w:rPr>
              <w:t>%</w:t>
            </w:r>
          </w:p>
        </w:tc>
        <w:tc>
          <w:tcPr>
            <w:tcW w:w="5130" w:type="dxa"/>
            <w:gridSpan w:val="4"/>
            <w:tcBorders>
              <w:left w:val="thinThickThinSmallGap" w:sz="24" w:space="0" w:color="auto"/>
            </w:tcBorders>
            <w:shd w:val="clear" w:color="auto" w:fill="D9D9D9"/>
          </w:tcPr>
          <w:p w:rsidR="008B2C8E" w:rsidRPr="00C66E28" w:rsidRDefault="008B2C8E" w:rsidP="00F74C41">
            <w:pPr>
              <w:contextualSpacing/>
              <w:rPr>
                <w:rFonts w:eastAsia="Calibri"/>
                <w:b/>
                <w:color w:val="000000"/>
                <w:sz w:val="18"/>
                <w:szCs w:val="18"/>
              </w:rPr>
            </w:pPr>
            <w:r w:rsidRPr="00C66E28">
              <w:rPr>
                <w:rFonts w:eastAsia="Calibri"/>
                <w:b/>
                <w:color w:val="000000"/>
                <w:sz w:val="18"/>
                <w:szCs w:val="18"/>
              </w:rPr>
              <w:t xml:space="preserve">Combined:  </w:t>
            </w:r>
            <w:r>
              <w:rPr>
                <w:rFonts w:eastAsia="Calibri"/>
                <w:b/>
                <w:color w:val="000000"/>
                <w:sz w:val="18"/>
                <w:szCs w:val="18"/>
              </w:rPr>
              <w:t>4</w:t>
            </w:r>
            <w:r w:rsidRPr="00C66E28">
              <w:rPr>
                <w:rFonts w:eastAsia="Calibri"/>
                <w:b/>
                <w:color w:val="000000"/>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6768A0" w:rsidRDefault="00AD2379" w:rsidP="006768A0">
      <w:pPr>
        <w:jc w:val="both"/>
        <w:rPr>
          <w:rFonts w:eastAsia="Calibri"/>
          <w:color w:val="auto"/>
          <w:szCs w:val="24"/>
        </w:rPr>
      </w:pPr>
      <w:r w:rsidRPr="001F29F9">
        <w:rPr>
          <w:color w:val="000000"/>
          <w:u w:val="single"/>
        </w:rPr>
        <w:t>ANALYSIS SUMMARY</w:t>
      </w:r>
      <w:r w:rsidRPr="001F29F9">
        <w:rPr>
          <w:color w:val="000000"/>
        </w:rPr>
        <w:t>:</w:t>
      </w:r>
      <w:r>
        <w:rPr>
          <w:color w:val="000000"/>
        </w:rPr>
        <w:t xml:space="preserve"> </w:t>
      </w:r>
      <w:r w:rsidR="006768A0" w:rsidRPr="006768A0">
        <w:rPr>
          <w:rFonts w:eastAsia="Calibri"/>
          <w:color w:val="auto"/>
          <w:szCs w:val="24"/>
        </w:rPr>
        <w:t>The Board notes the current VA ratings listed by the CI for his service</w:t>
      </w:r>
      <w:r w:rsidR="00D42F8A">
        <w:rPr>
          <w:rFonts w:eastAsia="Calibri"/>
          <w:color w:val="auto"/>
          <w:szCs w:val="24"/>
        </w:rPr>
        <w:t>-</w:t>
      </w:r>
      <w:r w:rsidR="006768A0" w:rsidRPr="006768A0">
        <w:rPr>
          <w:rFonts w:eastAsia="Calibri"/>
          <w:color w:val="auto"/>
          <w:szCs w:val="24"/>
        </w:rPr>
        <w:t xml:space="preserve">connected conditions and </w:t>
      </w:r>
      <w:r w:rsidR="006768A0">
        <w:rPr>
          <w:rFonts w:eastAsia="Calibri"/>
          <w:color w:val="auto"/>
          <w:szCs w:val="24"/>
        </w:rPr>
        <w:t>hi</w:t>
      </w:r>
      <w:r w:rsidR="001907A2">
        <w:rPr>
          <w:rFonts w:eastAsia="Calibri"/>
          <w:color w:val="auto"/>
          <w:szCs w:val="24"/>
        </w:rPr>
        <w:t>s request</w:t>
      </w:r>
      <w:r w:rsidR="006768A0">
        <w:rPr>
          <w:rFonts w:eastAsia="Calibri"/>
          <w:color w:val="auto"/>
          <w:szCs w:val="24"/>
        </w:rPr>
        <w:t xml:space="preserve"> </w:t>
      </w:r>
      <w:r w:rsidR="006768A0" w:rsidRPr="006768A0">
        <w:rPr>
          <w:rFonts w:eastAsia="Calibri"/>
          <w:color w:val="auto"/>
          <w:szCs w:val="24"/>
        </w:rPr>
        <w:t xml:space="preserve">for </w:t>
      </w:r>
      <w:r w:rsidR="006B2B56">
        <w:rPr>
          <w:rFonts w:eastAsia="Calibri"/>
          <w:color w:val="auto"/>
          <w:szCs w:val="24"/>
        </w:rPr>
        <w:t>service</w:t>
      </w:r>
      <w:r w:rsidR="006768A0" w:rsidRPr="006768A0">
        <w:rPr>
          <w:rFonts w:eastAsia="Calibri"/>
          <w:color w:val="auto"/>
          <w:szCs w:val="24"/>
        </w:rPr>
        <w:t xml:space="preserve"> rating of </w:t>
      </w:r>
      <w:r w:rsidR="001907A2">
        <w:rPr>
          <w:rFonts w:eastAsia="Calibri"/>
          <w:color w:val="auto"/>
          <w:szCs w:val="24"/>
        </w:rPr>
        <w:t>urinary retention (determined by the PEB to be not unfitting);</w:t>
      </w:r>
      <w:r w:rsidR="006768A0" w:rsidRPr="006768A0">
        <w:rPr>
          <w:rFonts w:eastAsia="Calibri"/>
          <w:color w:val="auto"/>
          <w:szCs w:val="24"/>
        </w:rPr>
        <w:t xml:space="preserve"> and, must clarify that it is subject to the same laws for </w:t>
      </w:r>
      <w:r w:rsidR="006B2B56">
        <w:rPr>
          <w:rFonts w:eastAsia="Calibri"/>
          <w:color w:val="auto"/>
          <w:szCs w:val="24"/>
        </w:rPr>
        <w:t>service</w:t>
      </w:r>
      <w:r w:rsidR="006768A0" w:rsidRPr="006768A0">
        <w:rPr>
          <w:rFonts w:eastAsia="Calibri"/>
          <w:color w:val="auto"/>
          <w:szCs w:val="24"/>
        </w:rPr>
        <w:t xml:space="preserve"> disability entitlements as those under which the </w:t>
      </w:r>
      <w:r w:rsidR="00D42F8A">
        <w:rPr>
          <w:rFonts w:eastAsia="Calibri"/>
          <w:color w:val="auto"/>
          <w:szCs w:val="24"/>
        </w:rPr>
        <w:t xml:space="preserve">Disability Evaluation System (DES) operates.  The </w:t>
      </w:r>
      <w:r w:rsidR="006768A0" w:rsidRPr="006768A0">
        <w:rPr>
          <w:rFonts w:eastAsia="Calibri"/>
          <w:color w:val="auto"/>
          <w:szCs w:val="24"/>
        </w:rPr>
        <w:t>DES has neither the role nor the authority to compensate service members for anticipated future severity or potential complications of conditions resulting in medical separation.  That role and authority is granted by Congress to the Department of Veteran</w:t>
      </w:r>
      <w:r w:rsidR="00D42F8A">
        <w:rPr>
          <w:rFonts w:eastAsia="Calibri"/>
          <w:color w:val="auto"/>
          <w:szCs w:val="24"/>
        </w:rPr>
        <w:t>s’</w:t>
      </w:r>
      <w:r w:rsidR="006768A0" w:rsidRPr="006768A0">
        <w:rPr>
          <w:rFonts w:eastAsia="Calibri"/>
          <w:color w:val="auto"/>
          <w:szCs w:val="24"/>
        </w:rPr>
        <w:t xml:space="preserve"> Affairs (DVA), operating under a different set of laws (Title 38, United States Code).  The Board evaluates </w:t>
      </w:r>
      <w:r w:rsidR="00DE2989">
        <w:rPr>
          <w:rFonts w:eastAsia="Calibri"/>
          <w:color w:val="auto"/>
          <w:szCs w:val="24"/>
        </w:rPr>
        <w:t>D</w:t>
      </w:r>
      <w:r w:rsidR="006768A0" w:rsidRPr="006768A0">
        <w:rPr>
          <w:rFonts w:eastAsia="Calibri"/>
          <w:color w:val="auto"/>
          <w:szCs w:val="24"/>
        </w:rPr>
        <w:t>VA evidence proximate to separation in arriving at its recommendations, but its authority resides</w:t>
      </w:r>
      <w:r w:rsidR="006B2B56">
        <w:rPr>
          <w:rFonts w:eastAsia="Calibri"/>
          <w:color w:val="auto"/>
          <w:szCs w:val="24"/>
        </w:rPr>
        <w:t xml:space="preserve"> in evaluating the fairness of s</w:t>
      </w:r>
      <w:r w:rsidR="006768A0" w:rsidRPr="006768A0">
        <w:rPr>
          <w:rFonts w:eastAsia="Calibri"/>
          <w:color w:val="auto"/>
          <w:szCs w:val="24"/>
        </w:rPr>
        <w:t xml:space="preserve">ervice rating determinations for disability at the </w:t>
      </w:r>
      <w:r w:rsidR="00D42F8A">
        <w:rPr>
          <w:rFonts w:eastAsia="Calibri"/>
          <w:color w:val="auto"/>
          <w:szCs w:val="24"/>
        </w:rPr>
        <w:t xml:space="preserve">time of separation.  While the </w:t>
      </w:r>
      <w:r w:rsidR="006768A0" w:rsidRPr="006768A0">
        <w:rPr>
          <w:rFonts w:eastAsia="Calibri"/>
          <w:color w:val="auto"/>
          <w:szCs w:val="24"/>
        </w:rPr>
        <w:t xml:space="preserve">DES considers all of the service member's medical conditions, compensation can only be offered for those medical conditions that cut short the member’s service career; and then only to the degree of severity present at the time of </w:t>
      </w:r>
      <w:r w:rsidR="00463456">
        <w:rPr>
          <w:rFonts w:eastAsia="Calibri"/>
          <w:color w:val="auto"/>
          <w:szCs w:val="24"/>
        </w:rPr>
        <w:t>separation</w:t>
      </w:r>
      <w:r w:rsidR="006768A0" w:rsidRPr="006768A0">
        <w:rPr>
          <w:rFonts w:eastAsia="Calibri"/>
          <w:color w:val="auto"/>
          <w:szCs w:val="24"/>
        </w:rPr>
        <w:t>.  The DVA, however, is empowered to compensate service</w:t>
      </w:r>
      <w:r w:rsidR="006B2B56">
        <w:rPr>
          <w:rFonts w:eastAsia="Calibri"/>
          <w:color w:val="auto"/>
          <w:szCs w:val="24"/>
        </w:rPr>
        <w:t>-</w:t>
      </w:r>
      <w:r w:rsidR="006768A0" w:rsidRPr="006768A0">
        <w:rPr>
          <w:rFonts w:eastAsia="Calibri"/>
          <w:color w:val="auto"/>
          <w:szCs w:val="24"/>
        </w:rPr>
        <w:t xml:space="preserve">connected conditions and to periodically re-evaluate said conditions for the purpose of adjusting the </w:t>
      </w:r>
      <w:r w:rsidR="00DE2989">
        <w:rPr>
          <w:rFonts w:eastAsia="Calibri"/>
          <w:color w:val="auto"/>
          <w:szCs w:val="24"/>
        </w:rPr>
        <w:t>V</w:t>
      </w:r>
      <w:r w:rsidR="006768A0" w:rsidRPr="006768A0">
        <w:rPr>
          <w:rFonts w:eastAsia="Calibri"/>
          <w:color w:val="auto"/>
          <w:szCs w:val="24"/>
        </w:rPr>
        <w:t>etera</w:t>
      </w:r>
      <w:r w:rsidR="00D42F8A">
        <w:rPr>
          <w:rFonts w:eastAsia="Calibri"/>
          <w:color w:val="auto"/>
          <w:szCs w:val="24"/>
        </w:rPr>
        <w:t>n’s disability rating should the</w:t>
      </w:r>
      <w:r w:rsidR="006768A0" w:rsidRPr="006768A0">
        <w:rPr>
          <w:rFonts w:eastAsia="Calibri"/>
          <w:color w:val="auto"/>
          <w:szCs w:val="24"/>
        </w:rPr>
        <w:t xml:space="preserve"> degree of impairment vary over time.  </w:t>
      </w:r>
    </w:p>
    <w:p w:rsidR="006768A0" w:rsidRDefault="006768A0" w:rsidP="006768A0">
      <w:pPr>
        <w:jc w:val="both"/>
        <w:rPr>
          <w:rFonts w:eastAsia="Calibri"/>
          <w:color w:val="auto"/>
          <w:szCs w:val="24"/>
        </w:rPr>
      </w:pPr>
    </w:p>
    <w:p w:rsidR="006768A0" w:rsidRPr="006768A0" w:rsidRDefault="006768A0" w:rsidP="006768A0">
      <w:pPr>
        <w:jc w:val="both"/>
        <w:rPr>
          <w:rFonts w:eastAsia="Calibri"/>
          <w:color w:val="auto"/>
          <w:szCs w:val="24"/>
        </w:rPr>
      </w:pPr>
      <w:r w:rsidRPr="006768A0">
        <w:rPr>
          <w:rFonts w:eastAsia="Calibri"/>
          <w:color w:val="auto"/>
          <w:szCs w:val="24"/>
        </w:rPr>
        <w:t xml:space="preserve">The Board </w:t>
      </w:r>
      <w:r>
        <w:rPr>
          <w:rFonts w:eastAsia="Calibri"/>
          <w:color w:val="auto"/>
          <w:szCs w:val="24"/>
        </w:rPr>
        <w:t xml:space="preserve">further </w:t>
      </w:r>
      <w:r w:rsidRPr="006768A0">
        <w:rPr>
          <w:rFonts w:eastAsia="Calibri"/>
          <w:color w:val="auto"/>
          <w:szCs w:val="24"/>
        </w:rPr>
        <w:t xml:space="preserve">acknowledges the CI’s opinion </w:t>
      </w:r>
      <w:r>
        <w:rPr>
          <w:rFonts w:eastAsia="Calibri"/>
          <w:color w:val="auto"/>
          <w:szCs w:val="24"/>
        </w:rPr>
        <w:t>regarding</w:t>
      </w:r>
      <w:r w:rsidRPr="006768A0">
        <w:rPr>
          <w:rFonts w:eastAsia="Calibri"/>
          <w:color w:val="auto"/>
          <w:szCs w:val="24"/>
        </w:rPr>
        <w:t xml:space="preserve"> </w:t>
      </w:r>
      <w:r w:rsidR="006B2B56">
        <w:rPr>
          <w:rFonts w:eastAsia="Calibri"/>
          <w:color w:val="auto"/>
          <w:szCs w:val="24"/>
        </w:rPr>
        <w:t>s</w:t>
      </w:r>
      <w:r w:rsidRPr="006768A0">
        <w:rPr>
          <w:rFonts w:eastAsia="Calibri"/>
          <w:color w:val="auto"/>
          <w:szCs w:val="24"/>
        </w:rPr>
        <w:t xml:space="preserve">ervice medical error </w:t>
      </w:r>
      <w:r>
        <w:rPr>
          <w:rFonts w:eastAsia="Calibri"/>
          <w:color w:val="auto"/>
          <w:szCs w:val="24"/>
        </w:rPr>
        <w:t>and incomplete evaluation and treatment of his conditions</w:t>
      </w:r>
      <w:r w:rsidRPr="006768A0">
        <w:rPr>
          <w:rFonts w:eastAsia="Calibri"/>
          <w:color w:val="auto"/>
          <w:szCs w:val="24"/>
        </w:rPr>
        <w:t>,</w:t>
      </w:r>
      <w:r w:rsidR="006B2B56">
        <w:rPr>
          <w:rFonts w:eastAsia="Calibri"/>
          <w:color w:val="auto"/>
          <w:szCs w:val="24"/>
        </w:rPr>
        <w:t xml:space="preserve"> with the implication that the </w:t>
      </w:r>
      <w:r w:rsidRPr="006768A0">
        <w:rPr>
          <w:rFonts w:eastAsia="Calibri"/>
          <w:color w:val="auto"/>
          <w:szCs w:val="24"/>
        </w:rPr>
        <w:t>disability rating should provide for remedy.</w:t>
      </w:r>
      <w:r>
        <w:rPr>
          <w:rFonts w:eastAsia="Calibri"/>
          <w:color w:val="auto"/>
          <w:szCs w:val="24"/>
        </w:rPr>
        <w:t xml:space="preserve"> </w:t>
      </w:r>
      <w:r w:rsidRPr="006768A0">
        <w:rPr>
          <w:rFonts w:eastAsia="Calibri"/>
          <w:color w:val="auto"/>
          <w:szCs w:val="24"/>
        </w:rPr>
        <w:t xml:space="preserve"> It must be noted for the record that the Board has neither the jurisdiction nor authority to scrutinize or render opinions in reference to a</w:t>
      </w:r>
      <w:r w:rsidR="006B2B56">
        <w:rPr>
          <w:rFonts w:eastAsia="Calibri"/>
          <w:color w:val="auto"/>
          <w:szCs w:val="24"/>
        </w:rPr>
        <w:t>llegations regarding suspected s</w:t>
      </w:r>
      <w:r w:rsidRPr="006768A0">
        <w:rPr>
          <w:rFonts w:eastAsia="Calibri"/>
          <w:color w:val="auto"/>
          <w:szCs w:val="24"/>
        </w:rPr>
        <w:t xml:space="preserve">ervice improprieties or faulty medical care. </w:t>
      </w:r>
      <w:r w:rsidR="0011462F">
        <w:rPr>
          <w:rFonts w:eastAsia="Calibri"/>
          <w:color w:val="auto"/>
          <w:szCs w:val="24"/>
        </w:rPr>
        <w:t xml:space="preserve"> </w:t>
      </w:r>
      <w:r w:rsidRPr="006768A0">
        <w:rPr>
          <w:rFonts w:eastAsia="Calibri"/>
          <w:color w:val="auto"/>
          <w:szCs w:val="24"/>
        </w:rPr>
        <w:t xml:space="preserve">The Board’s role is confined to the review of medical records and all evidence at hand to assess the fairness of PEB disability ratings and fitness determinations as elaborated above. </w:t>
      </w:r>
      <w:r w:rsidR="0011462F">
        <w:rPr>
          <w:rFonts w:eastAsia="Calibri"/>
          <w:color w:val="auto"/>
          <w:szCs w:val="24"/>
        </w:rPr>
        <w:t xml:space="preserve"> </w:t>
      </w:r>
      <w:r w:rsidRPr="006768A0">
        <w:rPr>
          <w:rFonts w:eastAsia="Calibri"/>
          <w:color w:val="auto"/>
          <w:szCs w:val="24"/>
        </w:rPr>
        <w:t>Redress in excess of the Board’s scope of recommendations must be addressed b</w:t>
      </w:r>
      <w:r w:rsidR="00D42F8A">
        <w:rPr>
          <w:rFonts w:eastAsia="Calibri"/>
          <w:color w:val="auto"/>
          <w:szCs w:val="24"/>
        </w:rPr>
        <w:t xml:space="preserve">y the ABCMR </w:t>
      </w:r>
      <w:r w:rsidRPr="006768A0">
        <w:rPr>
          <w:rFonts w:eastAsia="Calibri"/>
          <w:color w:val="auto"/>
          <w:szCs w:val="24"/>
        </w:rPr>
        <w:t>and/or the United States judiciary system.</w:t>
      </w:r>
    </w:p>
    <w:p w:rsidR="00AD2379" w:rsidRPr="00726F84" w:rsidRDefault="00AD2379" w:rsidP="00726F84">
      <w:pPr>
        <w:jc w:val="both"/>
        <w:rPr>
          <w:color w:val="000000"/>
        </w:rPr>
      </w:pPr>
    </w:p>
    <w:p w:rsidR="00542022" w:rsidRPr="00E4396A" w:rsidRDefault="00CA39D6" w:rsidP="00B22D42">
      <w:pPr>
        <w:jc w:val="both"/>
        <w:rPr>
          <w:color w:val="000000"/>
        </w:rPr>
      </w:pPr>
      <w:proofErr w:type="gramStart"/>
      <w:r>
        <w:rPr>
          <w:color w:val="000000"/>
          <w:u w:val="single"/>
        </w:rPr>
        <w:lastRenderedPageBreak/>
        <w:t>Right Wrist</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Pr>
          <w:color w:val="000000"/>
        </w:rPr>
        <w:t xml:space="preserve">The CI fell on his outstretched right hand in August 2000, suffering an initially undiagnosed scaphoid </w:t>
      </w:r>
      <w:r w:rsidR="00645919">
        <w:rPr>
          <w:color w:val="000000"/>
        </w:rPr>
        <w:t xml:space="preserve">(wrist bone) </w:t>
      </w:r>
      <w:r>
        <w:rPr>
          <w:color w:val="000000"/>
        </w:rPr>
        <w:t xml:space="preserve">fracture.  </w:t>
      </w:r>
      <w:r w:rsidR="00645919">
        <w:rPr>
          <w:color w:val="000000"/>
        </w:rPr>
        <w:t xml:space="preserve">With persistent and worsening wrist pain, suspected non-union of the scaphoid was identified in January 2001.  After failed response to casting, he underwent scaphoid/trapezoid/trapezium (STT) fusion and pinning in September 2001.  Initial surgical results were satisfactory, but he suffered recurrent pain in April 2005 following a successful deployment.  At that time he was diagnosed with separation at the scaphoid/trapezium and underwent surgical revision with a bone graft.  This procedure was complicated by a retained drill guide </w:t>
      </w:r>
      <w:r w:rsidR="00463456">
        <w:rPr>
          <w:color w:val="000000"/>
        </w:rPr>
        <w:t>within the scaphoid bone</w:t>
      </w:r>
      <w:r w:rsidR="00645919">
        <w:rPr>
          <w:color w:val="000000"/>
        </w:rPr>
        <w:t xml:space="preserve"> which had broken off intraoperatively.   </w:t>
      </w:r>
      <w:r w:rsidR="00500C7D">
        <w:rPr>
          <w:color w:val="000000"/>
        </w:rPr>
        <w:t>Post-operative recovery was unsatisfactory.  The narrative summary (NARSUM) documented “virtually constant” right hand and wrist pain, rated 5/10 at rest and 8/10 “with usage</w:t>
      </w:r>
      <w:r w:rsidR="00D42F8A">
        <w:rPr>
          <w:color w:val="000000"/>
        </w:rPr>
        <w:t>.</w:t>
      </w:r>
      <w:r w:rsidR="00500C7D">
        <w:rPr>
          <w:color w:val="000000"/>
        </w:rPr>
        <w:t xml:space="preserve">”  </w:t>
      </w:r>
      <w:r w:rsidR="00F560CC">
        <w:rPr>
          <w:color w:val="000000"/>
        </w:rPr>
        <w:t xml:space="preserve">The physical exam noted tenderness over the first metacarpal and STT carpals. </w:t>
      </w:r>
      <w:r w:rsidR="000726F7">
        <w:rPr>
          <w:color w:val="000000"/>
        </w:rPr>
        <w:t xml:space="preserve"> The MEB range-of-motion (ROM) measurements were</w:t>
      </w:r>
      <w:r w:rsidR="00D42F8A">
        <w:rPr>
          <w:color w:val="000000"/>
        </w:rPr>
        <w:t xml:space="preserve"> dorsiflexion (extension) 45⁰ (n</w:t>
      </w:r>
      <w:r w:rsidR="000726F7">
        <w:rPr>
          <w:color w:val="000000"/>
        </w:rPr>
        <w:t>o</w:t>
      </w:r>
      <w:r w:rsidR="00463456">
        <w:rPr>
          <w:color w:val="000000"/>
        </w:rPr>
        <w:t>rmal 70⁰; minimal compensable =</w:t>
      </w:r>
      <w:r w:rsidR="000726F7">
        <w:rPr>
          <w:color w:val="000000"/>
        </w:rPr>
        <w:t xml:space="preserve"> 15⁰</w:t>
      </w:r>
      <w:r w:rsidR="00463456">
        <w:rPr>
          <w:color w:val="000000"/>
        </w:rPr>
        <w:t xml:space="preserve"> = 10%</w:t>
      </w:r>
      <w:r w:rsidR="00D42F8A">
        <w:rPr>
          <w:color w:val="000000"/>
        </w:rPr>
        <w:t>), palmar flexion 30⁰ (n</w:t>
      </w:r>
      <w:r w:rsidR="000726F7">
        <w:rPr>
          <w:color w:val="000000"/>
        </w:rPr>
        <w:t>ormal 80⁰; minimal compensable = 0⁰</w:t>
      </w:r>
      <w:r w:rsidR="00463456">
        <w:rPr>
          <w:color w:val="000000"/>
        </w:rPr>
        <w:t xml:space="preserve"> = 10%</w:t>
      </w:r>
      <w:r w:rsidR="00D42F8A">
        <w:rPr>
          <w:color w:val="000000"/>
        </w:rPr>
        <w:t>), ulnar deviation 30⁰ (n</w:t>
      </w:r>
      <w:r w:rsidR="000726F7">
        <w:rPr>
          <w:color w:val="000000"/>
        </w:rPr>
        <w:t xml:space="preserve">ormal </w:t>
      </w:r>
      <w:r w:rsidR="00E4396A">
        <w:rPr>
          <w:color w:val="000000"/>
        </w:rPr>
        <w:t>45⁰; not ratable), and radial deviation 0⁰ (</w:t>
      </w:r>
      <w:r w:rsidR="00D42F8A">
        <w:rPr>
          <w:color w:val="000000"/>
        </w:rPr>
        <w:t>n</w:t>
      </w:r>
      <w:r w:rsidR="00E4396A">
        <w:rPr>
          <w:color w:val="000000"/>
        </w:rPr>
        <w:t>ormal 20⁰; not ratable).  Similar ROM excursions were corroborated in outpatient notes.</w:t>
      </w:r>
      <w:r w:rsidR="00381F1E">
        <w:rPr>
          <w:color w:val="000000"/>
        </w:rPr>
        <w:t xml:space="preserve"> </w:t>
      </w:r>
      <w:r w:rsidR="00E4396A">
        <w:rPr>
          <w:color w:val="000000"/>
        </w:rPr>
        <w:t xml:space="preserve"> </w:t>
      </w:r>
      <w:r w:rsidR="003D12BC">
        <w:rPr>
          <w:color w:val="000000"/>
        </w:rPr>
        <w:t xml:space="preserve">In addition to the metacarpal tenderness noted above, there was some modest (non-compensable) reduction in thumb mobility.  </w:t>
      </w:r>
      <w:r w:rsidR="00E4396A">
        <w:rPr>
          <w:color w:val="000000"/>
        </w:rPr>
        <w:t xml:space="preserve">At the </w:t>
      </w:r>
      <w:r w:rsidR="00704463">
        <w:rPr>
          <w:color w:val="000000"/>
          <w:szCs w:val="24"/>
        </w:rPr>
        <w:t xml:space="preserve">VA </w:t>
      </w:r>
      <w:r w:rsidR="00704463" w:rsidRPr="00CF0280">
        <w:rPr>
          <w:color w:val="000000"/>
          <w:szCs w:val="24"/>
        </w:rPr>
        <w:t>Compensation and Pension (C&amp;P)</w:t>
      </w:r>
      <w:r w:rsidR="00704463">
        <w:rPr>
          <w:color w:val="000000"/>
          <w:szCs w:val="24"/>
        </w:rPr>
        <w:t xml:space="preserve"> </w:t>
      </w:r>
      <w:r w:rsidR="00704463" w:rsidRPr="00E4396A">
        <w:rPr>
          <w:color w:val="000000"/>
          <w:szCs w:val="24"/>
        </w:rPr>
        <w:t xml:space="preserve">exam </w:t>
      </w:r>
      <w:r w:rsidR="00E4396A" w:rsidRPr="00E4396A">
        <w:rPr>
          <w:color w:val="000000"/>
          <w:szCs w:val="24"/>
        </w:rPr>
        <w:t>(~8</w:t>
      </w:r>
      <w:r w:rsidR="00704463" w:rsidRPr="00E4396A">
        <w:rPr>
          <w:color w:val="000000"/>
          <w:szCs w:val="24"/>
        </w:rPr>
        <w:t xml:space="preserve"> months </w:t>
      </w:r>
      <w:r w:rsidR="00E4396A" w:rsidRPr="00E4396A">
        <w:rPr>
          <w:color w:val="000000"/>
          <w:szCs w:val="24"/>
        </w:rPr>
        <w:t>post</w:t>
      </w:r>
      <w:r w:rsidR="00704463" w:rsidRPr="00E4396A">
        <w:rPr>
          <w:color w:val="000000"/>
          <w:szCs w:val="24"/>
        </w:rPr>
        <w:t>-separation)</w:t>
      </w:r>
      <w:r w:rsidR="00E4396A">
        <w:rPr>
          <w:color w:val="000000"/>
          <w:szCs w:val="24"/>
        </w:rPr>
        <w:t xml:space="preserve">, the examiner noted constant pain with flares rated 3-4/10 </w:t>
      </w:r>
      <w:r w:rsidR="00463456">
        <w:rPr>
          <w:color w:val="000000"/>
          <w:szCs w:val="24"/>
        </w:rPr>
        <w:t>which occurred</w:t>
      </w:r>
      <w:r w:rsidR="00E4396A">
        <w:rPr>
          <w:color w:val="000000"/>
          <w:szCs w:val="24"/>
        </w:rPr>
        <w:t xml:space="preserve"> “2–3 times a week</w:t>
      </w:r>
      <w:r w:rsidR="00D42F8A">
        <w:rPr>
          <w:color w:val="000000"/>
          <w:szCs w:val="24"/>
        </w:rPr>
        <w:t>.</w:t>
      </w:r>
      <w:r w:rsidR="00E4396A">
        <w:rPr>
          <w:color w:val="000000"/>
          <w:szCs w:val="24"/>
        </w:rPr>
        <w:t xml:space="preserve">”  The VA ROM measurements were </w:t>
      </w:r>
      <w:r w:rsidR="00924745">
        <w:rPr>
          <w:color w:val="000000"/>
          <w:szCs w:val="24"/>
        </w:rPr>
        <w:t xml:space="preserve">significantly improved: </w:t>
      </w:r>
      <w:r w:rsidR="00E4396A">
        <w:rPr>
          <w:color w:val="000000"/>
        </w:rPr>
        <w:t xml:space="preserve">dorsiflexion 75⁰, palmar flexion 90⁰, ulnar deviation </w:t>
      </w:r>
      <w:r w:rsidR="00924745">
        <w:rPr>
          <w:color w:val="000000"/>
        </w:rPr>
        <w:t>45</w:t>
      </w:r>
      <w:r w:rsidR="00E4396A">
        <w:rPr>
          <w:color w:val="000000"/>
        </w:rPr>
        <w:t xml:space="preserve">⁰, and radial deviation </w:t>
      </w:r>
      <w:r w:rsidR="00924745">
        <w:rPr>
          <w:color w:val="000000"/>
        </w:rPr>
        <w:t>2</w:t>
      </w:r>
      <w:r w:rsidR="00E4396A">
        <w:rPr>
          <w:color w:val="000000"/>
        </w:rPr>
        <w:t>0⁰.</w:t>
      </w:r>
      <w:r w:rsidR="00734BDB">
        <w:rPr>
          <w:color w:val="000000"/>
        </w:rPr>
        <w:t xml:space="preserve">  </w:t>
      </w:r>
      <w:r w:rsidR="00823B55">
        <w:rPr>
          <w:color w:val="000000"/>
        </w:rPr>
        <w:t xml:space="preserve">Painful motion was documented </w:t>
      </w:r>
      <w:r w:rsidR="00463456">
        <w:rPr>
          <w:color w:val="000000"/>
        </w:rPr>
        <w:t>at</w:t>
      </w:r>
      <w:r w:rsidR="00823B55">
        <w:rPr>
          <w:color w:val="000000"/>
        </w:rPr>
        <w:t xml:space="preserve"> both the MEB and VA examinations. </w:t>
      </w:r>
    </w:p>
    <w:p w:rsidR="00CF0280" w:rsidRDefault="00CF0280" w:rsidP="003D12BC">
      <w:pPr>
        <w:rPr>
          <w:color w:val="000000"/>
          <w:szCs w:val="24"/>
        </w:rPr>
      </w:pPr>
    </w:p>
    <w:p w:rsidR="00F74C41" w:rsidRPr="00E00A7E" w:rsidRDefault="00AD2379" w:rsidP="00F74C41">
      <w:pPr>
        <w:tabs>
          <w:tab w:val="left" w:pos="288"/>
          <w:tab w:val="left" w:pos="4752"/>
        </w:tabs>
        <w:jc w:val="both"/>
        <w:rPr>
          <w:rFonts w:eastAsia="Calibri"/>
          <w:color w:val="auto"/>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EF345B">
        <w:rPr>
          <w:color w:val="000000"/>
          <w:szCs w:val="24"/>
        </w:rPr>
        <w:t xml:space="preserve">VASRD </w:t>
      </w:r>
      <w:r w:rsidR="00F74C41">
        <w:rPr>
          <w:color w:val="auto"/>
        </w:rPr>
        <w:t xml:space="preserve">§4.71a provides only one code for limited motion at the wrist (5215), as applied by the VA, which confers only a 10% rating (independently of the </w:t>
      </w:r>
      <w:r w:rsidR="00463456">
        <w:rPr>
          <w:color w:val="auto"/>
        </w:rPr>
        <w:t>degree</w:t>
      </w:r>
      <w:r w:rsidR="00F74C41">
        <w:rPr>
          <w:color w:val="auto"/>
        </w:rPr>
        <w:t xml:space="preserve"> of ROM impairment or </w:t>
      </w:r>
      <w:r w:rsidR="00FC065E">
        <w:rPr>
          <w:color w:val="auto"/>
        </w:rPr>
        <w:t>hand dominance</w:t>
      </w:r>
      <w:r w:rsidR="00F74C41">
        <w:rPr>
          <w:color w:val="auto"/>
        </w:rPr>
        <w:t xml:space="preserve">).  </w:t>
      </w:r>
      <w:r w:rsidR="00823B55">
        <w:rPr>
          <w:color w:val="auto"/>
        </w:rPr>
        <w:t xml:space="preserve">Application of VASRD §4.59 (painful motion) is supported in this case to achieve </w:t>
      </w:r>
      <w:r w:rsidR="00FC065E">
        <w:rPr>
          <w:color w:val="auto"/>
        </w:rPr>
        <w:t>a</w:t>
      </w:r>
      <w:r w:rsidR="00823B55">
        <w:rPr>
          <w:color w:val="auto"/>
        </w:rPr>
        <w:t xml:space="preserve"> 10% rating under 5215.  </w:t>
      </w:r>
      <w:r w:rsidR="00F74C41">
        <w:rPr>
          <w:color w:val="auto"/>
        </w:rPr>
        <w:t xml:space="preserve">Alternate coding </w:t>
      </w:r>
      <w:r w:rsidR="00EF345B">
        <w:rPr>
          <w:color w:val="auto"/>
        </w:rPr>
        <w:t>and</w:t>
      </w:r>
      <w:r w:rsidR="00F74C41">
        <w:rPr>
          <w:color w:val="auto"/>
        </w:rPr>
        <w:t xml:space="preserve"> rating </w:t>
      </w:r>
      <w:r w:rsidR="00EF345B">
        <w:rPr>
          <w:color w:val="auto"/>
        </w:rPr>
        <w:t>under</w:t>
      </w:r>
      <w:r w:rsidR="00F74C41">
        <w:rPr>
          <w:color w:val="auto"/>
        </w:rPr>
        <w:t xml:space="preserve"> 5003 </w:t>
      </w:r>
      <w:r w:rsidR="00FB46D3">
        <w:rPr>
          <w:color w:val="auto"/>
        </w:rPr>
        <w:t>(degenerative arthritis)</w:t>
      </w:r>
      <w:r w:rsidR="00F74C41">
        <w:rPr>
          <w:color w:val="auto"/>
        </w:rPr>
        <w:t xml:space="preserve">, as </w:t>
      </w:r>
      <w:r w:rsidR="00EF345B">
        <w:rPr>
          <w:color w:val="auto"/>
        </w:rPr>
        <w:t>per</w:t>
      </w:r>
      <w:r w:rsidR="00F74C41">
        <w:rPr>
          <w:color w:val="auto"/>
        </w:rPr>
        <w:t xml:space="preserve"> the PEB, can be supported; but, is not advantageous.  The only higher rating for the wrist requires ankylosis (5214).  </w:t>
      </w:r>
      <w:r w:rsidR="00F74C41" w:rsidRPr="00F74C41">
        <w:rPr>
          <w:rFonts w:eastAsia="Calibri"/>
          <w:color w:val="auto"/>
          <w:szCs w:val="24"/>
        </w:rPr>
        <w:t xml:space="preserve">Although </w:t>
      </w:r>
      <w:r w:rsidR="00F74C41" w:rsidRPr="00F74C41">
        <w:rPr>
          <w:rFonts w:eastAsia="Calibri"/>
          <w:i/>
          <w:color w:val="auto"/>
          <w:szCs w:val="24"/>
        </w:rPr>
        <w:t>analogous</w:t>
      </w:r>
      <w:r w:rsidR="00F74C41" w:rsidRPr="00F74C41">
        <w:rPr>
          <w:rFonts w:eastAsia="Calibri"/>
          <w:color w:val="auto"/>
          <w:szCs w:val="24"/>
        </w:rPr>
        <w:t xml:space="preserve"> rating for ankylosis can be entertained for mobile, </w:t>
      </w:r>
      <w:r w:rsidR="00F74C41" w:rsidRPr="00E00A7E">
        <w:rPr>
          <w:rFonts w:eastAsia="Calibri"/>
          <w:color w:val="auto"/>
          <w:szCs w:val="24"/>
        </w:rPr>
        <w:t xml:space="preserve">but functionally frozen joints, the evidence makes it clear that </w:t>
      </w:r>
      <w:r w:rsidR="00E00A7E" w:rsidRPr="00E00A7E">
        <w:rPr>
          <w:rFonts w:eastAsia="Calibri"/>
          <w:color w:val="auto"/>
          <w:szCs w:val="24"/>
        </w:rPr>
        <w:t>significant</w:t>
      </w:r>
      <w:r w:rsidR="00F74C41" w:rsidRPr="00E00A7E">
        <w:rPr>
          <w:rFonts w:eastAsia="Calibri"/>
          <w:color w:val="auto"/>
          <w:szCs w:val="24"/>
        </w:rPr>
        <w:t xml:space="preserve"> joint excursion was retained in this case.  The Board therefore cannot justify an analogous rating under </w:t>
      </w:r>
      <w:r w:rsidR="00E00A7E" w:rsidRPr="00E00A7E">
        <w:rPr>
          <w:rFonts w:eastAsia="Calibri"/>
          <w:color w:val="auto"/>
          <w:szCs w:val="24"/>
        </w:rPr>
        <w:t>5214</w:t>
      </w:r>
      <w:r w:rsidR="00F74C41" w:rsidRPr="00E00A7E">
        <w:rPr>
          <w:rFonts w:eastAsia="Calibri"/>
          <w:color w:val="auto"/>
          <w:szCs w:val="24"/>
        </w:rPr>
        <w:t>.</w:t>
      </w:r>
      <w:r w:rsidR="00E00A7E" w:rsidRPr="00E00A7E">
        <w:rPr>
          <w:rFonts w:eastAsia="Calibri"/>
          <w:color w:val="auto"/>
          <w:szCs w:val="24"/>
        </w:rPr>
        <w:t xml:space="preserve">  </w:t>
      </w:r>
      <w:r w:rsidR="003D12BC">
        <w:rPr>
          <w:rFonts w:eastAsia="Calibri"/>
          <w:color w:val="auto"/>
          <w:szCs w:val="24"/>
        </w:rPr>
        <w:t xml:space="preserve">Any additional rating for hand (or thumb) impairment in this case is not supported by </w:t>
      </w:r>
      <w:r w:rsidR="009C0207">
        <w:rPr>
          <w:rFonts w:eastAsia="Calibri"/>
          <w:color w:val="auto"/>
          <w:szCs w:val="24"/>
        </w:rPr>
        <w:t xml:space="preserve">§4.71a or justified on fitness grounds.  </w:t>
      </w:r>
      <w:r w:rsidR="00F74C41" w:rsidRPr="00E00A7E">
        <w:rPr>
          <w:color w:val="auto"/>
        </w:rPr>
        <w:t>The Board was left to conclude therefore that there is no §4.71a compliant pathway to a</w:t>
      </w:r>
      <w:r w:rsidR="00F74C41">
        <w:rPr>
          <w:color w:val="auto"/>
        </w:rPr>
        <w:t xml:space="preserve"> rating higher than 10%, although acknowledging </w:t>
      </w:r>
      <w:r w:rsidR="00FC065E">
        <w:rPr>
          <w:color w:val="auto"/>
        </w:rPr>
        <w:t>a</w:t>
      </w:r>
      <w:r w:rsidR="00F74C41">
        <w:rPr>
          <w:color w:val="auto"/>
        </w:rPr>
        <w:t xml:space="preserve"> significant loss of </w:t>
      </w:r>
      <w:r w:rsidR="00FC065E">
        <w:rPr>
          <w:color w:val="auto"/>
        </w:rPr>
        <w:t>mobility of the (dominant) wrist</w:t>
      </w:r>
      <w:r w:rsidR="00F74C41">
        <w:rPr>
          <w:color w:val="auto"/>
        </w:rPr>
        <w:t>.</w:t>
      </w:r>
      <w:r w:rsidR="00F74C41" w:rsidRPr="005A666B">
        <w:rPr>
          <w:rFonts w:eastAsiaTheme="minorHAnsi" w:cstheme="minorBidi"/>
          <w:color w:val="auto"/>
          <w:szCs w:val="24"/>
        </w:rPr>
        <w:t xml:space="preserve"> </w:t>
      </w:r>
      <w:r w:rsidR="00F74C41">
        <w:rPr>
          <w:rFonts w:eastAsiaTheme="minorHAnsi" w:cstheme="minorBidi"/>
          <w:color w:val="auto"/>
          <w:szCs w:val="24"/>
        </w:rPr>
        <w:t xml:space="preserve"> </w:t>
      </w:r>
      <w:r w:rsidR="00F74C41" w:rsidRPr="005A666B">
        <w:rPr>
          <w:color w:val="auto"/>
        </w:rPr>
        <w:t xml:space="preserve">After due deliberation, considering all of the evidence and mindful of VASRD §4.3 (reasonable doubt), </w:t>
      </w:r>
      <w:r w:rsidR="00E00A7E">
        <w:rPr>
          <w:color w:val="auto"/>
        </w:rPr>
        <w:t>members agreed</w:t>
      </w:r>
      <w:r w:rsidR="00F74C41" w:rsidRPr="005A666B">
        <w:rPr>
          <w:color w:val="auto"/>
        </w:rPr>
        <w:t xml:space="preserve"> that there was insufficient cause to recommend a change in the PEB adjudication for the </w:t>
      </w:r>
      <w:r w:rsidR="00F74C41">
        <w:rPr>
          <w:color w:val="auto"/>
        </w:rPr>
        <w:t>right wrist</w:t>
      </w:r>
      <w:r w:rsidR="00F74C41" w:rsidRPr="005A666B">
        <w:rPr>
          <w:color w:val="auto"/>
        </w:rPr>
        <w:t xml:space="preserve"> condition.</w:t>
      </w:r>
      <w:r w:rsidR="003D12BC" w:rsidRPr="003D12BC">
        <w:rPr>
          <w:color w:val="000000"/>
        </w:rPr>
        <w:t xml:space="preserve"> </w:t>
      </w:r>
      <w:r w:rsidR="003D12BC">
        <w:rPr>
          <w:color w:val="000000"/>
        </w:rPr>
        <w:t xml:space="preserve"> </w:t>
      </w:r>
    </w:p>
    <w:p w:rsidR="008B3A0D" w:rsidRDefault="008B3A0D" w:rsidP="00792790">
      <w:pPr>
        <w:jc w:val="both"/>
        <w:rPr>
          <w:rFonts w:eastAsia="Calibri" w:cs="Times New Roman"/>
          <w:color w:val="auto"/>
          <w:szCs w:val="24"/>
          <w:u w:val="single"/>
        </w:rPr>
      </w:pPr>
    </w:p>
    <w:p w:rsidR="00924745" w:rsidRDefault="00924745" w:rsidP="00792790">
      <w:pPr>
        <w:jc w:val="both"/>
        <w:rPr>
          <w:color w:val="000000"/>
          <w:szCs w:val="24"/>
        </w:rPr>
      </w:pPr>
      <w:proofErr w:type="gramStart"/>
      <w:r>
        <w:rPr>
          <w:rFonts w:eastAsia="Calibri" w:cs="Times New Roman"/>
          <w:color w:val="auto"/>
          <w:szCs w:val="24"/>
          <w:u w:val="single"/>
        </w:rPr>
        <w:t>Lumbar Spine Condition</w:t>
      </w:r>
      <w:r>
        <w:rPr>
          <w:rFonts w:eastAsia="Calibri" w:cs="Times New Roman"/>
          <w:color w:val="auto"/>
          <w:szCs w:val="24"/>
        </w:rPr>
        <w:t>.</w:t>
      </w:r>
      <w:proofErr w:type="gramEnd"/>
      <w:r w:rsidR="00E00A7E">
        <w:rPr>
          <w:rFonts w:eastAsia="Calibri" w:cs="Times New Roman"/>
          <w:color w:val="auto"/>
          <w:szCs w:val="24"/>
        </w:rPr>
        <w:t xml:space="preserve">  </w:t>
      </w:r>
      <w:r w:rsidR="00FC065E">
        <w:rPr>
          <w:rFonts w:eastAsia="Calibri" w:cs="Times New Roman"/>
          <w:color w:val="auto"/>
          <w:szCs w:val="24"/>
        </w:rPr>
        <w:t>Low b</w:t>
      </w:r>
      <w:r w:rsidR="00E00A7E">
        <w:rPr>
          <w:rFonts w:eastAsia="Calibri" w:cs="Times New Roman"/>
          <w:color w:val="auto"/>
          <w:szCs w:val="24"/>
        </w:rPr>
        <w:t xml:space="preserve">ack pain began insidiously in 2003 and was managed with physical therapy, chiropractic modalities and temporary profiles until </w:t>
      </w:r>
      <w:r w:rsidR="00F13AED">
        <w:rPr>
          <w:rFonts w:eastAsia="Calibri" w:cs="Times New Roman"/>
          <w:color w:val="auto"/>
          <w:szCs w:val="24"/>
        </w:rPr>
        <w:t xml:space="preserve">the </w:t>
      </w:r>
      <w:r w:rsidR="00E00A7E">
        <w:rPr>
          <w:rFonts w:eastAsia="Calibri" w:cs="Times New Roman"/>
          <w:color w:val="auto"/>
          <w:szCs w:val="24"/>
        </w:rPr>
        <w:t>2005</w:t>
      </w:r>
      <w:r w:rsidR="00F13AED">
        <w:rPr>
          <w:rFonts w:eastAsia="Calibri" w:cs="Times New Roman"/>
          <w:color w:val="auto"/>
          <w:szCs w:val="24"/>
        </w:rPr>
        <w:t xml:space="preserve"> deployment</w:t>
      </w:r>
      <w:r w:rsidR="00E00A7E">
        <w:rPr>
          <w:rFonts w:eastAsia="Calibri" w:cs="Times New Roman"/>
          <w:color w:val="auto"/>
          <w:szCs w:val="24"/>
        </w:rPr>
        <w:t xml:space="preserve">.  </w:t>
      </w:r>
      <w:r w:rsidR="00F13AED">
        <w:rPr>
          <w:rFonts w:eastAsia="Calibri" w:cs="Times New Roman"/>
          <w:color w:val="auto"/>
          <w:szCs w:val="24"/>
        </w:rPr>
        <w:t>On redeployment there</w:t>
      </w:r>
      <w:r w:rsidR="00E00A7E">
        <w:rPr>
          <w:rFonts w:eastAsia="Calibri" w:cs="Times New Roman"/>
          <w:color w:val="auto"/>
          <w:szCs w:val="24"/>
        </w:rPr>
        <w:t xml:space="preserve"> was recalcitrant pain </w:t>
      </w:r>
      <w:r w:rsidR="00734BDB">
        <w:rPr>
          <w:rFonts w:eastAsia="Calibri" w:cs="Times New Roman"/>
          <w:color w:val="auto"/>
          <w:szCs w:val="24"/>
        </w:rPr>
        <w:t>with left leg radiation;</w:t>
      </w:r>
      <w:r w:rsidR="00E00A7E">
        <w:rPr>
          <w:rFonts w:eastAsia="Calibri" w:cs="Times New Roman"/>
          <w:color w:val="auto"/>
          <w:szCs w:val="24"/>
        </w:rPr>
        <w:t xml:space="preserve"> and</w:t>
      </w:r>
      <w:r w:rsidR="00734BDB">
        <w:rPr>
          <w:rFonts w:eastAsia="Calibri" w:cs="Times New Roman"/>
          <w:color w:val="auto"/>
          <w:szCs w:val="24"/>
        </w:rPr>
        <w:t>,</w:t>
      </w:r>
      <w:r w:rsidR="00E00A7E">
        <w:rPr>
          <w:rFonts w:eastAsia="Calibri" w:cs="Times New Roman"/>
          <w:color w:val="auto"/>
          <w:szCs w:val="24"/>
        </w:rPr>
        <w:t xml:space="preserve"> </w:t>
      </w:r>
      <w:r w:rsidR="00734BDB">
        <w:rPr>
          <w:rFonts w:eastAsia="Calibri" w:cs="Times New Roman"/>
          <w:color w:val="auto"/>
          <w:szCs w:val="24"/>
        </w:rPr>
        <w:t xml:space="preserve">magnetic resonance </w:t>
      </w:r>
      <w:r w:rsidR="00E00A7E">
        <w:rPr>
          <w:rFonts w:eastAsia="Calibri" w:cs="Times New Roman"/>
          <w:color w:val="auto"/>
          <w:szCs w:val="24"/>
        </w:rPr>
        <w:t xml:space="preserve">imaging </w:t>
      </w:r>
      <w:r w:rsidR="001C31C6">
        <w:rPr>
          <w:rFonts w:eastAsia="Calibri" w:cs="Times New Roman"/>
          <w:color w:val="auto"/>
          <w:szCs w:val="24"/>
        </w:rPr>
        <w:t xml:space="preserve">(MRI) </w:t>
      </w:r>
      <w:r w:rsidR="00E00A7E">
        <w:rPr>
          <w:rFonts w:eastAsia="Calibri" w:cs="Times New Roman"/>
          <w:color w:val="auto"/>
          <w:szCs w:val="24"/>
        </w:rPr>
        <w:t>d</w:t>
      </w:r>
      <w:r w:rsidR="00734BDB">
        <w:rPr>
          <w:rFonts w:eastAsia="Calibri" w:cs="Times New Roman"/>
          <w:color w:val="auto"/>
          <w:szCs w:val="24"/>
        </w:rPr>
        <w:t>emonstrated a “tiny” central disc extrusion at L4-5 “without stenosis or nerve root displacement” and “minimal facet sclerosis without hypertrophy at L5-S1</w:t>
      </w:r>
      <w:r w:rsidR="00AF7CA6">
        <w:rPr>
          <w:rFonts w:eastAsia="Calibri" w:cs="Times New Roman"/>
          <w:color w:val="auto"/>
          <w:szCs w:val="24"/>
        </w:rPr>
        <w:t>.</w:t>
      </w:r>
      <w:r w:rsidR="00734BDB">
        <w:rPr>
          <w:rFonts w:eastAsia="Calibri" w:cs="Times New Roman"/>
          <w:color w:val="auto"/>
          <w:szCs w:val="24"/>
        </w:rPr>
        <w:t xml:space="preserve">”  There were no surgical indications, and the pain did not respond to epidural injections or continued conservative measures.  </w:t>
      </w:r>
      <w:r w:rsidR="009C0207" w:rsidRPr="00AF7CA6">
        <w:rPr>
          <w:rFonts w:eastAsia="Calibri" w:cs="Times New Roman"/>
          <w:color w:val="auto"/>
          <w:szCs w:val="24"/>
        </w:rPr>
        <w:t>The NARSUM noted</w:t>
      </w:r>
      <w:r w:rsidR="009C0207">
        <w:rPr>
          <w:rFonts w:eastAsia="Calibri" w:cs="Times New Roman"/>
          <w:color w:val="auto"/>
          <w:szCs w:val="24"/>
        </w:rPr>
        <w:t xml:space="preserve"> “lower back pain [which] radiates to [left] hip, leg and foot” rated “5-8/10 on medications at rest and with activity.”</w:t>
      </w:r>
      <w:r w:rsidR="009C0207" w:rsidRPr="009C0207">
        <w:rPr>
          <w:rFonts w:eastAsia="Calibri" w:cs="Times New Roman"/>
          <w:color w:val="auto"/>
          <w:szCs w:val="24"/>
        </w:rPr>
        <w:t xml:space="preserve"> </w:t>
      </w:r>
      <w:r w:rsidR="009C0207">
        <w:rPr>
          <w:rFonts w:eastAsia="Calibri" w:cs="Times New Roman"/>
          <w:color w:val="auto"/>
          <w:szCs w:val="24"/>
        </w:rPr>
        <w:t xml:space="preserve"> </w:t>
      </w:r>
      <w:r w:rsidR="00507254">
        <w:rPr>
          <w:rFonts w:eastAsia="Calibri" w:cs="Times New Roman"/>
          <w:color w:val="auto"/>
          <w:szCs w:val="24"/>
        </w:rPr>
        <w:t>N</w:t>
      </w:r>
      <w:r w:rsidR="009C0207">
        <w:rPr>
          <w:rFonts w:eastAsia="Calibri" w:cs="Times New Roman"/>
          <w:color w:val="auto"/>
          <w:szCs w:val="24"/>
        </w:rPr>
        <w:t xml:space="preserve">eurologic testing </w:t>
      </w:r>
      <w:r w:rsidR="00507254">
        <w:rPr>
          <w:rFonts w:eastAsia="Calibri" w:cs="Times New Roman"/>
          <w:color w:val="auto"/>
          <w:szCs w:val="24"/>
        </w:rPr>
        <w:t xml:space="preserve">per the NARSUM was normal </w:t>
      </w:r>
      <w:r w:rsidR="009C0207">
        <w:rPr>
          <w:rFonts w:eastAsia="Calibri" w:cs="Times New Roman"/>
          <w:color w:val="auto"/>
          <w:szCs w:val="24"/>
        </w:rPr>
        <w:t xml:space="preserve">except for “4+/5” strength on the left vs. 5/5 on the right.  </w:t>
      </w:r>
      <w:r w:rsidR="00507254">
        <w:rPr>
          <w:rFonts w:eastAsia="Calibri" w:cs="Times New Roman"/>
          <w:color w:val="auto"/>
          <w:szCs w:val="24"/>
        </w:rPr>
        <w:t xml:space="preserve">Several </w:t>
      </w:r>
      <w:r w:rsidR="00FC065E">
        <w:rPr>
          <w:rFonts w:eastAsia="Calibri" w:cs="Times New Roman"/>
          <w:color w:val="auto"/>
          <w:szCs w:val="24"/>
        </w:rPr>
        <w:t xml:space="preserve">contemporary </w:t>
      </w:r>
      <w:r w:rsidR="00507254">
        <w:rPr>
          <w:rFonts w:eastAsia="Calibri" w:cs="Times New Roman"/>
          <w:color w:val="auto"/>
          <w:szCs w:val="24"/>
        </w:rPr>
        <w:t xml:space="preserve">outpatient neurologic exams </w:t>
      </w:r>
      <w:r w:rsidR="00FC065E">
        <w:rPr>
          <w:rFonts w:eastAsia="Calibri" w:cs="Times New Roman"/>
          <w:color w:val="auto"/>
          <w:szCs w:val="24"/>
        </w:rPr>
        <w:t>noted</w:t>
      </w:r>
      <w:r w:rsidR="00D16E40">
        <w:rPr>
          <w:rFonts w:eastAsia="Calibri" w:cs="Times New Roman"/>
          <w:color w:val="auto"/>
          <w:szCs w:val="24"/>
        </w:rPr>
        <w:t xml:space="preserve"> no motor deficits or other positive findings</w:t>
      </w:r>
      <w:r w:rsidR="00507254">
        <w:rPr>
          <w:rFonts w:eastAsia="Calibri" w:cs="Times New Roman"/>
          <w:color w:val="auto"/>
          <w:szCs w:val="24"/>
        </w:rPr>
        <w:t xml:space="preserve">.  </w:t>
      </w:r>
      <w:r w:rsidR="009C0207">
        <w:rPr>
          <w:rFonts w:eastAsia="Calibri" w:cs="Times New Roman"/>
          <w:color w:val="auto"/>
          <w:szCs w:val="24"/>
        </w:rPr>
        <w:t xml:space="preserve">The post-separation VA C&amp;P examiner noted </w:t>
      </w:r>
      <w:r w:rsidR="00D16E40">
        <w:rPr>
          <w:rFonts w:eastAsia="Calibri" w:cs="Times New Roman"/>
          <w:color w:val="auto"/>
          <w:szCs w:val="24"/>
        </w:rPr>
        <w:t xml:space="preserve">“daily” pain rated 5/10 with flares to 8/10.  The </w:t>
      </w:r>
      <w:r w:rsidR="00751B05" w:rsidRPr="00B652C3">
        <w:rPr>
          <w:color w:val="000000"/>
          <w:szCs w:val="24"/>
        </w:rPr>
        <w:t xml:space="preserve">goniometric </w:t>
      </w:r>
      <w:r w:rsidR="00D16E40">
        <w:rPr>
          <w:rFonts w:eastAsia="Calibri" w:cs="Times New Roman"/>
          <w:color w:val="auto"/>
          <w:szCs w:val="24"/>
        </w:rPr>
        <w:t xml:space="preserve">ROM measurements and ratable physical findings from the </w:t>
      </w:r>
      <w:r w:rsidR="00751B05">
        <w:rPr>
          <w:rFonts w:eastAsia="Calibri" w:cs="Times New Roman"/>
          <w:color w:val="auto"/>
          <w:szCs w:val="24"/>
        </w:rPr>
        <w:t>NARSUM</w:t>
      </w:r>
      <w:r w:rsidR="00D16E40">
        <w:rPr>
          <w:rFonts w:eastAsia="Calibri" w:cs="Times New Roman"/>
          <w:color w:val="auto"/>
          <w:szCs w:val="24"/>
        </w:rPr>
        <w:t xml:space="preserve"> and VA </w:t>
      </w:r>
      <w:r w:rsidR="00751B05">
        <w:rPr>
          <w:rFonts w:eastAsia="Calibri" w:cs="Times New Roman"/>
          <w:color w:val="auto"/>
          <w:szCs w:val="24"/>
        </w:rPr>
        <w:t xml:space="preserve">evaluations </w:t>
      </w:r>
      <w:r w:rsidR="00751B05">
        <w:rPr>
          <w:color w:val="000000"/>
          <w:szCs w:val="24"/>
        </w:rPr>
        <w:t>are</w:t>
      </w:r>
      <w:r w:rsidR="00751B05" w:rsidRPr="00B652C3">
        <w:rPr>
          <w:color w:val="000000"/>
          <w:szCs w:val="24"/>
        </w:rPr>
        <w:t xml:space="preserve"> summarized in the chart below.</w:t>
      </w:r>
    </w:p>
    <w:p w:rsidR="00AF7CA6" w:rsidRDefault="00AF7CA6" w:rsidP="00792790">
      <w:pPr>
        <w:jc w:val="both"/>
        <w:rPr>
          <w:color w:val="000000"/>
          <w:szCs w:val="24"/>
        </w:rPr>
      </w:pPr>
    </w:p>
    <w:p w:rsidR="00751B05" w:rsidRDefault="00751B05" w:rsidP="00792790">
      <w:pPr>
        <w:jc w:val="both"/>
        <w:rPr>
          <w:color w:val="000000"/>
          <w:szCs w:val="24"/>
        </w:rPr>
      </w:pPr>
    </w:p>
    <w:tbl>
      <w:tblPr>
        <w:tblW w:w="7930" w:type="dxa"/>
        <w:jc w:val="center"/>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9"/>
        <w:gridCol w:w="2551"/>
        <w:gridCol w:w="3240"/>
      </w:tblGrid>
      <w:tr w:rsidR="00751B05" w:rsidRPr="00751B05" w:rsidTr="00FB46D3">
        <w:trPr>
          <w:jc w:val="center"/>
        </w:trPr>
        <w:tc>
          <w:tcPr>
            <w:tcW w:w="2139" w:type="dxa"/>
            <w:shd w:val="clear" w:color="auto" w:fill="D9D9D9"/>
            <w:vAlign w:val="center"/>
          </w:tcPr>
          <w:p w:rsidR="00751B05" w:rsidRPr="00751B05" w:rsidRDefault="00751B05" w:rsidP="00751B05">
            <w:pPr>
              <w:contextualSpacing/>
              <w:rPr>
                <w:rFonts w:cs="Times New Roman"/>
                <w:color w:val="auto"/>
                <w:sz w:val="22"/>
              </w:rPr>
            </w:pPr>
            <w:r w:rsidRPr="00751B05">
              <w:rPr>
                <w:rFonts w:cs="Times New Roman"/>
                <w:color w:val="auto"/>
                <w:sz w:val="22"/>
              </w:rPr>
              <w:lastRenderedPageBreak/>
              <w:t>Thoracolumbar ROM</w:t>
            </w:r>
          </w:p>
        </w:tc>
        <w:tc>
          <w:tcPr>
            <w:tcW w:w="2551" w:type="dxa"/>
            <w:shd w:val="clear" w:color="auto" w:fill="D9D9D9"/>
            <w:vAlign w:val="center"/>
          </w:tcPr>
          <w:p w:rsidR="00751B05" w:rsidRPr="00751B05" w:rsidRDefault="00751B05" w:rsidP="00751B05">
            <w:pPr>
              <w:contextualSpacing/>
              <w:rPr>
                <w:rFonts w:cs="Times New Roman"/>
                <w:color w:val="auto"/>
                <w:sz w:val="22"/>
              </w:rPr>
            </w:pPr>
            <w:r>
              <w:rPr>
                <w:rFonts w:cs="Times New Roman"/>
                <w:color w:val="auto"/>
                <w:sz w:val="22"/>
              </w:rPr>
              <w:t>NARSUM ~4</w:t>
            </w:r>
            <w:r w:rsidRPr="00751B05">
              <w:rPr>
                <w:rFonts w:cs="Times New Roman"/>
                <w:color w:val="auto"/>
                <w:sz w:val="22"/>
              </w:rPr>
              <w:t xml:space="preserve"> Mo. Pre-Sep</w:t>
            </w:r>
          </w:p>
        </w:tc>
        <w:tc>
          <w:tcPr>
            <w:tcW w:w="3240" w:type="dxa"/>
            <w:shd w:val="clear" w:color="auto" w:fill="D9D9D9"/>
            <w:vAlign w:val="center"/>
          </w:tcPr>
          <w:p w:rsidR="00751B05" w:rsidRPr="00751B05" w:rsidRDefault="00751B05" w:rsidP="00751B05">
            <w:pPr>
              <w:contextualSpacing/>
              <w:rPr>
                <w:rFonts w:cs="Times New Roman"/>
                <w:color w:val="auto"/>
                <w:sz w:val="22"/>
              </w:rPr>
            </w:pPr>
            <w:r>
              <w:rPr>
                <w:rFonts w:cs="Times New Roman"/>
                <w:color w:val="auto"/>
                <w:sz w:val="22"/>
              </w:rPr>
              <w:t>VA C&amp;P ~8 Mo. Post</w:t>
            </w:r>
            <w:r w:rsidRPr="00751B05">
              <w:rPr>
                <w:rFonts w:cs="Times New Roman"/>
                <w:color w:val="auto"/>
                <w:sz w:val="22"/>
              </w:rPr>
              <w:t>-Sep</w:t>
            </w:r>
          </w:p>
        </w:tc>
      </w:tr>
      <w:tr w:rsidR="00751B05" w:rsidRPr="00751B05" w:rsidTr="00FB46D3">
        <w:trPr>
          <w:jc w:val="center"/>
        </w:trPr>
        <w:tc>
          <w:tcPr>
            <w:tcW w:w="2139" w:type="dxa"/>
            <w:vAlign w:val="center"/>
          </w:tcPr>
          <w:p w:rsidR="00751B05" w:rsidRPr="00751B05" w:rsidRDefault="00751B05" w:rsidP="00751B05">
            <w:pPr>
              <w:contextualSpacing/>
              <w:rPr>
                <w:rFonts w:cs="Times New Roman"/>
                <w:color w:val="auto"/>
                <w:sz w:val="22"/>
              </w:rPr>
            </w:pPr>
            <w:r w:rsidRPr="00751B05">
              <w:rPr>
                <w:rFonts w:cs="Times New Roman"/>
                <w:color w:val="auto"/>
                <w:sz w:val="22"/>
              </w:rPr>
              <w:t>Flexion (90⁰ Normal)</w:t>
            </w:r>
          </w:p>
        </w:tc>
        <w:tc>
          <w:tcPr>
            <w:tcW w:w="2551" w:type="dxa"/>
            <w:vAlign w:val="center"/>
          </w:tcPr>
          <w:p w:rsidR="00751B05" w:rsidRPr="00751B05" w:rsidRDefault="00751B05" w:rsidP="00751B05">
            <w:pPr>
              <w:contextualSpacing/>
              <w:rPr>
                <w:rFonts w:cs="Times New Roman"/>
                <w:color w:val="auto"/>
                <w:sz w:val="22"/>
              </w:rPr>
            </w:pPr>
            <w:r>
              <w:rPr>
                <w:rFonts w:cs="Times New Roman"/>
                <w:color w:val="auto"/>
                <w:sz w:val="22"/>
              </w:rPr>
              <w:t>65</w:t>
            </w:r>
            <w:r w:rsidRPr="00751B05">
              <w:rPr>
                <w:rFonts w:cs="Times New Roman"/>
                <w:color w:val="auto"/>
                <w:sz w:val="22"/>
              </w:rPr>
              <w:t>⁰</w:t>
            </w:r>
          </w:p>
        </w:tc>
        <w:tc>
          <w:tcPr>
            <w:tcW w:w="3240" w:type="dxa"/>
            <w:vAlign w:val="center"/>
          </w:tcPr>
          <w:p w:rsidR="00751B05" w:rsidRPr="00751B05" w:rsidRDefault="00751B05" w:rsidP="00751B05">
            <w:pPr>
              <w:contextualSpacing/>
              <w:rPr>
                <w:rFonts w:cs="Times New Roman"/>
                <w:color w:val="auto"/>
                <w:sz w:val="22"/>
              </w:rPr>
            </w:pPr>
            <w:r>
              <w:rPr>
                <w:rFonts w:cs="Times New Roman"/>
                <w:color w:val="auto"/>
                <w:sz w:val="22"/>
              </w:rPr>
              <w:t>9</w:t>
            </w:r>
            <w:r w:rsidRPr="00751B05">
              <w:rPr>
                <w:rFonts w:cs="Times New Roman"/>
                <w:color w:val="auto"/>
                <w:sz w:val="22"/>
              </w:rPr>
              <w:t>0</w:t>
            </w:r>
            <w:r w:rsidRPr="00751B05">
              <w:rPr>
                <w:color w:val="auto"/>
                <w:sz w:val="22"/>
              </w:rPr>
              <w:t>⁰</w:t>
            </w:r>
          </w:p>
        </w:tc>
      </w:tr>
      <w:tr w:rsidR="00751B05" w:rsidRPr="00751B05" w:rsidTr="00FB46D3">
        <w:trPr>
          <w:jc w:val="center"/>
        </w:trPr>
        <w:tc>
          <w:tcPr>
            <w:tcW w:w="2139" w:type="dxa"/>
            <w:vAlign w:val="center"/>
          </w:tcPr>
          <w:p w:rsidR="00751B05" w:rsidRPr="00751B05" w:rsidRDefault="00751B05" w:rsidP="00751B05">
            <w:pPr>
              <w:contextualSpacing/>
              <w:rPr>
                <w:rFonts w:cs="Times New Roman"/>
                <w:color w:val="auto"/>
                <w:sz w:val="22"/>
              </w:rPr>
            </w:pPr>
            <w:r w:rsidRPr="00751B05">
              <w:rPr>
                <w:rFonts w:cs="Times New Roman"/>
                <w:color w:val="auto"/>
                <w:sz w:val="22"/>
              </w:rPr>
              <w:t>Combined (240⁰)</w:t>
            </w:r>
          </w:p>
        </w:tc>
        <w:tc>
          <w:tcPr>
            <w:tcW w:w="2551" w:type="dxa"/>
            <w:vAlign w:val="center"/>
          </w:tcPr>
          <w:p w:rsidR="00751B05" w:rsidRPr="00751B05" w:rsidRDefault="00751B05" w:rsidP="00751B05">
            <w:pPr>
              <w:contextualSpacing/>
              <w:rPr>
                <w:rFonts w:cs="Times New Roman"/>
                <w:color w:val="auto"/>
                <w:sz w:val="22"/>
              </w:rPr>
            </w:pPr>
            <w:r w:rsidRPr="00751B05">
              <w:rPr>
                <w:rFonts w:cs="Times New Roman"/>
                <w:color w:val="auto"/>
                <w:sz w:val="22"/>
              </w:rPr>
              <w:t>155⁰</w:t>
            </w:r>
          </w:p>
        </w:tc>
        <w:tc>
          <w:tcPr>
            <w:tcW w:w="3240" w:type="dxa"/>
            <w:vAlign w:val="center"/>
          </w:tcPr>
          <w:p w:rsidR="00751B05" w:rsidRPr="00751B05" w:rsidRDefault="00751B05" w:rsidP="00751B05">
            <w:pPr>
              <w:contextualSpacing/>
              <w:rPr>
                <w:rFonts w:cs="Times New Roman"/>
                <w:color w:val="auto"/>
                <w:sz w:val="22"/>
              </w:rPr>
            </w:pPr>
            <w:r>
              <w:rPr>
                <w:rFonts w:cs="Times New Roman"/>
                <w:color w:val="auto"/>
                <w:sz w:val="22"/>
              </w:rPr>
              <w:t>24</w:t>
            </w:r>
            <w:r w:rsidRPr="00751B05">
              <w:rPr>
                <w:rFonts w:cs="Times New Roman"/>
                <w:color w:val="auto"/>
                <w:sz w:val="22"/>
              </w:rPr>
              <w:t>0⁰</w:t>
            </w:r>
          </w:p>
        </w:tc>
      </w:tr>
      <w:tr w:rsidR="00751B05" w:rsidRPr="00751B05" w:rsidTr="00FB46D3">
        <w:trPr>
          <w:trHeight w:val="58"/>
          <w:jc w:val="center"/>
        </w:trPr>
        <w:tc>
          <w:tcPr>
            <w:tcW w:w="2139" w:type="dxa"/>
            <w:vAlign w:val="center"/>
          </w:tcPr>
          <w:p w:rsidR="00751B05" w:rsidRPr="00751B05" w:rsidRDefault="00751B05" w:rsidP="00751B05">
            <w:pPr>
              <w:tabs>
                <w:tab w:val="left" w:pos="288"/>
                <w:tab w:val="left" w:pos="4752"/>
              </w:tabs>
              <w:rPr>
                <w:rFonts w:cs="Times New Roman"/>
                <w:color w:val="auto"/>
                <w:sz w:val="22"/>
              </w:rPr>
            </w:pPr>
            <w:r w:rsidRPr="00751B05">
              <w:rPr>
                <w:rFonts w:cs="Times New Roman"/>
                <w:color w:val="auto"/>
                <w:sz w:val="22"/>
              </w:rPr>
              <w:t>Comments</w:t>
            </w:r>
          </w:p>
        </w:tc>
        <w:tc>
          <w:tcPr>
            <w:tcW w:w="2551" w:type="dxa"/>
            <w:vAlign w:val="center"/>
          </w:tcPr>
          <w:p w:rsidR="00751B05" w:rsidRPr="00751B05" w:rsidRDefault="00FB46D3" w:rsidP="00FB46D3">
            <w:pPr>
              <w:tabs>
                <w:tab w:val="left" w:pos="288"/>
                <w:tab w:val="left" w:pos="4752"/>
              </w:tabs>
              <w:spacing w:line="200" w:lineRule="exact"/>
              <w:rPr>
                <w:rFonts w:cs="Times New Roman"/>
                <w:color w:val="auto"/>
                <w:sz w:val="20"/>
              </w:rPr>
            </w:pPr>
            <w:r w:rsidRPr="00FB46D3">
              <w:rPr>
                <w:rFonts w:cs="Times New Roman"/>
                <w:color w:val="auto"/>
                <w:sz w:val="20"/>
              </w:rPr>
              <w:t>Normal gait, + tenderness, painful motion.</w:t>
            </w:r>
          </w:p>
        </w:tc>
        <w:tc>
          <w:tcPr>
            <w:tcW w:w="3240" w:type="dxa"/>
            <w:vAlign w:val="center"/>
          </w:tcPr>
          <w:p w:rsidR="00751B05" w:rsidRPr="00751B05" w:rsidRDefault="00FB46D3" w:rsidP="00FB46D3">
            <w:pPr>
              <w:tabs>
                <w:tab w:val="left" w:pos="288"/>
                <w:tab w:val="left" w:pos="4752"/>
              </w:tabs>
              <w:spacing w:line="200" w:lineRule="exact"/>
              <w:rPr>
                <w:rFonts w:cs="Times New Roman"/>
                <w:color w:val="auto"/>
                <w:sz w:val="20"/>
              </w:rPr>
            </w:pPr>
            <w:r w:rsidRPr="00FB46D3">
              <w:rPr>
                <w:color w:val="auto"/>
                <w:sz w:val="20"/>
              </w:rPr>
              <w:t>No gait/contour abnormality, spasm, tenderness, or painful motion.</w:t>
            </w:r>
          </w:p>
        </w:tc>
      </w:tr>
      <w:tr w:rsidR="00751B05" w:rsidRPr="00751B05" w:rsidTr="00FB46D3">
        <w:trPr>
          <w:trHeight w:val="70"/>
          <w:jc w:val="center"/>
        </w:trPr>
        <w:tc>
          <w:tcPr>
            <w:tcW w:w="2139" w:type="dxa"/>
            <w:vAlign w:val="center"/>
          </w:tcPr>
          <w:p w:rsidR="00751B05" w:rsidRPr="00751B05" w:rsidRDefault="00751B05" w:rsidP="00751B05">
            <w:pPr>
              <w:tabs>
                <w:tab w:val="left" w:pos="288"/>
                <w:tab w:val="left" w:pos="4752"/>
              </w:tabs>
              <w:rPr>
                <w:rFonts w:cs="Times New Roman"/>
                <w:color w:val="auto"/>
                <w:sz w:val="22"/>
              </w:rPr>
            </w:pPr>
            <w:r w:rsidRPr="00751B05">
              <w:rPr>
                <w:rFonts w:cs="Times New Roman"/>
                <w:color w:val="auto"/>
                <w:sz w:val="22"/>
              </w:rPr>
              <w:t>§4.71a Rating</w:t>
            </w:r>
          </w:p>
        </w:tc>
        <w:tc>
          <w:tcPr>
            <w:tcW w:w="2551" w:type="dxa"/>
            <w:vAlign w:val="center"/>
          </w:tcPr>
          <w:p w:rsidR="00751B05" w:rsidRPr="00751B05" w:rsidRDefault="00FB46D3" w:rsidP="00751B05">
            <w:pPr>
              <w:tabs>
                <w:tab w:val="left" w:pos="288"/>
                <w:tab w:val="left" w:pos="4752"/>
              </w:tabs>
              <w:rPr>
                <w:rFonts w:cs="Times New Roman"/>
                <w:color w:val="auto"/>
                <w:sz w:val="22"/>
              </w:rPr>
            </w:pPr>
            <w:r>
              <w:rPr>
                <w:rFonts w:cs="Times New Roman"/>
                <w:color w:val="auto"/>
                <w:sz w:val="22"/>
              </w:rPr>
              <w:t>1</w:t>
            </w:r>
            <w:r w:rsidR="00751B05" w:rsidRPr="00751B05">
              <w:rPr>
                <w:rFonts w:cs="Times New Roman"/>
                <w:color w:val="auto"/>
                <w:sz w:val="22"/>
              </w:rPr>
              <w:t>0%</w:t>
            </w:r>
          </w:p>
        </w:tc>
        <w:tc>
          <w:tcPr>
            <w:tcW w:w="3240" w:type="dxa"/>
            <w:vAlign w:val="center"/>
          </w:tcPr>
          <w:p w:rsidR="00751B05" w:rsidRPr="00751B05" w:rsidRDefault="00751B05" w:rsidP="00751B05">
            <w:pPr>
              <w:tabs>
                <w:tab w:val="left" w:pos="288"/>
                <w:tab w:val="left" w:pos="4752"/>
              </w:tabs>
              <w:rPr>
                <w:rFonts w:cs="Times New Roman"/>
                <w:color w:val="auto"/>
                <w:sz w:val="22"/>
              </w:rPr>
            </w:pPr>
            <w:r w:rsidRPr="00751B05">
              <w:rPr>
                <w:rFonts w:cs="Times New Roman"/>
                <w:color w:val="auto"/>
                <w:sz w:val="22"/>
              </w:rPr>
              <w:t>0%*</w:t>
            </w:r>
          </w:p>
        </w:tc>
      </w:tr>
    </w:tbl>
    <w:p w:rsidR="00924745" w:rsidRPr="00FB46D3" w:rsidRDefault="00D123F4" w:rsidP="00924745">
      <w:pPr>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FB46D3">
        <w:rPr>
          <w:color w:val="000000"/>
          <w:sz w:val="22"/>
          <w:szCs w:val="22"/>
        </w:rPr>
        <w:t xml:space="preserve">* </w:t>
      </w:r>
      <w:r>
        <w:rPr>
          <w:color w:val="000000"/>
          <w:sz w:val="22"/>
          <w:szCs w:val="22"/>
        </w:rPr>
        <w:t>See below for derivation of VA rating of 10%.</w:t>
      </w:r>
    </w:p>
    <w:p w:rsidR="00D123F4" w:rsidRDefault="00D123F4" w:rsidP="00D123F4">
      <w:pPr>
        <w:tabs>
          <w:tab w:val="left" w:pos="7689"/>
        </w:tabs>
        <w:jc w:val="both"/>
        <w:rPr>
          <w:color w:val="000000"/>
          <w:szCs w:val="24"/>
        </w:rPr>
      </w:pPr>
      <w:r>
        <w:rPr>
          <w:color w:val="000000"/>
          <w:szCs w:val="24"/>
        </w:rPr>
        <w:tab/>
      </w:r>
    </w:p>
    <w:p w:rsidR="00C60D42" w:rsidRDefault="00D123F4" w:rsidP="00C60D42">
      <w:pPr>
        <w:jc w:val="both"/>
        <w:rPr>
          <w:color w:val="000000"/>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EF345B">
        <w:rPr>
          <w:color w:val="000000"/>
          <w:szCs w:val="24"/>
        </w:rPr>
        <w:t>T</w:t>
      </w:r>
      <w:r w:rsidR="00EF345B" w:rsidRPr="00C50329">
        <w:rPr>
          <w:color w:val="000000"/>
          <w:szCs w:val="24"/>
        </w:rPr>
        <w:t xml:space="preserve">he PEB’s 10% rating was </w:t>
      </w:r>
      <w:r w:rsidR="00EF345B">
        <w:rPr>
          <w:color w:val="000000"/>
          <w:szCs w:val="24"/>
        </w:rPr>
        <w:t>compliant</w:t>
      </w:r>
      <w:r w:rsidR="00EF345B" w:rsidRPr="00C50329">
        <w:rPr>
          <w:color w:val="000000"/>
          <w:szCs w:val="24"/>
        </w:rPr>
        <w:t xml:space="preserve"> with </w:t>
      </w:r>
      <w:r w:rsidR="00FC065E">
        <w:rPr>
          <w:color w:val="000000"/>
          <w:szCs w:val="24"/>
        </w:rPr>
        <w:t>VASRD</w:t>
      </w:r>
      <w:r w:rsidR="00EF345B">
        <w:rPr>
          <w:color w:val="000000"/>
          <w:szCs w:val="24"/>
        </w:rPr>
        <w:t xml:space="preserve"> </w:t>
      </w:r>
      <w:r w:rsidR="00EF345B" w:rsidRPr="00C50329">
        <w:rPr>
          <w:color w:val="000000"/>
          <w:szCs w:val="24"/>
        </w:rPr>
        <w:t>§4.71a</w:t>
      </w:r>
      <w:r w:rsidR="00EF345B">
        <w:rPr>
          <w:color w:val="000000"/>
          <w:szCs w:val="24"/>
        </w:rPr>
        <w:t xml:space="preserve"> for the ROMs under consideration</w:t>
      </w:r>
      <w:r w:rsidR="00EF345B" w:rsidRPr="00C50329">
        <w:rPr>
          <w:color w:val="000000"/>
          <w:szCs w:val="24"/>
        </w:rPr>
        <w:t>.</w:t>
      </w:r>
      <w:r w:rsidR="00EF345B">
        <w:rPr>
          <w:rFonts w:cs="Times New Roman"/>
          <w:color w:val="auto"/>
        </w:rPr>
        <w:t xml:space="preserve">  As </w:t>
      </w:r>
      <w:r w:rsidR="00FC065E">
        <w:rPr>
          <w:rFonts w:cs="Times New Roman"/>
          <w:color w:val="auto"/>
        </w:rPr>
        <w:t>charted</w:t>
      </w:r>
      <w:r w:rsidR="00EF345B">
        <w:rPr>
          <w:rFonts w:cs="Times New Roman"/>
          <w:color w:val="auto"/>
        </w:rPr>
        <w:t xml:space="preserve"> above, </w:t>
      </w:r>
      <w:r w:rsidR="00FC065E">
        <w:rPr>
          <w:rFonts w:cs="Times New Roman"/>
          <w:color w:val="auto"/>
        </w:rPr>
        <w:t>§4.71a</w:t>
      </w:r>
      <w:r w:rsidR="00EF345B">
        <w:rPr>
          <w:rFonts w:cs="Times New Roman"/>
          <w:color w:val="auto"/>
        </w:rPr>
        <w:t xml:space="preserve"> criteria would not yield a compensable rating </w:t>
      </w:r>
      <w:r w:rsidR="00FC065E">
        <w:rPr>
          <w:rFonts w:cs="Times New Roman"/>
          <w:color w:val="auto"/>
        </w:rPr>
        <w:t>from</w:t>
      </w:r>
      <w:r w:rsidR="00EF345B">
        <w:rPr>
          <w:rFonts w:cs="Times New Roman"/>
          <w:color w:val="auto"/>
        </w:rPr>
        <w:t xml:space="preserve"> the findings of the C&amp;P examiner.  The VA rating decision cited 5003 criteria for its 10% rating, although the coding choice does not reflect that; and, also made note of the MEB flexion.  </w:t>
      </w:r>
      <w:r w:rsidR="00C60D42">
        <w:rPr>
          <w:rFonts w:cs="Times New Roman"/>
          <w:color w:val="auto"/>
        </w:rPr>
        <w:t xml:space="preserve">The MEB’s ROM evaluation was consistent with the severity and findings noted in the outpatient record, and was temporally closer to separation; therefore it was assigned the dominant probative value in this case.  </w:t>
      </w:r>
      <w:r w:rsidR="00C60D42" w:rsidRPr="00C60D42">
        <w:rPr>
          <w:rFonts w:cs="Times New Roman"/>
          <w:color w:val="auto"/>
        </w:rPr>
        <w:t>The Board</w:t>
      </w:r>
      <w:r w:rsidR="006B2B56">
        <w:rPr>
          <w:rFonts w:cs="Times New Roman"/>
          <w:color w:val="auto"/>
        </w:rPr>
        <w:t xml:space="preserve"> considered whether additional s</w:t>
      </w:r>
      <w:r w:rsidR="00C60D42" w:rsidRPr="00C60D42">
        <w:rPr>
          <w:rFonts w:cs="Times New Roman"/>
          <w:color w:val="auto"/>
        </w:rPr>
        <w:t>ervice rating could be recommended</w:t>
      </w:r>
      <w:r w:rsidR="00C60D42">
        <w:rPr>
          <w:rFonts w:cs="Times New Roman"/>
          <w:color w:val="auto"/>
        </w:rPr>
        <w:t xml:space="preserve"> under a peripheral nerve code </w:t>
      </w:r>
      <w:r w:rsidR="00C60D42" w:rsidRPr="00C60D42">
        <w:rPr>
          <w:rFonts w:cs="Times New Roman"/>
          <w:color w:val="auto"/>
        </w:rPr>
        <w:t>for the residual sciatic radiculopathy at separation.  Firm Board precedence requires a functional impairment tied to fitness to support a recommendation for addition o</w:t>
      </w:r>
      <w:r w:rsidR="006B2B56">
        <w:rPr>
          <w:rFonts w:cs="Times New Roman"/>
          <w:color w:val="auto"/>
        </w:rPr>
        <w:t>f a peripheral nerve rating to s</w:t>
      </w:r>
      <w:r w:rsidR="00C60D42" w:rsidRPr="00C60D42">
        <w:rPr>
          <w:rFonts w:cs="Times New Roman"/>
          <w:color w:val="auto"/>
        </w:rPr>
        <w:t>ervice disability in spine cases.  The pain component of a radiculopathy is subsumed under the general spine rating as specified in §4.71a.  The</w:t>
      </w:r>
      <w:r w:rsidR="00C60D42">
        <w:rPr>
          <w:rFonts w:cs="Times New Roman"/>
          <w:color w:val="auto"/>
        </w:rPr>
        <w:t>re was no</w:t>
      </w:r>
      <w:r w:rsidR="00C60D42" w:rsidRPr="00C60D42">
        <w:rPr>
          <w:rFonts w:cs="Times New Roman"/>
          <w:color w:val="auto"/>
        </w:rPr>
        <w:t xml:space="preserve"> sensory </w:t>
      </w:r>
      <w:r w:rsidR="00C60D42">
        <w:rPr>
          <w:rFonts w:cs="Times New Roman"/>
          <w:color w:val="auto"/>
        </w:rPr>
        <w:t>impairment documented; and, any</w:t>
      </w:r>
      <w:r w:rsidR="00C60D42" w:rsidRPr="00C60D42">
        <w:rPr>
          <w:rFonts w:cs="Times New Roman"/>
          <w:color w:val="auto"/>
        </w:rPr>
        <w:t xml:space="preserve"> motor </w:t>
      </w:r>
      <w:r w:rsidR="00546AF8">
        <w:rPr>
          <w:rFonts w:cs="Times New Roman"/>
          <w:color w:val="auto"/>
        </w:rPr>
        <w:t>weakness</w:t>
      </w:r>
      <w:r w:rsidR="00C60D42" w:rsidRPr="00C60D42">
        <w:rPr>
          <w:rFonts w:cs="Times New Roman"/>
          <w:color w:val="auto"/>
        </w:rPr>
        <w:t xml:space="preserve"> was either intermittent or relatively minor and cannot be linked to significant </w:t>
      </w:r>
      <w:r w:rsidR="00C60D42">
        <w:rPr>
          <w:rFonts w:cs="Times New Roman"/>
          <w:color w:val="auto"/>
        </w:rPr>
        <w:t>functional consequence</w:t>
      </w:r>
      <w:r w:rsidR="00C60D42" w:rsidRPr="00C60D42">
        <w:rPr>
          <w:rFonts w:cs="Times New Roman"/>
          <w:color w:val="auto"/>
        </w:rPr>
        <w:t>.  There is thus no evidence of a separately ratable functional impairment (with fitness implications) from the residual radiculopathy; and, the Board cannot support a re</w:t>
      </w:r>
      <w:r w:rsidR="006B2B56">
        <w:rPr>
          <w:rFonts w:cs="Times New Roman"/>
          <w:color w:val="auto"/>
        </w:rPr>
        <w:t xml:space="preserve">commendation for an additional </w:t>
      </w:r>
      <w:r w:rsidR="00C60D42" w:rsidRPr="00C60D42">
        <w:rPr>
          <w:rFonts w:cs="Times New Roman"/>
          <w:color w:val="auto"/>
        </w:rPr>
        <w:t>disability rating on this basis.</w:t>
      </w:r>
      <w:r w:rsidR="00546AF8">
        <w:rPr>
          <w:rFonts w:cs="Times New Roman"/>
          <w:color w:val="auto"/>
        </w:rPr>
        <w:t xml:space="preserve">  </w:t>
      </w:r>
      <w:r w:rsidR="00546AF8">
        <w:rPr>
          <w:color w:val="000000"/>
          <w:szCs w:val="24"/>
        </w:rPr>
        <w:t>T</w:t>
      </w:r>
      <w:r w:rsidR="00C60D42">
        <w:rPr>
          <w:color w:val="000000"/>
          <w:szCs w:val="24"/>
        </w:rPr>
        <w:t xml:space="preserve">here was no </w:t>
      </w:r>
      <w:r w:rsidR="00C60D42" w:rsidRPr="00491733">
        <w:rPr>
          <w:color w:val="000000"/>
          <w:szCs w:val="24"/>
        </w:rPr>
        <w:t xml:space="preserve">documentation of incapacitating episodes in this case which would provide for </w:t>
      </w:r>
      <w:r w:rsidR="00C60D42">
        <w:rPr>
          <w:color w:val="000000"/>
          <w:szCs w:val="24"/>
        </w:rPr>
        <w:t>a</w:t>
      </w:r>
      <w:r w:rsidR="00C60D42" w:rsidRPr="00491733">
        <w:rPr>
          <w:color w:val="000000"/>
          <w:szCs w:val="24"/>
        </w:rPr>
        <w:t xml:space="preserve"> higher rating</w:t>
      </w:r>
      <w:r w:rsidR="00C60D42">
        <w:rPr>
          <w:color w:val="000000"/>
          <w:szCs w:val="24"/>
        </w:rPr>
        <w:t xml:space="preserve"> under that formula</w:t>
      </w:r>
      <w:r w:rsidR="00C60D42" w:rsidRPr="00491733">
        <w:rPr>
          <w:color w:val="000000"/>
          <w:szCs w:val="24"/>
        </w:rPr>
        <w:t>.</w:t>
      </w:r>
      <w:r w:rsidR="00546AF8">
        <w:rPr>
          <w:color w:val="000000"/>
          <w:szCs w:val="24"/>
        </w:rPr>
        <w:t xml:space="preserve">  </w:t>
      </w:r>
      <w:r w:rsidR="00546AF8" w:rsidRPr="005A666B">
        <w:rPr>
          <w:color w:val="auto"/>
        </w:rPr>
        <w:t xml:space="preserve">After due deliberation, </w:t>
      </w:r>
      <w:r w:rsidR="00546AF8">
        <w:rPr>
          <w:color w:val="auto"/>
        </w:rPr>
        <w:t>members agreed</w:t>
      </w:r>
      <w:r w:rsidR="00546AF8" w:rsidRPr="005A666B">
        <w:rPr>
          <w:color w:val="auto"/>
        </w:rPr>
        <w:t xml:space="preserve"> that there was insufficient cause to recommend a change in the PEB adjudication </w:t>
      </w:r>
      <w:r w:rsidR="00546AF8">
        <w:rPr>
          <w:color w:val="auto"/>
        </w:rPr>
        <w:t xml:space="preserve">of the lumbar spine </w:t>
      </w:r>
      <w:r w:rsidR="00546AF8" w:rsidRPr="005A666B">
        <w:rPr>
          <w:color w:val="auto"/>
        </w:rPr>
        <w:t>condition.</w:t>
      </w:r>
      <w:r w:rsidR="00546AF8" w:rsidRPr="003D12BC">
        <w:rPr>
          <w:color w:val="000000"/>
        </w:rPr>
        <w:t xml:space="preserve"> </w:t>
      </w:r>
      <w:r w:rsidR="00546AF8">
        <w:rPr>
          <w:color w:val="000000"/>
        </w:rPr>
        <w:t xml:space="preserve"> </w:t>
      </w:r>
    </w:p>
    <w:p w:rsidR="00924745" w:rsidRDefault="00924745" w:rsidP="00792790">
      <w:pPr>
        <w:jc w:val="both"/>
        <w:rPr>
          <w:rFonts w:eastAsia="Calibri" w:cs="Times New Roman"/>
          <w:color w:val="auto"/>
          <w:szCs w:val="24"/>
          <w:u w:val="single"/>
        </w:rPr>
      </w:pPr>
    </w:p>
    <w:p w:rsidR="005452F7" w:rsidRPr="00792790" w:rsidRDefault="00792790" w:rsidP="00792790">
      <w:pPr>
        <w:jc w:val="both"/>
        <w:rPr>
          <w:rFonts w:eastAsia="Calibri" w:cs="Times New Roman"/>
          <w:color w:val="auto"/>
          <w:szCs w:val="24"/>
        </w:rPr>
      </w:pPr>
      <w:proofErr w:type="gramStart"/>
      <w:r w:rsidRPr="00792790">
        <w:rPr>
          <w:rFonts w:eastAsia="Calibri" w:cs="Times New Roman"/>
          <w:color w:val="auto"/>
          <w:szCs w:val="24"/>
          <w:u w:val="single"/>
        </w:rPr>
        <w:t xml:space="preserve">Contended </w:t>
      </w:r>
      <w:r w:rsidR="00924745">
        <w:rPr>
          <w:rFonts w:eastAsia="Calibri" w:cs="Times New Roman"/>
          <w:color w:val="auto"/>
          <w:szCs w:val="24"/>
          <w:u w:val="single"/>
        </w:rPr>
        <w:t>Urinary Retention</w:t>
      </w:r>
      <w:r w:rsidRPr="00792790">
        <w:rPr>
          <w:rFonts w:eastAsia="Calibri" w:cs="Times New Roman"/>
          <w:color w:val="auto"/>
          <w:szCs w:val="24"/>
          <w:u w:val="single"/>
        </w:rPr>
        <w:t xml:space="preserve"> Condition</w:t>
      </w:r>
      <w:r>
        <w:rPr>
          <w:rFonts w:eastAsia="Calibri" w:cs="Times New Roman"/>
          <w:color w:val="auto"/>
          <w:szCs w:val="24"/>
        </w:rPr>
        <w:t>.</w:t>
      </w:r>
      <w:proofErr w:type="gramEnd"/>
      <w:r>
        <w:rPr>
          <w:rFonts w:eastAsia="Calibri" w:cs="Times New Roman"/>
          <w:color w:val="auto"/>
          <w:szCs w:val="24"/>
        </w:rPr>
        <w:t xml:space="preserve">  </w:t>
      </w:r>
      <w:r w:rsidR="00546AF8">
        <w:rPr>
          <w:rFonts w:eastAsia="Calibri" w:cs="Times New Roman"/>
          <w:color w:val="auto"/>
          <w:szCs w:val="24"/>
        </w:rPr>
        <w:t xml:space="preserve">The CI developed urinary frequency and urgency during the MEB period.  There was no nocturia or </w:t>
      </w:r>
      <w:r w:rsidR="001C31C6">
        <w:rPr>
          <w:rFonts w:eastAsia="Calibri" w:cs="Times New Roman"/>
          <w:color w:val="auto"/>
          <w:szCs w:val="24"/>
        </w:rPr>
        <w:t>incontinence.  MEB urological evaluation noted prostatic enlargement, and the condition was partially responsive to a dilatory medication (Flomax</w:t>
      </w:r>
      <w:r w:rsidR="00697B80">
        <w:rPr>
          <w:rFonts w:eastAsia="Calibri" w:cs="Times New Roman"/>
          <w:color w:val="auto"/>
          <w:szCs w:val="24"/>
        </w:rPr>
        <w:t>).  These</w:t>
      </w:r>
      <w:r w:rsidR="001C31C6">
        <w:rPr>
          <w:rFonts w:eastAsia="Calibri" w:cs="Times New Roman"/>
          <w:color w:val="auto"/>
          <w:szCs w:val="24"/>
        </w:rPr>
        <w:t xml:space="preserve"> would suggest a non-neurogenic cause; as would the MRI findings.  The VA C&amp;P examiner cited a </w:t>
      </w:r>
      <w:r w:rsidR="00697B80">
        <w:rPr>
          <w:rFonts w:eastAsia="Calibri" w:cs="Times New Roman"/>
          <w:color w:val="auto"/>
          <w:szCs w:val="24"/>
        </w:rPr>
        <w:t xml:space="preserve">VA </w:t>
      </w:r>
      <w:r w:rsidR="001C31C6">
        <w:rPr>
          <w:rFonts w:eastAsia="Calibri" w:cs="Times New Roman"/>
          <w:color w:val="auto"/>
          <w:szCs w:val="24"/>
        </w:rPr>
        <w:t xml:space="preserve">urologic opinion that the condition was </w:t>
      </w:r>
      <w:r w:rsidR="00697B80">
        <w:rPr>
          <w:rFonts w:eastAsia="Calibri" w:cs="Times New Roman"/>
          <w:color w:val="auto"/>
          <w:szCs w:val="24"/>
        </w:rPr>
        <w:t>neurogenic</w:t>
      </w:r>
      <w:r w:rsidR="001C31C6">
        <w:rPr>
          <w:rFonts w:eastAsia="Calibri" w:cs="Times New Roman"/>
          <w:color w:val="auto"/>
          <w:szCs w:val="24"/>
        </w:rPr>
        <w:t xml:space="preserve">, although the source exam for that </w:t>
      </w:r>
      <w:r w:rsidR="003D3488">
        <w:rPr>
          <w:rFonts w:eastAsia="Calibri" w:cs="Times New Roman"/>
          <w:color w:val="auto"/>
          <w:szCs w:val="24"/>
        </w:rPr>
        <w:t xml:space="preserve">conclusion </w:t>
      </w:r>
      <w:r w:rsidR="001C31C6">
        <w:rPr>
          <w:rFonts w:eastAsia="Calibri" w:cs="Times New Roman"/>
          <w:color w:val="auto"/>
          <w:szCs w:val="24"/>
        </w:rPr>
        <w:t>was not in evidence.  Urinary frequency was quantified to “4-5/day” on the C&amp;P exam.  The etiology of the condition is moot since t</w:t>
      </w:r>
      <w:r w:rsidR="001C31C6" w:rsidRPr="009A1F3B">
        <w:rPr>
          <w:rFonts w:eastAsia="Calibri" w:cs="Times New Roman"/>
          <w:color w:val="auto"/>
          <w:szCs w:val="24"/>
        </w:rPr>
        <w:t>he</w:t>
      </w:r>
      <w:r w:rsidR="001C31C6" w:rsidRPr="00F74399">
        <w:rPr>
          <w:rFonts w:eastAsia="Calibri" w:cs="Times New Roman"/>
          <w:color w:val="auto"/>
          <w:szCs w:val="24"/>
        </w:rPr>
        <w:t xml:space="preserve"> Board’s main charge with respect to </w:t>
      </w:r>
      <w:r w:rsidR="001C31C6">
        <w:rPr>
          <w:rFonts w:eastAsia="Calibri" w:cs="Times New Roman"/>
          <w:color w:val="auto"/>
          <w:szCs w:val="24"/>
        </w:rPr>
        <w:t>this condition</w:t>
      </w:r>
      <w:r w:rsidR="001C31C6" w:rsidRPr="00F74399">
        <w:rPr>
          <w:rFonts w:eastAsia="Calibri" w:cs="Times New Roman"/>
          <w:color w:val="auto"/>
          <w:szCs w:val="24"/>
        </w:rPr>
        <w:t xml:space="preserve"> is an assessment of the fairness of the </w:t>
      </w:r>
      <w:r w:rsidR="001C31C6">
        <w:rPr>
          <w:rFonts w:eastAsia="Calibri" w:cs="Times New Roman"/>
          <w:color w:val="auto"/>
          <w:szCs w:val="24"/>
        </w:rPr>
        <w:t xml:space="preserve">PEB’s </w:t>
      </w:r>
      <w:r w:rsidR="001C31C6" w:rsidRPr="00F74399">
        <w:rPr>
          <w:rFonts w:eastAsia="Calibri" w:cs="Times New Roman"/>
          <w:color w:val="auto"/>
          <w:szCs w:val="24"/>
        </w:rPr>
        <w:t xml:space="preserve">determination that </w:t>
      </w:r>
      <w:r w:rsidR="001C31C6">
        <w:rPr>
          <w:rFonts w:eastAsia="Calibri" w:cs="Times New Roman"/>
          <w:color w:val="auto"/>
          <w:szCs w:val="24"/>
        </w:rPr>
        <w:t>it was</w:t>
      </w:r>
      <w:r w:rsidR="001C31C6" w:rsidRPr="00F74399">
        <w:rPr>
          <w:rFonts w:eastAsia="Calibri" w:cs="Times New Roman"/>
          <w:color w:val="auto"/>
          <w:szCs w:val="24"/>
        </w:rPr>
        <w:t xml:space="preserve"> not unfitting.  The Bo</w:t>
      </w:r>
      <w:r w:rsidR="006B2B56">
        <w:rPr>
          <w:rFonts w:eastAsia="Calibri" w:cs="Times New Roman"/>
          <w:color w:val="auto"/>
          <w:szCs w:val="24"/>
        </w:rPr>
        <w:t xml:space="preserve">ard’s threshold for countering </w:t>
      </w:r>
      <w:r w:rsidR="001C31C6" w:rsidRPr="00F74399">
        <w:rPr>
          <w:rFonts w:eastAsia="Calibri" w:cs="Times New Roman"/>
          <w:color w:val="auto"/>
          <w:szCs w:val="24"/>
        </w:rPr>
        <w:t xml:space="preserve">fitness determinations is higher than the </w:t>
      </w:r>
      <w:r w:rsidR="00697B80">
        <w:rPr>
          <w:rFonts w:eastAsia="Calibri" w:cs="Times New Roman"/>
          <w:color w:val="auto"/>
          <w:szCs w:val="24"/>
        </w:rPr>
        <w:t>reasonable doubt</w:t>
      </w:r>
      <w:r w:rsidR="001C31C6" w:rsidRPr="00F74399">
        <w:rPr>
          <w:rFonts w:eastAsia="Calibri" w:cs="Times New Roman"/>
          <w:color w:val="auto"/>
          <w:szCs w:val="24"/>
        </w:rPr>
        <w:t xml:space="preserve"> standard used for its rating recommendations, but remains adherent to the DoDI 6040.44 “fair and equitable” standard.</w:t>
      </w:r>
      <w:r w:rsidR="001C31C6">
        <w:rPr>
          <w:rFonts w:eastAsia="Calibri" w:cs="Times New Roman"/>
          <w:color w:val="auto"/>
          <w:szCs w:val="24"/>
        </w:rPr>
        <w:t xml:space="preserve"> The condition was judged to meet retention standards, was not profiled, and was not implicated in the commander’s statement.  </w:t>
      </w:r>
      <w:r w:rsidR="001C31C6" w:rsidRPr="001F29F9">
        <w:rPr>
          <w:color w:val="000000"/>
        </w:rPr>
        <w:t xml:space="preserve">There was no </w:t>
      </w:r>
      <w:r w:rsidR="001C31C6">
        <w:rPr>
          <w:color w:val="000000"/>
        </w:rPr>
        <w:t>performance based evidence</w:t>
      </w:r>
      <w:r w:rsidR="001C31C6" w:rsidRPr="001F29F9">
        <w:rPr>
          <w:color w:val="000000"/>
        </w:rPr>
        <w:t xml:space="preserve"> from the record that </w:t>
      </w:r>
      <w:r w:rsidR="001C31C6">
        <w:rPr>
          <w:color w:val="000000"/>
        </w:rPr>
        <w:t>it</w:t>
      </w:r>
      <w:r w:rsidR="001C31C6" w:rsidRPr="001F29F9">
        <w:rPr>
          <w:color w:val="000000"/>
        </w:rPr>
        <w:t xml:space="preserve"> significantly interfered with satisfactory duty performance</w:t>
      </w:r>
      <w:r w:rsidR="001C31C6">
        <w:rPr>
          <w:color w:val="000000"/>
        </w:rPr>
        <w:t>; nor, would there be an expectation based on the relatively mild symptomatology that the condition would have rendered the CI incapable of continued service in his MOS</w:t>
      </w:r>
      <w:r w:rsidR="001C31C6" w:rsidRPr="001F29F9">
        <w:rPr>
          <w:color w:val="000000"/>
        </w:rPr>
        <w:t xml:space="preserve">.  </w:t>
      </w:r>
      <w:r w:rsidR="001C31C6"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697B80">
        <w:rPr>
          <w:rFonts w:eastAsia="Calibri" w:cs="Times New Roman"/>
          <w:color w:val="auto"/>
          <w:szCs w:val="24"/>
        </w:rPr>
        <w:t>urinary retention</w:t>
      </w:r>
      <w:r w:rsidR="001C31C6" w:rsidRPr="00241B01">
        <w:rPr>
          <w:rFonts w:eastAsia="Calibri" w:cs="Times New Roman"/>
          <w:color w:val="auto"/>
          <w:szCs w:val="24"/>
        </w:rPr>
        <w:t xml:space="preserve"> </w:t>
      </w:r>
      <w:r w:rsidR="001C31C6">
        <w:rPr>
          <w:rFonts w:eastAsia="Calibri" w:cs="Times New Roman"/>
          <w:color w:val="auto"/>
          <w:szCs w:val="24"/>
        </w:rPr>
        <w:t>condition</w:t>
      </w:r>
      <w:r w:rsidR="001C31C6" w:rsidRPr="00792790">
        <w:rPr>
          <w:rFonts w:eastAsia="Calibri" w:cs="Times New Roman"/>
          <w:color w:val="auto"/>
          <w:szCs w:val="24"/>
        </w:rPr>
        <w:t xml:space="preserve">; </w:t>
      </w:r>
      <w:r w:rsidR="001C31C6">
        <w:rPr>
          <w:rFonts w:eastAsia="Calibri" w:cs="Times New Roman"/>
          <w:color w:val="auto"/>
          <w:szCs w:val="24"/>
        </w:rPr>
        <w:t>thus</w:t>
      </w:r>
      <w:r w:rsidR="001C31C6" w:rsidRPr="00792790">
        <w:rPr>
          <w:rFonts w:eastAsia="Calibri" w:cs="Times New Roman"/>
          <w:color w:val="auto"/>
          <w:szCs w:val="24"/>
        </w:rPr>
        <w:t xml:space="preserve"> no addit</w:t>
      </w:r>
      <w:r w:rsidR="006B2B56">
        <w:rPr>
          <w:rFonts w:eastAsia="Calibri" w:cs="Times New Roman"/>
          <w:color w:val="auto"/>
          <w:szCs w:val="24"/>
        </w:rPr>
        <w:t xml:space="preserve">ional </w:t>
      </w:r>
      <w:r w:rsidR="001C31C6">
        <w:rPr>
          <w:rFonts w:eastAsia="Calibri" w:cs="Times New Roman"/>
          <w:color w:val="auto"/>
          <w:szCs w:val="24"/>
        </w:rPr>
        <w:t>disability rating</w:t>
      </w:r>
      <w:r w:rsidR="001C31C6" w:rsidRPr="00792790">
        <w:rPr>
          <w:rFonts w:eastAsia="Calibri" w:cs="Times New Roman"/>
          <w:color w:val="auto"/>
          <w:szCs w:val="24"/>
        </w:rPr>
        <w:t xml:space="preserve"> can be recommended.</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97B80" w:rsidRPr="00390C2E" w:rsidRDefault="00AD2379" w:rsidP="00697B80">
      <w:pPr>
        <w:jc w:val="both"/>
        <w:rPr>
          <w:rFonts w:cs="Times New Roman"/>
          <w:color w:val="auto"/>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390C2E" w:rsidRPr="00D8352E">
        <w:rPr>
          <w:rFonts w:cs="Times New Roman"/>
          <w:color w:val="auto"/>
        </w:rPr>
        <w:t xml:space="preserve">The Board did not </w:t>
      </w:r>
      <w:r w:rsidR="00390C2E" w:rsidRPr="00D8352E">
        <w:rPr>
          <w:rFonts w:cs="Times New Roman"/>
          <w:color w:val="auto"/>
        </w:rPr>
        <w:lastRenderedPageBreak/>
        <w:t>surmise from the record or PEB ruling in this case that any prerogatives outside the VASRD were exercised.</w:t>
      </w:r>
      <w:r w:rsidR="00390C2E">
        <w:rPr>
          <w:rFonts w:cs="Times New Roman"/>
          <w:color w:val="auto"/>
        </w:rPr>
        <w:t xml:space="preserve"> </w:t>
      </w:r>
      <w:r w:rsidR="00390C2E" w:rsidRPr="00D8352E">
        <w:rPr>
          <w:rFonts w:cs="Times New Roman"/>
          <w:color w:val="auto"/>
        </w:rPr>
        <w:t xml:space="preserve"> </w:t>
      </w:r>
      <w:r w:rsidR="00697B80" w:rsidRPr="00560F12">
        <w:rPr>
          <w:rFonts w:eastAsia="Calibri" w:cs="Times New Roman"/>
          <w:color w:val="auto"/>
          <w:szCs w:val="24"/>
        </w:rPr>
        <w:t xml:space="preserve">In the matter of the </w:t>
      </w:r>
      <w:r w:rsidR="00697B80">
        <w:rPr>
          <w:rFonts w:eastAsia="Calibri" w:cs="Times New Roman"/>
          <w:color w:val="auto"/>
          <w:szCs w:val="24"/>
        </w:rPr>
        <w:t>right wrist</w:t>
      </w:r>
      <w:r w:rsidR="00697B80" w:rsidRPr="00560F12">
        <w:rPr>
          <w:rFonts w:eastAsia="Calibri" w:cs="Times New Roman"/>
          <w:color w:val="auto"/>
          <w:szCs w:val="24"/>
        </w:rPr>
        <w:t xml:space="preserve"> condition and IAW </w:t>
      </w:r>
      <w:r w:rsidR="00697B80" w:rsidRPr="00697B80">
        <w:rPr>
          <w:rFonts w:eastAsia="Calibri" w:cs="Times New Roman"/>
          <w:color w:val="auto"/>
          <w:szCs w:val="24"/>
        </w:rPr>
        <w:t>VASRD §4.71a, the Board unanimously recommends</w:t>
      </w:r>
      <w:r w:rsidR="00697B80" w:rsidRPr="00560F12">
        <w:rPr>
          <w:rFonts w:eastAsia="Calibri" w:cs="Times New Roman"/>
          <w:color w:val="auto"/>
          <w:szCs w:val="24"/>
        </w:rPr>
        <w:t xml:space="preserve"> no change in the </w:t>
      </w:r>
      <w:r w:rsidR="00697B80" w:rsidRPr="00381F1E">
        <w:rPr>
          <w:rFonts w:eastAsia="Calibri" w:cs="Times New Roman"/>
          <w:color w:val="auto"/>
          <w:szCs w:val="24"/>
        </w:rPr>
        <w:t>PEB adjudication.  In the matter of the lumbar spine condition and IAW VASRD §4.71a, the Board unanimously recommends</w:t>
      </w:r>
      <w:r w:rsidR="00697B80" w:rsidRPr="00560F12">
        <w:rPr>
          <w:rFonts w:eastAsia="Calibri" w:cs="Times New Roman"/>
          <w:color w:val="auto"/>
          <w:szCs w:val="24"/>
        </w:rPr>
        <w:t xml:space="preserve"> no change in the PEB adjudication.  </w:t>
      </w:r>
      <w:r w:rsidR="00697B80" w:rsidRPr="00697B80">
        <w:rPr>
          <w:rFonts w:eastAsia="Calibri" w:cs="Times New Roman"/>
          <w:color w:val="auto"/>
          <w:szCs w:val="24"/>
        </w:rPr>
        <w:t>In the matter of the contended urinary retention condition, the Board unanimously agrees that it cannot</w:t>
      </w:r>
      <w:r w:rsidR="00697B80" w:rsidRPr="00697B80">
        <w:rPr>
          <w:rFonts w:eastAsia="Calibri" w:cs="Times New Roman"/>
          <w:color w:val="000080"/>
          <w:szCs w:val="24"/>
        </w:rPr>
        <w:t xml:space="preserve"> </w:t>
      </w:r>
      <w:r w:rsidR="00697B80" w:rsidRPr="00697B80">
        <w:rPr>
          <w:rFonts w:eastAsia="Calibri" w:cs="Times New Roman"/>
          <w:color w:val="auto"/>
          <w:szCs w:val="24"/>
        </w:rPr>
        <w:t>recommend a f</w:t>
      </w:r>
      <w:r w:rsidR="006B2B56">
        <w:rPr>
          <w:rFonts w:eastAsia="Calibri" w:cs="Times New Roman"/>
          <w:color w:val="auto"/>
          <w:szCs w:val="24"/>
        </w:rPr>
        <w:t xml:space="preserve">inding of unfit for additional </w:t>
      </w:r>
      <w:r w:rsidR="00697B80" w:rsidRPr="00697B80">
        <w:rPr>
          <w:rFonts w:eastAsia="Calibri" w:cs="Times New Roman"/>
          <w:color w:val="auto"/>
          <w:szCs w:val="24"/>
        </w:rPr>
        <w:t>disability rating.</w:t>
      </w:r>
      <w:r w:rsidR="00697B80" w:rsidRPr="00560F12">
        <w:rPr>
          <w:rFonts w:eastAsia="Calibri" w:cs="Times New Roman"/>
          <w:color w:val="auto"/>
          <w:szCs w:val="24"/>
        </w:rPr>
        <w:t xml:space="preserve">  </w:t>
      </w:r>
      <w:r w:rsidR="00697B80"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823B55" w:rsidP="00BF0E94">
            <w:pPr>
              <w:tabs>
                <w:tab w:val="left" w:pos="288"/>
                <w:tab w:val="left" w:pos="4752"/>
              </w:tabs>
              <w:jc w:val="left"/>
              <w:rPr>
                <w:color w:val="000000"/>
              </w:rPr>
            </w:pPr>
            <w:r>
              <w:rPr>
                <w:color w:val="000000"/>
              </w:rPr>
              <w:t>Residuals of Scaphoid Fracture, Right Wrist</w:t>
            </w:r>
          </w:p>
        </w:tc>
        <w:tc>
          <w:tcPr>
            <w:tcW w:w="1530" w:type="dxa"/>
            <w:vAlign w:val="center"/>
          </w:tcPr>
          <w:p w:rsidR="00AD2379" w:rsidRPr="000D5DBE" w:rsidRDefault="00823B55" w:rsidP="00BF0E94">
            <w:pPr>
              <w:tabs>
                <w:tab w:val="left" w:pos="288"/>
                <w:tab w:val="left" w:pos="4752"/>
              </w:tabs>
              <w:rPr>
                <w:color w:val="000000"/>
              </w:rPr>
            </w:pPr>
            <w:r>
              <w:rPr>
                <w:color w:val="000000"/>
              </w:rPr>
              <w:t>5099-5003</w:t>
            </w:r>
          </w:p>
        </w:tc>
        <w:tc>
          <w:tcPr>
            <w:tcW w:w="1026" w:type="dxa"/>
            <w:vAlign w:val="center"/>
          </w:tcPr>
          <w:p w:rsidR="00AD2379" w:rsidRPr="000D5DBE" w:rsidRDefault="00823B55" w:rsidP="00BF0E94">
            <w:pPr>
              <w:tabs>
                <w:tab w:val="left" w:pos="288"/>
                <w:tab w:val="left" w:pos="4752"/>
              </w:tabs>
              <w:rPr>
                <w:color w:val="000000"/>
              </w:rPr>
            </w:pPr>
            <w:r>
              <w:rPr>
                <w:color w:val="000000"/>
              </w:rPr>
              <w:t>1</w:t>
            </w:r>
            <w:r w:rsidR="00AD2379" w:rsidRPr="000D5DBE">
              <w:rPr>
                <w:color w:val="000000"/>
              </w:rPr>
              <w:t>0%</w:t>
            </w:r>
          </w:p>
        </w:tc>
      </w:tr>
      <w:tr w:rsidR="00697B80" w:rsidRPr="000D5DBE" w:rsidTr="00C42AED">
        <w:trPr>
          <w:jc w:val="center"/>
        </w:trPr>
        <w:tc>
          <w:tcPr>
            <w:tcW w:w="6768" w:type="dxa"/>
            <w:vAlign w:val="center"/>
          </w:tcPr>
          <w:p w:rsidR="00697B80" w:rsidRDefault="00823B55" w:rsidP="00BF0E94">
            <w:pPr>
              <w:tabs>
                <w:tab w:val="left" w:pos="288"/>
                <w:tab w:val="left" w:pos="4752"/>
              </w:tabs>
              <w:jc w:val="left"/>
              <w:rPr>
                <w:color w:val="000000"/>
              </w:rPr>
            </w:pPr>
            <w:r>
              <w:rPr>
                <w:color w:val="000000"/>
              </w:rPr>
              <w:t>Chronic Low Back Pain with Multilevel Degenerative Disc Changes</w:t>
            </w:r>
          </w:p>
        </w:tc>
        <w:tc>
          <w:tcPr>
            <w:tcW w:w="1530" w:type="dxa"/>
            <w:vAlign w:val="center"/>
          </w:tcPr>
          <w:p w:rsidR="00697B80" w:rsidRDefault="00823B55" w:rsidP="00BF0E94">
            <w:pPr>
              <w:tabs>
                <w:tab w:val="left" w:pos="288"/>
                <w:tab w:val="left" w:pos="4752"/>
              </w:tabs>
              <w:rPr>
                <w:color w:val="000000"/>
              </w:rPr>
            </w:pPr>
            <w:r>
              <w:rPr>
                <w:color w:val="000000"/>
              </w:rPr>
              <w:t>5299-5237</w:t>
            </w:r>
          </w:p>
        </w:tc>
        <w:tc>
          <w:tcPr>
            <w:tcW w:w="1026" w:type="dxa"/>
            <w:vAlign w:val="center"/>
          </w:tcPr>
          <w:p w:rsidR="00697B80" w:rsidRDefault="00823B55" w:rsidP="00BF0E94">
            <w:pPr>
              <w:tabs>
                <w:tab w:val="left" w:pos="288"/>
                <w:tab w:val="left" w:pos="4752"/>
              </w:tabs>
              <w:rPr>
                <w:color w:val="000000"/>
              </w:rPr>
            </w:pPr>
            <w:r>
              <w:rPr>
                <w:color w:val="000000"/>
              </w:rPr>
              <w:t>10%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823B55"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A01036" w:rsidRPr="00B301F3">
        <w:rPr>
          <w:color w:val="auto"/>
        </w:rPr>
        <w:t>20111101</w:t>
      </w:r>
      <w:r w:rsidR="006E0CCA">
        <w:rPr>
          <w:color w:val="000000"/>
        </w:rPr>
        <w:t>, w/</w:t>
      </w:r>
      <w:proofErr w:type="spellStart"/>
      <w:r w:rsidR="006E0CCA">
        <w:rPr>
          <w:color w:val="000000"/>
        </w:rPr>
        <w:t>atchs</w:t>
      </w:r>
      <w:proofErr w:type="spellEnd"/>
    </w:p>
    <w:p w:rsidR="00AD2379" w:rsidRPr="001F29F9" w:rsidRDefault="00AD2379" w:rsidP="005144A7">
      <w:pPr>
        <w:tabs>
          <w:tab w:val="left" w:pos="288"/>
          <w:tab w:val="left" w:pos="4752"/>
        </w:tabs>
        <w:jc w:val="both"/>
        <w:rPr>
          <w:color w:val="000000"/>
        </w:rPr>
      </w:pPr>
      <w:r w:rsidRPr="001F29F9">
        <w:rPr>
          <w:color w:val="000000"/>
        </w:rPr>
        <w:t>Exhib</w:t>
      </w:r>
      <w:r w:rsidR="006E0CCA">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w:t>
      </w:r>
      <w:r w:rsidR="006E0CCA">
        <w:rPr>
          <w:color w:val="000000"/>
        </w:rPr>
        <w:t>terans</w:t>
      </w:r>
      <w:r w:rsidR="00DE2989">
        <w:rPr>
          <w:color w:val="000000"/>
        </w:rPr>
        <w:t>’</w:t>
      </w:r>
      <w:r w:rsidR="006E0CCA">
        <w:rPr>
          <w:color w:val="000000"/>
        </w:rPr>
        <w:t xml:space="preserve"> Affairs Treatment Record</w:t>
      </w:r>
      <w:bookmarkStart w:id="0" w:name="_GoBack"/>
      <w:bookmarkEnd w:id="0"/>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E95571">
        <w:rPr>
          <w:color w:val="000000"/>
        </w:rPr>
        <w:t>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F31E3" w:rsidRPr="00AF31E3" w:rsidRDefault="00AD2379" w:rsidP="00381F1E">
      <w:pPr>
        <w:tabs>
          <w:tab w:val="left" w:pos="0"/>
          <w:tab w:val="left" w:pos="4320"/>
        </w:tabs>
        <w:jc w:val="both"/>
        <w:rPr>
          <w:rFonts w:eastAsia="Calibri" w:cs="Times New Roman"/>
          <w:color w:val="auto"/>
          <w:sz w:val="22"/>
          <w:szCs w:val="22"/>
        </w:rPr>
      </w:pPr>
      <w:r w:rsidRPr="001F29F9">
        <w:rPr>
          <w:color w:val="000000"/>
        </w:rPr>
        <w:tab/>
        <w:t xml:space="preserve">           Physical Disability Board of Review</w:t>
      </w:r>
    </w:p>
    <w:p w:rsidR="00E95571" w:rsidRDefault="00E95571" w:rsidP="006235F5">
      <w:pPr>
        <w:tabs>
          <w:tab w:val="left" w:pos="288"/>
          <w:tab w:val="left" w:pos="4752"/>
        </w:tabs>
        <w:jc w:val="both"/>
        <w:rPr>
          <w:rFonts w:eastAsia="Calibri" w:cs="Times New Roman"/>
          <w:color w:val="auto"/>
          <w:szCs w:val="24"/>
        </w:rPr>
      </w:pPr>
    </w:p>
    <w:p w:rsidR="00E95571" w:rsidRDefault="00E95571">
      <w:pPr>
        <w:spacing w:line="240" w:lineRule="auto"/>
        <w:jc w:val="left"/>
        <w:rPr>
          <w:rFonts w:eastAsia="Calibri" w:cs="Times New Roman"/>
          <w:color w:val="auto"/>
          <w:szCs w:val="24"/>
        </w:rPr>
      </w:pPr>
      <w:r>
        <w:rPr>
          <w:rFonts w:eastAsia="Calibri" w:cs="Times New Roman"/>
          <w:color w:val="auto"/>
          <w:szCs w:val="24"/>
        </w:rPr>
        <w:br w:type="page"/>
      </w:r>
    </w:p>
    <w:p w:rsidR="00E95571" w:rsidRDefault="00E95571" w:rsidP="00E95571">
      <w:pPr>
        <w:sectPr w:rsidR="00E95571">
          <w:pgSz w:w="12240" w:h="15840"/>
          <w:pgMar w:top="2160" w:right="1440" w:bottom="1440" w:left="1440" w:header="720" w:footer="720" w:gutter="0"/>
          <w:cols w:space="720"/>
        </w:sectPr>
      </w:pPr>
    </w:p>
    <w:p w:rsidR="00E95571" w:rsidRDefault="00E95571" w:rsidP="00E95571">
      <w:pPr>
        <w:pStyle w:val="Header"/>
        <w:tabs>
          <w:tab w:val="left" w:pos="720"/>
        </w:tabs>
        <w:jc w:val="left"/>
      </w:pPr>
      <w:r>
        <w:t>SFMR-RB</w:t>
      </w:r>
      <w:r>
        <w:tab/>
      </w:r>
      <w:r>
        <w:tab/>
      </w:r>
      <w:r>
        <w:tab/>
      </w:r>
      <w:r>
        <w:tab/>
      </w:r>
      <w:r>
        <w:tab/>
      </w:r>
      <w:r>
        <w:tab/>
      </w:r>
      <w:r>
        <w:tab/>
      </w:r>
      <w:r>
        <w:tab/>
      </w:r>
      <w:r>
        <w:tab/>
      </w:r>
    </w:p>
    <w:p w:rsidR="00E95571" w:rsidRDefault="00E95571" w:rsidP="00E95571">
      <w:pPr>
        <w:pStyle w:val="Header"/>
        <w:tabs>
          <w:tab w:val="left" w:pos="720"/>
        </w:tabs>
        <w:jc w:val="left"/>
      </w:pPr>
    </w:p>
    <w:p w:rsidR="00E95571" w:rsidRDefault="00E95571" w:rsidP="00E95571">
      <w:pPr>
        <w:jc w:val="left"/>
      </w:pPr>
    </w:p>
    <w:p w:rsidR="00E95571" w:rsidRDefault="00E95571" w:rsidP="00E95571">
      <w:pPr>
        <w:jc w:val="left"/>
      </w:pPr>
      <w:r>
        <w:t xml:space="preserve">MEMORANDUM FOR Commander, US Army Physical Disability Agency </w:t>
      </w:r>
    </w:p>
    <w:p w:rsidR="00E95571" w:rsidRDefault="00E95571" w:rsidP="00E95571">
      <w:pPr>
        <w:jc w:val="left"/>
      </w:pPr>
      <w:r>
        <w:t xml:space="preserve">(TAPD-ZB </w:t>
      </w:r>
      <w:proofErr w:type="gramStart"/>
      <w:r>
        <w:t>/  )</w:t>
      </w:r>
      <w:proofErr w:type="gramEnd"/>
      <w:r>
        <w:t>, 2900 Crystal Drive, Suite 300, Arlington, VA  22202-3557</w:t>
      </w:r>
    </w:p>
    <w:p w:rsidR="00E95571" w:rsidRDefault="00E95571" w:rsidP="00E95571">
      <w:pPr>
        <w:jc w:val="left"/>
      </w:pPr>
    </w:p>
    <w:p w:rsidR="00E95571" w:rsidRDefault="00E95571" w:rsidP="00E95571">
      <w:pPr>
        <w:ind w:right="-180"/>
        <w:jc w:val="left"/>
      </w:pPr>
      <w:r>
        <w:t>SUBJECT:  Department of Defense Physical Disability Board of Review Recommendation for XXXXXXXXXXXXXXXXXXXXXXXXX, AR20120018605 (PD201101022)</w:t>
      </w:r>
    </w:p>
    <w:p w:rsidR="00E95571" w:rsidRDefault="00E95571" w:rsidP="00E95571">
      <w:pPr>
        <w:pStyle w:val="Header"/>
        <w:tabs>
          <w:tab w:val="left" w:pos="720"/>
        </w:tabs>
        <w:jc w:val="left"/>
      </w:pPr>
    </w:p>
    <w:p w:rsidR="00E95571" w:rsidRDefault="00E95571" w:rsidP="00E95571">
      <w:pPr>
        <w:jc w:val="left"/>
      </w:pPr>
    </w:p>
    <w:p w:rsidR="00E95571" w:rsidRDefault="00E95571" w:rsidP="00E95571">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E95571" w:rsidRDefault="00E95571" w:rsidP="00E95571">
      <w:pPr>
        <w:jc w:val="left"/>
      </w:pPr>
      <w:r>
        <w:t>This decision is final.  The individual concerned, counsel (if any), and any Members of Congress who have shown interest in this application have been notified of this decision by mail.</w:t>
      </w:r>
    </w:p>
    <w:p w:rsidR="00E95571" w:rsidRDefault="00E95571" w:rsidP="00E95571">
      <w:pPr>
        <w:jc w:val="left"/>
      </w:pPr>
    </w:p>
    <w:p w:rsidR="00E95571" w:rsidRDefault="00E95571" w:rsidP="00E95571">
      <w:pPr>
        <w:jc w:val="left"/>
      </w:pPr>
      <w:r>
        <w:t xml:space="preserve"> BY ORDER OF THE SECRETARY OF THE ARMY:</w:t>
      </w:r>
    </w:p>
    <w:p w:rsidR="00E95571" w:rsidRDefault="00E95571" w:rsidP="00E95571">
      <w:pPr>
        <w:jc w:val="left"/>
      </w:pPr>
    </w:p>
    <w:p w:rsidR="00E95571" w:rsidRDefault="00E95571" w:rsidP="00E95571">
      <w:pPr>
        <w:jc w:val="left"/>
      </w:pPr>
    </w:p>
    <w:p w:rsidR="00E95571" w:rsidRDefault="00E95571" w:rsidP="00E95571">
      <w:pPr>
        <w:pStyle w:val="Header"/>
        <w:tabs>
          <w:tab w:val="left" w:pos="720"/>
        </w:tabs>
        <w:jc w:val="left"/>
      </w:pPr>
    </w:p>
    <w:p w:rsidR="00E95571" w:rsidRDefault="00E95571" w:rsidP="00E95571">
      <w:pPr>
        <w:jc w:val="left"/>
      </w:pPr>
    </w:p>
    <w:p w:rsidR="00E95571" w:rsidRDefault="00E95571" w:rsidP="00E95571">
      <w:pPr>
        <w:jc w:val="left"/>
      </w:pPr>
      <w:bookmarkStart w:id="1" w:name="OLE_LINK4"/>
      <w:bookmarkStart w:id="2" w:name="OLE_LINK3"/>
      <w:r>
        <w:t>Encl</w:t>
      </w:r>
      <w:r>
        <w:tab/>
      </w:r>
      <w:r>
        <w:tab/>
      </w:r>
      <w:r>
        <w:tab/>
      </w:r>
      <w:r>
        <w:tab/>
      </w:r>
      <w:r>
        <w:tab/>
      </w:r>
      <w:r>
        <w:tab/>
        <w:t xml:space="preserve">     XXXXXXXXXXXXXXXXX</w:t>
      </w:r>
    </w:p>
    <w:p w:rsidR="00E95571" w:rsidRDefault="00E95571" w:rsidP="00E95571">
      <w:pPr>
        <w:jc w:val="left"/>
      </w:pPr>
      <w:r>
        <w:tab/>
      </w:r>
      <w:r>
        <w:tab/>
      </w:r>
      <w:r>
        <w:tab/>
      </w:r>
      <w:r>
        <w:tab/>
      </w:r>
      <w:r>
        <w:tab/>
      </w:r>
      <w:r>
        <w:tab/>
        <w:t xml:space="preserve">     Deputy Assistant Secretary</w:t>
      </w:r>
    </w:p>
    <w:p w:rsidR="00E95571" w:rsidRDefault="00E95571" w:rsidP="00E95571">
      <w:pPr>
        <w:jc w:val="left"/>
      </w:pPr>
      <w:r>
        <w:tab/>
      </w:r>
      <w:r>
        <w:tab/>
      </w:r>
      <w:r>
        <w:tab/>
      </w:r>
      <w:r>
        <w:tab/>
      </w:r>
      <w:r>
        <w:tab/>
      </w:r>
      <w:r>
        <w:tab/>
        <w:t xml:space="preserve">         (Army Review Boards)</w:t>
      </w:r>
      <w:bookmarkEnd w:id="1"/>
      <w:bookmarkEnd w:id="2"/>
    </w:p>
    <w:p w:rsidR="00E95571" w:rsidRDefault="00E95571" w:rsidP="00E95571">
      <w:pPr>
        <w:jc w:val="left"/>
      </w:pPr>
    </w:p>
    <w:p w:rsidR="00E95571" w:rsidRDefault="00E95571" w:rsidP="00E95571">
      <w:pPr>
        <w:jc w:val="left"/>
      </w:pPr>
      <w:r>
        <w:t xml:space="preserve">CF: </w:t>
      </w:r>
    </w:p>
    <w:p w:rsidR="00E95571" w:rsidRDefault="00E95571" w:rsidP="00E95571">
      <w:pPr>
        <w:jc w:val="left"/>
      </w:pPr>
      <w:r>
        <w:t xml:space="preserve">(  ) </w:t>
      </w:r>
      <w:proofErr w:type="spellStart"/>
      <w:proofErr w:type="gramStart"/>
      <w:r>
        <w:t>DoD</w:t>
      </w:r>
      <w:proofErr w:type="spellEnd"/>
      <w:proofErr w:type="gramEnd"/>
      <w:r>
        <w:t xml:space="preserve"> PDBR</w:t>
      </w:r>
    </w:p>
    <w:p w:rsidR="00E95571" w:rsidRDefault="00E95571" w:rsidP="00E95571">
      <w:pPr>
        <w:jc w:val="left"/>
      </w:pPr>
      <w:r>
        <w:t>(  ) DVA</w:t>
      </w:r>
    </w:p>
    <w:p w:rsidR="00E95571" w:rsidRDefault="00E95571" w:rsidP="00E95571">
      <w:pPr>
        <w:jc w:val="left"/>
      </w:pPr>
    </w:p>
    <w:p w:rsidR="00657081" w:rsidRPr="006235F5" w:rsidRDefault="00657081" w:rsidP="006235F5">
      <w:pPr>
        <w:tabs>
          <w:tab w:val="left" w:pos="288"/>
          <w:tab w:val="left" w:pos="4752"/>
        </w:tabs>
        <w:jc w:val="both"/>
        <w:rPr>
          <w:rFonts w:eastAsia="Calibri" w:cs="Times New Roman"/>
          <w:color w:val="auto"/>
          <w:szCs w:val="24"/>
        </w:rPr>
      </w:pPr>
    </w:p>
    <w:sectPr w:rsidR="00657081"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D2" w:rsidRDefault="005521D2">
      <w:r>
        <w:separator/>
      </w:r>
    </w:p>
  </w:endnote>
  <w:endnote w:type="continuationSeparator" w:id="0">
    <w:p w:rsidR="005521D2" w:rsidRDefault="00552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41" w:rsidRPr="00374247" w:rsidRDefault="00F74C41" w:rsidP="00726F84">
    <w:pPr>
      <w:pStyle w:val="Footer"/>
      <w:ind w:firstLine="4320"/>
      <w:rPr>
        <w:color w:val="auto"/>
      </w:rPr>
    </w:pPr>
    <w:r w:rsidRPr="00374247">
      <w:rPr>
        <w:color w:val="auto"/>
      </w:rPr>
      <w:t xml:space="preserve">   </w:t>
    </w:r>
    <w:r w:rsidR="008F447E" w:rsidRPr="008F447E">
      <w:fldChar w:fldCharType="begin"/>
    </w:r>
    <w:r w:rsidR="00B61364">
      <w:instrText xml:space="preserve"> PAGE   \* MERGEFORMAT </w:instrText>
    </w:r>
    <w:r w:rsidR="008F447E" w:rsidRPr="008F447E">
      <w:fldChar w:fldCharType="separate"/>
    </w:r>
    <w:r w:rsidR="00E95571" w:rsidRPr="00E95571">
      <w:rPr>
        <w:noProof/>
        <w:color w:val="auto"/>
      </w:rPr>
      <w:t>6</w:t>
    </w:r>
    <w:r w:rsidR="008F447E">
      <w:rPr>
        <w:noProof/>
        <w:color w:val="auto"/>
      </w:rPr>
      <w:fldChar w:fldCharType="end"/>
    </w:r>
    <w:r w:rsidRPr="00374247">
      <w:rPr>
        <w:color w:val="auto"/>
      </w:rPr>
      <w:t xml:space="preserve">                                                           </w:t>
    </w:r>
    <w:r w:rsidRPr="001D64F3">
      <w:rPr>
        <w:color w:val="auto"/>
      </w:rPr>
      <w:t>PD1</w:t>
    </w:r>
    <w:r w:rsidRPr="009369A6">
      <w:rPr>
        <w:color w:val="auto"/>
      </w:rPr>
      <w:t>10</w:t>
    </w:r>
    <w:r>
      <w:rPr>
        <w:color w:val="auto"/>
      </w:rPr>
      <w:t>1022</w:t>
    </w:r>
  </w:p>
  <w:p w:rsidR="00F74C41" w:rsidRPr="00684CE6" w:rsidRDefault="00F74C4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D2" w:rsidRDefault="005521D2">
      <w:r>
        <w:separator/>
      </w:r>
    </w:p>
  </w:footnote>
  <w:footnote w:type="continuationSeparator" w:id="0">
    <w:p w:rsidR="005521D2" w:rsidRDefault="00552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592EEF"/>
    <w:multiLevelType w:val="multilevel"/>
    <w:tmpl w:val="A3EC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B0513"/>
    <w:multiLevelType w:val="multilevel"/>
    <w:tmpl w:val="CEEC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E0E0D"/>
    <w:multiLevelType w:val="multilevel"/>
    <w:tmpl w:val="8AF443E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2"/>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7"/>
  </w:num>
  <w:num w:numId="15">
    <w:abstractNumId w:val="24"/>
  </w:num>
  <w:num w:numId="16">
    <w:abstractNumId w:val="1"/>
  </w:num>
  <w:num w:numId="17">
    <w:abstractNumId w:val="21"/>
  </w:num>
  <w:num w:numId="18">
    <w:abstractNumId w:val="10"/>
  </w:num>
  <w:num w:numId="19">
    <w:abstractNumId w:val="13"/>
  </w:num>
  <w:num w:numId="20">
    <w:abstractNumId w:val="20"/>
  </w:num>
  <w:num w:numId="21">
    <w:abstractNumId w:val="15"/>
  </w:num>
  <w:num w:numId="22">
    <w:abstractNumId w:val="2"/>
  </w:num>
  <w:num w:numId="23">
    <w:abstractNumId w:val="23"/>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6B11"/>
    <w:rsid w:val="00017778"/>
    <w:rsid w:val="0002088D"/>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6F7"/>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87EDD"/>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B57F0"/>
    <w:rsid w:val="000B784E"/>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6A1"/>
    <w:rsid w:val="001078DB"/>
    <w:rsid w:val="001079FA"/>
    <w:rsid w:val="00107EC5"/>
    <w:rsid w:val="001103CD"/>
    <w:rsid w:val="00111D3F"/>
    <w:rsid w:val="00113D2A"/>
    <w:rsid w:val="0011462F"/>
    <w:rsid w:val="00114F20"/>
    <w:rsid w:val="0011590B"/>
    <w:rsid w:val="0011733D"/>
    <w:rsid w:val="001211AF"/>
    <w:rsid w:val="001215DF"/>
    <w:rsid w:val="001219DF"/>
    <w:rsid w:val="0012220B"/>
    <w:rsid w:val="00122ABE"/>
    <w:rsid w:val="001231DC"/>
    <w:rsid w:val="001240E9"/>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0F1"/>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7A2"/>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1C6"/>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6C58"/>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983"/>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5E1D"/>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89"/>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1F1E"/>
    <w:rsid w:val="003821E1"/>
    <w:rsid w:val="003840F6"/>
    <w:rsid w:val="00384866"/>
    <w:rsid w:val="003851BA"/>
    <w:rsid w:val="00385708"/>
    <w:rsid w:val="003857D4"/>
    <w:rsid w:val="00385D6F"/>
    <w:rsid w:val="00386D43"/>
    <w:rsid w:val="00387095"/>
    <w:rsid w:val="00387E95"/>
    <w:rsid w:val="00390092"/>
    <w:rsid w:val="00390C2E"/>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12BC"/>
    <w:rsid w:val="003D2BA3"/>
    <w:rsid w:val="003D316B"/>
    <w:rsid w:val="003D3488"/>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56"/>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6B"/>
    <w:rsid w:val="004C0776"/>
    <w:rsid w:val="004C1EF8"/>
    <w:rsid w:val="004C2063"/>
    <w:rsid w:val="004C24C5"/>
    <w:rsid w:val="004C2645"/>
    <w:rsid w:val="004C3180"/>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4F6"/>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C7D"/>
    <w:rsid w:val="00500EAF"/>
    <w:rsid w:val="00500F3C"/>
    <w:rsid w:val="005025EE"/>
    <w:rsid w:val="00503401"/>
    <w:rsid w:val="00503D35"/>
    <w:rsid w:val="00503DDF"/>
    <w:rsid w:val="00505524"/>
    <w:rsid w:val="005058D5"/>
    <w:rsid w:val="00506688"/>
    <w:rsid w:val="00507254"/>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1A"/>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AF8"/>
    <w:rsid w:val="00546C24"/>
    <w:rsid w:val="005471BA"/>
    <w:rsid w:val="00547BDA"/>
    <w:rsid w:val="00547BE6"/>
    <w:rsid w:val="0055034F"/>
    <w:rsid w:val="00550476"/>
    <w:rsid w:val="005521D2"/>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4C2B"/>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474F"/>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919"/>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081"/>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68A0"/>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B80"/>
    <w:rsid w:val="00697C9B"/>
    <w:rsid w:val="006A10FA"/>
    <w:rsid w:val="006A12E0"/>
    <w:rsid w:val="006A3D6C"/>
    <w:rsid w:val="006A40E6"/>
    <w:rsid w:val="006A516B"/>
    <w:rsid w:val="006A5362"/>
    <w:rsid w:val="006A543A"/>
    <w:rsid w:val="006A5C07"/>
    <w:rsid w:val="006A714F"/>
    <w:rsid w:val="006A75FA"/>
    <w:rsid w:val="006B07D5"/>
    <w:rsid w:val="006B1309"/>
    <w:rsid w:val="006B2B56"/>
    <w:rsid w:val="006B31E6"/>
    <w:rsid w:val="006B3923"/>
    <w:rsid w:val="006B3F3E"/>
    <w:rsid w:val="006B4AA2"/>
    <w:rsid w:val="006B4C4D"/>
    <w:rsid w:val="006B53C4"/>
    <w:rsid w:val="006B5819"/>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0CCA"/>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301B1"/>
    <w:rsid w:val="0073062D"/>
    <w:rsid w:val="0073093B"/>
    <w:rsid w:val="0073254D"/>
    <w:rsid w:val="007340F3"/>
    <w:rsid w:val="007347BB"/>
    <w:rsid w:val="00734BDB"/>
    <w:rsid w:val="00735704"/>
    <w:rsid w:val="00736A49"/>
    <w:rsid w:val="007419A1"/>
    <w:rsid w:val="00743B71"/>
    <w:rsid w:val="00743C2D"/>
    <w:rsid w:val="00743C3A"/>
    <w:rsid w:val="00743CEA"/>
    <w:rsid w:val="00743E36"/>
    <w:rsid w:val="00743F05"/>
    <w:rsid w:val="007441C1"/>
    <w:rsid w:val="007446F7"/>
    <w:rsid w:val="00744C68"/>
    <w:rsid w:val="00744EBB"/>
    <w:rsid w:val="00745B0A"/>
    <w:rsid w:val="00745DBE"/>
    <w:rsid w:val="007468AC"/>
    <w:rsid w:val="00746AE2"/>
    <w:rsid w:val="00750C82"/>
    <w:rsid w:val="00750E3A"/>
    <w:rsid w:val="00751B05"/>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B55"/>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942"/>
    <w:rsid w:val="00882CC2"/>
    <w:rsid w:val="00883103"/>
    <w:rsid w:val="0088325A"/>
    <w:rsid w:val="00883930"/>
    <w:rsid w:val="00884535"/>
    <w:rsid w:val="008864D4"/>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C8E"/>
    <w:rsid w:val="008B2FDB"/>
    <w:rsid w:val="008B3A0D"/>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5E2"/>
    <w:rsid w:val="008E4A60"/>
    <w:rsid w:val="008E744D"/>
    <w:rsid w:val="008F1E08"/>
    <w:rsid w:val="008F2E41"/>
    <w:rsid w:val="008F30F4"/>
    <w:rsid w:val="008F447E"/>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09A1"/>
    <w:rsid w:val="00911490"/>
    <w:rsid w:val="009115F2"/>
    <w:rsid w:val="00911B11"/>
    <w:rsid w:val="00914ADB"/>
    <w:rsid w:val="00915196"/>
    <w:rsid w:val="00917182"/>
    <w:rsid w:val="00920251"/>
    <w:rsid w:val="00920259"/>
    <w:rsid w:val="00921CFD"/>
    <w:rsid w:val="009228D1"/>
    <w:rsid w:val="00923B25"/>
    <w:rsid w:val="0092402E"/>
    <w:rsid w:val="00924745"/>
    <w:rsid w:val="009259BA"/>
    <w:rsid w:val="00926C0A"/>
    <w:rsid w:val="00926FCB"/>
    <w:rsid w:val="009303BB"/>
    <w:rsid w:val="0093108A"/>
    <w:rsid w:val="009319EF"/>
    <w:rsid w:val="00931B6D"/>
    <w:rsid w:val="0093311A"/>
    <w:rsid w:val="009346D0"/>
    <w:rsid w:val="009369A6"/>
    <w:rsid w:val="00936E38"/>
    <w:rsid w:val="00937F57"/>
    <w:rsid w:val="0094031E"/>
    <w:rsid w:val="00940450"/>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478"/>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207"/>
    <w:rsid w:val="009C02C0"/>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036"/>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31E3"/>
    <w:rsid w:val="00AF41EE"/>
    <w:rsid w:val="00AF4A87"/>
    <w:rsid w:val="00AF4FA5"/>
    <w:rsid w:val="00AF5BB4"/>
    <w:rsid w:val="00AF6ECC"/>
    <w:rsid w:val="00AF7CA6"/>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1364"/>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1E90"/>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D42"/>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9D6"/>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503"/>
    <w:rsid w:val="00D03EC9"/>
    <w:rsid w:val="00D05669"/>
    <w:rsid w:val="00D061EB"/>
    <w:rsid w:val="00D06952"/>
    <w:rsid w:val="00D07A72"/>
    <w:rsid w:val="00D10577"/>
    <w:rsid w:val="00D123F4"/>
    <w:rsid w:val="00D12405"/>
    <w:rsid w:val="00D12A4E"/>
    <w:rsid w:val="00D1323B"/>
    <w:rsid w:val="00D14BAE"/>
    <w:rsid w:val="00D15107"/>
    <w:rsid w:val="00D1648B"/>
    <w:rsid w:val="00D16819"/>
    <w:rsid w:val="00D16E40"/>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2F8A"/>
    <w:rsid w:val="00D43978"/>
    <w:rsid w:val="00D43CBD"/>
    <w:rsid w:val="00D441F1"/>
    <w:rsid w:val="00D449F0"/>
    <w:rsid w:val="00D45319"/>
    <w:rsid w:val="00D4605F"/>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2989"/>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0A7E"/>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2789"/>
    <w:rsid w:val="00E438A4"/>
    <w:rsid w:val="00E4396A"/>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F9E"/>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571"/>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345B"/>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3AED"/>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0CC"/>
    <w:rsid w:val="00F566B7"/>
    <w:rsid w:val="00F56EA1"/>
    <w:rsid w:val="00F606D5"/>
    <w:rsid w:val="00F611B3"/>
    <w:rsid w:val="00F6196E"/>
    <w:rsid w:val="00F61CCC"/>
    <w:rsid w:val="00F61E77"/>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4C41"/>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46D3"/>
    <w:rsid w:val="00FB593A"/>
    <w:rsid w:val="00FB6410"/>
    <w:rsid w:val="00FB6E82"/>
    <w:rsid w:val="00FB792E"/>
    <w:rsid w:val="00FB7CF0"/>
    <w:rsid w:val="00FC0042"/>
    <w:rsid w:val="00FC065E"/>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8981">
      <w:bodyDiv w:val="1"/>
      <w:marLeft w:val="0"/>
      <w:marRight w:val="0"/>
      <w:marTop w:val="0"/>
      <w:marBottom w:val="0"/>
      <w:divBdr>
        <w:top w:val="none" w:sz="0" w:space="0" w:color="auto"/>
        <w:left w:val="none" w:sz="0" w:space="0" w:color="auto"/>
        <w:bottom w:val="none" w:sz="0" w:space="0" w:color="auto"/>
        <w:right w:val="none" w:sz="0" w:space="0" w:color="auto"/>
      </w:divBdr>
    </w:div>
    <w:div w:id="1891520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F1CF-C5D0-4777-80E8-93027C7D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2012-10-31T19:02:00Z</dcterms:created>
  <dcterms:modified xsi:type="dcterms:W3CDTF">2012-10-31T19:02:00Z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