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1868C6">
        <w:rPr>
          <w:caps/>
          <w:color w:val="000000"/>
        </w:rPr>
        <w:t>XXXXXXXXXXXXXXXXXXXXX</w:t>
      </w:r>
      <w:r w:rsidRPr="001F29F9">
        <w:rPr>
          <w:caps/>
          <w:color w:val="000000" w:themeColor="text1"/>
        </w:rPr>
        <w:t xml:space="preserve">                </w:t>
      </w:r>
      <w:r>
        <w:rPr>
          <w:caps/>
          <w:color w:val="000000" w:themeColor="text1"/>
        </w:rPr>
        <w:tab/>
        <w:t xml:space="preserve">                             </w:t>
      </w:r>
      <w:r w:rsidRPr="001F29F9">
        <w:rPr>
          <w:caps/>
          <w:color w:val="000000" w:themeColor="text1"/>
        </w:rPr>
        <w:t xml:space="preserve">BRANCH </w:t>
      </w:r>
      <w:r w:rsidRPr="004D2A72">
        <w:rPr>
          <w:caps/>
          <w:color w:val="000000" w:themeColor="text1"/>
        </w:rPr>
        <w:t>OF SERVICE:  Army</w:t>
      </w:r>
      <w:r w:rsidRPr="00BA4A38">
        <w:rPr>
          <w:caps/>
          <w:color w:val="000000" w:themeColor="text1"/>
        </w:rPr>
        <w:t xml:space="preserve"> </w:t>
      </w:r>
    </w:p>
    <w:p w:rsidR="0095270D" w:rsidRDefault="0095270D" w:rsidP="0095270D">
      <w:pPr>
        <w:tabs>
          <w:tab w:val="left" w:pos="288"/>
          <w:tab w:val="left" w:pos="5130"/>
        </w:tabs>
        <w:jc w:val="both"/>
        <w:rPr>
          <w:color w:val="000000" w:themeColor="text1"/>
        </w:rPr>
      </w:pPr>
      <w:r w:rsidRPr="001F29F9">
        <w:rPr>
          <w:caps/>
          <w:color w:val="000000" w:themeColor="text1"/>
        </w:rPr>
        <w:t xml:space="preserve">CASE NUMBER:  </w:t>
      </w:r>
      <w:r w:rsidR="004D2A72" w:rsidRPr="00443A71">
        <w:rPr>
          <w:caps/>
          <w:color w:val="000000"/>
        </w:rPr>
        <w:t>PD1101021</w:t>
      </w:r>
      <w:r>
        <w:rPr>
          <w:color w:val="000000" w:themeColor="text1"/>
        </w:rPr>
        <w:tab/>
      </w:r>
      <w:r>
        <w:rPr>
          <w:color w:val="000000" w:themeColor="text1"/>
        </w:rPr>
        <w:tab/>
        <w:t xml:space="preserve">          </w:t>
      </w:r>
      <w:r w:rsidRPr="001F29F9">
        <w:rPr>
          <w:color w:val="000000" w:themeColor="text1"/>
        </w:rPr>
        <w:t xml:space="preserve"> SEPARATION DATE:  </w:t>
      </w:r>
      <w:r w:rsidR="004D2A72" w:rsidRPr="001F29F9">
        <w:rPr>
          <w:color w:val="000000"/>
        </w:rPr>
        <w:t>200</w:t>
      </w:r>
      <w:r w:rsidR="004D2A72">
        <w:rPr>
          <w:color w:val="000000"/>
        </w:rPr>
        <w:t>41031</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1F693A">
        <w:rPr>
          <w:caps/>
          <w:color w:val="000000"/>
        </w:rPr>
        <w:t>0830</w:t>
      </w:r>
      <w:r w:rsidRPr="001F29F9">
        <w:rPr>
          <w:caps/>
          <w:color w:val="000000"/>
        </w:rPr>
        <w:t xml:space="preserve">      </w:t>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DE3A36" w:rsidRPr="00DE3A36" w:rsidRDefault="00AD2379" w:rsidP="00DE3A36">
      <w:pPr>
        <w:tabs>
          <w:tab w:val="left" w:pos="288"/>
          <w:tab w:val="left" w:pos="4752"/>
        </w:tabs>
        <w:jc w:val="both"/>
        <w:rPr>
          <w:color w:val="000000"/>
          <w:szCs w:val="24"/>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an active duty SGT/E-5</w:t>
      </w:r>
      <w:r w:rsidR="000B5210">
        <w:rPr>
          <w:color w:val="000000"/>
        </w:rPr>
        <w:t xml:space="preserve"> (21J</w:t>
      </w:r>
      <w:r w:rsidRPr="001F29F9">
        <w:rPr>
          <w:color w:val="000000"/>
        </w:rPr>
        <w:t xml:space="preserve">, </w:t>
      </w:r>
      <w:r w:rsidR="000B5210">
        <w:rPr>
          <w:color w:val="000000"/>
          <w:szCs w:val="24"/>
        </w:rPr>
        <w:t>Construction Equipment Operator</w:t>
      </w:r>
      <w:r w:rsidR="00A70270">
        <w:rPr>
          <w:color w:val="000000"/>
        </w:rPr>
        <w:t>)</w:t>
      </w:r>
      <w:r w:rsidR="000B5210">
        <w:rPr>
          <w:color w:val="000000"/>
        </w:rPr>
        <w:t xml:space="preserve"> </w:t>
      </w:r>
      <w:r w:rsidRPr="001F29F9">
        <w:rPr>
          <w:color w:val="000000"/>
        </w:rPr>
        <w:t xml:space="preserve">medically separated for </w:t>
      </w:r>
      <w:r w:rsidR="00261B7E">
        <w:rPr>
          <w:color w:val="000000"/>
        </w:rPr>
        <w:t xml:space="preserve">a </w:t>
      </w:r>
      <w:r w:rsidR="000B5210">
        <w:rPr>
          <w:color w:val="000000"/>
        </w:rPr>
        <w:t>bilateral hip</w:t>
      </w:r>
      <w:r w:rsidRPr="001F29F9">
        <w:rPr>
          <w:color w:val="000000"/>
        </w:rPr>
        <w:t xml:space="preserve"> </w:t>
      </w:r>
      <w:r w:rsidR="00261B7E">
        <w:rPr>
          <w:color w:val="000000"/>
        </w:rPr>
        <w:t>condition</w:t>
      </w:r>
      <w:r w:rsidRPr="001F29F9">
        <w:rPr>
          <w:color w:val="000000"/>
        </w:rPr>
        <w:t xml:space="preserve">. </w:t>
      </w:r>
      <w:r w:rsidR="00261B7E">
        <w:rPr>
          <w:color w:val="000000"/>
        </w:rPr>
        <w:t xml:space="preserve"> </w:t>
      </w:r>
      <w:r w:rsidR="00553204">
        <w:rPr>
          <w:color w:val="000000"/>
        </w:rPr>
        <w:t xml:space="preserve">He experienced an onset of right hip pain in 2002 which was ultimately suspected to be a stress fracture of the pubic </w:t>
      </w:r>
      <w:r w:rsidR="00A81C7A">
        <w:rPr>
          <w:color w:val="000000"/>
        </w:rPr>
        <w:t>bone</w:t>
      </w:r>
      <w:r w:rsidR="00553204">
        <w:rPr>
          <w:color w:val="000000"/>
        </w:rPr>
        <w:t>.  Over time he developed bilateral hip pain which</w:t>
      </w:r>
      <w:r w:rsidR="00F566B7" w:rsidRPr="00F566B7">
        <w:rPr>
          <w:color w:val="000000"/>
        </w:rPr>
        <w:t xml:space="preserve"> </w:t>
      </w:r>
      <w:r w:rsidR="000B5210" w:rsidRPr="009F3445">
        <w:rPr>
          <w:color w:val="000000"/>
          <w:szCs w:val="24"/>
        </w:rPr>
        <w:t xml:space="preserve">could not be adequately rehabilitated to meet </w:t>
      </w:r>
      <w:r w:rsidR="000B5210">
        <w:rPr>
          <w:color w:val="000000"/>
          <w:szCs w:val="24"/>
        </w:rPr>
        <w:t>the physical requirements of his</w:t>
      </w:r>
      <w:r w:rsidR="000B5210" w:rsidRPr="009F3445">
        <w:rPr>
          <w:color w:val="000000"/>
          <w:szCs w:val="24"/>
        </w:rPr>
        <w:t xml:space="preserve"> Military Occupational Specialty (MOS) or satisf</w:t>
      </w:r>
      <w:r w:rsidR="000B5210">
        <w:rPr>
          <w:color w:val="000000"/>
          <w:szCs w:val="24"/>
        </w:rPr>
        <w:t>y physical fitness standards.  H</w:t>
      </w:r>
      <w:r w:rsidR="000B5210" w:rsidRPr="009F3445">
        <w:rPr>
          <w:color w:val="000000"/>
          <w:szCs w:val="24"/>
        </w:rPr>
        <w:t xml:space="preserve">e was consequently issued a permanent L3 profile and referred for a Medical Evaluation Board (MEB).  The </w:t>
      </w:r>
      <w:r w:rsidR="000B5210">
        <w:rPr>
          <w:color w:val="000000"/>
          <w:szCs w:val="24"/>
        </w:rPr>
        <w:t>condition</w:t>
      </w:r>
      <w:r w:rsidR="00DE3A36">
        <w:rPr>
          <w:color w:val="000000"/>
          <w:szCs w:val="24"/>
        </w:rPr>
        <w:t>, characterized as “</w:t>
      </w:r>
      <w:r w:rsidR="00DE3A36">
        <w:rPr>
          <w:color w:val="000000"/>
        </w:rPr>
        <w:t>h</w:t>
      </w:r>
      <w:r w:rsidR="00DE3A36" w:rsidRPr="00DE3A36">
        <w:rPr>
          <w:color w:val="000000"/>
        </w:rPr>
        <w:t xml:space="preserve">istory of right superior pubic ramus stress </w:t>
      </w:r>
      <w:r w:rsidR="00DE3A36" w:rsidRPr="00DE3A36">
        <w:rPr>
          <w:bCs/>
          <w:color w:val="000000"/>
        </w:rPr>
        <w:t>fracture</w:t>
      </w:r>
      <w:r w:rsidR="00DE3A36" w:rsidRPr="00DE3A36">
        <w:rPr>
          <w:color w:val="000000"/>
        </w:rPr>
        <w:t xml:space="preserve"> with</w:t>
      </w:r>
      <w:r w:rsidR="00DE3A36">
        <w:rPr>
          <w:color w:val="000000"/>
        </w:rPr>
        <w:t xml:space="preserve"> </w:t>
      </w:r>
      <w:r w:rsidR="00DE3A36" w:rsidRPr="00DE3A36">
        <w:rPr>
          <w:color w:val="000000"/>
        </w:rPr>
        <w:t>continued bilateral chronic hip pain</w:t>
      </w:r>
      <w:r w:rsidR="00DE3A36">
        <w:rPr>
          <w:color w:val="000000"/>
          <w:szCs w:val="24"/>
        </w:rPr>
        <w:t>”,</w:t>
      </w:r>
      <w:r w:rsidR="000B5210" w:rsidRPr="009F3445">
        <w:rPr>
          <w:color w:val="000000"/>
          <w:szCs w:val="24"/>
        </w:rPr>
        <w:t xml:space="preserve"> was forwarded to the Physical Evaluation Board (PEB) as medically unacceptable IAW AR 40-501.  No other conditions w</w:t>
      </w:r>
      <w:r w:rsidR="000B5210">
        <w:rPr>
          <w:color w:val="000000"/>
          <w:szCs w:val="24"/>
        </w:rPr>
        <w:t>ere submitted</w:t>
      </w:r>
      <w:r w:rsidR="00E76761">
        <w:rPr>
          <w:color w:val="000000"/>
          <w:szCs w:val="24"/>
        </w:rPr>
        <w:t xml:space="preserve"> by the MEB.  The I</w:t>
      </w:r>
      <w:r w:rsidR="000B5210" w:rsidRPr="009F3445">
        <w:rPr>
          <w:color w:val="000000"/>
          <w:szCs w:val="24"/>
        </w:rPr>
        <w:t xml:space="preserve">nformal PEB </w:t>
      </w:r>
      <w:r w:rsidR="00E76761">
        <w:rPr>
          <w:color w:val="000000"/>
          <w:szCs w:val="24"/>
        </w:rPr>
        <w:t xml:space="preserve">(IPEB) </w:t>
      </w:r>
      <w:r w:rsidR="000B5210" w:rsidRPr="009F3445">
        <w:rPr>
          <w:color w:val="000000"/>
          <w:szCs w:val="24"/>
        </w:rPr>
        <w:t xml:space="preserve">adjudicated the </w:t>
      </w:r>
      <w:r w:rsidR="00E76761">
        <w:rPr>
          <w:color w:val="000000"/>
          <w:szCs w:val="24"/>
        </w:rPr>
        <w:t xml:space="preserve">bilateral hip </w:t>
      </w:r>
      <w:r w:rsidR="000B5210" w:rsidRPr="009F3445">
        <w:rPr>
          <w:color w:val="000000"/>
          <w:szCs w:val="24"/>
        </w:rPr>
        <w:t xml:space="preserve">condition as unfitting, rated </w:t>
      </w:r>
      <w:r w:rsidR="000B5210">
        <w:rPr>
          <w:color w:val="000000"/>
          <w:szCs w:val="24"/>
        </w:rPr>
        <w:t>1</w:t>
      </w:r>
      <w:r w:rsidR="000B5210" w:rsidRPr="009F3445">
        <w:rPr>
          <w:color w:val="000000"/>
          <w:szCs w:val="24"/>
        </w:rPr>
        <w:t xml:space="preserve">0%, </w:t>
      </w:r>
      <w:r w:rsidR="00E76761">
        <w:rPr>
          <w:color w:val="000000"/>
          <w:szCs w:val="24"/>
        </w:rPr>
        <w:t>referencing</w:t>
      </w:r>
      <w:r w:rsidR="000B5210" w:rsidRPr="009F3445">
        <w:rPr>
          <w:color w:val="000000"/>
          <w:szCs w:val="24"/>
        </w:rPr>
        <w:t xml:space="preserve"> </w:t>
      </w:r>
      <w:r w:rsidR="00E76761" w:rsidRPr="00100442">
        <w:rPr>
          <w:color w:val="000000"/>
          <w:szCs w:val="24"/>
        </w:rPr>
        <w:t>the US Army Physical Disability Agency (USAPDA) pain policy</w:t>
      </w:r>
      <w:r w:rsidR="000B5210" w:rsidRPr="009F3445">
        <w:rPr>
          <w:color w:val="000000"/>
          <w:szCs w:val="24"/>
        </w:rPr>
        <w:t xml:space="preserve">.  </w:t>
      </w:r>
      <w:r w:rsidR="00E76761" w:rsidRPr="009F3445">
        <w:rPr>
          <w:color w:val="000000"/>
          <w:szCs w:val="24"/>
        </w:rPr>
        <w:t>The CI appealed to a Forma</w:t>
      </w:r>
      <w:r w:rsidR="00E76761">
        <w:rPr>
          <w:color w:val="000000"/>
          <w:szCs w:val="24"/>
        </w:rPr>
        <w:t>l PEB (FPEB) which conferred a 2</w:t>
      </w:r>
      <w:r w:rsidR="00E76761" w:rsidRPr="009F3445">
        <w:rPr>
          <w:color w:val="000000"/>
          <w:szCs w:val="24"/>
        </w:rPr>
        <w:t xml:space="preserve">0% rating, </w:t>
      </w:r>
      <w:r w:rsidR="00E76761">
        <w:rPr>
          <w:color w:val="000000"/>
          <w:szCs w:val="24"/>
        </w:rPr>
        <w:t>also referencing the USAPDA pain policy</w:t>
      </w:r>
      <w:r w:rsidR="00E76761" w:rsidRPr="009F3445">
        <w:rPr>
          <w:color w:val="000000"/>
          <w:szCs w:val="24"/>
        </w:rPr>
        <w:t>; and, he was medically separated with that disability rating.</w:t>
      </w:r>
    </w:p>
    <w:p w:rsidR="00E76761" w:rsidRPr="001F29F9" w:rsidRDefault="00E76761" w:rsidP="00E76761">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3F7D9A">
        <w:rPr>
          <w:color w:val="000000"/>
        </w:rPr>
        <w:t xml:space="preserve"> The application states only </w:t>
      </w:r>
      <w:r w:rsidR="00773C45">
        <w:rPr>
          <w:color w:val="000000"/>
        </w:rPr>
        <w:t>“</w:t>
      </w:r>
      <w:r w:rsidR="003F7D9A">
        <w:rPr>
          <w:color w:val="000000"/>
        </w:rPr>
        <w:t>Hip/pelvic pain.</w:t>
      </w:r>
      <w:r w:rsidR="00773C45">
        <w:rPr>
          <w:color w:val="000000"/>
        </w:rPr>
        <w:t>”</w:t>
      </w:r>
      <w:r w:rsidR="004A2728">
        <w:rPr>
          <w:color w:val="000000"/>
        </w:rPr>
        <w:t xml:space="preserve"> </w:t>
      </w:r>
      <w:r w:rsidR="003F7D9A">
        <w:rPr>
          <w:color w:val="000000"/>
        </w:rPr>
        <w:t xml:space="preserve"> </w:t>
      </w:r>
      <w:r w:rsidR="003F7D9A">
        <w:rPr>
          <w:rFonts w:eastAsiaTheme="minorHAnsi"/>
          <w:color w:val="000000" w:themeColor="text1"/>
          <w:szCs w:val="24"/>
        </w:rPr>
        <w:t>The CI</w:t>
      </w:r>
      <w:r w:rsidR="004A2728" w:rsidRPr="00F72DEB">
        <w:rPr>
          <w:rFonts w:eastAsiaTheme="minorHAnsi"/>
          <w:color w:val="000000" w:themeColor="text1"/>
          <w:szCs w:val="24"/>
        </w:rPr>
        <w:t xml:space="preserve"> does not elaborate further or </w:t>
      </w:r>
      <w:r w:rsidR="00A358BA" w:rsidRPr="00F72DEB">
        <w:rPr>
          <w:rFonts w:eastAsiaTheme="minorHAnsi"/>
          <w:color w:val="000000" w:themeColor="text1"/>
          <w:szCs w:val="24"/>
        </w:rPr>
        <w:t>specify a request for Board consideration of any additional</w:t>
      </w:r>
      <w:r w:rsidR="004A2728" w:rsidRPr="00F72DEB">
        <w:rPr>
          <w:rFonts w:eastAsiaTheme="minorHAnsi"/>
          <w:color w:val="000000" w:themeColor="text1"/>
          <w:szCs w:val="24"/>
        </w:rPr>
        <w:t xml:space="preserve"> conditions.</w:t>
      </w:r>
      <w:r w:rsidR="004A2728">
        <w:rPr>
          <w:color w:val="000000" w:themeColor="text1"/>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C566C9" w:rsidRDefault="00F14638" w:rsidP="00F14638">
      <w:pPr>
        <w:jc w:val="both"/>
        <w:rPr>
          <w:color w:val="auto"/>
        </w:rPr>
      </w:pPr>
      <w:r w:rsidRPr="006A714F">
        <w:rPr>
          <w:color w:val="auto"/>
          <w:u w:val="single"/>
        </w:rPr>
        <w:t>SCOPE OF REVIEW</w:t>
      </w:r>
      <w:r>
        <w:rPr>
          <w:color w:val="auto"/>
        </w:rPr>
        <w:t xml:space="preserve">:  </w:t>
      </w:r>
      <w:r w:rsidR="003F7D9A" w:rsidRPr="003F7D9A">
        <w:rPr>
          <w:color w:val="auto"/>
        </w:rPr>
        <w:t>The Board wishes to clarify that the scope of its review as defined in Department of Defense Instruction (DoDI) 6040.44 (Enclosure 3, paragraph 5.e.2) is limited to those conditions which were determined by the PEB to be specifically unfitting for continued military service; or, when requested by the CI, those condition(s) “identified but not determined to be unfitting by the PEB.</w:t>
      </w:r>
      <w:r w:rsidR="00FA6BB7">
        <w:rPr>
          <w:color w:val="auto"/>
        </w:rPr>
        <w:t>”</w:t>
      </w:r>
      <w:r w:rsidR="003F7D9A" w:rsidRPr="003F7D9A">
        <w:rPr>
          <w:color w:val="auto"/>
        </w:rPr>
        <w:t xml:space="preserve">  The rating for the unfitting </w:t>
      </w:r>
      <w:r w:rsidR="003F7D9A">
        <w:rPr>
          <w:color w:val="auto"/>
        </w:rPr>
        <w:t>bilateral hip</w:t>
      </w:r>
      <w:r w:rsidR="003F7D9A" w:rsidRPr="003F7D9A">
        <w:rPr>
          <w:color w:val="auto"/>
        </w:rPr>
        <w:t xml:space="preserve"> condition is addressed below; and, no additional conditions are within the DoDI 6040.44 defined purview of the Board.  Any conditions or contention not requested in this application, or otherwise outside the Board’s defined scope of review, remain eligible for future consideration by the Army Board for Correction of Military Records</w:t>
      </w:r>
      <w:r w:rsidR="00FA6BB7">
        <w:rPr>
          <w:color w:val="auto"/>
        </w:rPr>
        <w:t>.</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AD2379" w:rsidRPr="001F29F9" w:rsidRDefault="00AD2379"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p>
    <w:p w:rsidR="00AD2379" w:rsidRPr="001F29F9" w:rsidRDefault="00AD2379" w:rsidP="00FE7C22">
      <w:pPr>
        <w:jc w:val="both"/>
        <w:rPr>
          <w:color w:val="000000"/>
        </w:rPr>
      </w:pPr>
    </w:p>
    <w:tbl>
      <w:tblPr>
        <w:tblStyle w:val="TableGrid"/>
        <w:tblpPr w:leftFromText="187" w:rightFromText="187" w:vertAnchor="text" w:tblpXSpec="center" w:tblpY="1"/>
        <w:tblOverlap w:val="never"/>
        <w:tblW w:w="9348" w:type="dxa"/>
        <w:tblLayout w:type="fixed"/>
        <w:tblLook w:val="00A0"/>
      </w:tblPr>
      <w:tblGrid>
        <w:gridCol w:w="2178"/>
        <w:gridCol w:w="1080"/>
        <w:gridCol w:w="720"/>
        <w:gridCol w:w="2610"/>
        <w:gridCol w:w="1080"/>
        <w:gridCol w:w="720"/>
        <w:gridCol w:w="960"/>
      </w:tblGrid>
      <w:tr w:rsidR="00926C0A" w:rsidRPr="000D5DBE" w:rsidTr="00A36444">
        <w:trPr>
          <w:trHeight w:val="170"/>
        </w:trPr>
        <w:tc>
          <w:tcPr>
            <w:tcW w:w="3978" w:type="dxa"/>
            <w:gridSpan w:val="3"/>
            <w:tcBorders>
              <w:right w:val="thinThickThinSmallGap" w:sz="24" w:space="0" w:color="auto"/>
            </w:tcBorders>
            <w:shd w:val="clear" w:color="auto" w:fill="D9D9D9"/>
            <w:vAlign w:val="center"/>
          </w:tcPr>
          <w:p w:rsidR="00926C0A" w:rsidRPr="00947728" w:rsidRDefault="00715BDA" w:rsidP="00926C0A">
            <w:pPr>
              <w:contextualSpacing/>
              <w:rPr>
                <w:rFonts w:cs="Calibri"/>
                <w:b/>
                <w:color w:val="auto"/>
                <w:sz w:val="18"/>
              </w:rPr>
            </w:pPr>
            <w:r>
              <w:rPr>
                <w:b/>
                <w:color w:val="auto"/>
                <w:sz w:val="18"/>
              </w:rPr>
              <w:t>Service F</w:t>
            </w:r>
            <w:r w:rsidR="00926C0A" w:rsidRPr="00947728">
              <w:rPr>
                <w:b/>
                <w:color w:val="auto"/>
                <w:sz w:val="18"/>
              </w:rPr>
              <w:t xml:space="preserve">PEB – Dated </w:t>
            </w:r>
            <w:r w:rsidRPr="00C66E28">
              <w:rPr>
                <w:rFonts w:eastAsia="Calibri"/>
                <w:b/>
                <w:color w:val="000000"/>
                <w:sz w:val="18"/>
                <w:szCs w:val="18"/>
              </w:rPr>
              <w:t>200</w:t>
            </w:r>
            <w:r>
              <w:rPr>
                <w:rFonts w:eastAsia="Calibri"/>
                <w:b/>
                <w:color w:val="000000"/>
                <w:sz w:val="18"/>
                <w:szCs w:val="18"/>
              </w:rPr>
              <w:t>40819</w:t>
            </w:r>
          </w:p>
        </w:tc>
        <w:tc>
          <w:tcPr>
            <w:tcW w:w="5370" w:type="dxa"/>
            <w:gridSpan w:val="4"/>
            <w:tcBorders>
              <w:left w:val="thinThickThinSmallGap" w:sz="24" w:space="0" w:color="auto"/>
            </w:tcBorders>
            <w:shd w:val="clear" w:color="auto" w:fill="D9D9D9"/>
            <w:vAlign w:val="center"/>
          </w:tcPr>
          <w:p w:rsidR="00926C0A" w:rsidRPr="00947728" w:rsidRDefault="00715BDA" w:rsidP="00715BDA">
            <w:pPr>
              <w:contextualSpacing/>
              <w:rPr>
                <w:rFonts w:cs="Calibri"/>
                <w:b/>
                <w:color w:val="auto"/>
                <w:sz w:val="18"/>
              </w:rPr>
            </w:pPr>
            <w:r>
              <w:rPr>
                <w:b/>
                <w:color w:val="auto"/>
                <w:sz w:val="18"/>
              </w:rPr>
              <w:t>VA (1 Mo. Pre</w:t>
            </w:r>
            <w:r w:rsidR="00926C0A" w:rsidRPr="00947728">
              <w:rPr>
                <w:b/>
                <w:color w:val="auto"/>
                <w:sz w:val="18"/>
              </w:rPr>
              <w:t xml:space="preserve">-Separation) – All Effective </w:t>
            </w:r>
            <w:r w:rsidRPr="00C66E28">
              <w:rPr>
                <w:rFonts w:eastAsia="Calibri"/>
                <w:b/>
                <w:color w:val="000000"/>
                <w:sz w:val="18"/>
                <w:szCs w:val="18"/>
              </w:rPr>
              <w:t>200</w:t>
            </w:r>
            <w:r>
              <w:rPr>
                <w:rFonts w:eastAsia="Calibri"/>
                <w:b/>
                <w:color w:val="000000"/>
                <w:sz w:val="18"/>
                <w:szCs w:val="18"/>
              </w:rPr>
              <w:t>41101</w:t>
            </w:r>
          </w:p>
        </w:tc>
      </w:tr>
      <w:tr w:rsidR="00261B7E" w:rsidRPr="000D5DBE" w:rsidTr="00715BDA">
        <w:trPr>
          <w:trHeight w:val="97"/>
        </w:trPr>
        <w:tc>
          <w:tcPr>
            <w:tcW w:w="2178" w:type="dxa"/>
            <w:tcBorders>
              <w:righ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1080" w:type="dxa"/>
            <w:tcBorders>
              <w:lef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20" w:type="dxa"/>
            <w:tcBorders>
              <w:righ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2610" w:type="dxa"/>
            <w:tcBorders>
              <w:lef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108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2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96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Exam</w:t>
            </w:r>
          </w:p>
        </w:tc>
      </w:tr>
      <w:tr w:rsidR="00715BDA" w:rsidRPr="000D5DBE" w:rsidTr="00715BDA">
        <w:trPr>
          <w:trHeight w:val="118"/>
        </w:trPr>
        <w:tc>
          <w:tcPr>
            <w:tcW w:w="2178" w:type="dxa"/>
            <w:tcBorders>
              <w:right w:val="single" w:sz="4" w:space="0" w:color="auto"/>
            </w:tcBorders>
            <w:shd w:val="clear" w:color="auto" w:fill="FFFFFF"/>
            <w:vAlign w:val="center"/>
          </w:tcPr>
          <w:p w:rsidR="00715BDA" w:rsidRPr="00C66E28" w:rsidRDefault="00715BDA" w:rsidP="00715BDA">
            <w:pPr>
              <w:spacing w:line="220" w:lineRule="exact"/>
              <w:contextualSpacing/>
              <w:jc w:val="left"/>
              <w:rPr>
                <w:color w:val="000000"/>
                <w:sz w:val="18"/>
                <w:szCs w:val="18"/>
              </w:rPr>
            </w:pPr>
            <w:r>
              <w:rPr>
                <w:rFonts w:eastAsia="Calibri"/>
                <w:color w:val="000000"/>
                <w:sz w:val="18"/>
                <w:szCs w:val="18"/>
              </w:rPr>
              <w:t>Chronic Bilateral Hip Pain</w:t>
            </w:r>
          </w:p>
        </w:tc>
        <w:tc>
          <w:tcPr>
            <w:tcW w:w="1080" w:type="dxa"/>
            <w:tcBorders>
              <w:left w:val="single" w:sz="4" w:space="0" w:color="auto"/>
            </w:tcBorders>
            <w:shd w:val="clear" w:color="auto" w:fill="FFFFFF"/>
            <w:vAlign w:val="center"/>
          </w:tcPr>
          <w:p w:rsidR="00715BDA" w:rsidRPr="00C66E28" w:rsidRDefault="00715BDA" w:rsidP="00715BDA">
            <w:pPr>
              <w:spacing w:line="220" w:lineRule="exact"/>
              <w:contextualSpacing/>
              <w:rPr>
                <w:color w:val="000000"/>
                <w:sz w:val="18"/>
                <w:szCs w:val="18"/>
              </w:rPr>
            </w:pPr>
            <w:r>
              <w:rPr>
                <w:rFonts w:eastAsia="Calibri"/>
                <w:color w:val="000000"/>
                <w:sz w:val="18"/>
                <w:szCs w:val="18"/>
              </w:rPr>
              <w:t>5099-5003</w:t>
            </w:r>
          </w:p>
        </w:tc>
        <w:tc>
          <w:tcPr>
            <w:tcW w:w="720" w:type="dxa"/>
            <w:tcBorders>
              <w:right w:val="thinThickThinSmallGap" w:sz="24" w:space="0" w:color="auto"/>
            </w:tcBorders>
            <w:shd w:val="clear" w:color="auto" w:fill="FFFFFF"/>
            <w:vAlign w:val="center"/>
          </w:tcPr>
          <w:p w:rsidR="00715BDA" w:rsidRPr="00C66E28" w:rsidRDefault="00715BDA" w:rsidP="00715BDA">
            <w:pPr>
              <w:spacing w:line="220" w:lineRule="exact"/>
              <w:rPr>
                <w:color w:val="000000"/>
                <w:sz w:val="18"/>
                <w:szCs w:val="18"/>
              </w:rPr>
            </w:pPr>
            <w:r>
              <w:rPr>
                <w:rFonts w:eastAsia="Calibri"/>
                <w:color w:val="000000"/>
                <w:sz w:val="18"/>
                <w:szCs w:val="18"/>
              </w:rPr>
              <w:t>20%</w:t>
            </w:r>
          </w:p>
        </w:tc>
        <w:tc>
          <w:tcPr>
            <w:tcW w:w="2610" w:type="dxa"/>
            <w:tcBorders>
              <w:left w:val="thinThickThinSmallGap" w:sz="24" w:space="0" w:color="auto"/>
            </w:tcBorders>
            <w:shd w:val="clear" w:color="auto" w:fill="FFFFFF"/>
            <w:vAlign w:val="center"/>
          </w:tcPr>
          <w:p w:rsidR="00715BDA" w:rsidRPr="00C66E28" w:rsidRDefault="00715BDA" w:rsidP="00715BDA">
            <w:pPr>
              <w:spacing w:line="220" w:lineRule="exact"/>
              <w:contextualSpacing/>
              <w:jc w:val="left"/>
              <w:rPr>
                <w:color w:val="000000"/>
                <w:sz w:val="18"/>
                <w:szCs w:val="18"/>
              </w:rPr>
            </w:pPr>
            <w:r>
              <w:rPr>
                <w:rFonts w:eastAsia="Calibri"/>
                <w:color w:val="000000"/>
                <w:sz w:val="18"/>
                <w:szCs w:val="18"/>
              </w:rPr>
              <w:t>Bilateral Hip Pain</w:t>
            </w:r>
          </w:p>
        </w:tc>
        <w:tc>
          <w:tcPr>
            <w:tcW w:w="1080" w:type="dxa"/>
            <w:shd w:val="clear" w:color="auto" w:fill="FFFFFF"/>
            <w:vAlign w:val="center"/>
          </w:tcPr>
          <w:p w:rsidR="00715BDA" w:rsidRPr="00C66E28" w:rsidRDefault="00715BDA" w:rsidP="00715BDA">
            <w:pPr>
              <w:spacing w:line="220" w:lineRule="exact"/>
              <w:contextualSpacing/>
              <w:rPr>
                <w:color w:val="000000"/>
                <w:sz w:val="18"/>
                <w:szCs w:val="18"/>
              </w:rPr>
            </w:pPr>
            <w:r>
              <w:rPr>
                <w:rFonts w:eastAsia="Calibri"/>
                <w:color w:val="000000"/>
                <w:sz w:val="18"/>
                <w:szCs w:val="18"/>
              </w:rPr>
              <w:t>5099-5010</w:t>
            </w:r>
          </w:p>
        </w:tc>
        <w:tc>
          <w:tcPr>
            <w:tcW w:w="720" w:type="dxa"/>
            <w:shd w:val="clear" w:color="auto" w:fill="FFFFFF"/>
            <w:vAlign w:val="center"/>
          </w:tcPr>
          <w:p w:rsidR="00715BDA" w:rsidRPr="00C66E28" w:rsidRDefault="00715BDA" w:rsidP="00715BDA">
            <w:pPr>
              <w:spacing w:line="220" w:lineRule="exact"/>
              <w:contextualSpacing/>
              <w:rPr>
                <w:color w:val="000000"/>
                <w:sz w:val="18"/>
                <w:szCs w:val="18"/>
              </w:rPr>
            </w:pPr>
            <w:r>
              <w:rPr>
                <w:rFonts w:eastAsia="Calibri"/>
                <w:color w:val="000000"/>
                <w:sz w:val="18"/>
                <w:szCs w:val="18"/>
              </w:rPr>
              <w:t>20%</w:t>
            </w:r>
          </w:p>
        </w:tc>
        <w:tc>
          <w:tcPr>
            <w:tcW w:w="960" w:type="dxa"/>
            <w:shd w:val="clear" w:color="auto" w:fill="FFFFFF"/>
            <w:vAlign w:val="center"/>
          </w:tcPr>
          <w:p w:rsidR="00715BDA" w:rsidRPr="00C66E28" w:rsidRDefault="00715BDA" w:rsidP="00715BDA">
            <w:pPr>
              <w:spacing w:line="220" w:lineRule="exact"/>
              <w:contextualSpacing/>
              <w:rPr>
                <w:color w:val="000000"/>
                <w:sz w:val="18"/>
                <w:szCs w:val="18"/>
              </w:rPr>
            </w:pPr>
            <w:r w:rsidRPr="00C66E28">
              <w:rPr>
                <w:rFonts w:eastAsia="Calibri"/>
                <w:color w:val="000000"/>
                <w:sz w:val="18"/>
                <w:szCs w:val="18"/>
              </w:rPr>
              <w:t>200</w:t>
            </w:r>
            <w:r>
              <w:rPr>
                <w:rFonts w:eastAsia="Calibri"/>
                <w:color w:val="000000"/>
                <w:sz w:val="18"/>
                <w:szCs w:val="18"/>
              </w:rPr>
              <w:t>51005</w:t>
            </w:r>
          </w:p>
        </w:tc>
      </w:tr>
      <w:tr w:rsidR="00715BDA" w:rsidRPr="000D5DBE" w:rsidTr="0053673E">
        <w:trPr>
          <w:trHeight w:val="97"/>
        </w:trPr>
        <w:tc>
          <w:tcPr>
            <w:tcW w:w="3978" w:type="dxa"/>
            <w:gridSpan w:val="3"/>
            <w:vMerge w:val="restart"/>
            <w:tcBorders>
              <w:right w:val="thinThickThinSmallGap" w:sz="24" w:space="0" w:color="auto"/>
            </w:tcBorders>
            <w:shd w:val="clear" w:color="auto" w:fill="FFFFFF"/>
            <w:vAlign w:val="center"/>
          </w:tcPr>
          <w:p w:rsidR="00715BDA" w:rsidRPr="00D8352E" w:rsidRDefault="00715BDA" w:rsidP="00715BDA">
            <w:pPr>
              <w:spacing w:line="220" w:lineRule="exact"/>
              <w:contextualSpacing/>
              <w:rPr>
                <w:rFonts w:cs="Calibri"/>
                <w:color w:val="000000"/>
                <w:sz w:val="18"/>
              </w:rPr>
            </w:pPr>
            <w:r w:rsidRPr="000D5DBE">
              <w:rPr>
                <w:color w:val="000000"/>
                <w:sz w:val="18"/>
              </w:rPr>
              <w:t>No Additional MEB/PEB Entries</w:t>
            </w:r>
          </w:p>
        </w:tc>
        <w:tc>
          <w:tcPr>
            <w:tcW w:w="2610" w:type="dxa"/>
            <w:tcBorders>
              <w:left w:val="thinThickThinSmallGap" w:sz="24" w:space="0" w:color="auto"/>
              <w:right w:val="single" w:sz="4" w:space="0" w:color="auto"/>
            </w:tcBorders>
            <w:shd w:val="clear" w:color="auto" w:fill="FFFFFF"/>
            <w:vAlign w:val="center"/>
          </w:tcPr>
          <w:p w:rsidR="00715BDA" w:rsidRPr="00C66E28" w:rsidRDefault="00715BDA" w:rsidP="00715BDA">
            <w:pPr>
              <w:spacing w:line="220" w:lineRule="exact"/>
              <w:contextualSpacing/>
              <w:jc w:val="left"/>
              <w:rPr>
                <w:color w:val="000000"/>
                <w:sz w:val="18"/>
                <w:szCs w:val="18"/>
              </w:rPr>
            </w:pPr>
            <w:r>
              <w:rPr>
                <w:rFonts w:eastAsia="Calibri"/>
                <w:color w:val="000000"/>
                <w:sz w:val="18"/>
                <w:szCs w:val="18"/>
              </w:rPr>
              <w:t>Low Back Strain</w:t>
            </w:r>
          </w:p>
        </w:tc>
        <w:tc>
          <w:tcPr>
            <w:tcW w:w="1080" w:type="dxa"/>
            <w:tcBorders>
              <w:left w:val="single" w:sz="4" w:space="0" w:color="auto"/>
            </w:tcBorders>
            <w:shd w:val="clear" w:color="auto" w:fill="FFFFFF"/>
            <w:vAlign w:val="center"/>
          </w:tcPr>
          <w:p w:rsidR="00715BDA" w:rsidRPr="00C66E28" w:rsidRDefault="00715BDA" w:rsidP="00715BDA">
            <w:pPr>
              <w:spacing w:line="220" w:lineRule="exact"/>
              <w:contextualSpacing/>
              <w:rPr>
                <w:color w:val="000000"/>
                <w:sz w:val="18"/>
                <w:szCs w:val="18"/>
              </w:rPr>
            </w:pPr>
            <w:r>
              <w:rPr>
                <w:rFonts w:eastAsia="Calibri"/>
                <w:color w:val="000000"/>
                <w:sz w:val="18"/>
                <w:szCs w:val="18"/>
              </w:rPr>
              <w:t>5237</w:t>
            </w:r>
          </w:p>
        </w:tc>
        <w:tc>
          <w:tcPr>
            <w:tcW w:w="720" w:type="dxa"/>
            <w:shd w:val="clear" w:color="auto" w:fill="FFFFFF"/>
            <w:vAlign w:val="center"/>
          </w:tcPr>
          <w:p w:rsidR="00715BDA" w:rsidRPr="00C66E28" w:rsidRDefault="00715BDA" w:rsidP="00715BDA">
            <w:pPr>
              <w:spacing w:line="220" w:lineRule="exact"/>
              <w:contextualSpacing/>
              <w:rPr>
                <w:color w:val="000000"/>
                <w:sz w:val="18"/>
                <w:szCs w:val="18"/>
              </w:rPr>
            </w:pPr>
            <w:r>
              <w:rPr>
                <w:rFonts w:eastAsia="Calibri"/>
                <w:color w:val="000000"/>
                <w:sz w:val="18"/>
                <w:szCs w:val="18"/>
              </w:rPr>
              <w:t>20%</w:t>
            </w:r>
          </w:p>
        </w:tc>
        <w:tc>
          <w:tcPr>
            <w:tcW w:w="960" w:type="dxa"/>
            <w:shd w:val="clear" w:color="auto" w:fill="FFFFFF"/>
            <w:vAlign w:val="center"/>
          </w:tcPr>
          <w:p w:rsidR="00715BDA" w:rsidRPr="00C66E28" w:rsidRDefault="00715BDA" w:rsidP="00715BDA">
            <w:pPr>
              <w:spacing w:line="220" w:lineRule="exact"/>
              <w:contextualSpacing/>
              <w:rPr>
                <w:color w:val="000000"/>
                <w:sz w:val="18"/>
                <w:szCs w:val="18"/>
              </w:rPr>
            </w:pPr>
            <w:r w:rsidRPr="00C66E28">
              <w:rPr>
                <w:rFonts w:eastAsia="Calibri"/>
                <w:color w:val="000000"/>
                <w:sz w:val="18"/>
                <w:szCs w:val="18"/>
              </w:rPr>
              <w:t>200</w:t>
            </w:r>
            <w:r>
              <w:rPr>
                <w:rFonts w:eastAsia="Calibri"/>
                <w:color w:val="000000"/>
                <w:sz w:val="18"/>
                <w:szCs w:val="18"/>
              </w:rPr>
              <w:t>51005</w:t>
            </w:r>
          </w:p>
        </w:tc>
      </w:tr>
      <w:tr w:rsidR="00715BDA" w:rsidRPr="000D5DBE" w:rsidTr="0053673E">
        <w:trPr>
          <w:trHeight w:val="97"/>
        </w:trPr>
        <w:tc>
          <w:tcPr>
            <w:tcW w:w="3978" w:type="dxa"/>
            <w:gridSpan w:val="3"/>
            <w:vMerge/>
            <w:tcBorders>
              <w:right w:val="thinThickThinSmallGap" w:sz="24" w:space="0" w:color="auto"/>
            </w:tcBorders>
            <w:shd w:val="clear" w:color="auto" w:fill="FFFFFF"/>
            <w:vAlign w:val="center"/>
          </w:tcPr>
          <w:p w:rsidR="00715BDA" w:rsidRPr="000D5DBE" w:rsidRDefault="00715BDA" w:rsidP="00715BDA">
            <w:pPr>
              <w:spacing w:line="220" w:lineRule="exact"/>
              <w:contextualSpacing/>
              <w:rPr>
                <w:color w:val="000000"/>
                <w:sz w:val="18"/>
              </w:rPr>
            </w:pPr>
          </w:p>
        </w:tc>
        <w:tc>
          <w:tcPr>
            <w:tcW w:w="2610" w:type="dxa"/>
            <w:tcBorders>
              <w:left w:val="thinThickThinSmallGap" w:sz="24" w:space="0" w:color="auto"/>
              <w:right w:val="single" w:sz="4" w:space="0" w:color="auto"/>
            </w:tcBorders>
            <w:shd w:val="clear" w:color="auto" w:fill="FFFFFF"/>
            <w:vAlign w:val="center"/>
          </w:tcPr>
          <w:p w:rsidR="00715BDA" w:rsidRPr="00C66E28" w:rsidRDefault="00715BDA" w:rsidP="00715BDA">
            <w:pPr>
              <w:spacing w:line="220" w:lineRule="exact"/>
              <w:contextualSpacing/>
              <w:jc w:val="left"/>
              <w:rPr>
                <w:color w:val="000000"/>
                <w:sz w:val="18"/>
                <w:szCs w:val="18"/>
              </w:rPr>
            </w:pPr>
            <w:r>
              <w:rPr>
                <w:color w:val="000000"/>
                <w:sz w:val="18"/>
                <w:szCs w:val="18"/>
              </w:rPr>
              <w:t>Bilateral DJD of Knees</w:t>
            </w:r>
          </w:p>
        </w:tc>
        <w:tc>
          <w:tcPr>
            <w:tcW w:w="1080" w:type="dxa"/>
            <w:tcBorders>
              <w:left w:val="single" w:sz="4" w:space="0" w:color="auto"/>
            </w:tcBorders>
            <w:shd w:val="clear" w:color="auto" w:fill="FFFFFF"/>
            <w:vAlign w:val="center"/>
          </w:tcPr>
          <w:p w:rsidR="00715BDA" w:rsidRPr="00C66E28" w:rsidRDefault="00715BDA" w:rsidP="00715BDA">
            <w:pPr>
              <w:spacing w:line="220" w:lineRule="exact"/>
              <w:contextualSpacing/>
              <w:rPr>
                <w:color w:val="000000"/>
                <w:sz w:val="18"/>
                <w:szCs w:val="18"/>
              </w:rPr>
            </w:pPr>
            <w:r>
              <w:rPr>
                <w:color w:val="000000"/>
                <w:sz w:val="18"/>
                <w:szCs w:val="18"/>
              </w:rPr>
              <w:t>5010</w:t>
            </w:r>
          </w:p>
        </w:tc>
        <w:tc>
          <w:tcPr>
            <w:tcW w:w="720" w:type="dxa"/>
            <w:shd w:val="clear" w:color="auto" w:fill="FFFFFF"/>
            <w:vAlign w:val="center"/>
          </w:tcPr>
          <w:p w:rsidR="00715BDA" w:rsidRPr="00C66E28" w:rsidRDefault="00715BDA" w:rsidP="00715BDA">
            <w:pPr>
              <w:spacing w:line="220" w:lineRule="exact"/>
              <w:contextualSpacing/>
              <w:rPr>
                <w:color w:val="000000"/>
                <w:sz w:val="18"/>
                <w:szCs w:val="18"/>
              </w:rPr>
            </w:pPr>
            <w:r>
              <w:rPr>
                <w:color w:val="000000"/>
                <w:sz w:val="18"/>
                <w:szCs w:val="18"/>
              </w:rPr>
              <w:t>10%</w:t>
            </w:r>
          </w:p>
        </w:tc>
        <w:tc>
          <w:tcPr>
            <w:tcW w:w="960" w:type="dxa"/>
            <w:shd w:val="clear" w:color="auto" w:fill="FFFFFF"/>
            <w:vAlign w:val="center"/>
          </w:tcPr>
          <w:p w:rsidR="00715BDA" w:rsidRPr="00E3111A" w:rsidRDefault="00715BDA" w:rsidP="00715BDA">
            <w:pPr>
              <w:spacing w:line="220" w:lineRule="exact"/>
              <w:contextualSpacing/>
              <w:rPr>
                <w:color w:val="000000"/>
                <w:sz w:val="18"/>
                <w:szCs w:val="18"/>
              </w:rPr>
            </w:pPr>
            <w:r w:rsidRPr="00E3111A">
              <w:rPr>
                <w:color w:val="000000"/>
                <w:sz w:val="18"/>
                <w:szCs w:val="18"/>
              </w:rPr>
              <w:t>20051005</w:t>
            </w:r>
          </w:p>
        </w:tc>
      </w:tr>
      <w:tr w:rsidR="00715BDA" w:rsidRPr="000D5DBE" w:rsidTr="0053673E">
        <w:trPr>
          <w:trHeight w:val="97"/>
        </w:trPr>
        <w:tc>
          <w:tcPr>
            <w:tcW w:w="3978" w:type="dxa"/>
            <w:gridSpan w:val="3"/>
            <w:vMerge/>
            <w:tcBorders>
              <w:right w:val="thinThickThinSmallGap" w:sz="24" w:space="0" w:color="auto"/>
            </w:tcBorders>
            <w:shd w:val="clear" w:color="auto" w:fill="FFFFFF"/>
            <w:vAlign w:val="center"/>
          </w:tcPr>
          <w:p w:rsidR="00715BDA" w:rsidRPr="000D5DBE" w:rsidRDefault="00715BDA" w:rsidP="00715BDA">
            <w:pPr>
              <w:spacing w:line="220" w:lineRule="exact"/>
              <w:contextualSpacing/>
              <w:rPr>
                <w:color w:val="000000"/>
                <w:sz w:val="18"/>
              </w:rPr>
            </w:pPr>
          </w:p>
        </w:tc>
        <w:tc>
          <w:tcPr>
            <w:tcW w:w="2610" w:type="dxa"/>
            <w:tcBorders>
              <w:left w:val="thinThickThinSmallGap" w:sz="24" w:space="0" w:color="auto"/>
              <w:right w:val="single" w:sz="4" w:space="0" w:color="auto"/>
            </w:tcBorders>
            <w:shd w:val="clear" w:color="auto" w:fill="FFFFFF"/>
            <w:vAlign w:val="center"/>
          </w:tcPr>
          <w:p w:rsidR="00715BDA" w:rsidRPr="00C66E28" w:rsidRDefault="00715BDA" w:rsidP="00715BDA">
            <w:pPr>
              <w:spacing w:line="220" w:lineRule="exact"/>
              <w:contextualSpacing/>
              <w:jc w:val="left"/>
              <w:rPr>
                <w:color w:val="000000"/>
                <w:sz w:val="18"/>
                <w:szCs w:val="18"/>
              </w:rPr>
            </w:pPr>
            <w:r>
              <w:rPr>
                <w:color w:val="000000"/>
                <w:sz w:val="18"/>
                <w:szCs w:val="18"/>
              </w:rPr>
              <w:t>Pes Planus / Plantar Fasciitis</w:t>
            </w:r>
          </w:p>
        </w:tc>
        <w:tc>
          <w:tcPr>
            <w:tcW w:w="1080" w:type="dxa"/>
            <w:tcBorders>
              <w:left w:val="single" w:sz="4" w:space="0" w:color="auto"/>
            </w:tcBorders>
            <w:shd w:val="clear" w:color="auto" w:fill="FFFFFF"/>
            <w:vAlign w:val="center"/>
          </w:tcPr>
          <w:p w:rsidR="00715BDA" w:rsidRPr="00C66E28" w:rsidRDefault="00715BDA" w:rsidP="00715BDA">
            <w:pPr>
              <w:spacing w:line="220" w:lineRule="exact"/>
              <w:contextualSpacing/>
              <w:rPr>
                <w:color w:val="000000"/>
                <w:sz w:val="18"/>
                <w:szCs w:val="18"/>
              </w:rPr>
            </w:pPr>
            <w:r>
              <w:rPr>
                <w:color w:val="000000"/>
                <w:sz w:val="18"/>
                <w:szCs w:val="18"/>
              </w:rPr>
              <w:t>5276</w:t>
            </w:r>
          </w:p>
        </w:tc>
        <w:tc>
          <w:tcPr>
            <w:tcW w:w="720" w:type="dxa"/>
            <w:shd w:val="clear" w:color="auto" w:fill="FFFFFF"/>
            <w:vAlign w:val="center"/>
          </w:tcPr>
          <w:p w:rsidR="00715BDA" w:rsidRPr="00C66E28" w:rsidRDefault="00715BDA" w:rsidP="00715BDA">
            <w:pPr>
              <w:spacing w:line="220" w:lineRule="exact"/>
              <w:contextualSpacing/>
              <w:rPr>
                <w:color w:val="000000"/>
                <w:sz w:val="18"/>
                <w:szCs w:val="18"/>
              </w:rPr>
            </w:pPr>
            <w:r>
              <w:rPr>
                <w:color w:val="000000"/>
                <w:sz w:val="18"/>
                <w:szCs w:val="18"/>
              </w:rPr>
              <w:t>10%</w:t>
            </w:r>
          </w:p>
        </w:tc>
        <w:tc>
          <w:tcPr>
            <w:tcW w:w="960" w:type="dxa"/>
            <w:shd w:val="clear" w:color="auto" w:fill="FFFFFF"/>
            <w:vAlign w:val="center"/>
          </w:tcPr>
          <w:p w:rsidR="00715BDA" w:rsidRPr="00E3111A" w:rsidRDefault="00715BDA" w:rsidP="00715BDA">
            <w:pPr>
              <w:spacing w:line="220" w:lineRule="exact"/>
              <w:contextualSpacing/>
              <w:rPr>
                <w:color w:val="000000"/>
                <w:sz w:val="18"/>
                <w:szCs w:val="18"/>
              </w:rPr>
            </w:pPr>
            <w:r w:rsidRPr="00E3111A">
              <w:rPr>
                <w:color w:val="000000"/>
                <w:sz w:val="18"/>
                <w:szCs w:val="18"/>
              </w:rPr>
              <w:t>20051005</w:t>
            </w:r>
          </w:p>
        </w:tc>
      </w:tr>
      <w:tr w:rsidR="00715BDA" w:rsidRPr="000D5DBE" w:rsidTr="0053673E">
        <w:trPr>
          <w:trHeight w:val="97"/>
        </w:trPr>
        <w:tc>
          <w:tcPr>
            <w:tcW w:w="3978" w:type="dxa"/>
            <w:gridSpan w:val="3"/>
            <w:vMerge/>
            <w:tcBorders>
              <w:right w:val="thinThickThinSmallGap" w:sz="24" w:space="0" w:color="auto"/>
            </w:tcBorders>
            <w:shd w:val="clear" w:color="auto" w:fill="FFFFFF"/>
            <w:vAlign w:val="center"/>
          </w:tcPr>
          <w:p w:rsidR="00715BDA" w:rsidRPr="000D5DBE" w:rsidRDefault="00715BDA" w:rsidP="00715BDA">
            <w:pPr>
              <w:spacing w:line="220" w:lineRule="exact"/>
              <w:contextualSpacing/>
              <w:rPr>
                <w:color w:val="000000"/>
                <w:sz w:val="18"/>
              </w:rPr>
            </w:pPr>
          </w:p>
        </w:tc>
        <w:tc>
          <w:tcPr>
            <w:tcW w:w="2610" w:type="dxa"/>
            <w:tcBorders>
              <w:left w:val="thinThickThinSmallGap" w:sz="24" w:space="0" w:color="auto"/>
              <w:right w:val="single" w:sz="4" w:space="0" w:color="auto"/>
            </w:tcBorders>
            <w:shd w:val="clear" w:color="auto" w:fill="FFFFFF"/>
            <w:vAlign w:val="center"/>
          </w:tcPr>
          <w:p w:rsidR="00715BDA" w:rsidRPr="00C66E28" w:rsidRDefault="00715BDA" w:rsidP="00715BDA">
            <w:pPr>
              <w:spacing w:line="220" w:lineRule="exact"/>
              <w:contextualSpacing/>
              <w:jc w:val="left"/>
              <w:rPr>
                <w:color w:val="000000"/>
                <w:sz w:val="18"/>
                <w:szCs w:val="18"/>
              </w:rPr>
            </w:pPr>
            <w:r>
              <w:rPr>
                <w:color w:val="000000"/>
                <w:sz w:val="18"/>
                <w:szCs w:val="18"/>
              </w:rPr>
              <w:t>Tinnitus</w:t>
            </w:r>
          </w:p>
        </w:tc>
        <w:tc>
          <w:tcPr>
            <w:tcW w:w="1080" w:type="dxa"/>
            <w:tcBorders>
              <w:left w:val="single" w:sz="4" w:space="0" w:color="auto"/>
            </w:tcBorders>
            <w:shd w:val="clear" w:color="auto" w:fill="FFFFFF"/>
            <w:vAlign w:val="center"/>
          </w:tcPr>
          <w:p w:rsidR="00715BDA" w:rsidRPr="00C66E28" w:rsidRDefault="00715BDA" w:rsidP="00715BDA">
            <w:pPr>
              <w:spacing w:line="220" w:lineRule="exact"/>
              <w:contextualSpacing/>
              <w:rPr>
                <w:color w:val="000000"/>
                <w:sz w:val="18"/>
                <w:szCs w:val="18"/>
              </w:rPr>
            </w:pPr>
            <w:r>
              <w:rPr>
                <w:color w:val="000000"/>
                <w:sz w:val="18"/>
                <w:szCs w:val="18"/>
              </w:rPr>
              <w:t>6260</w:t>
            </w:r>
          </w:p>
        </w:tc>
        <w:tc>
          <w:tcPr>
            <w:tcW w:w="720" w:type="dxa"/>
            <w:shd w:val="clear" w:color="auto" w:fill="FFFFFF"/>
            <w:vAlign w:val="center"/>
          </w:tcPr>
          <w:p w:rsidR="00715BDA" w:rsidRPr="00C66E28" w:rsidRDefault="00715BDA" w:rsidP="00715BDA">
            <w:pPr>
              <w:spacing w:line="220" w:lineRule="exact"/>
              <w:contextualSpacing/>
              <w:rPr>
                <w:color w:val="000000"/>
                <w:sz w:val="18"/>
                <w:szCs w:val="18"/>
              </w:rPr>
            </w:pPr>
            <w:r>
              <w:rPr>
                <w:color w:val="000000"/>
                <w:sz w:val="18"/>
                <w:szCs w:val="18"/>
              </w:rPr>
              <w:t>10%</w:t>
            </w:r>
          </w:p>
        </w:tc>
        <w:tc>
          <w:tcPr>
            <w:tcW w:w="960" w:type="dxa"/>
            <w:shd w:val="clear" w:color="auto" w:fill="FFFFFF"/>
            <w:vAlign w:val="center"/>
          </w:tcPr>
          <w:p w:rsidR="00715BDA" w:rsidRPr="00E3111A" w:rsidRDefault="00715BDA" w:rsidP="00715BDA">
            <w:pPr>
              <w:spacing w:line="220" w:lineRule="exact"/>
              <w:contextualSpacing/>
              <w:rPr>
                <w:color w:val="000000"/>
                <w:sz w:val="18"/>
                <w:szCs w:val="18"/>
              </w:rPr>
            </w:pPr>
            <w:r w:rsidRPr="00E3111A">
              <w:rPr>
                <w:color w:val="000000"/>
                <w:sz w:val="18"/>
                <w:szCs w:val="18"/>
              </w:rPr>
              <w:t>20050922</w:t>
            </w:r>
          </w:p>
        </w:tc>
      </w:tr>
      <w:tr w:rsidR="00715BDA" w:rsidRPr="000D5DBE" w:rsidTr="0053673E">
        <w:trPr>
          <w:trHeight w:val="97"/>
        </w:trPr>
        <w:tc>
          <w:tcPr>
            <w:tcW w:w="3978" w:type="dxa"/>
            <w:gridSpan w:val="3"/>
            <w:vMerge/>
            <w:tcBorders>
              <w:right w:val="thinThickThinSmallGap" w:sz="24" w:space="0" w:color="auto"/>
            </w:tcBorders>
            <w:shd w:val="clear" w:color="auto" w:fill="FFFFFF"/>
            <w:vAlign w:val="center"/>
          </w:tcPr>
          <w:p w:rsidR="00715BDA" w:rsidRPr="000D5DBE" w:rsidRDefault="00715BDA" w:rsidP="00715BDA">
            <w:pPr>
              <w:spacing w:line="220" w:lineRule="exact"/>
              <w:contextualSpacing/>
              <w:rPr>
                <w:color w:val="000000"/>
                <w:sz w:val="18"/>
              </w:rPr>
            </w:pPr>
          </w:p>
        </w:tc>
        <w:tc>
          <w:tcPr>
            <w:tcW w:w="2610" w:type="dxa"/>
            <w:tcBorders>
              <w:left w:val="thinThickThinSmallGap" w:sz="24" w:space="0" w:color="auto"/>
              <w:right w:val="single" w:sz="4" w:space="0" w:color="auto"/>
            </w:tcBorders>
            <w:shd w:val="clear" w:color="auto" w:fill="FFFFFF"/>
            <w:vAlign w:val="center"/>
          </w:tcPr>
          <w:p w:rsidR="00715BDA" w:rsidRDefault="00715BDA" w:rsidP="00715BDA">
            <w:pPr>
              <w:spacing w:line="220" w:lineRule="exact"/>
              <w:contextualSpacing/>
              <w:jc w:val="left"/>
              <w:rPr>
                <w:color w:val="000000"/>
                <w:sz w:val="18"/>
                <w:szCs w:val="18"/>
              </w:rPr>
            </w:pPr>
            <w:r>
              <w:rPr>
                <w:color w:val="000000"/>
                <w:sz w:val="18"/>
                <w:szCs w:val="18"/>
              </w:rPr>
              <w:t>Hypertension</w:t>
            </w:r>
          </w:p>
        </w:tc>
        <w:tc>
          <w:tcPr>
            <w:tcW w:w="1080" w:type="dxa"/>
            <w:tcBorders>
              <w:left w:val="single" w:sz="4" w:space="0" w:color="auto"/>
            </w:tcBorders>
            <w:shd w:val="clear" w:color="auto" w:fill="FFFFFF"/>
            <w:vAlign w:val="center"/>
          </w:tcPr>
          <w:p w:rsidR="00715BDA" w:rsidRDefault="00715BDA" w:rsidP="00715BDA">
            <w:pPr>
              <w:spacing w:line="220" w:lineRule="exact"/>
              <w:contextualSpacing/>
              <w:rPr>
                <w:color w:val="000000"/>
                <w:sz w:val="18"/>
                <w:szCs w:val="18"/>
              </w:rPr>
            </w:pPr>
            <w:r>
              <w:rPr>
                <w:color w:val="000000"/>
                <w:sz w:val="18"/>
                <w:szCs w:val="18"/>
              </w:rPr>
              <w:t>7101</w:t>
            </w:r>
          </w:p>
        </w:tc>
        <w:tc>
          <w:tcPr>
            <w:tcW w:w="720" w:type="dxa"/>
            <w:shd w:val="clear" w:color="auto" w:fill="FFFFFF"/>
            <w:vAlign w:val="center"/>
          </w:tcPr>
          <w:p w:rsidR="00715BDA" w:rsidRDefault="00715BDA" w:rsidP="00715BDA">
            <w:pPr>
              <w:spacing w:line="220" w:lineRule="exact"/>
              <w:contextualSpacing/>
              <w:rPr>
                <w:color w:val="000000"/>
                <w:sz w:val="18"/>
                <w:szCs w:val="18"/>
              </w:rPr>
            </w:pPr>
            <w:r>
              <w:rPr>
                <w:color w:val="000000"/>
                <w:sz w:val="18"/>
                <w:szCs w:val="18"/>
              </w:rPr>
              <w:t>10%</w:t>
            </w:r>
          </w:p>
        </w:tc>
        <w:tc>
          <w:tcPr>
            <w:tcW w:w="960" w:type="dxa"/>
            <w:shd w:val="clear" w:color="auto" w:fill="FFFFFF"/>
            <w:vAlign w:val="center"/>
          </w:tcPr>
          <w:p w:rsidR="00715BDA" w:rsidRPr="00E3111A" w:rsidRDefault="00715BDA" w:rsidP="00715BDA">
            <w:pPr>
              <w:spacing w:line="220" w:lineRule="exact"/>
              <w:contextualSpacing/>
              <w:rPr>
                <w:color w:val="000000"/>
                <w:sz w:val="18"/>
                <w:szCs w:val="18"/>
              </w:rPr>
            </w:pPr>
            <w:r w:rsidRPr="00E3111A">
              <w:rPr>
                <w:color w:val="000000"/>
                <w:sz w:val="18"/>
                <w:szCs w:val="18"/>
              </w:rPr>
              <w:t>20051005</w:t>
            </w:r>
          </w:p>
        </w:tc>
      </w:tr>
      <w:tr w:rsidR="00715BDA" w:rsidRPr="000D5DBE" w:rsidTr="00A36444">
        <w:trPr>
          <w:trHeight w:val="172"/>
        </w:trPr>
        <w:tc>
          <w:tcPr>
            <w:tcW w:w="3978" w:type="dxa"/>
            <w:gridSpan w:val="3"/>
            <w:vMerge/>
            <w:tcBorders>
              <w:right w:val="thinThickThinSmallGap" w:sz="24" w:space="0" w:color="auto"/>
            </w:tcBorders>
            <w:shd w:val="clear" w:color="auto" w:fill="FFFFFF"/>
            <w:vAlign w:val="center"/>
          </w:tcPr>
          <w:p w:rsidR="00715BDA" w:rsidRPr="001F29F9" w:rsidRDefault="00715BDA" w:rsidP="00715BDA">
            <w:pPr>
              <w:spacing w:line="220" w:lineRule="exact"/>
              <w:contextualSpacing/>
              <w:rPr>
                <w:rFonts w:cs="Calibri"/>
                <w:color w:val="000000"/>
                <w:sz w:val="18"/>
              </w:rPr>
            </w:pPr>
          </w:p>
        </w:tc>
        <w:tc>
          <w:tcPr>
            <w:tcW w:w="4410" w:type="dxa"/>
            <w:gridSpan w:val="3"/>
            <w:tcBorders>
              <w:left w:val="thinThickThinSmallGap" w:sz="24" w:space="0" w:color="auto"/>
            </w:tcBorders>
            <w:shd w:val="clear" w:color="auto" w:fill="FFFFFF"/>
            <w:vAlign w:val="center"/>
          </w:tcPr>
          <w:p w:rsidR="00715BDA" w:rsidRPr="001F29F9" w:rsidRDefault="00715BDA" w:rsidP="00715BDA">
            <w:pPr>
              <w:spacing w:line="220" w:lineRule="exact"/>
              <w:contextualSpacing/>
              <w:rPr>
                <w:rFonts w:cs="Calibri"/>
                <w:color w:val="000000"/>
                <w:sz w:val="18"/>
              </w:rPr>
            </w:pPr>
            <w:r w:rsidRPr="000D5DBE">
              <w:rPr>
                <w:color w:val="000000"/>
                <w:sz w:val="18"/>
              </w:rPr>
              <w:t xml:space="preserve">Not Service Connected x </w:t>
            </w:r>
            <w:r>
              <w:rPr>
                <w:color w:val="000000"/>
                <w:sz w:val="18"/>
              </w:rPr>
              <w:t>1</w:t>
            </w:r>
          </w:p>
        </w:tc>
        <w:tc>
          <w:tcPr>
            <w:tcW w:w="960" w:type="dxa"/>
            <w:shd w:val="clear" w:color="auto" w:fill="FFFFFF"/>
            <w:vAlign w:val="center"/>
          </w:tcPr>
          <w:p w:rsidR="00715BDA" w:rsidRPr="001F29F9" w:rsidRDefault="00715BDA" w:rsidP="00715BDA">
            <w:pPr>
              <w:spacing w:line="220" w:lineRule="exact"/>
              <w:contextualSpacing/>
              <w:rPr>
                <w:rFonts w:cs="Calibri"/>
                <w:color w:val="000000"/>
                <w:sz w:val="18"/>
              </w:rPr>
            </w:pPr>
            <w:r w:rsidRPr="00E3111A">
              <w:rPr>
                <w:color w:val="000000"/>
                <w:sz w:val="18"/>
                <w:szCs w:val="18"/>
              </w:rPr>
              <w:t>20051005</w:t>
            </w:r>
          </w:p>
        </w:tc>
      </w:tr>
      <w:tr w:rsidR="00AD2379" w:rsidRPr="000D5DBE" w:rsidTr="00A36444">
        <w:trPr>
          <w:trHeight w:val="124"/>
        </w:trPr>
        <w:tc>
          <w:tcPr>
            <w:tcW w:w="3978" w:type="dxa"/>
            <w:gridSpan w:val="3"/>
            <w:tcBorders>
              <w:right w:val="thinThickThinSmallGap" w:sz="24" w:space="0" w:color="auto"/>
            </w:tcBorders>
            <w:shd w:val="clear" w:color="auto" w:fill="D9D9D9"/>
          </w:tcPr>
          <w:p w:rsidR="00AD2379" w:rsidRPr="000D5DBE" w:rsidRDefault="00463478" w:rsidP="001968BB">
            <w:pPr>
              <w:contextualSpacing/>
              <w:rPr>
                <w:rFonts w:cs="Calibri"/>
                <w:b/>
                <w:color w:val="000000"/>
                <w:sz w:val="18"/>
              </w:rPr>
            </w:pPr>
            <w:r>
              <w:rPr>
                <w:b/>
                <w:color w:val="000000"/>
                <w:sz w:val="18"/>
              </w:rPr>
              <w:lastRenderedPageBreak/>
              <w:t>Combined:</w:t>
            </w:r>
            <w:r w:rsidR="00715BDA">
              <w:rPr>
                <w:b/>
                <w:color w:val="000000"/>
                <w:sz w:val="18"/>
              </w:rPr>
              <w:t xml:space="preserve">  2</w:t>
            </w:r>
            <w:r w:rsidR="00AD2379" w:rsidRPr="000D5DBE">
              <w:rPr>
                <w:b/>
                <w:color w:val="000000"/>
                <w:sz w:val="18"/>
              </w:rPr>
              <w:t>0%</w:t>
            </w:r>
          </w:p>
        </w:tc>
        <w:tc>
          <w:tcPr>
            <w:tcW w:w="5370" w:type="dxa"/>
            <w:gridSpan w:val="4"/>
            <w:tcBorders>
              <w:left w:val="thinThickThinSmallGap" w:sz="24" w:space="0" w:color="auto"/>
            </w:tcBorders>
            <w:shd w:val="clear" w:color="auto" w:fill="D9D9D9"/>
          </w:tcPr>
          <w:p w:rsidR="00AD2379" w:rsidRPr="000D5DBE" w:rsidRDefault="00715BDA" w:rsidP="001968BB">
            <w:pPr>
              <w:contextualSpacing/>
              <w:rPr>
                <w:rFonts w:cs="Calibri"/>
                <w:b/>
                <w:color w:val="000000"/>
                <w:sz w:val="18"/>
              </w:rPr>
            </w:pPr>
            <w:r>
              <w:rPr>
                <w:b/>
                <w:color w:val="000000"/>
                <w:sz w:val="18"/>
              </w:rPr>
              <w:t>Combined:  6</w:t>
            </w:r>
            <w:r w:rsidR="00AD2379" w:rsidRPr="000D5DBE">
              <w:rPr>
                <w:b/>
                <w:color w:val="000000"/>
                <w:sz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AD2379" w:rsidRPr="00553204" w:rsidRDefault="00715BDA" w:rsidP="00553204">
      <w:pPr>
        <w:spacing w:line="240" w:lineRule="auto"/>
        <w:jc w:val="left"/>
        <w:rPr>
          <w:color w:val="000000"/>
          <w:u w:val="single"/>
        </w:rPr>
      </w:pPr>
      <w:r>
        <w:rPr>
          <w:color w:val="000000"/>
          <w:u w:val="single"/>
        </w:rPr>
        <w:br w:type="page"/>
      </w:r>
      <w:r w:rsidR="00AD2379" w:rsidRPr="001F29F9">
        <w:rPr>
          <w:color w:val="000000"/>
          <w:u w:val="single"/>
        </w:rPr>
        <w:lastRenderedPageBreak/>
        <w:t>ANALYSIS SUMMARY</w:t>
      </w:r>
      <w:r w:rsidR="00AD2379" w:rsidRPr="001F29F9">
        <w:rPr>
          <w:color w:val="000000"/>
        </w:rPr>
        <w:t>:</w:t>
      </w:r>
      <w:r w:rsidR="00AD2379">
        <w:rPr>
          <w:color w:val="000000"/>
        </w:rPr>
        <w:t xml:space="preserve"> </w:t>
      </w:r>
    </w:p>
    <w:p w:rsidR="00AD2379" w:rsidRPr="001F29F9" w:rsidRDefault="00AD2379" w:rsidP="00B22D42">
      <w:pPr>
        <w:jc w:val="both"/>
        <w:rPr>
          <w:color w:val="000000"/>
          <w:highlight w:val="yellow"/>
        </w:rPr>
      </w:pPr>
    </w:p>
    <w:p w:rsidR="0061336A" w:rsidRDefault="00715BDA" w:rsidP="00B22D42">
      <w:pPr>
        <w:jc w:val="both"/>
        <w:rPr>
          <w:color w:val="000000"/>
        </w:rPr>
      </w:pPr>
      <w:proofErr w:type="gramStart"/>
      <w:r>
        <w:rPr>
          <w:color w:val="000000"/>
          <w:u w:val="single"/>
        </w:rPr>
        <w:t>Bilateral Hip</w:t>
      </w:r>
      <w:r w:rsidR="00AD2379" w:rsidRPr="009A7578">
        <w:rPr>
          <w:color w:val="000000"/>
          <w:u w:val="single"/>
        </w:rPr>
        <w:t xml:space="preserve"> Condition</w:t>
      </w:r>
      <w:r w:rsidR="00AD2379" w:rsidRPr="009A7578">
        <w:rPr>
          <w:color w:val="000000"/>
        </w:rPr>
        <w:t>.</w:t>
      </w:r>
      <w:proofErr w:type="gramEnd"/>
      <w:r w:rsidR="00AD2379" w:rsidRPr="009A7578">
        <w:rPr>
          <w:color w:val="000000"/>
        </w:rPr>
        <w:t xml:space="preserve"> </w:t>
      </w:r>
      <w:r w:rsidR="00385708">
        <w:rPr>
          <w:color w:val="000000"/>
        </w:rPr>
        <w:t xml:space="preserve"> </w:t>
      </w:r>
      <w:r w:rsidR="00DE3A36">
        <w:rPr>
          <w:color w:val="000000"/>
        </w:rPr>
        <w:t xml:space="preserve">After the CI’s </w:t>
      </w:r>
      <w:r w:rsidR="00A81C7A">
        <w:rPr>
          <w:color w:val="000000"/>
        </w:rPr>
        <w:t>right hip pain failed to respond to profile limitations and conservative therapy, magnetic resonance imaging (MRI) was obtained in June 2003</w:t>
      </w:r>
      <w:r w:rsidR="0061336A">
        <w:rPr>
          <w:color w:val="000000"/>
        </w:rPr>
        <w:t>;</w:t>
      </w:r>
      <w:r w:rsidR="00A81C7A">
        <w:rPr>
          <w:color w:val="000000"/>
        </w:rPr>
        <w:t xml:space="preserve"> which demonstrated “severe stress reaction or perhaps an occult stress fracture” of the “right symphysis pubis extending slightly into t</w:t>
      </w:r>
      <w:r w:rsidR="00DF0652">
        <w:rPr>
          <w:color w:val="000000"/>
        </w:rPr>
        <w:t xml:space="preserve">he right inferior pubic </w:t>
      </w:r>
      <w:proofErr w:type="spellStart"/>
      <w:r w:rsidR="00DF0652">
        <w:rPr>
          <w:color w:val="000000"/>
        </w:rPr>
        <w:t>ramus</w:t>
      </w:r>
      <w:proofErr w:type="spellEnd"/>
      <w:r w:rsidR="00DF0652">
        <w:rPr>
          <w:color w:val="000000"/>
        </w:rPr>
        <w:t>.</w:t>
      </w:r>
      <w:r w:rsidR="00FA6BB7">
        <w:rPr>
          <w:color w:val="000000"/>
        </w:rPr>
        <w:t>”</w:t>
      </w:r>
      <w:r w:rsidR="00DF0652">
        <w:rPr>
          <w:color w:val="000000"/>
        </w:rPr>
        <w:t xml:space="preserve"> </w:t>
      </w:r>
      <w:r w:rsidR="00A81C7A">
        <w:rPr>
          <w:color w:val="000000"/>
        </w:rPr>
        <w:t xml:space="preserve"> A follow-up bone scan failed to </w:t>
      </w:r>
      <w:r w:rsidR="0061336A">
        <w:rPr>
          <w:color w:val="000000"/>
        </w:rPr>
        <w:t>demonstrate uptake in that area</w:t>
      </w:r>
      <w:r w:rsidR="00A81C7A">
        <w:rPr>
          <w:color w:val="000000"/>
        </w:rPr>
        <w:t>.</w:t>
      </w:r>
      <w:r w:rsidR="00DF0652">
        <w:rPr>
          <w:color w:val="000000"/>
        </w:rPr>
        <w:t xml:space="preserve"> </w:t>
      </w:r>
      <w:r w:rsidR="00A81C7A">
        <w:rPr>
          <w:color w:val="000000"/>
        </w:rPr>
        <w:t xml:space="preserve"> There are no surgical indications for pathology of this nature.  All clinical entries in the outpatient records referred to right hip pain</w:t>
      </w:r>
      <w:r w:rsidR="001F693A">
        <w:rPr>
          <w:color w:val="000000"/>
        </w:rPr>
        <w:t>,</w:t>
      </w:r>
      <w:r w:rsidR="00A81C7A">
        <w:rPr>
          <w:color w:val="000000"/>
        </w:rPr>
        <w:t xml:space="preserve"> until a note dated 3 months prior to separation </w:t>
      </w:r>
      <w:r w:rsidR="00B0127F">
        <w:rPr>
          <w:color w:val="000000"/>
        </w:rPr>
        <w:t xml:space="preserve">which </w:t>
      </w:r>
      <w:r w:rsidR="00A81C7A">
        <w:rPr>
          <w:color w:val="000000"/>
        </w:rPr>
        <w:t>documented a 2</w:t>
      </w:r>
      <w:r w:rsidR="00641B8A">
        <w:rPr>
          <w:color w:val="000000"/>
        </w:rPr>
        <w:t>-</w:t>
      </w:r>
      <w:r w:rsidR="00A81C7A">
        <w:rPr>
          <w:color w:val="000000"/>
        </w:rPr>
        <w:t xml:space="preserve">month history of bilateral hip pain.  </w:t>
      </w:r>
      <w:r w:rsidR="0061336A">
        <w:rPr>
          <w:color w:val="000000"/>
        </w:rPr>
        <w:t>The narrative summary (NARSUM) noted constant “</w:t>
      </w:r>
      <w:r w:rsidR="0061336A" w:rsidRPr="0061336A">
        <w:rPr>
          <w:color w:val="000000"/>
        </w:rPr>
        <w:t>bilateral anterior groi</w:t>
      </w:r>
      <w:r w:rsidR="0061336A">
        <w:rPr>
          <w:color w:val="000000"/>
        </w:rPr>
        <w:t>n pain, right greater than left</w:t>
      </w:r>
      <w:r w:rsidR="005A373C">
        <w:rPr>
          <w:color w:val="000000"/>
        </w:rPr>
        <w:t>;</w:t>
      </w:r>
      <w:r w:rsidR="00641B8A">
        <w:rPr>
          <w:color w:val="000000"/>
        </w:rPr>
        <w:t>”</w:t>
      </w:r>
      <w:r w:rsidR="0061336A">
        <w:rPr>
          <w:color w:val="000000"/>
        </w:rPr>
        <w:t xml:space="preserve"> worse with walking and </w:t>
      </w:r>
      <w:r w:rsidR="005A373C">
        <w:rPr>
          <w:color w:val="000000"/>
        </w:rPr>
        <w:t>standing, and progressing over the course of</w:t>
      </w:r>
      <w:r w:rsidR="0061336A">
        <w:rPr>
          <w:color w:val="000000"/>
        </w:rPr>
        <w:t xml:space="preserve"> the day.</w:t>
      </w:r>
      <w:r w:rsidR="005A373C">
        <w:rPr>
          <w:color w:val="000000"/>
        </w:rPr>
        <w:t xml:space="preserve">  </w:t>
      </w:r>
      <w:r w:rsidR="00FD16A5">
        <w:rPr>
          <w:color w:val="000000"/>
        </w:rPr>
        <w:t xml:space="preserve">The physical exam noted </w:t>
      </w:r>
      <w:r w:rsidR="00E940FC">
        <w:rPr>
          <w:color w:val="000000"/>
        </w:rPr>
        <w:t xml:space="preserve">a “slow </w:t>
      </w:r>
      <w:proofErr w:type="spellStart"/>
      <w:r w:rsidR="00E940FC">
        <w:rPr>
          <w:color w:val="000000"/>
        </w:rPr>
        <w:t>antalgic</w:t>
      </w:r>
      <w:proofErr w:type="spellEnd"/>
      <w:r w:rsidR="00E940FC">
        <w:rPr>
          <w:color w:val="000000"/>
        </w:rPr>
        <w:t xml:space="preserve"> gait,</w:t>
      </w:r>
      <w:r w:rsidR="00641B8A">
        <w:rPr>
          <w:color w:val="000000"/>
        </w:rPr>
        <w:t>”</w:t>
      </w:r>
      <w:r w:rsidR="00E940FC">
        <w:rPr>
          <w:color w:val="000000"/>
        </w:rPr>
        <w:t xml:space="preserve"> tenderness over the pubic </w:t>
      </w:r>
      <w:proofErr w:type="spellStart"/>
      <w:r w:rsidR="00E940FC">
        <w:rPr>
          <w:color w:val="000000"/>
        </w:rPr>
        <w:t>rami</w:t>
      </w:r>
      <w:proofErr w:type="spellEnd"/>
      <w:r w:rsidR="00E940FC">
        <w:rPr>
          <w:color w:val="000000"/>
        </w:rPr>
        <w:t xml:space="preserve"> (right &gt; left), and mildly decreased strength with thigh flexion and extension (4+/5) on the right.  </w:t>
      </w:r>
      <w:r w:rsidR="00E940FC">
        <w:rPr>
          <w:color w:val="000000"/>
          <w:szCs w:val="24"/>
        </w:rPr>
        <w:t xml:space="preserve">The VA </w:t>
      </w:r>
      <w:r w:rsidR="00E940FC" w:rsidRPr="00CF0280">
        <w:rPr>
          <w:color w:val="000000"/>
          <w:szCs w:val="24"/>
        </w:rPr>
        <w:t>Compensation and Pension (C&amp;P)</w:t>
      </w:r>
      <w:r w:rsidR="00E940FC">
        <w:rPr>
          <w:color w:val="000000"/>
          <w:szCs w:val="24"/>
        </w:rPr>
        <w:t xml:space="preserve"> examiner (1 month </w:t>
      </w:r>
      <w:r w:rsidR="00641B8A">
        <w:rPr>
          <w:color w:val="000000"/>
          <w:szCs w:val="24"/>
        </w:rPr>
        <w:t xml:space="preserve">prior to </w:t>
      </w:r>
      <w:r w:rsidR="00E940FC">
        <w:rPr>
          <w:color w:val="000000"/>
          <w:szCs w:val="24"/>
        </w:rPr>
        <w:t>separation) did not identify or address a left hip condition</w:t>
      </w:r>
      <w:r w:rsidR="00F57DD6">
        <w:rPr>
          <w:color w:val="000000"/>
          <w:szCs w:val="24"/>
        </w:rPr>
        <w:t>; nor did he note bilateral complaints.  The VA examiner documented “constant pain in the right groin region (points to the anterior side of the right hip)”, rated 5/10, with flares to 8/10 “if he stands for over 30 minutes.</w:t>
      </w:r>
      <w:r w:rsidR="00641B8A">
        <w:rPr>
          <w:color w:val="000000"/>
          <w:szCs w:val="24"/>
        </w:rPr>
        <w:t>”</w:t>
      </w:r>
      <w:r w:rsidR="00F57DD6">
        <w:rPr>
          <w:color w:val="000000"/>
          <w:szCs w:val="24"/>
        </w:rPr>
        <w:t xml:space="preserve">  </w:t>
      </w:r>
      <w:r w:rsidR="00F860C7">
        <w:rPr>
          <w:color w:val="000000"/>
          <w:szCs w:val="24"/>
        </w:rPr>
        <w:t>It was noted that the CI “denies that flare-ups incapacitate him completely,</w:t>
      </w:r>
      <w:r w:rsidR="00641B8A">
        <w:rPr>
          <w:color w:val="000000"/>
          <w:szCs w:val="24"/>
        </w:rPr>
        <w:t>”</w:t>
      </w:r>
      <w:r w:rsidR="00F860C7">
        <w:rPr>
          <w:color w:val="000000"/>
          <w:szCs w:val="24"/>
        </w:rPr>
        <w:t xml:space="preserve"> and “denies any Doctor ordered periods of incapacitation in the past 12 months.</w:t>
      </w:r>
      <w:r w:rsidR="00641B8A">
        <w:rPr>
          <w:color w:val="000000"/>
          <w:szCs w:val="24"/>
        </w:rPr>
        <w:t>”</w:t>
      </w:r>
      <w:r w:rsidR="00F860C7">
        <w:rPr>
          <w:color w:val="000000"/>
          <w:szCs w:val="24"/>
        </w:rPr>
        <w:t xml:space="preserve">  </w:t>
      </w:r>
      <w:r w:rsidR="00F57DD6">
        <w:rPr>
          <w:color w:val="000000"/>
          <w:szCs w:val="24"/>
        </w:rPr>
        <w:t>The VA physical exam noted a “limping” gait (corroborated by shoe wear pattern) and tenderness over the anterior right hip and groin.  Motor strength was recorded as 5/5, but the CI “was unable to squat or stoop.</w:t>
      </w:r>
      <w:r w:rsidR="00641B8A">
        <w:rPr>
          <w:color w:val="000000"/>
          <w:szCs w:val="24"/>
        </w:rPr>
        <w:t>”</w:t>
      </w:r>
      <w:r w:rsidR="00F57DD6">
        <w:rPr>
          <w:color w:val="000000"/>
          <w:szCs w:val="24"/>
        </w:rPr>
        <w:t xml:space="preserve">  </w:t>
      </w:r>
      <w:r w:rsidR="00F860C7">
        <w:rPr>
          <w:color w:val="000000"/>
          <w:szCs w:val="24"/>
        </w:rPr>
        <w:t xml:space="preserve">There were incomplete </w:t>
      </w:r>
      <w:r w:rsidR="001F693A">
        <w:rPr>
          <w:color w:val="000000"/>
          <w:szCs w:val="24"/>
        </w:rPr>
        <w:t>goniometric range-of-</w:t>
      </w:r>
      <w:r w:rsidR="00F860C7" w:rsidRPr="00B652C3">
        <w:rPr>
          <w:color w:val="000000"/>
          <w:szCs w:val="24"/>
        </w:rPr>
        <w:t>motion (ROM)</w:t>
      </w:r>
      <w:r w:rsidR="00F860C7">
        <w:rPr>
          <w:color w:val="000000"/>
          <w:szCs w:val="24"/>
        </w:rPr>
        <w:t xml:space="preserve"> measurements from the </w:t>
      </w:r>
      <w:proofErr w:type="gramStart"/>
      <w:r w:rsidR="00F860C7">
        <w:rPr>
          <w:color w:val="000000"/>
          <w:szCs w:val="24"/>
        </w:rPr>
        <w:t>MEB,</w:t>
      </w:r>
      <w:proofErr w:type="gramEnd"/>
      <w:r w:rsidR="00F860C7">
        <w:rPr>
          <w:color w:val="000000"/>
          <w:szCs w:val="24"/>
        </w:rPr>
        <w:t xml:space="preserve"> and no left measurements from the VA; but, the ratable ROM evidence available to the Board is charted below.</w:t>
      </w:r>
    </w:p>
    <w:p w:rsidR="005A373C" w:rsidRDefault="005A373C" w:rsidP="00B22D42">
      <w:pPr>
        <w:jc w:val="both"/>
        <w:rPr>
          <w:color w:val="000000"/>
        </w:rPr>
      </w:pPr>
    </w:p>
    <w:tbl>
      <w:tblPr>
        <w:tblStyle w:val="TableGrid"/>
        <w:tblW w:w="0" w:type="auto"/>
        <w:jc w:val="center"/>
        <w:tblInd w:w="-184" w:type="dxa"/>
        <w:tblLook w:val="04A0"/>
      </w:tblPr>
      <w:tblGrid>
        <w:gridCol w:w="2094"/>
        <w:gridCol w:w="1469"/>
        <w:gridCol w:w="1350"/>
        <w:gridCol w:w="1536"/>
        <w:gridCol w:w="1048"/>
      </w:tblGrid>
      <w:tr w:rsidR="00273212" w:rsidTr="00FD16A5">
        <w:trPr>
          <w:trHeight w:val="143"/>
          <w:jc w:val="center"/>
        </w:trPr>
        <w:tc>
          <w:tcPr>
            <w:tcW w:w="2094" w:type="dxa"/>
            <w:vMerge w:val="restart"/>
            <w:shd w:val="clear" w:color="auto" w:fill="D9D9D9" w:themeFill="background1" w:themeFillShade="D9"/>
            <w:vAlign w:val="center"/>
          </w:tcPr>
          <w:p w:rsidR="00273212" w:rsidRPr="0029147B" w:rsidRDefault="00273212" w:rsidP="0029147B">
            <w:pPr>
              <w:spacing w:line="220" w:lineRule="exact"/>
              <w:contextualSpacing/>
              <w:rPr>
                <w:rFonts w:asciiTheme="majorHAnsi" w:eastAsia="Calibri" w:hAnsiTheme="majorHAnsi" w:cstheme="majorHAnsi"/>
                <w:color w:val="auto"/>
                <w:sz w:val="20"/>
                <w:szCs w:val="20"/>
              </w:rPr>
            </w:pPr>
            <w:r w:rsidRPr="0029147B">
              <w:rPr>
                <w:rFonts w:asciiTheme="majorHAnsi" w:eastAsia="Calibri" w:hAnsiTheme="majorHAnsi" w:cstheme="majorHAnsi"/>
                <w:color w:val="auto"/>
                <w:sz w:val="20"/>
                <w:szCs w:val="20"/>
              </w:rPr>
              <w:t>Hip  ROM</w:t>
            </w:r>
          </w:p>
        </w:tc>
        <w:tc>
          <w:tcPr>
            <w:tcW w:w="2819" w:type="dxa"/>
            <w:gridSpan w:val="2"/>
            <w:tcBorders>
              <w:bottom w:val="single" w:sz="4" w:space="0" w:color="auto"/>
            </w:tcBorders>
            <w:shd w:val="clear" w:color="auto" w:fill="D9D9D9" w:themeFill="background1" w:themeFillShade="D9"/>
            <w:vAlign w:val="center"/>
          </w:tcPr>
          <w:p w:rsidR="00273212" w:rsidRPr="0029147B" w:rsidRDefault="00273212" w:rsidP="0029147B">
            <w:pPr>
              <w:spacing w:line="220" w:lineRule="exact"/>
              <w:rPr>
                <w:color w:val="000000"/>
                <w:sz w:val="20"/>
                <w:szCs w:val="20"/>
              </w:rPr>
            </w:pPr>
            <w:r w:rsidRPr="0029147B">
              <w:rPr>
                <w:color w:val="000000"/>
                <w:sz w:val="20"/>
                <w:szCs w:val="20"/>
              </w:rPr>
              <w:t>MEB ~7 Mo. Pre-Sep</w:t>
            </w:r>
          </w:p>
        </w:tc>
        <w:tc>
          <w:tcPr>
            <w:tcW w:w="2584" w:type="dxa"/>
            <w:gridSpan w:val="2"/>
            <w:tcBorders>
              <w:bottom w:val="single" w:sz="4" w:space="0" w:color="auto"/>
            </w:tcBorders>
            <w:shd w:val="clear" w:color="auto" w:fill="D9D9D9" w:themeFill="background1" w:themeFillShade="D9"/>
            <w:vAlign w:val="center"/>
          </w:tcPr>
          <w:p w:rsidR="00273212" w:rsidRPr="0029147B" w:rsidRDefault="00273212" w:rsidP="0029147B">
            <w:pPr>
              <w:spacing w:line="220" w:lineRule="exact"/>
              <w:rPr>
                <w:color w:val="000000"/>
                <w:sz w:val="20"/>
                <w:szCs w:val="20"/>
              </w:rPr>
            </w:pPr>
            <w:r w:rsidRPr="0029147B">
              <w:rPr>
                <w:color w:val="000000"/>
                <w:sz w:val="20"/>
                <w:szCs w:val="20"/>
              </w:rPr>
              <w:t>VA ~1 Mo. Pre-Sep</w:t>
            </w:r>
          </w:p>
        </w:tc>
      </w:tr>
      <w:tr w:rsidR="0029147B" w:rsidTr="00FD16A5">
        <w:trPr>
          <w:trHeight w:val="169"/>
          <w:jc w:val="center"/>
        </w:trPr>
        <w:tc>
          <w:tcPr>
            <w:tcW w:w="2094" w:type="dxa"/>
            <w:vMerge/>
            <w:shd w:val="clear" w:color="auto" w:fill="D9D9D9" w:themeFill="background1" w:themeFillShade="D9"/>
            <w:vAlign w:val="center"/>
          </w:tcPr>
          <w:p w:rsidR="00273212" w:rsidRPr="0029147B" w:rsidRDefault="00273212" w:rsidP="0029147B">
            <w:pPr>
              <w:spacing w:line="220" w:lineRule="exact"/>
              <w:contextualSpacing/>
              <w:rPr>
                <w:rFonts w:asciiTheme="majorHAnsi" w:eastAsia="Calibri" w:hAnsiTheme="majorHAnsi" w:cstheme="majorHAnsi"/>
                <w:color w:val="auto"/>
                <w:sz w:val="20"/>
                <w:szCs w:val="20"/>
              </w:rPr>
            </w:pPr>
          </w:p>
        </w:tc>
        <w:tc>
          <w:tcPr>
            <w:tcW w:w="1469" w:type="dxa"/>
            <w:tcBorders>
              <w:top w:val="single" w:sz="4" w:space="0" w:color="auto"/>
              <w:right w:val="single" w:sz="4" w:space="0" w:color="auto"/>
            </w:tcBorders>
            <w:shd w:val="clear" w:color="auto" w:fill="D9D9D9" w:themeFill="background1" w:themeFillShade="D9"/>
            <w:vAlign w:val="center"/>
          </w:tcPr>
          <w:p w:rsidR="00273212" w:rsidRPr="0029147B" w:rsidRDefault="00273212" w:rsidP="0029147B">
            <w:pPr>
              <w:spacing w:line="220" w:lineRule="exact"/>
              <w:rPr>
                <w:color w:val="000000"/>
                <w:sz w:val="20"/>
                <w:szCs w:val="20"/>
              </w:rPr>
            </w:pPr>
            <w:r w:rsidRPr="0029147B">
              <w:rPr>
                <w:color w:val="000000"/>
                <w:sz w:val="20"/>
                <w:szCs w:val="20"/>
              </w:rPr>
              <w:t>Left</w:t>
            </w:r>
          </w:p>
        </w:tc>
        <w:tc>
          <w:tcPr>
            <w:tcW w:w="1350" w:type="dxa"/>
            <w:tcBorders>
              <w:top w:val="single" w:sz="4" w:space="0" w:color="auto"/>
              <w:left w:val="single" w:sz="4" w:space="0" w:color="auto"/>
            </w:tcBorders>
            <w:shd w:val="clear" w:color="auto" w:fill="D9D9D9" w:themeFill="background1" w:themeFillShade="D9"/>
            <w:vAlign w:val="center"/>
          </w:tcPr>
          <w:p w:rsidR="00273212" w:rsidRPr="0029147B" w:rsidRDefault="00273212" w:rsidP="0029147B">
            <w:pPr>
              <w:spacing w:line="220" w:lineRule="exact"/>
              <w:rPr>
                <w:color w:val="000000"/>
                <w:sz w:val="20"/>
                <w:szCs w:val="20"/>
              </w:rPr>
            </w:pPr>
            <w:r w:rsidRPr="0029147B">
              <w:rPr>
                <w:color w:val="000000"/>
                <w:sz w:val="20"/>
                <w:szCs w:val="20"/>
              </w:rPr>
              <w:t>Right</w:t>
            </w:r>
          </w:p>
        </w:tc>
        <w:tc>
          <w:tcPr>
            <w:tcW w:w="1536" w:type="dxa"/>
            <w:tcBorders>
              <w:top w:val="single" w:sz="4" w:space="0" w:color="auto"/>
              <w:right w:val="single" w:sz="4" w:space="0" w:color="auto"/>
            </w:tcBorders>
            <w:shd w:val="clear" w:color="auto" w:fill="D9D9D9" w:themeFill="background1" w:themeFillShade="D9"/>
            <w:vAlign w:val="center"/>
          </w:tcPr>
          <w:p w:rsidR="00273212" w:rsidRPr="0029147B" w:rsidRDefault="00273212" w:rsidP="0029147B">
            <w:pPr>
              <w:spacing w:line="220" w:lineRule="exact"/>
              <w:rPr>
                <w:color w:val="000000"/>
                <w:sz w:val="20"/>
                <w:szCs w:val="20"/>
              </w:rPr>
            </w:pPr>
            <w:r w:rsidRPr="0029147B">
              <w:rPr>
                <w:color w:val="000000"/>
                <w:sz w:val="20"/>
                <w:szCs w:val="20"/>
              </w:rPr>
              <w:t>Left</w:t>
            </w:r>
          </w:p>
        </w:tc>
        <w:tc>
          <w:tcPr>
            <w:tcW w:w="1048" w:type="dxa"/>
            <w:tcBorders>
              <w:top w:val="single" w:sz="4" w:space="0" w:color="auto"/>
              <w:left w:val="single" w:sz="4" w:space="0" w:color="auto"/>
            </w:tcBorders>
            <w:shd w:val="clear" w:color="auto" w:fill="D9D9D9" w:themeFill="background1" w:themeFillShade="D9"/>
            <w:vAlign w:val="center"/>
          </w:tcPr>
          <w:p w:rsidR="00273212" w:rsidRPr="0029147B" w:rsidRDefault="00273212" w:rsidP="0029147B">
            <w:pPr>
              <w:spacing w:line="220" w:lineRule="exact"/>
              <w:rPr>
                <w:color w:val="000000"/>
                <w:sz w:val="20"/>
                <w:szCs w:val="20"/>
              </w:rPr>
            </w:pPr>
            <w:r w:rsidRPr="0029147B">
              <w:rPr>
                <w:color w:val="000000"/>
                <w:sz w:val="20"/>
                <w:szCs w:val="20"/>
              </w:rPr>
              <w:t>Right</w:t>
            </w:r>
          </w:p>
        </w:tc>
      </w:tr>
      <w:tr w:rsidR="0029147B" w:rsidTr="00FD16A5">
        <w:trPr>
          <w:jc w:val="center"/>
        </w:trPr>
        <w:tc>
          <w:tcPr>
            <w:tcW w:w="2094" w:type="dxa"/>
            <w:vAlign w:val="center"/>
          </w:tcPr>
          <w:p w:rsidR="00273212" w:rsidRPr="0029147B" w:rsidRDefault="00273212" w:rsidP="0029147B">
            <w:pPr>
              <w:spacing w:line="220" w:lineRule="exact"/>
              <w:contextualSpacing/>
              <w:rPr>
                <w:rFonts w:asciiTheme="majorHAnsi" w:eastAsia="Calibri" w:hAnsiTheme="majorHAnsi" w:cstheme="majorHAnsi"/>
                <w:color w:val="auto"/>
                <w:sz w:val="20"/>
                <w:szCs w:val="20"/>
              </w:rPr>
            </w:pPr>
            <w:r w:rsidRPr="0029147B">
              <w:rPr>
                <w:rFonts w:asciiTheme="majorHAnsi" w:eastAsia="Calibri" w:hAnsiTheme="majorHAnsi" w:cstheme="majorHAnsi"/>
                <w:color w:val="auto"/>
                <w:sz w:val="20"/>
                <w:szCs w:val="20"/>
              </w:rPr>
              <w:t>Flexion (125⁰ Normal)</w:t>
            </w:r>
          </w:p>
        </w:tc>
        <w:tc>
          <w:tcPr>
            <w:tcW w:w="1469" w:type="dxa"/>
            <w:tcBorders>
              <w:right w:val="single" w:sz="4" w:space="0" w:color="auto"/>
            </w:tcBorders>
            <w:vAlign w:val="center"/>
          </w:tcPr>
          <w:p w:rsidR="00273212" w:rsidRPr="0029147B" w:rsidRDefault="00174951" w:rsidP="0029147B">
            <w:pPr>
              <w:spacing w:line="220" w:lineRule="exact"/>
              <w:rPr>
                <w:color w:val="000000"/>
                <w:sz w:val="20"/>
                <w:szCs w:val="20"/>
              </w:rPr>
            </w:pPr>
            <w:r w:rsidRPr="0029147B">
              <w:rPr>
                <w:color w:val="000000"/>
                <w:sz w:val="20"/>
                <w:szCs w:val="20"/>
              </w:rPr>
              <w:t>75⁰</w:t>
            </w:r>
          </w:p>
        </w:tc>
        <w:tc>
          <w:tcPr>
            <w:tcW w:w="1350" w:type="dxa"/>
            <w:tcBorders>
              <w:left w:val="single" w:sz="4" w:space="0" w:color="auto"/>
            </w:tcBorders>
            <w:vAlign w:val="center"/>
          </w:tcPr>
          <w:p w:rsidR="00273212" w:rsidRPr="0029147B" w:rsidRDefault="00174951" w:rsidP="0029147B">
            <w:pPr>
              <w:spacing w:line="220" w:lineRule="exact"/>
              <w:rPr>
                <w:color w:val="000000"/>
                <w:sz w:val="20"/>
                <w:szCs w:val="20"/>
              </w:rPr>
            </w:pPr>
            <w:r w:rsidRPr="0029147B">
              <w:rPr>
                <w:color w:val="000000"/>
                <w:sz w:val="20"/>
                <w:szCs w:val="20"/>
              </w:rPr>
              <w:t>50⁰</w:t>
            </w:r>
          </w:p>
        </w:tc>
        <w:tc>
          <w:tcPr>
            <w:tcW w:w="1536" w:type="dxa"/>
            <w:tcBorders>
              <w:right w:val="single" w:sz="4" w:space="0" w:color="auto"/>
            </w:tcBorders>
            <w:vAlign w:val="center"/>
          </w:tcPr>
          <w:p w:rsidR="00273212" w:rsidRPr="0029147B" w:rsidRDefault="00FD16A5" w:rsidP="0029147B">
            <w:pPr>
              <w:spacing w:line="220" w:lineRule="exact"/>
              <w:rPr>
                <w:color w:val="000000"/>
                <w:sz w:val="20"/>
                <w:szCs w:val="20"/>
              </w:rPr>
            </w:pPr>
            <w:r>
              <w:rPr>
                <w:color w:val="000000"/>
                <w:sz w:val="20"/>
                <w:szCs w:val="20"/>
              </w:rPr>
              <w:t>Not addressed.</w:t>
            </w:r>
          </w:p>
        </w:tc>
        <w:tc>
          <w:tcPr>
            <w:tcW w:w="1048" w:type="dxa"/>
            <w:tcBorders>
              <w:left w:val="single" w:sz="4" w:space="0" w:color="auto"/>
            </w:tcBorders>
            <w:vAlign w:val="center"/>
          </w:tcPr>
          <w:p w:rsidR="00273212" w:rsidRPr="0029147B" w:rsidRDefault="0029147B" w:rsidP="0029147B">
            <w:pPr>
              <w:spacing w:line="220" w:lineRule="exact"/>
              <w:rPr>
                <w:color w:val="000000"/>
                <w:sz w:val="20"/>
                <w:szCs w:val="20"/>
              </w:rPr>
            </w:pPr>
            <w:r>
              <w:rPr>
                <w:color w:val="000000"/>
                <w:sz w:val="20"/>
                <w:szCs w:val="20"/>
              </w:rPr>
              <w:t>90⁰</w:t>
            </w:r>
          </w:p>
        </w:tc>
      </w:tr>
      <w:tr w:rsidR="0029147B" w:rsidTr="00FD16A5">
        <w:trPr>
          <w:jc w:val="center"/>
        </w:trPr>
        <w:tc>
          <w:tcPr>
            <w:tcW w:w="2094" w:type="dxa"/>
            <w:tcBorders>
              <w:top w:val="single" w:sz="4" w:space="0" w:color="auto"/>
            </w:tcBorders>
            <w:vAlign w:val="center"/>
          </w:tcPr>
          <w:p w:rsidR="00273212" w:rsidRPr="0029147B" w:rsidRDefault="00273212" w:rsidP="0029147B">
            <w:pPr>
              <w:spacing w:line="220" w:lineRule="exact"/>
              <w:contextualSpacing/>
              <w:rPr>
                <w:rFonts w:asciiTheme="majorHAnsi" w:eastAsia="Calibri" w:hAnsiTheme="majorHAnsi" w:cstheme="majorHAnsi"/>
                <w:color w:val="auto"/>
                <w:sz w:val="20"/>
                <w:szCs w:val="20"/>
              </w:rPr>
            </w:pPr>
            <w:r w:rsidRPr="0029147B">
              <w:rPr>
                <w:rFonts w:asciiTheme="majorHAnsi" w:eastAsia="Calibri" w:hAnsiTheme="majorHAnsi" w:cstheme="majorHAnsi"/>
                <w:color w:val="auto"/>
                <w:sz w:val="20"/>
                <w:szCs w:val="20"/>
              </w:rPr>
              <w:t>Extension (20⁰)</w:t>
            </w:r>
          </w:p>
        </w:tc>
        <w:tc>
          <w:tcPr>
            <w:tcW w:w="1469" w:type="dxa"/>
            <w:tcBorders>
              <w:top w:val="single" w:sz="4" w:space="0" w:color="auto"/>
              <w:right w:val="single" w:sz="4" w:space="0" w:color="auto"/>
            </w:tcBorders>
            <w:vAlign w:val="center"/>
          </w:tcPr>
          <w:p w:rsidR="00273212" w:rsidRPr="0029147B" w:rsidRDefault="0029147B" w:rsidP="0029147B">
            <w:pPr>
              <w:spacing w:line="220" w:lineRule="exact"/>
              <w:rPr>
                <w:color w:val="000000"/>
                <w:sz w:val="20"/>
                <w:szCs w:val="20"/>
              </w:rPr>
            </w:pPr>
            <w:r>
              <w:rPr>
                <w:color w:val="000000"/>
                <w:sz w:val="20"/>
                <w:szCs w:val="20"/>
              </w:rPr>
              <w:t>-</w:t>
            </w:r>
          </w:p>
        </w:tc>
        <w:tc>
          <w:tcPr>
            <w:tcW w:w="1350" w:type="dxa"/>
            <w:tcBorders>
              <w:top w:val="single" w:sz="4" w:space="0" w:color="auto"/>
              <w:left w:val="single" w:sz="4" w:space="0" w:color="auto"/>
            </w:tcBorders>
            <w:vAlign w:val="center"/>
          </w:tcPr>
          <w:p w:rsidR="00273212" w:rsidRPr="0029147B" w:rsidRDefault="0029147B" w:rsidP="0029147B">
            <w:pPr>
              <w:spacing w:line="220" w:lineRule="exact"/>
              <w:rPr>
                <w:color w:val="000000"/>
                <w:sz w:val="20"/>
                <w:szCs w:val="20"/>
              </w:rPr>
            </w:pPr>
            <w:r>
              <w:rPr>
                <w:color w:val="000000"/>
                <w:sz w:val="20"/>
                <w:szCs w:val="20"/>
              </w:rPr>
              <w:t>-</w:t>
            </w:r>
          </w:p>
        </w:tc>
        <w:tc>
          <w:tcPr>
            <w:tcW w:w="1536" w:type="dxa"/>
            <w:tcBorders>
              <w:top w:val="single" w:sz="4" w:space="0" w:color="auto"/>
              <w:right w:val="single" w:sz="4" w:space="0" w:color="auto"/>
            </w:tcBorders>
            <w:vAlign w:val="center"/>
          </w:tcPr>
          <w:p w:rsidR="00273212" w:rsidRPr="0029147B" w:rsidRDefault="0029147B" w:rsidP="0029147B">
            <w:pPr>
              <w:spacing w:line="220" w:lineRule="exact"/>
              <w:rPr>
                <w:color w:val="000000"/>
                <w:sz w:val="20"/>
                <w:szCs w:val="20"/>
              </w:rPr>
            </w:pPr>
            <w:r>
              <w:rPr>
                <w:color w:val="000000"/>
                <w:sz w:val="20"/>
                <w:szCs w:val="20"/>
              </w:rPr>
              <w:t>-</w:t>
            </w:r>
          </w:p>
        </w:tc>
        <w:tc>
          <w:tcPr>
            <w:tcW w:w="1048" w:type="dxa"/>
            <w:tcBorders>
              <w:top w:val="single" w:sz="4" w:space="0" w:color="auto"/>
              <w:left w:val="single" w:sz="4" w:space="0" w:color="auto"/>
            </w:tcBorders>
            <w:vAlign w:val="center"/>
          </w:tcPr>
          <w:p w:rsidR="00273212" w:rsidRPr="0029147B" w:rsidRDefault="0029147B" w:rsidP="0029147B">
            <w:pPr>
              <w:spacing w:line="220" w:lineRule="exact"/>
              <w:rPr>
                <w:color w:val="000000"/>
                <w:sz w:val="20"/>
                <w:szCs w:val="20"/>
              </w:rPr>
            </w:pPr>
            <w:r>
              <w:rPr>
                <w:color w:val="000000"/>
                <w:sz w:val="20"/>
                <w:szCs w:val="20"/>
              </w:rPr>
              <w:t>20⁰</w:t>
            </w:r>
          </w:p>
        </w:tc>
      </w:tr>
      <w:tr w:rsidR="0029147B" w:rsidTr="00FD16A5">
        <w:trPr>
          <w:jc w:val="center"/>
        </w:trPr>
        <w:tc>
          <w:tcPr>
            <w:tcW w:w="2094" w:type="dxa"/>
            <w:vAlign w:val="center"/>
          </w:tcPr>
          <w:p w:rsidR="00273212" w:rsidRPr="0029147B" w:rsidRDefault="00273212" w:rsidP="0029147B">
            <w:pPr>
              <w:spacing w:line="220" w:lineRule="exact"/>
              <w:contextualSpacing/>
              <w:rPr>
                <w:rFonts w:asciiTheme="majorHAnsi" w:eastAsia="Calibri" w:hAnsiTheme="majorHAnsi" w:cstheme="majorHAnsi"/>
                <w:color w:val="auto"/>
                <w:sz w:val="20"/>
                <w:szCs w:val="20"/>
              </w:rPr>
            </w:pPr>
            <w:r w:rsidRPr="0029147B">
              <w:rPr>
                <w:rFonts w:asciiTheme="majorHAnsi" w:eastAsia="Calibri" w:hAnsiTheme="majorHAnsi" w:cstheme="majorHAnsi"/>
                <w:color w:val="auto"/>
                <w:sz w:val="20"/>
                <w:szCs w:val="20"/>
              </w:rPr>
              <w:t>Ext</w:t>
            </w:r>
            <w:r w:rsidR="00174951" w:rsidRPr="0029147B">
              <w:rPr>
                <w:rFonts w:asciiTheme="majorHAnsi" w:eastAsia="Calibri" w:hAnsiTheme="majorHAnsi" w:cstheme="majorHAnsi"/>
                <w:color w:val="auto"/>
                <w:sz w:val="20"/>
                <w:szCs w:val="20"/>
              </w:rPr>
              <w:t>ernal Rotation (</w:t>
            </w:r>
            <w:r w:rsidRPr="0029147B">
              <w:rPr>
                <w:rFonts w:asciiTheme="majorHAnsi" w:eastAsia="Calibri" w:hAnsiTheme="majorHAnsi" w:cstheme="majorHAnsi"/>
                <w:color w:val="auto"/>
                <w:sz w:val="20"/>
                <w:szCs w:val="20"/>
              </w:rPr>
              <w:t>45⁰)</w:t>
            </w:r>
          </w:p>
        </w:tc>
        <w:tc>
          <w:tcPr>
            <w:tcW w:w="1469" w:type="dxa"/>
            <w:tcBorders>
              <w:right w:val="single" w:sz="4" w:space="0" w:color="auto"/>
            </w:tcBorders>
            <w:vAlign w:val="center"/>
          </w:tcPr>
          <w:p w:rsidR="00273212" w:rsidRPr="0029147B" w:rsidRDefault="0029147B" w:rsidP="0029147B">
            <w:pPr>
              <w:spacing w:line="220" w:lineRule="exact"/>
              <w:rPr>
                <w:color w:val="000000"/>
                <w:sz w:val="20"/>
                <w:szCs w:val="20"/>
              </w:rPr>
            </w:pPr>
            <w:r>
              <w:rPr>
                <w:color w:val="000000"/>
                <w:sz w:val="20"/>
                <w:szCs w:val="20"/>
              </w:rPr>
              <w:t>-</w:t>
            </w:r>
          </w:p>
        </w:tc>
        <w:tc>
          <w:tcPr>
            <w:tcW w:w="1350" w:type="dxa"/>
            <w:tcBorders>
              <w:left w:val="single" w:sz="4" w:space="0" w:color="auto"/>
            </w:tcBorders>
            <w:vAlign w:val="center"/>
          </w:tcPr>
          <w:p w:rsidR="00273212" w:rsidRPr="0029147B" w:rsidRDefault="0029147B" w:rsidP="0029147B">
            <w:pPr>
              <w:spacing w:line="220" w:lineRule="exact"/>
              <w:rPr>
                <w:color w:val="000000"/>
                <w:sz w:val="20"/>
                <w:szCs w:val="20"/>
              </w:rPr>
            </w:pPr>
            <w:r>
              <w:rPr>
                <w:color w:val="000000"/>
                <w:sz w:val="20"/>
                <w:szCs w:val="20"/>
              </w:rPr>
              <w:t>-</w:t>
            </w:r>
          </w:p>
        </w:tc>
        <w:tc>
          <w:tcPr>
            <w:tcW w:w="1536" w:type="dxa"/>
            <w:tcBorders>
              <w:right w:val="single" w:sz="4" w:space="0" w:color="auto"/>
            </w:tcBorders>
            <w:vAlign w:val="center"/>
          </w:tcPr>
          <w:p w:rsidR="00273212" w:rsidRPr="0029147B" w:rsidRDefault="0029147B" w:rsidP="0029147B">
            <w:pPr>
              <w:spacing w:line="220" w:lineRule="exact"/>
              <w:rPr>
                <w:color w:val="000000"/>
                <w:sz w:val="20"/>
                <w:szCs w:val="20"/>
              </w:rPr>
            </w:pPr>
            <w:r>
              <w:rPr>
                <w:color w:val="000000"/>
                <w:sz w:val="20"/>
                <w:szCs w:val="20"/>
              </w:rPr>
              <w:t>-</w:t>
            </w:r>
          </w:p>
        </w:tc>
        <w:tc>
          <w:tcPr>
            <w:tcW w:w="1048" w:type="dxa"/>
            <w:tcBorders>
              <w:left w:val="single" w:sz="4" w:space="0" w:color="auto"/>
            </w:tcBorders>
            <w:vAlign w:val="center"/>
          </w:tcPr>
          <w:p w:rsidR="00273212" w:rsidRPr="0029147B" w:rsidRDefault="0029147B" w:rsidP="0029147B">
            <w:pPr>
              <w:spacing w:line="220" w:lineRule="exact"/>
              <w:rPr>
                <w:color w:val="000000"/>
                <w:sz w:val="20"/>
                <w:szCs w:val="20"/>
              </w:rPr>
            </w:pPr>
            <w:r>
              <w:rPr>
                <w:color w:val="000000"/>
                <w:sz w:val="20"/>
                <w:szCs w:val="20"/>
              </w:rPr>
              <w:t>35⁰</w:t>
            </w:r>
          </w:p>
        </w:tc>
      </w:tr>
      <w:tr w:rsidR="0029147B" w:rsidTr="00FD16A5">
        <w:trPr>
          <w:jc w:val="center"/>
        </w:trPr>
        <w:tc>
          <w:tcPr>
            <w:tcW w:w="2094" w:type="dxa"/>
            <w:vAlign w:val="center"/>
          </w:tcPr>
          <w:p w:rsidR="00273212" w:rsidRPr="0029147B" w:rsidRDefault="00174951" w:rsidP="0029147B">
            <w:pPr>
              <w:spacing w:line="220" w:lineRule="exact"/>
              <w:contextualSpacing/>
              <w:rPr>
                <w:rFonts w:asciiTheme="majorHAnsi" w:eastAsia="Calibri" w:hAnsiTheme="majorHAnsi" w:cstheme="majorHAnsi"/>
                <w:color w:val="auto"/>
                <w:sz w:val="20"/>
                <w:szCs w:val="20"/>
              </w:rPr>
            </w:pPr>
            <w:r w:rsidRPr="0029147B">
              <w:rPr>
                <w:rFonts w:asciiTheme="majorHAnsi" w:eastAsia="Calibri" w:hAnsiTheme="majorHAnsi" w:cstheme="majorHAnsi"/>
                <w:color w:val="auto"/>
                <w:sz w:val="20"/>
                <w:szCs w:val="20"/>
              </w:rPr>
              <w:t>Abduction (</w:t>
            </w:r>
            <w:r w:rsidR="00273212" w:rsidRPr="0029147B">
              <w:rPr>
                <w:rFonts w:asciiTheme="majorHAnsi" w:eastAsia="Calibri" w:hAnsiTheme="majorHAnsi" w:cstheme="majorHAnsi"/>
                <w:color w:val="auto"/>
                <w:sz w:val="20"/>
                <w:szCs w:val="20"/>
              </w:rPr>
              <w:t>45⁰)</w:t>
            </w:r>
          </w:p>
        </w:tc>
        <w:tc>
          <w:tcPr>
            <w:tcW w:w="1469" w:type="dxa"/>
            <w:tcBorders>
              <w:right w:val="single" w:sz="4" w:space="0" w:color="auto"/>
            </w:tcBorders>
            <w:vAlign w:val="center"/>
          </w:tcPr>
          <w:p w:rsidR="00273212" w:rsidRPr="0029147B" w:rsidRDefault="0029147B" w:rsidP="0029147B">
            <w:pPr>
              <w:spacing w:line="220" w:lineRule="exact"/>
              <w:rPr>
                <w:color w:val="000000"/>
                <w:sz w:val="20"/>
                <w:szCs w:val="20"/>
              </w:rPr>
            </w:pPr>
            <w:r>
              <w:rPr>
                <w:color w:val="000000"/>
                <w:sz w:val="20"/>
                <w:szCs w:val="20"/>
              </w:rPr>
              <w:t>45⁰</w:t>
            </w:r>
          </w:p>
        </w:tc>
        <w:tc>
          <w:tcPr>
            <w:tcW w:w="1350" w:type="dxa"/>
            <w:tcBorders>
              <w:left w:val="single" w:sz="4" w:space="0" w:color="auto"/>
            </w:tcBorders>
            <w:vAlign w:val="center"/>
          </w:tcPr>
          <w:p w:rsidR="00273212" w:rsidRPr="0029147B" w:rsidRDefault="0029147B" w:rsidP="0029147B">
            <w:pPr>
              <w:spacing w:line="220" w:lineRule="exact"/>
              <w:rPr>
                <w:color w:val="000000"/>
                <w:sz w:val="20"/>
                <w:szCs w:val="20"/>
              </w:rPr>
            </w:pPr>
            <w:r>
              <w:rPr>
                <w:color w:val="000000"/>
                <w:sz w:val="20"/>
                <w:szCs w:val="20"/>
              </w:rPr>
              <w:t>35⁰</w:t>
            </w:r>
          </w:p>
        </w:tc>
        <w:tc>
          <w:tcPr>
            <w:tcW w:w="1536" w:type="dxa"/>
            <w:tcBorders>
              <w:right w:val="single" w:sz="4" w:space="0" w:color="auto"/>
            </w:tcBorders>
            <w:vAlign w:val="center"/>
          </w:tcPr>
          <w:p w:rsidR="00273212" w:rsidRPr="0029147B" w:rsidRDefault="0029147B" w:rsidP="0029147B">
            <w:pPr>
              <w:spacing w:line="220" w:lineRule="exact"/>
              <w:rPr>
                <w:color w:val="000000"/>
                <w:sz w:val="20"/>
                <w:szCs w:val="20"/>
              </w:rPr>
            </w:pPr>
            <w:r>
              <w:rPr>
                <w:color w:val="000000"/>
                <w:sz w:val="20"/>
                <w:szCs w:val="20"/>
              </w:rPr>
              <w:t>-</w:t>
            </w:r>
          </w:p>
        </w:tc>
        <w:tc>
          <w:tcPr>
            <w:tcW w:w="1048" w:type="dxa"/>
            <w:tcBorders>
              <w:left w:val="single" w:sz="4" w:space="0" w:color="auto"/>
            </w:tcBorders>
            <w:vAlign w:val="center"/>
          </w:tcPr>
          <w:p w:rsidR="00273212" w:rsidRPr="0029147B" w:rsidRDefault="0029147B" w:rsidP="0029147B">
            <w:pPr>
              <w:spacing w:line="220" w:lineRule="exact"/>
              <w:rPr>
                <w:color w:val="000000"/>
                <w:sz w:val="20"/>
                <w:szCs w:val="20"/>
              </w:rPr>
            </w:pPr>
            <w:r>
              <w:rPr>
                <w:color w:val="000000"/>
                <w:sz w:val="20"/>
                <w:szCs w:val="20"/>
              </w:rPr>
              <w:t>35⁰</w:t>
            </w:r>
          </w:p>
        </w:tc>
      </w:tr>
      <w:tr w:rsidR="0029147B" w:rsidTr="00FD16A5">
        <w:trPr>
          <w:jc w:val="center"/>
        </w:trPr>
        <w:tc>
          <w:tcPr>
            <w:tcW w:w="2094" w:type="dxa"/>
            <w:vAlign w:val="center"/>
          </w:tcPr>
          <w:p w:rsidR="00273212" w:rsidRPr="0029147B" w:rsidRDefault="00174951" w:rsidP="0029147B">
            <w:pPr>
              <w:spacing w:line="220" w:lineRule="exact"/>
              <w:contextualSpacing/>
              <w:rPr>
                <w:rFonts w:asciiTheme="majorHAnsi" w:eastAsia="Calibri" w:hAnsiTheme="majorHAnsi" w:cstheme="majorHAnsi"/>
                <w:color w:val="auto"/>
                <w:sz w:val="20"/>
                <w:szCs w:val="20"/>
              </w:rPr>
            </w:pPr>
            <w:r w:rsidRPr="0029147B">
              <w:rPr>
                <w:rFonts w:asciiTheme="majorHAnsi" w:eastAsia="Calibri" w:hAnsiTheme="majorHAnsi" w:cstheme="majorHAnsi"/>
                <w:color w:val="auto"/>
                <w:sz w:val="20"/>
                <w:szCs w:val="20"/>
              </w:rPr>
              <w:t>Adduction (</w:t>
            </w:r>
            <w:r w:rsidR="00273212" w:rsidRPr="0029147B">
              <w:rPr>
                <w:rFonts w:asciiTheme="majorHAnsi" w:eastAsia="Calibri" w:hAnsiTheme="majorHAnsi" w:cstheme="majorHAnsi"/>
                <w:color w:val="auto"/>
                <w:sz w:val="20"/>
                <w:szCs w:val="20"/>
              </w:rPr>
              <w:t>45⁰)</w:t>
            </w:r>
          </w:p>
        </w:tc>
        <w:tc>
          <w:tcPr>
            <w:tcW w:w="1469" w:type="dxa"/>
            <w:tcBorders>
              <w:right w:val="single" w:sz="4" w:space="0" w:color="auto"/>
            </w:tcBorders>
            <w:vAlign w:val="center"/>
          </w:tcPr>
          <w:p w:rsidR="00273212" w:rsidRPr="0029147B" w:rsidRDefault="0029147B" w:rsidP="0029147B">
            <w:pPr>
              <w:spacing w:line="220" w:lineRule="exact"/>
              <w:rPr>
                <w:color w:val="000000"/>
                <w:sz w:val="20"/>
                <w:szCs w:val="20"/>
              </w:rPr>
            </w:pPr>
            <w:r>
              <w:rPr>
                <w:color w:val="000000"/>
                <w:sz w:val="20"/>
                <w:szCs w:val="20"/>
              </w:rPr>
              <w:t>-</w:t>
            </w:r>
          </w:p>
        </w:tc>
        <w:tc>
          <w:tcPr>
            <w:tcW w:w="1350" w:type="dxa"/>
            <w:tcBorders>
              <w:left w:val="single" w:sz="4" w:space="0" w:color="auto"/>
            </w:tcBorders>
            <w:vAlign w:val="center"/>
          </w:tcPr>
          <w:p w:rsidR="00273212" w:rsidRPr="0029147B" w:rsidRDefault="0029147B" w:rsidP="0029147B">
            <w:pPr>
              <w:spacing w:line="220" w:lineRule="exact"/>
              <w:rPr>
                <w:color w:val="000000"/>
                <w:sz w:val="20"/>
                <w:szCs w:val="20"/>
              </w:rPr>
            </w:pPr>
            <w:r>
              <w:rPr>
                <w:color w:val="000000"/>
                <w:sz w:val="20"/>
                <w:szCs w:val="20"/>
              </w:rPr>
              <w:t>-</w:t>
            </w:r>
          </w:p>
        </w:tc>
        <w:tc>
          <w:tcPr>
            <w:tcW w:w="1536" w:type="dxa"/>
            <w:tcBorders>
              <w:right w:val="single" w:sz="4" w:space="0" w:color="auto"/>
            </w:tcBorders>
            <w:vAlign w:val="center"/>
          </w:tcPr>
          <w:p w:rsidR="00273212" w:rsidRPr="0029147B" w:rsidRDefault="0029147B" w:rsidP="0029147B">
            <w:pPr>
              <w:spacing w:line="220" w:lineRule="exact"/>
              <w:rPr>
                <w:color w:val="000000"/>
                <w:sz w:val="20"/>
                <w:szCs w:val="20"/>
              </w:rPr>
            </w:pPr>
            <w:r>
              <w:rPr>
                <w:color w:val="000000"/>
                <w:sz w:val="20"/>
                <w:szCs w:val="20"/>
              </w:rPr>
              <w:t>-</w:t>
            </w:r>
          </w:p>
        </w:tc>
        <w:tc>
          <w:tcPr>
            <w:tcW w:w="1048" w:type="dxa"/>
            <w:tcBorders>
              <w:left w:val="single" w:sz="4" w:space="0" w:color="auto"/>
            </w:tcBorders>
            <w:vAlign w:val="center"/>
          </w:tcPr>
          <w:p w:rsidR="00273212" w:rsidRPr="0029147B" w:rsidRDefault="0029147B" w:rsidP="0029147B">
            <w:pPr>
              <w:spacing w:line="220" w:lineRule="exact"/>
              <w:rPr>
                <w:color w:val="000000"/>
                <w:sz w:val="20"/>
                <w:szCs w:val="20"/>
              </w:rPr>
            </w:pPr>
            <w:r>
              <w:rPr>
                <w:color w:val="000000"/>
                <w:sz w:val="20"/>
                <w:szCs w:val="20"/>
              </w:rPr>
              <w:t>10⁰</w:t>
            </w:r>
          </w:p>
        </w:tc>
      </w:tr>
      <w:tr w:rsidR="00174951" w:rsidTr="00FD16A5">
        <w:trPr>
          <w:jc w:val="center"/>
        </w:trPr>
        <w:tc>
          <w:tcPr>
            <w:tcW w:w="2094" w:type="dxa"/>
            <w:vAlign w:val="center"/>
          </w:tcPr>
          <w:p w:rsidR="00174951" w:rsidRPr="0029147B" w:rsidRDefault="00174951" w:rsidP="0029147B">
            <w:pPr>
              <w:spacing w:line="220" w:lineRule="exact"/>
              <w:contextualSpacing/>
              <w:rPr>
                <w:rFonts w:asciiTheme="majorHAnsi" w:eastAsia="Calibri" w:hAnsiTheme="majorHAnsi" w:cstheme="majorHAnsi"/>
                <w:color w:val="auto"/>
                <w:sz w:val="20"/>
                <w:szCs w:val="20"/>
              </w:rPr>
            </w:pPr>
            <w:r w:rsidRPr="0029147B">
              <w:rPr>
                <w:rFonts w:asciiTheme="majorHAnsi" w:eastAsia="Calibri" w:hAnsiTheme="majorHAnsi" w:cstheme="majorHAnsi"/>
                <w:color w:val="auto"/>
                <w:sz w:val="20"/>
                <w:szCs w:val="20"/>
              </w:rPr>
              <w:t>Comments</w:t>
            </w:r>
          </w:p>
        </w:tc>
        <w:tc>
          <w:tcPr>
            <w:tcW w:w="2819" w:type="dxa"/>
            <w:gridSpan w:val="2"/>
            <w:vAlign w:val="center"/>
          </w:tcPr>
          <w:p w:rsidR="00174951" w:rsidRPr="0029147B" w:rsidRDefault="00174951" w:rsidP="0029147B">
            <w:pPr>
              <w:spacing w:line="220" w:lineRule="exact"/>
              <w:rPr>
                <w:color w:val="000000"/>
                <w:sz w:val="20"/>
                <w:szCs w:val="20"/>
              </w:rPr>
            </w:pPr>
            <w:r w:rsidRPr="0029147B">
              <w:rPr>
                <w:color w:val="000000"/>
                <w:sz w:val="20"/>
                <w:szCs w:val="20"/>
              </w:rPr>
              <w:t>“decreased due to severe pain”</w:t>
            </w:r>
          </w:p>
        </w:tc>
        <w:tc>
          <w:tcPr>
            <w:tcW w:w="2584" w:type="dxa"/>
            <w:gridSpan w:val="2"/>
            <w:vAlign w:val="center"/>
          </w:tcPr>
          <w:p w:rsidR="00174951" w:rsidRPr="0029147B" w:rsidRDefault="00174951" w:rsidP="0029147B">
            <w:pPr>
              <w:spacing w:line="220" w:lineRule="exact"/>
              <w:rPr>
                <w:color w:val="000000"/>
                <w:sz w:val="20"/>
                <w:szCs w:val="20"/>
              </w:rPr>
            </w:pPr>
            <w:r w:rsidRPr="0029147B">
              <w:rPr>
                <w:color w:val="000000"/>
                <w:sz w:val="20"/>
                <w:szCs w:val="20"/>
              </w:rPr>
              <w:t>Guarding; “pain throughout”</w:t>
            </w:r>
          </w:p>
        </w:tc>
      </w:tr>
      <w:tr w:rsidR="0029147B" w:rsidTr="00FD16A5">
        <w:trPr>
          <w:jc w:val="center"/>
        </w:trPr>
        <w:tc>
          <w:tcPr>
            <w:tcW w:w="2094" w:type="dxa"/>
            <w:tcBorders>
              <w:bottom w:val="single" w:sz="4" w:space="0" w:color="auto"/>
            </w:tcBorders>
            <w:vAlign w:val="center"/>
          </w:tcPr>
          <w:p w:rsidR="00273212" w:rsidRPr="0029147B" w:rsidRDefault="00273212" w:rsidP="0029147B">
            <w:pPr>
              <w:spacing w:line="220" w:lineRule="exact"/>
              <w:rPr>
                <w:color w:val="000000"/>
                <w:sz w:val="20"/>
                <w:szCs w:val="20"/>
              </w:rPr>
            </w:pPr>
            <w:r w:rsidRPr="0029147B">
              <w:rPr>
                <w:rFonts w:asciiTheme="majorHAnsi" w:eastAsiaTheme="minorHAnsi" w:hAnsiTheme="majorHAnsi" w:cstheme="majorHAnsi"/>
                <w:color w:val="auto"/>
                <w:sz w:val="20"/>
                <w:szCs w:val="20"/>
              </w:rPr>
              <w:t>§4.71a Rating</w:t>
            </w:r>
            <w:r w:rsidR="00FD16A5">
              <w:rPr>
                <w:rFonts w:asciiTheme="majorHAnsi" w:eastAsiaTheme="minorHAnsi" w:hAnsiTheme="majorHAnsi" w:cstheme="majorHAnsi"/>
                <w:color w:val="auto"/>
                <w:sz w:val="20"/>
                <w:szCs w:val="20"/>
              </w:rPr>
              <w:t>*</w:t>
            </w:r>
          </w:p>
        </w:tc>
        <w:tc>
          <w:tcPr>
            <w:tcW w:w="1469" w:type="dxa"/>
            <w:tcBorders>
              <w:bottom w:val="single" w:sz="4" w:space="0" w:color="auto"/>
              <w:right w:val="single" w:sz="4" w:space="0" w:color="auto"/>
            </w:tcBorders>
            <w:vAlign w:val="center"/>
          </w:tcPr>
          <w:p w:rsidR="00273212" w:rsidRPr="0029147B" w:rsidRDefault="00FD16A5" w:rsidP="0029147B">
            <w:pPr>
              <w:spacing w:line="220" w:lineRule="exact"/>
              <w:rPr>
                <w:color w:val="000000"/>
                <w:sz w:val="20"/>
                <w:szCs w:val="20"/>
              </w:rPr>
            </w:pPr>
            <w:r>
              <w:rPr>
                <w:color w:val="000000"/>
                <w:sz w:val="20"/>
                <w:szCs w:val="20"/>
              </w:rPr>
              <w:t>10%</w:t>
            </w:r>
          </w:p>
        </w:tc>
        <w:tc>
          <w:tcPr>
            <w:tcW w:w="1350" w:type="dxa"/>
            <w:tcBorders>
              <w:left w:val="single" w:sz="4" w:space="0" w:color="auto"/>
              <w:bottom w:val="single" w:sz="4" w:space="0" w:color="auto"/>
            </w:tcBorders>
            <w:vAlign w:val="center"/>
          </w:tcPr>
          <w:p w:rsidR="00273212" w:rsidRPr="0029147B" w:rsidRDefault="00FD16A5" w:rsidP="0029147B">
            <w:pPr>
              <w:spacing w:line="220" w:lineRule="exact"/>
              <w:rPr>
                <w:color w:val="000000"/>
                <w:sz w:val="20"/>
                <w:szCs w:val="20"/>
              </w:rPr>
            </w:pPr>
            <w:r>
              <w:rPr>
                <w:color w:val="000000"/>
                <w:sz w:val="20"/>
                <w:szCs w:val="20"/>
              </w:rPr>
              <w:t>10%</w:t>
            </w:r>
          </w:p>
        </w:tc>
        <w:tc>
          <w:tcPr>
            <w:tcW w:w="1536" w:type="dxa"/>
            <w:tcBorders>
              <w:bottom w:val="single" w:sz="4" w:space="0" w:color="auto"/>
              <w:right w:val="single" w:sz="4" w:space="0" w:color="auto"/>
            </w:tcBorders>
            <w:vAlign w:val="center"/>
          </w:tcPr>
          <w:p w:rsidR="00273212" w:rsidRPr="0029147B" w:rsidRDefault="0029147B" w:rsidP="0029147B">
            <w:pPr>
              <w:spacing w:line="220" w:lineRule="exact"/>
              <w:rPr>
                <w:color w:val="000000"/>
                <w:sz w:val="20"/>
                <w:szCs w:val="20"/>
              </w:rPr>
            </w:pPr>
            <w:r>
              <w:rPr>
                <w:color w:val="000000"/>
                <w:sz w:val="20"/>
                <w:szCs w:val="20"/>
              </w:rPr>
              <w:t>-</w:t>
            </w:r>
          </w:p>
        </w:tc>
        <w:tc>
          <w:tcPr>
            <w:tcW w:w="1048" w:type="dxa"/>
            <w:tcBorders>
              <w:left w:val="single" w:sz="4" w:space="0" w:color="auto"/>
              <w:bottom w:val="single" w:sz="4" w:space="0" w:color="auto"/>
            </w:tcBorders>
            <w:vAlign w:val="center"/>
          </w:tcPr>
          <w:p w:rsidR="00273212" w:rsidRPr="0029147B" w:rsidRDefault="00FD16A5" w:rsidP="0029147B">
            <w:pPr>
              <w:spacing w:line="220" w:lineRule="exact"/>
              <w:rPr>
                <w:color w:val="000000"/>
                <w:sz w:val="20"/>
                <w:szCs w:val="20"/>
              </w:rPr>
            </w:pPr>
            <w:r>
              <w:rPr>
                <w:color w:val="000000"/>
                <w:sz w:val="20"/>
                <w:szCs w:val="20"/>
              </w:rPr>
              <w:t>10%</w:t>
            </w:r>
          </w:p>
        </w:tc>
      </w:tr>
    </w:tbl>
    <w:p w:rsidR="005A373C" w:rsidRPr="00FD16A5" w:rsidRDefault="00FD16A5" w:rsidP="00B22D42">
      <w:pPr>
        <w:jc w:val="both"/>
        <w:rPr>
          <w:color w:val="000000"/>
          <w:sz w:val="20"/>
        </w:rPr>
      </w:pPr>
      <w:r>
        <w:rPr>
          <w:color w:val="000000"/>
          <w:sz w:val="20"/>
        </w:rPr>
        <w:tab/>
        <w:t xml:space="preserve">    *</w:t>
      </w:r>
      <w:r w:rsidR="002D1747">
        <w:rPr>
          <w:color w:val="000000"/>
          <w:sz w:val="20"/>
        </w:rPr>
        <w:t xml:space="preserve"> IAW §4.59 (painful motion); no</w:t>
      </w:r>
      <w:r>
        <w:rPr>
          <w:color w:val="000000"/>
          <w:sz w:val="20"/>
        </w:rPr>
        <w:t xml:space="preserve"> compensable ROM limitations.</w:t>
      </w:r>
    </w:p>
    <w:p w:rsidR="0061336A" w:rsidRDefault="0061336A" w:rsidP="00B22D42">
      <w:pPr>
        <w:jc w:val="both"/>
        <w:rPr>
          <w:color w:val="000000"/>
        </w:rPr>
      </w:pPr>
    </w:p>
    <w:p w:rsidR="005452F7" w:rsidRPr="00792790" w:rsidRDefault="00F860C7" w:rsidP="007F7E2B">
      <w:pPr>
        <w:tabs>
          <w:tab w:val="left" w:pos="288"/>
          <w:tab w:val="left" w:pos="4752"/>
        </w:tabs>
        <w:jc w:val="both"/>
        <w:rPr>
          <w:rFonts w:eastAsia="Calibri" w:cs="Times New Roman"/>
          <w:color w:val="auto"/>
          <w:szCs w:val="24"/>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001547AC" w:rsidRPr="001547AC">
        <w:rPr>
          <w:rFonts w:cs="Times New Roman"/>
          <w:color w:val="auto"/>
        </w:rPr>
        <w:t>IAW VASRD §4.7 (higher of two evaluations), the Board must consider separate ratings for PEB bilateral joint adjudications; although, separate fitness assessments must justify each disability rating.</w:t>
      </w:r>
      <w:r w:rsidR="001547AC">
        <w:rPr>
          <w:rFonts w:cs="Times New Roman"/>
          <w:color w:val="auto"/>
        </w:rPr>
        <w:t xml:space="preserve">  There is a good argument to be made from the above evidence that the left hip was not independently unfitting, especially since the clinical pathology was confined to the right pubic girdle; but, rather that is was unfitting only in concert with </w:t>
      </w:r>
      <w:r w:rsidR="000222C9">
        <w:rPr>
          <w:rFonts w:cs="Times New Roman"/>
          <w:color w:val="auto"/>
        </w:rPr>
        <w:t>the clinically implicated right hip (combined effect).  It must be noted, ho</w:t>
      </w:r>
      <w:r w:rsidR="002D1747">
        <w:rPr>
          <w:rFonts w:cs="Times New Roman"/>
          <w:color w:val="auto"/>
        </w:rPr>
        <w:t xml:space="preserve">wever, that a bilateral rating greater than </w:t>
      </w:r>
      <w:r w:rsidR="000222C9">
        <w:rPr>
          <w:rFonts w:cs="Times New Roman"/>
          <w:color w:val="auto"/>
        </w:rPr>
        <w:t>10% is not VASRD compliant</w:t>
      </w:r>
      <w:r w:rsidR="00D50847">
        <w:rPr>
          <w:rFonts w:cs="Times New Roman"/>
          <w:color w:val="auto"/>
        </w:rPr>
        <w:t xml:space="preserve"> in this case</w:t>
      </w:r>
      <w:r w:rsidR="000222C9">
        <w:rPr>
          <w:rFonts w:cs="Times New Roman"/>
          <w:color w:val="auto"/>
        </w:rPr>
        <w:t xml:space="preserve">.  The PEB’s rating of 20% was derived from the pain criteria of the USAPDA pain policy.  The VA rating decision </w:t>
      </w:r>
      <w:r w:rsidR="00D50847">
        <w:rPr>
          <w:rFonts w:cs="Times New Roman"/>
          <w:color w:val="auto"/>
        </w:rPr>
        <w:t>(VARD) invoked Service evidence</w:t>
      </w:r>
      <w:r w:rsidR="000222C9">
        <w:rPr>
          <w:rFonts w:cs="Times New Roman"/>
          <w:color w:val="auto"/>
        </w:rPr>
        <w:t xml:space="preserve"> to justify a bilateral rating</w:t>
      </w:r>
      <w:r w:rsidR="001F693A">
        <w:rPr>
          <w:rFonts w:cs="Times New Roman"/>
          <w:color w:val="auto"/>
        </w:rPr>
        <w:t>,</w:t>
      </w:r>
      <w:r w:rsidR="000222C9">
        <w:rPr>
          <w:rFonts w:cs="Times New Roman"/>
          <w:color w:val="auto"/>
        </w:rPr>
        <w:t xml:space="preserve"> </w:t>
      </w:r>
      <w:r w:rsidR="001F693A">
        <w:rPr>
          <w:rFonts w:cs="Times New Roman"/>
          <w:color w:val="auto"/>
        </w:rPr>
        <w:t>and only a</w:t>
      </w:r>
      <w:r w:rsidR="000222C9">
        <w:rPr>
          <w:rFonts w:cs="Times New Roman"/>
          <w:color w:val="auto"/>
        </w:rPr>
        <w:t xml:space="preserve"> right hip rating</w:t>
      </w:r>
      <w:r w:rsidR="001F693A">
        <w:rPr>
          <w:rFonts w:cs="Times New Roman"/>
          <w:color w:val="auto"/>
        </w:rPr>
        <w:t xml:space="preserve"> </w:t>
      </w:r>
      <w:r w:rsidR="00D50847">
        <w:rPr>
          <w:rFonts w:cs="Times New Roman"/>
          <w:color w:val="auto"/>
        </w:rPr>
        <w:t>could have been derived from the C&amp;P examination</w:t>
      </w:r>
      <w:r w:rsidR="000222C9">
        <w:rPr>
          <w:rFonts w:cs="Times New Roman"/>
          <w:color w:val="auto"/>
        </w:rPr>
        <w:t xml:space="preserve">.  Furthermore, the VARD cited the criteria for a 20% rating under 5003 (degenerative arthritis) which stipulates “2 or more major joints … </w:t>
      </w:r>
      <w:r w:rsidR="000222C9" w:rsidRPr="000222C9">
        <w:rPr>
          <w:color w:val="000000"/>
        </w:rPr>
        <w:t>with occasional incapacitating exacerbations</w:t>
      </w:r>
      <w:r w:rsidR="000222C9">
        <w:rPr>
          <w:rFonts w:cs="Times New Roman"/>
          <w:color w:val="auto"/>
        </w:rPr>
        <w:t>.</w:t>
      </w:r>
      <w:r w:rsidR="00655A5B">
        <w:rPr>
          <w:rFonts w:cs="Times New Roman"/>
          <w:color w:val="auto"/>
        </w:rPr>
        <w:t>”</w:t>
      </w:r>
      <w:r w:rsidR="000222C9">
        <w:rPr>
          <w:rFonts w:cs="Times New Roman"/>
          <w:color w:val="auto"/>
        </w:rPr>
        <w:t xml:space="preserve">  The Board can find no Service evidence for incapacitation (as defined by the VASRD); and, </w:t>
      </w:r>
      <w:r w:rsidR="00D50847">
        <w:rPr>
          <w:rFonts w:cs="Times New Roman"/>
          <w:color w:val="auto"/>
        </w:rPr>
        <w:t>two separate</w:t>
      </w:r>
      <w:r w:rsidR="000222C9">
        <w:rPr>
          <w:rFonts w:cs="Times New Roman"/>
          <w:color w:val="auto"/>
        </w:rPr>
        <w:t xml:space="preserve"> C</w:t>
      </w:r>
      <w:r w:rsidR="00D50847">
        <w:rPr>
          <w:rFonts w:cs="Times New Roman"/>
          <w:color w:val="auto"/>
        </w:rPr>
        <w:t>&amp;P entries specifically exclude</w:t>
      </w:r>
      <w:r w:rsidR="000222C9">
        <w:rPr>
          <w:rFonts w:cs="Times New Roman"/>
          <w:color w:val="auto"/>
        </w:rPr>
        <w:t xml:space="preserve"> this criterion.  </w:t>
      </w:r>
      <w:r w:rsidR="00962736">
        <w:rPr>
          <w:rFonts w:cs="Times New Roman"/>
          <w:color w:val="auto"/>
        </w:rPr>
        <w:t>Therefore a bilateral rating under 5003 (for which there was</w:t>
      </w:r>
      <w:r w:rsidR="00D50847">
        <w:rPr>
          <w:rFonts w:cs="Times New Roman"/>
          <w:color w:val="auto"/>
        </w:rPr>
        <w:t>, incidentally,</w:t>
      </w:r>
      <w:r w:rsidR="00962736">
        <w:rPr>
          <w:rFonts w:cs="Times New Roman"/>
          <w:color w:val="auto"/>
        </w:rPr>
        <w:t xml:space="preserve"> no x-ray confirmation) would only meet the 10% criteria.  </w:t>
      </w:r>
      <w:r w:rsidR="000222C9">
        <w:rPr>
          <w:rFonts w:cs="Times New Roman"/>
          <w:color w:val="auto"/>
        </w:rPr>
        <w:lastRenderedPageBreak/>
        <w:t xml:space="preserve">Since the Board is bound by DoDI 6040.44 to comply with the VASRD in effect, and may not lower the PEB’s combined rating; </w:t>
      </w:r>
      <w:r w:rsidR="00962736">
        <w:rPr>
          <w:rFonts w:cs="Times New Roman"/>
          <w:color w:val="auto"/>
        </w:rPr>
        <w:t>members agreed that separate joint ratings, irrespective of fitness considerations, was the obligated recommendation.  Although the overall disabil</w:t>
      </w:r>
      <w:r w:rsidR="00B0659F">
        <w:rPr>
          <w:rFonts w:cs="Times New Roman"/>
          <w:color w:val="auto"/>
        </w:rPr>
        <w:t>ity is significant in this case, there is no VASRD compliant pathway to a rating higher than 10%</w:t>
      </w:r>
      <w:r w:rsidR="00D50847">
        <w:rPr>
          <w:rFonts w:cs="Times New Roman"/>
          <w:color w:val="auto"/>
        </w:rPr>
        <w:t xml:space="preserve"> for each hip joint</w:t>
      </w:r>
      <w:r w:rsidR="00B0659F">
        <w:rPr>
          <w:rFonts w:cs="Times New Roman"/>
          <w:color w:val="auto"/>
        </w:rPr>
        <w:t>.  G</w:t>
      </w:r>
      <w:r w:rsidR="00962736">
        <w:rPr>
          <w:rFonts w:cs="Times New Roman"/>
          <w:color w:val="auto"/>
        </w:rPr>
        <w:t xml:space="preserve">iven the lack of compensable ROM limitations </w:t>
      </w:r>
      <w:r w:rsidR="00B0659F">
        <w:rPr>
          <w:rFonts w:cs="Times New Roman"/>
          <w:color w:val="auto"/>
        </w:rPr>
        <w:t>under the hip ROM codes</w:t>
      </w:r>
      <w:r w:rsidR="00962736">
        <w:rPr>
          <w:rFonts w:cs="Times New Roman"/>
          <w:color w:val="auto"/>
        </w:rPr>
        <w:t xml:space="preserve">, </w:t>
      </w:r>
      <w:r w:rsidR="00B0659F">
        <w:rPr>
          <w:rFonts w:cs="Times New Roman"/>
          <w:color w:val="auto"/>
        </w:rPr>
        <w:t xml:space="preserve">there are no available joint codes under VASRD §4.71a which provide for a rating greater than 0%; barring application </w:t>
      </w:r>
      <w:r w:rsidR="00D50847">
        <w:rPr>
          <w:rFonts w:cs="Times New Roman"/>
          <w:color w:val="auto"/>
        </w:rPr>
        <w:t xml:space="preserve">of </w:t>
      </w:r>
      <w:r w:rsidR="00B0659F" w:rsidRPr="00B0659F">
        <w:rPr>
          <w:rFonts w:cs="Times New Roman"/>
          <w:color w:val="auto"/>
        </w:rPr>
        <w:t>VASRD §4.59 (painful motion) or §4.40 (functional loss) to achieve the minimum compensable rating of 10%.</w:t>
      </w:r>
      <w:r w:rsidR="00EC26F4" w:rsidRPr="00EC26F4">
        <w:rPr>
          <w:rFonts w:eastAsia="Calibri" w:cs="Times New Roman"/>
          <w:color w:val="auto"/>
          <w:szCs w:val="24"/>
        </w:rPr>
        <w:t xml:space="preserve"> </w:t>
      </w:r>
      <w:r w:rsidR="00EC26F4">
        <w:rPr>
          <w:rFonts w:eastAsia="Calibri" w:cs="Times New Roman"/>
          <w:color w:val="auto"/>
          <w:szCs w:val="24"/>
        </w:rPr>
        <w:t xml:space="preserve"> </w:t>
      </w:r>
      <w:r w:rsidR="00D50847">
        <w:rPr>
          <w:rFonts w:eastAsia="Calibri" w:cs="Times New Roman"/>
          <w:color w:val="auto"/>
          <w:szCs w:val="24"/>
        </w:rPr>
        <w:t xml:space="preserve">There is, however, sufficient evidence </w:t>
      </w:r>
      <w:r w:rsidR="00CC5DBC">
        <w:rPr>
          <w:rFonts w:eastAsia="Calibri" w:cs="Times New Roman"/>
          <w:color w:val="auto"/>
          <w:szCs w:val="24"/>
        </w:rPr>
        <w:t>to support application of</w:t>
      </w:r>
      <w:r w:rsidR="00D50847">
        <w:rPr>
          <w:rFonts w:eastAsia="Calibri" w:cs="Times New Roman"/>
          <w:color w:val="auto"/>
          <w:szCs w:val="24"/>
        </w:rPr>
        <w:t xml:space="preserve"> either §4.59 or §4.40 </w:t>
      </w:r>
      <w:r w:rsidR="00CC5DBC">
        <w:rPr>
          <w:rFonts w:eastAsia="Calibri" w:cs="Times New Roman"/>
          <w:color w:val="auto"/>
          <w:szCs w:val="24"/>
        </w:rPr>
        <w:t>to achieve separate 10% ratings.</w:t>
      </w:r>
      <w:r w:rsidR="00D50847">
        <w:rPr>
          <w:rFonts w:eastAsia="Calibri" w:cs="Times New Roman"/>
          <w:color w:val="auto"/>
          <w:szCs w:val="24"/>
        </w:rPr>
        <w:t xml:space="preserve"> </w:t>
      </w:r>
      <w:r w:rsidR="00CC5DBC">
        <w:rPr>
          <w:rFonts w:eastAsia="Calibri" w:cs="Times New Roman"/>
          <w:color w:val="auto"/>
          <w:szCs w:val="24"/>
        </w:rPr>
        <w:t xml:space="preserve"> </w:t>
      </w:r>
      <w:r w:rsidR="00EC26F4" w:rsidRPr="00241B01">
        <w:rPr>
          <w:rFonts w:eastAsia="Calibri" w:cs="Times New Roman"/>
          <w:color w:val="auto"/>
          <w:szCs w:val="24"/>
        </w:rPr>
        <w:t xml:space="preserve">After due deliberation, considering all of the evidence and mindful of VASRD §4.3 (reasonable doubt), the Board recommends </w:t>
      </w:r>
      <w:r w:rsidR="00EC26F4">
        <w:rPr>
          <w:rFonts w:eastAsia="Calibri" w:cs="Times New Roman"/>
          <w:color w:val="auto"/>
          <w:szCs w:val="24"/>
        </w:rPr>
        <w:t>separate</w:t>
      </w:r>
      <w:r w:rsidR="00EC26F4" w:rsidRPr="00241B01">
        <w:rPr>
          <w:rFonts w:eastAsia="Calibri" w:cs="Times New Roman"/>
          <w:color w:val="auto"/>
          <w:szCs w:val="24"/>
        </w:rPr>
        <w:t xml:space="preserve"> disability rating</w:t>
      </w:r>
      <w:r w:rsidR="00EC26F4">
        <w:rPr>
          <w:rFonts w:eastAsia="Calibri" w:cs="Times New Roman"/>
          <w:color w:val="auto"/>
          <w:szCs w:val="24"/>
        </w:rPr>
        <w:t>s</w:t>
      </w:r>
      <w:r w:rsidR="00EC26F4" w:rsidRPr="00241B01">
        <w:rPr>
          <w:rFonts w:eastAsia="Calibri" w:cs="Times New Roman"/>
          <w:color w:val="auto"/>
          <w:szCs w:val="24"/>
        </w:rPr>
        <w:t xml:space="preserve"> of </w:t>
      </w:r>
      <w:r w:rsidR="00EC26F4">
        <w:rPr>
          <w:rFonts w:eastAsia="Calibri" w:cs="Times New Roman"/>
          <w:color w:val="auto"/>
          <w:szCs w:val="24"/>
        </w:rPr>
        <w:t>1</w:t>
      </w:r>
      <w:r w:rsidR="00EC26F4" w:rsidRPr="00241B01">
        <w:rPr>
          <w:rFonts w:eastAsia="Calibri" w:cs="Times New Roman"/>
          <w:color w:val="auto"/>
          <w:szCs w:val="24"/>
        </w:rPr>
        <w:t xml:space="preserve">0% </w:t>
      </w:r>
      <w:r w:rsidR="00EC26F4">
        <w:rPr>
          <w:rFonts w:eastAsia="Calibri" w:cs="Times New Roman"/>
          <w:color w:val="auto"/>
          <w:szCs w:val="24"/>
        </w:rPr>
        <w:t xml:space="preserve">each for </w:t>
      </w:r>
      <w:r w:rsidR="00CC5DBC">
        <w:rPr>
          <w:rFonts w:eastAsia="Calibri" w:cs="Times New Roman"/>
          <w:color w:val="auto"/>
          <w:szCs w:val="24"/>
        </w:rPr>
        <w:t xml:space="preserve">the </w:t>
      </w:r>
      <w:r w:rsidR="00EC26F4">
        <w:rPr>
          <w:rFonts w:eastAsia="Calibri" w:cs="Times New Roman"/>
          <w:color w:val="auto"/>
          <w:szCs w:val="24"/>
        </w:rPr>
        <w:t xml:space="preserve">left and right hips.  </w:t>
      </w:r>
      <w:r w:rsidR="00EC26F4" w:rsidRPr="00EC26F4">
        <w:rPr>
          <w:rFonts w:eastAsia="Calibri" w:cs="Times New Roman"/>
          <w:color w:val="auto"/>
          <w:szCs w:val="24"/>
        </w:rPr>
        <w:t xml:space="preserve">The </w:t>
      </w:r>
      <w:r w:rsidR="00641B8A">
        <w:rPr>
          <w:rFonts w:eastAsia="Calibri" w:cs="Times New Roman"/>
          <w:color w:val="auto"/>
          <w:szCs w:val="24"/>
        </w:rPr>
        <w:t>a</w:t>
      </w:r>
      <w:r w:rsidR="00EC26F4" w:rsidRPr="00EC26F4">
        <w:rPr>
          <w:rFonts w:eastAsia="Calibri" w:cs="Times New Roman"/>
          <w:color w:val="auto"/>
          <w:szCs w:val="24"/>
        </w:rPr>
        <w:t xml:space="preserve">ction </w:t>
      </w:r>
      <w:r w:rsidR="00641B8A">
        <w:rPr>
          <w:rFonts w:eastAsia="Calibri" w:cs="Times New Roman"/>
          <w:color w:val="auto"/>
          <w:szCs w:val="24"/>
        </w:rPr>
        <w:t>o</w:t>
      </w:r>
      <w:r w:rsidR="00EC26F4" w:rsidRPr="00EC26F4">
        <w:rPr>
          <w:rFonts w:eastAsia="Calibri" w:cs="Times New Roman"/>
          <w:color w:val="auto"/>
          <w:szCs w:val="24"/>
        </w:rPr>
        <w:t>fficer recommended, and the Board concurred with, the code 5099-</w:t>
      </w:r>
      <w:r w:rsidR="00EC26F4" w:rsidRPr="00EC26F4">
        <w:rPr>
          <w:color w:val="auto"/>
        </w:rPr>
        <w:t>5022 (periostitis)</w:t>
      </w:r>
      <w:r w:rsidR="00EC26F4">
        <w:t xml:space="preserve"> </w:t>
      </w:r>
      <w:r w:rsidR="00EC26F4" w:rsidRPr="00EC26F4">
        <w:rPr>
          <w:rFonts w:eastAsia="Calibri" w:cs="Times New Roman"/>
          <w:color w:val="auto"/>
          <w:szCs w:val="24"/>
        </w:rPr>
        <w:t xml:space="preserve">for </w:t>
      </w:r>
      <w:r w:rsidR="00EC26F4">
        <w:rPr>
          <w:rFonts w:eastAsia="Calibri" w:cs="Times New Roman"/>
          <w:color w:val="auto"/>
          <w:szCs w:val="24"/>
        </w:rPr>
        <w:t xml:space="preserve">the right hip and </w:t>
      </w:r>
      <w:r w:rsidR="00AD010A">
        <w:rPr>
          <w:rFonts w:eastAsia="Calibri" w:cs="Times New Roman"/>
          <w:color w:val="auto"/>
          <w:szCs w:val="24"/>
        </w:rPr>
        <w:t xml:space="preserve">code </w:t>
      </w:r>
      <w:r w:rsidR="00EC26F4">
        <w:rPr>
          <w:rFonts w:eastAsia="Calibri" w:cs="Times New Roman"/>
          <w:color w:val="auto"/>
          <w:szCs w:val="24"/>
        </w:rPr>
        <w:t>5099-</w:t>
      </w:r>
      <w:r w:rsidR="00EC26F4" w:rsidRPr="00EC26F4">
        <w:rPr>
          <w:rFonts w:eastAsia="Calibri" w:cs="Times New Roman"/>
          <w:color w:val="auto"/>
          <w:szCs w:val="24"/>
        </w:rPr>
        <w:t>5024 (tenosynovitis)</w:t>
      </w:r>
      <w:r w:rsidR="00EC26F4">
        <w:rPr>
          <w:rFonts w:eastAsia="Calibri" w:cs="Times New Roman"/>
          <w:color w:val="auto"/>
          <w:szCs w:val="24"/>
        </w:rPr>
        <w:t xml:space="preserve"> for </w:t>
      </w:r>
      <w:r w:rsidR="00AD010A">
        <w:rPr>
          <w:rFonts w:eastAsia="Calibri" w:cs="Times New Roman"/>
          <w:color w:val="auto"/>
          <w:szCs w:val="24"/>
        </w:rPr>
        <w:t>the left hip</w:t>
      </w:r>
      <w:r w:rsidR="00EC26F4" w:rsidRPr="00EC26F4">
        <w:rPr>
          <w:rFonts w:eastAsia="Calibri" w:cs="Times New Roman"/>
          <w:color w:val="auto"/>
          <w:szCs w:val="24"/>
        </w:rPr>
        <w:t>.</w:t>
      </w:r>
      <w:r w:rsidR="00EC26F4">
        <w:rPr>
          <w:rFonts w:eastAsia="Calibri" w:cs="Times New Roman"/>
          <w:color w:val="auto"/>
          <w:szCs w:val="24"/>
        </w:rPr>
        <w:t xml:space="preserve">  </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6C3C98" w:rsidRPr="00560F12" w:rsidRDefault="00AD2379" w:rsidP="006C3C98">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7F7E2B" w:rsidRPr="00241B01">
        <w:rPr>
          <w:rFonts w:eastAsia="Calibri" w:cs="Times New Roman"/>
          <w:color w:val="auto"/>
          <w:szCs w:val="24"/>
        </w:rPr>
        <w:t xml:space="preserve">As discussed above, PEB reliance on the USAPDA pain policy </w:t>
      </w:r>
      <w:r w:rsidR="007F7E2B" w:rsidRPr="00DF0652">
        <w:rPr>
          <w:rFonts w:eastAsia="Calibri" w:cs="Times New Roman"/>
          <w:color w:val="auto"/>
          <w:szCs w:val="24"/>
        </w:rPr>
        <w:t xml:space="preserve">for rating the bilateral hip condition was operant in this case; and it was adjudicated independently of that policy by the Board. </w:t>
      </w:r>
      <w:r w:rsidR="00CC5DBC" w:rsidRPr="00DF0652">
        <w:rPr>
          <w:rFonts w:eastAsia="Calibri" w:cs="Times New Roman"/>
          <w:color w:val="auto"/>
          <w:szCs w:val="24"/>
        </w:rPr>
        <w:t xml:space="preserve"> In the matter of the bilateral hip condition, the Board unanimously recommends that it be rated as two separate conditions:  the right hip coded 5099-</w:t>
      </w:r>
      <w:r w:rsidR="00CC5DBC" w:rsidRPr="00DF0652">
        <w:rPr>
          <w:color w:val="auto"/>
        </w:rPr>
        <w:t xml:space="preserve">5022 </w:t>
      </w:r>
      <w:r w:rsidR="00CC5DBC" w:rsidRPr="00DF0652">
        <w:rPr>
          <w:rFonts w:eastAsia="Calibri" w:cs="Times New Roman"/>
          <w:color w:val="auto"/>
          <w:szCs w:val="24"/>
        </w:rPr>
        <w:t>with a</w:t>
      </w:r>
      <w:r w:rsidR="00CC5DBC">
        <w:rPr>
          <w:rFonts w:eastAsia="Calibri" w:cs="Times New Roman"/>
          <w:color w:val="auto"/>
          <w:szCs w:val="24"/>
        </w:rPr>
        <w:t xml:space="preserve"> disability rating of</w:t>
      </w:r>
      <w:r w:rsidR="00CC5DBC" w:rsidRPr="00CC5DBC">
        <w:rPr>
          <w:rFonts w:eastAsia="Calibri" w:cs="Times New Roman"/>
          <w:color w:val="auto"/>
          <w:szCs w:val="24"/>
        </w:rPr>
        <w:t xml:space="preserve"> </w:t>
      </w:r>
      <w:r w:rsidR="00CC5DBC">
        <w:rPr>
          <w:rFonts w:eastAsia="Calibri" w:cs="Times New Roman"/>
          <w:color w:val="auto"/>
          <w:szCs w:val="24"/>
        </w:rPr>
        <w:t>1</w:t>
      </w:r>
      <w:r w:rsidR="00CC5DBC" w:rsidRPr="00CC5DBC">
        <w:rPr>
          <w:rFonts w:eastAsia="Calibri" w:cs="Times New Roman"/>
          <w:color w:val="auto"/>
          <w:szCs w:val="24"/>
        </w:rPr>
        <w:t xml:space="preserve">0%; </w:t>
      </w:r>
      <w:r w:rsidR="00CC5DBC">
        <w:rPr>
          <w:rFonts w:eastAsia="Calibri" w:cs="Times New Roman"/>
          <w:color w:val="auto"/>
          <w:szCs w:val="24"/>
        </w:rPr>
        <w:t>and, the left hip</w:t>
      </w:r>
      <w:r w:rsidR="00CC5DBC" w:rsidRPr="00CC5DBC">
        <w:rPr>
          <w:rFonts w:eastAsia="Calibri" w:cs="Times New Roman"/>
          <w:color w:val="auto"/>
          <w:szCs w:val="24"/>
        </w:rPr>
        <w:t xml:space="preserve"> coded </w:t>
      </w:r>
      <w:r w:rsidR="00CC5DBC" w:rsidRPr="00EC26F4">
        <w:rPr>
          <w:rFonts w:eastAsia="Calibri" w:cs="Times New Roman"/>
          <w:color w:val="auto"/>
          <w:szCs w:val="24"/>
        </w:rPr>
        <w:t>5099-</w:t>
      </w:r>
      <w:r w:rsidR="00CC5DBC">
        <w:rPr>
          <w:color w:val="auto"/>
        </w:rPr>
        <w:t>5024</w:t>
      </w:r>
      <w:r w:rsidR="00CC5DBC" w:rsidRPr="00EC26F4">
        <w:rPr>
          <w:color w:val="auto"/>
        </w:rPr>
        <w:t xml:space="preserve"> </w:t>
      </w:r>
      <w:r w:rsidR="00CC5DBC" w:rsidRPr="00CC5DBC">
        <w:rPr>
          <w:rFonts w:eastAsia="Calibri" w:cs="Times New Roman"/>
          <w:color w:val="auto"/>
          <w:szCs w:val="24"/>
        </w:rPr>
        <w:t xml:space="preserve">and </w:t>
      </w:r>
      <w:r w:rsidR="00BD08E7">
        <w:rPr>
          <w:rFonts w:eastAsia="Calibri" w:cs="Times New Roman"/>
          <w:color w:val="auto"/>
          <w:szCs w:val="24"/>
        </w:rPr>
        <w:t>with a disability rating of</w:t>
      </w:r>
      <w:r w:rsidR="00BD08E7" w:rsidRPr="00CC5DBC">
        <w:rPr>
          <w:rFonts w:eastAsia="Calibri" w:cs="Times New Roman"/>
          <w:color w:val="auto"/>
          <w:szCs w:val="24"/>
        </w:rPr>
        <w:t xml:space="preserve"> </w:t>
      </w:r>
      <w:r w:rsidR="00BD08E7">
        <w:rPr>
          <w:rFonts w:eastAsia="Calibri" w:cs="Times New Roman"/>
          <w:color w:val="auto"/>
          <w:szCs w:val="24"/>
        </w:rPr>
        <w:t>1</w:t>
      </w:r>
      <w:r w:rsidR="00BD08E7" w:rsidRPr="00CC5DBC">
        <w:rPr>
          <w:rFonts w:eastAsia="Calibri" w:cs="Times New Roman"/>
          <w:color w:val="auto"/>
          <w:szCs w:val="24"/>
        </w:rPr>
        <w:t>0%</w:t>
      </w:r>
      <w:r w:rsidR="00CC5DBC" w:rsidRPr="00CC5DBC">
        <w:rPr>
          <w:rFonts w:eastAsia="Calibri" w:cs="Times New Roman"/>
          <w:color w:val="auto"/>
          <w:szCs w:val="24"/>
        </w:rPr>
        <w:t xml:space="preserve">; both IAW VASRD §4.71a.  </w:t>
      </w:r>
      <w:r w:rsidR="00BD08E7" w:rsidRPr="003471C5">
        <w:rPr>
          <w:rFonts w:eastAsia="Calibri" w:cs="Times New Roman"/>
          <w:color w:val="auto"/>
          <w:szCs w:val="24"/>
        </w:rPr>
        <w:t>There were no other conditions within the Board’s scope of review for consideration.</w:t>
      </w:r>
      <w:r w:rsidR="006C3C98">
        <w:rPr>
          <w:rFonts w:eastAsia="Calibri" w:cs="Times New Roman"/>
          <w:color w:val="auto"/>
          <w:szCs w:val="24"/>
        </w:rPr>
        <w:tab/>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65636" w:rsidRPr="00BD08E7" w:rsidRDefault="00AD2379" w:rsidP="00565636">
      <w:pPr>
        <w:jc w:val="both"/>
        <w:rPr>
          <w:color w:val="000000"/>
        </w:rPr>
      </w:pPr>
      <w:r w:rsidRPr="009A7578">
        <w:rPr>
          <w:color w:val="000000"/>
          <w:u w:val="single"/>
        </w:rPr>
        <w:t>RECOMMENDATION</w:t>
      </w:r>
      <w:r w:rsidRPr="009A7578">
        <w:rPr>
          <w:color w:val="000000"/>
        </w:rPr>
        <w:t xml:space="preserve">: </w:t>
      </w:r>
      <w:r w:rsidR="00BD08E7">
        <w:rPr>
          <w:color w:val="000000"/>
        </w:rPr>
        <w:t xml:space="preserve"> </w:t>
      </w:r>
      <w:r w:rsidR="00565636" w:rsidRPr="00565636">
        <w:rPr>
          <w:rFonts w:eastAsia="Calibri" w:cs="Times New Roman"/>
          <w:color w:val="auto"/>
          <w:szCs w:val="24"/>
        </w:rPr>
        <w:t>The Board recommends that the CI’s prior determination be modified as follows, effective as of the date of his prior medical separation</w:t>
      </w:r>
      <w:r w:rsidR="00287122">
        <w:rPr>
          <w:rFonts w:eastAsia="Calibri" w:cs="Times New Roman"/>
          <w:color w:val="auto"/>
          <w:szCs w:val="24"/>
        </w:rPr>
        <w:t>:</w:t>
      </w:r>
    </w:p>
    <w:p w:rsidR="00AD2379" w:rsidRDefault="00AD2379" w:rsidP="00BF0E94">
      <w:pPr>
        <w:jc w:val="both"/>
        <w:rPr>
          <w:color w:val="000000"/>
        </w:rPr>
      </w:pPr>
    </w:p>
    <w:tbl>
      <w:tblPr>
        <w:tblpPr w:leftFromText="187" w:rightFromText="187"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48"/>
        <w:gridCol w:w="720"/>
        <w:gridCol w:w="1530"/>
        <w:gridCol w:w="1026"/>
      </w:tblGrid>
      <w:tr w:rsidR="00071071" w:rsidRPr="000D5DBE" w:rsidTr="00AD630D">
        <w:trPr>
          <w:trHeight w:val="233"/>
        </w:trPr>
        <w:tc>
          <w:tcPr>
            <w:tcW w:w="6768" w:type="dxa"/>
            <w:gridSpan w:val="2"/>
            <w:tcBorders>
              <w:right w:val="single" w:sz="4" w:space="0" w:color="auto"/>
            </w:tcBorders>
            <w:shd w:val="clear" w:color="auto" w:fill="D9D9D9"/>
            <w:vAlign w:val="center"/>
          </w:tcPr>
          <w:p w:rsidR="00071071" w:rsidRPr="000D5DBE" w:rsidRDefault="00071071" w:rsidP="00071071">
            <w:pPr>
              <w:tabs>
                <w:tab w:val="left" w:pos="288"/>
                <w:tab w:val="left" w:pos="4752"/>
              </w:tabs>
              <w:rPr>
                <w:b/>
                <w:color w:val="000000"/>
              </w:rPr>
            </w:pPr>
            <w:r w:rsidRPr="000D5DBE">
              <w:rPr>
                <w:b/>
                <w:color w:val="000000"/>
              </w:rPr>
              <w:t>UNFITTING CONDITION</w:t>
            </w:r>
          </w:p>
        </w:tc>
        <w:tc>
          <w:tcPr>
            <w:tcW w:w="1530" w:type="dxa"/>
            <w:tcBorders>
              <w:left w:val="single" w:sz="4" w:space="0" w:color="auto"/>
            </w:tcBorders>
            <w:shd w:val="clear" w:color="auto" w:fill="D9D9D9"/>
            <w:vAlign w:val="center"/>
          </w:tcPr>
          <w:p w:rsidR="00071071" w:rsidRPr="000D5DBE" w:rsidRDefault="00071071" w:rsidP="00071071">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071071" w:rsidRPr="000D5DBE" w:rsidRDefault="00071071" w:rsidP="00071071">
            <w:pPr>
              <w:tabs>
                <w:tab w:val="left" w:pos="288"/>
                <w:tab w:val="left" w:pos="4752"/>
              </w:tabs>
              <w:rPr>
                <w:b/>
                <w:color w:val="000000"/>
              </w:rPr>
            </w:pPr>
            <w:r w:rsidRPr="000D5DBE">
              <w:rPr>
                <w:b/>
                <w:color w:val="000000"/>
              </w:rPr>
              <w:t>RATING</w:t>
            </w:r>
          </w:p>
        </w:tc>
      </w:tr>
      <w:tr w:rsidR="00071071" w:rsidRPr="000D5DBE" w:rsidTr="002C650D">
        <w:tc>
          <w:tcPr>
            <w:tcW w:w="6768" w:type="dxa"/>
            <w:gridSpan w:val="2"/>
            <w:tcBorders>
              <w:right w:val="single" w:sz="4" w:space="0" w:color="auto"/>
            </w:tcBorders>
            <w:vAlign w:val="center"/>
          </w:tcPr>
          <w:p w:rsidR="00071071" w:rsidRPr="000D5DBE" w:rsidRDefault="00B80CF0" w:rsidP="00071071">
            <w:pPr>
              <w:tabs>
                <w:tab w:val="left" w:pos="288"/>
                <w:tab w:val="left" w:pos="4752"/>
              </w:tabs>
              <w:jc w:val="left"/>
              <w:rPr>
                <w:color w:val="000000"/>
              </w:rPr>
            </w:pPr>
            <w:r>
              <w:rPr>
                <w:color w:val="000000"/>
              </w:rPr>
              <w:t>Pubis Stress Fracture, Right Hip</w:t>
            </w:r>
          </w:p>
        </w:tc>
        <w:tc>
          <w:tcPr>
            <w:tcW w:w="1530" w:type="dxa"/>
            <w:tcBorders>
              <w:left w:val="single" w:sz="4" w:space="0" w:color="auto"/>
            </w:tcBorders>
            <w:vAlign w:val="center"/>
          </w:tcPr>
          <w:p w:rsidR="00071071" w:rsidRPr="000D5DBE" w:rsidRDefault="00B80CF0" w:rsidP="00071071">
            <w:pPr>
              <w:tabs>
                <w:tab w:val="left" w:pos="288"/>
                <w:tab w:val="left" w:pos="4752"/>
              </w:tabs>
              <w:rPr>
                <w:color w:val="000000"/>
              </w:rPr>
            </w:pPr>
            <w:r w:rsidRPr="00EC26F4">
              <w:rPr>
                <w:rFonts w:eastAsia="Calibri" w:cs="Times New Roman"/>
                <w:color w:val="auto"/>
                <w:szCs w:val="24"/>
              </w:rPr>
              <w:t>5099-</w:t>
            </w:r>
            <w:r w:rsidRPr="00EC26F4">
              <w:rPr>
                <w:color w:val="auto"/>
              </w:rPr>
              <w:t>5022</w:t>
            </w:r>
          </w:p>
        </w:tc>
        <w:tc>
          <w:tcPr>
            <w:tcW w:w="1026" w:type="dxa"/>
            <w:vAlign w:val="center"/>
          </w:tcPr>
          <w:p w:rsidR="00071071" w:rsidRPr="000D5DBE" w:rsidRDefault="00B80CF0" w:rsidP="00071071">
            <w:pPr>
              <w:tabs>
                <w:tab w:val="left" w:pos="288"/>
                <w:tab w:val="left" w:pos="4752"/>
              </w:tabs>
              <w:rPr>
                <w:color w:val="000000"/>
              </w:rPr>
            </w:pPr>
            <w:r>
              <w:rPr>
                <w:color w:val="000000"/>
              </w:rPr>
              <w:t>1</w:t>
            </w:r>
            <w:r w:rsidR="00071071" w:rsidRPr="000D5DBE">
              <w:rPr>
                <w:color w:val="000000"/>
              </w:rPr>
              <w:t>0%</w:t>
            </w:r>
          </w:p>
        </w:tc>
      </w:tr>
      <w:tr w:rsidR="00BD08E7" w:rsidRPr="000D5DBE" w:rsidTr="002C650D">
        <w:tc>
          <w:tcPr>
            <w:tcW w:w="6768" w:type="dxa"/>
            <w:gridSpan w:val="2"/>
            <w:tcBorders>
              <w:right w:val="single" w:sz="4" w:space="0" w:color="auto"/>
            </w:tcBorders>
            <w:vAlign w:val="center"/>
          </w:tcPr>
          <w:p w:rsidR="00BD08E7" w:rsidRDefault="00E95FEF" w:rsidP="00071071">
            <w:pPr>
              <w:tabs>
                <w:tab w:val="left" w:pos="288"/>
                <w:tab w:val="left" w:pos="4752"/>
              </w:tabs>
              <w:jc w:val="left"/>
              <w:rPr>
                <w:color w:val="000000"/>
              </w:rPr>
            </w:pPr>
            <w:r>
              <w:rPr>
                <w:color w:val="000000"/>
              </w:rPr>
              <w:t>Contiguous Pain and Limitation of</w:t>
            </w:r>
            <w:r w:rsidR="00B80CF0">
              <w:rPr>
                <w:color w:val="000000"/>
              </w:rPr>
              <w:t xml:space="preserve"> Motion, Left Hip </w:t>
            </w:r>
          </w:p>
        </w:tc>
        <w:tc>
          <w:tcPr>
            <w:tcW w:w="1530" w:type="dxa"/>
            <w:tcBorders>
              <w:left w:val="single" w:sz="4" w:space="0" w:color="auto"/>
            </w:tcBorders>
            <w:vAlign w:val="center"/>
          </w:tcPr>
          <w:p w:rsidR="00BD08E7" w:rsidRDefault="00B80CF0" w:rsidP="00071071">
            <w:pPr>
              <w:tabs>
                <w:tab w:val="left" w:pos="288"/>
                <w:tab w:val="left" w:pos="4752"/>
              </w:tabs>
              <w:rPr>
                <w:color w:val="000000"/>
              </w:rPr>
            </w:pPr>
            <w:r w:rsidRPr="00EC26F4">
              <w:rPr>
                <w:rFonts w:eastAsia="Calibri" w:cs="Times New Roman"/>
                <w:color w:val="auto"/>
                <w:szCs w:val="24"/>
              </w:rPr>
              <w:t>5099-</w:t>
            </w:r>
            <w:r w:rsidRPr="00EC26F4">
              <w:rPr>
                <w:color w:val="auto"/>
              </w:rPr>
              <w:t>502</w:t>
            </w:r>
            <w:r>
              <w:rPr>
                <w:color w:val="auto"/>
              </w:rPr>
              <w:t>4</w:t>
            </w:r>
          </w:p>
        </w:tc>
        <w:tc>
          <w:tcPr>
            <w:tcW w:w="1026" w:type="dxa"/>
            <w:vAlign w:val="center"/>
          </w:tcPr>
          <w:p w:rsidR="00BD08E7" w:rsidRDefault="00B80CF0" w:rsidP="00071071">
            <w:pPr>
              <w:tabs>
                <w:tab w:val="left" w:pos="288"/>
                <w:tab w:val="left" w:pos="4752"/>
              </w:tabs>
              <w:rPr>
                <w:color w:val="000000"/>
              </w:rPr>
            </w:pPr>
            <w:r>
              <w:rPr>
                <w:color w:val="000000"/>
              </w:rPr>
              <w:t>1</w:t>
            </w:r>
            <w:r w:rsidRPr="000D5DBE">
              <w:rPr>
                <w:color w:val="000000"/>
              </w:rPr>
              <w:t>0%</w:t>
            </w:r>
          </w:p>
        </w:tc>
      </w:tr>
      <w:tr w:rsidR="00071071" w:rsidRPr="000D5DBE" w:rsidTr="00071071">
        <w:tblPrEx>
          <w:tblLook w:val="0000"/>
        </w:tblPrEx>
        <w:trPr>
          <w:gridBefore w:val="1"/>
          <w:wBefore w:w="6048" w:type="dxa"/>
          <w:trHeight w:val="152"/>
        </w:trPr>
        <w:tc>
          <w:tcPr>
            <w:tcW w:w="2250" w:type="dxa"/>
            <w:gridSpan w:val="2"/>
            <w:tcBorders>
              <w:left w:val="single" w:sz="4" w:space="0" w:color="auto"/>
            </w:tcBorders>
            <w:shd w:val="clear" w:color="auto" w:fill="D9D9D9"/>
            <w:vAlign w:val="center"/>
          </w:tcPr>
          <w:p w:rsidR="00071071" w:rsidRPr="000D5DBE" w:rsidRDefault="00071071" w:rsidP="00071071">
            <w:pPr>
              <w:tabs>
                <w:tab w:val="left" w:pos="288"/>
                <w:tab w:val="left" w:pos="4752"/>
              </w:tabs>
              <w:rPr>
                <w:b/>
                <w:color w:val="000000"/>
              </w:rPr>
            </w:pPr>
            <w:r w:rsidRPr="000D5DBE">
              <w:rPr>
                <w:b/>
                <w:color w:val="000000"/>
              </w:rPr>
              <w:t>COMBINED</w:t>
            </w:r>
            <w:r>
              <w:rPr>
                <w:b/>
                <w:color w:val="000000"/>
              </w:rPr>
              <w:t xml:space="preserve"> (w/ BLF)</w:t>
            </w:r>
          </w:p>
        </w:tc>
        <w:tc>
          <w:tcPr>
            <w:tcW w:w="1026" w:type="dxa"/>
            <w:shd w:val="clear" w:color="auto" w:fill="D9D9D9"/>
            <w:vAlign w:val="center"/>
          </w:tcPr>
          <w:p w:rsidR="00071071" w:rsidRPr="000D5DBE" w:rsidRDefault="00B80CF0" w:rsidP="00071071">
            <w:pPr>
              <w:tabs>
                <w:tab w:val="left" w:pos="288"/>
                <w:tab w:val="left" w:pos="4752"/>
              </w:tabs>
              <w:rPr>
                <w:b/>
                <w:color w:val="000000"/>
              </w:rPr>
            </w:pPr>
            <w:r>
              <w:rPr>
                <w:b/>
                <w:color w:val="000000"/>
              </w:rPr>
              <w:t>2</w:t>
            </w:r>
            <w:r w:rsidR="00071071"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w:t>
      </w:r>
      <w:proofErr w:type="gramStart"/>
      <w:r w:rsidRPr="001F29F9">
        <w:rPr>
          <w:color w:val="000000"/>
        </w:rPr>
        <w:t>294,</w:t>
      </w:r>
      <w:proofErr w:type="gramEnd"/>
      <w:r w:rsidRPr="001F29F9">
        <w:rPr>
          <w:color w:val="000000"/>
        </w:rPr>
        <w:t xml:space="preserve"> dated </w:t>
      </w:r>
      <w:r w:rsidR="003F7D9A" w:rsidRPr="001F29F9">
        <w:rPr>
          <w:color w:val="000000"/>
          <w:szCs w:val="24"/>
        </w:rPr>
        <w:t>201</w:t>
      </w:r>
      <w:r w:rsidR="003F7D9A">
        <w:rPr>
          <w:color w:val="000000"/>
          <w:szCs w:val="24"/>
        </w:rPr>
        <w:t>11031</w:t>
      </w:r>
      <w:r w:rsidRPr="001F29F9">
        <w:rPr>
          <w:color w:val="000000"/>
        </w:rPr>
        <w:t>, w/</w:t>
      </w:r>
      <w:proofErr w:type="spellStart"/>
      <w:r w:rsidRPr="001F29F9">
        <w:rPr>
          <w:color w:val="000000"/>
        </w:rPr>
        <w:t>atchs</w:t>
      </w:r>
      <w:proofErr w:type="spellEnd"/>
      <w:r w:rsidRPr="001F29F9">
        <w:rPr>
          <w:color w:val="000000"/>
        </w:rPr>
        <w:t>.</w:t>
      </w:r>
    </w:p>
    <w:p w:rsidR="00AD2379" w:rsidRPr="001F29F9" w:rsidRDefault="00AD2379" w:rsidP="005144A7">
      <w:pPr>
        <w:tabs>
          <w:tab w:val="left" w:pos="288"/>
          <w:tab w:val="left" w:pos="4752"/>
        </w:tabs>
        <w:jc w:val="both"/>
        <w:rPr>
          <w:color w:val="000000"/>
        </w:rPr>
      </w:pPr>
      <w:r w:rsidRPr="001F29F9">
        <w:rPr>
          <w:color w:val="000000"/>
        </w:rPr>
        <w:t>Exhibit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1868C6">
        <w:rPr>
          <w:color w:val="000000"/>
        </w:rPr>
        <w:t>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715BDA" w:rsidRPr="00646B51" w:rsidRDefault="00AD2379" w:rsidP="00DF0652">
      <w:pPr>
        <w:tabs>
          <w:tab w:val="left" w:pos="0"/>
          <w:tab w:val="left" w:pos="4320"/>
        </w:tabs>
        <w:jc w:val="both"/>
        <w:rPr>
          <w:rFonts w:ascii="Janson Text" w:hAnsi="Janson Text"/>
          <w:color w:val="auto"/>
          <w:szCs w:val="24"/>
        </w:rPr>
      </w:pPr>
      <w:r w:rsidRPr="001F29F9">
        <w:rPr>
          <w:color w:val="000000"/>
        </w:rPr>
        <w:tab/>
        <w:t xml:space="preserve">           Physical Disability Board of Review</w:t>
      </w:r>
    </w:p>
    <w:p w:rsidR="001868C6" w:rsidRDefault="001868C6" w:rsidP="006235F5">
      <w:pPr>
        <w:tabs>
          <w:tab w:val="left" w:pos="288"/>
          <w:tab w:val="left" w:pos="4752"/>
        </w:tabs>
        <w:jc w:val="both"/>
        <w:rPr>
          <w:rFonts w:eastAsia="Calibri" w:cs="Times New Roman"/>
          <w:color w:val="auto"/>
          <w:szCs w:val="24"/>
        </w:rPr>
      </w:pPr>
    </w:p>
    <w:p w:rsidR="001868C6" w:rsidRDefault="001868C6">
      <w:pPr>
        <w:spacing w:line="240" w:lineRule="auto"/>
        <w:jc w:val="left"/>
        <w:rPr>
          <w:rFonts w:eastAsia="Calibri" w:cs="Times New Roman"/>
          <w:color w:val="auto"/>
          <w:szCs w:val="24"/>
        </w:rPr>
      </w:pPr>
      <w:r>
        <w:rPr>
          <w:rFonts w:eastAsia="Calibri" w:cs="Times New Roman"/>
          <w:color w:val="auto"/>
          <w:szCs w:val="24"/>
        </w:rPr>
        <w:br w:type="page"/>
      </w:r>
    </w:p>
    <w:p w:rsidR="001868C6" w:rsidRDefault="001868C6" w:rsidP="001868C6">
      <w:pPr>
        <w:sectPr w:rsidR="001868C6">
          <w:pgSz w:w="12240" w:h="15840"/>
          <w:pgMar w:top="2160" w:right="1440" w:bottom="1440" w:left="1440" w:header="720" w:footer="720" w:gutter="0"/>
          <w:cols w:space="720"/>
        </w:sectPr>
      </w:pPr>
    </w:p>
    <w:p w:rsidR="001868C6" w:rsidRDefault="001868C6" w:rsidP="001868C6">
      <w:pPr>
        <w:pStyle w:val="Header"/>
        <w:tabs>
          <w:tab w:val="left" w:pos="720"/>
        </w:tabs>
        <w:jc w:val="left"/>
      </w:pPr>
      <w:r>
        <w:lastRenderedPageBreak/>
        <w:t>SFMR-RB</w:t>
      </w:r>
      <w:r>
        <w:tab/>
      </w:r>
      <w:r>
        <w:tab/>
      </w:r>
      <w:r>
        <w:tab/>
      </w:r>
      <w:r>
        <w:tab/>
      </w:r>
      <w:r>
        <w:tab/>
      </w:r>
      <w:r>
        <w:tab/>
      </w:r>
      <w:r>
        <w:tab/>
      </w:r>
      <w:r>
        <w:tab/>
      </w:r>
      <w:r>
        <w:tab/>
      </w:r>
    </w:p>
    <w:p w:rsidR="001868C6" w:rsidRDefault="001868C6" w:rsidP="001868C6">
      <w:pPr>
        <w:pStyle w:val="Header"/>
        <w:tabs>
          <w:tab w:val="left" w:pos="720"/>
        </w:tabs>
        <w:jc w:val="left"/>
      </w:pPr>
    </w:p>
    <w:p w:rsidR="001868C6" w:rsidRDefault="001868C6" w:rsidP="001868C6">
      <w:pPr>
        <w:jc w:val="left"/>
      </w:pPr>
    </w:p>
    <w:p w:rsidR="001868C6" w:rsidRDefault="001868C6" w:rsidP="001868C6">
      <w:pPr>
        <w:jc w:val="left"/>
      </w:pPr>
      <w:r>
        <w:t xml:space="preserve">MEMORANDUM FOR Commander, US Army Physical Disability Agency </w:t>
      </w:r>
    </w:p>
    <w:p w:rsidR="001868C6" w:rsidRDefault="001868C6" w:rsidP="001868C6">
      <w:pPr>
        <w:jc w:val="left"/>
      </w:pPr>
      <w:r>
        <w:t xml:space="preserve">(TAPD-ZB </w:t>
      </w:r>
      <w:proofErr w:type="gramStart"/>
      <w:r>
        <w:t>/  )</w:t>
      </w:r>
      <w:proofErr w:type="gramEnd"/>
      <w:r>
        <w:t>, 2900 Crystal Drive, Suite 300, Arlington, VA  22202</w:t>
      </w:r>
    </w:p>
    <w:p w:rsidR="001868C6" w:rsidRDefault="001868C6" w:rsidP="001868C6">
      <w:pPr>
        <w:jc w:val="left"/>
      </w:pPr>
    </w:p>
    <w:p w:rsidR="001868C6" w:rsidRDefault="001868C6" w:rsidP="001868C6">
      <w:pPr>
        <w:ind w:right="-180"/>
        <w:jc w:val="left"/>
      </w:pPr>
      <w:r>
        <w:t xml:space="preserve">SUBJECT:  Department of Defense Physical Disability Board of Review Recommendation </w:t>
      </w:r>
    </w:p>
    <w:p w:rsidR="001868C6" w:rsidRDefault="001868C6" w:rsidP="001868C6">
      <w:pPr>
        <w:pStyle w:val="Header"/>
        <w:tabs>
          <w:tab w:val="left" w:pos="720"/>
        </w:tabs>
        <w:jc w:val="left"/>
      </w:pPr>
      <w:proofErr w:type="gramStart"/>
      <w:r>
        <w:t>for</w:t>
      </w:r>
      <w:proofErr w:type="gramEnd"/>
      <w:r>
        <w:t xml:space="preserve"> XXXXXXXXXXXXXXXXXXXXXXX, AR20120016886 (PD201101021)</w:t>
      </w:r>
    </w:p>
    <w:p w:rsidR="001868C6" w:rsidRDefault="001868C6" w:rsidP="001868C6">
      <w:pPr>
        <w:pStyle w:val="Header"/>
        <w:tabs>
          <w:tab w:val="left" w:pos="720"/>
        </w:tabs>
        <w:jc w:val="left"/>
      </w:pPr>
    </w:p>
    <w:p w:rsidR="001868C6" w:rsidRDefault="001868C6" w:rsidP="001868C6">
      <w:pPr>
        <w:jc w:val="left"/>
      </w:pPr>
    </w:p>
    <w:p w:rsidR="001868C6" w:rsidRDefault="001868C6" w:rsidP="001868C6">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description without modification of the combined rating or </w:t>
      </w:r>
      <w:proofErr w:type="spellStart"/>
      <w:r>
        <w:t>recharacterization</w:t>
      </w:r>
      <w:proofErr w:type="spellEnd"/>
      <w:r>
        <w:t xml:space="preserve"> of the individual’s separation.  This decision is final.  </w:t>
      </w:r>
    </w:p>
    <w:p w:rsidR="001868C6" w:rsidRDefault="001868C6" w:rsidP="001868C6">
      <w:pPr>
        <w:jc w:val="left"/>
      </w:pPr>
    </w:p>
    <w:p w:rsidR="001868C6" w:rsidRDefault="001868C6" w:rsidP="001868C6">
      <w:pPr>
        <w:jc w:val="left"/>
      </w:pPr>
      <w:r>
        <w:t xml:space="preserve">2.  I direct that all the Department of the Army records of the individual concerned be corrected accordingly no later than 120 days from the date of this memorandum.   </w:t>
      </w:r>
    </w:p>
    <w:p w:rsidR="001868C6" w:rsidRDefault="001868C6" w:rsidP="001868C6">
      <w:pPr>
        <w:jc w:val="left"/>
      </w:pPr>
    </w:p>
    <w:p w:rsidR="001868C6" w:rsidRDefault="001868C6" w:rsidP="001868C6">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1868C6" w:rsidRDefault="001868C6" w:rsidP="001868C6">
      <w:pPr>
        <w:jc w:val="left"/>
      </w:pPr>
    </w:p>
    <w:p w:rsidR="001868C6" w:rsidRDefault="001868C6" w:rsidP="001868C6">
      <w:pPr>
        <w:jc w:val="left"/>
      </w:pPr>
      <w:r>
        <w:t xml:space="preserve"> BY ORDER OF THE SECRETARY OF THE ARMY:</w:t>
      </w:r>
    </w:p>
    <w:p w:rsidR="001868C6" w:rsidRDefault="001868C6" w:rsidP="001868C6">
      <w:pPr>
        <w:jc w:val="left"/>
      </w:pPr>
    </w:p>
    <w:p w:rsidR="001868C6" w:rsidRDefault="001868C6" w:rsidP="001868C6">
      <w:pPr>
        <w:jc w:val="left"/>
      </w:pPr>
    </w:p>
    <w:p w:rsidR="001868C6" w:rsidRDefault="001868C6" w:rsidP="001868C6">
      <w:pPr>
        <w:pStyle w:val="Header"/>
        <w:tabs>
          <w:tab w:val="left" w:pos="720"/>
        </w:tabs>
        <w:jc w:val="left"/>
      </w:pPr>
    </w:p>
    <w:p w:rsidR="001868C6" w:rsidRDefault="001868C6" w:rsidP="001868C6">
      <w:pPr>
        <w:jc w:val="left"/>
      </w:pPr>
    </w:p>
    <w:p w:rsidR="001868C6" w:rsidRDefault="001868C6" w:rsidP="001868C6">
      <w:pPr>
        <w:jc w:val="left"/>
      </w:pPr>
      <w:bookmarkStart w:id="0" w:name="OLE_LINK4"/>
      <w:bookmarkStart w:id="1" w:name="OLE_LINK3"/>
      <w:r>
        <w:t>Encl</w:t>
      </w:r>
      <w:r>
        <w:tab/>
      </w:r>
      <w:r>
        <w:tab/>
      </w:r>
      <w:r>
        <w:tab/>
      </w:r>
      <w:r>
        <w:tab/>
      </w:r>
      <w:r>
        <w:tab/>
      </w:r>
      <w:r>
        <w:tab/>
        <w:t xml:space="preserve">     XXXXXXXXXXXXXXXXXXXXX</w:t>
      </w:r>
    </w:p>
    <w:p w:rsidR="001868C6" w:rsidRDefault="001868C6" w:rsidP="001868C6">
      <w:pPr>
        <w:jc w:val="left"/>
      </w:pPr>
      <w:r>
        <w:tab/>
      </w:r>
      <w:r>
        <w:tab/>
      </w:r>
      <w:r>
        <w:tab/>
      </w:r>
      <w:r>
        <w:tab/>
      </w:r>
      <w:r>
        <w:tab/>
      </w:r>
      <w:r>
        <w:tab/>
        <w:t xml:space="preserve">     Deputy Assistant Secretary</w:t>
      </w:r>
    </w:p>
    <w:p w:rsidR="001868C6" w:rsidRDefault="001868C6" w:rsidP="001868C6">
      <w:pPr>
        <w:jc w:val="left"/>
      </w:pPr>
      <w:r>
        <w:tab/>
      </w:r>
      <w:r>
        <w:tab/>
      </w:r>
      <w:r>
        <w:tab/>
      </w:r>
      <w:r>
        <w:tab/>
      </w:r>
      <w:r>
        <w:tab/>
      </w:r>
      <w:r>
        <w:tab/>
        <w:t xml:space="preserve">         (Army Review Boards)</w:t>
      </w:r>
      <w:bookmarkEnd w:id="0"/>
      <w:bookmarkEnd w:id="1"/>
    </w:p>
    <w:p w:rsidR="001868C6" w:rsidRDefault="001868C6" w:rsidP="001868C6">
      <w:pPr>
        <w:jc w:val="left"/>
      </w:pPr>
    </w:p>
    <w:p w:rsidR="001868C6" w:rsidRDefault="001868C6" w:rsidP="001868C6">
      <w:pPr>
        <w:jc w:val="left"/>
      </w:pPr>
      <w:r>
        <w:t xml:space="preserve">CF: </w:t>
      </w:r>
    </w:p>
    <w:p w:rsidR="001868C6" w:rsidRDefault="001868C6" w:rsidP="001868C6">
      <w:pPr>
        <w:jc w:val="left"/>
      </w:pPr>
      <w:r>
        <w:t xml:space="preserve">(  ) </w:t>
      </w:r>
      <w:proofErr w:type="spellStart"/>
      <w:proofErr w:type="gramStart"/>
      <w:r>
        <w:t>DoD</w:t>
      </w:r>
      <w:proofErr w:type="spellEnd"/>
      <w:proofErr w:type="gramEnd"/>
      <w:r>
        <w:t xml:space="preserve"> PDBR</w:t>
      </w:r>
    </w:p>
    <w:p w:rsidR="001868C6" w:rsidRDefault="001868C6" w:rsidP="001868C6">
      <w:pPr>
        <w:jc w:val="left"/>
      </w:pPr>
      <w:r>
        <w:t>(  ) DVA</w:t>
      </w:r>
    </w:p>
    <w:p w:rsidR="00FE7EB9" w:rsidRPr="006235F5" w:rsidRDefault="00FE7EB9" w:rsidP="001868C6">
      <w:pPr>
        <w:tabs>
          <w:tab w:val="left" w:pos="288"/>
          <w:tab w:val="left" w:pos="4752"/>
        </w:tabs>
        <w:jc w:val="left"/>
        <w:rPr>
          <w:rFonts w:eastAsia="Calibri" w:cs="Times New Roman"/>
          <w:color w:val="auto"/>
          <w:szCs w:val="24"/>
        </w:rPr>
      </w:pPr>
    </w:p>
    <w:sectPr w:rsidR="00FE7EB9" w:rsidRPr="006235F5" w:rsidSect="00726F8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8FF" w:rsidRDefault="00EA28FF">
      <w:r>
        <w:separator/>
      </w:r>
    </w:p>
  </w:endnote>
  <w:endnote w:type="continuationSeparator" w:id="0">
    <w:p w:rsidR="00EA28FF" w:rsidRDefault="00EA28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Janson Tex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18" w:rsidRDefault="005767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fldSimple w:instr=" PAGE   \* MERGEFORMAT ">
      <w:r w:rsidR="001868C6" w:rsidRPr="001868C6">
        <w:rPr>
          <w:noProof/>
          <w:color w:val="auto"/>
        </w:rPr>
        <w:t>4</w:t>
      </w:r>
    </w:fldSimple>
    <w:r w:rsidRPr="00374247">
      <w:rPr>
        <w:color w:val="auto"/>
      </w:rPr>
      <w:t xml:space="preserve">                                                           </w:t>
    </w:r>
    <w:r w:rsidRPr="001D64F3">
      <w:rPr>
        <w:color w:val="auto"/>
      </w:rPr>
      <w:t>PD1</w:t>
    </w:r>
    <w:r w:rsidR="004D2A72">
      <w:rPr>
        <w:color w:val="auto"/>
      </w:rPr>
      <w:t>101021</w:t>
    </w:r>
  </w:p>
  <w:p w:rsidR="00AD2379" w:rsidRPr="00684CE6" w:rsidRDefault="00AD2379">
    <w:pPr>
      <w:pStyle w:val="Footer"/>
      <w:rPr>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18" w:rsidRDefault="00576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8FF" w:rsidRDefault="00EA28FF">
      <w:r>
        <w:separator/>
      </w:r>
    </w:p>
  </w:footnote>
  <w:footnote w:type="continuationSeparator" w:id="0">
    <w:p w:rsidR="00EA28FF" w:rsidRDefault="00EA2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18" w:rsidRDefault="005767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18" w:rsidRDefault="005767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18" w:rsidRDefault="005767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hdrShapeDefaults>
    <o:shapedefaults v:ext="edit" spidmax="100353"/>
  </w:hdrShapeDefaults>
  <w:footnotePr>
    <w:footnote w:id="-1"/>
    <w:footnote w:id="0"/>
  </w:footnotePr>
  <w:endnotePr>
    <w:endnote w:id="-1"/>
    <w:endnote w:id="0"/>
  </w:endnotePr>
  <w:compat/>
  <w:rsids>
    <w:rsidRoot w:val="001C28D1"/>
    <w:rsid w:val="000024F5"/>
    <w:rsid w:val="000059FA"/>
    <w:rsid w:val="00006186"/>
    <w:rsid w:val="00006F87"/>
    <w:rsid w:val="00007107"/>
    <w:rsid w:val="00007BCC"/>
    <w:rsid w:val="00010A69"/>
    <w:rsid w:val="00010ABA"/>
    <w:rsid w:val="00010AF0"/>
    <w:rsid w:val="00010B0F"/>
    <w:rsid w:val="00012428"/>
    <w:rsid w:val="00012733"/>
    <w:rsid w:val="00013417"/>
    <w:rsid w:val="0001378D"/>
    <w:rsid w:val="000145C2"/>
    <w:rsid w:val="0001473F"/>
    <w:rsid w:val="00014A47"/>
    <w:rsid w:val="00014A9E"/>
    <w:rsid w:val="00017778"/>
    <w:rsid w:val="00020941"/>
    <w:rsid w:val="00021361"/>
    <w:rsid w:val="000222C9"/>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DD2"/>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A97"/>
    <w:rsid w:val="000A4BBA"/>
    <w:rsid w:val="000A5071"/>
    <w:rsid w:val="000B0AD2"/>
    <w:rsid w:val="000B1022"/>
    <w:rsid w:val="000B2FB8"/>
    <w:rsid w:val="000B471C"/>
    <w:rsid w:val="000B4C99"/>
    <w:rsid w:val="000B5210"/>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47AC"/>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951"/>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68C6"/>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3A20"/>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0A22"/>
    <w:rsid w:val="001F29F9"/>
    <w:rsid w:val="001F693A"/>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A08"/>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3212"/>
    <w:rsid w:val="00274549"/>
    <w:rsid w:val="00274E46"/>
    <w:rsid w:val="002752AE"/>
    <w:rsid w:val="00275AFD"/>
    <w:rsid w:val="002769AF"/>
    <w:rsid w:val="00276C86"/>
    <w:rsid w:val="00276FD0"/>
    <w:rsid w:val="00277217"/>
    <w:rsid w:val="002810A4"/>
    <w:rsid w:val="0028261C"/>
    <w:rsid w:val="00282DB6"/>
    <w:rsid w:val="002833E3"/>
    <w:rsid w:val="00283D96"/>
    <w:rsid w:val="00284A26"/>
    <w:rsid w:val="00285095"/>
    <w:rsid w:val="00287006"/>
    <w:rsid w:val="00287122"/>
    <w:rsid w:val="0029030A"/>
    <w:rsid w:val="0029147B"/>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747"/>
    <w:rsid w:val="002D18B4"/>
    <w:rsid w:val="002D2058"/>
    <w:rsid w:val="002D231A"/>
    <w:rsid w:val="002D5330"/>
    <w:rsid w:val="002D5F57"/>
    <w:rsid w:val="002D73D4"/>
    <w:rsid w:val="002D7787"/>
    <w:rsid w:val="002D7DF2"/>
    <w:rsid w:val="002E058C"/>
    <w:rsid w:val="002E0AF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4D90"/>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07BF"/>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44FD"/>
    <w:rsid w:val="003F58B0"/>
    <w:rsid w:val="003F776F"/>
    <w:rsid w:val="003F7D9A"/>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A3C"/>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BBA"/>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4F0"/>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72"/>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3656"/>
    <w:rsid w:val="004E6866"/>
    <w:rsid w:val="004F0C58"/>
    <w:rsid w:val="004F10EB"/>
    <w:rsid w:val="004F2B85"/>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0B3"/>
    <w:rsid w:val="00514449"/>
    <w:rsid w:val="005144A7"/>
    <w:rsid w:val="00515419"/>
    <w:rsid w:val="005157BD"/>
    <w:rsid w:val="005214A3"/>
    <w:rsid w:val="005222E7"/>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3204"/>
    <w:rsid w:val="00555259"/>
    <w:rsid w:val="00555C66"/>
    <w:rsid w:val="005569EF"/>
    <w:rsid w:val="00556BDE"/>
    <w:rsid w:val="00560D57"/>
    <w:rsid w:val="00560F12"/>
    <w:rsid w:val="0056125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718"/>
    <w:rsid w:val="0058039C"/>
    <w:rsid w:val="00580A63"/>
    <w:rsid w:val="005830B1"/>
    <w:rsid w:val="00583379"/>
    <w:rsid w:val="0058417C"/>
    <w:rsid w:val="005854F9"/>
    <w:rsid w:val="00586EC6"/>
    <w:rsid w:val="00587DDE"/>
    <w:rsid w:val="00593043"/>
    <w:rsid w:val="00593863"/>
    <w:rsid w:val="00595B60"/>
    <w:rsid w:val="00595B63"/>
    <w:rsid w:val="00595BF0"/>
    <w:rsid w:val="00597E16"/>
    <w:rsid w:val="005A09CD"/>
    <w:rsid w:val="005A0B1D"/>
    <w:rsid w:val="005A1846"/>
    <w:rsid w:val="005A258C"/>
    <w:rsid w:val="005A3560"/>
    <w:rsid w:val="005A373C"/>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1A"/>
    <w:rsid w:val="005C50C1"/>
    <w:rsid w:val="005C62C2"/>
    <w:rsid w:val="005C679B"/>
    <w:rsid w:val="005D0ABC"/>
    <w:rsid w:val="005D2306"/>
    <w:rsid w:val="005D2562"/>
    <w:rsid w:val="005D2666"/>
    <w:rsid w:val="005D4548"/>
    <w:rsid w:val="005D4A74"/>
    <w:rsid w:val="005D519F"/>
    <w:rsid w:val="005D5E91"/>
    <w:rsid w:val="005D67EF"/>
    <w:rsid w:val="005E1416"/>
    <w:rsid w:val="005E1D67"/>
    <w:rsid w:val="005E224F"/>
    <w:rsid w:val="005E3064"/>
    <w:rsid w:val="005E54DC"/>
    <w:rsid w:val="005E65DC"/>
    <w:rsid w:val="005E6A6F"/>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36A"/>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B8A"/>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A5B"/>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5BDA"/>
    <w:rsid w:val="007165CE"/>
    <w:rsid w:val="00716B57"/>
    <w:rsid w:val="00716D85"/>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B72"/>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7F7E2B"/>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5D5"/>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170"/>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85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D03"/>
    <w:rsid w:val="008B515D"/>
    <w:rsid w:val="008B5D31"/>
    <w:rsid w:val="008B6705"/>
    <w:rsid w:val="008C22F3"/>
    <w:rsid w:val="008C3223"/>
    <w:rsid w:val="008C3FD0"/>
    <w:rsid w:val="008C4F01"/>
    <w:rsid w:val="008C5152"/>
    <w:rsid w:val="008C710E"/>
    <w:rsid w:val="008D1484"/>
    <w:rsid w:val="008D29E7"/>
    <w:rsid w:val="008D2FBA"/>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736"/>
    <w:rsid w:val="00962F2D"/>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A7CB3"/>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1C7A"/>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3E9E"/>
    <w:rsid w:val="00AB4BA4"/>
    <w:rsid w:val="00AB592E"/>
    <w:rsid w:val="00AC0C1C"/>
    <w:rsid w:val="00AC1305"/>
    <w:rsid w:val="00AC25DD"/>
    <w:rsid w:val="00AC37BE"/>
    <w:rsid w:val="00AC3870"/>
    <w:rsid w:val="00AC439D"/>
    <w:rsid w:val="00AC4BA1"/>
    <w:rsid w:val="00AC62CC"/>
    <w:rsid w:val="00AC64D6"/>
    <w:rsid w:val="00AC712C"/>
    <w:rsid w:val="00AC713F"/>
    <w:rsid w:val="00AC7329"/>
    <w:rsid w:val="00AC7D96"/>
    <w:rsid w:val="00AD00E4"/>
    <w:rsid w:val="00AD010A"/>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E7AD2"/>
    <w:rsid w:val="00AF01B2"/>
    <w:rsid w:val="00AF1103"/>
    <w:rsid w:val="00AF1668"/>
    <w:rsid w:val="00AF1DBB"/>
    <w:rsid w:val="00AF25B2"/>
    <w:rsid w:val="00AF28DE"/>
    <w:rsid w:val="00AF41EE"/>
    <w:rsid w:val="00AF4A87"/>
    <w:rsid w:val="00AF4FA5"/>
    <w:rsid w:val="00AF5BB4"/>
    <w:rsid w:val="00AF6ECC"/>
    <w:rsid w:val="00B0127F"/>
    <w:rsid w:val="00B02145"/>
    <w:rsid w:val="00B022DC"/>
    <w:rsid w:val="00B04562"/>
    <w:rsid w:val="00B0472F"/>
    <w:rsid w:val="00B04C73"/>
    <w:rsid w:val="00B0659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BEB"/>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D22"/>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CF0"/>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610"/>
    <w:rsid w:val="00BA1824"/>
    <w:rsid w:val="00BA2D98"/>
    <w:rsid w:val="00BA2F0C"/>
    <w:rsid w:val="00BA30D1"/>
    <w:rsid w:val="00BA30E1"/>
    <w:rsid w:val="00BA38FA"/>
    <w:rsid w:val="00BA4609"/>
    <w:rsid w:val="00BA5BE2"/>
    <w:rsid w:val="00BA60FC"/>
    <w:rsid w:val="00BA6A9C"/>
    <w:rsid w:val="00BA7F46"/>
    <w:rsid w:val="00BB0388"/>
    <w:rsid w:val="00BB0A0A"/>
    <w:rsid w:val="00BB133C"/>
    <w:rsid w:val="00BB1F04"/>
    <w:rsid w:val="00BB41E5"/>
    <w:rsid w:val="00BB45B5"/>
    <w:rsid w:val="00BB4C6A"/>
    <w:rsid w:val="00BB4DDE"/>
    <w:rsid w:val="00BB5F68"/>
    <w:rsid w:val="00BB6064"/>
    <w:rsid w:val="00BB65CE"/>
    <w:rsid w:val="00BB678F"/>
    <w:rsid w:val="00BB7012"/>
    <w:rsid w:val="00BC09D1"/>
    <w:rsid w:val="00BC10C6"/>
    <w:rsid w:val="00BC1CF3"/>
    <w:rsid w:val="00BC2BE0"/>
    <w:rsid w:val="00BC3573"/>
    <w:rsid w:val="00BC3797"/>
    <w:rsid w:val="00BC5860"/>
    <w:rsid w:val="00BC7F82"/>
    <w:rsid w:val="00BD08E7"/>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7D4"/>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8D0"/>
    <w:rsid w:val="00CB758D"/>
    <w:rsid w:val="00CB7A3E"/>
    <w:rsid w:val="00CB7FF7"/>
    <w:rsid w:val="00CC0D0E"/>
    <w:rsid w:val="00CC1253"/>
    <w:rsid w:val="00CC19B3"/>
    <w:rsid w:val="00CC2044"/>
    <w:rsid w:val="00CC39D2"/>
    <w:rsid w:val="00CC4474"/>
    <w:rsid w:val="00CC55D6"/>
    <w:rsid w:val="00CC59B4"/>
    <w:rsid w:val="00CC5DBC"/>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7B8"/>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847"/>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4C0"/>
    <w:rsid w:val="00DE3555"/>
    <w:rsid w:val="00DE3A36"/>
    <w:rsid w:val="00DE3AAD"/>
    <w:rsid w:val="00DE598A"/>
    <w:rsid w:val="00DE5A80"/>
    <w:rsid w:val="00DE6952"/>
    <w:rsid w:val="00DE6FBE"/>
    <w:rsid w:val="00DE7A7D"/>
    <w:rsid w:val="00DE7E74"/>
    <w:rsid w:val="00DF0652"/>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298"/>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6761"/>
    <w:rsid w:val="00E771AF"/>
    <w:rsid w:val="00E80386"/>
    <w:rsid w:val="00E809C3"/>
    <w:rsid w:val="00E814D4"/>
    <w:rsid w:val="00E814DB"/>
    <w:rsid w:val="00E81A1A"/>
    <w:rsid w:val="00E81C3E"/>
    <w:rsid w:val="00E81E62"/>
    <w:rsid w:val="00E82359"/>
    <w:rsid w:val="00E82B6D"/>
    <w:rsid w:val="00E83187"/>
    <w:rsid w:val="00E831E9"/>
    <w:rsid w:val="00E84DDA"/>
    <w:rsid w:val="00E8608F"/>
    <w:rsid w:val="00E86C1D"/>
    <w:rsid w:val="00E90703"/>
    <w:rsid w:val="00E90A62"/>
    <w:rsid w:val="00E91CB8"/>
    <w:rsid w:val="00E9265E"/>
    <w:rsid w:val="00E940FC"/>
    <w:rsid w:val="00E956DB"/>
    <w:rsid w:val="00E957D7"/>
    <w:rsid w:val="00E95FEF"/>
    <w:rsid w:val="00E9763D"/>
    <w:rsid w:val="00E97E4C"/>
    <w:rsid w:val="00EA00A4"/>
    <w:rsid w:val="00EA1177"/>
    <w:rsid w:val="00EA118B"/>
    <w:rsid w:val="00EA11B6"/>
    <w:rsid w:val="00EA2181"/>
    <w:rsid w:val="00EA28FF"/>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6F4"/>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2C8"/>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57DD6"/>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4399"/>
    <w:rsid w:val="00F75C12"/>
    <w:rsid w:val="00F764AF"/>
    <w:rsid w:val="00F76D01"/>
    <w:rsid w:val="00F80B43"/>
    <w:rsid w:val="00F80C97"/>
    <w:rsid w:val="00F81C35"/>
    <w:rsid w:val="00F82981"/>
    <w:rsid w:val="00F8311F"/>
    <w:rsid w:val="00F83248"/>
    <w:rsid w:val="00F83376"/>
    <w:rsid w:val="00F853AE"/>
    <w:rsid w:val="00F860C7"/>
    <w:rsid w:val="00F908D5"/>
    <w:rsid w:val="00F912A0"/>
    <w:rsid w:val="00F913B9"/>
    <w:rsid w:val="00F93C74"/>
    <w:rsid w:val="00F93DCC"/>
    <w:rsid w:val="00F9435D"/>
    <w:rsid w:val="00F966F9"/>
    <w:rsid w:val="00F96F61"/>
    <w:rsid w:val="00F97740"/>
    <w:rsid w:val="00FA0C8F"/>
    <w:rsid w:val="00FA1592"/>
    <w:rsid w:val="00FA24F2"/>
    <w:rsid w:val="00FA2B96"/>
    <w:rsid w:val="00FA2DEF"/>
    <w:rsid w:val="00FA2F7B"/>
    <w:rsid w:val="00FA36CC"/>
    <w:rsid w:val="00FA3C90"/>
    <w:rsid w:val="00FA3C97"/>
    <w:rsid w:val="00FA3D30"/>
    <w:rsid w:val="00FA4B49"/>
    <w:rsid w:val="00FA54F8"/>
    <w:rsid w:val="00FA63AB"/>
    <w:rsid w:val="00FA6BB7"/>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88"/>
    <w:rsid w:val="00FD0AA0"/>
    <w:rsid w:val="00FD16A5"/>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2FC"/>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234587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71B28-6A15-44A0-9AC2-A8C0491E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2012-09-14T12:03:00Z</cp:lastPrinted>
  <dcterms:created xsi:type="dcterms:W3CDTF">2012-10-19T19:20:00Z</dcterms:created>
  <dcterms:modified xsi:type="dcterms:W3CDTF">2012-10-19T19:20:00Z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