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864AE5" w:rsidRDefault="0095270D" w:rsidP="00DD5558">
      <w:pPr>
        <w:tabs>
          <w:tab w:val="right" w:pos="9360"/>
        </w:tabs>
        <w:jc w:val="both"/>
        <w:rPr>
          <w:caps/>
          <w:color w:val="auto"/>
        </w:rPr>
      </w:pPr>
      <w:r w:rsidRPr="00F64312">
        <w:rPr>
          <w:caps/>
          <w:color w:val="auto"/>
        </w:rPr>
        <w:t xml:space="preserve">NAME:  </w:t>
      </w:r>
      <w:r w:rsidR="00925DBB">
        <w:rPr>
          <w:caps/>
          <w:color w:val="auto"/>
        </w:rPr>
        <w:t>XXXXXXXXXXXXXXX</w:t>
      </w:r>
      <w:r w:rsidR="002A7257">
        <w:rPr>
          <w:caps/>
          <w:color w:val="auto"/>
        </w:rPr>
        <w:t>.</w:t>
      </w:r>
      <w:r w:rsidR="00044B29">
        <w:rPr>
          <w:caps/>
          <w:color w:val="auto"/>
        </w:rPr>
        <w:t xml:space="preserve">                                      </w:t>
      </w:r>
      <w:r w:rsidR="00684FCE">
        <w:rPr>
          <w:caps/>
          <w:color w:val="auto"/>
        </w:rPr>
        <w:tab/>
      </w:r>
      <w:r w:rsidR="000C5113">
        <w:rPr>
          <w:caps/>
          <w:color w:val="auto"/>
        </w:rPr>
        <w:t xml:space="preserve"> </w:t>
      </w:r>
      <w:r w:rsidRPr="00F64312">
        <w:rPr>
          <w:caps/>
          <w:color w:val="auto"/>
        </w:rPr>
        <w:t xml:space="preserve">BRANCH OF </w:t>
      </w:r>
      <w:r w:rsidRPr="00864AE5">
        <w:rPr>
          <w:caps/>
          <w:color w:val="auto"/>
        </w:rPr>
        <w:t xml:space="preserve">SERVICE:  </w:t>
      </w:r>
      <w:r w:rsidR="0018208F" w:rsidRPr="00864AE5">
        <w:rPr>
          <w:caps/>
          <w:color w:val="auto"/>
        </w:rPr>
        <w:t xml:space="preserve"> </w:t>
      </w:r>
      <w:r w:rsidR="002A7257" w:rsidRPr="00864AE5">
        <w:rPr>
          <w:caps/>
          <w:color w:val="auto"/>
        </w:rPr>
        <w:t>Army</w:t>
      </w:r>
    </w:p>
    <w:p w:rsidR="0095270D" w:rsidRPr="00F64312" w:rsidRDefault="0095270D" w:rsidP="00DD5558">
      <w:pPr>
        <w:tabs>
          <w:tab w:val="right" w:pos="9360"/>
        </w:tabs>
        <w:jc w:val="both"/>
        <w:rPr>
          <w:color w:val="auto"/>
        </w:rPr>
      </w:pPr>
      <w:r w:rsidRPr="00864AE5">
        <w:rPr>
          <w:caps/>
          <w:color w:val="auto"/>
        </w:rPr>
        <w:t>CASE NUMBER:  PD110</w:t>
      </w:r>
      <w:r w:rsidR="002A7257" w:rsidRPr="00864AE5">
        <w:rPr>
          <w:caps/>
          <w:color w:val="auto"/>
        </w:rPr>
        <w:t>1014</w:t>
      </w:r>
      <w:r w:rsidR="00044B29">
        <w:rPr>
          <w:caps/>
          <w:color w:val="auto"/>
        </w:rPr>
        <w:t xml:space="preserve">        </w:t>
      </w:r>
      <w:r w:rsidR="00C077AA">
        <w:rPr>
          <w:caps/>
          <w:color w:val="auto"/>
        </w:rPr>
        <w:t xml:space="preserve"> </w:t>
      </w:r>
      <w:r w:rsidR="00044B29">
        <w:rPr>
          <w:caps/>
          <w:color w:val="auto"/>
        </w:rPr>
        <w:t xml:space="preserve">                    </w:t>
      </w:r>
      <w:r w:rsidR="00684FCE">
        <w:rPr>
          <w:caps/>
          <w:color w:val="auto"/>
        </w:rPr>
        <w:tab/>
      </w:r>
      <w:r w:rsidR="00044B29">
        <w:rPr>
          <w:caps/>
          <w:color w:val="auto"/>
        </w:rPr>
        <w:t xml:space="preserve">     </w:t>
      </w:r>
      <w:r w:rsidR="000C5113">
        <w:rPr>
          <w:caps/>
          <w:color w:val="auto"/>
        </w:rPr>
        <w:t xml:space="preserve"> </w:t>
      </w:r>
      <w:r w:rsidR="00B01038" w:rsidRPr="00864AE5">
        <w:rPr>
          <w:rFonts w:cs="Times New Roman"/>
          <w:color w:val="000000" w:themeColor="text1"/>
          <w:szCs w:val="24"/>
        </w:rPr>
        <w:t xml:space="preserve">DATE OF PLACEMENT ON TDRL:  </w:t>
      </w:r>
      <w:r w:rsidR="00B01038" w:rsidRPr="00864AE5">
        <w:rPr>
          <w:color w:val="000000" w:themeColor="text1"/>
        </w:rPr>
        <w:t>200</w:t>
      </w:r>
      <w:r w:rsidR="002A7257" w:rsidRPr="00864AE5">
        <w:rPr>
          <w:color w:val="000000" w:themeColor="text1"/>
        </w:rPr>
        <w:t>4043</w:t>
      </w:r>
      <w:r w:rsidR="002A7257">
        <w:rPr>
          <w:color w:val="000000" w:themeColor="text1"/>
        </w:rPr>
        <w:t>0</w:t>
      </w:r>
    </w:p>
    <w:p w:rsidR="00AD2379" w:rsidRDefault="0095270D" w:rsidP="0095270D">
      <w:pPr>
        <w:pBdr>
          <w:bottom w:val="single" w:sz="12" w:space="1" w:color="auto"/>
        </w:pBdr>
        <w:tabs>
          <w:tab w:val="left" w:pos="288"/>
          <w:tab w:val="left" w:pos="4752"/>
        </w:tabs>
        <w:jc w:val="both"/>
        <w:rPr>
          <w:color w:val="000000" w:themeColor="text1"/>
        </w:rPr>
      </w:pPr>
      <w:r w:rsidRPr="00F64312">
        <w:rPr>
          <w:caps/>
          <w:color w:val="auto"/>
        </w:rPr>
        <w:t>BOARD DATE:</w:t>
      </w:r>
      <w:r w:rsidR="00B01038">
        <w:rPr>
          <w:caps/>
          <w:color w:val="auto"/>
        </w:rPr>
        <w:t xml:space="preserve"> </w:t>
      </w:r>
      <w:r w:rsidRPr="00F64312">
        <w:rPr>
          <w:caps/>
          <w:color w:val="auto"/>
        </w:rPr>
        <w:t>2012</w:t>
      </w:r>
      <w:r w:rsidR="009F5C64">
        <w:rPr>
          <w:caps/>
          <w:color w:val="auto"/>
        </w:rPr>
        <w:t>0926</w:t>
      </w:r>
      <w:r w:rsidR="00B01038">
        <w:rPr>
          <w:caps/>
          <w:color w:val="auto"/>
          <w:szCs w:val="24"/>
        </w:rPr>
        <w:t xml:space="preserve">                                      </w:t>
      </w:r>
      <w:r w:rsidR="002A7257">
        <w:rPr>
          <w:caps/>
          <w:color w:val="auto"/>
          <w:szCs w:val="24"/>
        </w:rPr>
        <w:t xml:space="preserve">  </w:t>
      </w:r>
      <w:r w:rsidR="00B01038">
        <w:rPr>
          <w:caps/>
          <w:color w:val="auto"/>
          <w:szCs w:val="24"/>
        </w:rPr>
        <w:t xml:space="preserve">  </w:t>
      </w:r>
      <w:r w:rsidR="00413539">
        <w:rPr>
          <w:caps/>
          <w:color w:val="auto"/>
          <w:szCs w:val="24"/>
        </w:rPr>
        <w:t xml:space="preserve"> </w:t>
      </w:r>
      <w:r w:rsidR="00B01038" w:rsidRPr="001F29F9">
        <w:rPr>
          <w:rFonts w:cs="Times New Roman"/>
          <w:caps/>
          <w:color w:val="000000" w:themeColor="text1"/>
          <w:szCs w:val="24"/>
        </w:rPr>
        <w:t xml:space="preserve">Date of Permanent </w:t>
      </w:r>
      <w:r w:rsidR="00B01038" w:rsidRPr="001F29F9">
        <w:rPr>
          <w:rFonts w:cs="Times New Roman"/>
          <w:color w:val="000000" w:themeColor="text1"/>
          <w:szCs w:val="24"/>
        </w:rPr>
        <w:t xml:space="preserve">SEPARATION:  </w:t>
      </w:r>
      <w:r w:rsidR="00B01038" w:rsidRPr="001F29F9">
        <w:rPr>
          <w:color w:val="000000" w:themeColor="text1"/>
        </w:rPr>
        <w:t>200</w:t>
      </w:r>
      <w:r w:rsidR="002A7257">
        <w:rPr>
          <w:color w:val="000000" w:themeColor="text1"/>
        </w:rPr>
        <w:t>50928</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w:t>
      </w:r>
      <w:r w:rsidRPr="00AB133A">
        <w:rPr>
          <w:color w:val="auto"/>
        </w:rPr>
        <w:t xml:space="preserve">) was </w:t>
      </w:r>
      <w:r w:rsidR="00864AE5" w:rsidRPr="00AB133A">
        <w:rPr>
          <w:color w:val="auto"/>
        </w:rPr>
        <w:t>active duty SPC/E-4 (21J10/General Construction Equipment Operator), medically separated for asthma</w:t>
      </w:r>
      <w:r w:rsidR="00392A4C" w:rsidRPr="00AB133A">
        <w:rPr>
          <w:color w:val="auto"/>
        </w:rPr>
        <w:t xml:space="preserve">.  </w:t>
      </w:r>
      <w:r w:rsidR="00F15483" w:rsidRPr="00AB133A">
        <w:rPr>
          <w:color w:val="auto"/>
        </w:rPr>
        <w:t>The CI did not impr</w:t>
      </w:r>
      <w:r w:rsidR="00392A4C" w:rsidRPr="00AB133A">
        <w:rPr>
          <w:color w:val="auto"/>
        </w:rPr>
        <w:t xml:space="preserve">ove adequately with treatment </w:t>
      </w:r>
      <w:r w:rsidR="00F566B7" w:rsidRPr="00AB133A">
        <w:rPr>
          <w:color w:val="auto"/>
        </w:rPr>
        <w:t>to meet the physical requirements of his Military Occupational Specialty (MOS</w:t>
      </w:r>
      <w:r w:rsidR="00684FCE">
        <w:rPr>
          <w:color w:val="auto"/>
        </w:rPr>
        <w:t>)</w:t>
      </w:r>
      <w:r w:rsidR="006A0909" w:rsidRPr="00AB133A">
        <w:rPr>
          <w:color w:val="auto"/>
        </w:rPr>
        <w:t xml:space="preserve"> </w:t>
      </w:r>
      <w:r w:rsidR="00F566B7" w:rsidRPr="00AB133A">
        <w:rPr>
          <w:color w:val="auto"/>
        </w:rPr>
        <w:t>or satis</w:t>
      </w:r>
      <w:r w:rsidR="009C12A1" w:rsidRPr="00AB133A">
        <w:rPr>
          <w:color w:val="auto"/>
        </w:rPr>
        <w:t>fy physical fitness standards.</w:t>
      </w:r>
      <w:r w:rsidR="00F566B7" w:rsidRPr="00AB133A">
        <w:rPr>
          <w:color w:val="auto"/>
        </w:rPr>
        <w:t xml:space="preserve"> </w:t>
      </w:r>
      <w:r w:rsidR="009C12A1" w:rsidRPr="00AB133A">
        <w:rPr>
          <w:color w:val="auto"/>
        </w:rPr>
        <w:t xml:space="preserve"> He </w:t>
      </w:r>
      <w:r w:rsidR="00F566B7" w:rsidRPr="00AB133A">
        <w:rPr>
          <w:color w:val="auto"/>
        </w:rPr>
        <w:t xml:space="preserve">was issued a </w:t>
      </w:r>
      <w:r w:rsidR="00C97FEF" w:rsidRPr="00AB133A">
        <w:rPr>
          <w:color w:val="auto"/>
        </w:rPr>
        <w:t>permanent P</w:t>
      </w:r>
      <w:r w:rsidR="00F566B7" w:rsidRPr="00AB133A">
        <w:rPr>
          <w:color w:val="auto"/>
        </w:rPr>
        <w:t>3 profile and</w:t>
      </w:r>
      <w:r w:rsidR="009C12A1" w:rsidRPr="00AB133A">
        <w:rPr>
          <w:color w:val="auto"/>
        </w:rPr>
        <w:t xml:space="preserve"> </w:t>
      </w:r>
      <w:r w:rsidR="00F566B7" w:rsidRPr="00AB133A">
        <w:rPr>
          <w:color w:val="auto"/>
        </w:rPr>
        <w:t>referred for a</w:t>
      </w:r>
      <w:r w:rsidR="00392A4C" w:rsidRPr="00AB133A">
        <w:rPr>
          <w:color w:val="auto"/>
        </w:rPr>
        <w:t xml:space="preserve"> Medical Evaluation Board (MEB) in March 2004.  </w:t>
      </w:r>
      <w:r w:rsidR="00F15483" w:rsidRPr="00AB133A">
        <w:rPr>
          <w:color w:val="auto"/>
        </w:rPr>
        <w:t>The MEB forwarded no other conditions for PEB adjudication.</w:t>
      </w:r>
      <w:r w:rsidR="00392A4C" w:rsidRPr="00AB133A">
        <w:rPr>
          <w:color w:val="auto"/>
        </w:rPr>
        <w:t xml:space="preserve">  </w:t>
      </w:r>
      <w:r w:rsidR="00AB133A">
        <w:rPr>
          <w:color w:val="auto"/>
        </w:rPr>
        <w:t xml:space="preserve">The </w:t>
      </w:r>
      <w:r w:rsidR="00AB133A" w:rsidRPr="001F29F9">
        <w:rPr>
          <w:color w:val="000000" w:themeColor="text1"/>
          <w:szCs w:val="24"/>
        </w:rPr>
        <w:t xml:space="preserve">CI was placed on Temporary Disability Retired List (TDRL) with </w:t>
      </w:r>
      <w:r w:rsidR="00AB133A">
        <w:rPr>
          <w:color w:val="000000" w:themeColor="text1"/>
          <w:szCs w:val="24"/>
        </w:rPr>
        <w:t xml:space="preserve">a 30% </w:t>
      </w:r>
      <w:r w:rsidR="00AB133A" w:rsidRPr="001F29F9">
        <w:rPr>
          <w:color w:val="000000" w:themeColor="text1"/>
          <w:szCs w:val="24"/>
        </w:rPr>
        <w:t>rating</w:t>
      </w:r>
      <w:r w:rsidR="00AB133A">
        <w:rPr>
          <w:color w:val="000000" w:themeColor="text1"/>
          <w:szCs w:val="24"/>
        </w:rPr>
        <w:t xml:space="preserve"> for asthma.  At the time of TDRL reevaluation, the</w:t>
      </w:r>
      <w:r w:rsidR="007505C2" w:rsidRPr="00AB133A">
        <w:rPr>
          <w:color w:val="auto"/>
        </w:rPr>
        <w:t xml:space="preserve"> </w:t>
      </w:r>
      <w:r w:rsidR="00684FCE">
        <w:rPr>
          <w:color w:val="auto"/>
        </w:rPr>
        <w:t>Physical Evaluation Board (</w:t>
      </w:r>
      <w:r w:rsidR="007505C2" w:rsidRPr="00AB133A">
        <w:rPr>
          <w:color w:val="auto"/>
        </w:rPr>
        <w:t>PEB</w:t>
      </w:r>
      <w:r w:rsidR="00684FCE">
        <w:rPr>
          <w:color w:val="auto"/>
        </w:rPr>
        <w:t xml:space="preserve">), </w:t>
      </w:r>
      <w:r w:rsidR="00C077AA">
        <w:rPr>
          <w:color w:val="auto"/>
        </w:rPr>
        <w:t xml:space="preserve">in </w:t>
      </w:r>
      <w:r w:rsidR="00684FCE" w:rsidRPr="00AB133A">
        <w:rPr>
          <w:color w:val="auto"/>
        </w:rPr>
        <w:t>September</w:t>
      </w:r>
      <w:r w:rsidR="00684FCE">
        <w:rPr>
          <w:color w:val="auto"/>
        </w:rPr>
        <w:t xml:space="preserve"> 2005,</w:t>
      </w:r>
      <w:r w:rsidR="00AB133A">
        <w:rPr>
          <w:color w:val="auto"/>
        </w:rPr>
        <w:t xml:space="preserve"> initially adjudicated </w:t>
      </w:r>
      <w:r w:rsidR="007505C2" w:rsidRPr="00AB133A">
        <w:rPr>
          <w:color w:val="auto"/>
        </w:rPr>
        <w:t xml:space="preserve">a rating of 0% </w:t>
      </w:r>
      <w:r w:rsidR="00AB133A">
        <w:rPr>
          <w:color w:val="auto"/>
        </w:rPr>
        <w:t xml:space="preserve">based on absences of </w:t>
      </w:r>
      <w:r w:rsidR="007505C2" w:rsidRPr="00AB133A">
        <w:rPr>
          <w:color w:val="auto"/>
        </w:rPr>
        <w:t xml:space="preserve">documentation of medication requirement.  </w:t>
      </w:r>
      <w:r w:rsidR="00AB133A" w:rsidRPr="00AB133A">
        <w:rPr>
          <w:color w:val="auto"/>
        </w:rPr>
        <w:t>The PEB</w:t>
      </w:r>
      <w:r w:rsidR="00AB133A">
        <w:rPr>
          <w:color w:val="auto"/>
        </w:rPr>
        <w:t xml:space="preserve"> subsequently</w:t>
      </w:r>
      <w:r w:rsidR="00AB133A" w:rsidRPr="00AB133A">
        <w:rPr>
          <w:color w:val="auto"/>
        </w:rPr>
        <w:t xml:space="preserve"> adjudicated </w:t>
      </w:r>
      <w:r w:rsidR="00AB133A">
        <w:rPr>
          <w:color w:val="auto"/>
        </w:rPr>
        <w:t xml:space="preserve">a corrected rating of 10% </w:t>
      </w:r>
      <w:r w:rsidR="00AB133A" w:rsidRPr="00AB133A">
        <w:rPr>
          <w:color w:val="auto"/>
        </w:rPr>
        <w:t xml:space="preserve">based on </w:t>
      </w:r>
      <w:r w:rsidR="00AB133A">
        <w:rPr>
          <w:color w:val="auto"/>
        </w:rPr>
        <w:t xml:space="preserve">an </w:t>
      </w:r>
      <w:r w:rsidR="00AB133A" w:rsidRPr="00AB133A">
        <w:rPr>
          <w:color w:val="auto"/>
        </w:rPr>
        <w:t>intermittent requirement for medication</w:t>
      </w:r>
      <w:r w:rsidR="0010144E">
        <w:rPr>
          <w:color w:val="auto"/>
        </w:rPr>
        <w:t xml:space="preserve"> </w:t>
      </w:r>
      <w:r w:rsidR="00AB133A" w:rsidRPr="00AB133A">
        <w:rPr>
          <w:color w:val="auto"/>
        </w:rPr>
        <w:t xml:space="preserve">with application of the Veteran’s Affairs Schedule for Rating Disabilities (VASRD) </w:t>
      </w:r>
      <w:r w:rsidR="00AB133A">
        <w:rPr>
          <w:color w:val="auto"/>
        </w:rPr>
        <w:t xml:space="preserve">and </w:t>
      </w:r>
      <w:r w:rsidR="00AB133A" w:rsidRPr="00AB133A">
        <w:rPr>
          <w:color w:val="auto"/>
        </w:rPr>
        <w:t xml:space="preserve">Department of Defense Instruction (DoDI) 1332.39.  </w:t>
      </w:r>
      <w:r w:rsidRPr="00C97FEF">
        <w:rPr>
          <w:color w:val="auto"/>
        </w:rPr>
        <w:t xml:space="preserve">The CI made no appeals, and was medically separated with </w:t>
      </w:r>
      <w:r w:rsidR="00C97FEF" w:rsidRPr="00C97FEF">
        <w:rPr>
          <w:color w:val="auto"/>
        </w:rPr>
        <w:t>a 10</w:t>
      </w:r>
      <w:r w:rsidR="0066684A" w:rsidRPr="00C97FEF">
        <w:rPr>
          <w:color w:val="auto"/>
        </w:rPr>
        <w:t xml:space="preserve">% </w:t>
      </w:r>
      <w:r w:rsidRPr="00C97FEF">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C97FE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97FEF">
        <w:rPr>
          <w:color w:val="000000" w:themeColor="text1"/>
        </w:rPr>
        <w:t>“</w:t>
      </w:r>
      <w:r w:rsidR="00C97FEF" w:rsidRPr="00B10ECF">
        <w:rPr>
          <w:color w:val="000000" w:themeColor="text1"/>
        </w:rPr>
        <w:t>I was issued the reenlistment code of RE4. This is a permanent designation that bars the individual from reenlistment due to a medical condition</w:t>
      </w:r>
      <w:r w:rsidR="00C97FEF">
        <w:rPr>
          <w:color w:val="000000" w:themeColor="text1"/>
        </w:rPr>
        <w:t xml:space="preserve"> </w:t>
      </w:r>
      <w:r w:rsidR="00C97FEF" w:rsidRPr="00B10ECF">
        <w:rPr>
          <w:color w:val="000000" w:themeColor="text1"/>
        </w:rPr>
        <w:t>that was incurred during military service. I had been diagnosed with asthma by military doctors. I had taken the methacoline test along with several</w:t>
      </w:r>
      <w:r w:rsidR="00C97FEF">
        <w:rPr>
          <w:color w:val="000000" w:themeColor="text1"/>
        </w:rPr>
        <w:t xml:space="preserve"> </w:t>
      </w:r>
      <w:r w:rsidR="00C97FEF" w:rsidRPr="00B10ECF">
        <w:rPr>
          <w:color w:val="000000" w:themeColor="text1"/>
        </w:rPr>
        <w:t>PFT's that all showed inconclusive results. I had been prescribed several types of medications to combat the symptoms of asthma.</w:t>
      </w:r>
      <w:r w:rsidR="00C97FEF">
        <w:rPr>
          <w:color w:val="000000" w:themeColor="text1"/>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00C41508" w:rsidRPr="00C566C9">
        <w:rPr>
          <w:color w:val="auto"/>
        </w:rPr>
        <w:t>The Board wishes to clarify that the scope of its re</w:t>
      </w:r>
      <w:r w:rsidR="00C41508">
        <w:rPr>
          <w:color w:val="auto"/>
        </w:rPr>
        <w:t>view as defined in DoDI 6040.44, Enclosure 3, paragraph 5.e.</w:t>
      </w:r>
      <w:r w:rsidR="00684FCE">
        <w:rPr>
          <w:color w:val="auto"/>
        </w:rPr>
        <w:t xml:space="preserve"> </w:t>
      </w:r>
      <w:r w:rsidR="00C41508">
        <w:rPr>
          <w:color w:val="auto"/>
        </w:rPr>
        <w:t>(2)</w:t>
      </w:r>
      <w:r w:rsidR="00C41508" w:rsidRPr="00C566C9">
        <w:rPr>
          <w:color w:val="auto"/>
        </w:rPr>
        <w:t xml:space="preserve"> is limited to those conditions which were determined by the PEB to be specifically unfitting for continued military service; or, when requested by the CI, those condition</w:t>
      </w:r>
      <w:r w:rsidR="00C41508">
        <w:rPr>
          <w:color w:val="auto"/>
        </w:rPr>
        <w:t>(</w:t>
      </w:r>
      <w:r w:rsidR="00C41508" w:rsidRPr="00C566C9">
        <w:rPr>
          <w:color w:val="auto"/>
        </w:rPr>
        <w:t>s</w:t>
      </w:r>
      <w:r w:rsidR="00C41508">
        <w:rPr>
          <w:color w:val="auto"/>
        </w:rPr>
        <w:t>)</w:t>
      </w:r>
      <w:r w:rsidR="00C41508" w:rsidRPr="00C566C9">
        <w:rPr>
          <w:color w:val="auto"/>
        </w:rPr>
        <w:t xml:space="preserve"> “identified but not determined to be unfitting by the PEB.</w:t>
      </w:r>
      <w:r w:rsidR="00C077AA">
        <w:rPr>
          <w:color w:val="auto"/>
        </w:rPr>
        <w:t>”</w:t>
      </w:r>
      <w:r w:rsidR="00C41508">
        <w:rPr>
          <w:color w:val="auto"/>
        </w:rPr>
        <w:t xml:space="preserve">  </w:t>
      </w:r>
      <w:r w:rsidR="00C41508" w:rsidRPr="009239C0">
        <w:rPr>
          <w:color w:val="auto"/>
        </w:rPr>
        <w:t>The ratings for unfitting conditions will be reviewed in all cases.</w:t>
      </w:r>
      <w:r w:rsidR="00C41508">
        <w:rPr>
          <w:color w:val="auto"/>
        </w:rPr>
        <w:t xml:space="preserve">  </w:t>
      </w:r>
      <w:r w:rsidR="00C41508" w:rsidRPr="009F5C64">
        <w:rPr>
          <w:color w:val="auto"/>
        </w:rPr>
        <w:t>The remaining conditions rated by the VA at separation are not within the Board’s purview.</w:t>
      </w:r>
      <w:r w:rsidR="00C41508" w:rsidRPr="001C39C6">
        <w:rPr>
          <w:color w:val="auto"/>
        </w:rPr>
        <w:t xml:space="preserve">  </w:t>
      </w:r>
      <w:r w:rsidR="00C41508" w:rsidRPr="00C566C9">
        <w:rPr>
          <w:color w:val="auto"/>
        </w:rPr>
        <w:t>Any condition</w:t>
      </w:r>
      <w:r w:rsidR="00C41508">
        <w:rPr>
          <w:color w:val="auto"/>
        </w:rPr>
        <w:t>s</w:t>
      </w:r>
      <w:r w:rsidR="00C41508" w:rsidRPr="00C566C9">
        <w:rPr>
          <w:color w:val="auto"/>
        </w:rPr>
        <w:t xml:space="preserve"> or contention not requested in this application</w:t>
      </w:r>
      <w:r w:rsidR="00C41508">
        <w:rPr>
          <w:color w:val="auto"/>
        </w:rPr>
        <w:t>, or</w:t>
      </w:r>
      <w:r w:rsidR="00C41508" w:rsidRPr="00C566C9">
        <w:rPr>
          <w:color w:val="auto"/>
        </w:rPr>
        <w:t xml:space="preserve"> otherwise outside the Board’s defined scope of review</w:t>
      </w:r>
      <w:r w:rsidR="00C41508">
        <w:rPr>
          <w:color w:val="auto"/>
        </w:rPr>
        <w:t>, remain</w:t>
      </w:r>
      <w:r w:rsidR="00C41508" w:rsidRPr="00C566C9">
        <w:rPr>
          <w:color w:val="auto"/>
        </w:rPr>
        <w:t xml:space="preserve"> eligible for future consideration </w:t>
      </w:r>
      <w:r w:rsidRPr="00C566C9">
        <w:rPr>
          <w:color w:val="auto"/>
        </w:rPr>
        <w:t xml:space="preserve">by </w:t>
      </w:r>
      <w:r w:rsidRPr="009D79E1">
        <w:rPr>
          <w:color w:val="auto"/>
        </w:rPr>
        <w:t>the Army Board for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DB5373" w:rsidRDefault="00DB5373" w:rsidP="00B01038">
      <w:pPr>
        <w:tabs>
          <w:tab w:val="left" w:pos="288"/>
          <w:tab w:val="left" w:pos="4752"/>
        </w:tabs>
        <w:jc w:val="both"/>
        <w:rPr>
          <w:color w:val="000000" w:themeColor="text1"/>
          <w:szCs w:val="24"/>
          <w:u w:val="single"/>
        </w:rPr>
      </w:pPr>
    </w:p>
    <w:p w:rsidR="00B01038" w:rsidRDefault="00B01038" w:rsidP="00B01038">
      <w:pPr>
        <w:tabs>
          <w:tab w:val="left" w:pos="288"/>
          <w:tab w:val="left" w:pos="4752"/>
        </w:tabs>
        <w:jc w:val="both"/>
        <w:rPr>
          <w:color w:val="000000" w:themeColor="text1"/>
          <w:szCs w:val="24"/>
        </w:rPr>
      </w:pPr>
      <w:r w:rsidRPr="001F29F9">
        <w:rPr>
          <w:color w:val="000000" w:themeColor="text1"/>
          <w:szCs w:val="24"/>
          <w:u w:val="single"/>
        </w:rPr>
        <w:t>TDRL R</w:t>
      </w:r>
      <w:r w:rsidR="009D1046">
        <w:rPr>
          <w:color w:val="000000" w:themeColor="text1"/>
          <w:szCs w:val="24"/>
          <w:u w:val="single"/>
        </w:rPr>
        <w:t>ATING COMPARISON</w:t>
      </w:r>
      <w:r w:rsidR="009D1046" w:rsidRPr="009D1046">
        <w:rPr>
          <w:color w:val="000000" w:themeColor="text1"/>
          <w:szCs w:val="24"/>
        </w:rPr>
        <w:t>:</w:t>
      </w:r>
    </w:p>
    <w:p w:rsidR="009A1E45" w:rsidRPr="001F29F9" w:rsidRDefault="009A1E45" w:rsidP="009A1E45">
      <w:pPr>
        <w:tabs>
          <w:tab w:val="left" w:pos="288"/>
          <w:tab w:val="left" w:pos="4752"/>
        </w:tabs>
        <w:jc w:val="both"/>
        <w:rPr>
          <w:b/>
          <w:color w:val="000000" w:themeColor="text1"/>
          <w:sz w:val="18"/>
          <w:szCs w:val="18"/>
          <w:u w:val="single"/>
        </w:rPr>
      </w:pPr>
    </w:p>
    <w:tbl>
      <w:tblPr>
        <w:tblStyle w:val="TableGrid"/>
        <w:tblpPr w:leftFromText="187" w:rightFromText="187" w:vertAnchor="text" w:tblpXSpec="center" w:tblpY="1"/>
        <w:tblOverlap w:val="never"/>
        <w:tblW w:w="9378" w:type="dxa"/>
        <w:jc w:val="center"/>
        <w:tblLayout w:type="fixed"/>
        <w:tblLook w:val="04A0"/>
      </w:tblPr>
      <w:tblGrid>
        <w:gridCol w:w="1278"/>
        <w:gridCol w:w="1170"/>
        <w:gridCol w:w="990"/>
        <w:gridCol w:w="720"/>
        <w:gridCol w:w="2250"/>
        <w:gridCol w:w="1080"/>
        <w:gridCol w:w="810"/>
        <w:gridCol w:w="1080"/>
      </w:tblGrid>
      <w:tr w:rsidR="009A1E45" w:rsidRPr="001F29F9" w:rsidTr="009D79E1">
        <w:trPr>
          <w:trHeight w:val="233"/>
          <w:jc w:val="center"/>
        </w:trPr>
        <w:tc>
          <w:tcPr>
            <w:tcW w:w="4158" w:type="dxa"/>
            <w:gridSpan w:val="4"/>
            <w:tcBorders>
              <w:right w:val="thinThickThinSmallGap" w:sz="24" w:space="0" w:color="auto"/>
            </w:tcBorders>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 xml:space="preserve">Final Service </w:t>
            </w:r>
            <w:r>
              <w:rPr>
                <w:b/>
                <w:color w:val="000000" w:themeColor="text1"/>
                <w:sz w:val="18"/>
                <w:szCs w:val="18"/>
              </w:rPr>
              <w:t>I</w:t>
            </w:r>
            <w:r w:rsidRPr="001F29F9">
              <w:rPr>
                <w:b/>
                <w:color w:val="000000" w:themeColor="text1"/>
                <w:sz w:val="18"/>
                <w:szCs w:val="18"/>
              </w:rPr>
              <w:t>PEB – Dated 200</w:t>
            </w:r>
            <w:r>
              <w:rPr>
                <w:b/>
                <w:color w:val="000000" w:themeColor="text1"/>
                <w:sz w:val="18"/>
                <w:szCs w:val="18"/>
              </w:rPr>
              <w:t>50923</w:t>
            </w:r>
          </w:p>
        </w:tc>
        <w:tc>
          <w:tcPr>
            <w:tcW w:w="5220" w:type="dxa"/>
            <w:gridSpan w:val="4"/>
            <w:tcBorders>
              <w:left w:val="thinThickThinSmallGap" w:sz="24" w:space="0" w:color="auto"/>
            </w:tcBorders>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VA* – All Effective Date 200</w:t>
            </w:r>
            <w:r>
              <w:rPr>
                <w:b/>
                <w:color w:val="000000" w:themeColor="text1"/>
                <w:sz w:val="18"/>
                <w:szCs w:val="18"/>
              </w:rPr>
              <w:t>40723</w:t>
            </w:r>
          </w:p>
        </w:tc>
      </w:tr>
      <w:tr w:rsidR="009A1E45" w:rsidRPr="001F29F9" w:rsidTr="009D79E1">
        <w:trPr>
          <w:trHeight w:val="233"/>
          <w:jc w:val="center"/>
        </w:trPr>
        <w:tc>
          <w:tcPr>
            <w:tcW w:w="1278" w:type="dxa"/>
            <w:tcBorders>
              <w:bottom w:val="single" w:sz="4" w:space="0" w:color="000000" w:themeColor="text1"/>
            </w:tcBorders>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Condition</w:t>
            </w:r>
          </w:p>
        </w:tc>
        <w:tc>
          <w:tcPr>
            <w:tcW w:w="1170" w:type="dxa"/>
            <w:tcBorders>
              <w:bottom w:val="single" w:sz="4" w:space="0" w:color="000000" w:themeColor="text1"/>
            </w:tcBorders>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Code</w:t>
            </w:r>
          </w:p>
        </w:tc>
        <w:tc>
          <w:tcPr>
            <w:tcW w:w="171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Rating</w:t>
            </w:r>
          </w:p>
        </w:tc>
        <w:tc>
          <w:tcPr>
            <w:tcW w:w="2250" w:type="dxa"/>
            <w:vMerge w:val="restart"/>
            <w:tcBorders>
              <w:left w:val="thinThickThinSmallGap" w:sz="24" w:space="0" w:color="auto"/>
            </w:tcBorders>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Condition</w:t>
            </w:r>
          </w:p>
        </w:tc>
        <w:tc>
          <w:tcPr>
            <w:tcW w:w="1080" w:type="dxa"/>
            <w:vMerge w:val="restart"/>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Code</w:t>
            </w:r>
          </w:p>
        </w:tc>
        <w:tc>
          <w:tcPr>
            <w:tcW w:w="810" w:type="dxa"/>
            <w:vMerge w:val="restart"/>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Rating</w:t>
            </w:r>
          </w:p>
        </w:tc>
        <w:tc>
          <w:tcPr>
            <w:tcW w:w="1080" w:type="dxa"/>
            <w:vMerge w:val="restart"/>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Exam</w:t>
            </w:r>
          </w:p>
        </w:tc>
      </w:tr>
      <w:tr w:rsidR="009A1E45" w:rsidRPr="001F29F9" w:rsidTr="009D79E1">
        <w:trPr>
          <w:trHeight w:val="152"/>
          <w:jc w:val="center"/>
        </w:trPr>
        <w:tc>
          <w:tcPr>
            <w:tcW w:w="1278" w:type="dxa"/>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On TDRL – 200</w:t>
            </w:r>
            <w:r>
              <w:rPr>
                <w:b/>
                <w:color w:val="000000" w:themeColor="text1"/>
                <w:sz w:val="18"/>
                <w:szCs w:val="18"/>
              </w:rPr>
              <w:t>40430</w:t>
            </w:r>
          </w:p>
        </w:tc>
        <w:tc>
          <w:tcPr>
            <w:tcW w:w="1170" w:type="dxa"/>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p>
        </w:tc>
        <w:tc>
          <w:tcPr>
            <w:tcW w:w="990" w:type="dxa"/>
            <w:tcBorders>
              <w:right w:val="single" w:sz="4" w:space="0" w:color="auto"/>
            </w:tcBorders>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r w:rsidRPr="001F29F9">
              <w:rPr>
                <w:b/>
                <w:color w:val="000000" w:themeColor="text1"/>
                <w:sz w:val="18"/>
                <w:szCs w:val="18"/>
              </w:rPr>
              <w:t>TDRL</w:t>
            </w:r>
          </w:p>
        </w:tc>
        <w:tc>
          <w:tcPr>
            <w:tcW w:w="720" w:type="dxa"/>
            <w:tcBorders>
              <w:left w:val="single" w:sz="4" w:space="0" w:color="auto"/>
              <w:right w:val="thinThickThinSmallGap" w:sz="24" w:space="0" w:color="auto"/>
            </w:tcBorders>
            <w:shd w:val="clear" w:color="auto" w:fill="D9D9D9" w:themeFill="background1" w:themeFillShade="D9"/>
            <w:vAlign w:val="center"/>
          </w:tcPr>
          <w:p w:rsidR="009A1E45" w:rsidRPr="001F29F9" w:rsidRDefault="009A1E45" w:rsidP="009D79E1">
            <w:pPr>
              <w:tabs>
                <w:tab w:val="left" w:pos="206"/>
                <w:tab w:val="center" w:pos="387"/>
              </w:tabs>
              <w:contextualSpacing/>
              <w:rPr>
                <w:rFonts w:cstheme="minorHAnsi"/>
                <w:b/>
                <w:color w:val="000000" w:themeColor="text1"/>
                <w:sz w:val="18"/>
                <w:szCs w:val="18"/>
              </w:rPr>
            </w:pPr>
            <w:r w:rsidRPr="001F29F9">
              <w:rPr>
                <w:b/>
                <w:color w:val="000000" w:themeColor="text1"/>
                <w:sz w:val="18"/>
                <w:szCs w:val="18"/>
              </w:rPr>
              <w:t>Sep.</w:t>
            </w:r>
          </w:p>
        </w:tc>
        <w:tc>
          <w:tcPr>
            <w:tcW w:w="2250" w:type="dxa"/>
            <w:vMerge/>
            <w:tcBorders>
              <w:left w:val="thinThickThinSmallGap" w:sz="24" w:space="0" w:color="auto"/>
            </w:tcBorders>
            <w:shd w:val="clear" w:color="auto" w:fill="D9D9D9" w:themeFill="background1" w:themeFillShade="D9"/>
            <w:vAlign w:val="center"/>
          </w:tcPr>
          <w:p w:rsidR="009A1E45" w:rsidRPr="001F29F9" w:rsidRDefault="009A1E45" w:rsidP="009D79E1">
            <w:pPr>
              <w:contextualSpacing/>
              <w:rPr>
                <w:rFonts w:cstheme="minorHAnsi"/>
                <w:b/>
                <w:color w:val="000000" w:themeColor="text1"/>
                <w:sz w:val="18"/>
                <w:szCs w:val="18"/>
              </w:rPr>
            </w:pPr>
          </w:p>
        </w:tc>
        <w:tc>
          <w:tcPr>
            <w:tcW w:w="1080" w:type="dxa"/>
            <w:vMerge/>
            <w:shd w:val="clear" w:color="auto" w:fill="C6D9F1" w:themeFill="text2" w:themeFillTint="33"/>
          </w:tcPr>
          <w:p w:rsidR="009A1E45" w:rsidRPr="001F29F9" w:rsidRDefault="009A1E45" w:rsidP="009D79E1">
            <w:pPr>
              <w:contextualSpacing/>
              <w:rPr>
                <w:rFonts w:cstheme="minorHAnsi"/>
                <w:b/>
                <w:color w:val="000000" w:themeColor="text1"/>
                <w:sz w:val="18"/>
                <w:szCs w:val="18"/>
              </w:rPr>
            </w:pPr>
          </w:p>
        </w:tc>
        <w:tc>
          <w:tcPr>
            <w:tcW w:w="810" w:type="dxa"/>
            <w:vMerge/>
            <w:shd w:val="clear" w:color="auto" w:fill="C6D9F1" w:themeFill="text2" w:themeFillTint="33"/>
          </w:tcPr>
          <w:p w:rsidR="009A1E45" w:rsidRPr="001F29F9" w:rsidRDefault="009A1E45" w:rsidP="009D79E1">
            <w:pPr>
              <w:contextualSpacing/>
              <w:rPr>
                <w:rFonts w:cstheme="minorHAnsi"/>
                <w:b/>
                <w:color w:val="000000" w:themeColor="text1"/>
                <w:sz w:val="18"/>
                <w:szCs w:val="18"/>
              </w:rPr>
            </w:pPr>
          </w:p>
        </w:tc>
        <w:tc>
          <w:tcPr>
            <w:tcW w:w="1080" w:type="dxa"/>
            <w:vMerge/>
            <w:shd w:val="clear" w:color="auto" w:fill="C6D9F1" w:themeFill="text2" w:themeFillTint="33"/>
          </w:tcPr>
          <w:p w:rsidR="009A1E45" w:rsidRPr="001F29F9" w:rsidRDefault="009A1E45" w:rsidP="009D79E1">
            <w:pPr>
              <w:contextualSpacing/>
              <w:rPr>
                <w:rFonts w:cstheme="minorHAnsi"/>
                <w:b/>
                <w:color w:val="000000" w:themeColor="text1"/>
                <w:sz w:val="18"/>
                <w:szCs w:val="18"/>
              </w:rPr>
            </w:pPr>
          </w:p>
        </w:tc>
      </w:tr>
      <w:tr w:rsidR="009A1E45" w:rsidRPr="001F29F9" w:rsidTr="009D79E1">
        <w:trPr>
          <w:trHeight w:val="125"/>
          <w:jc w:val="center"/>
        </w:trPr>
        <w:tc>
          <w:tcPr>
            <w:tcW w:w="1278" w:type="dxa"/>
            <w:tcBorders>
              <w:right w:val="single" w:sz="4" w:space="0" w:color="auto"/>
            </w:tcBorders>
            <w:shd w:val="clear" w:color="auto" w:fill="FFFFFF" w:themeFill="background1"/>
          </w:tcPr>
          <w:p w:rsidR="009A1E45" w:rsidRPr="001F29F9" w:rsidRDefault="009A1E45" w:rsidP="009D79E1">
            <w:pPr>
              <w:spacing w:line="180" w:lineRule="exact"/>
              <w:contextualSpacing/>
              <w:jc w:val="both"/>
              <w:rPr>
                <w:rFonts w:cstheme="minorHAnsi"/>
                <w:color w:val="000000" w:themeColor="text1"/>
                <w:sz w:val="18"/>
                <w:szCs w:val="18"/>
              </w:rPr>
            </w:pPr>
            <w:r>
              <w:rPr>
                <w:rFonts w:cstheme="minorHAnsi"/>
                <w:color w:val="000000" w:themeColor="text1"/>
                <w:sz w:val="18"/>
                <w:szCs w:val="18"/>
              </w:rPr>
              <w:t>Asthma</w:t>
            </w:r>
          </w:p>
        </w:tc>
        <w:tc>
          <w:tcPr>
            <w:tcW w:w="1170" w:type="dxa"/>
            <w:tcBorders>
              <w:left w:val="single" w:sz="4" w:space="0" w:color="auto"/>
            </w:tcBorders>
            <w:shd w:val="clear" w:color="auto" w:fill="FFFFFF" w:themeFill="background1"/>
            <w:vAlign w:val="center"/>
          </w:tcPr>
          <w:p w:rsidR="009A1E45" w:rsidRPr="001F29F9" w:rsidRDefault="009A1E45" w:rsidP="009D79E1">
            <w:pPr>
              <w:spacing w:line="180" w:lineRule="exact"/>
              <w:contextualSpacing/>
              <w:rPr>
                <w:rFonts w:cstheme="minorHAnsi"/>
                <w:color w:val="000000" w:themeColor="text1"/>
                <w:sz w:val="18"/>
                <w:szCs w:val="18"/>
              </w:rPr>
            </w:pPr>
            <w:r>
              <w:rPr>
                <w:rFonts w:cstheme="minorHAnsi"/>
                <w:color w:val="000000" w:themeColor="text1"/>
                <w:sz w:val="18"/>
                <w:szCs w:val="18"/>
              </w:rPr>
              <w:t>6602</w:t>
            </w:r>
          </w:p>
        </w:tc>
        <w:tc>
          <w:tcPr>
            <w:tcW w:w="990" w:type="dxa"/>
            <w:tcBorders>
              <w:right w:val="single" w:sz="4" w:space="0" w:color="auto"/>
            </w:tcBorders>
            <w:shd w:val="clear" w:color="auto" w:fill="FFFFFF" w:themeFill="background1"/>
            <w:vAlign w:val="center"/>
          </w:tcPr>
          <w:p w:rsidR="009A1E45" w:rsidRPr="001F29F9" w:rsidRDefault="009A1E45" w:rsidP="009D79E1">
            <w:pPr>
              <w:spacing w:line="180" w:lineRule="exact"/>
              <w:rPr>
                <w:rFonts w:cstheme="minorHAnsi"/>
                <w:color w:val="000000" w:themeColor="text1"/>
                <w:sz w:val="18"/>
                <w:szCs w:val="18"/>
              </w:rPr>
            </w:pPr>
            <w:r>
              <w:rPr>
                <w:rFonts w:cstheme="minorHAnsi"/>
                <w:color w:val="000000" w:themeColor="text1"/>
                <w:sz w:val="18"/>
                <w:szCs w:val="18"/>
              </w:rPr>
              <w:t>30</w:t>
            </w:r>
            <w:r w:rsidRPr="001F29F9">
              <w:rPr>
                <w:rFonts w:cstheme="minorHAnsi"/>
                <w:color w:val="000000" w:themeColor="text1"/>
                <w:sz w:val="18"/>
                <w:szCs w:val="18"/>
              </w:rPr>
              <w:t>%</w:t>
            </w:r>
          </w:p>
        </w:tc>
        <w:tc>
          <w:tcPr>
            <w:tcW w:w="720" w:type="dxa"/>
            <w:tcBorders>
              <w:left w:val="single" w:sz="4" w:space="0" w:color="auto"/>
              <w:right w:val="thinThickThinSmallGap" w:sz="24" w:space="0" w:color="auto"/>
            </w:tcBorders>
            <w:shd w:val="clear" w:color="auto" w:fill="FFFFFF" w:themeFill="background1"/>
            <w:vAlign w:val="center"/>
          </w:tcPr>
          <w:p w:rsidR="009A1E45" w:rsidRPr="001F29F9" w:rsidRDefault="009A1E45" w:rsidP="009D79E1">
            <w:pPr>
              <w:spacing w:line="180" w:lineRule="exact"/>
              <w:rPr>
                <w:rFonts w:cstheme="minorHAnsi"/>
                <w:color w:val="000000" w:themeColor="text1"/>
                <w:sz w:val="18"/>
                <w:szCs w:val="18"/>
              </w:rPr>
            </w:pPr>
            <w:r>
              <w:rPr>
                <w:rFonts w:cstheme="minorHAnsi"/>
                <w:color w:val="000000" w:themeColor="text1"/>
                <w:sz w:val="18"/>
                <w:szCs w:val="18"/>
              </w:rPr>
              <w:t>10</w:t>
            </w:r>
            <w:r w:rsidRPr="001F29F9">
              <w:rPr>
                <w:rFonts w:cstheme="minorHAnsi"/>
                <w:color w:val="000000" w:themeColor="text1"/>
                <w:sz w:val="18"/>
                <w:szCs w:val="18"/>
              </w:rPr>
              <w:t>%</w:t>
            </w:r>
          </w:p>
        </w:tc>
        <w:tc>
          <w:tcPr>
            <w:tcW w:w="2250" w:type="dxa"/>
            <w:tcBorders>
              <w:left w:val="thinThickThinSmallGap" w:sz="24" w:space="0" w:color="auto"/>
            </w:tcBorders>
            <w:shd w:val="clear" w:color="auto" w:fill="FFFFFF" w:themeFill="background1"/>
          </w:tcPr>
          <w:p w:rsidR="009A1E45" w:rsidRPr="001F29F9" w:rsidRDefault="009A1E45" w:rsidP="009D79E1">
            <w:pPr>
              <w:spacing w:line="180" w:lineRule="exact"/>
              <w:contextualSpacing/>
              <w:jc w:val="both"/>
              <w:rPr>
                <w:rFonts w:cstheme="minorHAnsi"/>
                <w:color w:val="000000" w:themeColor="text1"/>
                <w:sz w:val="18"/>
                <w:szCs w:val="18"/>
              </w:rPr>
            </w:pPr>
            <w:r>
              <w:rPr>
                <w:rFonts w:cstheme="minorHAnsi"/>
                <w:color w:val="000000" w:themeColor="text1"/>
                <w:sz w:val="18"/>
                <w:szCs w:val="18"/>
              </w:rPr>
              <w:t>Asthma</w:t>
            </w:r>
          </w:p>
        </w:tc>
        <w:tc>
          <w:tcPr>
            <w:tcW w:w="1080" w:type="dxa"/>
            <w:shd w:val="clear" w:color="auto" w:fill="FFFFFF" w:themeFill="background1"/>
            <w:vAlign w:val="center"/>
          </w:tcPr>
          <w:p w:rsidR="009A1E45" w:rsidRPr="001F29F9" w:rsidRDefault="009A1E45" w:rsidP="009D79E1">
            <w:pPr>
              <w:spacing w:line="180" w:lineRule="exact"/>
              <w:contextualSpacing/>
              <w:rPr>
                <w:rFonts w:cstheme="minorHAnsi"/>
                <w:color w:val="000000" w:themeColor="text1"/>
                <w:sz w:val="18"/>
                <w:szCs w:val="18"/>
              </w:rPr>
            </w:pPr>
            <w:r>
              <w:rPr>
                <w:rFonts w:cstheme="minorHAnsi"/>
                <w:color w:val="000000" w:themeColor="text1"/>
                <w:sz w:val="18"/>
                <w:szCs w:val="18"/>
              </w:rPr>
              <w:t>6602</w:t>
            </w:r>
          </w:p>
        </w:tc>
        <w:tc>
          <w:tcPr>
            <w:tcW w:w="810" w:type="dxa"/>
            <w:shd w:val="clear" w:color="auto" w:fill="FFFFFF" w:themeFill="background1"/>
            <w:vAlign w:val="center"/>
          </w:tcPr>
          <w:p w:rsidR="009A1E45" w:rsidRPr="001F29F9" w:rsidRDefault="009A1E45" w:rsidP="009D79E1">
            <w:pPr>
              <w:spacing w:line="180" w:lineRule="exact"/>
              <w:contextualSpacing/>
              <w:rPr>
                <w:rFonts w:cstheme="minorHAnsi"/>
                <w:color w:val="000000" w:themeColor="text1"/>
                <w:sz w:val="18"/>
                <w:szCs w:val="18"/>
              </w:rPr>
            </w:pPr>
            <w:r>
              <w:rPr>
                <w:rFonts w:cstheme="minorHAnsi"/>
                <w:color w:val="000000" w:themeColor="text1"/>
                <w:sz w:val="18"/>
                <w:szCs w:val="18"/>
              </w:rPr>
              <w:t>10</w:t>
            </w:r>
            <w:r w:rsidRPr="001F29F9">
              <w:rPr>
                <w:rFonts w:cstheme="minorHAnsi"/>
                <w:color w:val="000000" w:themeColor="text1"/>
                <w:sz w:val="18"/>
                <w:szCs w:val="18"/>
              </w:rPr>
              <w:t>%</w:t>
            </w:r>
          </w:p>
        </w:tc>
        <w:tc>
          <w:tcPr>
            <w:tcW w:w="1080" w:type="dxa"/>
            <w:shd w:val="clear" w:color="auto" w:fill="FFFFFF" w:themeFill="background1"/>
            <w:vAlign w:val="center"/>
          </w:tcPr>
          <w:p w:rsidR="009A1E45" w:rsidRPr="001F29F9" w:rsidRDefault="009A1E45" w:rsidP="009D79E1">
            <w:pPr>
              <w:spacing w:line="180" w:lineRule="exact"/>
              <w:contextualSpacing/>
              <w:rPr>
                <w:rFonts w:cstheme="minorHAnsi"/>
                <w:color w:val="000000" w:themeColor="text1"/>
                <w:sz w:val="18"/>
                <w:szCs w:val="18"/>
              </w:rPr>
            </w:pPr>
            <w:r w:rsidRPr="001F29F9">
              <w:rPr>
                <w:rFonts w:cstheme="minorHAnsi"/>
                <w:color w:val="000000" w:themeColor="text1"/>
                <w:sz w:val="18"/>
                <w:szCs w:val="18"/>
              </w:rPr>
              <w:t>200</w:t>
            </w:r>
            <w:r>
              <w:rPr>
                <w:rFonts w:cstheme="minorHAnsi"/>
                <w:color w:val="000000" w:themeColor="text1"/>
                <w:sz w:val="18"/>
                <w:szCs w:val="18"/>
              </w:rPr>
              <w:t>40928</w:t>
            </w:r>
          </w:p>
        </w:tc>
      </w:tr>
      <w:tr w:rsidR="00AB133A" w:rsidRPr="001F29F9" w:rsidTr="00BD31B3">
        <w:trPr>
          <w:trHeight w:val="125"/>
          <w:jc w:val="center"/>
        </w:trPr>
        <w:tc>
          <w:tcPr>
            <w:tcW w:w="4158" w:type="dxa"/>
            <w:gridSpan w:val="4"/>
            <w:vMerge w:val="restart"/>
            <w:tcBorders>
              <w:right w:val="thinThickThinSmallGap" w:sz="24" w:space="0" w:color="auto"/>
            </w:tcBorders>
            <w:shd w:val="clear" w:color="auto" w:fill="FFFFFF" w:themeFill="background1"/>
          </w:tcPr>
          <w:p w:rsidR="00AB133A" w:rsidRPr="001F29F9" w:rsidRDefault="00AB133A" w:rsidP="009D79E1">
            <w:pPr>
              <w:spacing w:line="180" w:lineRule="exact"/>
              <w:rPr>
                <w:rFonts w:cstheme="minorHAnsi"/>
                <w:color w:val="000000" w:themeColor="text1"/>
                <w:sz w:val="18"/>
                <w:szCs w:val="18"/>
              </w:rPr>
            </w:pPr>
            <w:r w:rsidRPr="001F29F9">
              <w:rPr>
                <w:rFonts w:cstheme="minorHAnsi"/>
                <w:color w:val="000000" w:themeColor="text1"/>
                <w:sz w:val="18"/>
                <w:szCs w:val="18"/>
              </w:rPr>
              <w:t>↓No Additional MEB/PEB Entries↓</w:t>
            </w:r>
          </w:p>
        </w:tc>
        <w:tc>
          <w:tcPr>
            <w:tcW w:w="2250" w:type="dxa"/>
            <w:tcBorders>
              <w:left w:val="thinThickThinSmallGap" w:sz="24" w:space="0" w:color="auto"/>
            </w:tcBorders>
            <w:shd w:val="clear" w:color="auto" w:fill="FFFFFF" w:themeFill="background1"/>
          </w:tcPr>
          <w:p w:rsidR="00AB133A" w:rsidRPr="001F29F9" w:rsidRDefault="00AB133A" w:rsidP="009D79E1">
            <w:pPr>
              <w:spacing w:line="180" w:lineRule="exact"/>
              <w:contextualSpacing/>
              <w:jc w:val="both"/>
              <w:rPr>
                <w:rFonts w:cstheme="minorHAnsi"/>
                <w:color w:val="000000" w:themeColor="text1"/>
                <w:sz w:val="18"/>
                <w:szCs w:val="18"/>
              </w:rPr>
            </w:pPr>
            <w:r>
              <w:rPr>
                <w:rFonts w:cstheme="minorHAnsi"/>
                <w:color w:val="000000" w:themeColor="text1"/>
                <w:sz w:val="18"/>
                <w:szCs w:val="18"/>
              </w:rPr>
              <w:t>Thoracolumbar Spine Strain</w:t>
            </w:r>
          </w:p>
        </w:tc>
        <w:tc>
          <w:tcPr>
            <w:tcW w:w="1080" w:type="dxa"/>
            <w:shd w:val="clear" w:color="auto" w:fill="FFFFFF" w:themeFill="background1"/>
            <w:vAlign w:val="center"/>
          </w:tcPr>
          <w:p w:rsidR="00AB133A" w:rsidRPr="001F29F9" w:rsidRDefault="00AB133A" w:rsidP="009D79E1">
            <w:pPr>
              <w:spacing w:line="180" w:lineRule="exact"/>
              <w:contextualSpacing/>
              <w:rPr>
                <w:rFonts w:cstheme="minorHAnsi"/>
                <w:color w:val="000000" w:themeColor="text1"/>
                <w:sz w:val="18"/>
                <w:szCs w:val="18"/>
              </w:rPr>
            </w:pPr>
            <w:r>
              <w:rPr>
                <w:rFonts w:cstheme="minorHAnsi"/>
                <w:color w:val="000000" w:themeColor="text1"/>
                <w:sz w:val="18"/>
                <w:szCs w:val="18"/>
              </w:rPr>
              <w:t>5237</w:t>
            </w:r>
          </w:p>
        </w:tc>
        <w:tc>
          <w:tcPr>
            <w:tcW w:w="810" w:type="dxa"/>
            <w:shd w:val="clear" w:color="auto" w:fill="FFFFFF" w:themeFill="background1"/>
            <w:vAlign w:val="center"/>
          </w:tcPr>
          <w:p w:rsidR="00AB133A" w:rsidRPr="001F29F9" w:rsidRDefault="00AB133A" w:rsidP="009D79E1">
            <w:pPr>
              <w:spacing w:line="180" w:lineRule="exact"/>
              <w:contextualSpacing/>
              <w:rPr>
                <w:rFonts w:cstheme="minorHAnsi"/>
                <w:color w:val="000000" w:themeColor="text1"/>
                <w:sz w:val="18"/>
                <w:szCs w:val="18"/>
              </w:rPr>
            </w:pPr>
            <w:r>
              <w:rPr>
                <w:rFonts w:cstheme="minorHAnsi"/>
                <w:color w:val="000000" w:themeColor="text1"/>
                <w:sz w:val="18"/>
                <w:szCs w:val="18"/>
              </w:rPr>
              <w:t>10%</w:t>
            </w:r>
          </w:p>
        </w:tc>
        <w:tc>
          <w:tcPr>
            <w:tcW w:w="1080" w:type="dxa"/>
            <w:shd w:val="clear" w:color="auto" w:fill="FFFFFF" w:themeFill="background1"/>
            <w:vAlign w:val="center"/>
          </w:tcPr>
          <w:p w:rsidR="00AB133A" w:rsidRPr="001F29F9" w:rsidRDefault="00AB133A" w:rsidP="009D79E1">
            <w:pPr>
              <w:spacing w:line="180" w:lineRule="exact"/>
              <w:contextualSpacing/>
              <w:rPr>
                <w:rFonts w:cstheme="minorHAnsi"/>
                <w:color w:val="000000" w:themeColor="text1"/>
                <w:sz w:val="18"/>
                <w:szCs w:val="18"/>
              </w:rPr>
            </w:pPr>
            <w:r>
              <w:rPr>
                <w:rFonts w:cstheme="minorHAnsi"/>
                <w:color w:val="000000" w:themeColor="text1"/>
                <w:sz w:val="18"/>
                <w:szCs w:val="18"/>
              </w:rPr>
              <w:t>20040928</w:t>
            </w:r>
          </w:p>
        </w:tc>
      </w:tr>
      <w:tr w:rsidR="00AB133A" w:rsidRPr="001F29F9" w:rsidTr="009D79E1">
        <w:trPr>
          <w:trHeight w:val="188"/>
          <w:jc w:val="center"/>
        </w:trPr>
        <w:tc>
          <w:tcPr>
            <w:tcW w:w="4158" w:type="dxa"/>
            <w:gridSpan w:val="4"/>
            <w:vMerge/>
            <w:tcBorders>
              <w:bottom w:val="single" w:sz="4" w:space="0" w:color="000000" w:themeColor="text1"/>
              <w:right w:val="thinThickThinSmallGap" w:sz="24" w:space="0" w:color="auto"/>
            </w:tcBorders>
            <w:shd w:val="clear" w:color="auto" w:fill="FFFFFF" w:themeFill="background1"/>
          </w:tcPr>
          <w:p w:rsidR="00AB133A" w:rsidRPr="001F29F9" w:rsidRDefault="00AB133A" w:rsidP="009D79E1">
            <w:pPr>
              <w:spacing w:line="180" w:lineRule="exact"/>
              <w:contextualSpacing/>
              <w:rPr>
                <w:rFonts w:cstheme="minorHAnsi"/>
                <w:color w:val="000000" w:themeColor="text1"/>
                <w:sz w:val="18"/>
                <w:szCs w:val="18"/>
              </w:rPr>
            </w:pPr>
          </w:p>
        </w:tc>
        <w:tc>
          <w:tcPr>
            <w:tcW w:w="4140" w:type="dxa"/>
            <w:gridSpan w:val="3"/>
            <w:tcBorders>
              <w:left w:val="thinThickThinSmallGap" w:sz="24" w:space="0" w:color="auto"/>
              <w:bottom w:val="single" w:sz="4" w:space="0" w:color="000000" w:themeColor="text1"/>
            </w:tcBorders>
            <w:shd w:val="clear" w:color="auto" w:fill="FFFFFF" w:themeFill="background1"/>
            <w:vAlign w:val="center"/>
          </w:tcPr>
          <w:p w:rsidR="00AB133A" w:rsidRPr="001F29F9" w:rsidRDefault="00AB133A" w:rsidP="009D79E1">
            <w:pPr>
              <w:spacing w:line="180" w:lineRule="exact"/>
              <w:contextualSpacing/>
              <w:rPr>
                <w:rFonts w:cstheme="minorHAnsi"/>
                <w:color w:val="000000" w:themeColor="text1"/>
                <w:sz w:val="18"/>
                <w:szCs w:val="18"/>
              </w:rPr>
            </w:pPr>
            <w:r>
              <w:rPr>
                <w:rFonts w:cstheme="minorHAnsi"/>
                <w:color w:val="000000" w:themeColor="text1"/>
                <w:sz w:val="18"/>
                <w:szCs w:val="18"/>
              </w:rPr>
              <w:t>0% x 2</w:t>
            </w:r>
            <w:r w:rsidRPr="001F29F9">
              <w:rPr>
                <w:rFonts w:cstheme="minorHAnsi"/>
                <w:color w:val="000000" w:themeColor="text1"/>
                <w:sz w:val="18"/>
                <w:szCs w:val="18"/>
              </w:rPr>
              <w:t xml:space="preserve">/Not Service Connected x </w:t>
            </w:r>
            <w:r>
              <w:rPr>
                <w:rFonts w:cstheme="minorHAnsi"/>
                <w:color w:val="000000" w:themeColor="text1"/>
                <w:sz w:val="18"/>
                <w:szCs w:val="18"/>
              </w:rPr>
              <w:t>2</w:t>
            </w:r>
          </w:p>
        </w:tc>
        <w:tc>
          <w:tcPr>
            <w:tcW w:w="1080" w:type="dxa"/>
            <w:tcBorders>
              <w:bottom w:val="single" w:sz="4" w:space="0" w:color="000000" w:themeColor="text1"/>
            </w:tcBorders>
            <w:shd w:val="clear" w:color="auto" w:fill="FFFFFF" w:themeFill="background1"/>
            <w:vAlign w:val="center"/>
          </w:tcPr>
          <w:p w:rsidR="00AB133A" w:rsidRPr="001F29F9" w:rsidRDefault="00AB133A" w:rsidP="009D79E1">
            <w:pPr>
              <w:spacing w:line="180" w:lineRule="exact"/>
              <w:contextualSpacing/>
              <w:rPr>
                <w:rFonts w:cstheme="minorHAnsi"/>
                <w:color w:val="000000" w:themeColor="text1"/>
                <w:sz w:val="18"/>
                <w:szCs w:val="18"/>
              </w:rPr>
            </w:pPr>
            <w:r w:rsidRPr="001F29F9">
              <w:rPr>
                <w:rFonts w:cstheme="minorHAnsi"/>
                <w:color w:val="000000" w:themeColor="text1"/>
                <w:sz w:val="18"/>
                <w:szCs w:val="18"/>
              </w:rPr>
              <w:t>200</w:t>
            </w:r>
            <w:r>
              <w:rPr>
                <w:rFonts w:cstheme="minorHAnsi"/>
                <w:color w:val="000000" w:themeColor="text1"/>
                <w:sz w:val="18"/>
                <w:szCs w:val="18"/>
              </w:rPr>
              <w:t>40928</w:t>
            </w:r>
          </w:p>
        </w:tc>
      </w:tr>
      <w:tr w:rsidR="009A1E45" w:rsidRPr="001F29F9" w:rsidTr="009D79E1">
        <w:trPr>
          <w:trHeight w:val="242"/>
          <w:jc w:val="center"/>
        </w:trPr>
        <w:tc>
          <w:tcPr>
            <w:tcW w:w="4158" w:type="dxa"/>
            <w:gridSpan w:val="4"/>
            <w:tcBorders>
              <w:right w:val="thinThickThinSmallGap" w:sz="24" w:space="0" w:color="auto"/>
            </w:tcBorders>
            <w:shd w:val="clear" w:color="auto" w:fill="D9D9D9" w:themeFill="background1" w:themeFillShade="D9"/>
            <w:vAlign w:val="center"/>
          </w:tcPr>
          <w:p w:rsidR="009A1E45" w:rsidRPr="001F29F9" w:rsidRDefault="009A1E45" w:rsidP="009D79E1">
            <w:pPr>
              <w:contextualSpacing/>
              <w:rPr>
                <w:rFonts w:cstheme="minorHAnsi"/>
                <w:color w:val="000000" w:themeColor="text1"/>
                <w:sz w:val="18"/>
                <w:szCs w:val="18"/>
              </w:rPr>
            </w:pPr>
            <w:r w:rsidRPr="001F29F9">
              <w:rPr>
                <w:rFonts w:cstheme="minorHAnsi"/>
                <w:color w:val="000000" w:themeColor="text1"/>
                <w:sz w:val="18"/>
                <w:szCs w:val="18"/>
              </w:rPr>
              <w:t xml:space="preserve">Combined:  </w:t>
            </w:r>
            <w:r>
              <w:rPr>
                <w:rFonts w:cstheme="minorHAnsi"/>
                <w:color w:val="000000" w:themeColor="text1"/>
                <w:sz w:val="18"/>
                <w:szCs w:val="18"/>
              </w:rPr>
              <w:t>10</w:t>
            </w:r>
            <w:r w:rsidRPr="001F29F9">
              <w:rPr>
                <w:rFonts w:cstheme="minorHAnsi"/>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9A1E45" w:rsidRPr="001F29F9" w:rsidRDefault="009A1E45" w:rsidP="009D79E1">
            <w:pPr>
              <w:contextualSpacing/>
              <w:rPr>
                <w:rFonts w:cstheme="minorHAnsi"/>
                <w:color w:val="000000" w:themeColor="text1"/>
                <w:sz w:val="18"/>
                <w:szCs w:val="18"/>
              </w:rPr>
            </w:pPr>
            <w:r w:rsidRPr="001F29F9">
              <w:rPr>
                <w:rFonts w:cstheme="minorHAnsi"/>
                <w:color w:val="000000" w:themeColor="text1"/>
                <w:sz w:val="18"/>
                <w:szCs w:val="18"/>
              </w:rPr>
              <w:t xml:space="preserve">Combined:  </w:t>
            </w:r>
            <w:r>
              <w:rPr>
                <w:rFonts w:cstheme="minorHAnsi"/>
                <w:color w:val="000000" w:themeColor="text1"/>
                <w:sz w:val="18"/>
                <w:szCs w:val="18"/>
              </w:rPr>
              <w:t>2</w:t>
            </w:r>
            <w:r w:rsidRPr="001F29F9">
              <w:rPr>
                <w:rFonts w:cstheme="minorHAnsi"/>
                <w:color w:val="000000" w:themeColor="text1"/>
                <w:sz w:val="18"/>
                <w:szCs w:val="18"/>
              </w:rPr>
              <w:t>0%</w:t>
            </w:r>
          </w:p>
        </w:tc>
      </w:tr>
    </w:tbl>
    <w:p w:rsidR="000C5113" w:rsidRPr="003C5FA2" w:rsidRDefault="000C5113" w:rsidP="009A1E45">
      <w:pPr>
        <w:pBdr>
          <w:bottom w:val="single" w:sz="12" w:space="1" w:color="auto"/>
        </w:pBdr>
        <w:tabs>
          <w:tab w:val="left" w:pos="288"/>
          <w:tab w:val="left" w:pos="4752"/>
        </w:tabs>
        <w:jc w:val="both"/>
        <w:rPr>
          <w:color w:val="000000" w:themeColor="text1"/>
          <w:sz w:val="18"/>
          <w:szCs w:val="18"/>
        </w:rPr>
      </w:pPr>
    </w:p>
    <w:p w:rsidR="00AD2379" w:rsidRPr="00F64312" w:rsidRDefault="00AD2379" w:rsidP="00165C7B">
      <w:pPr>
        <w:jc w:val="both"/>
        <w:rPr>
          <w:color w:val="auto"/>
        </w:rPr>
      </w:pPr>
    </w:p>
    <w:p w:rsidR="00AD2379" w:rsidRDefault="00AD2379" w:rsidP="00726F84">
      <w:pPr>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9D79E1" w:rsidRPr="009D79E1">
        <w:rPr>
          <w:color w:val="auto"/>
        </w:rPr>
        <w:t>The Disability Evaluation System (DES) is responsible for maintaining a fit and vital fighting force. 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service members for anticipated future severity or potential complications of conditions resulting in medical separation nor for conditions determined to be service</w:t>
      </w:r>
      <w:r w:rsidR="00B67830">
        <w:rPr>
          <w:color w:val="auto"/>
        </w:rPr>
        <w:t>-</w:t>
      </w:r>
      <w:r w:rsidR="009D79E1" w:rsidRPr="009D79E1">
        <w:rPr>
          <w:color w:val="auto"/>
        </w:rPr>
        <w:t>connected by the</w:t>
      </w:r>
      <w:r w:rsidR="00B67830">
        <w:rPr>
          <w:color w:val="auto"/>
        </w:rPr>
        <w:t xml:space="preserve"> </w:t>
      </w:r>
      <w:r w:rsidR="00B67830" w:rsidRPr="009D79E1">
        <w:rPr>
          <w:color w:val="auto"/>
        </w:rPr>
        <w:t>Department of Veteran</w:t>
      </w:r>
      <w:r w:rsidR="00B67830">
        <w:rPr>
          <w:color w:val="auto"/>
        </w:rPr>
        <w:t>s’</w:t>
      </w:r>
      <w:r w:rsidR="00B67830" w:rsidRPr="009D79E1">
        <w:rPr>
          <w:color w:val="auto"/>
        </w:rPr>
        <w:t xml:space="preserve"> Affairs</w:t>
      </w:r>
      <w:r w:rsidR="009D79E1" w:rsidRPr="009D79E1">
        <w:rPr>
          <w:color w:val="auto"/>
        </w:rPr>
        <w:t xml:space="preserve"> </w:t>
      </w:r>
      <w:r w:rsidR="00B67830">
        <w:rPr>
          <w:color w:val="auto"/>
        </w:rPr>
        <w:t>(D</w:t>
      </w:r>
      <w:r w:rsidR="009D79E1" w:rsidRPr="009D79E1">
        <w:rPr>
          <w:color w:val="auto"/>
        </w:rPr>
        <w:t>VA</w:t>
      </w:r>
      <w:r w:rsidR="00B67830">
        <w:rPr>
          <w:color w:val="auto"/>
        </w:rPr>
        <w:t>)</w:t>
      </w:r>
      <w:r w:rsidR="009D79E1" w:rsidRPr="009D79E1">
        <w:rPr>
          <w:color w:val="auto"/>
        </w:rPr>
        <w:t xml:space="preserve"> but not determined to be unfitting by the PEB.  However the DVA, operating under a different set of laws (Title 38, United States Code), is empowered to compensate all service</w:t>
      </w:r>
      <w:r w:rsidR="00B67830">
        <w:rPr>
          <w:color w:val="auto"/>
        </w:rPr>
        <w:t>-</w:t>
      </w:r>
      <w:r w:rsidR="009D79E1" w:rsidRPr="009D79E1">
        <w:rPr>
          <w:color w:val="auto"/>
        </w:rPr>
        <w:t xml:space="preserve">connected conditions and to periodically re-evaluate said conditions for the purpose of adjusting the </w:t>
      </w:r>
      <w:r w:rsidR="00B67830">
        <w:rPr>
          <w:color w:val="auto"/>
        </w:rPr>
        <w:t>V</w:t>
      </w:r>
      <w:r w:rsidR="009D79E1" w:rsidRPr="009D79E1">
        <w:rPr>
          <w:color w:val="auto"/>
        </w:rPr>
        <w:t>eteran’s disability rating should his degree of impairment vary over time.  The Board’s role is confined to the review of medical records and all evidence at hand to assess the fairness of PEB rating determinations, compared to VASRD standards, based on severity at the time of separation.</w:t>
      </w:r>
      <w:r w:rsidR="007752FB">
        <w:rPr>
          <w:color w:val="auto"/>
        </w:rPr>
        <w:t xml:space="preserve">  </w:t>
      </w:r>
      <w:r w:rsidR="007752FB" w:rsidRPr="007C3350">
        <w:rPr>
          <w:rFonts w:cs="Times New Roman"/>
          <w:color w:val="auto"/>
          <w:szCs w:val="24"/>
        </w:rPr>
        <w:t xml:space="preserve">The Board has neither the jurisdiction nor authority to scrutinize or render opinions in reference to the </w:t>
      </w:r>
      <w:r w:rsidR="007752FB">
        <w:rPr>
          <w:rFonts w:cs="Times New Roman"/>
          <w:color w:val="auto"/>
          <w:szCs w:val="24"/>
        </w:rPr>
        <w:t>Texas Veterans</w:t>
      </w:r>
      <w:r w:rsidR="00B67830">
        <w:rPr>
          <w:rFonts w:cs="Times New Roman"/>
          <w:color w:val="auto"/>
          <w:szCs w:val="24"/>
        </w:rPr>
        <w:t>’</w:t>
      </w:r>
      <w:r w:rsidR="007752FB">
        <w:rPr>
          <w:rFonts w:cs="Times New Roman"/>
          <w:color w:val="auto"/>
          <w:szCs w:val="24"/>
        </w:rPr>
        <w:t xml:space="preserve"> Commission representative’s</w:t>
      </w:r>
      <w:r w:rsidR="007752FB" w:rsidRPr="007C3350">
        <w:rPr>
          <w:rFonts w:cs="Times New Roman"/>
          <w:color w:val="auto"/>
          <w:szCs w:val="24"/>
        </w:rPr>
        <w:t xml:space="preserve"> statements in the application regarding suspected DES improprieties in the processing of his case.</w:t>
      </w:r>
      <w:r w:rsidR="009D79E1" w:rsidRPr="009D79E1">
        <w:rPr>
          <w:color w:val="auto"/>
        </w:rPr>
        <w:t xml:space="preserve">  </w:t>
      </w:r>
    </w:p>
    <w:p w:rsidR="00AD2379" w:rsidRPr="00F64312" w:rsidRDefault="00AD2379" w:rsidP="00B22D42">
      <w:pPr>
        <w:jc w:val="both"/>
        <w:rPr>
          <w:color w:val="auto"/>
          <w:highlight w:val="yellow"/>
        </w:rPr>
      </w:pPr>
    </w:p>
    <w:p w:rsidR="002A4D37" w:rsidRDefault="009A1E45" w:rsidP="008B38A3">
      <w:pPr>
        <w:jc w:val="both"/>
        <w:rPr>
          <w:rFonts w:cstheme="minorHAnsi"/>
          <w:color w:val="000000" w:themeColor="text1"/>
          <w:szCs w:val="24"/>
        </w:rPr>
      </w:pPr>
      <w:r w:rsidRPr="003B21D4">
        <w:rPr>
          <w:color w:val="auto"/>
          <w:u w:val="single"/>
        </w:rPr>
        <w:t>Asthma</w:t>
      </w:r>
      <w:r w:rsidR="00AD2379" w:rsidRPr="003B21D4">
        <w:rPr>
          <w:color w:val="auto"/>
          <w:u w:val="single"/>
        </w:rPr>
        <w:t xml:space="preserve"> Condition</w:t>
      </w:r>
      <w:r w:rsidR="00AD2379" w:rsidRPr="00F64312">
        <w:rPr>
          <w:color w:val="auto"/>
        </w:rPr>
        <w:t xml:space="preserve">. </w:t>
      </w:r>
      <w:r w:rsidR="00385708" w:rsidRPr="00F64312">
        <w:rPr>
          <w:color w:val="auto"/>
        </w:rPr>
        <w:t xml:space="preserve"> </w:t>
      </w:r>
      <w:r w:rsidR="002A4D37" w:rsidRPr="00B0506D">
        <w:rPr>
          <w:rFonts w:cstheme="minorHAnsi"/>
          <w:color w:val="000000" w:themeColor="text1"/>
          <w:szCs w:val="24"/>
        </w:rPr>
        <w:t xml:space="preserve">There were </w:t>
      </w:r>
      <w:r w:rsidR="008B38A3">
        <w:rPr>
          <w:rFonts w:cstheme="minorHAnsi"/>
          <w:color w:val="000000" w:themeColor="text1"/>
          <w:szCs w:val="24"/>
        </w:rPr>
        <w:t xml:space="preserve">three </w:t>
      </w:r>
      <w:r w:rsidR="002A4D37">
        <w:rPr>
          <w:rFonts w:cstheme="minorHAnsi"/>
          <w:color w:val="000000" w:themeColor="text1"/>
          <w:szCs w:val="24"/>
        </w:rPr>
        <w:t xml:space="preserve">spirometry </w:t>
      </w:r>
      <w:r w:rsidR="002A4D37" w:rsidRPr="00B0506D">
        <w:rPr>
          <w:rFonts w:cstheme="minorHAnsi"/>
          <w:color w:val="000000" w:themeColor="text1"/>
          <w:szCs w:val="24"/>
        </w:rPr>
        <w:t>evaluations in evidence documenting the ratable parameters which the Board weighed in arriving at its rating recommendation.  These exams are summarized in the chart below:</w:t>
      </w:r>
    </w:p>
    <w:p w:rsidR="002A4D37" w:rsidRPr="00B0506D" w:rsidRDefault="002A4D37" w:rsidP="002A4D37">
      <w:pPr>
        <w:jc w:val="both"/>
        <w:rPr>
          <w:rFonts w:asciiTheme="minorHAnsi" w:hAnsiTheme="minorHAnsi"/>
          <w:color w:val="auto"/>
          <w:szCs w:val="24"/>
        </w:rPr>
      </w:pPr>
    </w:p>
    <w:tbl>
      <w:tblPr>
        <w:tblStyle w:val="TableGrid"/>
        <w:tblW w:w="0" w:type="auto"/>
        <w:tblInd w:w="828" w:type="dxa"/>
        <w:tblLook w:val="04A0"/>
      </w:tblPr>
      <w:tblGrid>
        <w:gridCol w:w="1349"/>
        <w:gridCol w:w="991"/>
        <w:gridCol w:w="1890"/>
        <w:gridCol w:w="2070"/>
        <w:gridCol w:w="1800"/>
      </w:tblGrid>
      <w:tr w:rsidR="006465E1" w:rsidRPr="00B0506D" w:rsidTr="00736FC4">
        <w:tc>
          <w:tcPr>
            <w:tcW w:w="2340" w:type="dxa"/>
            <w:gridSpan w:val="2"/>
            <w:tcBorders>
              <w:bottom w:val="single" w:sz="4" w:space="0" w:color="000000" w:themeColor="text1"/>
            </w:tcBorders>
            <w:shd w:val="pct15" w:color="auto" w:fill="auto"/>
          </w:tcPr>
          <w:p w:rsidR="006465E1" w:rsidRDefault="006465E1" w:rsidP="0078738E">
            <w:pPr>
              <w:jc w:val="both"/>
              <w:rPr>
                <w:color w:val="auto"/>
                <w:sz w:val="18"/>
                <w:szCs w:val="18"/>
              </w:rPr>
            </w:pPr>
            <w:r w:rsidRPr="00B0506D">
              <w:rPr>
                <w:color w:val="auto"/>
                <w:sz w:val="18"/>
                <w:szCs w:val="18"/>
              </w:rPr>
              <w:t>Spirometry</w:t>
            </w:r>
          </w:p>
          <w:p w:rsidR="006465E1" w:rsidRPr="00B0506D" w:rsidRDefault="006465E1" w:rsidP="0078738E">
            <w:pPr>
              <w:jc w:val="both"/>
              <w:rPr>
                <w:color w:val="auto"/>
                <w:sz w:val="18"/>
                <w:szCs w:val="18"/>
              </w:rPr>
            </w:pPr>
          </w:p>
        </w:tc>
        <w:tc>
          <w:tcPr>
            <w:tcW w:w="1890" w:type="dxa"/>
            <w:shd w:val="pct15" w:color="auto" w:fill="auto"/>
          </w:tcPr>
          <w:p w:rsidR="006465E1" w:rsidRPr="00B0506D" w:rsidRDefault="006465E1" w:rsidP="006465E1">
            <w:pPr>
              <w:rPr>
                <w:color w:val="auto"/>
                <w:sz w:val="18"/>
                <w:szCs w:val="18"/>
              </w:rPr>
            </w:pPr>
            <w:r>
              <w:rPr>
                <w:color w:val="auto"/>
                <w:sz w:val="18"/>
                <w:szCs w:val="18"/>
              </w:rPr>
              <w:t>MEB</w:t>
            </w:r>
            <w:r w:rsidRPr="00B0506D">
              <w:rPr>
                <w:color w:val="auto"/>
                <w:sz w:val="18"/>
                <w:szCs w:val="18"/>
              </w:rPr>
              <w:t>~</w:t>
            </w:r>
            <w:r>
              <w:rPr>
                <w:color w:val="auto"/>
                <w:sz w:val="18"/>
                <w:szCs w:val="18"/>
              </w:rPr>
              <w:t xml:space="preserve">4 </w:t>
            </w:r>
            <w:r w:rsidRPr="00B0506D">
              <w:rPr>
                <w:color w:val="auto"/>
                <w:sz w:val="18"/>
                <w:szCs w:val="18"/>
              </w:rPr>
              <w:t>Mos Pre-</w:t>
            </w:r>
            <w:r>
              <w:rPr>
                <w:color w:val="auto"/>
                <w:sz w:val="18"/>
                <w:szCs w:val="18"/>
              </w:rPr>
              <w:t>TDRL 20040305</w:t>
            </w:r>
          </w:p>
        </w:tc>
        <w:tc>
          <w:tcPr>
            <w:tcW w:w="2070" w:type="dxa"/>
            <w:shd w:val="pct15" w:color="auto" w:fill="auto"/>
          </w:tcPr>
          <w:p w:rsidR="006465E1" w:rsidRDefault="006465E1" w:rsidP="006465E1">
            <w:pPr>
              <w:spacing w:line="240" w:lineRule="auto"/>
              <w:rPr>
                <w:color w:val="auto"/>
                <w:sz w:val="18"/>
                <w:szCs w:val="18"/>
              </w:rPr>
            </w:pPr>
            <w:r>
              <w:rPr>
                <w:color w:val="auto"/>
                <w:sz w:val="18"/>
                <w:szCs w:val="18"/>
              </w:rPr>
              <w:t xml:space="preserve">TDRL NARSUM </w:t>
            </w:r>
            <w:r w:rsidRPr="00B0506D">
              <w:rPr>
                <w:color w:val="auto"/>
                <w:sz w:val="18"/>
                <w:szCs w:val="18"/>
              </w:rPr>
              <w:t>~</w:t>
            </w:r>
            <w:r>
              <w:rPr>
                <w:color w:val="auto"/>
                <w:sz w:val="18"/>
                <w:szCs w:val="18"/>
              </w:rPr>
              <w:t>4 mos Pre-Removal from TDRL</w:t>
            </w:r>
          </w:p>
          <w:p w:rsidR="006465E1" w:rsidRPr="00B0506D" w:rsidRDefault="006465E1" w:rsidP="006465E1">
            <w:pPr>
              <w:spacing w:line="240" w:lineRule="auto"/>
              <w:rPr>
                <w:color w:val="auto"/>
                <w:sz w:val="18"/>
                <w:szCs w:val="18"/>
              </w:rPr>
            </w:pPr>
            <w:r>
              <w:rPr>
                <w:color w:val="auto"/>
                <w:sz w:val="18"/>
                <w:szCs w:val="18"/>
              </w:rPr>
              <w:t>20050607</w:t>
            </w:r>
          </w:p>
        </w:tc>
        <w:tc>
          <w:tcPr>
            <w:tcW w:w="1800" w:type="dxa"/>
            <w:shd w:val="pct15" w:color="auto" w:fill="auto"/>
          </w:tcPr>
          <w:p w:rsidR="006465E1" w:rsidRDefault="006465E1" w:rsidP="006465E1">
            <w:pPr>
              <w:spacing w:line="240" w:lineRule="auto"/>
              <w:rPr>
                <w:color w:val="auto"/>
                <w:sz w:val="18"/>
                <w:szCs w:val="18"/>
              </w:rPr>
            </w:pPr>
            <w:r>
              <w:rPr>
                <w:color w:val="auto"/>
                <w:sz w:val="18"/>
                <w:szCs w:val="18"/>
              </w:rPr>
              <w:t>C&amp;P ~ 4 Mos Pre-Removal from TDRL</w:t>
            </w:r>
          </w:p>
          <w:p w:rsidR="006465E1" w:rsidRPr="00B0506D" w:rsidRDefault="006465E1" w:rsidP="006465E1">
            <w:pPr>
              <w:spacing w:line="240" w:lineRule="auto"/>
              <w:rPr>
                <w:color w:val="auto"/>
                <w:sz w:val="18"/>
                <w:szCs w:val="18"/>
              </w:rPr>
            </w:pPr>
            <w:r>
              <w:rPr>
                <w:color w:val="auto"/>
                <w:sz w:val="18"/>
                <w:szCs w:val="18"/>
              </w:rPr>
              <w:t>20050627</w:t>
            </w:r>
          </w:p>
        </w:tc>
      </w:tr>
      <w:tr w:rsidR="006465E1" w:rsidRPr="00B0506D" w:rsidTr="001A7B0F">
        <w:tc>
          <w:tcPr>
            <w:tcW w:w="1349" w:type="dxa"/>
            <w:vMerge w:val="restart"/>
            <w:shd w:val="clear" w:color="auto" w:fill="FFFFFF" w:themeFill="background1"/>
          </w:tcPr>
          <w:p w:rsidR="006465E1" w:rsidRPr="00B0506D" w:rsidRDefault="006465E1" w:rsidP="0078738E">
            <w:pPr>
              <w:jc w:val="both"/>
              <w:rPr>
                <w:color w:val="auto"/>
                <w:sz w:val="18"/>
                <w:szCs w:val="18"/>
              </w:rPr>
            </w:pPr>
            <w:r w:rsidRPr="00B0506D">
              <w:rPr>
                <w:color w:val="auto"/>
                <w:sz w:val="18"/>
                <w:szCs w:val="18"/>
              </w:rPr>
              <w:t>Pre-Bronchodilator</w:t>
            </w:r>
          </w:p>
        </w:tc>
        <w:tc>
          <w:tcPr>
            <w:tcW w:w="991" w:type="dxa"/>
            <w:shd w:val="clear" w:color="auto" w:fill="FFFFFF" w:themeFill="background1"/>
          </w:tcPr>
          <w:p w:rsidR="006465E1" w:rsidRPr="00B0506D" w:rsidRDefault="006465E1" w:rsidP="0078738E">
            <w:pPr>
              <w:jc w:val="both"/>
              <w:rPr>
                <w:color w:val="auto"/>
                <w:sz w:val="18"/>
                <w:szCs w:val="18"/>
              </w:rPr>
            </w:pPr>
            <w:r w:rsidRPr="00B0506D">
              <w:rPr>
                <w:color w:val="auto"/>
                <w:sz w:val="18"/>
                <w:szCs w:val="18"/>
              </w:rPr>
              <w:t>FVC</w:t>
            </w:r>
          </w:p>
        </w:tc>
        <w:tc>
          <w:tcPr>
            <w:tcW w:w="1890" w:type="dxa"/>
          </w:tcPr>
          <w:p w:rsidR="006465E1" w:rsidRPr="00B0506D" w:rsidRDefault="006465E1" w:rsidP="001A7B0F">
            <w:pPr>
              <w:rPr>
                <w:color w:val="auto"/>
                <w:sz w:val="18"/>
                <w:szCs w:val="18"/>
              </w:rPr>
            </w:pPr>
            <w:r>
              <w:rPr>
                <w:color w:val="auto"/>
                <w:sz w:val="18"/>
                <w:szCs w:val="18"/>
              </w:rPr>
              <w:t xml:space="preserve">5.78 </w:t>
            </w:r>
            <w:r w:rsidRPr="00B0506D">
              <w:rPr>
                <w:color w:val="auto"/>
                <w:sz w:val="18"/>
                <w:szCs w:val="18"/>
              </w:rPr>
              <w:t>(</w:t>
            </w:r>
            <w:r>
              <w:rPr>
                <w:color w:val="auto"/>
                <w:sz w:val="18"/>
                <w:szCs w:val="18"/>
              </w:rPr>
              <w:t>100</w:t>
            </w:r>
            <w:r w:rsidRPr="00B0506D">
              <w:rPr>
                <w:color w:val="auto"/>
                <w:sz w:val="18"/>
                <w:szCs w:val="18"/>
              </w:rPr>
              <w:t>%)</w:t>
            </w:r>
          </w:p>
        </w:tc>
        <w:tc>
          <w:tcPr>
            <w:tcW w:w="2070" w:type="dxa"/>
          </w:tcPr>
          <w:p w:rsidR="006465E1" w:rsidRPr="00B0506D" w:rsidRDefault="006465E1" w:rsidP="001A7B0F">
            <w:pPr>
              <w:rPr>
                <w:color w:val="auto"/>
                <w:sz w:val="18"/>
                <w:szCs w:val="18"/>
              </w:rPr>
            </w:pPr>
            <w:r>
              <w:rPr>
                <w:color w:val="auto"/>
                <w:sz w:val="18"/>
                <w:szCs w:val="18"/>
              </w:rPr>
              <w:t>5</w:t>
            </w:r>
            <w:r w:rsidRPr="00B0506D">
              <w:rPr>
                <w:color w:val="auto"/>
                <w:sz w:val="18"/>
                <w:szCs w:val="18"/>
              </w:rPr>
              <w:t>.</w:t>
            </w:r>
            <w:r>
              <w:rPr>
                <w:color w:val="auto"/>
                <w:sz w:val="18"/>
                <w:szCs w:val="18"/>
              </w:rPr>
              <w:t>16</w:t>
            </w:r>
            <w:r w:rsidRPr="00B0506D">
              <w:rPr>
                <w:color w:val="auto"/>
                <w:sz w:val="18"/>
                <w:szCs w:val="18"/>
              </w:rPr>
              <w:t xml:space="preserve"> (</w:t>
            </w:r>
            <w:r w:rsidR="00FF600E">
              <w:rPr>
                <w:color w:val="auto"/>
                <w:sz w:val="18"/>
                <w:szCs w:val="18"/>
              </w:rPr>
              <w:t>84</w:t>
            </w:r>
            <w:r w:rsidRPr="00B0506D">
              <w:rPr>
                <w:color w:val="auto"/>
                <w:sz w:val="18"/>
                <w:szCs w:val="18"/>
              </w:rPr>
              <w:t>%)</w:t>
            </w:r>
          </w:p>
        </w:tc>
        <w:tc>
          <w:tcPr>
            <w:tcW w:w="1800" w:type="dxa"/>
          </w:tcPr>
          <w:p w:rsidR="006465E1" w:rsidRPr="00B0506D" w:rsidRDefault="008B38A3" w:rsidP="001A7B0F">
            <w:pPr>
              <w:rPr>
                <w:color w:val="auto"/>
                <w:sz w:val="18"/>
                <w:szCs w:val="18"/>
              </w:rPr>
            </w:pPr>
            <w:r>
              <w:rPr>
                <w:color w:val="auto"/>
                <w:sz w:val="18"/>
                <w:szCs w:val="18"/>
              </w:rPr>
              <w:t>5.20 (92%)</w:t>
            </w:r>
          </w:p>
        </w:tc>
      </w:tr>
      <w:tr w:rsidR="006465E1" w:rsidRPr="00B0506D" w:rsidTr="001A7B0F">
        <w:tc>
          <w:tcPr>
            <w:tcW w:w="1349" w:type="dxa"/>
            <w:vMerge/>
            <w:shd w:val="clear" w:color="auto" w:fill="FFFFFF" w:themeFill="background1"/>
          </w:tcPr>
          <w:p w:rsidR="006465E1" w:rsidRPr="00B0506D" w:rsidRDefault="006465E1" w:rsidP="0078738E">
            <w:pPr>
              <w:jc w:val="both"/>
              <w:rPr>
                <w:color w:val="auto"/>
                <w:sz w:val="18"/>
                <w:szCs w:val="18"/>
              </w:rPr>
            </w:pPr>
          </w:p>
        </w:tc>
        <w:tc>
          <w:tcPr>
            <w:tcW w:w="991" w:type="dxa"/>
            <w:shd w:val="clear" w:color="auto" w:fill="FFFFFF" w:themeFill="background1"/>
          </w:tcPr>
          <w:p w:rsidR="006465E1" w:rsidRPr="00B0506D" w:rsidRDefault="006465E1" w:rsidP="0078738E">
            <w:pPr>
              <w:jc w:val="both"/>
              <w:rPr>
                <w:color w:val="auto"/>
                <w:sz w:val="18"/>
                <w:szCs w:val="18"/>
              </w:rPr>
            </w:pPr>
            <w:r w:rsidRPr="00B0506D">
              <w:rPr>
                <w:color w:val="auto"/>
                <w:sz w:val="18"/>
                <w:szCs w:val="18"/>
              </w:rPr>
              <w:t>FEV1</w:t>
            </w:r>
          </w:p>
        </w:tc>
        <w:tc>
          <w:tcPr>
            <w:tcW w:w="1890" w:type="dxa"/>
          </w:tcPr>
          <w:p w:rsidR="006465E1" w:rsidRPr="00B0506D" w:rsidRDefault="006465E1" w:rsidP="001A7B0F">
            <w:pPr>
              <w:rPr>
                <w:color w:val="auto"/>
                <w:sz w:val="18"/>
                <w:szCs w:val="18"/>
              </w:rPr>
            </w:pPr>
            <w:r>
              <w:rPr>
                <w:color w:val="auto"/>
                <w:sz w:val="18"/>
                <w:szCs w:val="18"/>
              </w:rPr>
              <w:t xml:space="preserve">4.61 </w:t>
            </w:r>
            <w:r w:rsidRPr="00B0506D">
              <w:rPr>
                <w:color w:val="auto"/>
                <w:sz w:val="18"/>
                <w:szCs w:val="18"/>
              </w:rPr>
              <w:t>(</w:t>
            </w:r>
            <w:r>
              <w:rPr>
                <w:color w:val="auto"/>
                <w:sz w:val="18"/>
                <w:szCs w:val="18"/>
              </w:rPr>
              <w:t>97</w:t>
            </w:r>
            <w:r w:rsidRPr="00B0506D">
              <w:rPr>
                <w:color w:val="auto"/>
                <w:sz w:val="18"/>
                <w:szCs w:val="18"/>
              </w:rPr>
              <w:t>%)</w:t>
            </w:r>
          </w:p>
        </w:tc>
        <w:tc>
          <w:tcPr>
            <w:tcW w:w="2070" w:type="dxa"/>
          </w:tcPr>
          <w:p w:rsidR="006465E1" w:rsidRPr="00B0506D" w:rsidRDefault="006465E1" w:rsidP="001A7B0F">
            <w:pPr>
              <w:rPr>
                <w:color w:val="auto"/>
                <w:sz w:val="18"/>
                <w:szCs w:val="18"/>
              </w:rPr>
            </w:pPr>
            <w:r>
              <w:rPr>
                <w:color w:val="auto"/>
                <w:sz w:val="18"/>
                <w:szCs w:val="18"/>
              </w:rPr>
              <w:t xml:space="preserve">4.27 </w:t>
            </w:r>
            <w:r w:rsidRPr="00B0506D">
              <w:rPr>
                <w:color w:val="auto"/>
                <w:sz w:val="18"/>
                <w:szCs w:val="18"/>
              </w:rPr>
              <w:t>(</w:t>
            </w:r>
            <w:r>
              <w:rPr>
                <w:color w:val="auto"/>
                <w:sz w:val="18"/>
                <w:szCs w:val="18"/>
              </w:rPr>
              <w:t>86</w:t>
            </w:r>
            <w:r w:rsidRPr="00B0506D">
              <w:rPr>
                <w:color w:val="auto"/>
                <w:sz w:val="18"/>
                <w:szCs w:val="18"/>
              </w:rPr>
              <w:t>%)</w:t>
            </w:r>
          </w:p>
        </w:tc>
        <w:tc>
          <w:tcPr>
            <w:tcW w:w="1800" w:type="dxa"/>
          </w:tcPr>
          <w:p w:rsidR="006465E1" w:rsidRDefault="008B38A3" w:rsidP="001A7B0F">
            <w:pPr>
              <w:rPr>
                <w:color w:val="auto"/>
                <w:sz w:val="18"/>
                <w:szCs w:val="18"/>
              </w:rPr>
            </w:pPr>
            <w:r>
              <w:rPr>
                <w:color w:val="auto"/>
                <w:sz w:val="18"/>
                <w:szCs w:val="18"/>
              </w:rPr>
              <w:t>4.3 (98%)</w:t>
            </w:r>
          </w:p>
        </w:tc>
      </w:tr>
      <w:tr w:rsidR="006465E1" w:rsidRPr="00B0506D" w:rsidTr="001A7B0F">
        <w:tc>
          <w:tcPr>
            <w:tcW w:w="1349" w:type="dxa"/>
            <w:vMerge/>
            <w:tcBorders>
              <w:bottom w:val="single" w:sz="4" w:space="0" w:color="000000" w:themeColor="text1"/>
            </w:tcBorders>
            <w:shd w:val="clear" w:color="auto" w:fill="FFFFFF" w:themeFill="background1"/>
          </w:tcPr>
          <w:p w:rsidR="006465E1" w:rsidRPr="00B0506D" w:rsidRDefault="006465E1" w:rsidP="0078738E">
            <w:pPr>
              <w:jc w:val="both"/>
              <w:rPr>
                <w:color w:val="auto"/>
                <w:sz w:val="18"/>
                <w:szCs w:val="18"/>
              </w:rPr>
            </w:pPr>
          </w:p>
        </w:tc>
        <w:tc>
          <w:tcPr>
            <w:tcW w:w="991" w:type="dxa"/>
            <w:tcBorders>
              <w:bottom w:val="single" w:sz="4" w:space="0" w:color="000000" w:themeColor="text1"/>
            </w:tcBorders>
            <w:shd w:val="clear" w:color="auto" w:fill="FFFFFF" w:themeFill="background1"/>
          </w:tcPr>
          <w:p w:rsidR="006465E1" w:rsidRPr="00B0506D" w:rsidRDefault="006465E1" w:rsidP="0078738E">
            <w:pPr>
              <w:jc w:val="both"/>
              <w:rPr>
                <w:color w:val="auto"/>
                <w:sz w:val="18"/>
                <w:szCs w:val="18"/>
              </w:rPr>
            </w:pPr>
            <w:r w:rsidRPr="00B0506D">
              <w:rPr>
                <w:color w:val="auto"/>
                <w:sz w:val="18"/>
                <w:szCs w:val="18"/>
              </w:rPr>
              <w:t>FEV1/FVC</w:t>
            </w:r>
          </w:p>
        </w:tc>
        <w:tc>
          <w:tcPr>
            <w:tcW w:w="1890" w:type="dxa"/>
            <w:tcBorders>
              <w:bottom w:val="single" w:sz="4" w:space="0" w:color="000000" w:themeColor="text1"/>
            </w:tcBorders>
          </w:tcPr>
          <w:p w:rsidR="006465E1" w:rsidRPr="00B0506D" w:rsidRDefault="006465E1" w:rsidP="001A7B0F">
            <w:pPr>
              <w:rPr>
                <w:color w:val="auto"/>
                <w:sz w:val="18"/>
                <w:szCs w:val="18"/>
              </w:rPr>
            </w:pPr>
            <w:r>
              <w:rPr>
                <w:color w:val="auto"/>
                <w:sz w:val="18"/>
                <w:szCs w:val="18"/>
              </w:rPr>
              <w:t>80</w:t>
            </w:r>
            <w:r w:rsidRPr="00B0506D">
              <w:rPr>
                <w:color w:val="auto"/>
                <w:sz w:val="18"/>
                <w:szCs w:val="18"/>
              </w:rPr>
              <w:t>%</w:t>
            </w:r>
          </w:p>
        </w:tc>
        <w:tc>
          <w:tcPr>
            <w:tcW w:w="2070" w:type="dxa"/>
            <w:tcBorders>
              <w:bottom w:val="single" w:sz="4" w:space="0" w:color="000000" w:themeColor="text1"/>
            </w:tcBorders>
          </w:tcPr>
          <w:p w:rsidR="006465E1" w:rsidRPr="00B0506D" w:rsidRDefault="00FF600E" w:rsidP="001A7B0F">
            <w:pPr>
              <w:rPr>
                <w:color w:val="auto"/>
                <w:sz w:val="18"/>
                <w:szCs w:val="18"/>
              </w:rPr>
            </w:pPr>
            <w:r>
              <w:rPr>
                <w:color w:val="auto"/>
                <w:sz w:val="18"/>
                <w:szCs w:val="18"/>
              </w:rPr>
              <w:t>101</w:t>
            </w:r>
            <w:r w:rsidR="006465E1" w:rsidRPr="00B0506D">
              <w:rPr>
                <w:color w:val="auto"/>
                <w:sz w:val="18"/>
                <w:szCs w:val="18"/>
              </w:rPr>
              <w:t>%</w:t>
            </w:r>
          </w:p>
        </w:tc>
        <w:tc>
          <w:tcPr>
            <w:tcW w:w="1800" w:type="dxa"/>
            <w:tcBorders>
              <w:bottom w:val="single" w:sz="4" w:space="0" w:color="000000" w:themeColor="text1"/>
            </w:tcBorders>
          </w:tcPr>
          <w:p w:rsidR="006465E1" w:rsidRDefault="008B38A3" w:rsidP="001A7B0F">
            <w:pPr>
              <w:rPr>
                <w:color w:val="auto"/>
                <w:sz w:val="18"/>
                <w:szCs w:val="18"/>
              </w:rPr>
            </w:pPr>
            <w:r>
              <w:rPr>
                <w:color w:val="auto"/>
                <w:sz w:val="18"/>
                <w:szCs w:val="18"/>
              </w:rPr>
              <w:t>82%</w:t>
            </w:r>
          </w:p>
        </w:tc>
      </w:tr>
      <w:tr w:rsidR="006465E1" w:rsidRPr="00B0506D" w:rsidTr="00736FC4">
        <w:tc>
          <w:tcPr>
            <w:tcW w:w="2340" w:type="dxa"/>
            <w:gridSpan w:val="2"/>
            <w:shd w:val="clear" w:color="auto" w:fill="FFFFFF" w:themeFill="background1"/>
          </w:tcPr>
          <w:p w:rsidR="006465E1" w:rsidRPr="00B0506D" w:rsidRDefault="006465E1" w:rsidP="0078738E">
            <w:pPr>
              <w:jc w:val="both"/>
              <w:rPr>
                <w:color w:val="auto"/>
                <w:sz w:val="18"/>
                <w:szCs w:val="18"/>
              </w:rPr>
            </w:pPr>
            <w:r w:rsidRPr="00B0506D">
              <w:rPr>
                <w:color w:val="auto"/>
                <w:sz w:val="18"/>
                <w:szCs w:val="18"/>
              </w:rPr>
              <w:t>Comments</w:t>
            </w:r>
          </w:p>
        </w:tc>
        <w:tc>
          <w:tcPr>
            <w:tcW w:w="1890" w:type="dxa"/>
          </w:tcPr>
          <w:p w:rsidR="006465E1" w:rsidRPr="00B0506D" w:rsidRDefault="006465E1" w:rsidP="0078738E">
            <w:pPr>
              <w:jc w:val="both"/>
              <w:rPr>
                <w:color w:val="auto"/>
                <w:sz w:val="18"/>
                <w:szCs w:val="18"/>
              </w:rPr>
            </w:pPr>
            <w:r>
              <w:rPr>
                <w:color w:val="auto"/>
                <w:sz w:val="18"/>
                <w:szCs w:val="18"/>
              </w:rPr>
              <w:t>Advair daily</w:t>
            </w:r>
          </w:p>
        </w:tc>
        <w:tc>
          <w:tcPr>
            <w:tcW w:w="2070" w:type="dxa"/>
          </w:tcPr>
          <w:p w:rsidR="006465E1" w:rsidRPr="00B0506D" w:rsidRDefault="006465E1" w:rsidP="008B38A3">
            <w:pPr>
              <w:jc w:val="both"/>
              <w:rPr>
                <w:color w:val="auto"/>
                <w:sz w:val="18"/>
                <w:szCs w:val="18"/>
              </w:rPr>
            </w:pPr>
            <w:r>
              <w:rPr>
                <w:color w:val="auto"/>
                <w:sz w:val="18"/>
                <w:szCs w:val="18"/>
              </w:rPr>
              <w:t xml:space="preserve">Advair </w:t>
            </w:r>
            <w:r w:rsidR="008B38A3">
              <w:rPr>
                <w:color w:val="auto"/>
                <w:sz w:val="18"/>
                <w:szCs w:val="18"/>
              </w:rPr>
              <w:t>d</w:t>
            </w:r>
            <w:r>
              <w:rPr>
                <w:color w:val="auto"/>
                <w:sz w:val="18"/>
                <w:szCs w:val="18"/>
              </w:rPr>
              <w:t xml:space="preserve">aily </w:t>
            </w:r>
          </w:p>
        </w:tc>
        <w:tc>
          <w:tcPr>
            <w:tcW w:w="1800" w:type="dxa"/>
          </w:tcPr>
          <w:p w:rsidR="006465E1" w:rsidRDefault="008B38A3" w:rsidP="006465E1">
            <w:pPr>
              <w:jc w:val="both"/>
              <w:rPr>
                <w:color w:val="auto"/>
                <w:sz w:val="18"/>
                <w:szCs w:val="18"/>
              </w:rPr>
            </w:pPr>
            <w:r>
              <w:rPr>
                <w:color w:val="auto"/>
                <w:sz w:val="18"/>
                <w:szCs w:val="18"/>
              </w:rPr>
              <w:t>Advair daily</w:t>
            </w:r>
          </w:p>
        </w:tc>
      </w:tr>
      <w:tr w:rsidR="006465E1" w:rsidRPr="00B0506D" w:rsidTr="00736FC4">
        <w:tc>
          <w:tcPr>
            <w:tcW w:w="2340" w:type="dxa"/>
            <w:gridSpan w:val="2"/>
            <w:shd w:val="clear" w:color="auto" w:fill="FFFFFF" w:themeFill="background1"/>
          </w:tcPr>
          <w:p w:rsidR="006465E1" w:rsidRPr="00B0506D" w:rsidRDefault="006465E1" w:rsidP="0078738E">
            <w:pPr>
              <w:jc w:val="both"/>
              <w:rPr>
                <w:color w:val="auto"/>
                <w:sz w:val="18"/>
                <w:szCs w:val="18"/>
              </w:rPr>
            </w:pPr>
            <w:r w:rsidRPr="00B0506D">
              <w:rPr>
                <w:color w:val="auto"/>
                <w:sz w:val="18"/>
                <w:szCs w:val="18"/>
              </w:rPr>
              <w:t>§4.97 Rating</w:t>
            </w:r>
          </w:p>
        </w:tc>
        <w:tc>
          <w:tcPr>
            <w:tcW w:w="1890" w:type="dxa"/>
          </w:tcPr>
          <w:p w:rsidR="006465E1" w:rsidRPr="00B0506D" w:rsidRDefault="006465E1" w:rsidP="008B38A3">
            <w:pPr>
              <w:rPr>
                <w:color w:val="auto"/>
                <w:sz w:val="18"/>
                <w:szCs w:val="18"/>
              </w:rPr>
            </w:pPr>
            <w:r>
              <w:rPr>
                <w:color w:val="auto"/>
                <w:sz w:val="18"/>
                <w:szCs w:val="18"/>
              </w:rPr>
              <w:t>3</w:t>
            </w:r>
            <w:r w:rsidRPr="00B0506D">
              <w:rPr>
                <w:color w:val="auto"/>
                <w:sz w:val="18"/>
                <w:szCs w:val="18"/>
              </w:rPr>
              <w:t>0%</w:t>
            </w:r>
          </w:p>
        </w:tc>
        <w:tc>
          <w:tcPr>
            <w:tcW w:w="2070" w:type="dxa"/>
          </w:tcPr>
          <w:p w:rsidR="006465E1" w:rsidRPr="00B0506D" w:rsidRDefault="006465E1" w:rsidP="008B38A3">
            <w:pPr>
              <w:rPr>
                <w:color w:val="auto"/>
                <w:sz w:val="18"/>
                <w:szCs w:val="18"/>
              </w:rPr>
            </w:pPr>
            <w:r>
              <w:rPr>
                <w:color w:val="auto"/>
                <w:sz w:val="18"/>
                <w:szCs w:val="18"/>
              </w:rPr>
              <w:t>3</w:t>
            </w:r>
            <w:r w:rsidRPr="00B0506D">
              <w:rPr>
                <w:color w:val="auto"/>
                <w:sz w:val="18"/>
                <w:szCs w:val="18"/>
              </w:rPr>
              <w:t>0%</w:t>
            </w:r>
          </w:p>
        </w:tc>
        <w:tc>
          <w:tcPr>
            <w:tcW w:w="1800" w:type="dxa"/>
          </w:tcPr>
          <w:p w:rsidR="006465E1" w:rsidRDefault="008B38A3" w:rsidP="008B38A3">
            <w:pPr>
              <w:rPr>
                <w:color w:val="auto"/>
                <w:sz w:val="18"/>
                <w:szCs w:val="18"/>
              </w:rPr>
            </w:pPr>
            <w:r>
              <w:rPr>
                <w:color w:val="auto"/>
                <w:sz w:val="18"/>
                <w:szCs w:val="18"/>
              </w:rPr>
              <w:t>30%</w:t>
            </w:r>
          </w:p>
        </w:tc>
      </w:tr>
    </w:tbl>
    <w:p w:rsidR="002A4D37" w:rsidRDefault="002A4D37" w:rsidP="0069687C">
      <w:pPr>
        <w:jc w:val="both"/>
        <w:rPr>
          <w:color w:val="auto"/>
        </w:rPr>
      </w:pPr>
    </w:p>
    <w:p w:rsidR="00691871" w:rsidRPr="00691871" w:rsidRDefault="00FF600E" w:rsidP="00691871">
      <w:pPr>
        <w:jc w:val="both"/>
        <w:rPr>
          <w:rFonts w:cs="Times New Roman"/>
          <w:color w:val="auto"/>
        </w:rPr>
      </w:pPr>
      <w:r>
        <w:rPr>
          <w:color w:val="auto"/>
        </w:rPr>
        <w:t xml:space="preserve">The CI was diagnosed with asthma beginning in 2002 and was subsequently referred for MEB in 2004.  At the time of the MEB </w:t>
      </w:r>
      <w:r w:rsidR="00B67830">
        <w:rPr>
          <w:color w:val="auto"/>
        </w:rPr>
        <w:t>narrative statement (</w:t>
      </w:r>
      <w:r>
        <w:rPr>
          <w:color w:val="auto"/>
        </w:rPr>
        <w:t>NARSUM</w:t>
      </w:r>
      <w:r w:rsidR="00B67830">
        <w:rPr>
          <w:color w:val="auto"/>
        </w:rPr>
        <w:t>)</w:t>
      </w:r>
      <w:r>
        <w:rPr>
          <w:color w:val="auto"/>
        </w:rPr>
        <w:t>,</w:t>
      </w:r>
      <w:r w:rsidR="00B67830">
        <w:rPr>
          <w:color w:val="auto"/>
        </w:rPr>
        <w:t xml:space="preserve"> performed on </w:t>
      </w:r>
      <w:r>
        <w:rPr>
          <w:color w:val="auto"/>
        </w:rPr>
        <w:t>31 March 2004, the CI was on twice daily inhaled Advair</w:t>
      </w:r>
      <w:r w:rsidR="00AC2669">
        <w:rPr>
          <w:color w:val="auto"/>
        </w:rPr>
        <w:t>, an inhaled anti-inflammatory medication</w:t>
      </w:r>
      <w:r>
        <w:rPr>
          <w:color w:val="auto"/>
        </w:rPr>
        <w:t xml:space="preserve">.  Spirometry was normal.  The PEB placed the CI on </w:t>
      </w:r>
      <w:r w:rsidR="00A97CB2">
        <w:rPr>
          <w:color w:val="auto"/>
        </w:rPr>
        <w:t xml:space="preserve">the </w:t>
      </w:r>
      <w:r>
        <w:rPr>
          <w:color w:val="auto"/>
        </w:rPr>
        <w:t xml:space="preserve">TDRL with a rating of 30%.  At the time of the TDRL evaluation, </w:t>
      </w:r>
      <w:r w:rsidR="00B67830">
        <w:rPr>
          <w:color w:val="auto"/>
        </w:rPr>
        <w:t xml:space="preserve">performed on </w:t>
      </w:r>
      <w:r>
        <w:rPr>
          <w:color w:val="auto"/>
        </w:rPr>
        <w:t xml:space="preserve">7 June 2005, 11 months after placement on </w:t>
      </w:r>
      <w:r w:rsidR="00A97CB2">
        <w:rPr>
          <w:color w:val="auto"/>
        </w:rPr>
        <w:t xml:space="preserve">the </w:t>
      </w:r>
      <w:r>
        <w:rPr>
          <w:color w:val="auto"/>
        </w:rPr>
        <w:t xml:space="preserve">TDRL, the CI continued treatment with </w:t>
      </w:r>
      <w:r w:rsidR="00AC2669">
        <w:rPr>
          <w:color w:val="auto"/>
        </w:rPr>
        <w:t xml:space="preserve">inhaled </w:t>
      </w:r>
      <w:r>
        <w:rPr>
          <w:color w:val="auto"/>
        </w:rPr>
        <w:t>Advair twice daily.  Three weeks after the TDRL evaluation the CI underwent a VA Compensation and Pension</w:t>
      </w:r>
      <w:r w:rsidR="00AC2669">
        <w:rPr>
          <w:color w:val="auto"/>
        </w:rPr>
        <w:t xml:space="preserve"> (C&amp;P) </w:t>
      </w:r>
      <w:r>
        <w:rPr>
          <w:color w:val="auto"/>
        </w:rPr>
        <w:t xml:space="preserve">examination </w:t>
      </w:r>
      <w:r w:rsidR="00A97CB2">
        <w:rPr>
          <w:color w:val="auto"/>
        </w:rPr>
        <w:t>o</w:t>
      </w:r>
      <w:r w:rsidR="00B67830">
        <w:rPr>
          <w:color w:val="auto"/>
        </w:rPr>
        <w:t xml:space="preserve">n </w:t>
      </w:r>
      <w:r>
        <w:rPr>
          <w:color w:val="auto"/>
        </w:rPr>
        <w:t>27 June 2005</w:t>
      </w:r>
      <w:r w:rsidR="00A97CB2">
        <w:rPr>
          <w:color w:val="auto"/>
        </w:rPr>
        <w:t>,</w:t>
      </w:r>
      <w:r>
        <w:rPr>
          <w:color w:val="auto"/>
        </w:rPr>
        <w:t xml:space="preserve"> with </w:t>
      </w:r>
      <w:r w:rsidR="00736FC4">
        <w:rPr>
          <w:color w:val="auto"/>
        </w:rPr>
        <w:t xml:space="preserve">normal </w:t>
      </w:r>
      <w:proofErr w:type="spellStart"/>
      <w:r w:rsidR="00736FC4">
        <w:rPr>
          <w:color w:val="auto"/>
        </w:rPr>
        <w:t>spirometry</w:t>
      </w:r>
      <w:proofErr w:type="spellEnd"/>
      <w:r w:rsidR="00736FC4">
        <w:rPr>
          <w:color w:val="auto"/>
        </w:rPr>
        <w:t xml:space="preserve"> using </w:t>
      </w:r>
      <w:proofErr w:type="spellStart"/>
      <w:r w:rsidR="00736FC4">
        <w:rPr>
          <w:color w:val="auto"/>
        </w:rPr>
        <w:t>Advair</w:t>
      </w:r>
      <w:proofErr w:type="spellEnd"/>
      <w:r w:rsidR="00736FC4">
        <w:rPr>
          <w:color w:val="auto"/>
        </w:rPr>
        <w:t xml:space="preserve"> twice daily.  </w:t>
      </w:r>
      <w:r w:rsidR="00736FC4" w:rsidRPr="00B67830">
        <w:rPr>
          <w:color w:val="auto"/>
        </w:rPr>
        <w:t>The</w:t>
      </w:r>
      <w:r w:rsidR="00736FC4">
        <w:rPr>
          <w:color w:val="auto"/>
        </w:rPr>
        <w:t xml:space="preserve"> PEB initially rated </w:t>
      </w:r>
      <w:r w:rsidR="00A97CB2">
        <w:rPr>
          <w:color w:val="auto"/>
        </w:rPr>
        <w:t>zero</w:t>
      </w:r>
      <w:r w:rsidR="00736FC4">
        <w:rPr>
          <w:color w:val="auto"/>
        </w:rPr>
        <w:t xml:space="preserve"> percent based on a conclusion that no medication was used, later corrected to 10% based on intermitte</w:t>
      </w:r>
      <w:r w:rsidR="00AC2669">
        <w:rPr>
          <w:color w:val="auto"/>
        </w:rPr>
        <w:t>nt</w:t>
      </w:r>
      <w:r w:rsidR="00736FC4">
        <w:rPr>
          <w:color w:val="auto"/>
        </w:rPr>
        <w:t xml:space="preserve"> bronchodilator use.  </w:t>
      </w:r>
      <w:r w:rsidR="00736FC4" w:rsidRPr="00F64312">
        <w:rPr>
          <w:rFonts w:cs="Times New Roman"/>
          <w:color w:val="auto"/>
        </w:rPr>
        <w:t>The Board directs attention to its rating recommendation based on the above evidence.</w:t>
      </w:r>
      <w:r w:rsidR="00736FC4">
        <w:rPr>
          <w:rFonts w:cs="Times New Roman"/>
          <w:color w:val="auto"/>
        </w:rPr>
        <w:t xml:space="preserve">  The </w:t>
      </w:r>
      <w:r w:rsidR="00736FC4" w:rsidRPr="00B67830">
        <w:rPr>
          <w:rFonts w:cs="Times New Roman"/>
          <w:color w:val="auto"/>
        </w:rPr>
        <w:t>first</w:t>
      </w:r>
      <w:r w:rsidR="00736FC4">
        <w:rPr>
          <w:rFonts w:cs="Times New Roman"/>
          <w:color w:val="auto"/>
        </w:rPr>
        <w:t xml:space="preserve"> considered the rating at the time of placement on TDRL.  The spirometry was normal however the CI was using Advair, an inhaled anti-inflammatory medication twice daily consistent with the 30% rating.  The Board next considered the rating at the time of removal from the TDRL.  The TDRL NARSUM as well as the contemporaneous VA C&amp;P examination documented similar findings of normal spirometry and the daily use of inhaled Advair.  The spirometric results do not attain a minimum rating however the use of daily inhalational anti-inflammatory medication supports the 30% rating IAW </w:t>
      </w:r>
      <w:r w:rsidR="00691871">
        <w:rPr>
          <w:rFonts w:cs="Times New Roman"/>
          <w:color w:val="auto"/>
        </w:rPr>
        <w:t>VASRD 6602 (</w:t>
      </w:r>
      <w:r w:rsidR="00691871" w:rsidRPr="00691871">
        <w:rPr>
          <w:rFonts w:cs="Times New Roman"/>
          <w:color w:val="auto"/>
        </w:rPr>
        <w:t>§</w:t>
      </w:r>
      <w:r w:rsidR="00691871">
        <w:rPr>
          <w:rFonts w:cs="Times New Roman"/>
          <w:color w:val="auto"/>
        </w:rPr>
        <w:t xml:space="preserve">4.97).  </w:t>
      </w:r>
      <w:r w:rsidR="00691871" w:rsidRPr="00691871">
        <w:rPr>
          <w:rFonts w:cs="Times New Roman"/>
          <w:color w:val="auto"/>
        </w:rPr>
        <w:t>After due deliberation, considering all of the evidence and mindful of VASRD §4.3 (reasonable doubt), the Board recommends a permanent disability rating of 30% for the asthma condition (6602) at the time of removal from the TDRL.</w:t>
      </w:r>
    </w:p>
    <w:p w:rsidR="00AD2379" w:rsidRDefault="00AD2379" w:rsidP="006364ED">
      <w:pPr>
        <w:jc w:val="left"/>
        <w:rPr>
          <w:color w:val="auto"/>
          <w:highlight w:val="magenta"/>
        </w:rPr>
      </w:pPr>
    </w:p>
    <w:p w:rsidR="00B67830" w:rsidRPr="00F64312" w:rsidRDefault="00B67830" w:rsidP="006364ED">
      <w:pPr>
        <w:jc w:val="left"/>
        <w:rPr>
          <w:color w:val="auto"/>
          <w:highlight w:val="magenta"/>
        </w:rPr>
      </w:pPr>
    </w:p>
    <w:p w:rsidR="00691871" w:rsidRDefault="00AD2379" w:rsidP="00642D22">
      <w:pPr>
        <w:jc w:val="both"/>
        <w:rPr>
          <w:rFonts w:eastAsia="Calibri" w:cs="Times New Roman"/>
          <w:color w:val="auto"/>
          <w:szCs w:val="24"/>
        </w:rPr>
      </w:pPr>
      <w:r w:rsidRPr="00F64312">
        <w:rPr>
          <w:color w:val="auto"/>
          <w:u w:val="single"/>
        </w:rPr>
        <w:lastRenderedPageBreak/>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560F12" w:rsidRPr="00F64312">
        <w:rPr>
          <w:rFonts w:eastAsia="Calibri" w:cs="Times New Roman"/>
          <w:color w:val="auto"/>
          <w:szCs w:val="24"/>
        </w:rPr>
        <w:t xml:space="preserve">In the matter of the </w:t>
      </w:r>
      <w:r w:rsidR="00642D22">
        <w:rPr>
          <w:rFonts w:eastAsia="Calibri" w:cs="Times New Roman"/>
          <w:color w:val="auto"/>
          <w:szCs w:val="24"/>
        </w:rPr>
        <w:t>asthma</w:t>
      </w:r>
      <w:r w:rsidR="00560F12" w:rsidRPr="00F64312">
        <w:rPr>
          <w:rFonts w:eastAsia="Calibri" w:cs="Times New Roman"/>
          <w:color w:val="auto"/>
          <w:szCs w:val="24"/>
        </w:rPr>
        <w:t xml:space="preserve"> condition and IAW VASRD </w:t>
      </w:r>
      <w:r w:rsidR="00560F12" w:rsidRPr="009F5C64">
        <w:rPr>
          <w:rFonts w:eastAsia="Calibri" w:cs="Times New Roman"/>
          <w:color w:val="auto"/>
          <w:szCs w:val="24"/>
        </w:rPr>
        <w:t>§4.</w:t>
      </w:r>
      <w:r w:rsidR="00691871" w:rsidRPr="009F5C64">
        <w:rPr>
          <w:rFonts w:eastAsia="Calibri" w:cs="Times New Roman"/>
          <w:color w:val="auto"/>
          <w:szCs w:val="24"/>
        </w:rPr>
        <w:t>9</w:t>
      </w:r>
      <w:r w:rsidR="00560F12" w:rsidRPr="009F5C64">
        <w:rPr>
          <w:rFonts w:eastAsia="Calibri" w:cs="Times New Roman"/>
          <w:color w:val="auto"/>
          <w:szCs w:val="24"/>
        </w:rPr>
        <w:t>7,</w:t>
      </w:r>
      <w:r w:rsidR="00736FC4">
        <w:rPr>
          <w:rFonts w:eastAsia="Calibri" w:cs="Times New Roman"/>
          <w:color w:val="auto"/>
          <w:szCs w:val="24"/>
        </w:rPr>
        <w:t xml:space="preserve"> </w:t>
      </w:r>
      <w:r w:rsidR="00560F12" w:rsidRPr="00F64312">
        <w:rPr>
          <w:rFonts w:eastAsia="Calibri" w:cs="Times New Roman"/>
          <w:color w:val="auto"/>
          <w:szCs w:val="24"/>
        </w:rPr>
        <w:t xml:space="preserve">the Board </w:t>
      </w:r>
      <w:r w:rsidR="00560F12" w:rsidRPr="009F5C64">
        <w:rPr>
          <w:rFonts w:eastAsia="Calibri" w:cs="Times New Roman"/>
          <w:color w:val="auto"/>
          <w:szCs w:val="24"/>
        </w:rPr>
        <w:t>unanimously</w:t>
      </w:r>
      <w:r w:rsidR="00560F12" w:rsidRPr="00F64312">
        <w:rPr>
          <w:rFonts w:eastAsia="Calibri" w:cs="Times New Roman"/>
          <w:color w:val="auto"/>
          <w:szCs w:val="24"/>
        </w:rPr>
        <w:t xml:space="preserve"> recommends </w:t>
      </w:r>
      <w:r w:rsidR="00691871">
        <w:rPr>
          <w:rFonts w:eastAsia="Calibri" w:cs="Times New Roman"/>
          <w:color w:val="auto"/>
          <w:szCs w:val="24"/>
        </w:rPr>
        <w:t>a 30% rating both at entry on the TDRL and permanently</w:t>
      </w:r>
      <w:r w:rsidR="00AB133A">
        <w:rPr>
          <w:rFonts w:eastAsia="Calibri" w:cs="Times New Roman"/>
          <w:color w:val="auto"/>
          <w:szCs w:val="24"/>
        </w:rPr>
        <w:t xml:space="preserve"> at the time of removal from the TDRL.</w:t>
      </w:r>
      <w:r w:rsidR="000C5113">
        <w:rPr>
          <w:rFonts w:eastAsia="Calibri" w:cs="Times New Roman"/>
          <w:color w:val="auto"/>
          <w:szCs w:val="24"/>
        </w:rPr>
        <w:t xml:space="preserve">  </w:t>
      </w:r>
      <w:r w:rsidR="00691871">
        <w:rPr>
          <w:rFonts w:eastAsia="Calibri" w:cs="Times New Roman"/>
          <w:color w:val="auto"/>
          <w:szCs w:val="24"/>
        </w:rPr>
        <w:t>There were no other conditions within the Board’s scope of review for consideration.</w:t>
      </w:r>
    </w:p>
    <w:p w:rsidR="00691871" w:rsidRPr="00F64312" w:rsidRDefault="00691871"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B133A" w:rsidRDefault="00AD2379" w:rsidP="00A97CB2">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AB133A" w:rsidRPr="00F64312">
        <w:rPr>
          <w:rFonts w:eastAsia="Calibri" w:cs="Times New Roman"/>
          <w:color w:val="auto"/>
          <w:szCs w:val="24"/>
        </w:rPr>
        <w:t xml:space="preserve">The Board recommends that the CI’s prior determination be modified as follows; and, that the discharge with severance pay be recharacterized to reflect </w:t>
      </w:r>
      <w:proofErr w:type="gramStart"/>
      <w:r w:rsidR="00AB133A" w:rsidRPr="00F64312">
        <w:rPr>
          <w:rFonts w:eastAsia="Calibri" w:cs="Times New Roman"/>
          <w:color w:val="auto"/>
          <w:szCs w:val="24"/>
        </w:rPr>
        <w:t xml:space="preserve">permanent </w:t>
      </w:r>
      <w:r w:rsidR="009526B3">
        <w:rPr>
          <w:rFonts w:eastAsia="Calibri" w:cs="Times New Roman"/>
          <w:color w:val="auto"/>
          <w:szCs w:val="24"/>
        </w:rPr>
        <w:t xml:space="preserve"> </w:t>
      </w:r>
      <w:r w:rsidR="00AB133A" w:rsidRPr="00F64312">
        <w:rPr>
          <w:rFonts w:eastAsia="Calibri" w:cs="Times New Roman"/>
          <w:color w:val="auto"/>
          <w:szCs w:val="24"/>
        </w:rPr>
        <w:t>disability</w:t>
      </w:r>
      <w:proofErr w:type="gramEnd"/>
      <w:r w:rsidR="00AB133A" w:rsidRPr="00F64312">
        <w:rPr>
          <w:rFonts w:eastAsia="Calibri" w:cs="Times New Roman"/>
          <w:color w:val="auto"/>
          <w:szCs w:val="24"/>
        </w:rPr>
        <w:t xml:space="preserve"> retirement, effective as of the date of his prior medical separation:  </w:t>
      </w:r>
    </w:p>
    <w:p w:rsidR="00071071" w:rsidRPr="00F64312" w:rsidRDefault="00071071"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071071" w:rsidRPr="00F64312" w:rsidTr="0021565F">
        <w:trPr>
          <w:trHeight w:val="206"/>
          <w:jc w:val="center"/>
        </w:trPr>
        <w:tc>
          <w:tcPr>
            <w:tcW w:w="5490" w:type="dxa"/>
            <w:vMerge w:val="restart"/>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UNFITTING CONDITION</w:t>
            </w:r>
          </w:p>
        </w:tc>
        <w:tc>
          <w:tcPr>
            <w:tcW w:w="1530" w:type="dxa"/>
            <w:vMerge w:val="restart"/>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071071" w:rsidRPr="00F64312" w:rsidRDefault="00071071" w:rsidP="00071071">
            <w:pPr>
              <w:rPr>
                <w:color w:val="auto"/>
              </w:rPr>
            </w:pPr>
            <w:r w:rsidRPr="00F64312">
              <w:rPr>
                <w:rFonts w:eastAsia="Calibri" w:cs="Times New Roman"/>
                <w:b/>
                <w:color w:val="auto"/>
                <w:szCs w:val="24"/>
              </w:rPr>
              <w:t>RATING</w:t>
            </w:r>
          </w:p>
        </w:tc>
      </w:tr>
      <w:tr w:rsidR="00071071" w:rsidRPr="00F64312" w:rsidTr="0021565F">
        <w:trPr>
          <w:trHeight w:val="194"/>
          <w:jc w:val="center"/>
        </w:trPr>
        <w:tc>
          <w:tcPr>
            <w:tcW w:w="5490" w:type="dxa"/>
            <w:vMerge/>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071071" w:rsidRPr="00F64312" w:rsidRDefault="00071071" w:rsidP="0007107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F64312" w:rsidRDefault="00071071" w:rsidP="00071071">
            <w:pPr>
              <w:rPr>
                <w:color w:val="auto"/>
              </w:rPr>
            </w:pPr>
            <w:r w:rsidRPr="00F64312">
              <w:rPr>
                <w:rFonts w:eastAsia="Calibri" w:cs="Times New Roman"/>
                <w:b/>
                <w:color w:val="auto"/>
                <w:szCs w:val="24"/>
              </w:rPr>
              <w:t>TDRL</w:t>
            </w:r>
          </w:p>
        </w:tc>
        <w:tc>
          <w:tcPr>
            <w:tcW w:w="1530" w:type="dxa"/>
            <w:tcBorders>
              <w:top w:val="single" w:sz="4" w:space="0" w:color="auto"/>
            </w:tcBorders>
            <w:shd w:val="pct15" w:color="auto" w:fill="auto"/>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PERMANENT</w:t>
            </w:r>
          </w:p>
        </w:tc>
      </w:tr>
      <w:tr w:rsidR="00071071" w:rsidRPr="00F64312" w:rsidTr="0021565F">
        <w:trPr>
          <w:trHeight w:val="197"/>
          <w:jc w:val="center"/>
        </w:trPr>
        <w:tc>
          <w:tcPr>
            <w:tcW w:w="5490" w:type="dxa"/>
            <w:vAlign w:val="center"/>
          </w:tcPr>
          <w:p w:rsidR="00071071" w:rsidRPr="00F64312" w:rsidRDefault="00642D22" w:rsidP="00071071">
            <w:pPr>
              <w:tabs>
                <w:tab w:val="left" w:pos="288"/>
                <w:tab w:val="left" w:pos="4752"/>
              </w:tabs>
              <w:jc w:val="left"/>
              <w:rPr>
                <w:rFonts w:eastAsia="Calibri" w:cs="Times New Roman"/>
                <w:color w:val="auto"/>
                <w:szCs w:val="24"/>
              </w:rPr>
            </w:pPr>
            <w:r>
              <w:rPr>
                <w:color w:val="auto"/>
              </w:rPr>
              <w:t>Asthma, with normal spirometry</w:t>
            </w:r>
          </w:p>
        </w:tc>
        <w:tc>
          <w:tcPr>
            <w:tcW w:w="1530" w:type="dxa"/>
            <w:tcBorders>
              <w:bottom w:val="single" w:sz="4" w:space="0" w:color="000000"/>
            </w:tcBorders>
            <w:vAlign w:val="center"/>
          </w:tcPr>
          <w:p w:rsidR="00071071" w:rsidRPr="00F64312" w:rsidRDefault="00642D22" w:rsidP="00642D22">
            <w:pPr>
              <w:tabs>
                <w:tab w:val="left" w:pos="288"/>
                <w:tab w:val="left" w:pos="4752"/>
              </w:tabs>
              <w:rPr>
                <w:color w:val="auto"/>
                <w:highlight w:val="lightGray"/>
              </w:rPr>
            </w:pPr>
            <w:r>
              <w:rPr>
                <w:color w:val="auto"/>
              </w:rPr>
              <w:t>6602</w:t>
            </w:r>
          </w:p>
        </w:tc>
        <w:tc>
          <w:tcPr>
            <w:tcW w:w="810" w:type="dxa"/>
            <w:tcBorders>
              <w:bottom w:val="single" w:sz="4" w:space="0" w:color="000000"/>
            </w:tcBorders>
            <w:vAlign w:val="center"/>
          </w:tcPr>
          <w:p w:rsidR="00071071" w:rsidRPr="009F5C64" w:rsidRDefault="00642D22" w:rsidP="00071071">
            <w:pPr>
              <w:tabs>
                <w:tab w:val="left" w:pos="288"/>
                <w:tab w:val="left" w:pos="4752"/>
              </w:tabs>
              <w:rPr>
                <w:color w:val="auto"/>
              </w:rPr>
            </w:pPr>
            <w:r w:rsidRPr="009F5C64">
              <w:rPr>
                <w:color w:val="auto"/>
              </w:rPr>
              <w:t>3</w:t>
            </w:r>
            <w:r w:rsidR="00071071" w:rsidRPr="009F5C64">
              <w:rPr>
                <w:color w:val="auto"/>
              </w:rPr>
              <w:t>0%</w:t>
            </w:r>
          </w:p>
        </w:tc>
        <w:tc>
          <w:tcPr>
            <w:tcW w:w="1530" w:type="dxa"/>
            <w:tcBorders>
              <w:bottom w:val="single" w:sz="4" w:space="0" w:color="000000"/>
            </w:tcBorders>
            <w:vAlign w:val="center"/>
          </w:tcPr>
          <w:p w:rsidR="00071071" w:rsidRPr="009F5C64" w:rsidRDefault="00AB133A" w:rsidP="00AB133A">
            <w:pPr>
              <w:tabs>
                <w:tab w:val="left" w:pos="288"/>
                <w:tab w:val="left" w:pos="4752"/>
              </w:tabs>
              <w:rPr>
                <w:rFonts w:eastAsia="Calibri" w:cs="Times New Roman"/>
                <w:color w:val="auto"/>
                <w:szCs w:val="24"/>
              </w:rPr>
            </w:pPr>
            <w:r w:rsidRPr="009F5C64">
              <w:rPr>
                <w:rFonts w:eastAsia="Calibri" w:cs="Times New Roman"/>
                <w:color w:val="auto"/>
                <w:szCs w:val="24"/>
              </w:rPr>
              <w:t>3</w:t>
            </w:r>
            <w:r w:rsidR="00071071" w:rsidRPr="009F5C64">
              <w:rPr>
                <w:rFonts w:eastAsia="Calibri" w:cs="Times New Roman"/>
                <w:color w:val="auto"/>
                <w:szCs w:val="24"/>
              </w:rPr>
              <w:t>0%</w:t>
            </w:r>
          </w:p>
        </w:tc>
      </w:tr>
      <w:tr w:rsidR="00071071" w:rsidRPr="00F64312" w:rsidTr="0021565F">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071071" w:rsidRPr="00F64312" w:rsidRDefault="00071071" w:rsidP="00071071">
            <w:pPr>
              <w:tabs>
                <w:tab w:val="left" w:pos="288"/>
                <w:tab w:val="left" w:pos="4752"/>
              </w:tabs>
              <w:rPr>
                <w:rFonts w:eastAsia="Calibri" w:cs="Times New Roman"/>
                <w:b/>
                <w:color w:val="auto"/>
                <w:szCs w:val="24"/>
              </w:rPr>
            </w:pPr>
            <w:r w:rsidRPr="00F64312">
              <w:rPr>
                <w:rFonts w:eastAsia="Calibri" w:cs="Times New Roman"/>
                <w:b/>
                <w:color w:val="auto"/>
                <w:szCs w:val="24"/>
              </w:rPr>
              <w:t>COMBINED</w:t>
            </w:r>
          </w:p>
        </w:tc>
        <w:tc>
          <w:tcPr>
            <w:tcW w:w="810" w:type="dxa"/>
            <w:tcBorders>
              <w:left w:val="single" w:sz="4" w:space="0" w:color="auto"/>
            </w:tcBorders>
            <w:shd w:val="pct15" w:color="auto" w:fill="auto"/>
            <w:vAlign w:val="center"/>
          </w:tcPr>
          <w:p w:rsidR="00071071" w:rsidRPr="009F5C64" w:rsidRDefault="00642D22" w:rsidP="00071071">
            <w:pPr>
              <w:tabs>
                <w:tab w:val="left" w:pos="288"/>
                <w:tab w:val="left" w:pos="4752"/>
              </w:tabs>
              <w:rPr>
                <w:rFonts w:eastAsia="Calibri" w:cs="Times New Roman"/>
                <w:b/>
                <w:color w:val="auto"/>
                <w:szCs w:val="24"/>
              </w:rPr>
            </w:pPr>
            <w:r w:rsidRPr="009F5C64">
              <w:rPr>
                <w:rFonts w:eastAsia="Calibri" w:cs="Times New Roman"/>
                <w:b/>
                <w:color w:val="auto"/>
                <w:szCs w:val="24"/>
              </w:rPr>
              <w:t>3</w:t>
            </w:r>
            <w:r w:rsidR="00071071" w:rsidRPr="009F5C64">
              <w:rPr>
                <w:rFonts w:eastAsia="Calibri" w:cs="Times New Roman"/>
                <w:b/>
                <w:color w:val="auto"/>
                <w:szCs w:val="24"/>
              </w:rPr>
              <w:t>0%</w:t>
            </w:r>
          </w:p>
        </w:tc>
        <w:tc>
          <w:tcPr>
            <w:tcW w:w="1530" w:type="dxa"/>
            <w:shd w:val="pct15" w:color="auto" w:fill="auto"/>
            <w:vAlign w:val="center"/>
          </w:tcPr>
          <w:p w:rsidR="00071071" w:rsidRPr="009F5C64" w:rsidRDefault="00AB133A" w:rsidP="00AB133A">
            <w:pPr>
              <w:tabs>
                <w:tab w:val="left" w:pos="288"/>
                <w:tab w:val="left" w:pos="4752"/>
              </w:tabs>
              <w:rPr>
                <w:rFonts w:eastAsia="Calibri" w:cs="Times New Roman"/>
                <w:b/>
                <w:color w:val="auto"/>
                <w:szCs w:val="24"/>
              </w:rPr>
            </w:pPr>
            <w:r w:rsidRPr="009F5C64">
              <w:rPr>
                <w:rFonts w:eastAsia="Calibri" w:cs="Times New Roman"/>
                <w:b/>
                <w:color w:val="auto"/>
                <w:szCs w:val="24"/>
              </w:rPr>
              <w:t>3</w:t>
            </w:r>
            <w:r w:rsidR="00071071" w:rsidRPr="009F5C64">
              <w:rPr>
                <w:rFonts w:eastAsia="Calibri" w:cs="Times New Roman"/>
                <w:b/>
                <w:color w:val="auto"/>
                <w:szCs w:val="24"/>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9A1E45">
        <w:rPr>
          <w:color w:val="auto"/>
        </w:rPr>
        <w:t>20</w:t>
      </w:r>
      <w:r w:rsidR="009A1E45" w:rsidRPr="009A1E45">
        <w:rPr>
          <w:color w:val="auto"/>
        </w:rPr>
        <w:t>110</w:t>
      </w:r>
      <w:r w:rsidR="009A1E45">
        <w:rPr>
          <w:color w:val="auto"/>
        </w:rPr>
        <w:t>907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25DBB">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C2F93" w:rsidRDefault="00DC2F93">
      <w:pPr>
        <w:spacing w:line="240" w:lineRule="auto"/>
        <w:jc w:val="left"/>
        <w:rPr>
          <w:color w:val="auto"/>
        </w:rPr>
      </w:pPr>
    </w:p>
    <w:p w:rsidR="00DF3B06" w:rsidRDefault="00DF3B06" w:rsidP="00BF0E94">
      <w:pPr>
        <w:tabs>
          <w:tab w:val="left" w:pos="0"/>
          <w:tab w:val="left" w:pos="4320"/>
        </w:tabs>
        <w:jc w:val="both"/>
        <w:rPr>
          <w:color w:val="auto"/>
        </w:rPr>
      </w:pPr>
    </w:p>
    <w:p w:rsidR="00925DBB" w:rsidRDefault="00925DBB" w:rsidP="00BF0E94">
      <w:pPr>
        <w:tabs>
          <w:tab w:val="left" w:pos="0"/>
          <w:tab w:val="left" w:pos="4320"/>
        </w:tabs>
        <w:jc w:val="both"/>
        <w:rPr>
          <w:color w:val="auto"/>
        </w:rPr>
      </w:pPr>
    </w:p>
    <w:p w:rsidR="00925DBB" w:rsidRDefault="00925DBB">
      <w:pPr>
        <w:spacing w:line="240" w:lineRule="auto"/>
        <w:jc w:val="left"/>
        <w:rPr>
          <w:color w:val="auto"/>
        </w:rPr>
      </w:pPr>
      <w:r>
        <w:rPr>
          <w:color w:val="auto"/>
        </w:rPr>
        <w:br w:type="page"/>
      </w:r>
    </w:p>
    <w:p w:rsidR="00925DBB" w:rsidRDefault="00925DBB" w:rsidP="00925DBB">
      <w:pPr>
        <w:pStyle w:val="Header"/>
        <w:tabs>
          <w:tab w:val="left" w:pos="720"/>
        </w:tabs>
        <w:jc w:val="left"/>
      </w:pPr>
      <w:r>
        <w:lastRenderedPageBreak/>
        <w:t>SFMR-RB</w:t>
      </w:r>
      <w:r>
        <w:tab/>
      </w:r>
      <w:r>
        <w:tab/>
      </w:r>
      <w:r>
        <w:tab/>
      </w:r>
      <w:r>
        <w:tab/>
      </w:r>
      <w:r>
        <w:tab/>
      </w:r>
      <w:r>
        <w:tab/>
      </w:r>
      <w:r>
        <w:tab/>
      </w:r>
      <w:r>
        <w:tab/>
      </w:r>
      <w:r>
        <w:tab/>
      </w:r>
    </w:p>
    <w:p w:rsidR="00925DBB" w:rsidRDefault="00925DBB" w:rsidP="00925DBB">
      <w:pPr>
        <w:pStyle w:val="Header"/>
        <w:tabs>
          <w:tab w:val="left" w:pos="720"/>
        </w:tabs>
        <w:jc w:val="left"/>
      </w:pPr>
    </w:p>
    <w:p w:rsidR="00925DBB" w:rsidRDefault="00925DBB" w:rsidP="00925DBB">
      <w:pPr>
        <w:jc w:val="left"/>
      </w:pPr>
    </w:p>
    <w:p w:rsidR="00925DBB" w:rsidRDefault="00925DBB" w:rsidP="00925DBB">
      <w:pPr>
        <w:jc w:val="left"/>
      </w:pPr>
      <w:r>
        <w:t xml:space="preserve">MEMORANDUM FOR Commander, US Army Physical Disability Agency </w:t>
      </w:r>
    </w:p>
    <w:p w:rsidR="00925DBB" w:rsidRDefault="00925DBB" w:rsidP="00925DBB">
      <w:pPr>
        <w:jc w:val="left"/>
      </w:pPr>
      <w:r>
        <w:t xml:space="preserve">(TAPD-ZB </w:t>
      </w:r>
      <w:proofErr w:type="gramStart"/>
      <w:r>
        <w:t>/  )</w:t>
      </w:r>
      <w:proofErr w:type="gramEnd"/>
      <w:r>
        <w:t>, 2900 Crystal Drive, Suite 300, Arlington, VA  22202-3557</w:t>
      </w:r>
    </w:p>
    <w:p w:rsidR="00925DBB" w:rsidRDefault="00925DBB" w:rsidP="00925DBB">
      <w:pPr>
        <w:jc w:val="left"/>
      </w:pPr>
    </w:p>
    <w:p w:rsidR="00925DBB" w:rsidRDefault="00925DBB" w:rsidP="00925DBB">
      <w:pPr>
        <w:jc w:val="left"/>
      </w:pPr>
    </w:p>
    <w:p w:rsidR="00925DBB" w:rsidRDefault="00925DBB" w:rsidP="00925DBB">
      <w:pPr>
        <w:ind w:right="-180"/>
        <w:jc w:val="left"/>
      </w:pPr>
      <w:r>
        <w:t xml:space="preserve">SUBJECT:  Department of Defense Physical Disability Board of Review Recommendation </w:t>
      </w:r>
    </w:p>
    <w:p w:rsidR="00925DBB" w:rsidRDefault="00925DBB" w:rsidP="00925DBB">
      <w:pPr>
        <w:pStyle w:val="Header"/>
        <w:tabs>
          <w:tab w:val="left" w:pos="720"/>
        </w:tabs>
        <w:jc w:val="left"/>
      </w:pPr>
      <w:proofErr w:type="gramStart"/>
      <w:r>
        <w:t>for</w:t>
      </w:r>
      <w:proofErr w:type="gramEnd"/>
      <w:r>
        <w:t xml:space="preserve"> XXXXXXXXXXXXXXXXXX, AR20120018935 (PD201101014)</w:t>
      </w:r>
    </w:p>
    <w:p w:rsidR="00925DBB" w:rsidRDefault="00925DBB" w:rsidP="00925DBB">
      <w:pPr>
        <w:pStyle w:val="Header"/>
        <w:tabs>
          <w:tab w:val="left" w:pos="720"/>
        </w:tabs>
        <w:jc w:val="left"/>
      </w:pPr>
    </w:p>
    <w:p w:rsidR="00925DBB" w:rsidRDefault="00925DBB" w:rsidP="00925DBB">
      <w:pPr>
        <w:jc w:val="left"/>
      </w:pPr>
    </w:p>
    <w:p w:rsidR="00925DBB" w:rsidRDefault="00925DBB" w:rsidP="00925DBB">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925DBB" w:rsidRDefault="00925DBB" w:rsidP="00925DBB">
      <w:pPr>
        <w:jc w:val="left"/>
      </w:pPr>
    </w:p>
    <w:p w:rsidR="00925DBB" w:rsidRDefault="00925DBB" w:rsidP="00925DBB">
      <w:pPr>
        <w:jc w:val="left"/>
      </w:pPr>
      <w:r>
        <w:t>2.  I direct that all the Department of the Army records of the individual concerned be corrected accordingly no later than 120 days from the date of this memorandum:</w:t>
      </w:r>
    </w:p>
    <w:p w:rsidR="00925DBB" w:rsidRDefault="00925DBB" w:rsidP="00925DBB">
      <w:pPr>
        <w:jc w:val="left"/>
      </w:pPr>
    </w:p>
    <w:p w:rsidR="00925DBB" w:rsidRDefault="00925DBB" w:rsidP="00925DBB">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925DBB" w:rsidRDefault="00925DBB" w:rsidP="00925DBB">
      <w:pPr>
        <w:jc w:val="left"/>
      </w:pPr>
    </w:p>
    <w:p w:rsidR="00925DBB" w:rsidRDefault="00925DBB" w:rsidP="00925DBB">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925DBB" w:rsidRDefault="00925DBB" w:rsidP="00925DBB">
      <w:pPr>
        <w:jc w:val="left"/>
      </w:pPr>
    </w:p>
    <w:p w:rsidR="00925DBB" w:rsidRDefault="00925DBB" w:rsidP="00925DBB">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925DBB" w:rsidRDefault="00925DBB" w:rsidP="00925DBB">
      <w:pPr>
        <w:jc w:val="left"/>
      </w:pPr>
    </w:p>
    <w:p w:rsidR="00925DBB" w:rsidRDefault="00925DBB" w:rsidP="00925DBB">
      <w:pPr>
        <w:jc w:val="left"/>
      </w:pPr>
      <w:r>
        <w:tab/>
      </w:r>
      <w:proofErr w:type="gramStart"/>
      <w:r>
        <w:t>d.  Affording</w:t>
      </w:r>
      <w:proofErr w:type="gramEnd"/>
      <w:r>
        <w:t xml:space="preserve"> the individual the opportunity to elect Survivor Benefit Plan (SBP) and medical TRICARE retiree options.</w:t>
      </w:r>
    </w:p>
    <w:p w:rsidR="00925DBB" w:rsidRDefault="00925DBB" w:rsidP="00925DBB">
      <w:pPr>
        <w:jc w:val="left"/>
      </w:pPr>
    </w:p>
    <w:p w:rsidR="00925DBB" w:rsidRDefault="00925DBB" w:rsidP="00925DBB">
      <w:pPr>
        <w:jc w:val="left"/>
      </w:pPr>
    </w:p>
    <w:p w:rsidR="00925DBB" w:rsidRDefault="00925DBB" w:rsidP="00925DB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25DBB" w:rsidRDefault="00925DBB" w:rsidP="00925DBB">
      <w:pPr>
        <w:jc w:val="left"/>
      </w:pPr>
    </w:p>
    <w:p w:rsidR="00925DBB" w:rsidRDefault="00925DBB" w:rsidP="00925DBB">
      <w:pPr>
        <w:jc w:val="left"/>
      </w:pPr>
      <w:r>
        <w:t>BY ORDER OF THE SECRETARY OF THE ARMY:</w:t>
      </w:r>
    </w:p>
    <w:p w:rsidR="00925DBB" w:rsidRDefault="00925DBB" w:rsidP="00925DBB">
      <w:pPr>
        <w:jc w:val="left"/>
      </w:pPr>
    </w:p>
    <w:p w:rsidR="00925DBB" w:rsidRDefault="00925DBB" w:rsidP="00925DBB">
      <w:pPr>
        <w:jc w:val="left"/>
      </w:pPr>
    </w:p>
    <w:p w:rsidR="00925DBB" w:rsidRDefault="00925DBB" w:rsidP="00925DBB">
      <w:pPr>
        <w:pStyle w:val="Header"/>
        <w:tabs>
          <w:tab w:val="left" w:pos="720"/>
        </w:tabs>
        <w:jc w:val="left"/>
      </w:pPr>
    </w:p>
    <w:p w:rsidR="00925DBB" w:rsidRDefault="00925DBB" w:rsidP="00925DBB">
      <w:pPr>
        <w:jc w:val="left"/>
      </w:pPr>
    </w:p>
    <w:p w:rsidR="00925DBB" w:rsidRDefault="00925DBB" w:rsidP="00925DBB">
      <w:pPr>
        <w:jc w:val="left"/>
      </w:pPr>
      <w:bookmarkStart w:id="0" w:name="OLE_LINK4"/>
      <w:bookmarkStart w:id="1" w:name="OLE_LINK3"/>
      <w:r>
        <w:t>Encl</w:t>
      </w:r>
      <w:r>
        <w:tab/>
      </w:r>
      <w:r>
        <w:tab/>
      </w:r>
      <w:r>
        <w:tab/>
      </w:r>
      <w:r>
        <w:tab/>
      </w:r>
      <w:r>
        <w:tab/>
      </w:r>
      <w:r>
        <w:tab/>
        <w:t xml:space="preserve">     XXXXXXXXXXXXXXXXXXXX</w:t>
      </w:r>
    </w:p>
    <w:p w:rsidR="00925DBB" w:rsidRDefault="00925DBB" w:rsidP="00925DBB">
      <w:pPr>
        <w:jc w:val="left"/>
      </w:pPr>
      <w:r>
        <w:tab/>
      </w:r>
      <w:r>
        <w:tab/>
      </w:r>
      <w:r>
        <w:tab/>
      </w:r>
      <w:r>
        <w:tab/>
      </w:r>
      <w:r>
        <w:tab/>
      </w:r>
      <w:r>
        <w:tab/>
        <w:t xml:space="preserve">     Deputy Assistant Secretary</w:t>
      </w:r>
    </w:p>
    <w:p w:rsidR="00925DBB" w:rsidRDefault="00925DBB" w:rsidP="00925DBB">
      <w:pPr>
        <w:jc w:val="left"/>
      </w:pPr>
      <w:r>
        <w:tab/>
      </w:r>
      <w:r>
        <w:tab/>
      </w:r>
      <w:r>
        <w:tab/>
      </w:r>
      <w:r>
        <w:tab/>
      </w:r>
      <w:r>
        <w:tab/>
      </w:r>
      <w:r>
        <w:tab/>
        <w:t xml:space="preserve">         (Army Review Boards)</w:t>
      </w:r>
      <w:bookmarkEnd w:id="0"/>
      <w:bookmarkEnd w:id="1"/>
    </w:p>
    <w:p w:rsidR="00925DBB" w:rsidRDefault="00925DBB" w:rsidP="00925DBB">
      <w:pPr>
        <w:jc w:val="left"/>
      </w:pPr>
    </w:p>
    <w:p w:rsidR="00925DBB" w:rsidRDefault="00925DBB" w:rsidP="00925DBB">
      <w:pPr>
        <w:jc w:val="left"/>
      </w:pPr>
      <w:r>
        <w:t xml:space="preserve">CF: </w:t>
      </w:r>
    </w:p>
    <w:p w:rsidR="00925DBB" w:rsidRDefault="00925DBB" w:rsidP="00925DBB">
      <w:pPr>
        <w:jc w:val="left"/>
      </w:pPr>
      <w:r>
        <w:t xml:space="preserve">(  ) </w:t>
      </w:r>
      <w:proofErr w:type="spellStart"/>
      <w:proofErr w:type="gramStart"/>
      <w:r>
        <w:t>DoD</w:t>
      </w:r>
      <w:proofErr w:type="spellEnd"/>
      <w:proofErr w:type="gramEnd"/>
      <w:r>
        <w:t xml:space="preserve"> PDBR</w:t>
      </w:r>
    </w:p>
    <w:p w:rsidR="00925DBB" w:rsidRDefault="00925DBB" w:rsidP="00925DBB">
      <w:pPr>
        <w:jc w:val="left"/>
      </w:pPr>
      <w:r>
        <w:t>(  ) DVA</w:t>
      </w:r>
    </w:p>
    <w:sectPr w:rsidR="00925DBB"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87" w:rsidRDefault="006D2387">
      <w:r>
        <w:separator/>
      </w:r>
    </w:p>
  </w:endnote>
  <w:endnote w:type="continuationSeparator" w:id="0">
    <w:p w:rsidR="006D2387" w:rsidRDefault="006D23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29" w:rsidRPr="00374247" w:rsidRDefault="00044B29" w:rsidP="00726F84">
    <w:pPr>
      <w:pStyle w:val="Footer"/>
      <w:ind w:firstLine="4320"/>
      <w:rPr>
        <w:color w:val="auto"/>
      </w:rPr>
    </w:pPr>
    <w:r w:rsidRPr="00374247">
      <w:rPr>
        <w:color w:val="auto"/>
      </w:rPr>
      <w:t xml:space="preserve">   </w:t>
    </w:r>
    <w:r w:rsidR="00D91ECA" w:rsidRPr="00D91ECA">
      <w:fldChar w:fldCharType="begin"/>
    </w:r>
    <w:r>
      <w:instrText xml:space="preserve"> PAGE   \* MERGEFORMAT </w:instrText>
    </w:r>
    <w:r w:rsidR="00D91ECA" w:rsidRPr="00D91ECA">
      <w:fldChar w:fldCharType="separate"/>
    </w:r>
    <w:r w:rsidR="00925DBB" w:rsidRPr="00925DBB">
      <w:rPr>
        <w:noProof/>
        <w:color w:val="auto"/>
      </w:rPr>
      <w:t>4</w:t>
    </w:r>
    <w:r w:rsidR="00D91ECA">
      <w:rPr>
        <w:noProof/>
        <w:color w:val="auto"/>
      </w:rPr>
      <w:fldChar w:fldCharType="end"/>
    </w:r>
    <w:r w:rsidRPr="00374247">
      <w:rPr>
        <w:color w:val="auto"/>
      </w:rPr>
      <w:t xml:space="preserve">                                                           </w:t>
    </w:r>
    <w:r w:rsidRPr="00864AE5">
      <w:rPr>
        <w:color w:val="auto"/>
      </w:rPr>
      <w:t>PD1101014</w:t>
    </w:r>
  </w:p>
  <w:p w:rsidR="00044B29" w:rsidRPr="00684CE6" w:rsidRDefault="00044B2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87" w:rsidRDefault="006D2387">
      <w:r>
        <w:separator/>
      </w:r>
    </w:p>
  </w:footnote>
  <w:footnote w:type="continuationSeparator" w:id="0">
    <w:p w:rsidR="006D2387" w:rsidRDefault="006D2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1464"/>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4B29"/>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809"/>
    <w:rsid w:val="00082482"/>
    <w:rsid w:val="00082CA0"/>
    <w:rsid w:val="00084CF2"/>
    <w:rsid w:val="00084FE5"/>
    <w:rsid w:val="00085D7B"/>
    <w:rsid w:val="0008708B"/>
    <w:rsid w:val="00092619"/>
    <w:rsid w:val="00092A6C"/>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113"/>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144E"/>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DF8"/>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A7B0F"/>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267"/>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542"/>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4D37"/>
    <w:rsid w:val="002A58B7"/>
    <w:rsid w:val="002A5943"/>
    <w:rsid w:val="002A5C3C"/>
    <w:rsid w:val="002A685E"/>
    <w:rsid w:val="002A7257"/>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404C"/>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183"/>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086"/>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190"/>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2A4C"/>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A62"/>
    <w:rsid w:val="003A7FF8"/>
    <w:rsid w:val="003B17AC"/>
    <w:rsid w:val="003B2143"/>
    <w:rsid w:val="003B21D4"/>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2563"/>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539"/>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AC3"/>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2A59"/>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282"/>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08A"/>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4991"/>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09B"/>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5F81"/>
    <w:rsid w:val="005D67EF"/>
    <w:rsid w:val="005E0FC8"/>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2317"/>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2D22"/>
    <w:rsid w:val="00643C8F"/>
    <w:rsid w:val="00645046"/>
    <w:rsid w:val="0064527A"/>
    <w:rsid w:val="006458FD"/>
    <w:rsid w:val="00645DE8"/>
    <w:rsid w:val="00645EA2"/>
    <w:rsid w:val="006465E1"/>
    <w:rsid w:val="006473B5"/>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691"/>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4FCE"/>
    <w:rsid w:val="006857A0"/>
    <w:rsid w:val="006870CE"/>
    <w:rsid w:val="00687C7E"/>
    <w:rsid w:val="00687D3D"/>
    <w:rsid w:val="00690569"/>
    <w:rsid w:val="00690FDA"/>
    <w:rsid w:val="00691871"/>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A7653"/>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387"/>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4A7"/>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97B"/>
    <w:rsid w:val="00726C1D"/>
    <w:rsid w:val="00726F84"/>
    <w:rsid w:val="007272F1"/>
    <w:rsid w:val="00727565"/>
    <w:rsid w:val="007301B1"/>
    <w:rsid w:val="0073062D"/>
    <w:rsid w:val="0073093B"/>
    <w:rsid w:val="0073254D"/>
    <w:rsid w:val="007340F3"/>
    <w:rsid w:val="007347BB"/>
    <w:rsid w:val="00735704"/>
    <w:rsid w:val="00736A49"/>
    <w:rsid w:val="00736FC4"/>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5C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752FB"/>
    <w:rsid w:val="00780378"/>
    <w:rsid w:val="0078085E"/>
    <w:rsid w:val="00781BD4"/>
    <w:rsid w:val="00782562"/>
    <w:rsid w:val="007828B4"/>
    <w:rsid w:val="00782CC1"/>
    <w:rsid w:val="0078477D"/>
    <w:rsid w:val="00784832"/>
    <w:rsid w:val="00784EA0"/>
    <w:rsid w:val="00785C75"/>
    <w:rsid w:val="00785D77"/>
    <w:rsid w:val="00786111"/>
    <w:rsid w:val="00790656"/>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D2"/>
    <w:rsid w:val="007E71B1"/>
    <w:rsid w:val="007E7B4E"/>
    <w:rsid w:val="007E7F02"/>
    <w:rsid w:val="007F0292"/>
    <w:rsid w:val="007F0722"/>
    <w:rsid w:val="007F0AB7"/>
    <w:rsid w:val="007F0CE2"/>
    <w:rsid w:val="007F0EFF"/>
    <w:rsid w:val="007F1375"/>
    <w:rsid w:val="007F1AFD"/>
    <w:rsid w:val="007F2892"/>
    <w:rsid w:val="007F30E4"/>
    <w:rsid w:val="0080064F"/>
    <w:rsid w:val="00801B85"/>
    <w:rsid w:val="00802723"/>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B7C"/>
    <w:rsid w:val="0086429C"/>
    <w:rsid w:val="00864AE5"/>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2DB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8A3"/>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097"/>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5DBB"/>
    <w:rsid w:val="00926451"/>
    <w:rsid w:val="00926C0A"/>
    <w:rsid w:val="00926FCB"/>
    <w:rsid w:val="009303BB"/>
    <w:rsid w:val="00930C2E"/>
    <w:rsid w:val="0093108A"/>
    <w:rsid w:val="009319EF"/>
    <w:rsid w:val="00931B6D"/>
    <w:rsid w:val="0093311A"/>
    <w:rsid w:val="009346D0"/>
    <w:rsid w:val="009369A6"/>
    <w:rsid w:val="00936A67"/>
    <w:rsid w:val="00936E38"/>
    <w:rsid w:val="00937433"/>
    <w:rsid w:val="00937F57"/>
    <w:rsid w:val="0094031E"/>
    <w:rsid w:val="009419B4"/>
    <w:rsid w:val="00941A4C"/>
    <w:rsid w:val="00942645"/>
    <w:rsid w:val="009461E6"/>
    <w:rsid w:val="00950A3A"/>
    <w:rsid w:val="009526B3"/>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139"/>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1E45"/>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046"/>
    <w:rsid w:val="009D1ADE"/>
    <w:rsid w:val="009D2666"/>
    <w:rsid w:val="009D297C"/>
    <w:rsid w:val="009D3652"/>
    <w:rsid w:val="009D37CA"/>
    <w:rsid w:val="009D4229"/>
    <w:rsid w:val="009D4268"/>
    <w:rsid w:val="009D5DE9"/>
    <w:rsid w:val="009D79E1"/>
    <w:rsid w:val="009E09D0"/>
    <w:rsid w:val="009E0C9F"/>
    <w:rsid w:val="009E1181"/>
    <w:rsid w:val="009E1283"/>
    <w:rsid w:val="009E3A7F"/>
    <w:rsid w:val="009E4C9B"/>
    <w:rsid w:val="009E4DFC"/>
    <w:rsid w:val="009E5789"/>
    <w:rsid w:val="009E57B1"/>
    <w:rsid w:val="009E6379"/>
    <w:rsid w:val="009E7BFB"/>
    <w:rsid w:val="009F020F"/>
    <w:rsid w:val="009F077E"/>
    <w:rsid w:val="009F3B63"/>
    <w:rsid w:val="009F43E2"/>
    <w:rsid w:val="009F491F"/>
    <w:rsid w:val="009F5C64"/>
    <w:rsid w:val="009F5EB3"/>
    <w:rsid w:val="009F6292"/>
    <w:rsid w:val="009F6EC5"/>
    <w:rsid w:val="009F7809"/>
    <w:rsid w:val="009F7822"/>
    <w:rsid w:val="009F7AF5"/>
    <w:rsid w:val="00A00613"/>
    <w:rsid w:val="00A006F1"/>
    <w:rsid w:val="00A007A7"/>
    <w:rsid w:val="00A00D14"/>
    <w:rsid w:val="00A01408"/>
    <w:rsid w:val="00A0178B"/>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31A"/>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77D69"/>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B2"/>
    <w:rsid w:val="00A97CD9"/>
    <w:rsid w:val="00AA020A"/>
    <w:rsid w:val="00AA04B3"/>
    <w:rsid w:val="00AA088E"/>
    <w:rsid w:val="00AA1253"/>
    <w:rsid w:val="00AA1ED0"/>
    <w:rsid w:val="00AA1F5B"/>
    <w:rsid w:val="00AA28EF"/>
    <w:rsid w:val="00AA3593"/>
    <w:rsid w:val="00AA35B7"/>
    <w:rsid w:val="00AA38CA"/>
    <w:rsid w:val="00AA493E"/>
    <w:rsid w:val="00AA73AF"/>
    <w:rsid w:val="00AB062D"/>
    <w:rsid w:val="00AB08F5"/>
    <w:rsid w:val="00AB0A8A"/>
    <w:rsid w:val="00AB133A"/>
    <w:rsid w:val="00AB1754"/>
    <w:rsid w:val="00AB1F8D"/>
    <w:rsid w:val="00AB27DD"/>
    <w:rsid w:val="00AB3383"/>
    <w:rsid w:val="00AB4BA4"/>
    <w:rsid w:val="00AB592E"/>
    <w:rsid w:val="00AC0C1C"/>
    <w:rsid w:val="00AC1305"/>
    <w:rsid w:val="00AC2669"/>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1038"/>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830"/>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D20"/>
    <w:rsid w:val="00BF4F49"/>
    <w:rsid w:val="00BF6759"/>
    <w:rsid w:val="00BF70A6"/>
    <w:rsid w:val="00BF72CA"/>
    <w:rsid w:val="00BF7B4F"/>
    <w:rsid w:val="00BF7B63"/>
    <w:rsid w:val="00BF7F3C"/>
    <w:rsid w:val="00C005D4"/>
    <w:rsid w:val="00C00671"/>
    <w:rsid w:val="00C0359D"/>
    <w:rsid w:val="00C038EC"/>
    <w:rsid w:val="00C03C21"/>
    <w:rsid w:val="00C05B4B"/>
    <w:rsid w:val="00C05C6D"/>
    <w:rsid w:val="00C0671A"/>
    <w:rsid w:val="00C072D7"/>
    <w:rsid w:val="00C077AA"/>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1508"/>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40"/>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97FEF"/>
    <w:rsid w:val="00CA068D"/>
    <w:rsid w:val="00CA08DF"/>
    <w:rsid w:val="00CA1228"/>
    <w:rsid w:val="00CA1C73"/>
    <w:rsid w:val="00CA282D"/>
    <w:rsid w:val="00CA3CA6"/>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03D3"/>
    <w:rsid w:val="00CD15BE"/>
    <w:rsid w:val="00CD1EF2"/>
    <w:rsid w:val="00CD32BD"/>
    <w:rsid w:val="00CD34C7"/>
    <w:rsid w:val="00CD5653"/>
    <w:rsid w:val="00CD5E6D"/>
    <w:rsid w:val="00CD63C8"/>
    <w:rsid w:val="00CD76F8"/>
    <w:rsid w:val="00CD78A5"/>
    <w:rsid w:val="00CE013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7F6"/>
    <w:rsid w:val="00D20AC0"/>
    <w:rsid w:val="00D22238"/>
    <w:rsid w:val="00D229E7"/>
    <w:rsid w:val="00D2321B"/>
    <w:rsid w:val="00D23350"/>
    <w:rsid w:val="00D237E7"/>
    <w:rsid w:val="00D23DE4"/>
    <w:rsid w:val="00D25A5C"/>
    <w:rsid w:val="00D26873"/>
    <w:rsid w:val="00D27C99"/>
    <w:rsid w:val="00D30708"/>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76E23"/>
    <w:rsid w:val="00D80490"/>
    <w:rsid w:val="00D828F9"/>
    <w:rsid w:val="00D829AD"/>
    <w:rsid w:val="00D82EE2"/>
    <w:rsid w:val="00D8352E"/>
    <w:rsid w:val="00D83746"/>
    <w:rsid w:val="00D83D1B"/>
    <w:rsid w:val="00D84133"/>
    <w:rsid w:val="00D84B8D"/>
    <w:rsid w:val="00D84F1F"/>
    <w:rsid w:val="00D8545C"/>
    <w:rsid w:val="00D86AB5"/>
    <w:rsid w:val="00D86E57"/>
    <w:rsid w:val="00D876AD"/>
    <w:rsid w:val="00D87788"/>
    <w:rsid w:val="00D877C8"/>
    <w:rsid w:val="00D91040"/>
    <w:rsid w:val="00D910C2"/>
    <w:rsid w:val="00D9168C"/>
    <w:rsid w:val="00D9189B"/>
    <w:rsid w:val="00D91DA6"/>
    <w:rsid w:val="00D91ECA"/>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373"/>
    <w:rsid w:val="00DB5941"/>
    <w:rsid w:val="00DB626D"/>
    <w:rsid w:val="00DB6365"/>
    <w:rsid w:val="00DB756C"/>
    <w:rsid w:val="00DC07B7"/>
    <w:rsid w:val="00DC0BF1"/>
    <w:rsid w:val="00DC11B7"/>
    <w:rsid w:val="00DC1607"/>
    <w:rsid w:val="00DC17F2"/>
    <w:rsid w:val="00DC1D21"/>
    <w:rsid w:val="00DC2F93"/>
    <w:rsid w:val="00DC3E03"/>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340A"/>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5B11"/>
    <w:rsid w:val="00ED664B"/>
    <w:rsid w:val="00ED6A61"/>
    <w:rsid w:val="00ED768E"/>
    <w:rsid w:val="00ED7820"/>
    <w:rsid w:val="00ED7DA4"/>
    <w:rsid w:val="00EE03BB"/>
    <w:rsid w:val="00EE0552"/>
    <w:rsid w:val="00EE0B44"/>
    <w:rsid w:val="00EE125D"/>
    <w:rsid w:val="00EE23DE"/>
    <w:rsid w:val="00EE2443"/>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5BD3"/>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380"/>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1C03"/>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71F"/>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00E"/>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665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882A-85A9-4AEA-9C98-EBCD9307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2012-10-02T12:37:00Z</cp:lastPrinted>
  <dcterms:created xsi:type="dcterms:W3CDTF">2012-10-31T18:00:00Z</dcterms:created>
  <dcterms:modified xsi:type="dcterms:W3CDTF">2012-10-31T18:00:00Z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