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813598">
        <w:rPr>
          <w:caps/>
          <w:color w:val="auto"/>
        </w:rPr>
        <w:t>XXXXXXXXXXXXX</w:t>
      </w:r>
      <w:r w:rsidR="00751DA6">
        <w:rPr>
          <w:caps/>
          <w:color w:val="auto"/>
        </w:rPr>
        <w:t xml:space="preserve"> </w:t>
      </w:r>
      <w:r w:rsidR="008013E4">
        <w:rPr>
          <w:caps/>
          <w:color w:val="auto"/>
        </w:rPr>
        <w:t xml:space="preserve">                                                                         </w:t>
      </w:r>
      <w:r w:rsidRPr="00F64312">
        <w:rPr>
          <w:caps/>
          <w:color w:val="auto"/>
        </w:rPr>
        <w:t>BRANCH OF SERVICE</w:t>
      </w:r>
      <w:r w:rsidRPr="00751DA6">
        <w:rPr>
          <w:caps/>
          <w:color w:val="auto"/>
        </w:rPr>
        <w:t xml:space="preserve">:  </w:t>
      </w:r>
      <w:r w:rsidR="0018208F" w:rsidRPr="00751DA6">
        <w:rPr>
          <w:caps/>
          <w:color w:val="auto"/>
        </w:rPr>
        <w:t xml:space="preserve"> </w:t>
      </w:r>
      <w:r w:rsidR="00DF70F4" w:rsidRPr="00751DA6">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751DA6">
        <w:rPr>
          <w:caps/>
          <w:color w:val="auto"/>
        </w:rPr>
        <w:t>PD1100</w:t>
      </w:r>
      <w:r w:rsidR="00751DA6" w:rsidRPr="00751DA6">
        <w:rPr>
          <w:caps/>
          <w:color w:val="auto"/>
        </w:rPr>
        <w:t>989</w:t>
      </w:r>
      <w:r w:rsidR="00DD5558">
        <w:rPr>
          <w:color w:val="auto"/>
        </w:rPr>
        <w:tab/>
      </w:r>
      <w:r w:rsidR="0018208F" w:rsidRPr="00F64312">
        <w:rPr>
          <w:color w:val="auto"/>
        </w:rPr>
        <w:t>SE</w:t>
      </w:r>
      <w:r w:rsidRPr="00F64312">
        <w:rPr>
          <w:color w:val="auto"/>
        </w:rPr>
        <w:t>PARATION DATE:  200</w:t>
      </w:r>
      <w:r w:rsidR="003D0314">
        <w:rPr>
          <w:color w:val="auto"/>
        </w:rPr>
        <w:t>6</w:t>
      </w:r>
      <w:r w:rsidR="00751DA6">
        <w:rPr>
          <w:color w:val="auto"/>
        </w:rPr>
        <w:t>0121</w:t>
      </w:r>
    </w:p>
    <w:p w:rsidR="00AD2379" w:rsidRPr="003D0314"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 xml:space="preserve">BOARD DATE:  </w:t>
      </w:r>
      <w:r w:rsidRPr="003D0314">
        <w:rPr>
          <w:caps/>
          <w:color w:val="auto"/>
        </w:rPr>
        <w:t>2012</w:t>
      </w:r>
      <w:r w:rsidR="001763E4" w:rsidRPr="003D0314">
        <w:rPr>
          <w:caps/>
          <w:color w:val="auto"/>
        </w:rPr>
        <w:t>0627</w:t>
      </w:r>
    </w:p>
    <w:p w:rsidR="0095270D" w:rsidRPr="003D0314" w:rsidRDefault="0095270D" w:rsidP="0095270D">
      <w:pPr>
        <w:pBdr>
          <w:bottom w:val="single" w:sz="12" w:space="1" w:color="auto"/>
        </w:pBdr>
        <w:tabs>
          <w:tab w:val="left" w:pos="288"/>
          <w:tab w:val="left" w:pos="4752"/>
        </w:tabs>
        <w:jc w:val="both"/>
        <w:rPr>
          <w:color w:val="auto"/>
        </w:rPr>
      </w:pPr>
    </w:p>
    <w:p w:rsidR="00AD2379" w:rsidRPr="003D0314" w:rsidRDefault="00AD2379" w:rsidP="00BF0E94">
      <w:pPr>
        <w:tabs>
          <w:tab w:val="left" w:pos="288"/>
          <w:tab w:val="left" w:pos="4752"/>
        </w:tabs>
        <w:jc w:val="both"/>
        <w:rPr>
          <w:color w:val="auto"/>
        </w:rPr>
      </w:pPr>
    </w:p>
    <w:p w:rsidR="0066684A" w:rsidRPr="00F64312" w:rsidRDefault="00AD2379" w:rsidP="00864896">
      <w:pPr>
        <w:tabs>
          <w:tab w:val="left" w:pos="288"/>
          <w:tab w:val="left" w:pos="4752"/>
        </w:tabs>
        <w:jc w:val="both"/>
        <w:rPr>
          <w:color w:val="auto"/>
        </w:rPr>
      </w:pPr>
      <w:r w:rsidRPr="003D0314">
        <w:rPr>
          <w:color w:val="auto"/>
          <w:u w:val="single"/>
        </w:rPr>
        <w:t>SUMMARY OF CASE</w:t>
      </w:r>
      <w:r w:rsidRPr="003D0314">
        <w:rPr>
          <w:color w:val="auto"/>
        </w:rPr>
        <w:t>:</w:t>
      </w:r>
      <w:r w:rsidR="00532B33" w:rsidRPr="003D0314">
        <w:rPr>
          <w:color w:val="auto"/>
        </w:rPr>
        <w:t xml:space="preserve"> </w:t>
      </w:r>
      <w:r w:rsidRPr="003D0314">
        <w:rPr>
          <w:color w:val="auto"/>
        </w:rPr>
        <w:t xml:space="preserve"> Data </w:t>
      </w:r>
      <w:r w:rsidRPr="00C419CA">
        <w:rPr>
          <w:color w:val="auto"/>
        </w:rPr>
        <w:t xml:space="preserve">extracted from the available evidence of record reflects that this covered individual (CI) was </w:t>
      </w:r>
      <w:r w:rsidR="00A70270" w:rsidRPr="00C419CA">
        <w:rPr>
          <w:color w:val="auto"/>
        </w:rPr>
        <w:t>a</w:t>
      </w:r>
      <w:r w:rsidR="00751DA6" w:rsidRPr="00C419CA">
        <w:rPr>
          <w:color w:val="auto"/>
        </w:rPr>
        <w:t xml:space="preserve"> mobilized </w:t>
      </w:r>
      <w:r w:rsidR="00463478" w:rsidRPr="00C419CA">
        <w:rPr>
          <w:color w:val="auto"/>
        </w:rPr>
        <w:t xml:space="preserve">National </w:t>
      </w:r>
      <w:r w:rsidRPr="00C419CA">
        <w:rPr>
          <w:color w:val="auto"/>
        </w:rPr>
        <w:t>Guard</w:t>
      </w:r>
      <w:r w:rsidR="0021565F" w:rsidRPr="00C419CA">
        <w:rPr>
          <w:color w:val="auto"/>
        </w:rPr>
        <w:t xml:space="preserve"> </w:t>
      </w:r>
      <w:r w:rsidR="00751DA6" w:rsidRPr="00C419CA">
        <w:rPr>
          <w:color w:val="auto"/>
        </w:rPr>
        <w:t>member, PV2/E2</w:t>
      </w:r>
      <w:r w:rsidR="00555AFF" w:rsidRPr="00C419CA">
        <w:rPr>
          <w:color w:val="auto"/>
        </w:rPr>
        <w:t xml:space="preserve"> (</w:t>
      </w:r>
      <w:r w:rsidR="00751DA6" w:rsidRPr="00C419CA">
        <w:rPr>
          <w:color w:val="auto"/>
        </w:rPr>
        <w:t>92F, Fuel Handler</w:t>
      </w:r>
      <w:r w:rsidR="00555AFF" w:rsidRPr="00C419CA">
        <w:rPr>
          <w:color w:val="auto"/>
        </w:rPr>
        <w:t>)</w:t>
      </w:r>
      <w:r w:rsidR="00565636" w:rsidRPr="00C419CA">
        <w:rPr>
          <w:color w:val="auto"/>
        </w:rPr>
        <w:t>,</w:t>
      </w:r>
      <w:r w:rsidR="00A70270" w:rsidRPr="00C419CA">
        <w:rPr>
          <w:color w:val="auto"/>
        </w:rPr>
        <w:t xml:space="preserve"> </w:t>
      </w:r>
      <w:r w:rsidRPr="00C419CA">
        <w:rPr>
          <w:color w:val="auto"/>
        </w:rPr>
        <w:t xml:space="preserve">medically separated for </w:t>
      </w:r>
      <w:r w:rsidR="00751DA6" w:rsidRPr="00C419CA">
        <w:rPr>
          <w:color w:val="auto"/>
        </w:rPr>
        <w:t>low back pain</w:t>
      </w:r>
      <w:r w:rsidR="008013E4">
        <w:rPr>
          <w:color w:val="auto"/>
        </w:rPr>
        <w:t xml:space="preserve"> (LBP)</w:t>
      </w:r>
      <w:r w:rsidR="0021565F" w:rsidRPr="00C419CA">
        <w:rPr>
          <w:color w:val="auto"/>
          <w:szCs w:val="24"/>
        </w:rPr>
        <w:t>.</w:t>
      </w:r>
      <w:r w:rsidR="006D5E1E" w:rsidRPr="00C419CA">
        <w:rPr>
          <w:color w:val="auto"/>
          <w:szCs w:val="24"/>
        </w:rPr>
        <w:t xml:space="preserve">  </w:t>
      </w:r>
      <w:r w:rsidR="00555AFF" w:rsidRPr="00C419CA">
        <w:rPr>
          <w:color w:val="auto"/>
          <w:szCs w:val="24"/>
        </w:rPr>
        <w:t xml:space="preserve">The CI injured his back in 2004 when he jumped out of a truck while deployed.  </w:t>
      </w:r>
      <w:r w:rsidR="00F15483" w:rsidRPr="00C419CA">
        <w:rPr>
          <w:color w:val="auto"/>
        </w:rPr>
        <w:t xml:space="preserve">The CI did not improve adequately with </w:t>
      </w:r>
      <w:r w:rsidR="00846D95" w:rsidRPr="00C419CA">
        <w:rPr>
          <w:color w:val="auto"/>
        </w:rPr>
        <w:t xml:space="preserve">physical therapy or conservative (medication) </w:t>
      </w:r>
      <w:r w:rsidR="00F15483" w:rsidRPr="00C419CA">
        <w:rPr>
          <w:color w:val="auto"/>
        </w:rPr>
        <w:t>treatment</w:t>
      </w:r>
      <w:r w:rsidR="00555AFF" w:rsidRPr="00C419CA">
        <w:rPr>
          <w:color w:val="auto"/>
        </w:rPr>
        <w:t xml:space="preserve"> </w:t>
      </w:r>
      <w:r w:rsidR="00F566B7" w:rsidRPr="00C419CA">
        <w:rPr>
          <w:color w:val="auto"/>
        </w:rPr>
        <w:t>to meet the physical requirements of his Military Occupational Specialty (MOS)</w:t>
      </w:r>
      <w:r w:rsidR="00751DA6" w:rsidRPr="00C419CA">
        <w:rPr>
          <w:color w:val="auto"/>
        </w:rPr>
        <w:t xml:space="preserve">. </w:t>
      </w:r>
      <w:r w:rsidR="00555AFF" w:rsidRPr="00C419CA">
        <w:rPr>
          <w:color w:val="auto"/>
        </w:rPr>
        <w:t xml:space="preserve"> </w:t>
      </w:r>
      <w:r w:rsidR="00751DA6" w:rsidRPr="00C419CA">
        <w:rPr>
          <w:color w:val="auto"/>
        </w:rPr>
        <w:t xml:space="preserve">His profile allowed for alternate events to </w:t>
      </w:r>
      <w:r w:rsidR="00F566B7" w:rsidRPr="00C419CA">
        <w:rPr>
          <w:color w:val="auto"/>
        </w:rPr>
        <w:t>satis</w:t>
      </w:r>
      <w:r w:rsidR="009C12A1" w:rsidRPr="00C419CA">
        <w:rPr>
          <w:color w:val="auto"/>
        </w:rPr>
        <w:t xml:space="preserve">fy physical fitness </w:t>
      </w:r>
      <w:r w:rsidR="00751DA6" w:rsidRPr="00C419CA">
        <w:rPr>
          <w:color w:val="auto"/>
        </w:rPr>
        <w:t>requirements</w:t>
      </w:r>
      <w:r w:rsidR="009C12A1" w:rsidRPr="00C419CA">
        <w:rPr>
          <w:color w:val="auto"/>
        </w:rPr>
        <w:t>.</w:t>
      </w:r>
      <w:r w:rsidR="00F566B7" w:rsidRPr="00C419CA">
        <w:rPr>
          <w:color w:val="auto"/>
        </w:rPr>
        <w:t xml:space="preserve"> </w:t>
      </w:r>
      <w:r w:rsidR="009C12A1" w:rsidRPr="00C419CA">
        <w:rPr>
          <w:color w:val="auto"/>
        </w:rPr>
        <w:t xml:space="preserve"> He </w:t>
      </w:r>
      <w:r w:rsidR="00F566B7" w:rsidRPr="00C419CA">
        <w:rPr>
          <w:color w:val="auto"/>
        </w:rPr>
        <w:t>was issued a permanent L3 profile and</w:t>
      </w:r>
      <w:r w:rsidR="009C12A1" w:rsidRPr="00C419CA">
        <w:rPr>
          <w:color w:val="auto"/>
        </w:rPr>
        <w:t xml:space="preserve"> </w:t>
      </w:r>
      <w:r w:rsidR="00F566B7" w:rsidRPr="00C419CA">
        <w:rPr>
          <w:color w:val="auto"/>
        </w:rPr>
        <w:t>referred for a Medical Evaluation Board (MEB).</w:t>
      </w:r>
      <w:r w:rsidR="006D5E1E" w:rsidRPr="00C419CA">
        <w:rPr>
          <w:color w:val="auto"/>
        </w:rPr>
        <w:t xml:space="preserve"> </w:t>
      </w:r>
      <w:r w:rsidR="001429F4">
        <w:rPr>
          <w:color w:val="auto"/>
        </w:rPr>
        <w:t xml:space="preserve">The MEB forwarded </w:t>
      </w:r>
      <w:r w:rsidR="008013E4">
        <w:rPr>
          <w:color w:val="auto"/>
        </w:rPr>
        <w:t>LBP</w:t>
      </w:r>
      <w:r w:rsidR="001429F4">
        <w:rPr>
          <w:color w:val="auto"/>
        </w:rPr>
        <w:t xml:space="preserve"> secondary to degenerative disk and degenerative joint disease of the lumbar spine as medically unacceptable IAW AR 40-501. </w:t>
      </w:r>
      <w:proofErr w:type="spellStart"/>
      <w:r w:rsidR="00873475" w:rsidRPr="00C419CA">
        <w:rPr>
          <w:color w:val="auto"/>
        </w:rPr>
        <w:t>Polysubstance</w:t>
      </w:r>
      <w:proofErr w:type="spellEnd"/>
      <w:r w:rsidR="00873475" w:rsidRPr="00C419CA">
        <w:rPr>
          <w:color w:val="auto"/>
        </w:rPr>
        <w:t xml:space="preserve"> abuse, bilateral plantar fasciitis, cervical degenerative disc disease</w:t>
      </w:r>
      <w:r w:rsidR="008013E4">
        <w:rPr>
          <w:color w:val="auto"/>
        </w:rPr>
        <w:t xml:space="preserve"> (DDD)</w:t>
      </w:r>
      <w:r w:rsidR="00873475" w:rsidRPr="00C419CA">
        <w:rPr>
          <w:color w:val="auto"/>
        </w:rPr>
        <w:t xml:space="preserve">, bilateral knee pain and headaches, </w:t>
      </w:r>
      <w:r w:rsidR="00071F0D" w:rsidRPr="00C419CA">
        <w:rPr>
          <w:color w:val="auto"/>
        </w:rPr>
        <w:t>identified in the rating chart below, were also identified and forwarded by the MEB</w:t>
      </w:r>
      <w:r w:rsidR="00864896" w:rsidRPr="00C419CA">
        <w:rPr>
          <w:color w:val="auto"/>
        </w:rPr>
        <w:t xml:space="preserve"> as meeting retention standards</w:t>
      </w:r>
      <w:r w:rsidR="00F566B7" w:rsidRPr="00C419CA">
        <w:rPr>
          <w:color w:val="auto"/>
        </w:rPr>
        <w:t xml:space="preserve">.  </w:t>
      </w:r>
      <w:r w:rsidRPr="00C419CA">
        <w:rPr>
          <w:color w:val="auto"/>
        </w:rPr>
        <w:t xml:space="preserve">The </w:t>
      </w:r>
      <w:r w:rsidR="0003532D">
        <w:rPr>
          <w:color w:val="auto"/>
        </w:rPr>
        <w:t>Physical Evaluation Board (</w:t>
      </w:r>
      <w:r w:rsidRPr="00C419CA">
        <w:rPr>
          <w:color w:val="auto"/>
        </w:rPr>
        <w:t>PEB</w:t>
      </w:r>
      <w:r w:rsidR="0003532D">
        <w:rPr>
          <w:color w:val="auto"/>
        </w:rPr>
        <w:t>)</w:t>
      </w:r>
      <w:r w:rsidRPr="00C419CA">
        <w:rPr>
          <w:color w:val="auto"/>
        </w:rPr>
        <w:t xml:space="preserve"> adjudicated the </w:t>
      </w:r>
      <w:r w:rsidR="00873475" w:rsidRPr="00C419CA">
        <w:rPr>
          <w:color w:val="auto"/>
        </w:rPr>
        <w:t xml:space="preserve">low back </w:t>
      </w:r>
      <w:r w:rsidR="008530E3" w:rsidRPr="00C419CA">
        <w:rPr>
          <w:color w:val="auto"/>
        </w:rPr>
        <w:t xml:space="preserve">condition as unfitting, rated </w:t>
      </w:r>
      <w:r w:rsidR="00873475" w:rsidRPr="00C419CA">
        <w:rPr>
          <w:color w:val="auto"/>
        </w:rPr>
        <w:t>10</w:t>
      </w:r>
      <w:r w:rsidR="000C647D" w:rsidRPr="00C419CA">
        <w:rPr>
          <w:color w:val="auto"/>
        </w:rPr>
        <w:t>%</w:t>
      </w:r>
      <w:r w:rsidRPr="00C419CA">
        <w:rPr>
          <w:color w:val="auto"/>
        </w:rPr>
        <w:t xml:space="preserve">, </w:t>
      </w:r>
      <w:r w:rsidR="00E46D90" w:rsidRPr="00C419CA">
        <w:rPr>
          <w:color w:val="auto"/>
        </w:rPr>
        <w:t xml:space="preserve">with application of the </w:t>
      </w:r>
      <w:r w:rsidRPr="00C419CA">
        <w:rPr>
          <w:color w:val="auto"/>
        </w:rPr>
        <w:t>Veteran</w:t>
      </w:r>
      <w:r w:rsidR="00BF72CA" w:rsidRPr="00C419CA">
        <w:rPr>
          <w:color w:val="auto"/>
        </w:rPr>
        <w:t>’</w:t>
      </w:r>
      <w:r w:rsidRPr="00C419CA">
        <w:rPr>
          <w:color w:val="auto"/>
        </w:rPr>
        <w:t>s A</w:t>
      </w:r>
      <w:r w:rsidR="00BF72CA" w:rsidRPr="00C419CA">
        <w:rPr>
          <w:color w:val="auto"/>
        </w:rPr>
        <w:t>ffairs</w:t>
      </w:r>
      <w:r w:rsidRPr="00C419CA">
        <w:rPr>
          <w:color w:val="auto"/>
        </w:rPr>
        <w:t xml:space="preserve"> Schedule for Rating Disabilities (VASRD)</w:t>
      </w:r>
      <w:r w:rsidR="00BB07E2" w:rsidRPr="00C419CA">
        <w:rPr>
          <w:color w:val="auto"/>
        </w:rPr>
        <w:t xml:space="preserve"> and likely application of the </w:t>
      </w:r>
      <w:r w:rsidR="00BB07E2" w:rsidRPr="00C419CA">
        <w:rPr>
          <w:color w:val="auto"/>
          <w:szCs w:val="24"/>
        </w:rPr>
        <w:t>US Army Physical Disability Agency (USAPDA) pain policy</w:t>
      </w:r>
      <w:r w:rsidR="00BF72CA" w:rsidRPr="00C419CA">
        <w:rPr>
          <w:color w:val="auto"/>
        </w:rPr>
        <w:t>.</w:t>
      </w:r>
      <w:r w:rsidR="00165C7B" w:rsidRPr="00C419CA">
        <w:rPr>
          <w:color w:val="auto"/>
        </w:rPr>
        <w:t xml:space="preserve">  </w:t>
      </w:r>
      <w:r w:rsidR="00380601" w:rsidRPr="00C419CA">
        <w:rPr>
          <w:color w:val="auto"/>
        </w:rPr>
        <w:t>The remaining conditions were determined to be not unfitting</w:t>
      </w:r>
      <w:r w:rsidR="00873475" w:rsidRPr="00C419CA">
        <w:rPr>
          <w:color w:val="auto"/>
        </w:rPr>
        <w:t xml:space="preserve">. </w:t>
      </w:r>
      <w:r w:rsidR="00864896" w:rsidRPr="00C419CA">
        <w:rPr>
          <w:color w:val="auto"/>
        </w:rPr>
        <w:t xml:space="preserve"> </w:t>
      </w:r>
      <w:r w:rsidR="0066684A" w:rsidRPr="00C419CA">
        <w:rPr>
          <w:color w:val="auto"/>
        </w:rPr>
        <w:t>The CI ap</w:t>
      </w:r>
      <w:r w:rsidR="00E146AB" w:rsidRPr="00C419CA">
        <w:rPr>
          <w:color w:val="auto"/>
        </w:rPr>
        <w:t>pealed to the Formal PEB (</w:t>
      </w:r>
      <w:r w:rsidR="00E146AB" w:rsidRPr="00E146AB">
        <w:rPr>
          <w:color w:val="auto"/>
        </w:rPr>
        <w:t>FPEB)</w:t>
      </w:r>
      <w:r w:rsidR="00ED7820" w:rsidRPr="00E146AB">
        <w:rPr>
          <w:color w:val="auto"/>
        </w:rPr>
        <w:t xml:space="preserve">, which affirmed the </w:t>
      </w:r>
      <w:r w:rsidR="0066684A" w:rsidRPr="00E146AB">
        <w:rPr>
          <w:color w:val="auto"/>
        </w:rPr>
        <w:t xml:space="preserve">PEB findings; and was then medically separated with a </w:t>
      </w:r>
      <w:r w:rsidR="00E146AB" w:rsidRPr="00E146AB">
        <w:rPr>
          <w:color w:val="auto"/>
        </w:rPr>
        <w:t>10</w:t>
      </w:r>
      <w:r w:rsidR="0066684A" w:rsidRPr="00E146AB">
        <w:rPr>
          <w:color w:val="auto"/>
        </w:rPr>
        <w:t>% disability rating.</w:t>
      </w:r>
      <w:r w:rsidR="00BB07E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146AB" w:rsidRPr="00C419CA"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0F50E7">
        <w:rPr>
          <w:color w:val="auto"/>
        </w:rPr>
        <w:t xml:space="preserve"> </w:t>
      </w:r>
      <w:r w:rsidR="00E146AB">
        <w:rPr>
          <w:color w:val="000000" w:themeColor="text1"/>
        </w:rPr>
        <w:t xml:space="preserve">“Board </w:t>
      </w:r>
      <w:r w:rsidR="00E146AB" w:rsidRPr="00C419CA">
        <w:rPr>
          <w:color w:val="000000" w:themeColor="text1"/>
        </w:rPr>
        <w:t xml:space="preserve">rating of 10% for back pain related service in Iraq in 2004.  PTSD is currently rated by the VA at a 30% rating. </w:t>
      </w:r>
      <w:r w:rsidR="000F50E7" w:rsidRPr="00C419CA">
        <w:rPr>
          <w:color w:val="000000" w:themeColor="text1"/>
        </w:rPr>
        <w:t xml:space="preserve"> </w:t>
      </w:r>
      <w:proofErr w:type="gramStart"/>
      <w:r w:rsidR="00E146AB" w:rsidRPr="00C419CA">
        <w:rPr>
          <w:color w:val="000000" w:themeColor="text1"/>
        </w:rPr>
        <w:t>Sleep Apnea which rated by the VA at a 30% rating.</w:t>
      </w:r>
      <w:proofErr w:type="gramEnd"/>
      <w:r w:rsidR="00E146AB" w:rsidRPr="00C419CA">
        <w:rPr>
          <w:color w:val="000000" w:themeColor="text1"/>
        </w:rPr>
        <w:t xml:space="preserve"> </w:t>
      </w:r>
      <w:r w:rsidR="000F50E7" w:rsidRPr="00C419CA">
        <w:rPr>
          <w:color w:val="000000" w:themeColor="text1"/>
        </w:rPr>
        <w:t xml:space="preserve"> </w:t>
      </w:r>
      <w:r w:rsidR="008013E4">
        <w:rPr>
          <w:color w:val="000000" w:themeColor="text1"/>
        </w:rPr>
        <w:t>DDD</w:t>
      </w:r>
      <w:r w:rsidR="00E146AB" w:rsidRPr="00C419CA">
        <w:rPr>
          <w:color w:val="000000" w:themeColor="text1"/>
        </w:rPr>
        <w:t xml:space="preserve">, </w:t>
      </w:r>
      <w:proofErr w:type="spellStart"/>
      <w:r w:rsidR="00E146AB" w:rsidRPr="00C419CA">
        <w:rPr>
          <w:color w:val="000000" w:themeColor="text1"/>
        </w:rPr>
        <w:t>Thoracolum</w:t>
      </w:r>
      <w:r w:rsidR="00FE5509" w:rsidRPr="00C419CA">
        <w:rPr>
          <w:color w:val="000000" w:themeColor="text1"/>
        </w:rPr>
        <w:t>b</w:t>
      </w:r>
      <w:r w:rsidR="00E146AB" w:rsidRPr="00C419CA">
        <w:rPr>
          <w:color w:val="000000" w:themeColor="text1"/>
        </w:rPr>
        <w:t>ar</w:t>
      </w:r>
      <w:proofErr w:type="spellEnd"/>
      <w:r w:rsidR="00E146AB" w:rsidRPr="00C419CA">
        <w:rPr>
          <w:color w:val="000000" w:themeColor="text1"/>
        </w:rPr>
        <w:t xml:space="preserve"> which is rated 10% by the VA. </w:t>
      </w:r>
      <w:r w:rsidR="000F50E7" w:rsidRPr="00C419CA">
        <w:rPr>
          <w:color w:val="000000" w:themeColor="text1"/>
        </w:rPr>
        <w:t xml:space="preserve"> </w:t>
      </w:r>
      <w:r w:rsidR="008013E4">
        <w:rPr>
          <w:color w:val="000000" w:themeColor="text1"/>
        </w:rPr>
        <w:t>DDD</w:t>
      </w:r>
      <w:r w:rsidR="00E146AB" w:rsidRPr="00C419CA">
        <w:rPr>
          <w:color w:val="000000" w:themeColor="text1"/>
        </w:rPr>
        <w:t>, Cervical Spine which is rated at 10% by the VA and Tinnitus rated at 10% by the VA.”</w:t>
      </w:r>
    </w:p>
    <w:p w:rsidR="004306E0" w:rsidRPr="00C419CA" w:rsidRDefault="004306E0" w:rsidP="00BF0E94">
      <w:pPr>
        <w:pBdr>
          <w:bottom w:val="single" w:sz="12" w:space="1" w:color="auto"/>
        </w:pBdr>
        <w:tabs>
          <w:tab w:val="left" w:pos="288"/>
          <w:tab w:val="left" w:pos="4752"/>
        </w:tabs>
        <w:jc w:val="both"/>
        <w:rPr>
          <w:color w:val="auto"/>
        </w:rPr>
      </w:pPr>
    </w:p>
    <w:p w:rsidR="007635A8" w:rsidRPr="00C419CA" w:rsidRDefault="007635A8" w:rsidP="007635A8">
      <w:pPr>
        <w:jc w:val="both"/>
        <w:rPr>
          <w:color w:val="auto"/>
          <w:u w:val="single"/>
        </w:rPr>
      </w:pPr>
    </w:p>
    <w:p w:rsidR="009239C0" w:rsidRDefault="009239C0" w:rsidP="00DD5558">
      <w:pPr>
        <w:jc w:val="both"/>
        <w:rPr>
          <w:color w:val="auto"/>
          <w:u w:val="single"/>
        </w:rPr>
      </w:pPr>
      <w:r w:rsidRPr="00C419CA">
        <w:rPr>
          <w:color w:val="auto"/>
          <w:u w:val="single"/>
        </w:rPr>
        <w:t>SCOPE OF REVIEW</w:t>
      </w:r>
      <w:r w:rsidRPr="00C419CA">
        <w:rPr>
          <w:color w:val="auto"/>
        </w:rPr>
        <w:t>:  The Board wishes to clarify that the scope of its re</w:t>
      </w:r>
      <w:r w:rsidR="00AE2B85" w:rsidRPr="00C419CA">
        <w:rPr>
          <w:color w:val="auto"/>
        </w:rPr>
        <w:t xml:space="preserve">view as defined in </w:t>
      </w:r>
      <w:proofErr w:type="spellStart"/>
      <w:r w:rsidR="00AE2B85" w:rsidRPr="00C419CA">
        <w:rPr>
          <w:color w:val="auto"/>
        </w:rPr>
        <w:t>DoDI</w:t>
      </w:r>
      <w:proofErr w:type="spellEnd"/>
      <w:r w:rsidR="00AE2B85" w:rsidRPr="00C419CA">
        <w:rPr>
          <w:color w:val="auto"/>
        </w:rPr>
        <w:t xml:space="preserve"> 6040.44, Enclosure 3, paragraph 5.e</w:t>
      </w:r>
      <w:proofErr w:type="gramStart"/>
      <w:r w:rsidR="00AE2B85" w:rsidRPr="00C419CA">
        <w:rPr>
          <w:color w:val="auto"/>
        </w:rPr>
        <w:t>.(</w:t>
      </w:r>
      <w:proofErr w:type="gramEnd"/>
      <w:r w:rsidR="00AE2B85" w:rsidRPr="00C419CA">
        <w:rPr>
          <w:color w:val="auto"/>
        </w:rPr>
        <w:t>2)</w:t>
      </w:r>
      <w:r w:rsidRPr="00C419CA">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8013E4">
        <w:rPr>
          <w:color w:val="auto"/>
        </w:rPr>
        <w:t>.</w:t>
      </w:r>
      <w:r w:rsidRPr="00C419CA">
        <w:rPr>
          <w:color w:val="auto"/>
        </w:rPr>
        <w:t xml:space="preserve">”  The ratings for unfitting conditions will be reviewed in all cases.  The </w:t>
      </w:r>
      <w:r w:rsidR="00FE5509" w:rsidRPr="00C419CA">
        <w:rPr>
          <w:color w:val="auto"/>
        </w:rPr>
        <w:t xml:space="preserve">cervical </w:t>
      </w:r>
      <w:r w:rsidRPr="00C419CA">
        <w:rPr>
          <w:color w:val="auto"/>
        </w:rPr>
        <w:t xml:space="preserve">condition requested for consideration and the unfitting </w:t>
      </w:r>
      <w:r w:rsidR="00555AFF" w:rsidRPr="00C419CA">
        <w:rPr>
          <w:color w:val="auto"/>
        </w:rPr>
        <w:t>back pain (</w:t>
      </w:r>
      <w:proofErr w:type="spellStart"/>
      <w:r w:rsidR="00555AFF" w:rsidRPr="00C419CA">
        <w:rPr>
          <w:color w:val="auto"/>
        </w:rPr>
        <w:t>thoracolumbar</w:t>
      </w:r>
      <w:proofErr w:type="spellEnd"/>
      <w:r w:rsidR="00555AFF" w:rsidRPr="00C419CA">
        <w:rPr>
          <w:color w:val="auto"/>
        </w:rPr>
        <w:t>)</w:t>
      </w:r>
      <w:r w:rsidR="00FE5509" w:rsidRPr="00C419CA">
        <w:rPr>
          <w:color w:val="auto"/>
        </w:rPr>
        <w:t xml:space="preserve"> </w:t>
      </w:r>
      <w:r w:rsidRPr="00C419CA">
        <w:rPr>
          <w:color w:val="auto"/>
        </w:rPr>
        <w:t xml:space="preserve">condition meet the criteria prescribed in </w:t>
      </w:r>
      <w:proofErr w:type="spellStart"/>
      <w:r w:rsidRPr="00C419CA">
        <w:rPr>
          <w:color w:val="auto"/>
        </w:rPr>
        <w:t>DoDI</w:t>
      </w:r>
      <w:proofErr w:type="spellEnd"/>
      <w:r w:rsidRPr="00C419CA">
        <w:rPr>
          <w:color w:val="auto"/>
        </w:rPr>
        <w:t xml:space="preserve"> 6040.44 for Board purview, and are accordingly addressed below.  The other requested conditions </w:t>
      </w:r>
      <w:r w:rsidR="00FE5509" w:rsidRPr="00C419CA">
        <w:rPr>
          <w:color w:val="auto"/>
        </w:rPr>
        <w:t>(</w:t>
      </w:r>
      <w:r w:rsidR="008013E4">
        <w:rPr>
          <w:color w:val="auto"/>
        </w:rPr>
        <w:t>posttraumatic stress disorder (</w:t>
      </w:r>
      <w:r w:rsidR="00FE5509" w:rsidRPr="00C419CA">
        <w:rPr>
          <w:color w:val="auto"/>
        </w:rPr>
        <w:t>PTSD</w:t>
      </w:r>
      <w:r w:rsidR="008013E4">
        <w:rPr>
          <w:color w:val="auto"/>
        </w:rPr>
        <w:t>)</w:t>
      </w:r>
      <w:r w:rsidR="00FE5509" w:rsidRPr="00C419CA">
        <w:rPr>
          <w:color w:val="auto"/>
        </w:rPr>
        <w:t xml:space="preserve">, </w:t>
      </w:r>
      <w:r w:rsidR="008013E4">
        <w:rPr>
          <w:color w:val="auto"/>
        </w:rPr>
        <w:t>s</w:t>
      </w:r>
      <w:r w:rsidR="00FE5509" w:rsidRPr="00C419CA">
        <w:rPr>
          <w:color w:val="auto"/>
        </w:rPr>
        <w:t xml:space="preserve">leep </w:t>
      </w:r>
      <w:r w:rsidR="008013E4">
        <w:rPr>
          <w:color w:val="auto"/>
        </w:rPr>
        <w:t>a</w:t>
      </w:r>
      <w:r w:rsidR="00FE5509" w:rsidRPr="00C419CA">
        <w:rPr>
          <w:color w:val="auto"/>
        </w:rPr>
        <w:t xml:space="preserve">pnea and </w:t>
      </w:r>
      <w:r w:rsidR="008013E4">
        <w:rPr>
          <w:color w:val="auto"/>
        </w:rPr>
        <w:t>t</w:t>
      </w:r>
      <w:r w:rsidR="00FE5509" w:rsidRPr="00C419CA">
        <w:rPr>
          <w:color w:val="auto"/>
        </w:rPr>
        <w:t>innitus)</w:t>
      </w:r>
      <w:r w:rsidRPr="00C419CA">
        <w:rPr>
          <w:color w:val="auto"/>
        </w:rPr>
        <w:t xml:space="preserve"> are not within the Board’s purview.  Any conditions or contention not requested in this application, or otherwise outside the Board’s defined scope of review, remain eligible for future</w:t>
      </w:r>
      <w:r w:rsidRPr="00C566C9">
        <w:rPr>
          <w:color w:val="auto"/>
        </w:rPr>
        <w:t xml:space="preserve"> consideration by </w:t>
      </w:r>
      <w:r w:rsidRPr="00BA1546">
        <w:rPr>
          <w:color w:val="auto"/>
        </w:rPr>
        <w:t>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300C4C" w:rsidRDefault="00300C4C">
      <w:pPr>
        <w:spacing w:line="240" w:lineRule="auto"/>
        <w:jc w:val="left"/>
        <w:rPr>
          <w:color w:val="auto"/>
          <w:u w:val="single"/>
        </w:rPr>
      </w:pPr>
      <w:r>
        <w:rPr>
          <w:color w:val="auto"/>
          <w:u w:val="single"/>
        </w:rPr>
        <w:br w:type="page"/>
      </w:r>
    </w:p>
    <w:p w:rsidR="00AD2379" w:rsidRPr="00555AFF"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E146AB" w:rsidRPr="00555AFF" w:rsidRDefault="00E146AB" w:rsidP="00BF0E94">
      <w:pPr>
        <w:jc w:val="left"/>
        <w:rPr>
          <w:color w:val="auto"/>
        </w:rPr>
      </w:pPr>
    </w:p>
    <w:tbl>
      <w:tblPr>
        <w:tblStyle w:val="TableGrid"/>
        <w:tblpPr w:leftFromText="187" w:rightFromText="187" w:vertAnchor="text" w:tblpXSpec="center" w:tblpY="1"/>
        <w:tblOverlap w:val="never"/>
        <w:tblW w:w="9270" w:type="dxa"/>
        <w:jc w:val="center"/>
        <w:tblLayout w:type="fixed"/>
        <w:tblLook w:val="04A0"/>
      </w:tblPr>
      <w:tblGrid>
        <w:gridCol w:w="2448"/>
        <w:gridCol w:w="810"/>
        <w:gridCol w:w="810"/>
        <w:gridCol w:w="2214"/>
        <w:gridCol w:w="1080"/>
        <w:gridCol w:w="828"/>
        <w:gridCol w:w="1080"/>
      </w:tblGrid>
      <w:tr w:rsidR="00E146AB" w:rsidRPr="00C419CA" w:rsidTr="001E5292">
        <w:trPr>
          <w:trHeight w:val="233"/>
          <w:jc w:val="center"/>
        </w:trPr>
        <w:tc>
          <w:tcPr>
            <w:tcW w:w="4068" w:type="dxa"/>
            <w:gridSpan w:val="3"/>
            <w:tcBorders>
              <w:right w:val="thinThickThinSmallGap" w:sz="24" w:space="0" w:color="auto"/>
            </w:tcBorders>
            <w:shd w:val="clear" w:color="auto" w:fill="D9D9D9" w:themeFill="background1" w:themeFillShade="D9"/>
            <w:vAlign w:val="center"/>
          </w:tcPr>
          <w:p w:rsidR="00E146AB" w:rsidRPr="00C419CA" w:rsidRDefault="00E146AB" w:rsidP="001E5292">
            <w:pPr>
              <w:spacing w:line="200" w:lineRule="exact"/>
              <w:contextualSpacing/>
              <w:rPr>
                <w:rFonts w:cs="Calibri"/>
                <w:b/>
                <w:color w:val="auto"/>
                <w:sz w:val="20"/>
                <w:szCs w:val="20"/>
              </w:rPr>
            </w:pPr>
            <w:r w:rsidRPr="00C419CA">
              <w:rPr>
                <w:rFonts w:cs="Calibri"/>
                <w:b/>
                <w:color w:val="auto"/>
                <w:sz w:val="20"/>
                <w:szCs w:val="20"/>
              </w:rPr>
              <w:t>Service FPEB – Dated 20051117</w:t>
            </w:r>
          </w:p>
        </w:tc>
        <w:tc>
          <w:tcPr>
            <w:tcW w:w="5202" w:type="dxa"/>
            <w:gridSpan w:val="4"/>
            <w:tcBorders>
              <w:left w:val="thinThickThinSmallGap" w:sz="24" w:space="0" w:color="auto"/>
            </w:tcBorders>
            <w:shd w:val="clear" w:color="auto" w:fill="D9D9D9" w:themeFill="background1" w:themeFillShade="D9"/>
            <w:vAlign w:val="center"/>
          </w:tcPr>
          <w:p w:rsidR="00E146AB" w:rsidRPr="00C419CA" w:rsidRDefault="00E146AB" w:rsidP="001E5292">
            <w:pPr>
              <w:spacing w:line="200" w:lineRule="exact"/>
              <w:contextualSpacing/>
              <w:rPr>
                <w:rFonts w:cs="Calibri"/>
                <w:b/>
                <w:color w:val="auto"/>
                <w:sz w:val="20"/>
                <w:szCs w:val="20"/>
              </w:rPr>
            </w:pPr>
            <w:r w:rsidRPr="00C419CA">
              <w:rPr>
                <w:rFonts w:cs="Calibri"/>
                <w:b/>
                <w:color w:val="auto"/>
                <w:sz w:val="20"/>
                <w:szCs w:val="20"/>
              </w:rPr>
              <w:t>VA (1 Mo. After Separation) – All Effective Date 20060122</w:t>
            </w:r>
          </w:p>
        </w:tc>
      </w:tr>
      <w:tr w:rsidR="00E146AB" w:rsidRPr="00C419CA" w:rsidTr="001E5292">
        <w:trPr>
          <w:trHeight w:val="278"/>
          <w:jc w:val="center"/>
        </w:trPr>
        <w:tc>
          <w:tcPr>
            <w:tcW w:w="2448" w:type="dxa"/>
            <w:tcBorders>
              <w:bottom w:val="single" w:sz="4" w:space="0" w:color="000000" w:themeColor="text1"/>
              <w:right w:val="single" w:sz="4" w:space="0" w:color="auto"/>
            </w:tcBorders>
            <w:shd w:val="clear" w:color="auto" w:fill="D9D9D9" w:themeFill="background1" w:themeFillShade="D9"/>
            <w:vAlign w:val="center"/>
          </w:tcPr>
          <w:p w:rsidR="00E146AB" w:rsidRPr="00C419CA" w:rsidRDefault="00E146AB" w:rsidP="001E5292">
            <w:pPr>
              <w:spacing w:line="200" w:lineRule="exact"/>
              <w:contextualSpacing/>
              <w:rPr>
                <w:rFonts w:cs="Calibri"/>
                <w:b/>
                <w:color w:val="auto"/>
                <w:sz w:val="20"/>
                <w:szCs w:val="20"/>
              </w:rPr>
            </w:pPr>
            <w:r w:rsidRPr="00C419CA">
              <w:rPr>
                <w:rFonts w:cs="Calibri"/>
                <w:b/>
                <w:color w:val="auto"/>
                <w:sz w:val="20"/>
                <w:szCs w:val="20"/>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E146AB" w:rsidRPr="00C419CA" w:rsidRDefault="00E146AB" w:rsidP="001E5292">
            <w:pPr>
              <w:spacing w:line="200" w:lineRule="exact"/>
              <w:contextualSpacing/>
              <w:rPr>
                <w:rFonts w:cs="Calibri"/>
                <w:b/>
                <w:color w:val="auto"/>
                <w:sz w:val="20"/>
                <w:szCs w:val="20"/>
              </w:rPr>
            </w:pPr>
            <w:r w:rsidRPr="00C419CA">
              <w:rPr>
                <w:rFonts w:cs="Calibri"/>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E146AB" w:rsidRPr="00C419CA" w:rsidRDefault="00E146AB" w:rsidP="001E5292">
            <w:pPr>
              <w:spacing w:line="200" w:lineRule="exact"/>
              <w:contextualSpacing/>
              <w:rPr>
                <w:rFonts w:cs="Calibri"/>
                <w:b/>
                <w:color w:val="auto"/>
                <w:sz w:val="20"/>
                <w:szCs w:val="20"/>
              </w:rPr>
            </w:pPr>
            <w:r w:rsidRPr="00C419CA">
              <w:rPr>
                <w:rFonts w:cs="Calibri"/>
                <w:b/>
                <w:color w:val="auto"/>
                <w:sz w:val="20"/>
                <w:szCs w:val="20"/>
              </w:rPr>
              <w:t>Rating</w:t>
            </w:r>
          </w:p>
        </w:tc>
        <w:tc>
          <w:tcPr>
            <w:tcW w:w="2214" w:type="dxa"/>
            <w:tcBorders>
              <w:left w:val="thinThickThinSmallGap" w:sz="24" w:space="0" w:color="auto"/>
              <w:bottom w:val="single" w:sz="4" w:space="0" w:color="000000" w:themeColor="text1"/>
            </w:tcBorders>
            <w:shd w:val="clear" w:color="auto" w:fill="D9D9D9" w:themeFill="background1" w:themeFillShade="D9"/>
            <w:vAlign w:val="center"/>
          </w:tcPr>
          <w:p w:rsidR="00E146AB" w:rsidRPr="00C419CA" w:rsidRDefault="00E146AB" w:rsidP="001E5292">
            <w:pPr>
              <w:spacing w:line="200" w:lineRule="exact"/>
              <w:contextualSpacing/>
              <w:rPr>
                <w:rFonts w:cs="Calibri"/>
                <w:b/>
                <w:color w:val="auto"/>
                <w:sz w:val="20"/>
                <w:szCs w:val="20"/>
              </w:rPr>
            </w:pPr>
            <w:r w:rsidRPr="00C419CA">
              <w:rPr>
                <w:rFonts w:cs="Calibri"/>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E146AB" w:rsidRPr="00C419CA" w:rsidRDefault="00E146AB" w:rsidP="001E5292">
            <w:pPr>
              <w:spacing w:line="200" w:lineRule="exact"/>
              <w:contextualSpacing/>
              <w:rPr>
                <w:rFonts w:cs="Calibri"/>
                <w:b/>
                <w:color w:val="auto"/>
                <w:sz w:val="20"/>
                <w:szCs w:val="20"/>
              </w:rPr>
            </w:pPr>
            <w:r w:rsidRPr="00C419CA">
              <w:rPr>
                <w:rFonts w:cs="Calibri"/>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E146AB" w:rsidRPr="00C419CA" w:rsidRDefault="00E146AB" w:rsidP="001E5292">
            <w:pPr>
              <w:spacing w:line="200" w:lineRule="exact"/>
              <w:contextualSpacing/>
              <w:rPr>
                <w:rFonts w:cs="Calibri"/>
                <w:b/>
                <w:color w:val="auto"/>
                <w:sz w:val="20"/>
                <w:szCs w:val="20"/>
              </w:rPr>
            </w:pPr>
            <w:r w:rsidRPr="00C419CA">
              <w:rPr>
                <w:rFonts w:cs="Calibri"/>
                <w:b/>
                <w:color w:val="auto"/>
                <w:sz w:val="20"/>
                <w:szCs w:val="20"/>
              </w:rPr>
              <w:t>Rating</w:t>
            </w:r>
          </w:p>
        </w:tc>
        <w:tc>
          <w:tcPr>
            <w:tcW w:w="1080" w:type="dxa"/>
            <w:tcBorders>
              <w:bottom w:val="single" w:sz="4" w:space="0" w:color="000000" w:themeColor="text1"/>
            </w:tcBorders>
            <w:shd w:val="clear" w:color="auto" w:fill="D9D9D9" w:themeFill="background1" w:themeFillShade="D9"/>
            <w:vAlign w:val="center"/>
          </w:tcPr>
          <w:p w:rsidR="00E146AB" w:rsidRPr="00C419CA" w:rsidRDefault="00E146AB" w:rsidP="001E5292">
            <w:pPr>
              <w:spacing w:line="200" w:lineRule="exact"/>
              <w:contextualSpacing/>
              <w:rPr>
                <w:rFonts w:cs="Calibri"/>
                <w:b/>
                <w:color w:val="auto"/>
                <w:sz w:val="20"/>
                <w:szCs w:val="20"/>
              </w:rPr>
            </w:pPr>
            <w:r w:rsidRPr="00C419CA">
              <w:rPr>
                <w:rFonts w:cs="Calibri"/>
                <w:b/>
                <w:color w:val="auto"/>
                <w:sz w:val="20"/>
                <w:szCs w:val="20"/>
              </w:rPr>
              <w:t>Exam</w:t>
            </w:r>
          </w:p>
        </w:tc>
      </w:tr>
      <w:tr w:rsidR="00E146AB" w:rsidRPr="00C419CA" w:rsidTr="001E5292">
        <w:trPr>
          <w:trHeight w:val="287"/>
          <w:jc w:val="center"/>
        </w:trPr>
        <w:tc>
          <w:tcPr>
            <w:tcW w:w="2448" w:type="dxa"/>
            <w:tcBorders>
              <w:right w:val="single" w:sz="4" w:space="0" w:color="auto"/>
            </w:tcBorders>
            <w:shd w:val="clear" w:color="auto" w:fill="FFFFFF" w:themeFill="background1"/>
            <w:vAlign w:val="center"/>
          </w:tcPr>
          <w:p w:rsidR="00E146AB" w:rsidRPr="00C419CA" w:rsidRDefault="00E146AB" w:rsidP="001E5292">
            <w:pPr>
              <w:spacing w:line="200" w:lineRule="exact"/>
              <w:contextualSpacing/>
              <w:jc w:val="left"/>
              <w:rPr>
                <w:rFonts w:cs="Calibri"/>
                <w:color w:val="auto"/>
                <w:sz w:val="20"/>
                <w:szCs w:val="20"/>
              </w:rPr>
            </w:pPr>
            <w:r w:rsidRPr="00C419CA">
              <w:rPr>
                <w:rFonts w:cs="Calibri"/>
                <w:color w:val="auto"/>
                <w:sz w:val="20"/>
                <w:szCs w:val="20"/>
              </w:rPr>
              <w:t>Low Back Pain</w:t>
            </w:r>
          </w:p>
        </w:tc>
        <w:tc>
          <w:tcPr>
            <w:tcW w:w="810" w:type="dxa"/>
            <w:tcBorders>
              <w:left w:val="single" w:sz="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5243</w:t>
            </w:r>
          </w:p>
        </w:tc>
        <w:tc>
          <w:tcPr>
            <w:tcW w:w="810" w:type="dxa"/>
            <w:tcBorders>
              <w:right w:val="thinThickThinSmallGap" w:sz="24" w:space="0" w:color="auto"/>
            </w:tcBorders>
            <w:shd w:val="clear" w:color="auto" w:fill="FFFFFF" w:themeFill="background1"/>
            <w:vAlign w:val="center"/>
          </w:tcPr>
          <w:p w:rsidR="00E146AB" w:rsidRPr="00C419CA" w:rsidRDefault="00E146AB" w:rsidP="001E5292">
            <w:pPr>
              <w:spacing w:line="200" w:lineRule="exact"/>
              <w:rPr>
                <w:rFonts w:cs="Calibri"/>
                <w:color w:val="auto"/>
                <w:sz w:val="20"/>
                <w:szCs w:val="20"/>
              </w:rPr>
            </w:pPr>
            <w:r w:rsidRPr="00C419CA">
              <w:rPr>
                <w:rFonts w:cs="Calibri"/>
                <w:color w:val="auto"/>
                <w:sz w:val="20"/>
                <w:szCs w:val="20"/>
              </w:rPr>
              <w:t>10%</w:t>
            </w:r>
          </w:p>
        </w:tc>
        <w:tc>
          <w:tcPr>
            <w:tcW w:w="2214" w:type="dxa"/>
            <w:tcBorders>
              <w:left w:val="thinThickThinSmallGap" w:sz="24" w:space="0" w:color="auto"/>
            </w:tcBorders>
            <w:shd w:val="clear" w:color="auto" w:fill="FFFFFF" w:themeFill="background1"/>
            <w:vAlign w:val="center"/>
          </w:tcPr>
          <w:p w:rsidR="00E146AB" w:rsidRPr="00C419CA" w:rsidRDefault="00E146AB" w:rsidP="001E5292">
            <w:pPr>
              <w:spacing w:line="200" w:lineRule="exact"/>
              <w:contextualSpacing/>
              <w:jc w:val="left"/>
              <w:rPr>
                <w:rFonts w:cs="Calibri"/>
                <w:color w:val="auto"/>
                <w:sz w:val="20"/>
                <w:szCs w:val="20"/>
              </w:rPr>
            </w:pPr>
            <w:proofErr w:type="spellStart"/>
            <w:r w:rsidRPr="00C419CA">
              <w:rPr>
                <w:rFonts w:cs="Calibri"/>
                <w:color w:val="auto"/>
                <w:sz w:val="20"/>
                <w:szCs w:val="20"/>
              </w:rPr>
              <w:t>Thoracolumbar</w:t>
            </w:r>
            <w:proofErr w:type="spellEnd"/>
            <w:r w:rsidRPr="00C419CA">
              <w:rPr>
                <w:rFonts w:cs="Calibri"/>
                <w:color w:val="auto"/>
                <w:sz w:val="20"/>
                <w:szCs w:val="20"/>
              </w:rPr>
              <w:t xml:space="preserve"> DDD</w:t>
            </w:r>
          </w:p>
        </w:tc>
        <w:tc>
          <w:tcPr>
            <w:tcW w:w="1080" w:type="dxa"/>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5243</w:t>
            </w:r>
          </w:p>
        </w:tc>
        <w:tc>
          <w:tcPr>
            <w:tcW w:w="828" w:type="dxa"/>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0%*</w:t>
            </w:r>
          </w:p>
        </w:tc>
        <w:tc>
          <w:tcPr>
            <w:tcW w:w="1080" w:type="dxa"/>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20060223</w:t>
            </w:r>
          </w:p>
        </w:tc>
      </w:tr>
      <w:tr w:rsidR="00E146AB" w:rsidRPr="00C419CA" w:rsidTr="001E5292">
        <w:trPr>
          <w:trHeight w:val="287"/>
          <w:jc w:val="center"/>
        </w:trPr>
        <w:tc>
          <w:tcPr>
            <w:tcW w:w="2448" w:type="dxa"/>
            <w:tcBorders>
              <w:right w:val="single" w:sz="4" w:space="0" w:color="auto"/>
            </w:tcBorders>
            <w:shd w:val="clear" w:color="auto" w:fill="FFFFFF" w:themeFill="background1"/>
            <w:vAlign w:val="center"/>
          </w:tcPr>
          <w:p w:rsidR="00E146AB" w:rsidRPr="00C419CA" w:rsidRDefault="00E146AB" w:rsidP="001E5292">
            <w:pPr>
              <w:spacing w:line="200" w:lineRule="exact"/>
              <w:contextualSpacing/>
              <w:jc w:val="left"/>
              <w:rPr>
                <w:rFonts w:cs="Calibri"/>
                <w:color w:val="auto"/>
                <w:sz w:val="20"/>
                <w:szCs w:val="20"/>
              </w:rPr>
            </w:pPr>
            <w:proofErr w:type="spellStart"/>
            <w:r w:rsidRPr="00C419CA">
              <w:rPr>
                <w:rFonts w:cs="Calibri"/>
                <w:color w:val="auto"/>
                <w:sz w:val="20"/>
                <w:szCs w:val="20"/>
              </w:rPr>
              <w:t>Polysubstance</w:t>
            </w:r>
            <w:proofErr w:type="spellEnd"/>
            <w:r w:rsidRPr="00C419CA">
              <w:rPr>
                <w:rFonts w:cs="Calibri"/>
                <w:color w:val="auto"/>
                <w:sz w:val="20"/>
                <w:szCs w:val="20"/>
              </w:rPr>
              <w:t xml:space="preserve"> Abuse</w:t>
            </w:r>
          </w:p>
        </w:tc>
        <w:tc>
          <w:tcPr>
            <w:tcW w:w="1620" w:type="dxa"/>
            <w:gridSpan w:val="2"/>
            <w:tcBorders>
              <w:left w:val="single" w:sz="4" w:space="0" w:color="auto"/>
              <w:right w:val="thinThickThinSmallGap" w:sz="2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Not Unfitting</w:t>
            </w:r>
          </w:p>
        </w:tc>
        <w:tc>
          <w:tcPr>
            <w:tcW w:w="2214" w:type="dxa"/>
            <w:tcBorders>
              <w:left w:val="thinThickThinSmallGap" w:sz="24" w:space="0" w:color="auto"/>
              <w:right w:val="single" w:sz="4" w:space="0" w:color="auto"/>
            </w:tcBorders>
            <w:shd w:val="clear" w:color="auto" w:fill="FFFFFF" w:themeFill="background1"/>
            <w:vAlign w:val="center"/>
          </w:tcPr>
          <w:p w:rsidR="00E146AB" w:rsidRPr="00C419CA" w:rsidRDefault="00E146AB" w:rsidP="001E5292">
            <w:pPr>
              <w:spacing w:line="200" w:lineRule="exact"/>
              <w:contextualSpacing/>
              <w:jc w:val="left"/>
              <w:rPr>
                <w:rFonts w:cs="Calibri"/>
                <w:color w:val="auto"/>
                <w:sz w:val="20"/>
                <w:szCs w:val="20"/>
              </w:rPr>
            </w:pPr>
            <w:r w:rsidRPr="00C419CA">
              <w:rPr>
                <w:rFonts w:cs="Calibri"/>
                <w:color w:val="auto"/>
                <w:sz w:val="20"/>
                <w:szCs w:val="20"/>
              </w:rPr>
              <w:t>Anxiety Disorder</w:t>
            </w:r>
            <w:r w:rsidR="00B26B34" w:rsidRPr="00C419CA">
              <w:rPr>
                <w:rFonts w:cs="Calibri"/>
                <w:color w:val="auto"/>
                <w:sz w:val="20"/>
                <w:szCs w:val="20"/>
              </w:rPr>
              <w:t xml:space="preserve"> …</w:t>
            </w:r>
          </w:p>
        </w:tc>
        <w:tc>
          <w:tcPr>
            <w:tcW w:w="1080" w:type="dxa"/>
            <w:tcBorders>
              <w:left w:val="single" w:sz="4" w:space="0" w:color="auto"/>
              <w:right w:val="single" w:sz="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9410</w:t>
            </w:r>
          </w:p>
        </w:tc>
        <w:tc>
          <w:tcPr>
            <w:tcW w:w="828" w:type="dxa"/>
            <w:tcBorders>
              <w:left w:val="single" w:sz="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10%*</w:t>
            </w:r>
          </w:p>
        </w:tc>
        <w:tc>
          <w:tcPr>
            <w:tcW w:w="1080" w:type="dxa"/>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20060224</w:t>
            </w:r>
          </w:p>
        </w:tc>
      </w:tr>
      <w:tr w:rsidR="00E146AB" w:rsidRPr="00C419CA" w:rsidTr="001E5292">
        <w:trPr>
          <w:trHeight w:val="287"/>
          <w:jc w:val="center"/>
        </w:trPr>
        <w:tc>
          <w:tcPr>
            <w:tcW w:w="2448" w:type="dxa"/>
            <w:tcBorders>
              <w:right w:val="single" w:sz="4" w:space="0" w:color="auto"/>
            </w:tcBorders>
            <w:shd w:val="clear" w:color="auto" w:fill="FFFFFF" w:themeFill="background1"/>
            <w:vAlign w:val="center"/>
          </w:tcPr>
          <w:p w:rsidR="00E146AB" w:rsidRPr="00C419CA" w:rsidRDefault="00E146AB" w:rsidP="001E5292">
            <w:pPr>
              <w:spacing w:line="200" w:lineRule="exact"/>
              <w:contextualSpacing/>
              <w:jc w:val="left"/>
              <w:rPr>
                <w:rFonts w:cs="Calibri"/>
                <w:color w:val="auto"/>
                <w:sz w:val="20"/>
                <w:szCs w:val="20"/>
              </w:rPr>
            </w:pPr>
            <w:r w:rsidRPr="00C419CA">
              <w:rPr>
                <w:rFonts w:cs="Calibri"/>
                <w:color w:val="auto"/>
                <w:sz w:val="20"/>
                <w:szCs w:val="20"/>
              </w:rPr>
              <w:t>Bilateral Plantar Fasciitis</w:t>
            </w:r>
          </w:p>
        </w:tc>
        <w:tc>
          <w:tcPr>
            <w:tcW w:w="1620" w:type="dxa"/>
            <w:gridSpan w:val="2"/>
            <w:tcBorders>
              <w:left w:val="single" w:sz="4" w:space="0" w:color="auto"/>
              <w:right w:val="thinThickThinSmallGap" w:sz="2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Not Unfitting</w:t>
            </w:r>
          </w:p>
        </w:tc>
        <w:tc>
          <w:tcPr>
            <w:tcW w:w="2214" w:type="dxa"/>
            <w:tcBorders>
              <w:left w:val="thinThickThinSmallGap" w:sz="24" w:space="0" w:color="auto"/>
              <w:right w:val="single" w:sz="4" w:space="0" w:color="auto"/>
            </w:tcBorders>
            <w:shd w:val="clear" w:color="auto" w:fill="FFFFFF" w:themeFill="background1"/>
            <w:vAlign w:val="center"/>
          </w:tcPr>
          <w:p w:rsidR="00E146AB" w:rsidRPr="00C419CA" w:rsidRDefault="00E146AB" w:rsidP="001E5292">
            <w:pPr>
              <w:spacing w:line="200" w:lineRule="exact"/>
              <w:contextualSpacing/>
              <w:jc w:val="left"/>
              <w:rPr>
                <w:rFonts w:cs="Calibri"/>
                <w:color w:val="auto"/>
                <w:sz w:val="20"/>
                <w:szCs w:val="20"/>
              </w:rPr>
            </w:pPr>
            <w:r w:rsidRPr="00C419CA">
              <w:rPr>
                <w:rFonts w:cs="Calibri"/>
                <w:color w:val="auto"/>
                <w:sz w:val="20"/>
                <w:szCs w:val="20"/>
              </w:rPr>
              <w:t>Bilateral Plantar Fasciitis</w:t>
            </w:r>
          </w:p>
        </w:tc>
        <w:tc>
          <w:tcPr>
            <w:tcW w:w="1080" w:type="dxa"/>
            <w:tcBorders>
              <w:left w:val="single" w:sz="4" w:space="0" w:color="auto"/>
              <w:right w:val="single" w:sz="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5284</w:t>
            </w:r>
          </w:p>
        </w:tc>
        <w:tc>
          <w:tcPr>
            <w:tcW w:w="828" w:type="dxa"/>
            <w:tcBorders>
              <w:left w:val="single" w:sz="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NSC*</w:t>
            </w:r>
          </w:p>
        </w:tc>
        <w:tc>
          <w:tcPr>
            <w:tcW w:w="1080" w:type="dxa"/>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20060223</w:t>
            </w:r>
          </w:p>
        </w:tc>
      </w:tr>
      <w:tr w:rsidR="00E146AB" w:rsidRPr="00C419CA" w:rsidTr="001E5292">
        <w:trPr>
          <w:trHeight w:val="287"/>
          <w:jc w:val="center"/>
        </w:trPr>
        <w:tc>
          <w:tcPr>
            <w:tcW w:w="2448" w:type="dxa"/>
            <w:tcBorders>
              <w:right w:val="single" w:sz="4" w:space="0" w:color="auto"/>
            </w:tcBorders>
            <w:shd w:val="clear" w:color="auto" w:fill="FFFFFF" w:themeFill="background1"/>
            <w:vAlign w:val="center"/>
          </w:tcPr>
          <w:p w:rsidR="00E146AB" w:rsidRPr="00C419CA" w:rsidRDefault="00E146AB" w:rsidP="001E5292">
            <w:pPr>
              <w:spacing w:line="200" w:lineRule="exact"/>
              <w:contextualSpacing/>
              <w:jc w:val="left"/>
              <w:rPr>
                <w:rFonts w:cs="Calibri"/>
                <w:color w:val="auto"/>
                <w:sz w:val="20"/>
                <w:szCs w:val="20"/>
              </w:rPr>
            </w:pPr>
            <w:r w:rsidRPr="00C419CA">
              <w:rPr>
                <w:rFonts w:cs="Calibri"/>
                <w:color w:val="auto"/>
                <w:sz w:val="20"/>
                <w:szCs w:val="20"/>
              </w:rPr>
              <w:t>Cervical DDD</w:t>
            </w:r>
          </w:p>
        </w:tc>
        <w:tc>
          <w:tcPr>
            <w:tcW w:w="1620" w:type="dxa"/>
            <w:gridSpan w:val="2"/>
            <w:tcBorders>
              <w:left w:val="single" w:sz="4" w:space="0" w:color="auto"/>
              <w:right w:val="thinThickThinSmallGap" w:sz="2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Not Unfitting</w:t>
            </w:r>
          </w:p>
        </w:tc>
        <w:tc>
          <w:tcPr>
            <w:tcW w:w="2214" w:type="dxa"/>
            <w:tcBorders>
              <w:left w:val="thinThickThinSmallGap" w:sz="24" w:space="0" w:color="auto"/>
              <w:right w:val="single" w:sz="4" w:space="0" w:color="auto"/>
            </w:tcBorders>
            <w:shd w:val="clear" w:color="auto" w:fill="FFFFFF" w:themeFill="background1"/>
            <w:vAlign w:val="center"/>
          </w:tcPr>
          <w:p w:rsidR="00E146AB" w:rsidRPr="00C419CA" w:rsidRDefault="00E146AB" w:rsidP="001E5292">
            <w:pPr>
              <w:spacing w:line="200" w:lineRule="exact"/>
              <w:contextualSpacing/>
              <w:jc w:val="left"/>
              <w:rPr>
                <w:rFonts w:cs="Calibri"/>
                <w:color w:val="auto"/>
                <w:sz w:val="20"/>
                <w:szCs w:val="20"/>
              </w:rPr>
            </w:pPr>
            <w:r w:rsidRPr="00C419CA">
              <w:rPr>
                <w:rFonts w:cs="Calibri"/>
                <w:color w:val="auto"/>
                <w:sz w:val="20"/>
                <w:szCs w:val="20"/>
              </w:rPr>
              <w:t>Cervical DDD</w:t>
            </w:r>
          </w:p>
        </w:tc>
        <w:tc>
          <w:tcPr>
            <w:tcW w:w="1080" w:type="dxa"/>
            <w:tcBorders>
              <w:left w:val="single" w:sz="4" w:space="0" w:color="auto"/>
              <w:right w:val="single" w:sz="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5243</w:t>
            </w:r>
          </w:p>
        </w:tc>
        <w:tc>
          <w:tcPr>
            <w:tcW w:w="828" w:type="dxa"/>
            <w:tcBorders>
              <w:left w:val="single" w:sz="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0%*</w:t>
            </w:r>
          </w:p>
        </w:tc>
        <w:tc>
          <w:tcPr>
            <w:tcW w:w="1080" w:type="dxa"/>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20060223</w:t>
            </w:r>
          </w:p>
        </w:tc>
      </w:tr>
      <w:tr w:rsidR="00E146AB" w:rsidRPr="00C419CA" w:rsidTr="001E5292">
        <w:trPr>
          <w:trHeight w:val="287"/>
          <w:jc w:val="center"/>
        </w:trPr>
        <w:tc>
          <w:tcPr>
            <w:tcW w:w="2448" w:type="dxa"/>
            <w:tcBorders>
              <w:right w:val="single" w:sz="4" w:space="0" w:color="auto"/>
            </w:tcBorders>
            <w:shd w:val="clear" w:color="auto" w:fill="FFFFFF" w:themeFill="background1"/>
            <w:vAlign w:val="center"/>
          </w:tcPr>
          <w:p w:rsidR="00E146AB" w:rsidRPr="00C419CA" w:rsidRDefault="00E146AB" w:rsidP="001E5292">
            <w:pPr>
              <w:spacing w:line="200" w:lineRule="exact"/>
              <w:contextualSpacing/>
              <w:jc w:val="left"/>
              <w:rPr>
                <w:rFonts w:cs="Calibri"/>
                <w:color w:val="auto"/>
                <w:sz w:val="20"/>
                <w:szCs w:val="20"/>
              </w:rPr>
            </w:pPr>
            <w:r w:rsidRPr="00C419CA">
              <w:rPr>
                <w:rFonts w:cs="Calibri"/>
                <w:color w:val="auto"/>
                <w:sz w:val="20"/>
                <w:szCs w:val="20"/>
              </w:rPr>
              <w:t>Bilateral Knee Pain</w:t>
            </w:r>
          </w:p>
        </w:tc>
        <w:tc>
          <w:tcPr>
            <w:tcW w:w="1620" w:type="dxa"/>
            <w:gridSpan w:val="2"/>
            <w:tcBorders>
              <w:left w:val="single" w:sz="4" w:space="0" w:color="auto"/>
              <w:right w:val="thinThickThinSmallGap" w:sz="2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Not Unfitting</w:t>
            </w:r>
          </w:p>
        </w:tc>
        <w:tc>
          <w:tcPr>
            <w:tcW w:w="2214" w:type="dxa"/>
            <w:tcBorders>
              <w:left w:val="thinThickThinSmallGap" w:sz="24" w:space="0" w:color="auto"/>
              <w:right w:val="single" w:sz="4" w:space="0" w:color="auto"/>
            </w:tcBorders>
            <w:shd w:val="clear" w:color="auto" w:fill="FFFFFF" w:themeFill="background1"/>
            <w:vAlign w:val="center"/>
          </w:tcPr>
          <w:p w:rsidR="00E146AB" w:rsidRPr="00C419CA" w:rsidRDefault="00E146AB" w:rsidP="001E5292">
            <w:pPr>
              <w:spacing w:line="200" w:lineRule="exact"/>
              <w:contextualSpacing/>
              <w:jc w:val="left"/>
              <w:rPr>
                <w:rFonts w:cs="Calibri"/>
                <w:color w:val="auto"/>
                <w:sz w:val="20"/>
                <w:szCs w:val="20"/>
              </w:rPr>
            </w:pPr>
            <w:r w:rsidRPr="00C419CA">
              <w:rPr>
                <w:rFonts w:cs="Calibri"/>
                <w:color w:val="auto"/>
                <w:sz w:val="20"/>
                <w:szCs w:val="20"/>
              </w:rPr>
              <w:t>L/R Knees</w:t>
            </w:r>
          </w:p>
        </w:tc>
        <w:tc>
          <w:tcPr>
            <w:tcW w:w="1080" w:type="dxa"/>
            <w:tcBorders>
              <w:left w:val="single" w:sz="4" w:space="0" w:color="auto"/>
              <w:right w:val="single" w:sz="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5257</w:t>
            </w:r>
          </w:p>
        </w:tc>
        <w:tc>
          <w:tcPr>
            <w:tcW w:w="828" w:type="dxa"/>
            <w:tcBorders>
              <w:left w:val="single" w:sz="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NSC</w:t>
            </w:r>
          </w:p>
        </w:tc>
        <w:tc>
          <w:tcPr>
            <w:tcW w:w="1080" w:type="dxa"/>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20060223</w:t>
            </w:r>
          </w:p>
        </w:tc>
      </w:tr>
      <w:tr w:rsidR="00E146AB" w:rsidRPr="00C419CA" w:rsidTr="001E5292">
        <w:trPr>
          <w:trHeight w:val="287"/>
          <w:jc w:val="center"/>
        </w:trPr>
        <w:tc>
          <w:tcPr>
            <w:tcW w:w="2448" w:type="dxa"/>
            <w:tcBorders>
              <w:right w:val="single" w:sz="4" w:space="0" w:color="auto"/>
            </w:tcBorders>
            <w:shd w:val="clear" w:color="auto" w:fill="FFFFFF" w:themeFill="background1"/>
            <w:vAlign w:val="center"/>
          </w:tcPr>
          <w:p w:rsidR="00E146AB" w:rsidRPr="00C419CA" w:rsidRDefault="00E146AB" w:rsidP="001E5292">
            <w:pPr>
              <w:spacing w:line="200" w:lineRule="exact"/>
              <w:contextualSpacing/>
              <w:jc w:val="left"/>
              <w:rPr>
                <w:rFonts w:cs="Calibri"/>
                <w:color w:val="auto"/>
                <w:sz w:val="20"/>
                <w:szCs w:val="20"/>
              </w:rPr>
            </w:pPr>
            <w:r w:rsidRPr="00C419CA">
              <w:rPr>
                <w:rFonts w:cs="Calibri"/>
                <w:color w:val="auto"/>
                <w:sz w:val="20"/>
                <w:szCs w:val="20"/>
              </w:rPr>
              <w:t>Headaches</w:t>
            </w:r>
          </w:p>
        </w:tc>
        <w:tc>
          <w:tcPr>
            <w:tcW w:w="1620" w:type="dxa"/>
            <w:gridSpan w:val="2"/>
            <w:tcBorders>
              <w:left w:val="single" w:sz="4" w:space="0" w:color="auto"/>
              <w:right w:val="thinThickThinSmallGap" w:sz="2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Not Unfitting</w:t>
            </w:r>
          </w:p>
        </w:tc>
        <w:tc>
          <w:tcPr>
            <w:tcW w:w="2214" w:type="dxa"/>
            <w:tcBorders>
              <w:left w:val="thinThickThinSmallGap" w:sz="24" w:space="0" w:color="auto"/>
              <w:right w:val="single" w:sz="4" w:space="0" w:color="auto"/>
            </w:tcBorders>
            <w:shd w:val="clear" w:color="auto" w:fill="FFFFFF" w:themeFill="background1"/>
            <w:vAlign w:val="center"/>
          </w:tcPr>
          <w:p w:rsidR="00E146AB" w:rsidRPr="00C419CA" w:rsidRDefault="00E146AB" w:rsidP="001E5292">
            <w:pPr>
              <w:spacing w:line="200" w:lineRule="exact"/>
              <w:contextualSpacing/>
              <w:jc w:val="left"/>
              <w:rPr>
                <w:rFonts w:cs="Calibri"/>
                <w:color w:val="auto"/>
                <w:sz w:val="20"/>
                <w:szCs w:val="20"/>
              </w:rPr>
            </w:pPr>
            <w:r w:rsidRPr="00C419CA">
              <w:rPr>
                <w:rFonts w:cs="Calibri"/>
                <w:color w:val="auto"/>
                <w:sz w:val="20"/>
                <w:szCs w:val="20"/>
              </w:rPr>
              <w:t>Headaches</w:t>
            </w:r>
          </w:p>
        </w:tc>
        <w:tc>
          <w:tcPr>
            <w:tcW w:w="1080" w:type="dxa"/>
            <w:tcBorders>
              <w:left w:val="single" w:sz="4" w:space="0" w:color="auto"/>
              <w:right w:val="single" w:sz="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8100</w:t>
            </w:r>
          </w:p>
        </w:tc>
        <w:tc>
          <w:tcPr>
            <w:tcW w:w="828" w:type="dxa"/>
            <w:tcBorders>
              <w:left w:val="single" w:sz="4" w:space="0" w:color="auto"/>
            </w:tcBorders>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NSC</w:t>
            </w:r>
          </w:p>
        </w:tc>
        <w:tc>
          <w:tcPr>
            <w:tcW w:w="1080" w:type="dxa"/>
            <w:shd w:val="clear" w:color="auto" w:fill="FFFFFF" w:themeFill="background1"/>
            <w:vAlign w:val="center"/>
          </w:tcPr>
          <w:p w:rsidR="00E146AB" w:rsidRPr="00C419CA" w:rsidRDefault="00E146AB" w:rsidP="001E5292">
            <w:pPr>
              <w:spacing w:line="200" w:lineRule="exact"/>
              <w:contextualSpacing/>
              <w:rPr>
                <w:rFonts w:cs="Calibri"/>
                <w:color w:val="auto"/>
                <w:sz w:val="20"/>
                <w:szCs w:val="20"/>
              </w:rPr>
            </w:pPr>
            <w:r w:rsidRPr="00C419CA">
              <w:rPr>
                <w:rFonts w:cs="Calibri"/>
                <w:color w:val="auto"/>
                <w:sz w:val="20"/>
                <w:szCs w:val="20"/>
              </w:rPr>
              <w:t>20060223</w:t>
            </w:r>
          </w:p>
        </w:tc>
      </w:tr>
      <w:tr w:rsidR="001E5292" w:rsidRPr="00C419CA" w:rsidTr="001E5292">
        <w:trPr>
          <w:trHeight w:val="287"/>
          <w:jc w:val="center"/>
        </w:trPr>
        <w:tc>
          <w:tcPr>
            <w:tcW w:w="4068" w:type="dxa"/>
            <w:gridSpan w:val="3"/>
            <w:vMerge w:val="restart"/>
            <w:tcBorders>
              <w:right w:val="thinThickThinSmallGap" w:sz="24" w:space="0" w:color="auto"/>
            </w:tcBorders>
            <w:shd w:val="clear" w:color="auto" w:fill="FFFFFF" w:themeFill="background1"/>
            <w:vAlign w:val="center"/>
          </w:tcPr>
          <w:p w:rsidR="001E5292" w:rsidRPr="00C419CA" w:rsidRDefault="001E5292" w:rsidP="001E5292">
            <w:pPr>
              <w:spacing w:line="200" w:lineRule="exact"/>
              <w:contextualSpacing/>
              <w:rPr>
                <w:color w:val="auto"/>
                <w:sz w:val="20"/>
                <w:szCs w:val="20"/>
              </w:rPr>
            </w:pPr>
            <w:r w:rsidRPr="00C419CA">
              <w:rPr>
                <w:rFonts w:cs="Calibri"/>
                <w:color w:val="auto"/>
                <w:sz w:val="20"/>
                <w:szCs w:val="20"/>
              </w:rPr>
              <w:t>↓No Additional MEB/PEB Entries↓</w:t>
            </w:r>
          </w:p>
        </w:tc>
        <w:tc>
          <w:tcPr>
            <w:tcW w:w="2214" w:type="dxa"/>
            <w:tcBorders>
              <w:left w:val="thinThickThinSmallGap" w:sz="24" w:space="0" w:color="auto"/>
              <w:right w:val="single" w:sz="4" w:space="0" w:color="auto"/>
            </w:tcBorders>
            <w:shd w:val="clear" w:color="auto" w:fill="FFFFFF" w:themeFill="background1"/>
            <w:vAlign w:val="center"/>
          </w:tcPr>
          <w:p w:rsidR="001E5292" w:rsidRPr="00C419CA" w:rsidRDefault="001E5292" w:rsidP="001E5292">
            <w:pPr>
              <w:spacing w:line="200" w:lineRule="exact"/>
              <w:contextualSpacing/>
              <w:jc w:val="left"/>
              <w:rPr>
                <w:rFonts w:cs="Calibri"/>
                <w:color w:val="auto"/>
                <w:sz w:val="20"/>
                <w:szCs w:val="20"/>
              </w:rPr>
            </w:pPr>
            <w:r w:rsidRPr="00C419CA">
              <w:rPr>
                <w:rFonts w:cs="Calibri"/>
                <w:color w:val="auto"/>
                <w:sz w:val="20"/>
                <w:szCs w:val="20"/>
              </w:rPr>
              <w:t>OSA</w:t>
            </w:r>
          </w:p>
        </w:tc>
        <w:tc>
          <w:tcPr>
            <w:tcW w:w="1080" w:type="dxa"/>
            <w:tcBorders>
              <w:left w:val="single" w:sz="4" w:space="0" w:color="auto"/>
              <w:right w:val="single" w:sz="4" w:space="0" w:color="auto"/>
            </w:tcBorders>
            <w:shd w:val="clear" w:color="auto" w:fill="FFFFFF" w:themeFill="background1"/>
            <w:vAlign w:val="center"/>
          </w:tcPr>
          <w:p w:rsidR="001E5292" w:rsidRPr="00C419CA" w:rsidRDefault="001E5292" w:rsidP="001E5292">
            <w:pPr>
              <w:spacing w:line="200" w:lineRule="exact"/>
              <w:contextualSpacing/>
              <w:rPr>
                <w:rFonts w:cs="Calibri"/>
                <w:color w:val="auto"/>
                <w:sz w:val="20"/>
                <w:szCs w:val="20"/>
              </w:rPr>
            </w:pPr>
            <w:r w:rsidRPr="00C419CA">
              <w:rPr>
                <w:rFonts w:cs="Calibri"/>
                <w:color w:val="auto"/>
                <w:sz w:val="20"/>
                <w:szCs w:val="20"/>
              </w:rPr>
              <w:t>6847</w:t>
            </w:r>
          </w:p>
        </w:tc>
        <w:tc>
          <w:tcPr>
            <w:tcW w:w="828" w:type="dxa"/>
            <w:tcBorders>
              <w:left w:val="single" w:sz="4" w:space="0" w:color="auto"/>
            </w:tcBorders>
            <w:shd w:val="clear" w:color="auto" w:fill="FFFFFF" w:themeFill="background1"/>
            <w:vAlign w:val="center"/>
          </w:tcPr>
          <w:p w:rsidR="001E5292" w:rsidRPr="00C419CA" w:rsidRDefault="001E5292" w:rsidP="001E5292">
            <w:pPr>
              <w:spacing w:line="200" w:lineRule="exact"/>
              <w:contextualSpacing/>
              <w:rPr>
                <w:rFonts w:cs="Calibri"/>
                <w:color w:val="auto"/>
                <w:sz w:val="20"/>
                <w:szCs w:val="20"/>
              </w:rPr>
            </w:pPr>
            <w:r w:rsidRPr="00C419CA">
              <w:rPr>
                <w:rFonts w:cs="Calibri"/>
                <w:color w:val="auto"/>
                <w:sz w:val="20"/>
                <w:szCs w:val="20"/>
              </w:rPr>
              <w:t>30%</w:t>
            </w:r>
          </w:p>
        </w:tc>
        <w:tc>
          <w:tcPr>
            <w:tcW w:w="1080" w:type="dxa"/>
            <w:shd w:val="clear" w:color="auto" w:fill="FFFFFF" w:themeFill="background1"/>
            <w:vAlign w:val="center"/>
          </w:tcPr>
          <w:p w:rsidR="001E5292" w:rsidRPr="00C419CA" w:rsidRDefault="001E5292" w:rsidP="001E5292">
            <w:pPr>
              <w:spacing w:line="200" w:lineRule="exact"/>
              <w:contextualSpacing/>
              <w:rPr>
                <w:rFonts w:cs="Calibri"/>
                <w:color w:val="auto"/>
                <w:sz w:val="20"/>
                <w:szCs w:val="20"/>
              </w:rPr>
            </w:pPr>
            <w:r w:rsidRPr="00C419CA">
              <w:rPr>
                <w:rFonts w:cs="Calibri"/>
                <w:color w:val="auto"/>
                <w:sz w:val="20"/>
                <w:szCs w:val="20"/>
              </w:rPr>
              <w:t>20060223</w:t>
            </w:r>
          </w:p>
        </w:tc>
      </w:tr>
      <w:tr w:rsidR="001E5292" w:rsidRPr="00C419CA" w:rsidTr="001E5292">
        <w:trPr>
          <w:trHeight w:val="287"/>
          <w:jc w:val="center"/>
        </w:trPr>
        <w:tc>
          <w:tcPr>
            <w:tcW w:w="4068" w:type="dxa"/>
            <w:gridSpan w:val="3"/>
            <w:vMerge/>
            <w:tcBorders>
              <w:right w:val="thinThickThinSmallGap" w:sz="24" w:space="0" w:color="auto"/>
            </w:tcBorders>
            <w:shd w:val="clear" w:color="auto" w:fill="FFFFFF" w:themeFill="background1"/>
            <w:vAlign w:val="center"/>
          </w:tcPr>
          <w:p w:rsidR="001E5292" w:rsidRPr="00C419CA" w:rsidRDefault="001E5292" w:rsidP="001E5292">
            <w:pPr>
              <w:spacing w:line="200" w:lineRule="exact"/>
              <w:contextualSpacing/>
              <w:rPr>
                <w:color w:val="auto"/>
                <w:sz w:val="20"/>
                <w:szCs w:val="20"/>
              </w:rPr>
            </w:pPr>
          </w:p>
        </w:tc>
        <w:tc>
          <w:tcPr>
            <w:tcW w:w="2214" w:type="dxa"/>
            <w:tcBorders>
              <w:left w:val="thinThickThinSmallGap" w:sz="24" w:space="0" w:color="auto"/>
              <w:right w:val="single" w:sz="4" w:space="0" w:color="auto"/>
            </w:tcBorders>
            <w:shd w:val="clear" w:color="auto" w:fill="FFFFFF" w:themeFill="background1"/>
            <w:vAlign w:val="center"/>
          </w:tcPr>
          <w:p w:rsidR="001E5292" w:rsidRPr="00C419CA" w:rsidRDefault="001E5292" w:rsidP="001E5292">
            <w:pPr>
              <w:spacing w:line="200" w:lineRule="exact"/>
              <w:contextualSpacing/>
              <w:jc w:val="left"/>
              <w:rPr>
                <w:rFonts w:cs="Calibri"/>
                <w:color w:val="auto"/>
                <w:sz w:val="20"/>
                <w:szCs w:val="20"/>
              </w:rPr>
            </w:pPr>
            <w:r w:rsidRPr="00C419CA">
              <w:rPr>
                <w:rFonts w:cs="Calibri"/>
                <w:color w:val="auto"/>
                <w:sz w:val="20"/>
                <w:szCs w:val="20"/>
              </w:rPr>
              <w:t>Tinnitus</w:t>
            </w:r>
          </w:p>
        </w:tc>
        <w:tc>
          <w:tcPr>
            <w:tcW w:w="1080" w:type="dxa"/>
            <w:tcBorders>
              <w:left w:val="single" w:sz="4" w:space="0" w:color="auto"/>
              <w:right w:val="single" w:sz="4" w:space="0" w:color="auto"/>
            </w:tcBorders>
            <w:shd w:val="clear" w:color="auto" w:fill="FFFFFF" w:themeFill="background1"/>
            <w:vAlign w:val="center"/>
          </w:tcPr>
          <w:p w:rsidR="001E5292" w:rsidRPr="00C419CA" w:rsidRDefault="001E5292" w:rsidP="001E5292">
            <w:pPr>
              <w:spacing w:line="200" w:lineRule="exact"/>
              <w:contextualSpacing/>
              <w:rPr>
                <w:rFonts w:cs="Calibri"/>
                <w:color w:val="auto"/>
                <w:sz w:val="20"/>
                <w:szCs w:val="20"/>
              </w:rPr>
            </w:pPr>
            <w:r w:rsidRPr="00C419CA">
              <w:rPr>
                <w:rFonts w:cs="Calibri"/>
                <w:color w:val="auto"/>
                <w:sz w:val="20"/>
                <w:szCs w:val="20"/>
              </w:rPr>
              <w:t>6260</w:t>
            </w:r>
          </w:p>
        </w:tc>
        <w:tc>
          <w:tcPr>
            <w:tcW w:w="828" w:type="dxa"/>
            <w:tcBorders>
              <w:left w:val="single" w:sz="4" w:space="0" w:color="auto"/>
            </w:tcBorders>
            <w:shd w:val="clear" w:color="auto" w:fill="FFFFFF" w:themeFill="background1"/>
            <w:vAlign w:val="center"/>
          </w:tcPr>
          <w:p w:rsidR="001E5292" w:rsidRPr="00C419CA" w:rsidRDefault="001E5292" w:rsidP="001E5292">
            <w:pPr>
              <w:spacing w:line="200" w:lineRule="exact"/>
              <w:contextualSpacing/>
              <w:rPr>
                <w:rFonts w:cs="Calibri"/>
                <w:color w:val="auto"/>
                <w:sz w:val="20"/>
                <w:szCs w:val="20"/>
              </w:rPr>
            </w:pPr>
            <w:r w:rsidRPr="00C419CA">
              <w:rPr>
                <w:rFonts w:cs="Calibri"/>
                <w:color w:val="auto"/>
                <w:sz w:val="20"/>
                <w:szCs w:val="20"/>
              </w:rPr>
              <w:t>10%</w:t>
            </w:r>
          </w:p>
        </w:tc>
        <w:tc>
          <w:tcPr>
            <w:tcW w:w="1080" w:type="dxa"/>
            <w:shd w:val="clear" w:color="auto" w:fill="FFFFFF" w:themeFill="background1"/>
            <w:vAlign w:val="center"/>
          </w:tcPr>
          <w:p w:rsidR="001E5292" w:rsidRPr="00C419CA" w:rsidRDefault="001E5292" w:rsidP="001E5292">
            <w:pPr>
              <w:spacing w:line="200" w:lineRule="exact"/>
              <w:contextualSpacing/>
              <w:rPr>
                <w:rFonts w:cs="Calibri"/>
                <w:color w:val="auto"/>
                <w:sz w:val="20"/>
                <w:szCs w:val="20"/>
              </w:rPr>
            </w:pPr>
            <w:r w:rsidRPr="00C419CA">
              <w:rPr>
                <w:rFonts w:cs="Calibri"/>
                <w:color w:val="auto"/>
                <w:sz w:val="20"/>
                <w:szCs w:val="20"/>
              </w:rPr>
              <w:t>20060223</w:t>
            </w:r>
          </w:p>
        </w:tc>
      </w:tr>
      <w:tr w:rsidR="001E5292" w:rsidRPr="00C419CA" w:rsidTr="001E5292">
        <w:trPr>
          <w:trHeight w:val="215"/>
          <w:jc w:val="center"/>
        </w:trPr>
        <w:tc>
          <w:tcPr>
            <w:tcW w:w="4068" w:type="dxa"/>
            <w:gridSpan w:val="3"/>
            <w:vMerge/>
            <w:tcBorders>
              <w:right w:val="thinThickThinSmallGap" w:sz="24" w:space="0" w:color="auto"/>
            </w:tcBorders>
            <w:shd w:val="clear" w:color="auto" w:fill="FFFFFF" w:themeFill="background1"/>
            <w:vAlign w:val="center"/>
          </w:tcPr>
          <w:p w:rsidR="001E5292" w:rsidRPr="00C419CA" w:rsidRDefault="001E5292" w:rsidP="001E5292">
            <w:pPr>
              <w:spacing w:line="200" w:lineRule="exact"/>
              <w:contextualSpacing/>
              <w:rPr>
                <w:rFonts w:cs="Calibri"/>
                <w:color w:val="auto"/>
                <w:sz w:val="20"/>
                <w:szCs w:val="20"/>
              </w:rPr>
            </w:pPr>
          </w:p>
        </w:tc>
        <w:tc>
          <w:tcPr>
            <w:tcW w:w="4122" w:type="dxa"/>
            <w:gridSpan w:val="3"/>
            <w:tcBorders>
              <w:left w:val="thinThickThinSmallGap" w:sz="24" w:space="0" w:color="auto"/>
              <w:right w:val="single" w:sz="4" w:space="0" w:color="auto"/>
            </w:tcBorders>
            <w:shd w:val="clear" w:color="auto" w:fill="FFFFFF" w:themeFill="background1"/>
            <w:vAlign w:val="center"/>
          </w:tcPr>
          <w:p w:rsidR="001E5292" w:rsidRPr="00C419CA" w:rsidRDefault="008013E4" w:rsidP="001E5292">
            <w:pPr>
              <w:spacing w:line="200" w:lineRule="exact"/>
              <w:contextualSpacing/>
              <w:rPr>
                <w:color w:val="auto"/>
                <w:sz w:val="20"/>
                <w:szCs w:val="20"/>
              </w:rPr>
            </w:pPr>
            <w:r>
              <w:rPr>
                <w:rFonts w:cs="Calibri"/>
                <w:color w:val="auto"/>
                <w:sz w:val="20"/>
                <w:szCs w:val="20"/>
              </w:rPr>
              <w:t>0% x 4/Not Service-</w:t>
            </w:r>
            <w:r w:rsidR="001E5292" w:rsidRPr="00C419CA">
              <w:rPr>
                <w:rFonts w:cs="Calibri"/>
                <w:color w:val="auto"/>
                <w:sz w:val="20"/>
                <w:szCs w:val="20"/>
              </w:rPr>
              <w:t>Connected x 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5292" w:rsidRPr="00C419CA" w:rsidRDefault="001E5292" w:rsidP="001E5292">
            <w:pPr>
              <w:spacing w:line="200" w:lineRule="exact"/>
              <w:contextualSpacing/>
              <w:rPr>
                <w:rFonts w:cs="Calibri"/>
                <w:color w:val="auto"/>
                <w:sz w:val="20"/>
                <w:szCs w:val="20"/>
              </w:rPr>
            </w:pPr>
            <w:r w:rsidRPr="00C419CA">
              <w:rPr>
                <w:rFonts w:cs="Calibri"/>
                <w:color w:val="auto"/>
                <w:sz w:val="20"/>
                <w:szCs w:val="20"/>
              </w:rPr>
              <w:t>20060223</w:t>
            </w:r>
          </w:p>
        </w:tc>
      </w:tr>
      <w:tr w:rsidR="00E146AB" w:rsidRPr="00C419CA" w:rsidTr="001E5292">
        <w:trPr>
          <w:trHeight w:val="242"/>
          <w:jc w:val="center"/>
        </w:trPr>
        <w:tc>
          <w:tcPr>
            <w:tcW w:w="4068" w:type="dxa"/>
            <w:gridSpan w:val="3"/>
            <w:tcBorders>
              <w:right w:val="thinThickThinSmallGap" w:sz="24" w:space="0" w:color="auto"/>
            </w:tcBorders>
            <w:shd w:val="clear" w:color="auto" w:fill="D9D9D9" w:themeFill="background1" w:themeFillShade="D9"/>
            <w:vAlign w:val="center"/>
          </w:tcPr>
          <w:p w:rsidR="00E146AB" w:rsidRPr="00C419CA" w:rsidRDefault="00E146AB" w:rsidP="001E5292">
            <w:pPr>
              <w:spacing w:line="200" w:lineRule="exact"/>
              <w:contextualSpacing/>
              <w:rPr>
                <w:rFonts w:cs="Calibri"/>
                <w:b/>
                <w:color w:val="auto"/>
                <w:sz w:val="20"/>
                <w:szCs w:val="20"/>
              </w:rPr>
            </w:pPr>
            <w:r w:rsidRPr="00C419CA">
              <w:rPr>
                <w:rFonts w:cs="Calibri"/>
                <w:b/>
                <w:color w:val="auto"/>
                <w:sz w:val="20"/>
                <w:szCs w:val="20"/>
              </w:rPr>
              <w:t>Combined:  10%</w:t>
            </w:r>
          </w:p>
        </w:tc>
        <w:tc>
          <w:tcPr>
            <w:tcW w:w="5202" w:type="dxa"/>
            <w:gridSpan w:val="4"/>
            <w:tcBorders>
              <w:left w:val="thinThickThinSmallGap" w:sz="24" w:space="0" w:color="auto"/>
            </w:tcBorders>
            <w:shd w:val="clear" w:color="auto" w:fill="D9D9D9" w:themeFill="background1" w:themeFillShade="D9"/>
            <w:vAlign w:val="center"/>
          </w:tcPr>
          <w:p w:rsidR="00E146AB" w:rsidRPr="00C419CA" w:rsidRDefault="00E146AB" w:rsidP="001E5292">
            <w:pPr>
              <w:spacing w:line="200" w:lineRule="exact"/>
              <w:contextualSpacing/>
              <w:rPr>
                <w:rFonts w:cs="Calibri"/>
                <w:b/>
                <w:color w:val="auto"/>
                <w:sz w:val="20"/>
                <w:szCs w:val="20"/>
              </w:rPr>
            </w:pPr>
            <w:r w:rsidRPr="00C419CA">
              <w:rPr>
                <w:rFonts w:cs="Calibri"/>
                <w:b/>
                <w:color w:val="auto"/>
                <w:sz w:val="20"/>
                <w:szCs w:val="20"/>
              </w:rPr>
              <w:t>Combined:  40%</w:t>
            </w:r>
            <w:r w:rsidR="00300C4C" w:rsidRPr="00C419CA">
              <w:rPr>
                <w:rFonts w:cs="Calibri"/>
                <w:b/>
                <w:color w:val="auto"/>
                <w:sz w:val="20"/>
                <w:szCs w:val="20"/>
              </w:rPr>
              <w:t>*</w:t>
            </w:r>
          </w:p>
        </w:tc>
      </w:tr>
    </w:tbl>
    <w:p w:rsidR="00B26B34" w:rsidRDefault="00F90376" w:rsidP="00300C4C">
      <w:pPr>
        <w:pBdr>
          <w:bottom w:val="single" w:sz="12" w:space="0" w:color="auto"/>
        </w:pBdr>
        <w:tabs>
          <w:tab w:val="left" w:pos="288"/>
          <w:tab w:val="left" w:pos="4752"/>
        </w:tabs>
        <w:spacing w:line="180" w:lineRule="exact"/>
        <w:jc w:val="both"/>
        <w:rPr>
          <w:color w:val="auto"/>
          <w:sz w:val="18"/>
          <w:szCs w:val="18"/>
        </w:rPr>
      </w:pPr>
      <w:r w:rsidRPr="00C419CA">
        <w:rPr>
          <w:color w:val="auto"/>
          <w:sz w:val="18"/>
          <w:szCs w:val="18"/>
        </w:rPr>
        <w:t>*</w:t>
      </w:r>
      <w:r w:rsidR="000F50E7" w:rsidRPr="00C419CA">
        <w:rPr>
          <w:color w:val="auto"/>
          <w:sz w:val="18"/>
          <w:szCs w:val="18"/>
        </w:rPr>
        <w:t xml:space="preserve">Effective 20090413 </w:t>
      </w:r>
      <w:proofErr w:type="spellStart"/>
      <w:r w:rsidR="00BA1546" w:rsidRPr="00C419CA">
        <w:rPr>
          <w:color w:val="auto"/>
          <w:sz w:val="18"/>
          <w:szCs w:val="18"/>
        </w:rPr>
        <w:t>thoracolumbar</w:t>
      </w:r>
      <w:proofErr w:type="spellEnd"/>
      <w:r w:rsidR="00BA1546" w:rsidRPr="00C419CA">
        <w:rPr>
          <w:color w:val="auto"/>
          <w:sz w:val="18"/>
          <w:szCs w:val="18"/>
        </w:rPr>
        <w:t xml:space="preserve"> increased to 10%</w:t>
      </w:r>
      <w:r w:rsidR="00300C4C" w:rsidRPr="00C419CA">
        <w:rPr>
          <w:color w:val="auto"/>
          <w:sz w:val="18"/>
          <w:szCs w:val="18"/>
        </w:rPr>
        <w:t>;</w:t>
      </w:r>
      <w:r w:rsidR="00BA1546" w:rsidRPr="00C419CA">
        <w:rPr>
          <w:color w:val="auto"/>
          <w:sz w:val="18"/>
          <w:szCs w:val="18"/>
        </w:rPr>
        <w:t xml:space="preserve"> cervical spine increased to 10%</w:t>
      </w:r>
      <w:r w:rsidR="00300C4C" w:rsidRPr="00C419CA">
        <w:rPr>
          <w:color w:val="auto"/>
          <w:sz w:val="18"/>
          <w:szCs w:val="18"/>
        </w:rPr>
        <w:t xml:space="preserve">; Anxiety Disorder </w:t>
      </w:r>
      <w:r w:rsidR="00B26B34" w:rsidRPr="00C419CA">
        <w:rPr>
          <w:color w:val="auto"/>
          <w:sz w:val="18"/>
          <w:szCs w:val="18"/>
        </w:rPr>
        <w:t xml:space="preserve">(see note) </w:t>
      </w:r>
      <w:r w:rsidR="00300C4C" w:rsidRPr="00C419CA">
        <w:rPr>
          <w:color w:val="auto"/>
          <w:sz w:val="18"/>
          <w:szCs w:val="18"/>
        </w:rPr>
        <w:t>increased to 30%; and bilateral plantar fasciitis added at 0% (combined 60%)</w:t>
      </w:r>
      <w:r w:rsidR="00B26B34" w:rsidRPr="00C419CA">
        <w:rPr>
          <w:color w:val="auto"/>
          <w:sz w:val="18"/>
          <w:szCs w:val="18"/>
        </w:rPr>
        <w:t xml:space="preserve"> NOTE:  Anxiety disorder changed to “acquired psychiatric disorder (</w:t>
      </w:r>
      <w:proofErr w:type="spellStart"/>
      <w:r w:rsidR="00B26B34" w:rsidRPr="00C419CA">
        <w:rPr>
          <w:color w:val="auto"/>
          <w:sz w:val="18"/>
          <w:szCs w:val="18"/>
        </w:rPr>
        <w:t>Dx</w:t>
      </w:r>
      <w:proofErr w:type="spellEnd"/>
      <w:r w:rsidR="00B26B34" w:rsidRPr="00C419CA">
        <w:rPr>
          <w:color w:val="auto"/>
          <w:sz w:val="18"/>
          <w:szCs w:val="18"/>
        </w:rPr>
        <w:t xml:space="preserve"> as anxiety d/o, MDD, and PTSD)” as a progression</w:t>
      </w:r>
      <w:r w:rsidR="00B26B34">
        <w:rPr>
          <w:color w:val="auto"/>
          <w:sz w:val="18"/>
          <w:szCs w:val="18"/>
        </w:rPr>
        <w:t xml:space="preserve"> of the prior diagnosis on exam of 20091026.  </w:t>
      </w:r>
    </w:p>
    <w:p w:rsidR="00F90376" w:rsidRPr="00F64312" w:rsidRDefault="00F90376" w:rsidP="00300C4C">
      <w:pPr>
        <w:pBdr>
          <w:bottom w:val="single" w:sz="12" w:space="0"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602100" w:rsidRPr="00602100">
        <w:rPr>
          <w:color w:val="auto"/>
        </w:rPr>
        <w:t xml:space="preserve">The Board acknowledges the CI's contention suggesting that ratings should have been conferred for other conditions documented at the time of separation, some of which were evaluated and determined not to be individually unfitting for continued service.  The Board wishes to clarify that it is subject to the same laws for disability entitlements as those under which the </w:t>
      </w:r>
      <w:r w:rsidR="008013E4">
        <w:rPr>
          <w:color w:val="auto"/>
        </w:rPr>
        <w:t>Disability Evaluation System (</w:t>
      </w:r>
      <w:r w:rsidR="00602100" w:rsidRPr="00602100">
        <w:rPr>
          <w:color w:val="auto"/>
        </w:rPr>
        <w:t xml:space="preserve">DES) operates.  The </w:t>
      </w:r>
      <w:r w:rsidR="008013E4">
        <w:rPr>
          <w:color w:val="auto"/>
        </w:rPr>
        <w:t>DES</w:t>
      </w:r>
      <w:r w:rsidR="00602100" w:rsidRPr="00602100">
        <w:rPr>
          <w:color w:val="auto"/>
        </w:rPr>
        <w:t xml:space="preserve"> is responsible for maintaining a fit and vi</w:t>
      </w:r>
      <w:r w:rsidR="008013E4">
        <w:rPr>
          <w:color w:val="auto"/>
        </w:rPr>
        <w:t xml:space="preserve">tal fighting force.  While the </w:t>
      </w:r>
      <w:r w:rsidR="00602100" w:rsidRPr="00602100">
        <w:rPr>
          <w:color w:val="auto"/>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8013E4">
        <w:rPr>
          <w:color w:val="auto"/>
        </w:rPr>
        <w:t>s’</w:t>
      </w:r>
      <w:r w:rsidR="00602100" w:rsidRPr="00602100">
        <w:rPr>
          <w:color w:val="auto"/>
        </w:rPr>
        <w:t xml:space="preserve"> Affairs (DVA), operating under a different set of laws (Title 38, United States Code), is empo</w:t>
      </w:r>
      <w:r w:rsidR="008013E4">
        <w:rPr>
          <w:color w:val="auto"/>
        </w:rPr>
        <w:t>wered to compensate all service-</w:t>
      </w:r>
      <w:r w:rsidR="00602100" w:rsidRPr="00602100">
        <w:rPr>
          <w:color w:val="auto"/>
        </w:rPr>
        <w:t xml:space="preserve">connected conditions and to periodically re-evaluate said conditions for the purpose of adjusting the </w:t>
      </w:r>
      <w:r w:rsidR="008013E4">
        <w:rPr>
          <w:color w:val="auto"/>
        </w:rPr>
        <w:t>V</w:t>
      </w:r>
      <w:r w:rsidR="00602100" w:rsidRPr="00602100">
        <w:rPr>
          <w:color w:val="auto"/>
        </w:rPr>
        <w:t xml:space="preserve">eteran’s disability rating should </w:t>
      </w:r>
      <w:r w:rsidR="008013E4">
        <w:rPr>
          <w:color w:val="auto"/>
        </w:rPr>
        <w:t>the</w:t>
      </w:r>
      <w:r w:rsidR="00602100" w:rsidRPr="00602100">
        <w:rPr>
          <w:color w:val="auto"/>
        </w:rPr>
        <w:t xml:space="preserve"> degree of impairment vary over time.  The Board is empowered to evaluate the fairness of fitness determinations, and to make recommendations for rating of conditions which it concludes would have independently prevented the performance of required duties (at the time of separation).  The Bo</w:t>
      </w:r>
      <w:r w:rsidR="008013E4">
        <w:rPr>
          <w:color w:val="auto"/>
        </w:rPr>
        <w:t xml:space="preserve">ard’s threshold for countering </w:t>
      </w:r>
      <w:r w:rsidR="00602100" w:rsidRPr="00602100">
        <w:rPr>
          <w:color w:val="auto"/>
        </w:rPr>
        <w:t xml:space="preserve">DES fitness determinations is higher than the VASRD §4.3 (reasonable doubt) standard used for its rating recommendations, but remains adherent to the </w:t>
      </w:r>
      <w:proofErr w:type="spellStart"/>
      <w:r w:rsidR="00602100" w:rsidRPr="00602100">
        <w:rPr>
          <w:color w:val="auto"/>
        </w:rPr>
        <w:t>DoDI</w:t>
      </w:r>
      <w:proofErr w:type="spellEnd"/>
      <w:r w:rsidR="00602100" w:rsidRPr="00602100">
        <w:rPr>
          <w:color w:val="auto"/>
        </w:rPr>
        <w:t xml:space="preserve"> 6040.44 “fair and equitable” standard.</w:t>
      </w:r>
      <w:r w:rsidR="00602100">
        <w:rPr>
          <w:color w:val="auto"/>
        </w:rPr>
        <w:t xml:space="preserve">  </w:t>
      </w:r>
    </w:p>
    <w:p w:rsidR="00AD2379" w:rsidRPr="00F64312" w:rsidRDefault="00AD2379" w:rsidP="00B22D42">
      <w:pPr>
        <w:jc w:val="both"/>
        <w:rPr>
          <w:color w:val="auto"/>
          <w:highlight w:val="yellow"/>
        </w:rPr>
      </w:pPr>
    </w:p>
    <w:p w:rsidR="007445D0" w:rsidRDefault="00BA1546" w:rsidP="0069687C">
      <w:pPr>
        <w:jc w:val="both"/>
        <w:rPr>
          <w:color w:val="auto"/>
        </w:rPr>
      </w:pPr>
      <w:proofErr w:type="gramStart"/>
      <w:r w:rsidRPr="00602100">
        <w:rPr>
          <w:color w:val="auto"/>
          <w:u w:val="single"/>
        </w:rPr>
        <w:t xml:space="preserve">Low Back Pain </w:t>
      </w:r>
      <w:r w:rsidR="0005029E" w:rsidRPr="00602100">
        <w:rPr>
          <w:color w:val="auto"/>
          <w:u w:val="single"/>
        </w:rPr>
        <w:t xml:space="preserve">(lumbar and </w:t>
      </w:r>
      <w:proofErr w:type="spellStart"/>
      <w:r w:rsidR="0005029E" w:rsidRPr="00602100">
        <w:rPr>
          <w:color w:val="auto"/>
          <w:u w:val="single"/>
        </w:rPr>
        <w:t>thoracolumbar</w:t>
      </w:r>
      <w:proofErr w:type="spellEnd"/>
      <w:r w:rsidR="0005029E" w:rsidRPr="00602100">
        <w:rPr>
          <w:color w:val="auto"/>
          <w:u w:val="single"/>
        </w:rPr>
        <w:t xml:space="preserve">) </w:t>
      </w:r>
      <w:r w:rsidR="00AD2379" w:rsidRPr="00602100">
        <w:rPr>
          <w:color w:val="auto"/>
          <w:u w:val="single"/>
        </w:rPr>
        <w:t>Condition</w:t>
      </w:r>
      <w:r w:rsidR="00AD2379" w:rsidRPr="00602100">
        <w:rPr>
          <w:color w:val="auto"/>
        </w:rPr>
        <w:t>.</w:t>
      </w:r>
      <w:proofErr w:type="gramEnd"/>
      <w:r w:rsidR="00AD2379" w:rsidRPr="00602100">
        <w:rPr>
          <w:color w:val="auto"/>
        </w:rPr>
        <w:t xml:space="preserve"> </w:t>
      </w:r>
      <w:r w:rsidR="00385708" w:rsidRPr="00602100">
        <w:rPr>
          <w:color w:val="auto"/>
        </w:rPr>
        <w:t xml:space="preserve"> The</w:t>
      </w:r>
      <w:r w:rsidR="00385708" w:rsidRPr="0087514D">
        <w:rPr>
          <w:color w:val="auto"/>
        </w:rPr>
        <w:t xml:space="preserve"> narrative summary (NARSUM) notes </w:t>
      </w:r>
      <w:r w:rsidR="0087514D">
        <w:rPr>
          <w:color w:val="auto"/>
        </w:rPr>
        <w:t xml:space="preserve">the back injury as summarized above and included treatment with electrical nerve stimulation and narcotic pain medication.  </w:t>
      </w:r>
      <w:proofErr w:type="gramStart"/>
      <w:r w:rsidR="0087514D">
        <w:rPr>
          <w:color w:val="auto"/>
        </w:rPr>
        <w:t xml:space="preserve">Imaging documented </w:t>
      </w:r>
      <w:r w:rsidR="0087514D" w:rsidRPr="00C419CA">
        <w:rPr>
          <w:color w:val="auto"/>
        </w:rPr>
        <w:t xml:space="preserve">degenerative disc and facet (joint) disease with small disk protrusions in the thoracic and lumbar spine </w:t>
      </w:r>
      <w:r w:rsidR="001E5292" w:rsidRPr="00C419CA">
        <w:rPr>
          <w:color w:val="auto"/>
        </w:rPr>
        <w:t>(T2-3 &amp;</w:t>
      </w:r>
      <w:r w:rsidR="0087514D" w:rsidRPr="00C419CA">
        <w:rPr>
          <w:color w:val="auto"/>
        </w:rPr>
        <w:t xml:space="preserve"> T5-6</w:t>
      </w:r>
      <w:r w:rsidR="001E5292" w:rsidRPr="00C419CA">
        <w:rPr>
          <w:color w:val="auto"/>
        </w:rPr>
        <w:t xml:space="preserve"> </w:t>
      </w:r>
      <w:r w:rsidR="0087514D" w:rsidRPr="00C419CA">
        <w:rPr>
          <w:color w:val="auto"/>
        </w:rPr>
        <w:t xml:space="preserve">that indented the </w:t>
      </w:r>
      <w:proofErr w:type="spellStart"/>
      <w:r w:rsidR="0087514D" w:rsidRPr="00C419CA">
        <w:rPr>
          <w:color w:val="auto"/>
        </w:rPr>
        <w:t>thecal</w:t>
      </w:r>
      <w:proofErr w:type="spellEnd"/>
      <w:r w:rsidR="0087514D" w:rsidRPr="00C419CA">
        <w:rPr>
          <w:color w:val="auto"/>
        </w:rPr>
        <w:t xml:space="preserve"> sac without contacting the cord</w:t>
      </w:r>
      <w:r w:rsidR="001E5292" w:rsidRPr="00C419CA">
        <w:rPr>
          <w:color w:val="auto"/>
        </w:rPr>
        <w:t>; and L3-4)</w:t>
      </w:r>
      <w:r w:rsidR="0087514D" w:rsidRPr="00C419CA">
        <w:rPr>
          <w:color w:val="auto"/>
        </w:rPr>
        <w:t>.</w:t>
      </w:r>
      <w:proofErr w:type="gramEnd"/>
      <w:r w:rsidR="0087514D" w:rsidRPr="00C419CA">
        <w:rPr>
          <w:color w:val="auto"/>
        </w:rPr>
        <w:t xml:space="preserve">  </w:t>
      </w:r>
      <w:r w:rsidR="001E5292" w:rsidRPr="00C419CA">
        <w:rPr>
          <w:color w:val="auto"/>
        </w:rPr>
        <w:t xml:space="preserve">The CI had reasonably declined surgery.  </w:t>
      </w:r>
    </w:p>
    <w:p w:rsidR="007445D0" w:rsidRDefault="007445D0" w:rsidP="0069687C">
      <w:pPr>
        <w:jc w:val="both"/>
        <w:rPr>
          <w:color w:val="auto"/>
        </w:rPr>
      </w:pPr>
    </w:p>
    <w:p w:rsidR="0069687C" w:rsidRDefault="0069687C" w:rsidP="0069687C">
      <w:pPr>
        <w:jc w:val="both"/>
        <w:rPr>
          <w:color w:val="auto"/>
          <w:szCs w:val="24"/>
        </w:rPr>
      </w:pPr>
      <w:r w:rsidRPr="00C419CA">
        <w:rPr>
          <w:color w:val="auto"/>
          <w:szCs w:val="24"/>
        </w:rPr>
        <w:t xml:space="preserve">There were </w:t>
      </w:r>
      <w:r w:rsidR="00491495" w:rsidRPr="00C419CA">
        <w:rPr>
          <w:color w:val="auto"/>
          <w:szCs w:val="24"/>
        </w:rPr>
        <w:t>3</w:t>
      </w:r>
      <w:r w:rsidR="008013E4">
        <w:rPr>
          <w:color w:val="auto"/>
          <w:szCs w:val="24"/>
        </w:rPr>
        <w:t xml:space="preserve"> goniometric range-of-</w:t>
      </w:r>
      <w:r w:rsidRPr="00C419CA">
        <w:rPr>
          <w:color w:val="auto"/>
          <w:szCs w:val="24"/>
        </w:rPr>
        <w:t>motion (ROM) eva</w:t>
      </w:r>
      <w:r w:rsidRPr="00F64312">
        <w:rPr>
          <w:color w:val="auto"/>
          <w:szCs w:val="24"/>
        </w:rPr>
        <w:t>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602100" w:rsidRDefault="00602100">
      <w:pPr>
        <w:spacing w:line="240" w:lineRule="auto"/>
        <w:jc w:val="left"/>
        <w:rPr>
          <w:color w:val="auto"/>
          <w:szCs w:val="24"/>
        </w:rPr>
      </w:pPr>
      <w:r>
        <w:rPr>
          <w:color w:val="auto"/>
          <w:szCs w:val="24"/>
        </w:rPr>
        <w:br w:type="page"/>
      </w:r>
    </w:p>
    <w:p w:rsidR="00E146AB" w:rsidRDefault="00E146AB" w:rsidP="0069687C">
      <w:pPr>
        <w:jc w:val="both"/>
        <w:rPr>
          <w:color w:val="auto"/>
          <w:szCs w:val="24"/>
        </w:rPr>
      </w:pPr>
    </w:p>
    <w:tbl>
      <w:tblPr>
        <w:tblW w:w="8590" w:type="dxa"/>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108"/>
        <w:gridCol w:w="2251"/>
        <w:gridCol w:w="2251"/>
      </w:tblGrid>
      <w:tr w:rsidR="00F37B76" w:rsidRPr="00C419CA" w:rsidTr="00F37B76">
        <w:trPr>
          <w:jc w:val="center"/>
        </w:trPr>
        <w:tc>
          <w:tcPr>
            <w:tcW w:w="19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37B76" w:rsidRPr="00C419CA" w:rsidRDefault="00F37B76" w:rsidP="00491495">
            <w:pPr>
              <w:pStyle w:val="ListParagraph"/>
              <w:spacing w:after="0" w:line="200" w:lineRule="exact"/>
              <w:ind w:left="0"/>
              <w:rPr>
                <w:rFonts w:asciiTheme="majorHAnsi" w:eastAsia="Calibri" w:hAnsiTheme="majorHAnsi" w:cstheme="majorHAnsi"/>
                <w:b/>
                <w:sz w:val="20"/>
                <w:szCs w:val="18"/>
              </w:rPr>
            </w:pPr>
            <w:proofErr w:type="spellStart"/>
            <w:r w:rsidRPr="00C419CA">
              <w:rPr>
                <w:rFonts w:asciiTheme="majorHAnsi" w:eastAsia="Calibri" w:hAnsiTheme="majorHAnsi" w:cstheme="majorHAnsi"/>
                <w:sz w:val="20"/>
                <w:szCs w:val="18"/>
              </w:rPr>
              <w:t>Thoracolumbar</w:t>
            </w:r>
            <w:proofErr w:type="spellEnd"/>
            <w:r w:rsidRPr="00C419CA">
              <w:rPr>
                <w:rFonts w:asciiTheme="majorHAnsi" w:eastAsia="Calibri" w:hAnsiTheme="majorHAnsi" w:cstheme="majorHAnsi"/>
                <w:sz w:val="20"/>
                <w:szCs w:val="18"/>
              </w:rPr>
              <w:t xml:space="preserve"> ROM</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37B76" w:rsidRPr="00C419CA" w:rsidRDefault="00F37B76" w:rsidP="00C419CA">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MEB ~5 Mo. Pre-Sep</w:t>
            </w:r>
          </w:p>
        </w:tc>
        <w:tc>
          <w:tcPr>
            <w:tcW w:w="22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F37B76" w:rsidRPr="00C419CA" w:rsidRDefault="00F37B76" w:rsidP="00C419CA">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PT ~3 Mo. Pre-Sep</w:t>
            </w:r>
          </w:p>
        </w:tc>
        <w:tc>
          <w:tcPr>
            <w:tcW w:w="225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37B76" w:rsidRPr="00C419CA" w:rsidRDefault="00F37B76" w:rsidP="00C419CA">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VA</w:t>
            </w:r>
            <w:r w:rsidRPr="00C419CA">
              <w:rPr>
                <w:rFonts w:asciiTheme="majorHAnsi" w:eastAsiaTheme="minorHAnsi" w:hAnsiTheme="majorHAnsi" w:cstheme="majorHAnsi"/>
                <w:color w:val="auto"/>
                <w:sz w:val="20"/>
                <w:szCs w:val="18"/>
              </w:rPr>
              <w:t xml:space="preserve"> C&amp;P </w:t>
            </w:r>
            <w:r w:rsidRPr="00C419CA">
              <w:rPr>
                <w:rFonts w:asciiTheme="majorHAnsi" w:eastAsia="Calibri" w:hAnsiTheme="majorHAnsi" w:cstheme="majorHAnsi"/>
                <w:color w:val="auto"/>
                <w:sz w:val="20"/>
                <w:szCs w:val="18"/>
              </w:rPr>
              <w:t>~1 Mo. Post-Sep</w:t>
            </w:r>
          </w:p>
        </w:tc>
      </w:tr>
      <w:tr w:rsidR="00F37B76" w:rsidRPr="00C419CA" w:rsidTr="00F37B76">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F37B76" w:rsidRPr="00C419CA" w:rsidRDefault="00F37B76" w:rsidP="00491495">
            <w:pPr>
              <w:pStyle w:val="ListParagraph"/>
              <w:spacing w:after="0" w:line="200" w:lineRule="exact"/>
              <w:ind w:left="0"/>
              <w:rPr>
                <w:rFonts w:asciiTheme="majorHAnsi" w:eastAsia="Calibri" w:hAnsiTheme="majorHAnsi" w:cstheme="majorHAnsi"/>
                <w:sz w:val="20"/>
                <w:szCs w:val="18"/>
              </w:rPr>
            </w:pPr>
            <w:r w:rsidRPr="00C419CA">
              <w:rPr>
                <w:rFonts w:asciiTheme="majorHAnsi" w:hAnsiTheme="majorHAnsi" w:cstheme="majorHAnsi"/>
                <w:sz w:val="20"/>
                <w:szCs w:val="18"/>
              </w:rPr>
              <w:t>Flexion (90⁰ Normal)</w:t>
            </w:r>
          </w:p>
        </w:tc>
        <w:tc>
          <w:tcPr>
            <w:tcW w:w="2108"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55,50,50⁰</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BD372A">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90⁰</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90⁰</w:t>
            </w:r>
          </w:p>
        </w:tc>
      </w:tr>
      <w:tr w:rsidR="00F37B76" w:rsidRPr="00C419CA" w:rsidTr="00F37B76">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F37B76" w:rsidRPr="00C419CA" w:rsidRDefault="00F37B76" w:rsidP="00491495">
            <w:pPr>
              <w:pStyle w:val="ListParagraph"/>
              <w:spacing w:after="0" w:line="200" w:lineRule="exact"/>
              <w:ind w:left="0"/>
              <w:rPr>
                <w:rFonts w:asciiTheme="majorHAnsi" w:eastAsia="Calibri" w:hAnsiTheme="majorHAnsi" w:cstheme="majorHAnsi"/>
                <w:sz w:val="20"/>
                <w:szCs w:val="18"/>
              </w:rPr>
            </w:pPr>
            <w:r w:rsidRPr="00C419CA">
              <w:rPr>
                <w:rFonts w:asciiTheme="majorHAnsi" w:eastAsia="Calibri" w:hAnsiTheme="majorHAnsi" w:cstheme="majorHAnsi"/>
                <w:sz w:val="20"/>
                <w:szCs w:val="18"/>
              </w:rPr>
              <w:t>Ext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25,25,25⁰</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BD372A">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Full</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30⁰</w:t>
            </w:r>
          </w:p>
        </w:tc>
      </w:tr>
      <w:tr w:rsidR="00F37B76" w:rsidRPr="00C419CA" w:rsidTr="00F37B76">
        <w:trPr>
          <w:trHeight w:val="188"/>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F37B76" w:rsidRPr="00C419CA" w:rsidRDefault="00F37B76" w:rsidP="00491495">
            <w:pPr>
              <w:pStyle w:val="ListParagraph"/>
              <w:spacing w:after="0" w:line="200" w:lineRule="exact"/>
              <w:ind w:left="0"/>
              <w:rPr>
                <w:rFonts w:asciiTheme="majorHAnsi" w:eastAsia="Calibri" w:hAnsiTheme="majorHAnsi" w:cstheme="majorHAnsi"/>
                <w:sz w:val="20"/>
                <w:szCs w:val="18"/>
              </w:rPr>
            </w:pPr>
            <w:r w:rsidRPr="00C419CA">
              <w:rPr>
                <w:rFonts w:asciiTheme="majorHAnsi" w:eastAsia="Calibri" w:hAnsiTheme="majorHAnsi" w:cstheme="majorHAnsi"/>
                <w:sz w:val="20"/>
                <w:szCs w:val="18"/>
              </w:rPr>
              <w:t>R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18,20,20⁰</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BD372A">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Full</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30⁰</w:t>
            </w:r>
          </w:p>
        </w:tc>
      </w:tr>
      <w:tr w:rsidR="00F37B76" w:rsidRPr="00C419CA" w:rsidTr="00F37B76">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F37B76" w:rsidRPr="00C419CA" w:rsidRDefault="00F37B76" w:rsidP="00491495">
            <w:pPr>
              <w:pStyle w:val="ListParagraph"/>
              <w:spacing w:after="0" w:line="200" w:lineRule="exact"/>
              <w:ind w:left="0"/>
              <w:rPr>
                <w:rFonts w:asciiTheme="majorHAnsi" w:eastAsia="Calibri" w:hAnsiTheme="majorHAnsi" w:cstheme="majorHAnsi"/>
                <w:sz w:val="20"/>
                <w:szCs w:val="18"/>
              </w:rPr>
            </w:pPr>
            <w:r w:rsidRPr="00C419CA">
              <w:rPr>
                <w:rFonts w:asciiTheme="majorHAnsi" w:eastAsia="Calibri" w:hAnsiTheme="majorHAnsi" w:cstheme="majorHAnsi"/>
                <w:sz w:val="20"/>
                <w:szCs w:val="18"/>
              </w:rPr>
              <w:t>L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20,22,22⁰</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BD372A">
            <w:pPr>
              <w:spacing w:line="200" w:lineRule="exact"/>
              <w:contextualSpacing/>
              <w:rPr>
                <w:rFonts w:asciiTheme="majorHAnsi" w:eastAsia="Calibri" w:hAnsiTheme="majorHAnsi" w:cstheme="majorHAnsi"/>
                <w:color w:val="auto"/>
                <w:sz w:val="20"/>
                <w:szCs w:val="18"/>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30⁰</w:t>
            </w:r>
          </w:p>
        </w:tc>
      </w:tr>
      <w:tr w:rsidR="00F37B76" w:rsidRPr="00C419CA" w:rsidTr="00F37B76">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F37B76" w:rsidRPr="00C419CA" w:rsidRDefault="00F37B76" w:rsidP="00491495">
            <w:pPr>
              <w:pStyle w:val="ListParagraph"/>
              <w:spacing w:after="0" w:line="200" w:lineRule="exact"/>
              <w:ind w:left="0"/>
              <w:rPr>
                <w:rFonts w:asciiTheme="majorHAnsi" w:eastAsia="Calibri" w:hAnsiTheme="majorHAnsi" w:cstheme="majorHAnsi"/>
                <w:sz w:val="20"/>
                <w:szCs w:val="18"/>
              </w:rPr>
            </w:pPr>
            <w:r w:rsidRPr="00C419CA">
              <w:rPr>
                <w:rFonts w:asciiTheme="majorHAnsi" w:eastAsia="Calibri" w:hAnsiTheme="majorHAnsi" w:cstheme="majorHAnsi"/>
                <w:sz w:val="20"/>
                <w:szCs w:val="18"/>
              </w:rPr>
              <w:t>R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30,30,30⁰</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BD372A">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Full</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30⁰</w:t>
            </w:r>
          </w:p>
        </w:tc>
      </w:tr>
      <w:tr w:rsidR="00F37B76" w:rsidRPr="00C419CA" w:rsidTr="00F37B76">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F37B76" w:rsidRPr="00C419CA" w:rsidRDefault="00F37B76" w:rsidP="00491495">
            <w:pPr>
              <w:pStyle w:val="ListParagraph"/>
              <w:spacing w:after="0" w:line="200" w:lineRule="exact"/>
              <w:ind w:left="0"/>
              <w:rPr>
                <w:rFonts w:asciiTheme="majorHAnsi" w:eastAsia="Calibri" w:hAnsiTheme="majorHAnsi" w:cstheme="majorHAnsi"/>
                <w:sz w:val="20"/>
                <w:szCs w:val="18"/>
              </w:rPr>
            </w:pPr>
            <w:r w:rsidRPr="00C419CA">
              <w:rPr>
                <w:rFonts w:asciiTheme="majorHAnsi" w:eastAsia="Calibri" w:hAnsiTheme="majorHAnsi" w:cstheme="majorHAnsi"/>
                <w:sz w:val="20"/>
                <w:szCs w:val="18"/>
              </w:rPr>
              <w:t>L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30,30,30⁰</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BD372A">
            <w:pPr>
              <w:spacing w:line="200" w:lineRule="exact"/>
              <w:contextualSpacing/>
              <w:rPr>
                <w:rFonts w:asciiTheme="majorHAnsi" w:eastAsia="Calibri" w:hAnsiTheme="majorHAnsi" w:cstheme="majorHAnsi"/>
                <w:color w:val="auto"/>
                <w:sz w:val="20"/>
                <w:szCs w:val="18"/>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contextualSpacing/>
              <w:rPr>
                <w:rFonts w:asciiTheme="majorHAnsi" w:eastAsia="Calibri" w:hAnsiTheme="majorHAnsi" w:cstheme="majorHAnsi"/>
                <w:color w:val="auto"/>
                <w:sz w:val="20"/>
                <w:szCs w:val="18"/>
              </w:rPr>
            </w:pPr>
            <w:r w:rsidRPr="00C419CA">
              <w:rPr>
                <w:rFonts w:asciiTheme="majorHAnsi" w:eastAsia="Calibri" w:hAnsiTheme="majorHAnsi" w:cstheme="majorHAnsi"/>
                <w:color w:val="auto"/>
                <w:sz w:val="20"/>
                <w:szCs w:val="18"/>
              </w:rPr>
              <w:t>30⁰</w:t>
            </w:r>
          </w:p>
        </w:tc>
      </w:tr>
      <w:tr w:rsidR="00F37B76" w:rsidRPr="00C419CA" w:rsidTr="00F37B76">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F37B76" w:rsidRPr="00C419CA" w:rsidRDefault="00F37B76" w:rsidP="00491495">
            <w:pPr>
              <w:pStyle w:val="ListParagraph"/>
              <w:spacing w:after="0" w:line="200" w:lineRule="exact"/>
              <w:ind w:left="0"/>
              <w:rPr>
                <w:rFonts w:asciiTheme="majorHAnsi" w:eastAsia="Calibri" w:hAnsiTheme="majorHAnsi" w:cstheme="majorHAnsi"/>
                <w:sz w:val="20"/>
                <w:szCs w:val="18"/>
              </w:rPr>
            </w:pPr>
            <w:r w:rsidRPr="00C419CA">
              <w:rPr>
                <w:rFonts w:asciiTheme="majorHAnsi" w:eastAsia="Calibri" w:hAnsiTheme="majorHAnsi" w:cstheme="majorHAnsi"/>
                <w:sz w:val="20"/>
                <w:szCs w:val="18"/>
              </w:rPr>
              <w:t>Combined (240⁰)</w:t>
            </w:r>
          </w:p>
        </w:tc>
        <w:tc>
          <w:tcPr>
            <w:tcW w:w="2108"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rPr>
                <w:rFonts w:asciiTheme="majorHAnsi" w:hAnsiTheme="majorHAnsi" w:cstheme="majorHAnsi"/>
                <w:color w:val="auto"/>
                <w:sz w:val="20"/>
                <w:szCs w:val="18"/>
              </w:rPr>
            </w:pPr>
            <w:r w:rsidRPr="00C419CA">
              <w:rPr>
                <w:rFonts w:asciiTheme="majorHAnsi" w:eastAsia="Calibri" w:hAnsiTheme="majorHAnsi" w:cstheme="majorHAnsi"/>
                <w:color w:val="auto"/>
                <w:sz w:val="20"/>
                <w:szCs w:val="18"/>
              </w:rPr>
              <w:t>175⁰</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BD372A">
            <w:pPr>
              <w:pStyle w:val="ListParagraph"/>
              <w:spacing w:after="0" w:line="200" w:lineRule="exact"/>
              <w:ind w:left="0"/>
              <w:rPr>
                <w:rFonts w:asciiTheme="majorHAnsi" w:eastAsia="Calibri" w:hAnsiTheme="majorHAnsi" w:cstheme="majorHAnsi"/>
                <w:sz w:val="20"/>
                <w:szCs w:val="18"/>
              </w:rPr>
            </w:pPr>
            <w:r w:rsidRPr="00C419CA">
              <w:rPr>
                <w:rFonts w:asciiTheme="majorHAnsi" w:eastAsia="Calibri" w:hAnsiTheme="majorHAnsi" w:cstheme="majorHAnsi"/>
                <w:sz w:val="20"/>
                <w:szCs w:val="18"/>
              </w:rPr>
              <w:t>~240⁰</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spacing w:line="200" w:lineRule="exact"/>
              <w:rPr>
                <w:rFonts w:asciiTheme="majorHAnsi" w:hAnsiTheme="majorHAnsi" w:cstheme="majorHAnsi"/>
                <w:color w:val="auto"/>
                <w:sz w:val="20"/>
                <w:szCs w:val="18"/>
              </w:rPr>
            </w:pPr>
            <w:r w:rsidRPr="00C419CA">
              <w:rPr>
                <w:rFonts w:asciiTheme="majorHAnsi" w:eastAsia="Calibri" w:hAnsiTheme="majorHAnsi" w:cstheme="majorHAnsi"/>
                <w:color w:val="auto"/>
                <w:sz w:val="20"/>
                <w:szCs w:val="18"/>
              </w:rPr>
              <w:t>240⁰</w:t>
            </w:r>
          </w:p>
        </w:tc>
      </w:tr>
      <w:tr w:rsidR="00F37B76" w:rsidRPr="00C419CA" w:rsidTr="00F37B76">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F37B76" w:rsidRPr="00C419CA" w:rsidRDefault="00F37B76" w:rsidP="00491495">
            <w:pPr>
              <w:pStyle w:val="ListParagraph"/>
              <w:spacing w:after="0" w:line="200" w:lineRule="exact"/>
              <w:ind w:left="0"/>
              <w:rPr>
                <w:rFonts w:asciiTheme="majorHAnsi" w:eastAsia="Calibri" w:hAnsiTheme="majorHAnsi" w:cstheme="majorHAnsi"/>
                <w:sz w:val="20"/>
                <w:szCs w:val="18"/>
              </w:rPr>
            </w:pPr>
            <w:r w:rsidRPr="00C419CA">
              <w:rPr>
                <w:rFonts w:asciiTheme="majorHAnsi" w:eastAsia="Calibri" w:hAnsiTheme="majorHAnsi" w:cstheme="majorHAnsi"/>
                <w:sz w:val="20"/>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pStyle w:val="ListParagraph"/>
              <w:spacing w:after="0" w:line="200" w:lineRule="exact"/>
              <w:ind w:left="0"/>
              <w:jc w:val="left"/>
              <w:rPr>
                <w:rFonts w:asciiTheme="majorHAnsi" w:eastAsia="Calibri" w:hAnsiTheme="majorHAnsi" w:cstheme="majorHAnsi"/>
                <w:sz w:val="20"/>
                <w:szCs w:val="18"/>
              </w:rPr>
            </w:pPr>
            <w:r w:rsidRPr="00C419CA">
              <w:rPr>
                <w:rFonts w:asciiTheme="majorHAnsi" w:eastAsia="Calibri" w:hAnsiTheme="majorHAnsi" w:cstheme="majorHAnsi"/>
                <w:sz w:val="20"/>
                <w:szCs w:val="18"/>
              </w:rPr>
              <w:t>Painful motion; + tenderness; normal gait</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BD372A">
            <w:pPr>
              <w:pStyle w:val="ListParagraph"/>
              <w:spacing w:after="0" w:line="200" w:lineRule="exact"/>
              <w:ind w:left="0"/>
              <w:jc w:val="left"/>
              <w:rPr>
                <w:rFonts w:asciiTheme="majorHAnsi" w:eastAsia="Calibri" w:hAnsiTheme="majorHAnsi" w:cstheme="majorHAnsi"/>
                <w:sz w:val="20"/>
                <w:szCs w:val="18"/>
              </w:rPr>
            </w:pPr>
            <w:r w:rsidRPr="00C419CA">
              <w:rPr>
                <w:rFonts w:asciiTheme="majorHAnsi" w:eastAsia="Calibri" w:hAnsiTheme="majorHAnsi" w:cstheme="majorHAnsi"/>
                <w:sz w:val="20"/>
                <w:szCs w:val="18"/>
              </w:rPr>
              <w:t xml:space="preserve">Tender R&amp;L SI joint; gait normal; “reflexes 0/4 plus, equal” (unclear if </w:t>
            </w:r>
            <w:proofErr w:type="spellStart"/>
            <w:r w:rsidRPr="00C419CA">
              <w:rPr>
                <w:rFonts w:asciiTheme="majorHAnsi" w:eastAsia="Calibri" w:hAnsiTheme="majorHAnsi" w:cstheme="majorHAnsi"/>
                <w:sz w:val="20"/>
                <w:szCs w:val="18"/>
              </w:rPr>
              <w:t>goniometer</w:t>
            </w:r>
            <w:proofErr w:type="spellEnd"/>
            <w:r w:rsidRPr="00C419CA">
              <w:rPr>
                <w:rFonts w:asciiTheme="majorHAnsi" w:eastAsia="Calibri" w:hAnsiTheme="majorHAnsi" w:cstheme="majorHAnsi"/>
                <w:sz w:val="20"/>
                <w:szCs w:val="18"/>
              </w:rPr>
              <w:t xml:space="preserve"> was used)</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pStyle w:val="ListParagraph"/>
              <w:spacing w:after="0" w:line="200" w:lineRule="exact"/>
              <w:ind w:left="0"/>
              <w:jc w:val="left"/>
              <w:rPr>
                <w:rFonts w:asciiTheme="majorHAnsi" w:eastAsia="Calibri" w:hAnsiTheme="majorHAnsi" w:cstheme="majorHAnsi"/>
                <w:sz w:val="20"/>
                <w:szCs w:val="18"/>
              </w:rPr>
            </w:pPr>
            <w:r w:rsidRPr="00C419CA">
              <w:rPr>
                <w:rFonts w:asciiTheme="majorHAnsi" w:eastAsia="Calibri" w:hAnsiTheme="majorHAnsi" w:cstheme="majorHAnsi"/>
                <w:sz w:val="20"/>
                <w:szCs w:val="18"/>
              </w:rPr>
              <w:t>no tenderness; full and painless motion; normal gait</w:t>
            </w:r>
          </w:p>
        </w:tc>
      </w:tr>
      <w:tr w:rsidR="00F37B76" w:rsidRPr="00C419CA" w:rsidTr="00F37B76">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F37B76" w:rsidRPr="00C419CA" w:rsidRDefault="00F37B76" w:rsidP="00491495">
            <w:pPr>
              <w:pStyle w:val="ListParagraph"/>
              <w:spacing w:after="0" w:line="200" w:lineRule="exact"/>
              <w:ind w:left="0"/>
              <w:rPr>
                <w:rFonts w:asciiTheme="majorHAnsi" w:eastAsia="Calibri" w:hAnsiTheme="majorHAnsi" w:cstheme="majorHAnsi"/>
                <w:sz w:val="20"/>
                <w:szCs w:val="18"/>
              </w:rPr>
            </w:pPr>
            <w:r w:rsidRPr="00C419CA">
              <w:rPr>
                <w:rFonts w:asciiTheme="majorHAnsi" w:eastAsia="Calibri" w:hAnsiTheme="majorHAnsi" w:cstheme="majorHAnsi"/>
                <w:sz w:val="20"/>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pStyle w:val="ListParagraph"/>
              <w:spacing w:after="0" w:line="200" w:lineRule="exact"/>
              <w:ind w:left="0"/>
              <w:rPr>
                <w:rFonts w:asciiTheme="majorHAnsi" w:eastAsia="Calibri" w:hAnsiTheme="majorHAnsi" w:cstheme="majorHAnsi"/>
                <w:sz w:val="20"/>
                <w:szCs w:val="18"/>
              </w:rPr>
            </w:pPr>
            <w:r w:rsidRPr="00C419CA">
              <w:rPr>
                <w:rFonts w:asciiTheme="majorHAnsi" w:eastAsia="Calibri" w:hAnsiTheme="majorHAnsi" w:cstheme="majorHAnsi"/>
                <w:sz w:val="20"/>
                <w:szCs w:val="18"/>
              </w:rPr>
              <w:t>20% (PEB 10%)</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BD372A">
            <w:pPr>
              <w:pStyle w:val="ListParagraph"/>
              <w:spacing w:after="0" w:line="200" w:lineRule="exact"/>
              <w:ind w:left="0"/>
              <w:rPr>
                <w:rFonts w:asciiTheme="majorHAnsi" w:eastAsia="Calibri" w:hAnsiTheme="majorHAnsi" w:cstheme="majorHAnsi"/>
                <w:sz w:val="20"/>
                <w:szCs w:val="18"/>
              </w:rPr>
            </w:pPr>
            <w:r w:rsidRPr="00C419CA">
              <w:rPr>
                <w:rFonts w:asciiTheme="majorHAnsi" w:eastAsia="Calibri" w:hAnsiTheme="majorHAnsi" w:cstheme="majorHAnsi"/>
                <w:sz w:val="20"/>
                <w:szCs w:val="18"/>
              </w:rPr>
              <w:t>10% (PEB 10%)</w:t>
            </w:r>
          </w:p>
        </w:tc>
        <w:tc>
          <w:tcPr>
            <w:tcW w:w="2251" w:type="dxa"/>
            <w:tcBorders>
              <w:top w:val="single" w:sz="4" w:space="0" w:color="000000"/>
              <w:left w:val="single" w:sz="4" w:space="0" w:color="000000"/>
              <w:bottom w:val="single" w:sz="4" w:space="0" w:color="000000"/>
              <w:right w:val="single" w:sz="4" w:space="0" w:color="000000"/>
            </w:tcBorders>
            <w:vAlign w:val="center"/>
          </w:tcPr>
          <w:p w:rsidR="00F37B76" w:rsidRPr="00C419CA" w:rsidRDefault="00F37B76" w:rsidP="00491495">
            <w:pPr>
              <w:pStyle w:val="ListParagraph"/>
              <w:spacing w:after="0" w:line="200" w:lineRule="exact"/>
              <w:ind w:left="0"/>
              <w:rPr>
                <w:rFonts w:asciiTheme="majorHAnsi" w:eastAsia="Calibri" w:hAnsiTheme="majorHAnsi" w:cstheme="majorHAnsi"/>
                <w:sz w:val="20"/>
                <w:szCs w:val="18"/>
              </w:rPr>
            </w:pPr>
            <w:r w:rsidRPr="00C419CA">
              <w:rPr>
                <w:rFonts w:asciiTheme="majorHAnsi" w:eastAsia="Calibri" w:hAnsiTheme="majorHAnsi" w:cstheme="majorHAnsi"/>
                <w:sz w:val="20"/>
                <w:szCs w:val="18"/>
              </w:rPr>
              <w:t>0%</w:t>
            </w:r>
          </w:p>
        </w:tc>
      </w:tr>
    </w:tbl>
    <w:p w:rsidR="008C12EC" w:rsidRPr="00C419CA" w:rsidRDefault="008C12EC" w:rsidP="0069687C">
      <w:pPr>
        <w:jc w:val="both"/>
        <w:rPr>
          <w:color w:val="auto"/>
          <w:szCs w:val="24"/>
        </w:rPr>
      </w:pPr>
    </w:p>
    <w:p w:rsidR="00CF0280" w:rsidRPr="00F64312" w:rsidRDefault="00CF0280" w:rsidP="00CF0280">
      <w:pPr>
        <w:jc w:val="both"/>
        <w:rPr>
          <w:color w:val="auto"/>
          <w:szCs w:val="24"/>
        </w:rPr>
      </w:pPr>
      <w:r w:rsidRPr="00C419CA">
        <w:rPr>
          <w:color w:val="auto"/>
          <w:szCs w:val="24"/>
        </w:rPr>
        <w:t xml:space="preserve">At the MEB exam, </w:t>
      </w:r>
      <w:r w:rsidR="00C419CA">
        <w:rPr>
          <w:color w:val="auto"/>
          <w:szCs w:val="24"/>
        </w:rPr>
        <w:t>5 months pr</w:t>
      </w:r>
      <w:r w:rsidR="008013E4">
        <w:rPr>
          <w:color w:val="auto"/>
          <w:szCs w:val="24"/>
        </w:rPr>
        <w:t xml:space="preserve">ior to </w:t>
      </w:r>
      <w:r w:rsidR="00C419CA">
        <w:rPr>
          <w:color w:val="auto"/>
          <w:szCs w:val="24"/>
        </w:rPr>
        <w:t xml:space="preserve">separation, </w:t>
      </w:r>
      <w:r w:rsidRPr="00C419CA">
        <w:rPr>
          <w:color w:val="auto"/>
          <w:szCs w:val="24"/>
        </w:rPr>
        <w:t>the CI reported</w:t>
      </w:r>
      <w:r w:rsidR="00491495" w:rsidRPr="00C419CA">
        <w:rPr>
          <w:color w:val="auto"/>
          <w:szCs w:val="24"/>
        </w:rPr>
        <w:t xml:space="preserve"> persistent back pain worsened with activities.</w:t>
      </w:r>
      <w:r w:rsidRPr="00C419CA">
        <w:rPr>
          <w:color w:val="auto"/>
          <w:szCs w:val="24"/>
        </w:rPr>
        <w:t xml:space="preserve">  The MEB physical exam noted</w:t>
      </w:r>
      <w:r w:rsidR="00491495" w:rsidRPr="00C419CA">
        <w:rPr>
          <w:color w:val="auto"/>
          <w:szCs w:val="24"/>
        </w:rPr>
        <w:t xml:space="preserve"> tenderness and pain-limited ROMs as charted above.  </w:t>
      </w:r>
      <w:r w:rsidR="005F4A8F" w:rsidRPr="00C419CA">
        <w:rPr>
          <w:color w:val="auto"/>
          <w:szCs w:val="24"/>
        </w:rPr>
        <w:t>There was no spasm and gait and spine</w:t>
      </w:r>
      <w:r w:rsidR="005F4A8F">
        <w:rPr>
          <w:color w:val="auto"/>
          <w:szCs w:val="24"/>
        </w:rPr>
        <w:t xml:space="preserve"> contour were normal.  </w:t>
      </w:r>
      <w:r w:rsidR="00491495">
        <w:rPr>
          <w:color w:val="auto"/>
          <w:szCs w:val="24"/>
        </w:rPr>
        <w:t>Motor</w:t>
      </w:r>
      <w:r w:rsidR="005F4A8F">
        <w:rPr>
          <w:color w:val="auto"/>
          <w:szCs w:val="24"/>
        </w:rPr>
        <w:t>,</w:t>
      </w:r>
      <w:r w:rsidR="00491495">
        <w:rPr>
          <w:color w:val="auto"/>
          <w:szCs w:val="24"/>
        </w:rPr>
        <w:t xml:space="preserve"> </w:t>
      </w:r>
      <w:r w:rsidR="005F4A8F">
        <w:rPr>
          <w:color w:val="auto"/>
          <w:szCs w:val="24"/>
        </w:rPr>
        <w:t>s</w:t>
      </w:r>
      <w:r w:rsidR="00491495">
        <w:rPr>
          <w:color w:val="auto"/>
          <w:szCs w:val="24"/>
        </w:rPr>
        <w:t xml:space="preserve">ensory and reflex exams were normal.  </w:t>
      </w:r>
      <w:r w:rsidR="00602100">
        <w:rPr>
          <w:color w:val="auto"/>
          <w:szCs w:val="24"/>
        </w:rPr>
        <w:t>Specialty c</w:t>
      </w:r>
      <w:r w:rsidR="005F4A8F">
        <w:rPr>
          <w:color w:val="auto"/>
          <w:szCs w:val="24"/>
        </w:rPr>
        <w:t>onsultant exam indicated some radiating pain.  There was no evidence of incapacitating episodes (</w:t>
      </w:r>
      <w:r w:rsidR="005F4A8F" w:rsidRPr="005F4A8F">
        <w:rPr>
          <w:color w:val="auto"/>
          <w:szCs w:val="24"/>
        </w:rPr>
        <w:t>an incapacitating episode is a period of acute signs and symptoms due to intervertebral disc syndrome that requires bed rest prescribed by a physician and treatment by a physician</w:t>
      </w:r>
      <w:r w:rsidR="005F4A8F">
        <w:rPr>
          <w:color w:val="auto"/>
          <w:szCs w:val="24"/>
        </w:rPr>
        <w:t xml:space="preserve">).  </w:t>
      </w:r>
      <w:r w:rsidR="00C419CA">
        <w:rPr>
          <w:color w:val="auto"/>
          <w:szCs w:val="24"/>
        </w:rPr>
        <w:t>A physical therapy exam 3 months pr</w:t>
      </w:r>
      <w:r w:rsidR="008013E4">
        <w:rPr>
          <w:color w:val="auto"/>
          <w:szCs w:val="24"/>
        </w:rPr>
        <w:t xml:space="preserve">ior to </w:t>
      </w:r>
      <w:r w:rsidR="00C419CA">
        <w:rPr>
          <w:color w:val="auto"/>
          <w:szCs w:val="24"/>
        </w:rPr>
        <w:t xml:space="preserve">separation indicated 90⁰ of forward flexion and “full” ROM with tenderness.  </w:t>
      </w:r>
      <w:r w:rsidRPr="00F64312">
        <w:rPr>
          <w:color w:val="auto"/>
          <w:szCs w:val="24"/>
        </w:rPr>
        <w:t>At the VA Compensation and Pension (C&amp;P) exam</w:t>
      </w:r>
      <w:r w:rsidR="00ED7820">
        <w:rPr>
          <w:color w:val="auto"/>
          <w:szCs w:val="24"/>
        </w:rPr>
        <w:t xml:space="preserve"> </w:t>
      </w:r>
      <w:r w:rsidR="008013E4">
        <w:rPr>
          <w:color w:val="auto"/>
          <w:szCs w:val="24"/>
        </w:rPr>
        <w:t>a</w:t>
      </w:r>
      <w:r w:rsidR="005F4A8F">
        <w:rPr>
          <w:color w:val="auto"/>
          <w:szCs w:val="24"/>
        </w:rPr>
        <w:t xml:space="preserve"> </w:t>
      </w:r>
      <w:r w:rsidR="005F4A8F" w:rsidRPr="005F4A8F">
        <w:rPr>
          <w:color w:val="auto"/>
          <w:szCs w:val="24"/>
        </w:rPr>
        <w:t xml:space="preserve">month </w:t>
      </w:r>
      <w:r w:rsidR="00ED7820" w:rsidRPr="005F4A8F">
        <w:rPr>
          <w:color w:val="auto"/>
          <w:szCs w:val="24"/>
        </w:rPr>
        <w:t>after separation</w:t>
      </w:r>
      <w:r w:rsidRPr="00F64312">
        <w:rPr>
          <w:color w:val="auto"/>
          <w:szCs w:val="24"/>
        </w:rPr>
        <w:t>, the CI reported</w:t>
      </w:r>
      <w:r w:rsidR="008013E4">
        <w:rPr>
          <w:color w:val="auto"/>
          <w:szCs w:val="24"/>
        </w:rPr>
        <w:t xml:space="preserve"> up to 10/</w:t>
      </w:r>
      <w:r w:rsidR="005F4A8F">
        <w:rPr>
          <w:color w:val="auto"/>
          <w:szCs w:val="24"/>
        </w:rPr>
        <w:t xml:space="preserve">10 </w:t>
      </w:r>
      <w:r w:rsidR="008013E4">
        <w:rPr>
          <w:color w:val="auto"/>
          <w:szCs w:val="24"/>
        </w:rPr>
        <w:t>in LBP</w:t>
      </w:r>
      <w:r w:rsidR="0005029E">
        <w:rPr>
          <w:color w:val="auto"/>
          <w:szCs w:val="24"/>
        </w:rPr>
        <w:t xml:space="preserve"> with radiation of pain</w:t>
      </w:r>
      <w:r w:rsidR="005F4A8F">
        <w:rPr>
          <w:color w:val="auto"/>
          <w:szCs w:val="24"/>
        </w:rPr>
        <w:t>, use of narcotic pain medication</w:t>
      </w:r>
      <w:r w:rsidR="0005029E">
        <w:rPr>
          <w:color w:val="auto"/>
          <w:szCs w:val="24"/>
        </w:rPr>
        <w:t xml:space="preserve"> and </w:t>
      </w:r>
      <w:r w:rsidR="005F4A8F">
        <w:rPr>
          <w:color w:val="auto"/>
          <w:szCs w:val="24"/>
        </w:rPr>
        <w:t xml:space="preserve">no episodes of incapacitation.  Exam indicated normal gait, full and painless ROM without any tenderness, spasm or motor or sensory deficits.  </w:t>
      </w:r>
    </w:p>
    <w:p w:rsidR="00CF0280" w:rsidRPr="00F64312" w:rsidRDefault="00CF0280" w:rsidP="0069687C">
      <w:pPr>
        <w:jc w:val="both"/>
        <w:rPr>
          <w:color w:val="auto"/>
          <w:szCs w:val="24"/>
        </w:rPr>
      </w:pPr>
    </w:p>
    <w:p w:rsidR="009A26BF" w:rsidRPr="00F64312" w:rsidRDefault="00AD2379" w:rsidP="009A26BF">
      <w:pPr>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 xml:space="preserve">based on </w:t>
      </w:r>
      <w:r w:rsidR="00B13A51" w:rsidRPr="004B576E">
        <w:rPr>
          <w:color w:val="auto"/>
          <w:szCs w:val="24"/>
        </w:rPr>
        <w:t>the above evidence</w:t>
      </w:r>
      <w:r w:rsidRPr="004B576E">
        <w:rPr>
          <w:color w:val="auto"/>
          <w:szCs w:val="24"/>
        </w:rPr>
        <w:t>.</w:t>
      </w:r>
      <w:r w:rsidR="00165C7B" w:rsidRPr="004B576E">
        <w:rPr>
          <w:color w:val="auto"/>
          <w:szCs w:val="24"/>
        </w:rPr>
        <w:t xml:space="preserve">  </w:t>
      </w:r>
      <w:r w:rsidR="009A26BF" w:rsidRPr="00C419CA">
        <w:rPr>
          <w:color w:val="auto"/>
          <w:szCs w:val="24"/>
        </w:rPr>
        <w:t>Pain (whether or not it radiates), stiffness, or aching in the area of the spine affected by residuals of injury or disease is considered under the general rating formula for the spine.  There</w:t>
      </w:r>
      <w:r w:rsidR="009A26BF" w:rsidRPr="004B576E">
        <w:rPr>
          <w:color w:val="auto"/>
          <w:szCs w:val="24"/>
        </w:rPr>
        <w:t xml:space="preserve"> was no evidence of an unfitting </w:t>
      </w:r>
      <w:proofErr w:type="spellStart"/>
      <w:r w:rsidR="009A26BF" w:rsidRPr="004B576E">
        <w:rPr>
          <w:color w:val="auto"/>
          <w:szCs w:val="24"/>
        </w:rPr>
        <w:t>radiculopathy</w:t>
      </w:r>
      <w:proofErr w:type="spellEnd"/>
      <w:r w:rsidR="009A26BF" w:rsidRPr="004B576E">
        <w:rPr>
          <w:color w:val="auto"/>
          <w:szCs w:val="24"/>
        </w:rPr>
        <w:t xml:space="preserve"> in this case.  </w:t>
      </w:r>
      <w:r w:rsidR="0005029E">
        <w:rPr>
          <w:rFonts w:cs="Times New Roman"/>
          <w:color w:val="auto"/>
        </w:rPr>
        <w:t xml:space="preserve">At the MEB exam, absent the pain policy, the </w:t>
      </w:r>
      <w:r w:rsidR="0005029E" w:rsidRPr="00C419CA">
        <w:rPr>
          <w:rFonts w:cs="Times New Roman"/>
          <w:color w:val="auto"/>
        </w:rPr>
        <w:t xml:space="preserve">ROMs met the 20% VASRD criteria for forward flexion of the </w:t>
      </w:r>
      <w:proofErr w:type="spellStart"/>
      <w:r w:rsidR="0005029E" w:rsidRPr="00C419CA">
        <w:rPr>
          <w:rFonts w:cs="Times New Roman"/>
          <w:color w:val="auto"/>
        </w:rPr>
        <w:t>thoracolumbar</w:t>
      </w:r>
      <w:proofErr w:type="spellEnd"/>
      <w:r w:rsidR="0005029E" w:rsidRPr="00C419CA">
        <w:rPr>
          <w:rFonts w:cs="Times New Roman"/>
          <w:color w:val="auto"/>
        </w:rPr>
        <w:t xml:space="preserve"> spine greater than 30 degrees but not greater than 60 degrees</w:t>
      </w:r>
      <w:r w:rsidR="009A26BF">
        <w:rPr>
          <w:rFonts w:cs="Times New Roman"/>
          <w:color w:val="auto"/>
        </w:rPr>
        <w:t>;</w:t>
      </w:r>
      <w:r w:rsidR="0005029E" w:rsidRPr="00C419CA">
        <w:rPr>
          <w:rFonts w:cs="Times New Roman"/>
          <w:color w:val="auto"/>
        </w:rPr>
        <w:t xml:space="preserve"> </w:t>
      </w:r>
      <w:r w:rsidR="009A26BF">
        <w:rPr>
          <w:rFonts w:cs="Times New Roman"/>
          <w:color w:val="auto"/>
        </w:rPr>
        <w:t>h</w:t>
      </w:r>
      <w:r w:rsidR="00C419CA" w:rsidRPr="00C419CA">
        <w:rPr>
          <w:rFonts w:cs="Times New Roman"/>
          <w:color w:val="auto"/>
        </w:rPr>
        <w:t xml:space="preserve">owever, the PT exam and VA exam </w:t>
      </w:r>
      <w:r w:rsidR="00C419CA">
        <w:rPr>
          <w:rFonts w:cs="Times New Roman"/>
          <w:color w:val="auto"/>
        </w:rPr>
        <w:t xml:space="preserve">which were both closer to the date of separation indicated improved ROMs and exams that would rate no higher </w:t>
      </w:r>
      <w:r w:rsidR="009A26BF">
        <w:rPr>
          <w:rFonts w:cs="Times New Roman"/>
          <w:color w:val="auto"/>
        </w:rPr>
        <w:t xml:space="preserve">than 10%.  </w:t>
      </w:r>
      <w:r w:rsidR="009A26BF"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w:t>
      </w:r>
      <w:r w:rsidR="009A26BF">
        <w:rPr>
          <w:rFonts w:eastAsia="Calibri" w:cs="Times New Roman"/>
          <w:color w:val="auto"/>
          <w:szCs w:val="24"/>
        </w:rPr>
        <w:t>F</w:t>
      </w:r>
      <w:r w:rsidR="009A26BF" w:rsidRPr="00F64312">
        <w:rPr>
          <w:rFonts w:eastAsia="Calibri" w:cs="Times New Roman"/>
          <w:color w:val="auto"/>
          <w:szCs w:val="24"/>
        </w:rPr>
        <w:t>PEB</w:t>
      </w:r>
      <w:r w:rsidR="009A26BF">
        <w:rPr>
          <w:rFonts w:eastAsia="Calibri" w:cs="Times New Roman"/>
          <w:color w:val="auto"/>
          <w:szCs w:val="24"/>
        </w:rPr>
        <w:t>’s</w:t>
      </w:r>
      <w:r w:rsidR="009A26BF" w:rsidRPr="00F64312">
        <w:rPr>
          <w:rFonts w:eastAsia="Calibri" w:cs="Times New Roman"/>
          <w:color w:val="auto"/>
          <w:szCs w:val="24"/>
        </w:rPr>
        <w:t xml:space="preserve"> </w:t>
      </w:r>
      <w:r w:rsidR="009A26BF">
        <w:rPr>
          <w:rFonts w:eastAsia="Calibri" w:cs="Times New Roman"/>
          <w:color w:val="auto"/>
          <w:szCs w:val="24"/>
        </w:rPr>
        <w:t xml:space="preserve">10% </w:t>
      </w:r>
      <w:r w:rsidR="009A26BF" w:rsidRPr="00F64312">
        <w:rPr>
          <w:rFonts w:eastAsia="Calibri" w:cs="Times New Roman"/>
          <w:color w:val="auto"/>
          <w:szCs w:val="24"/>
        </w:rPr>
        <w:t xml:space="preserve">adjudication for the </w:t>
      </w:r>
      <w:r w:rsidR="008013E4">
        <w:rPr>
          <w:rFonts w:eastAsia="Calibri" w:cs="Times New Roman"/>
          <w:color w:val="auto"/>
          <w:szCs w:val="24"/>
        </w:rPr>
        <w:t>LBP</w:t>
      </w:r>
      <w:r w:rsidR="009A26BF" w:rsidRPr="00F64312">
        <w:rPr>
          <w:rFonts w:eastAsia="Calibri" w:cs="Times New Roman"/>
          <w:color w:val="auto"/>
          <w:szCs w:val="24"/>
        </w:rPr>
        <w:t xml:space="preserve"> condition.  </w:t>
      </w:r>
    </w:p>
    <w:p w:rsidR="009A26BF" w:rsidRDefault="009A26BF" w:rsidP="0005029E">
      <w:pPr>
        <w:tabs>
          <w:tab w:val="left" w:pos="288"/>
          <w:tab w:val="left" w:pos="4752"/>
        </w:tabs>
        <w:jc w:val="both"/>
        <w:rPr>
          <w:rFonts w:cs="Times New Roman"/>
          <w:color w:val="auto"/>
        </w:rPr>
      </w:pPr>
    </w:p>
    <w:p w:rsidR="003863E9" w:rsidRPr="00792790"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 xml:space="preserve">PEB </w:t>
      </w:r>
      <w:r w:rsidR="00AD2379" w:rsidRPr="00C419CA">
        <w:rPr>
          <w:rFonts w:eastAsia="HiddenHorzOCR"/>
          <w:color w:val="auto"/>
          <w:u w:val="single"/>
        </w:rPr>
        <w:t>Conditions</w:t>
      </w:r>
      <w:r w:rsidR="00AD2379" w:rsidRPr="00C419CA">
        <w:rPr>
          <w:rFonts w:eastAsia="HiddenHorzOCR"/>
          <w:color w:val="auto"/>
        </w:rPr>
        <w:t>.</w:t>
      </w:r>
      <w:proofErr w:type="gramEnd"/>
      <w:r w:rsidR="0001281C" w:rsidRPr="00C419CA">
        <w:rPr>
          <w:rFonts w:eastAsia="HiddenHorzOCR"/>
          <w:color w:val="auto"/>
        </w:rPr>
        <w:t xml:space="preserve">  </w:t>
      </w:r>
      <w:r w:rsidR="003863E9" w:rsidRPr="00C419CA">
        <w:rPr>
          <w:rFonts w:eastAsia="Calibri" w:cs="Times New Roman"/>
          <w:color w:val="auto"/>
          <w:szCs w:val="24"/>
        </w:rPr>
        <w:t xml:space="preserve">The contended condition adjudicated as </w:t>
      </w:r>
      <w:r w:rsidR="001C545A" w:rsidRPr="00C419CA">
        <w:rPr>
          <w:rFonts w:eastAsia="Calibri" w:cs="Times New Roman"/>
          <w:color w:val="auto"/>
          <w:szCs w:val="24"/>
        </w:rPr>
        <w:t xml:space="preserve">not </w:t>
      </w:r>
      <w:r w:rsidR="003863E9" w:rsidRPr="00C419CA">
        <w:rPr>
          <w:rFonts w:eastAsia="Calibri" w:cs="Times New Roman"/>
          <w:color w:val="auto"/>
          <w:szCs w:val="24"/>
        </w:rPr>
        <w:t>unfitting by the PEB w</w:t>
      </w:r>
      <w:r w:rsidR="00300C4C" w:rsidRPr="00C419CA">
        <w:rPr>
          <w:rFonts w:eastAsia="Calibri" w:cs="Times New Roman"/>
          <w:color w:val="auto"/>
          <w:szCs w:val="24"/>
        </w:rPr>
        <w:t xml:space="preserve">as the cervical spine </w:t>
      </w:r>
      <w:r w:rsidR="0005029E" w:rsidRPr="00C419CA">
        <w:rPr>
          <w:rFonts w:eastAsia="Calibri" w:cs="Times New Roman"/>
          <w:color w:val="auto"/>
          <w:szCs w:val="24"/>
        </w:rPr>
        <w:t xml:space="preserve">(neck) </w:t>
      </w:r>
      <w:r w:rsidR="00300C4C" w:rsidRPr="00C419CA">
        <w:rPr>
          <w:rFonts w:eastAsia="Calibri" w:cs="Times New Roman"/>
          <w:color w:val="auto"/>
          <w:szCs w:val="24"/>
        </w:rPr>
        <w:t>condition</w:t>
      </w:r>
      <w:r w:rsidR="003863E9" w:rsidRPr="00C419CA">
        <w:rPr>
          <w:rFonts w:eastAsia="Calibri" w:cs="Times New Roman"/>
          <w:color w:val="auto"/>
          <w:szCs w:val="24"/>
        </w:rPr>
        <w:t>.  The Board’s first charge with respect to th</w:t>
      </w:r>
      <w:r w:rsidR="0005029E" w:rsidRPr="00C419CA">
        <w:rPr>
          <w:rFonts w:eastAsia="Calibri" w:cs="Times New Roman"/>
          <w:color w:val="auto"/>
          <w:szCs w:val="24"/>
        </w:rPr>
        <w:t>is</w:t>
      </w:r>
      <w:r w:rsidR="003863E9" w:rsidRPr="00C419CA">
        <w:rPr>
          <w:rFonts w:eastAsia="Calibri" w:cs="Times New Roman"/>
          <w:color w:val="auto"/>
          <w:szCs w:val="24"/>
        </w:rPr>
        <w:t xml:space="preserve"> condition is an assessment of the appropriateness of the PEB’s fitness adjudications.  The Board’s threshold for countering fitness determinations is higher than the VASRD §4.3 (reasonable doubt) standard used for its rating recommendations, but remains adherent to the </w:t>
      </w:r>
      <w:proofErr w:type="spellStart"/>
      <w:r w:rsidR="003863E9" w:rsidRPr="00C419CA">
        <w:rPr>
          <w:rFonts w:eastAsia="Calibri" w:cs="Times New Roman"/>
          <w:color w:val="auto"/>
          <w:szCs w:val="24"/>
        </w:rPr>
        <w:t>DoDI</w:t>
      </w:r>
      <w:proofErr w:type="spellEnd"/>
      <w:r w:rsidR="003863E9" w:rsidRPr="00C419CA">
        <w:rPr>
          <w:rFonts w:eastAsia="Calibri" w:cs="Times New Roman"/>
          <w:color w:val="auto"/>
          <w:szCs w:val="24"/>
        </w:rPr>
        <w:t xml:space="preserve"> 6040.44 “fair and equitable” standard.  </w:t>
      </w:r>
      <w:r w:rsidR="0005029E" w:rsidRPr="00C419CA">
        <w:rPr>
          <w:color w:val="000000"/>
        </w:rPr>
        <w:t>The cervical</w:t>
      </w:r>
      <w:r w:rsidR="0005029E">
        <w:rPr>
          <w:color w:val="000000"/>
        </w:rPr>
        <w:t xml:space="preserve"> spine</w:t>
      </w:r>
      <w:r w:rsidR="003863E9" w:rsidRPr="001F29F9">
        <w:rPr>
          <w:color w:val="000000"/>
        </w:rPr>
        <w:t xml:space="preserve"> </w:t>
      </w:r>
      <w:r w:rsidR="003863E9" w:rsidRPr="00244791">
        <w:rPr>
          <w:color w:val="000000"/>
        </w:rPr>
        <w:t>condition w</w:t>
      </w:r>
      <w:r w:rsidR="0005029E">
        <w:rPr>
          <w:color w:val="000000"/>
        </w:rPr>
        <w:t>as</w:t>
      </w:r>
      <w:r w:rsidR="003863E9" w:rsidRPr="00244791">
        <w:rPr>
          <w:color w:val="000000"/>
        </w:rPr>
        <w:t xml:space="preserve"> </w:t>
      </w:r>
      <w:r w:rsidR="0005029E">
        <w:rPr>
          <w:color w:val="000000"/>
        </w:rPr>
        <w:t xml:space="preserve">not </w:t>
      </w:r>
      <w:r w:rsidR="003863E9">
        <w:rPr>
          <w:color w:val="000000"/>
        </w:rPr>
        <w:t xml:space="preserve">profiled; </w:t>
      </w:r>
      <w:r w:rsidR="0005029E">
        <w:rPr>
          <w:color w:val="000000"/>
        </w:rPr>
        <w:t>was not</w:t>
      </w:r>
      <w:r w:rsidR="003863E9">
        <w:rPr>
          <w:color w:val="000000"/>
        </w:rPr>
        <w:t xml:space="preserve"> </w:t>
      </w:r>
      <w:r w:rsidR="003863E9" w:rsidRPr="00244791">
        <w:rPr>
          <w:color w:val="000000"/>
        </w:rPr>
        <w:t>implicated in the commander’s statement</w:t>
      </w:r>
      <w:r w:rsidR="003863E9">
        <w:rPr>
          <w:color w:val="000000"/>
        </w:rPr>
        <w:t xml:space="preserve">; and, </w:t>
      </w:r>
      <w:r w:rsidR="0005029E">
        <w:rPr>
          <w:color w:val="000000"/>
        </w:rPr>
        <w:t xml:space="preserve">was not </w:t>
      </w:r>
      <w:r w:rsidR="003863E9">
        <w:rPr>
          <w:color w:val="000000"/>
        </w:rPr>
        <w:t>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05029E">
        <w:rPr>
          <w:color w:val="000000"/>
        </w:rPr>
        <w:t>There were no incapacitating episodes from the neck condition</w:t>
      </w:r>
      <w:r w:rsidR="004B576E">
        <w:rPr>
          <w:color w:val="000000"/>
        </w:rPr>
        <w:t xml:space="preserve">.  The cervical condition was </w:t>
      </w:r>
      <w:r w:rsidR="003863E9" w:rsidRPr="001F29F9">
        <w:rPr>
          <w:color w:val="000000"/>
        </w:rPr>
        <w:t xml:space="preserve">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w:t>
      </w:r>
      <w:r w:rsidR="004B576E">
        <w:rPr>
          <w:color w:val="000000"/>
        </w:rPr>
        <w:t>the cervical condition</w:t>
      </w:r>
      <w:r w:rsidR="003863E9" w:rsidRPr="001F29F9">
        <w:rPr>
          <w:color w:val="000000"/>
        </w:rPr>
        <w:t xml:space="preserve"> significantly interfered with satisfactory duty performance.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contended </w:t>
      </w:r>
      <w:r w:rsidR="004B576E">
        <w:rPr>
          <w:rFonts w:eastAsia="Calibri" w:cs="Times New Roman"/>
          <w:color w:val="auto"/>
          <w:szCs w:val="24"/>
        </w:rPr>
        <w:t xml:space="preserve">cervical </w:t>
      </w:r>
      <w:r w:rsidR="003863E9" w:rsidRPr="00792790">
        <w:rPr>
          <w:rFonts w:eastAsia="Calibri" w:cs="Times New Roman"/>
          <w:color w:val="auto"/>
          <w:szCs w:val="24"/>
        </w:rPr>
        <w:t>condition; and, therefore, no additional disability ratings can be recommended.</w:t>
      </w:r>
      <w:r w:rsidR="004B576E">
        <w:rPr>
          <w:rFonts w:eastAsia="Calibri" w:cs="Times New Roman"/>
          <w:color w:val="auto"/>
          <w:szCs w:val="24"/>
        </w:rPr>
        <w:t xml:space="preserve">  </w:t>
      </w:r>
    </w:p>
    <w:p w:rsidR="00AD2379" w:rsidRDefault="00AD2379" w:rsidP="006364ED">
      <w:pPr>
        <w:jc w:val="left"/>
        <w:rPr>
          <w:color w:val="auto"/>
        </w:rPr>
      </w:pPr>
    </w:p>
    <w:p w:rsidR="007445D0" w:rsidRPr="00F64312" w:rsidRDefault="007445D0"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w:t>
      </w:r>
      <w:proofErr w:type="spellStart"/>
      <w:r w:rsidRPr="004B576E">
        <w:rPr>
          <w:color w:val="auto"/>
        </w:rPr>
        <w:t>DoDI</w:t>
      </w:r>
      <w:proofErr w:type="spellEnd"/>
      <w:r w:rsidRPr="004B576E">
        <w:rPr>
          <w:color w:val="auto"/>
        </w:rPr>
        <w:t xml:space="preserve"> 6040.44, provisions of </w:t>
      </w:r>
      <w:proofErr w:type="spellStart"/>
      <w:r w:rsidRPr="004B576E">
        <w:rPr>
          <w:color w:val="auto"/>
        </w:rPr>
        <w:t>DoD</w:t>
      </w:r>
      <w:proofErr w:type="spellEnd"/>
      <w:r w:rsidRPr="004B576E">
        <w:rPr>
          <w:color w:val="auto"/>
        </w:rPr>
        <w:t xml:space="preserve"> or Military Department regulations or guidelines relied upon by the PEB will not be considered by the Board to the extent they were inconsistent wit</w:t>
      </w:r>
      <w:r w:rsidRPr="00C419CA">
        <w:rPr>
          <w:color w:val="auto"/>
        </w:rPr>
        <w:t>h the VASRD in effect at the time of the adjudication</w:t>
      </w:r>
      <w:r w:rsidRPr="00C419CA">
        <w:rPr>
          <w:rFonts w:cs="Times New Roman"/>
          <w:color w:val="auto"/>
        </w:rPr>
        <w:t>.</w:t>
      </w:r>
      <w:r w:rsidR="006B690F" w:rsidRPr="00C419CA">
        <w:rPr>
          <w:rFonts w:cs="Times New Roman"/>
          <w:color w:val="auto"/>
        </w:rPr>
        <w:t xml:space="preserve">  </w:t>
      </w:r>
      <w:r w:rsidR="00241B01" w:rsidRPr="00C419CA">
        <w:rPr>
          <w:rFonts w:eastAsia="Calibri" w:cs="Times New Roman"/>
          <w:color w:val="auto"/>
          <w:szCs w:val="24"/>
        </w:rPr>
        <w:t xml:space="preserve">As discussed above, PEB reliance on the USAPDA pain policy for rating </w:t>
      </w:r>
      <w:r w:rsidR="004B576E" w:rsidRPr="00C419CA">
        <w:rPr>
          <w:rFonts w:eastAsia="Calibri" w:cs="Times New Roman"/>
          <w:color w:val="auto"/>
          <w:szCs w:val="24"/>
        </w:rPr>
        <w:t xml:space="preserve">the </w:t>
      </w:r>
      <w:r w:rsidR="008013E4">
        <w:rPr>
          <w:rFonts w:eastAsia="Calibri" w:cs="Times New Roman"/>
          <w:color w:val="auto"/>
          <w:szCs w:val="24"/>
        </w:rPr>
        <w:t>LBP</w:t>
      </w:r>
      <w:r w:rsidR="004B576E" w:rsidRPr="00C419CA">
        <w:rPr>
          <w:rFonts w:eastAsia="Calibri" w:cs="Times New Roman"/>
          <w:color w:val="auto"/>
          <w:szCs w:val="24"/>
        </w:rPr>
        <w:t xml:space="preserve"> condition </w:t>
      </w:r>
      <w:r w:rsidR="00241B01" w:rsidRPr="00C419CA">
        <w:rPr>
          <w:rFonts w:eastAsia="Calibri" w:cs="Times New Roman"/>
          <w:color w:val="auto"/>
          <w:szCs w:val="24"/>
        </w:rPr>
        <w:t xml:space="preserve">was </w:t>
      </w:r>
      <w:r w:rsidR="00C419CA" w:rsidRPr="00C419CA">
        <w:rPr>
          <w:rFonts w:eastAsia="Calibri" w:cs="Times New Roman"/>
          <w:color w:val="auto"/>
          <w:szCs w:val="24"/>
        </w:rPr>
        <w:t xml:space="preserve">possibly </w:t>
      </w:r>
      <w:r w:rsidR="00241B01" w:rsidRPr="00C419CA">
        <w:rPr>
          <w:rFonts w:eastAsia="Calibri" w:cs="Times New Roman"/>
          <w:color w:val="auto"/>
          <w:szCs w:val="24"/>
        </w:rPr>
        <w:t>operant in this case and the condition was adjudicated independently of that policy by the Board.</w:t>
      </w:r>
      <w:r w:rsidR="006B690F" w:rsidRPr="00C419CA">
        <w:rPr>
          <w:rFonts w:eastAsia="Calibri" w:cs="Times New Roman"/>
          <w:color w:val="auto"/>
          <w:szCs w:val="24"/>
        </w:rPr>
        <w:t xml:space="preserve">  </w:t>
      </w:r>
      <w:r w:rsidR="00560F12" w:rsidRPr="00C419CA">
        <w:rPr>
          <w:rFonts w:eastAsia="Calibri" w:cs="Times New Roman"/>
          <w:color w:val="auto"/>
          <w:szCs w:val="24"/>
        </w:rPr>
        <w:t xml:space="preserve">In the matter of the </w:t>
      </w:r>
      <w:r w:rsidR="008013E4">
        <w:rPr>
          <w:rFonts w:eastAsia="Calibri" w:cs="Times New Roman"/>
          <w:color w:val="auto"/>
          <w:szCs w:val="24"/>
        </w:rPr>
        <w:t>LBP</w:t>
      </w:r>
      <w:r w:rsidR="00560F12" w:rsidRPr="00C419CA">
        <w:rPr>
          <w:rFonts w:eastAsia="Calibri" w:cs="Times New Roman"/>
          <w:color w:val="auto"/>
          <w:szCs w:val="24"/>
        </w:rPr>
        <w:t xml:space="preserve"> condition and IAW VASRD §4.71a, the Board unanimously recommends no change in the PEB</w:t>
      </w:r>
      <w:r w:rsidR="004B576E" w:rsidRPr="00C419CA">
        <w:rPr>
          <w:rFonts w:eastAsia="Calibri" w:cs="Times New Roman"/>
          <w:color w:val="auto"/>
          <w:szCs w:val="24"/>
        </w:rPr>
        <w:t>’s 10%</w:t>
      </w:r>
      <w:r w:rsidR="00560F12" w:rsidRPr="00C419CA">
        <w:rPr>
          <w:rFonts w:eastAsia="Calibri" w:cs="Times New Roman"/>
          <w:color w:val="auto"/>
          <w:szCs w:val="24"/>
        </w:rPr>
        <w:t xml:space="preserve"> adjudication.</w:t>
      </w:r>
      <w:r w:rsidR="006B690F" w:rsidRPr="00C419CA">
        <w:rPr>
          <w:rFonts w:eastAsia="Calibri" w:cs="Times New Roman"/>
          <w:color w:val="auto"/>
          <w:szCs w:val="24"/>
        </w:rPr>
        <w:t xml:space="preserve">  </w:t>
      </w:r>
      <w:r w:rsidR="00560F12" w:rsidRPr="00C419CA">
        <w:rPr>
          <w:rFonts w:eastAsia="Calibri" w:cs="Times New Roman"/>
          <w:color w:val="auto"/>
          <w:szCs w:val="24"/>
        </w:rPr>
        <w:t xml:space="preserve">In the matter of the contended </w:t>
      </w:r>
      <w:r w:rsidR="00300C4C" w:rsidRPr="00C419CA">
        <w:rPr>
          <w:rFonts w:eastAsia="Calibri" w:cs="Times New Roman"/>
          <w:color w:val="auto"/>
          <w:szCs w:val="24"/>
        </w:rPr>
        <w:t>cervical spine</w:t>
      </w:r>
      <w:r w:rsidR="00560F12" w:rsidRPr="00C419CA">
        <w:rPr>
          <w:rFonts w:eastAsia="Calibri" w:cs="Times New Roman"/>
          <w:color w:val="auto"/>
          <w:szCs w:val="24"/>
        </w:rPr>
        <w:t xml:space="preserve"> condition, the Board unanimously </w:t>
      </w:r>
      <w:r w:rsidR="00417BED" w:rsidRPr="00C419CA">
        <w:rPr>
          <w:rFonts w:eastAsia="Calibri" w:cs="Times New Roman"/>
          <w:color w:val="auto"/>
          <w:szCs w:val="24"/>
        </w:rPr>
        <w:t>recommends no change from the PEB determination as not unfitting.</w:t>
      </w:r>
      <w:r w:rsidR="00165C7B" w:rsidRPr="00C419CA">
        <w:rPr>
          <w:rFonts w:eastAsia="Calibri" w:cs="Times New Roman"/>
          <w:color w:val="auto"/>
          <w:szCs w:val="24"/>
        </w:rPr>
        <w:t xml:space="preserve">  </w:t>
      </w:r>
      <w:r w:rsidR="00417BED" w:rsidRPr="00C419CA">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C419CA" w:rsidRDefault="00AD2379" w:rsidP="004B576E">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C419CA" w:rsidRPr="00C419CA">
        <w:rPr>
          <w:rFonts w:eastAsia="Calibri" w:cs="Times New Roman"/>
          <w:color w:val="auto"/>
          <w:szCs w:val="24"/>
        </w:rPr>
        <w:t xml:space="preserve">The Board, therefore, recommends that there be no </w:t>
      </w:r>
      <w:proofErr w:type="spellStart"/>
      <w:r w:rsidR="00C419CA" w:rsidRPr="00C419CA">
        <w:rPr>
          <w:rFonts w:eastAsia="Calibri" w:cs="Times New Roman"/>
          <w:color w:val="auto"/>
          <w:szCs w:val="24"/>
        </w:rPr>
        <w:t>recharacterization</w:t>
      </w:r>
      <w:proofErr w:type="spellEnd"/>
      <w:r w:rsidR="00C419CA" w:rsidRPr="00C419CA">
        <w:rPr>
          <w:rFonts w:eastAsia="Calibri" w:cs="Times New Roman"/>
          <w:color w:val="auto"/>
          <w:szCs w:val="24"/>
        </w:rPr>
        <w:t xml:space="preserve"> of the CI’s disability and separation determination, as follows:  </w:t>
      </w:r>
    </w:p>
    <w:p w:rsidR="00AD2379" w:rsidRPr="00C419CA"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C419CA" w:rsidTr="006B690F">
        <w:trPr>
          <w:trHeight w:val="233"/>
          <w:jc w:val="center"/>
        </w:trPr>
        <w:tc>
          <w:tcPr>
            <w:tcW w:w="6768" w:type="dxa"/>
            <w:shd w:val="clear" w:color="auto" w:fill="D9D9D9"/>
            <w:vAlign w:val="center"/>
          </w:tcPr>
          <w:p w:rsidR="00AD2379" w:rsidRPr="00C419CA" w:rsidRDefault="00AD2379" w:rsidP="006B690F">
            <w:pPr>
              <w:tabs>
                <w:tab w:val="left" w:pos="288"/>
                <w:tab w:val="left" w:pos="4752"/>
              </w:tabs>
              <w:rPr>
                <w:b/>
                <w:color w:val="auto"/>
              </w:rPr>
            </w:pPr>
            <w:r w:rsidRPr="00C419CA">
              <w:rPr>
                <w:b/>
                <w:color w:val="auto"/>
              </w:rPr>
              <w:t>UNFITTING CONDITION</w:t>
            </w:r>
          </w:p>
        </w:tc>
        <w:tc>
          <w:tcPr>
            <w:tcW w:w="1530" w:type="dxa"/>
            <w:shd w:val="clear" w:color="auto" w:fill="D9D9D9"/>
            <w:vAlign w:val="center"/>
          </w:tcPr>
          <w:p w:rsidR="00AD2379" w:rsidRPr="00C419CA" w:rsidRDefault="00AD2379" w:rsidP="006B690F">
            <w:pPr>
              <w:tabs>
                <w:tab w:val="left" w:pos="288"/>
                <w:tab w:val="left" w:pos="4752"/>
              </w:tabs>
              <w:rPr>
                <w:b/>
                <w:color w:val="auto"/>
              </w:rPr>
            </w:pPr>
            <w:r w:rsidRPr="00C419CA">
              <w:rPr>
                <w:b/>
                <w:color w:val="auto"/>
              </w:rPr>
              <w:t>VASRD CODE</w:t>
            </w:r>
          </w:p>
        </w:tc>
        <w:tc>
          <w:tcPr>
            <w:tcW w:w="1026" w:type="dxa"/>
            <w:shd w:val="clear" w:color="auto" w:fill="D9D9D9"/>
            <w:vAlign w:val="center"/>
          </w:tcPr>
          <w:p w:rsidR="00AD2379" w:rsidRPr="00C419CA" w:rsidRDefault="00AD2379" w:rsidP="006B690F">
            <w:pPr>
              <w:tabs>
                <w:tab w:val="left" w:pos="288"/>
                <w:tab w:val="left" w:pos="4752"/>
              </w:tabs>
              <w:rPr>
                <w:b/>
                <w:color w:val="auto"/>
              </w:rPr>
            </w:pPr>
            <w:r w:rsidRPr="00C419CA">
              <w:rPr>
                <w:b/>
                <w:color w:val="auto"/>
              </w:rPr>
              <w:t>RATING</w:t>
            </w:r>
          </w:p>
        </w:tc>
      </w:tr>
      <w:tr w:rsidR="00AD2379" w:rsidRPr="00C419CA" w:rsidTr="006B690F">
        <w:trPr>
          <w:jc w:val="center"/>
        </w:trPr>
        <w:tc>
          <w:tcPr>
            <w:tcW w:w="6768" w:type="dxa"/>
            <w:vAlign w:val="center"/>
          </w:tcPr>
          <w:p w:rsidR="00AD2379" w:rsidRPr="00C419CA" w:rsidRDefault="00300C4C" w:rsidP="00300C4C">
            <w:pPr>
              <w:tabs>
                <w:tab w:val="left" w:pos="288"/>
                <w:tab w:val="left" w:pos="4752"/>
              </w:tabs>
              <w:jc w:val="left"/>
              <w:rPr>
                <w:color w:val="auto"/>
              </w:rPr>
            </w:pPr>
            <w:r w:rsidRPr="00C419CA">
              <w:rPr>
                <w:color w:val="auto"/>
              </w:rPr>
              <w:t>Low Back Pain</w:t>
            </w:r>
          </w:p>
        </w:tc>
        <w:tc>
          <w:tcPr>
            <w:tcW w:w="1530" w:type="dxa"/>
            <w:vAlign w:val="center"/>
          </w:tcPr>
          <w:p w:rsidR="00AD2379" w:rsidRPr="00C419CA" w:rsidRDefault="00300C4C" w:rsidP="006B690F">
            <w:pPr>
              <w:tabs>
                <w:tab w:val="left" w:pos="288"/>
                <w:tab w:val="left" w:pos="4752"/>
              </w:tabs>
              <w:rPr>
                <w:color w:val="auto"/>
              </w:rPr>
            </w:pPr>
            <w:r w:rsidRPr="00C419CA">
              <w:rPr>
                <w:color w:val="auto"/>
              </w:rPr>
              <w:t>5243</w:t>
            </w:r>
          </w:p>
        </w:tc>
        <w:tc>
          <w:tcPr>
            <w:tcW w:w="1026" w:type="dxa"/>
            <w:vAlign w:val="center"/>
          </w:tcPr>
          <w:p w:rsidR="00AD2379" w:rsidRPr="00C419CA" w:rsidRDefault="00C419CA" w:rsidP="006B690F">
            <w:pPr>
              <w:tabs>
                <w:tab w:val="left" w:pos="288"/>
                <w:tab w:val="left" w:pos="4752"/>
              </w:tabs>
              <w:rPr>
                <w:color w:val="auto"/>
              </w:rPr>
            </w:pPr>
            <w:r w:rsidRPr="00C419CA">
              <w:rPr>
                <w:color w:val="auto"/>
              </w:rPr>
              <w:t>1</w:t>
            </w:r>
            <w:r w:rsidR="00AD2379" w:rsidRPr="00C419CA">
              <w:rPr>
                <w:color w:val="auto"/>
              </w:rPr>
              <w:t>0%</w:t>
            </w:r>
          </w:p>
        </w:tc>
      </w:tr>
      <w:tr w:rsidR="00AD2379" w:rsidRPr="00C419CA"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C419CA" w:rsidRDefault="00AD2379" w:rsidP="006B690F">
            <w:pPr>
              <w:tabs>
                <w:tab w:val="left" w:pos="288"/>
                <w:tab w:val="left" w:pos="4752"/>
              </w:tabs>
              <w:rPr>
                <w:b/>
                <w:color w:val="auto"/>
              </w:rPr>
            </w:pPr>
            <w:r w:rsidRPr="00C419CA">
              <w:rPr>
                <w:b/>
                <w:color w:val="auto"/>
              </w:rPr>
              <w:t>COMBINED</w:t>
            </w:r>
          </w:p>
        </w:tc>
        <w:tc>
          <w:tcPr>
            <w:tcW w:w="1026" w:type="dxa"/>
            <w:shd w:val="clear" w:color="auto" w:fill="D9D9D9"/>
            <w:vAlign w:val="center"/>
          </w:tcPr>
          <w:p w:rsidR="00AD2379" w:rsidRPr="00C419CA" w:rsidRDefault="00C419CA" w:rsidP="006B690F">
            <w:pPr>
              <w:tabs>
                <w:tab w:val="left" w:pos="288"/>
                <w:tab w:val="left" w:pos="4752"/>
              </w:tabs>
              <w:rPr>
                <w:b/>
                <w:color w:val="auto"/>
              </w:rPr>
            </w:pPr>
            <w:r w:rsidRPr="00C419CA">
              <w:rPr>
                <w:b/>
                <w:color w:val="auto"/>
              </w:rPr>
              <w:t>1</w:t>
            </w:r>
            <w:r w:rsidR="00AD2379" w:rsidRPr="00C419CA">
              <w:rPr>
                <w:b/>
                <w:color w:val="auto"/>
              </w:rPr>
              <w:t>0%</w:t>
            </w:r>
          </w:p>
        </w:tc>
      </w:tr>
    </w:tbl>
    <w:p w:rsidR="00AD2379" w:rsidRPr="00C419CA" w:rsidRDefault="00AD2379" w:rsidP="006B690F">
      <w:pPr>
        <w:pBdr>
          <w:bottom w:val="single" w:sz="12" w:space="1" w:color="auto"/>
        </w:pBdr>
        <w:tabs>
          <w:tab w:val="left" w:pos="288"/>
          <w:tab w:val="left" w:pos="4752"/>
        </w:tabs>
        <w:jc w:val="both"/>
        <w:rPr>
          <w:color w:val="auto"/>
        </w:rPr>
      </w:pPr>
    </w:p>
    <w:p w:rsidR="00AD2379" w:rsidRPr="00C419CA"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C419CA">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E146AB">
        <w:rPr>
          <w:color w:val="auto"/>
        </w:rPr>
        <w:t>dated 20</w:t>
      </w:r>
      <w:r w:rsidR="00E146AB" w:rsidRPr="00E146AB">
        <w:rPr>
          <w:color w:val="auto"/>
        </w:rPr>
        <w:t>111019</w:t>
      </w:r>
      <w:r w:rsidR="00ED7820" w:rsidRPr="00E146AB">
        <w:rPr>
          <w:color w:val="auto"/>
        </w:rPr>
        <w:t>, w/</w:t>
      </w:r>
      <w:proofErr w:type="spellStart"/>
      <w:r w:rsidR="00ED7820" w:rsidRPr="00E146AB">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813598">
        <w:rPr>
          <w:color w:val="auto"/>
        </w:rPr>
        <w:t>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813598" w:rsidRDefault="00AD2379" w:rsidP="00BF0E94">
      <w:pPr>
        <w:tabs>
          <w:tab w:val="left" w:pos="0"/>
          <w:tab w:val="left" w:pos="4320"/>
        </w:tabs>
        <w:jc w:val="both"/>
        <w:rPr>
          <w:color w:val="auto"/>
        </w:rPr>
      </w:pPr>
      <w:r w:rsidRPr="00F64312">
        <w:rPr>
          <w:color w:val="auto"/>
        </w:rPr>
        <w:tab/>
        <w:t xml:space="preserve">           Physical Disability Board of Review</w:t>
      </w:r>
    </w:p>
    <w:p w:rsidR="00813598" w:rsidRDefault="00813598">
      <w:pPr>
        <w:spacing w:line="240" w:lineRule="auto"/>
        <w:jc w:val="left"/>
        <w:rPr>
          <w:color w:val="auto"/>
        </w:rPr>
      </w:pPr>
      <w:r>
        <w:rPr>
          <w:color w:val="auto"/>
        </w:rPr>
        <w:br w:type="page"/>
      </w:r>
    </w:p>
    <w:p w:rsidR="00813598" w:rsidRDefault="00813598" w:rsidP="00813598">
      <w:pPr>
        <w:sectPr w:rsidR="00813598">
          <w:pgSz w:w="12240" w:h="15840"/>
          <w:pgMar w:top="2160" w:right="1440" w:bottom="1440" w:left="1440" w:header="720" w:footer="720" w:gutter="0"/>
          <w:cols w:space="720"/>
        </w:sectPr>
      </w:pPr>
    </w:p>
    <w:p w:rsidR="00813598" w:rsidRDefault="00813598" w:rsidP="00813598">
      <w:pPr>
        <w:pStyle w:val="Header"/>
        <w:tabs>
          <w:tab w:val="left" w:pos="720"/>
        </w:tabs>
        <w:jc w:val="left"/>
      </w:pPr>
      <w:r>
        <w:lastRenderedPageBreak/>
        <w:t>SFMR-RB</w:t>
      </w:r>
      <w:r>
        <w:tab/>
      </w:r>
      <w:r>
        <w:tab/>
      </w:r>
      <w:r>
        <w:tab/>
      </w:r>
      <w:r>
        <w:tab/>
      </w:r>
      <w:r>
        <w:tab/>
      </w:r>
      <w:r>
        <w:tab/>
      </w:r>
      <w:r>
        <w:tab/>
      </w:r>
      <w:r>
        <w:tab/>
      </w:r>
      <w:r>
        <w:tab/>
      </w:r>
    </w:p>
    <w:p w:rsidR="00813598" w:rsidRDefault="00813598" w:rsidP="00813598">
      <w:pPr>
        <w:pStyle w:val="Header"/>
        <w:tabs>
          <w:tab w:val="left" w:pos="720"/>
        </w:tabs>
        <w:jc w:val="left"/>
      </w:pPr>
    </w:p>
    <w:p w:rsidR="00813598" w:rsidRDefault="00813598" w:rsidP="00813598">
      <w:pPr>
        <w:jc w:val="left"/>
      </w:pPr>
    </w:p>
    <w:p w:rsidR="00813598" w:rsidRDefault="00813598" w:rsidP="00813598">
      <w:pPr>
        <w:jc w:val="left"/>
      </w:pPr>
      <w:r>
        <w:t xml:space="preserve">MEMORANDUM FOR Commander, US Army Physical Disability Agency </w:t>
      </w:r>
    </w:p>
    <w:p w:rsidR="00813598" w:rsidRDefault="00813598" w:rsidP="00813598">
      <w:pPr>
        <w:jc w:val="left"/>
      </w:pPr>
      <w:r>
        <w:t xml:space="preserve">(TAPD-ZB </w:t>
      </w:r>
      <w:proofErr w:type="gramStart"/>
      <w:r>
        <w:t>/  )</w:t>
      </w:r>
      <w:proofErr w:type="gramEnd"/>
      <w:r>
        <w:t>, 2900 Crystal Drive, Suite 300, Arlington, VA  22202</w:t>
      </w:r>
    </w:p>
    <w:p w:rsidR="00813598" w:rsidRDefault="00813598" w:rsidP="00813598">
      <w:pPr>
        <w:jc w:val="left"/>
      </w:pPr>
    </w:p>
    <w:p w:rsidR="00813598" w:rsidRDefault="00813598" w:rsidP="00813598">
      <w:pPr>
        <w:ind w:right="-180"/>
        <w:jc w:val="left"/>
      </w:pPr>
      <w:r>
        <w:t>SUBJECT:  Department of Defense Physical Disability Board of Review Recommendation for XXXXXXXXXXXXX, AR20120011980 (PD201100989)</w:t>
      </w:r>
    </w:p>
    <w:p w:rsidR="00813598" w:rsidRDefault="00813598" w:rsidP="00813598">
      <w:pPr>
        <w:pStyle w:val="Header"/>
        <w:tabs>
          <w:tab w:val="left" w:pos="720"/>
        </w:tabs>
        <w:jc w:val="left"/>
      </w:pPr>
    </w:p>
    <w:p w:rsidR="00813598" w:rsidRDefault="00813598" w:rsidP="00813598">
      <w:pPr>
        <w:jc w:val="left"/>
      </w:pPr>
    </w:p>
    <w:p w:rsidR="00813598" w:rsidRDefault="00813598" w:rsidP="00813598">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813598" w:rsidRDefault="00813598" w:rsidP="00813598">
      <w:pPr>
        <w:jc w:val="left"/>
      </w:pPr>
      <w:r>
        <w:t>This decision is final.  The individual concerned, counsel (if any), and any Members of Congress who have shown interest in this application have been notified of this decision by mail.</w:t>
      </w:r>
    </w:p>
    <w:p w:rsidR="00813598" w:rsidRDefault="00813598" w:rsidP="00813598">
      <w:pPr>
        <w:jc w:val="left"/>
      </w:pPr>
    </w:p>
    <w:p w:rsidR="00813598" w:rsidRDefault="00813598" w:rsidP="00813598">
      <w:pPr>
        <w:jc w:val="left"/>
      </w:pPr>
      <w:r>
        <w:t>BY ORDER OF THE SECRETARY OF THE ARMY:</w:t>
      </w:r>
    </w:p>
    <w:p w:rsidR="00813598" w:rsidRDefault="00813598" w:rsidP="00813598">
      <w:pPr>
        <w:jc w:val="left"/>
      </w:pPr>
    </w:p>
    <w:p w:rsidR="00813598" w:rsidRDefault="00813598" w:rsidP="00813598">
      <w:pPr>
        <w:jc w:val="left"/>
      </w:pPr>
    </w:p>
    <w:p w:rsidR="00813598" w:rsidRDefault="00813598" w:rsidP="00813598">
      <w:pPr>
        <w:pStyle w:val="Header"/>
        <w:tabs>
          <w:tab w:val="left" w:pos="720"/>
        </w:tabs>
        <w:jc w:val="left"/>
      </w:pPr>
    </w:p>
    <w:p w:rsidR="00813598" w:rsidRDefault="00813598" w:rsidP="00813598">
      <w:pPr>
        <w:jc w:val="left"/>
      </w:pPr>
    </w:p>
    <w:p w:rsidR="00813598" w:rsidRDefault="00813598" w:rsidP="00813598">
      <w:pPr>
        <w:jc w:val="left"/>
      </w:pPr>
      <w:bookmarkStart w:id="0" w:name="OLE_LINK4"/>
      <w:bookmarkStart w:id="1" w:name="OLE_LINK3"/>
      <w:r>
        <w:t>Encl</w:t>
      </w:r>
      <w:r>
        <w:tab/>
      </w:r>
      <w:r>
        <w:tab/>
      </w:r>
      <w:r>
        <w:tab/>
      </w:r>
      <w:r>
        <w:tab/>
      </w:r>
      <w:r>
        <w:tab/>
      </w:r>
      <w:r>
        <w:tab/>
        <w:t xml:space="preserve">     XXXXXXXXXXXXX</w:t>
      </w:r>
    </w:p>
    <w:p w:rsidR="00813598" w:rsidRDefault="00813598" w:rsidP="00813598">
      <w:pPr>
        <w:jc w:val="left"/>
      </w:pPr>
      <w:r>
        <w:tab/>
      </w:r>
      <w:r>
        <w:tab/>
      </w:r>
      <w:r>
        <w:tab/>
      </w:r>
      <w:r>
        <w:tab/>
      </w:r>
      <w:r>
        <w:tab/>
      </w:r>
      <w:r>
        <w:tab/>
        <w:t xml:space="preserve">     Deputy Assistant Secretary</w:t>
      </w:r>
    </w:p>
    <w:p w:rsidR="00813598" w:rsidRDefault="00813598" w:rsidP="00813598">
      <w:pPr>
        <w:jc w:val="left"/>
      </w:pPr>
      <w:r>
        <w:tab/>
      </w:r>
      <w:r>
        <w:tab/>
      </w:r>
      <w:r>
        <w:tab/>
      </w:r>
      <w:r>
        <w:tab/>
      </w:r>
      <w:r>
        <w:tab/>
      </w:r>
      <w:r>
        <w:tab/>
        <w:t xml:space="preserve">         (Army Review Boards)</w:t>
      </w:r>
      <w:bookmarkEnd w:id="0"/>
      <w:bookmarkEnd w:id="1"/>
    </w:p>
    <w:p w:rsidR="00813598" w:rsidRDefault="00813598" w:rsidP="00813598">
      <w:pPr>
        <w:jc w:val="left"/>
      </w:pPr>
    </w:p>
    <w:p w:rsidR="00813598" w:rsidRDefault="00813598" w:rsidP="00813598">
      <w:pPr>
        <w:jc w:val="left"/>
      </w:pPr>
      <w:r>
        <w:t xml:space="preserve">CF: </w:t>
      </w:r>
    </w:p>
    <w:p w:rsidR="00813598" w:rsidRDefault="00813598" w:rsidP="00813598">
      <w:pPr>
        <w:jc w:val="left"/>
      </w:pPr>
      <w:r>
        <w:t xml:space="preserve">(  ) </w:t>
      </w:r>
      <w:proofErr w:type="spellStart"/>
      <w:proofErr w:type="gramStart"/>
      <w:r>
        <w:t>DoD</w:t>
      </w:r>
      <w:proofErr w:type="spellEnd"/>
      <w:proofErr w:type="gramEnd"/>
      <w:r>
        <w:t xml:space="preserve"> PDBR</w:t>
      </w:r>
    </w:p>
    <w:p w:rsidR="00813598" w:rsidRDefault="00813598" w:rsidP="00813598">
      <w:pPr>
        <w:jc w:val="left"/>
      </w:pPr>
      <w:r>
        <w:t>(  ) DVA</w:t>
      </w:r>
    </w:p>
    <w:p w:rsidR="00813598" w:rsidRDefault="00813598" w:rsidP="00813598">
      <w:pPr>
        <w:jc w:val="left"/>
      </w:pPr>
    </w:p>
    <w:p w:rsidR="00AD2379" w:rsidRDefault="00AD2379" w:rsidP="00813598">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44D" w:rsidRDefault="004F344D">
      <w:r>
        <w:separator/>
      </w:r>
    </w:p>
  </w:endnote>
  <w:endnote w:type="continuationSeparator" w:id="0">
    <w:p w:rsidR="004F344D" w:rsidRDefault="004F34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A6" w:rsidRPr="00374247" w:rsidRDefault="00751DA6" w:rsidP="00726F84">
    <w:pPr>
      <w:pStyle w:val="Footer"/>
      <w:ind w:firstLine="4320"/>
      <w:rPr>
        <w:color w:val="auto"/>
      </w:rPr>
    </w:pPr>
    <w:r w:rsidRPr="00374247">
      <w:rPr>
        <w:color w:val="auto"/>
      </w:rPr>
      <w:t xml:space="preserve">   </w:t>
    </w:r>
    <w:fldSimple w:instr=" PAGE   \* MERGEFORMAT ">
      <w:r w:rsidR="00813598" w:rsidRPr="00813598">
        <w:rPr>
          <w:noProof/>
          <w:color w:val="auto"/>
        </w:rPr>
        <w:t>5</w:t>
      </w:r>
    </w:fldSimple>
    <w:r w:rsidRPr="00374247">
      <w:rPr>
        <w:color w:val="auto"/>
      </w:rPr>
      <w:t xml:space="preserve">                                                           </w:t>
    </w:r>
    <w:r w:rsidRPr="00E146AB">
      <w:rPr>
        <w:color w:val="auto"/>
      </w:rPr>
      <w:t>PD1100</w:t>
    </w:r>
    <w:r w:rsidR="00E146AB" w:rsidRPr="00E146AB">
      <w:rPr>
        <w:color w:val="auto"/>
      </w:rPr>
      <w:t>989</w:t>
    </w:r>
  </w:p>
  <w:p w:rsidR="00751DA6" w:rsidRPr="00684CE6" w:rsidRDefault="00751DA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44D" w:rsidRDefault="004F344D">
      <w:r>
        <w:separator/>
      </w:r>
    </w:p>
  </w:footnote>
  <w:footnote w:type="continuationSeparator" w:id="0">
    <w:p w:rsidR="004F344D" w:rsidRDefault="004F3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32D"/>
    <w:rsid w:val="00035C3A"/>
    <w:rsid w:val="00036E4B"/>
    <w:rsid w:val="00037929"/>
    <w:rsid w:val="000379D0"/>
    <w:rsid w:val="00040FC4"/>
    <w:rsid w:val="000416F8"/>
    <w:rsid w:val="00042978"/>
    <w:rsid w:val="00042C26"/>
    <w:rsid w:val="00043382"/>
    <w:rsid w:val="00044623"/>
    <w:rsid w:val="00044E52"/>
    <w:rsid w:val="000452D7"/>
    <w:rsid w:val="00046203"/>
    <w:rsid w:val="0005029E"/>
    <w:rsid w:val="00051622"/>
    <w:rsid w:val="00051A11"/>
    <w:rsid w:val="00051F89"/>
    <w:rsid w:val="00052234"/>
    <w:rsid w:val="00053D7C"/>
    <w:rsid w:val="000575C5"/>
    <w:rsid w:val="000577C9"/>
    <w:rsid w:val="00060C18"/>
    <w:rsid w:val="00060FFD"/>
    <w:rsid w:val="00061D69"/>
    <w:rsid w:val="00063BE5"/>
    <w:rsid w:val="000640BB"/>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50E7"/>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9F4"/>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3E4"/>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9E2"/>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5292"/>
    <w:rsid w:val="001E635C"/>
    <w:rsid w:val="001F0297"/>
    <w:rsid w:val="001F29F9"/>
    <w:rsid w:val="001F6E0B"/>
    <w:rsid w:val="001F70CF"/>
    <w:rsid w:val="002001DA"/>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8D"/>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3EB0"/>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5819"/>
    <w:rsid w:val="002F6AD8"/>
    <w:rsid w:val="002F7C06"/>
    <w:rsid w:val="002F7F81"/>
    <w:rsid w:val="00300A36"/>
    <w:rsid w:val="00300C4C"/>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626"/>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0314"/>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813"/>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1495"/>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576E"/>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44D"/>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67C7"/>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AFF"/>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A8F"/>
    <w:rsid w:val="005F5342"/>
    <w:rsid w:val="005F55F5"/>
    <w:rsid w:val="005F5B74"/>
    <w:rsid w:val="005F5EC1"/>
    <w:rsid w:val="005F67A9"/>
    <w:rsid w:val="005F6B6D"/>
    <w:rsid w:val="005F73CA"/>
    <w:rsid w:val="006002FE"/>
    <w:rsid w:val="006008F8"/>
    <w:rsid w:val="00602100"/>
    <w:rsid w:val="006036C2"/>
    <w:rsid w:val="00605AAB"/>
    <w:rsid w:val="00606BEB"/>
    <w:rsid w:val="00607AC8"/>
    <w:rsid w:val="0061010C"/>
    <w:rsid w:val="0061014A"/>
    <w:rsid w:val="0061054B"/>
    <w:rsid w:val="006110FB"/>
    <w:rsid w:val="006114BB"/>
    <w:rsid w:val="00612625"/>
    <w:rsid w:val="00612FB0"/>
    <w:rsid w:val="0061315B"/>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32"/>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5D0"/>
    <w:rsid w:val="007446F7"/>
    <w:rsid w:val="00744C68"/>
    <w:rsid w:val="00744EBB"/>
    <w:rsid w:val="00745B0A"/>
    <w:rsid w:val="00745DBE"/>
    <w:rsid w:val="007468AC"/>
    <w:rsid w:val="00746AE2"/>
    <w:rsid w:val="00750C82"/>
    <w:rsid w:val="00750E3A"/>
    <w:rsid w:val="00751DA6"/>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9EB"/>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3E4"/>
    <w:rsid w:val="00801B85"/>
    <w:rsid w:val="00803850"/>
    <w:rsid w:val="008039E8"/>
    <w:rsid w:val="00804385"/>
    <w:rsid w:val="00804E0E"/>
    <w:rsid w:val="008051EB"/>
    <w:rsid w:val="0080588E"/>
    <w:rsid w:val="00805AFD"/>
    <w:rsid w:val="00806397"/>
    <w:rsid w:val="008078D8"/>
    <w:rsid w:val="0080798E"/>
    <w:rsid w:val="00811BD9"/>
    <w:rsid w:val="00811D5B"/>
    <w:rsid w:val="00813598"/>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6D95"/>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4896"/>
    <w:rsid w:val="00865207"/>
    <w:rsid w:val="008656A7"/>
    <w:rsid w:val="00865FA3"/>
    <w:rsid w:val="00866231"/>
    <w:rsid w:val="00871262"/>
    <w:rsid w:val="0087170E"/>
    <w:rsid w:val="00871D4E"/>
    <w:rsid w:val="00871E7B"/>
    <w:rsid w:val="008721BB"/>
    <w:rsid w:val="00873475"/>
    <w:rsid w:val="008734E7"/>
    <w:rsid w:val="0087514D"/>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6A53"/>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12EC"/>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26BF"/>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48BF"/>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B34"/>
    <w:rsid w:val="00B26CA0"/>
    <w:rsid w:val="00B27FEE"/>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546"/>
    <w:rsid w:val="00BA1824"/>
    <w:rsid w:val="00BA2D98"/>
    <w:rsid w:val="00BA2F0C"/>
    <w:rsid w:val="00BA30D1"/>
    <w:rsid w:val="00BA30E1"/>
    <w:rsid w:val="00BA4609"/>
    <w:rsid w:val="00BA5BE2"/>
    <w:rsid w:val="00BA60FC"/>
    <w:rsid w:val="00BA6A9C"/>
    <w:rsid w:val="00BA7F46"/>
    <w:rsid w:val="00BB0388"/>
    <w:rsid w:val="00BB07E2"/>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769"/>
    <w:rsid w:val="00C16BE4"/>
    <w:rsid w:val="00C16E9F"/>
    <w:rsid w:val="00C1713D"/>
    <w:rsid w:val="00C17523"/>
    <w:rsid w:val="00C177F1"/>
    <w:rsid w:val="00C17EE6"/>
    <w:rsid w:val="00C217F7"/>
    <w:rsid w:val="00C2272E"/>
    <w:rsid w:val="00C22F3A"/>
    <w:rsid w:val="00C23311"/>
    <w:rsid w:val="00C24AC3"/>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19CA"/>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2CFA"/>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23B"/>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74D7"/>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2F0E"/>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7C2B"/>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46AB"/>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2C80"/>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2E0F"/>
    <w:rsid w:val="00F130D0"/>
    <w:rsid w:val="00F13AC6"/>
    <w:rsid w:val="00F14933"/>
    <w:rsid w:val="00F1516A"/>
    <w:rsid w:val="00F15483"/>
    <w:rsid w:val="00F15EE5"/>
    <w:rsid w:val="00F171F9"/>
    <w:rsid w:val="00F1737C"/>
    <w:rsid w:val="00F173AA"/>
    <w:rsid w:val="00F20DA4"/>
    <w:rsid w:val="00F22A26"/>
    <w:rsid w:val="00F2361E"/>
    <w:rsid w:val="00F24072"/>
    <w:rsid w:val="00F24D86"/>
    <w:rsid w:val="00F26432"/>
    <w:rsid w:val="00F3197A"/>
    <w:rsid w:val="00F32139"/>
    <w:rsid w:val="00F33CF0"/>
    <w:rsid w:val="00F33D56"/>
    <w:rsid w:val="00F34E08"/>
    <w:rsid w:val="00F37B76"/>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7A"/>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4D7"/>
    <w:rsid w:val="00FE5509"/>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21123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2012-07-18T16:34:00Z</dcterms:created>
  <dcterms:modified xsi:type="dcterms:W3CDTF">2012-07-18T16:34:00Z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