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201D69">
      <w:pPr>
        <w:tabs>
          <w:tab w:val="left" w:pos="288"/>
          <w:tab w:val="left" w:pos="4752"/>
        </w:tabs>
        <w:rPr>
          <w:color w:val="000000" w:themeColor="text1"/>
        </w:rPr>
      </w:pPr>
      <w:r w:rsidRPr="001F29F9">
        <w:rPr>
          <w:color w:val="000000" w:themeColor="text1"/>
        </w:rPr>
        <w:t>RECORD OF PROCEEDINGS</w:t>
      </w:r>
    </w:p>
    <w:p w:rsidR="00540BEF" w:rsidRPr="001F29F9" w:rsidRDefault="00540BEF" w:rsidP="00201D69">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201D69">
      <w:pPr>
        <w:tabs>
          <w:tab w:val="left" w:pos="288"/>
          <w:tab w:val="left" w:pos="4752"/>
        </w:tabs>
        <w:jc w:val="both"/>
        <w:rPr>
          <w:caps/>
          <w:color w:val="000000" w:themeColor="text1"/>
        </w:rPr>
      </w:pPr>
    </w:p>
    <w:p w:rsidR="00E0346A" w:rsidRPr="00226AE4" w:rsidRDefault="00F629C0" w:rsidP="00201D69">
      <w:pPr>
        <w:tabs>
          <w:tab w:val="left" w:pos="288"/>
          <w:tab w:val="left" w:pos="4752"/>
          <w:tab w:val="left" w:pos="5130"/>
          <w:tab w:val="left" w:pos="9270"/>
        </w:tabs>
        <w:jc w:val="left"/>
        <w:rPr>
          <w:caps/>
          <w:color w:val="000000" w:themeColor="text1"/>
        </w:rPr>
      </w:pPr>
      <w:r w:rsidRPr="001F29F9">
        <w:rPr>
          <w:caps/>
          <w:color w:val="000000" w:themeColor="text1"/>
        </w:rPr>
        <w:t xml:space="preserve">NAME:  </w:t>
      </w:r>
      <w:r w:rsidR="005705CB">
        <w:rPr>
          <w:caps/>
          <w:color w:val="000000" w:themeColor="text1"/>
        </w:rPr>
        <w:t>XXXXXXXXXX</w:t>
      </w:r>
      <w:r w:rsidR="004216DA" w:rsidRPr="00226AE4">
        <w:rPr>
          <w:caps/>
          <w:color w:val="000000" w:themeColor="text1"/>
        </w:rPr>
        <w:t xml:space="preserve">            </w:t>
      </w:r>
      <w:r w:rsidR="007F5A51" w:rsidRPr="00226AE4">
        <w:rPr>
          <w:caps/>
          <w:color w:val="000000" w:themeColor="text1"/>
        </w:rPr>
        <w:tab/>
      </w:r>
      <w:r w:rsidR="007F5A51" w:rsidRPr="00226AE4">
        <w:rPr>
          <w:caps/>
          <w:color w:val="000000" w:themeColor="text1"/>
        </w:rPr>
        <w:tab/>
        <w:t xml:space="preserve">                      </w:t>
      </w:r>
      <w:r w:rsidR="00332DE3" w:rsidRPr="00226AE4">
        <w:rPr>
          <w:caps/>
          <w:color w:val="000000" w:themeColor="text1"/>
        </w:rPr>
        <w:t xml:space="preserve"> </w:t>
      </w:r>
      <w:r w:rsidRPr="00226AE4">
        <w:rPr>
          <w:caps/>
          <w:color w:val="000000" w:themeColor="text1"/>
        </w:rPr>
        <w:t xml:space="preserve">BRANCH OF SERVICE: </w:t>
      </w:r>
      <w:r w:rsidR="004C24C5" w:rsidRPr="00226AE4">
        <w:rPr>
          <w:caps/>
          <w:color w:val="000000" w:themeColor="text1"/>
        </w:rPr>
        <w:t xml:space="preserve"> </w:t>
      </w:r>
      <w:r w:rsidR="007F5A51" w:rsidRPr="00226AE4">
        <w:rPr>
          <w:caps/>
          <w:color w:val="000000" w:themeColor="text1"/>
        </w:rPr>
        <w:t xml:space="preserve">Army </w:t>
      </w:r>
    </w:p>
    <w:p w:rsidR="00DE3AAD" w:rsidRPr="001F29F9" w:rsidRDefault="00012733" w:rsidP="00201D69">
      <w:pPr>
        <w:tabs>
          <w:tab w:val="left" w:pos="288"/>
          <w:tab w:val="left" w:pos="4166"/>
          <w:tab w:val="left" w:pos="4752"/>
          <w:tab w:val="left" w:pos="5130"/>
          <w:tab w:val="left" w:pos="9270"/>
        </w:tabs>
        <w:jc w:val="left"/>
        <w:rPr>
          <w:caps/>
          <w:color w:val="000000" w:themeColor="text1"/>
        </w:rPr>
      </w:pPr>
      <w:r w:rsidRPr="00226AE4">
        <w:rPr>
          <w:caps/>
          <w:color w:val="000000" w:themeColor="text1"/>
        </w:rPr>
        <w:t>C</w:t>
      </w:r>
      <w:r w:rsidR="00DE3AAD" w:rsidRPr="00226AE4">
        <w:rPr>
          <w:caps/>
          <w:color w:val="000000" w:themeColor="text1"/>
        </w:rPr>
        <w:t>ASE NUMBER:  PD</w:t>
      </w:r>
      <w:r w:rsidR="008F58E1" w:rsidRPr="00226AE4">
        <w:rPr>
          <w:caps/>
          <w:color w:val="000000" w:themeColor="text1"/>
        </w:rPr>
        <w:t>11</w:t>
      </w:r>
      <w:r w:rsidR="00DE3AAD" w:rsidRPr="00226AE4">
        <w:rPr>
          <w:caps/>
          <w:color w:val="000000" w:themeColor="text1"/>
        </w:rPr>
        <w:t>00</w:t>
      </w:r>
      <w:r w:rsidR="00B8286E" w:rsidRPr="00226AE4">
        <w:rPr>
          <w:caps/>
          <w:color w:val="000000" w:themeColor="text1"/>
        </w:rPr>
        <w:t>987</w:t>
      </w:r>
      <w:r w:rsidR="00FD2F80">
        <w:rPr>
          <w:color w:val="000000" w:themeColor="text1"/>
        </w:rPr>
        <w:tab/>
      </w:r>
      <w:r w:rsidR="00FD2F80">
        <w:rPr>
          <w:color w:val="000000" w:themeColor="text1"/>
        </w:rPr>
        <w:tab/>
      </w:r>
      <w:r w:rsidR="00FD2F80">
        <w:rPr>
          <w:color w:val="000000" w:themeColor="text1"/>
        </w:rPr>
        <w:tab/>
        <w:t xml:space="preserve">                       </w:t>
      </w:r>
      <w:r w:rsidR="00DE3AAD" w:rsidRPr="00D2641C">
        <w:rPr>
          <w:color w:val="000000" w:themeColor="text1"/>
        </w:rPr>
        <w:t>SEPARATION DATE:  200</w:t>
      </w:r>
      <w:r w:rsidR="00B8286E" w:rsidRPr="00D2641C">
        <w:rPr>
          <w:color w:val="000000" w:themeColor="text1"/>
        </w:rPr>
        <w:t>30220</w:t>
      </w:r>
    </w:p>
    <w:p w:rsidR="00827B29" w:rsidRPr="00FD2F80" w:rsidRDefault="00FD7419" w:rsidP="00201D69">
      <w:pPr>
        <w:tabs>
          <w:tab w:val="left" w:pos="288"/>
          <w:tab w:val="left" w:pos="5130"/>
        </w:tabs>
        <w:jc w:val="left"/>
        <w:rPr>
          <w:color w:val="000000" w:themeColor="text1"/>
        </w:rPr>
      </w:pPr>
      <w:r>
        <w:rPr>
          <w:caps/>
          <w:color w:val="000000" w:themeColor="text1"/>
        </w:rPr>
        <w:t>BOARD DATE:  2012</w:t>
      </w:r>
      <w:r w:rsidR="00FD2F80">
        <w:rPr>
          <w:caps/>
          <w:color w:val="000000" w:themeColor="text1"/>
        </w:rPr>
        <w:t>07</w:t>
      </w:r>
      <w:r w:rsidR="00DB19FB">
        <w:rPr>
          <w:caps/>
          <w:color w:val="000000" w:themeColor="text1"/>
        </w:rPr>
        <w:t>06</w:t>
      </w:r>
      <w:r w:rsidR="003B2143" w:rsidRPr="001F29F9">
        <w:rPr>
          <w:caps/>
          <w:color w:val="000000" w:themeColor="text1"/>
        </w:rPr>
        <w:tab/>
      </w:r>
    </w:p>
    <w:p w:rsidR="00FD2F80" w:rsidRPr="001F29F9" w:rsidRDefault="00FD2F80" w:rsidP="00201D69">
      <w:pPr>
        <w:pBdr>
          <w:bottom w:val="single" w:sz="12" w:space="1" w:color="auto"/>
        </w:pBdr>
        <w:tabs>
          <w:tab w:val="left" w:pos="288"/>
          <w:tab w:val="left" w:pos="4752"/>
        </w:tabs>
        <w:jc w:val="both"/>
        <w:rPr>
          <w:color w:val="000000" w:themeColor="text1"/>
        </w:rPr>
      </w:pPr>
    </w:p>
    <w:p w:rsidR="00FD2F80" w:rsidRPr="001F29F9" w:rsidRDefault="00FD2F80" w:rsidP="00201D69">
      <w:pPr>
        <w:tabs>
          <w:tab w:val="left" w:pos="288"/>
          <w:tab w:val="left" w:pos="4752"/>
        </w:tabs>
        <w:jc w:val="both"/>
        <w:rPr>
          <w:color w:val="000000" w:themeColor="text1"/>
        </w:rPr>
      </w:pPr>
    </w:p>
    <w:p w:rsidR="00F63FC7" w:rsidRPr="00FD7419" w:rsidRDefault="00FB0E80" w:rsidP="00201D69">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 xml:space="preserve">an active </w:t>
      </w:r>
      <w:proofErr w:type="gramStart"/>
      <w:r w:rsidR="00E322F7" w:rsidRPr="001F29F9">
        <w:rPr>
          <w:color w:val="000000" w:themeColor="text1"/>
          <w:szCs w:val="24"/>
        </w:rPr>
        <w:t>duty</w:t>
      </w:r>
      <w:r w:rsidR="006D4E0E" w:rsidRPr="001F29F9">
        <w:rPr>
          <w:color w:val="000000" w:themeColor="text1"/>
          <w:szCs w:val="24"/>
        </w:rPr>
        <w:t xml:space="preserve"> </w:t>
      </w:r>
      <w:r w:rsidR="002E65E6" w:rsidRPr="001F29F9">
        <w:rPr>
          <w:color w:val="000000" w:themeColor="text1"/>
          <w:szCs w:val="24"/>
        </w:rPr>
        <w:t xml:space="preserve"> </w:t>
      </w:r>
      <w:r w:rsidR="00B8286E">
        <w:rPr>
          <w:color w:val="000000" w:themeColor="text1"/>
          <w:szCs w:val="24"/>
        </w:rPr>
        <w:t>SPC</w:t>
      </w:r>
      <w:proofErr w:type="gramEnd"/>
      <w:r w:rsidR="00B8286E">
        <w:rPr>
          <w:color w:val="000000" w:themeColor="text1"/>
          <w:szCs w:val="24"/>
        </w:rPr>
        <w:t>/E-4</w:t>
      </w:r>
      <w:r w:rsidR="00705C40" w:rsidRPr="001F29F9">
        <w:rPr>
          <w:color w:val="000000" w:themeColor="text1"/>
          <w:szCs w:val="24"/>
        </w:rPr>
        <w:t xml:space="preserve"> (</w:t>
      </w:r>
      <w:r w:rsidR="00B8286E">
        <w:rPr>
          <w:color w:val="000000" w:themeColor="text1"/>
          <w:szCs w:val="24"/>
        </w:rPr>
        <w:t>55B</w:t>
      </w:r>
      <w:r w:rsidR="00FD2F80">
        <w:rPr>
          <w:color w:val="000000" w:themeColor="text1"/>
          <w:szCs w:val="24"/>
        </w:rPr>
        <w:t xml:space="preserve">, </w:t>
      </w:r>
      <w:r w:rsidR="00B8286E">
        <w:rPr>
          <w:color w:val="000000" w:themeColor="text1"/>
          <w:szCs w:val="24"/>
        </w:rPr>
        <w:t>Ammo</w:t>
      </w:r>
      <w:r w:rsidR="00981605">
        <w:rPr>
          <w:color w:val="000000" w:themeColor="text1"/>
          <w:szCs w:val="24"/>
        </w:rPr>
        <w:t xml:space="preserve"> </w:t>
      </w:r>
      <w:r w:rsidR="00B8286E">
        <w:rPr>
          <w:color w:val="000000" w:themeColor="text1"/>
          <w:szCs w:val="24"/>
        </w:rPr>
        <w:t>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B8286E">
        <w:rPr>
          <w:color w:val="000000" w:themeColor="text1"/>
          <w:szCs w:val="24"/>
        </w:rPr>
        <w:t xml:space="preserve"> chronic </w:t>
      </w:r>
      <w:r w:rsidR="00981605">
        <w:rPr>
          <w:color w:val="000000" w:themeColor="text1"/>
          <w:szCs w:val="24"/>
        </w:rPr>
        <w:t xml:space="preserve">right shoulder </w:t>
      </w:r>
      <w:r w:rsidR="00B8286E">
        <w:rPr>
          <w:color w:val="000000" w:themeColor="text1"/>
          <w:szCs w:val="24"/>
        </w:rPr>
        <w:t>pain</w:t>
      </w:r>
      <w:r w:rsidR="00B8286E" w:rsidRPr="00FD7419">
        <w:rPr>
          <w:color w:val="000000" w:themeColor="text1"/>
          <w:szCs w:val="24"/>
        </w:rPr>
        <w:t>.</w:t>
      </w:r>
      <w:r w:rsidR="00981605">
        <w:rPr>
          <w:color w:val="000000" w:themeColor="text1"/>
          <w:szCs w:val="24"/>
        </w:rPr>
        <w:t xml:space="preserve">  </w:t>
      </w:r>
      <w:r w:rsidR="0064236D">
        <w:rPr>
          <w:color w:val="000000" w:themeColor="text1"/>
          <w:szCs w:val="24"/>
        </w:rPr>
        <w:t xml:space="preserve">He was treated, but did </w:t>
      </w:r>
      <w:r w:rsidR="00D2641C" w:rsidRPr="00B00EE6">
        <w:rPr>
          <w:color w:val="auto"/>
        </w:rPr>
        <w:t xml:space="preserve">not respond adequately to </w:t>
      </w:r>
      <w:r w:rsidR="00D2641C">
        <w:rPr>
          <w:color w:val="auto"/>
        </w:rPr>
        <w:t xml:space="preserve">fully </w:t>
      </w:r>
      <w:r w:rsidR="00D2641C" w:rsidRPr="00B00EE6">
        <w:rPr>
          <w:color w:val="auto"/>
        </w:rPr>
        <w:t xml:space="preserve">perform his </w:t>
      </w:r>
      <w:r w:rsidR="0064236D">
        <w:rPr>
          <w:color w:val="auto"/>
        </w:rPr>
        <w:t>m</w:t>
      </w:r>
      <w:r w:rsidR="00643C8F" w:rsidRPr="00D2641C">
        <w:rPr>
          <w:color w:val="000000" w:themeColor="text1"/>
          <w:szCs w:val="24"/>
        </w:rPr>
        <w:t xml:space="preserve">ilitary </w:t>
      </w:r>
      <w:r w:rsidR="0064236D">
        <w:rPr>
          <w:color w:val="000000" w:themeColor="text1"/>
          <w:szCs w:val="24"/>
        </w:rPr>
        <w:t>du</w:t>
      </w:r>
      <w:r w:rsidR="00012711">
        <w:rPr>
          <w:color w:val="000000" w:themeColor="text1"/>
          <w:szCs w:val="24"/>
        </w:rPr>
        <w:t>ties</w:t>
      </w:r>
      <w:r w:rsidR="0064236D">
        <w:rPr>
          <w:color w:val="000000" w:themeColor="text1"/>
          <w:szCs w:val="24"/>
        </w:rPr>
        <w:t xml:space="preserve"> </w:t>
      </w:r>
      <w:r w:rsidR="00643C8F" w:rsidRPr="00D2641C">
        <w:rPr>
          <w:color w:val="000000" w:themeColor="text1"/>
          <w:szCs w:val="24"/>
        </w:rPr>
        <w:t xml:space="preserve">or meet </w:t>
      </w:r>
      <w:r w:rsidR="00B8286E" w:rsidRPr="00D2641C">
        <w:rPr>
          <w:color w:val="000000" w:themeColor="text1"/>
          <w:szCs w:val="24"/>
        </w:rPr>
        <w:t>physical fitness standards.  He</w:t>
      </w:r>
      <w:r w:rsidR="00643C8F" w:rsidRPr="00D2641C">
        <w:rPr>
          <w:color w:val="000000" w:themeColor="text1"/>
          <w:szCs w:val="24"/>
        </w:rPr>
        <w:t xml:space="preserve"> was issued a </w:t>
      </w:r>
      <w:r w:rsidR="00B8286E" w:rsidRPr="00D2641C">
        <w:rPr>
          <w:color w:val="000000" w:themeColor="text1"/>
          <w:szCs w:val="24"/>
        </w:rPr>
        <w:t xml:space="preserve">permanent </w:t>
      </w:r>
      <w:r w:rsidR="00643C8F" w:rsidRPr="00D2641C">
        <w:rPr>
          <w:color w:val="000000" w:themeColor="text1"/>
          <w:szCs w:val="24"/>
        </w:rPr>
        <w:t>profile and underwent a Medical Evaluation Board (MEB).</w:t>
      </w:r>
      <w:r w:rsidR="00226AE4" w:rsidRPr="00D2641C">
        <w:rPr>
          <w:color w:val="000000" w:themeColor="text1"/>
          <w:szCs w:val="24"/>
        </w:rPr>
        <w:t xml:space="preserve">  Right </w:t>
      </w:r>
      <w:r w:rsidR="0064236D">
        <w:rPr>
          <w:color w:val="000000" w:themeColor="text1"/>
          <w:szCs w:val="24"/>
        </w:rPr>
        <w:t xml:space="preserve">shoulder pain </w:t>
      </w:r>
      <w:r w:rsidR="00226AE4" w:rsidRPr="00D2641C">
        <w:rPr>
          <w:color w:val="000000" w:themeColor="text1"/>
          <w:szCs w:val="24"/>
        </w:rPr>
        <w:t>was</w:t>
      </w:r>
      <w:r w:rsidR="000A33C8" w:rsidRPr="00D2641C">
        <w:rPr>
          <w:color w:val="000000" w:themeColor="text1"/>
          <w:szCs w:val="24"/>
        </w:rPr>
        <w:t xml:space="preserve"> forwarded to the Physical Evaluation Board (PEB) as medically unacceptable IAW AR 40-501</w:t>
      </w:r>
      <w:r w:rsidR="00376E08" w:rsidRPr="00D2641C">
        <w:rPr>
          <w:color w:val="000000" w:themeColor="text1"/>
          <w:szCs w:val="24"/>
        </w:rPr>
        <w:t>.</w:t>
      </w:r>
      <w:r w:rsidR="00226AE4" w:rsidRPr="00D2641C">
        <w:rPr>
          <w:color w:val="000000" w:themeColor="text1"/>
          <w:szCs w:val="24"/>
        </w:rPr>
        <w:t xml:space="preserve">  </w:t>
      </w:r>
      <w:r w:rsidR="001A5E62" w:rsidRPr="00D2641C">
        <w:rPr>
          <w:color w:val="000000" w:themeColor="text1"/>
          <w:szCs w:val="24"/>
        </w:rPr>
        <w:t xml:space="preserve">No other conditions appeared on the MEB’s submission.  </w:t>
      </w:r>
      <w:r w:rsidR="00842BAA" w:rsidRPr="00D2641C">
        <w:rPr>
          <w:color w:val="000000" w:themeColor="text1"/>
          <w:szCs w:val="24"/>
        </w:rPr>
        <w:t xml:space="preserve">The PEB </w:t>
      </w:r>
      <w:r w:rsidR="0064236D">
        <w:rPr>
          <w:color w:val="000000" w:themeColor="text1"/>
          <w:szCs w:val="24"/>
        </w:rPr>
        <w:t>found the right shoulder condition</w:t>
      </w:r>
      <w:r w:rsidR="00842BAA" w:rsidRPr="00D2641C">
        <w:rPr>
          <w:color w:val="000000" w:themeColor="text1"/>
          <w:szCs w:val="24"/>
        </w:rPr>
        <w:t xml:space="preserve"> unfitting, </w:t>
      </w:r>
      <w:r w:rsidR="0064236D">
        <w:rPr>
          <w:color w:val="000000" w:themeColor="text1"/>
          <w:szCs w:val="24"/>
        </w:rPr>
        <w:t xml:space="preserve">and </w:t>
      </w:r>
      <w:r w:rsidR="00842BAA" w:rsidRPr="00D2641C">
        <w:rPr>
          <w:color w:val="000000" w:themeColor="text1"/>
          <w:szCs w:val="24"/>
        </w:rPr>
        <w:t xml:space="preserve">rated </w:t>
      </w:r>
      <w:r w:rsidR="0064236D">
        <w:rPr>
          <w:color w:val="000000" w:themeColor="text1"/>
          <w:szCs w:val="24"/>
        </w:rPr>
        <w:t xml:space="preserve">it </w:t>
      </w:r>
      <w:r w:rsidR="00226AE4" w:rsidRPr="00D2641C">
        <w:rPr>
          <w:color w:val="000000" w:themeColor="text1"/>
          <w:szCs w:val="24"/>
        </w:rPr>
        <w:t>10%</w:t>
      </w:r>
      <w:r w:rsidR="0064236D">
        <w:rPr>
          <w:color w:val="000000" w:themeColor="text1"/>
          <w:szCs w:val="24"/>
        </w:rPr>
        <w:t xml:space="preserve"> IAW </w:t>
      </w:r>
      <w:r w:rsidR="00842BAA" w:rsidRPr="00D2641C">
        <w:rPr>
          <w:color w:val="000000" w:themeColor="text1"/>
          <w:szCs w:val="24"/>
        </w:rPr>
        <w:t>the US Army Physical Disability Agency (USAPDA) pain policy</w:t>
      </w:r>
      <w:r w:rsidR="00D2641C" w:rsidRPr="00D2641C">
        <w:rPr>
          <w:color w:val="000000" w:themeColor="text1"/>
          <w:szCs w:val="24"/>
        </w:rPr>
        <w:t xml:space="preserve">. </w:t>
      </w:r>
      <w:r w:rsidR="00B20624" w:rsidRPr="00D2641C">
        <w:rPr>
          <w:color w:val="000000" w:themeColor="text1"/>
        </w:rPr>
        <w:t xml:space="preserve">The CI </w:t>
      </w:r>
      <w:r w:rsidR="00190E48" w:rsidRPr="00D2641C">
        <w:rPr>
          <w:color w:val="000000" w:themeColor="text1"/>
        </w:rPr>
        <w:t xml:space="preserve">made no appeals, </w:t>
      </w:r>
      <w:r w:rsidR="00B20624" w:rsidRPr="00D2641C">
        <w:rPr>
          <w:color w:val="000000" w:themeColor="text1"/>
        </w:rPr>
        <w:t xml:space="preserve">and was </w:t>
      </w:r>
      <w:r w:rsidR="00012711">
        <w:rPr>
          <w:color w:val="000000" w:themeColor="text1"/>
        </w:rPr>
        <w:t xml:space="preserve">thus </w:t>
      </w:r>
      <w:r w:rsidR="00B20624" w:rsidRPr="00D2641C">
        <w:rPr>
          <w:color w:val="000000" w:themeColor="text1"/>
        </w:rPr>
        <w:t xml:space="preserve">medically separated with a </w:t>
      </w:r>
      <w:r w:rsidR="00226AE4" w:rsidRPr="00D2641C">
        <w:rPr>
          <w:color w:val="000000" w:themeColor="text1"/>
        </w:rPr>
        <w:t>10</w:t>
      </w:r>
      <w:r w:rsidR="00B20624" w:rsidRPr="00D2641C">
        <w:rPr>
          <w:color w:val="000000" w:themeColor="text1"/>
        </w:rPr>
        <w:t>% disability rating.</w:t>
      </w:r>
    </w:p>
    <w:p w:rsidR="004174F0" w:rsidRPr="001F29F9" w:rsidRDefault="004174F0" w:rsidP="00201D69">
      <w:pPr>
        <w:pBdr>
          <w:bottom w:val="single" w:sz="12" w:space="1" w:color="auto"/>
        </w:pBdr>
        <w:tabs>
          <w:tab w:val="left" w:pos="288"/>
          <w:tab w:val="left" w:pos="4752"/>
        </w:tabs>
        <w:jc w:val="both"/>
        <w:rPr>
          <w:color w:val="000000" w:themeColor="text1"/>
        </w:rPr>
      </w:pPr>
    </w:p>
    <w:p w:rsidR="004174F0" w:rsidRPr="001F29F9" w:rsidRDefault="004174F0" w:rsidP="00201D69">
      <w:pPr>
        <w:tabs>
          <w:tab w:val="left" w:pos="288"/>
          <w:tab w:val="left" w:pos="4752"/>
        </w:tabs>
        <w:jc w:val="both"/>
        <w:rPr>
          <w:color w:val="000000" w:themeColor="text1"/>
        </w:rPr>
      </w:pPr>
    </w:p>
    <w:p w:rsidR="00085D7B" w:rsidRPr="001F29F9" w:rsidRDefault="002C6E5B" w:rsidP="00201D69">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226AE4">
        <w:rPr>
          <w:color w:val="000000" w:themeColor="text1"/>
        </w:rPr>
        <w:t xml:space="preserve"> </w:t>
      </w:r>
      <w:r w:rsidR="00591264">
        <w:rPr>
          <w:color w:val="000000" w:themeColor="text1"/>
        </w:rPr>
        <w:t xml:space="preserve"> </w:t>
      </w:r>
      <w:r w:rsidR="00226AE4">
        <w:rPr>
          <w:color w:val="000000" w:themeColor="text1"/>
        </w:rPr>
        <w:t xml:space="preserve">“The rating did not take in account my limited range of motion or that I can move my shoulder. The code should be more like </w:t>
      </w:r>
      <w:proofErr w:type="gramStart"/>
      <w:r w:rsidR="00226AE4">
        <w:rPr>
          <w:color w:val="000000" w:themeColor="text1"/>
        </w:rPr>
        <w:t>5201,</w:t>
      </w:r>
      <w:proofErr w:type="gramEnd"/>
      <w:r w:rsidR="00226AE4">
        <w:rPr>
          <w:color w:val="000000" w:themeColor="text1"/>
        </w:rPr>
        <w:t xml:space="preserve"> I </w:t>
      </w:r>
      <w:proofErr w:type="spellStart"/>
      <w:r w:rsidR="00226AE4">
        <w:rPr>
          <w:color w:val="000000" w:themeColor="text1"/>
        </w:rPr>
        <w:t>can not</w:t>
      </w:r>
      <w:proofErr w:type="spellEnd"/>
      <w:r w:rsidR="00226AE4">
        <w:rPr>
          <w:color w:val="000000" w:themeColor="text1"/>
        </w:rPr>
        <w:t xml:space="preserve"> move my shoulder more</w:t>
      </w:r>
      <w:r w:rsidR="00591264">
        <w:rPr>
          <w:color w:val="000000" w:themeColor="text1"/>
        </w:rPr>
        <w:t xml:space="preserve"> than 80 degrees straight </w:t>
      </w:r>
      <w:r w:rsidR="00226AE4">
        <w:rPr>
          <w:color w:val="000000" w:themeColor="text1"/>
        </w:rPr>
        <w:t xml:space="preserve">up.  The code I was given for arthritis does not take into account the lack of motion.  Also I was on narcotic pain killers for years after discharge.”  </w:t>
      </w:r>
    </w:p>
    <w:p w:rsidR="004174F0" w:rsidRPr="001F29F9" w:rsidRDefault="004174F0" w:rsidP="00201D69">
      <w:pPr>
        <w:pBdr>
          <w:bottom w:val="single" w:sz="12" w:space="1" w:color="auto"/>
        </w:pBdr>
        <w:tabs>
          <w:tab w:val="left" w:pos="288"/>
          <w:tab w:val="left" w:pos="4752"/>
        </w:tabs>
        <w:jc w:val="both"/>
        <w:rPr>
          <w:color w:val="000000" w:themeColor="text1"/>
        </w:rPr>
      </w:pPr>
    </w:p>
    <w:p w:rsidR="004174F0" w:rsidRPr="001F29F9" w:rsidRDefault="004174F0" w:rsidP="00201D69">
      <w:pPr>
        <w:tabs>
          <w:tab w:val="left" w:pos="288"/>
          <w:tab w:val="left" w:pos="4752"/>
        </w:tabs>
        <w:jc w:val="both"/>
        <w:rPr>
          <w:color w:val="000000" w:themeColor="text1"/>
        </w:rPr>
      </w:pPr>
    </w:p>
    <w:p w:rsidR="002A58E7" w:rsidRPr="008D5D3F" w:rsidRDefault="002A58E7" w:rsidP="00201D69">
      <w:pPr>
        <w:jc w:val="both"/>
        <w:rPr>
          <w:color w:val="auto"/>
        </w:rPr>
      </w:pPr>
      <w:r w:rsidRPr="000464DC">
        <w:rPr>
          <w:color w:val="auto"/>
          <w:u w:val="single"/>
        </w:rPr>
        <w:t>SCOPE OF REVIEW</w:t>
      </w:r>
      <w:r w:rsidRPr="000464DC">
        <w:rPr>
          <w:color w:val="auto"/>
        </w:rPr>
        <w:t xml:space="preserve">:  The Board’s scope of review, as defined in </w:t>
      </w:r>
      <w:proofErr w:type="spellStart"/>
      <w:r w:rsidRPr="000464DC">
        <w:rPr>
          <w:color w:val="auto"/>
        </w:rPr>
        <w:t>DoDI</w:t>
      </w:r>
      <w:proofErr w:type="spellEnd"/>
      <w:r w:rsidRPr="000464DC">
        <w:rPr>
          <w:color w:val="auto"/>
        </w:rPr>
        <w:t xml:space="preserve"> 6040.44, is limited to those conditions which were determined by the PEB to be unfitting for continued military service; or, when requested by the CI, those condition</w:t>
      </w:r>
      <w:r w:rsidR="00012711">
        <w:rPr>
          <w:color w:val="auto"/>
        </w:rPr>
        <w:t>s</w:t>
      </w:r>
      <w:r w:rsidRPr="000464DC">
        <w:rPr>
          <w:color w:val="auto"/>
        </w:rPr>
        <w:t xml:space="preserve"> identified but not determined to be unfitting by the PEB.  In this case</w:t>
      </w:r>
      <w:r>
        <w:rPr>
          <w:color w:val="auto"/>
        </w:rPr>
        <w:t xml:space="preserve">, the </w:t>
      </w:r>
      <w:proofErr w:type="gramStart"/>
      <w:r>
        <w:rPr>
          <w:color w:val="auto"/>
        </w:rPr>
        <w:t>right shoulder</w:t>
      </w:r>
      <w:proofErr w:type="gramEnd"/>
      <w:r>
        <w:rPr>
          <w:color w:val="auto"/>
        </w:rPr>
        <w:t xml:space="preserve"> condition (shou</w:t>
      </w:r>
      <w:r w:rsidR="000A5EEE">
        <w:rPr>
          <w:color w:val="auto"/>
        </w:rPr>
        <w:t>lder pain, with decreased range-of-</w:t>
      </w:r>
      <w:r>
        <w:rPr>
          <w:color w:val="auto"/>
        </w:rPr>
        <w:t>motion</w:t>
      </w:r>
      <w:r w:rsidR="000A5EEE">
        <w:rPr>
          <w:color w:val="auto"/>
        </w:rPr>
        <w:t xml:space="preserve"> (ROM)</w:t>
      </w:r>
      <w:r>
        <w:rPr>
          <w:color w:val="auto"/>
        </w:rPr>
        <w:t>) meets</w:t>
      </w:r>
      <w:r w:rsidRPr="000464DC">
        <w:rPr>
          <w:color w:val="auto"/>
        </w:rPr>
        <w:t xml:space="preserve"> the criteria prescribed in </w:t>
      </w:r>
      <w:proofErr w:type="spellStart"/>
      <w:r w:rsidRPr="000464DC">
        <w:rPr>
          <w:color w:val="auto"/>
        </w:rPr>
        <w:t>DoDI</w:t>
      </w:r>
      <w:proofErr w:type="spellEnd"/>
      <w:r w:rsidRPr="000464DC">
        <w:rPr>
          <w:color w:val="auto"/>
        </w:rPr>
        <w:t xml:space="preserve"> 6040.44 for Board purview, and </w:t>
      </w:r>
      <w:r>
        <w:rPr>
          <w:color w:val="auto"/>
        </w:rPr>
        <w:t>is</w:t>
      </w:r>
      <w:r w:rsidRPr="000464DC">
        <w:rPr>
          <w:color w:val="auto"/>
        </w:rPr>
        <w:t xml:space="preserve"> addressed below.  </w:t>
      </w:r>
      <w:r>
        <w:rPr>
          <w:color w:val="auto"/>
        </w:rPr>
        <w:t>Any other conditions are</w:t>
      </w:r>
      <w:r w:rsidRPr="000464DC">
        <w:rPr>
          <w:color w:val="auto"/>
        </w:rPr>
        <w:t xml:space="preserve"> outside the Board’s scope of review, but </w:t>
      </w:r>
      <w:r>
        <w:rPr>
          <w:color w:val="auto"/>
        </w:rPr>
        <w:t>may be</w:t>
      </w:r>
      <w:r w:rsidRPr="000464DC">
        <w:rPr>
          <w:color w:val="auto"/>
        </w:rPr>
        <w:t xml:space="preserve"> eligible for future consideration by the Army Board for the Correction of Military Records (ABCMR).</w:t>
      </w:r>
      <w:r>
        <w:rPr>
          <w:color w:val="auto"/>
        </w:rPr>
        <w:t xml:space="preserve"> </w:t>
      </w:r>
    </w:p>
    <w:p w:rsidR="002A58E7" w:rsidRPr="00F64312" w:rsidRDefault="002A58E7" w:rsidP="00201D69">
      <w:pPr>
        <w:pBdr>
          <w:bottom w:val="single" w:sz="12" w:space="1" w:color="auto"/>
        </w:pBdr>
        <w:tabs>
          <w:tab w:val="left" w:pos="288"/>
          <w:tab w:val="left" w:pos="4752"/>
        </w:tabs>
        <w:jc w:val="both"/>
        <w:rPr>
          <w:color w:val="auto"/>
        </w:rPr>
      </w:pPr>
    </w:p>
    <w:p w:rsidR="002A58E7" w:rsidRPr="00F64312" w:rsidRDefault="002A58E7" w:rsidP="00201D69">
      <w:pPr>
        <w:jc w:val="both"/>
        <w:rPr>
          <w:color w:val="auto"/>
          <w:u w:val="single"/>
        </w:rPr>
      </w:pPr>
    </w:p>
    <w:p w:rsidR="00226AE4" w:rsidRPr="001F29F9" w:rsidRDefault="007F0AB7" w:rsidP="00201D69">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201D69">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430"/>
        <w:gridCol w:w="1080"/>
        <w:gridCol w:w="720"/>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591264" w:rsidP="00201D69">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226AE4">
              <w:rPr>
                <w:rFonts w:ascii="Calibri" w:hAnsi="Calibri" w:cs="Calibri"/>
                <w:b/>
                <w:color w:val="000000" w:themeColor="text1"/>
                <w:sz w:val="18"/>
                <w:szCs w:val="18"/>
              </w:rPr>
              <w:t>21126</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557B7A">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00557B7A">
              <w:rPr>
                <w:rFonts w:ascii="Calibri" w:hAnsi="Calibri" w:cs="Calibri"/>
                <w:b/>
                <w:color w:val="000000" w:themeColor="text1"/>
                <w:sz w:val="18"/>
                <w:szCs w:val="18"/>
              </w:rPr>
              <w:t>d</w:t>
            </w:r>
            <w:r w:rsidR="00591264">
              <w:rPr>
                <w:rFonts w:ascii="Calibri" w:hAnsi="Calibri" w:cs="Calibri"/>
                <w:b/>
                <w:color w:val="000000" w:themeColor="text1"/>
                <w:sz w:val="18"/>
                <w:szCs w:val="18"/>
              </w:rPr>
              <w:t>a</w:t>
            </w:r>
            <w:r w:rsidR="00557B7A">
              <w:rPr>
                <w:rFonts w:ascii="Calibri" w:hAnsi="Calibri" w:cs="Calibri"/>
                <w:b/>
                <w:color w:val="000000" w:themeColor="text1"/>
                <w:sz w:val="18"/>
                <w:szCs w:val="18"/>
              </w:rPr>
              <w:t>ys</w:t>
            </w:r>
            <w:r w:rsidRPr="00557B7A">
              <w:rPr>
                <w:rFonts w:ascii="Calibri" w:hAnsi="Calibri" w:cs="Calibri"/>
                <w:b/>
                <w:color w:val="000000" w:themeColor="text1"/>
                <w:sz w:val="18"/>
                <w:szCs w:val="18"/>
              </w:rPr>
              <w:t xml:space="preserve"> </w:t>
            </w:r>
            <w:r w:rsidR="00591264">
              <w:rPr>
                <w:rFonts w:ascii="Calibri" w:hAnsi="Calibri" w:cs="Calibri"/>
                <w:b/>
                <w:color w:val="000000" w:themeColor="text1"/>
                <w:sz w:val="18"/>
                <w:szCs w:val="18"/>
              </w:rPr>
              <w:t>Post-</w:t>
            </w:r>
            <w:r w:rsidRPr="00557B7A">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w:t>
            </w:r>
            <w:r w:rsidR="002D08F3" w:rsidRPr="001F29F9">
              <w:rPr>
                <w:rFonts w:ascii="Calibri" w:hAnsi="Calibri" w:cs="Calibri"/>
                <w:b/>
                <w:color w:val="000000" w:themeColor="text1"/>
                <w:sz w:val="18"/>
                <w:szCs w:val="18"/>
              </w:rPr>
              <w:t>200</w:t>
            </w:r>
            <w:r w:rsidR="00557B7A">
              <w:rPr>
                <w:rFonts w:ascii="Calibri" w:hAnsi="Calibri" w:cs="Calibri"/>
                <w:b/>
                <w:color w:val="000000" w:themeColor="text1"/>
                <w:sz w:val="18"/>
                <w:szCs w:val="18"/>
              </w:rPr>
              <w:t>30221</w:t>
            </w:r>
          </w:p>
        </w:tc>
      </w:tr>
      <w:tr w:rsidR="002B4E22" w:rsidRPr="001F29F9" w:rsidTr="006D2436">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6D2436">
        <w:trPr>
          <w:trHeight w:val="287"/>
          <w:jc w:val="center"/>
        </w:trPr>
        <w:tc>
          <w:tcPr>
            <w:tcW w:w="2178" w:type="dxa"/>
            <w:tcBorders>
              <w:right w:val="single" w:sz="4" w:space="0" w:color="auto"/>
            </w:tcBorders>
            <w:shd w:val="clear" w:color="auto" w:fill="FFFFFF" w:themeFill="background1"/>
            <w:vAlign w:val="center"/>
          </w:tcPr>
          <w:p w:rsidR="00BC5860" w:rsidRPr="001F29F9" w:rsidRDefault="00012711" w:rsidP="00012711">
            <w:pPr>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w:t>
            </w:r>
            <w:r w:rsidR="00981605">
              <w:rPr>
                <w:rFonts w:ascii="Calibri" w:hAnsi="Calibri" w:cs="Calibri"/>
                <w:color w:val="000000" w:themeColor="text1"/>
                <w:sz w:val="18"/>
                <w:szCs w:val="18"/>
              </w:rPr>
              <w:t xml:space="preserve"> </w:t>
            </w:r>
            <w:r w:rsidR="00226AE4">
              <w:rPr>
                <w:rFonts w:ascii="Calibri" w:hAnsi="Calibri" w:cs="Calibri"/>
                <w:color w:val="000000" w:themeColor="text1"/>
                <w:sz w:val="18"/>
                <w:szCs w:val="18"/>
              </w:rPr>
              <w:t>Shoulder</w:t>
            </w:r>
            <w:r w:rsidR="00981605">
              <w:rPr>
                <w:rFonts w:ascii="Calibri" w:hAnsi="Calibri" w:cs="Calibri"/>
                <w:color w:val="000000" w:themeColor="text1"/>
                <w:sz w:val="18"/>
                <w:szCs w:val="18"/>
              </w:rPr>
              <w:t xml:space="preserve"> Pain</w:t>
            </w:r>
          </w:p>
        </w:tc>
        <w:tc>
          <w:tcPr>
            <w:tcW w:w="1080" w:type="dxa"/>
            <w:tcBorders>
              <w:left w:val="single" w:sz="4" w:space="0" w:color="auto"/>
            </w:tcBorders>
            <w:shd w:val="clear" w:color="auto" w:fill="FFFFFF" w:themeFill="background1"/>
            <w:vAlign w:val="center"/>
          </w:tcPr>
          <w:p w:rsidR="00BC5860" w:rsidRPr="001F29F9" w:rsidRDefault="00226AE4" w:rsidP="00201D69">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BC5860" w:rsidRPr="001F29F9" w:rsidRDefault="00226AE4" w:rsidP="00201D69">
            <w:pPr>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BC5860" w:rsidRPr="001F29F9" w:rsidRDefault="00C03C21" w:rsidP="00201D69">
            <w:pPr>
              <w:contextualSpacing/>
              <w:jc w:val="lef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C</w:t>
            </w:r>
            <w:r w:rsidR="006D2436">
              <w:rPr>
                <w:rFonts w:ascii="Calibri" w:hAnsi="Calibri" w:cs="Calibri"/>
                <w:color w:val="000000" w:themeColor="text1"/>
                <w:sz w:val="18"/>
                <w:szCs w:val="18"/>
              </w:rPr>
              <w:t xml:space="preserve">hronic Right </w:t>
            </w:r>
            <w:r w:rsidR="00226AE4">
              <w:rPr>
                <w:rFonts w:ascii="Calibri" w:hAnsi="Calibri" w:cs="Calibri"/>
                <w:color w:val="000000" w:themeColor="text1"/>
                <w:sz w:val="18"/>
                <w:szCs w:val="18"/>
              </w:rPr>
              <w:t>Shoulde</w:t>
            </w:r>
            <w:r w:rsidR="006D2436">
              <w:rPr>
                <w:rFonts w:ascii="Calibri" w:hAnsi="Calibri" w:cs="Calibri"/>
                <w:color w:val="000000" w:themeColor="text1"/>
                <w:sz w:val="18"/>
                <w:szCs w:val="18"/>
              </w:rPr>
              <w:t>r</w:t>
            </w:r>
            <w:r w:rsidR="00226AE4">
              <w:rPr>
                <w:rFonts w:ascii="Calibri" w:hAnsi="Calibri" w:cs="Calibri"/>
                <w:color w:val="000000" w:themeColor="text1"/>
                <w:sz w:val="18"/>
                <w:szCs w:val="18"/>
              </w:rPr>
              <w:t xml:space="preserve"> Strain</w:t>
            </w:r>
          </w:p>
        </w:tc>
        <w:tc>
          <w:tcPr>
            <w:tcW w:w="1080" w:type="dxa"/>
            <w:shd w:val="clear" w:color="auto" w:fill="FFFFFF" w:themeFill="background1"/>
            <w:vAlign w:val="center"/>
          </w:tcPr>
          <w:p w:rsidR="00BC5860" w:rsidRPr="001F29F9" w:rsidRDefault="00226AE4" w:rsidP="00201D69">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5299-5201</w:t>
            </w:r>
          </w:p>
        </w:tc>
        <w:tc>
          <w:tcPr>
            <w:tcW w:w="720" w:type="dxa"/>
            <w:shd w:val="clear" w:color="auto" w:fill="FFFFFF" w:themeFill="background1"/>
            <w:vAlign w:val="center"/>
          </w:tcPr>
          <w:p w:rsidR="00BC5860" w:rsidRPr="001F29F9" w:rsidRDefault="00226AE4" w:rsidP="00201D69">
            <w:pPr>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201D69">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226AE4">
              <w:rPr>
                <w:rFonts w:ascii="Calibri" w:hAnsi="Calibri" w:cs="Calibri"/>
                <w:color w:val="000000" w:themeColor="text1"/>
                <w:sz w:val="18"/>
                <w:szCs w:val="18"/>
              </w:rPr>
              <w:t>21015</w:t>
            </w:r>
          </w:p>
        </w:tc>
      </w:tr>
      <w:tr w:rsidR="007A65A9" w:rsidRPr="001F29F9" w:rsidTr="00981605">
        <w:trPr>
          <w:trHeight w:val="157"/>
          <w:jc w:val="center"/>
        </w:trPr>
        <w:tc>
          <w:tcPr>
            <w:tcW w:w="4158" w:type="dxa"/>
            <w:gridSpan w:val="3"/>
            <w:tcBorders>
              <w:right w:val="thinThickThinSmallGap" w:sz="24" w:space="0" w:color="auto"/>
            </w:tcBorders>
            <w:shd w:val="clear" w:color="auto" w:fill="FFFFFF" w:themeFill="background1"/>
          </w:tcPr>
          <w:p w:rsidR="00BC5860" w:rsidRPr="001F29F9" w:rsidRDefault="00557B7A" w:rsidP="00201D69">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BC5860" w:rsidP="00201D69">
            <w:pPr>
              <w:contextualSpacing/>
              <w:rPr>
                <w:rFonts w:ascii="Calibri" w:eastAsia="Times New Roman" w:hAnsi="Calibri" w:cs="Calibri"/>
                <w:color w:val="000000" w:themeColor="text1"/>
                <w:sz w:val="18"/>
                <w:szCs w:val="18"/>
              </w:rPr>
            </w:pPr>
          </w:p>
        </w:tc>
        <w:tc>
          <w:tcPr>
            <w:tcW w:w="990" w:type="dxa"/>
            <w:shd w:val="clear" w:color="auto" w:fill="FFFFFF" w:themeFill="background1"/>
            <w:vAlign w:val="center"/>
          </w:tcPr>
          <w:p w:rsidR="00BC5860" w:rsidRPr="001F29F9" w:rsidRDefault="00BC5860" w:rsidP="00201D69">
            <w:pPr>
              <w:contextualSpacing/>
              <w:rPr>
                <w:rFonts w:ascii="Calibri" w:eastAsia="Times New Roman" w:hAnsi="Calibri" w:cs="Calibri"/>
                <w:color w:val="000000" w:themeColor="text1"/>
                <w:sz w:val="18"/>
                <w:szCs w:val="18"/>
              </w:rPr>
            </w:pP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557B7A">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201D6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57B7A">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201D69">
      <w:pPr>
        <w:pBdr>
          <w:bottom w:val="single" w:sz="12" w:space="1" w:color="auto"/>
        </w:pBdr>
        <w:tabs>
          <w:tab w:val="left" w:pos="288"/>
          <w:tab w:val="left" w:pos="4752"/>
        </w:tabs>
        <w:jc w:val="both"/>
        <w:rPr>
          <w:color w:val="000000" w:themeColor="text1"/>
          <w:szCs w:val="24"/>
        </w:rPr>
      </w:pPr>
    </w:p>
    <w:p w:rsidR="009369A6" w:rsidRPr="001F29F9" w:rsidRDefault="009369A6" w:rsidP="00201D69">
      <w:pPr>
        <w:rPr>
          <w:color w:val="000000" w:themeColor="text1"/>
        </w:rPr>
      </w:pPr>
    </w:p>
    <w:p w:rsidR="004C60A3" w:rsidRPr="00591264" w:rsidRDefault="00D2641C" w:rsidP="00201D69">
      <w:pPr>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Pr>
          <w:rFonts w:asciiTheme="minorHAnsi" w:hAnsiTheme="minorHAnsi"/>
          <w:color w:val="auto"/>
          <w:szCs w:val="24"/>
        </w:rPr>
        <w:t xml:space="preserve">  </w:t>
      </w:r>
    </w:p>
    <w:p w:rsidR="003A76AB" w:rsidRPr="001F29F9" w:rsidRDefault="003A76AB" w:rsidP="00201D69">
      <w:pPr>
        <w:jc w:val="left"/>
        <w:rPr>
          <w:color w:val="000000" w:themeColor="text1"/>
          <w:szCs w:val="24"/>
          <w:highlight w:val="yellow"/>
        </w:rPr>
      </w:pPr>
    </w:p>
    <w:p w:rsidR="00981605" w:rsidRDefault="003F2EEE" w:rsidP="00201D69">
      <w:pPr>
        <w:jc w:val="both"/>
        <w:rPr>
          <w:color w:val="000000" w:themeColor="text1"/>
          <w:szCs w:val="24"/>
        </w:rPr>
      </w:pPr>
      <w:proofErr w:type="gramStart"/>
      <w:r w:rsidRPr="00FD7419">
        <w:rPr>
          <w:color w:val="000000" w:themeColor="text1"/>
          <w:szCs w:val="24"/>
          <w:u w:val="single"/>
        </w:rPr>
        <w:t xml:space="preserve">Right </w:t>
      </w:r>
      <w:r w:rsidR="00FD7419" w:rsidRPr="00FD7419">
        <w:rPr>
          <w:color w:val="000000" w:themeColor="text1"/>
          <w:szCs w:val="24"/>
          <w:u w:val="single"/>
        </w:rPr>
        <w:t>Shoulder</w:t>
      </w:r>
      <w:r w:rsidR="0080588E" w:rsidRPr="00FD7419">
        <w:rPr>
          <w:color w:val="000000" w:themeColor="text1"/>
          <w:szCs w:val="24"/>
          <w:u w:val="single"/>
        </w:rPr>
        <w:t xml:space="preserve"> </w:t>
      </w:r>
      <w:r w:rsidRPr="00FD7419">
        <w:rPr>
          <w:color w:val="000000" w:themeColor="text1"/>
          <w:szCs w:val="24"/>
          <w:u w:val="single"/>
        </w:rPr>
        <w:t>Condition</w:t>
      </w:r>
      <w:r w:rsidR="00981605">
        <w:rPr>
          <w:color w:val="000000" w:themeColor="text1"/>
          <w:szCs w:val="24"/>
        </w:rPr>
        <w:t>.</w:t>
      </w:r>
      <w:proofErr w:type="gramEnd"/>
      <w:r w:rsidR="00981605">
        <w:rPr>
          <w:color w:val="000000" w:themeColor="text1"/>
          <w:szCs w:val="24"/>
        </w:rPr>
        <w:t xml:space="preserve">  I</w:t>
      </w:r>
      <w:r w:rsidR="00981605" w:rsidRPr="00FD7419">
        <w:rPr>
          <w:color w:val="000000" w:themeColor="text1"/>
          <w:szCs w:val="24"/>
        </w:rPr>
        <w:t>n September 2000</w:t>
      </w:r>
      <w:r w:rsidR="00981605">
        <w:rPr>
          <w:color w:val="000000" w:themeColor="text1"/>
          <w:szCs w:val="24"/>
        </w:rPr>
        <w:t xml:space="preserve">, the CI reported </w:t>
      </w:r>
      <w:r w:rsidR="00981605" w:rsidRPr="00FD7419">
        <w:rPr>
          <w:color w:val="000000" w:themeColor="text1"/>
          <w:szCs w:val="24"/>
        </w:rPr>
        <w:t>r</w:t>
      </w:r>
      <w:r w:rsidR="00981605">
        <w:rPr>
          <w:color w:val="000000" w:themeColor="text1"/>
          <w:szCs w:val="24"/>
        </w:rPr>
        <w:t>ight shoulder pain after performing</w:t>
      </w:r>
      <w:r w:rsidR="00981605" w:rsidRPr="00FD7419">
        <w:rPr>
          <w:color w:val="000000" w:themeColor="text1"/>
          <w:szCs w:val="24"/>
        </w:rPr>
        <w:t xml:space="preserve"> push-ups. </w:t>
      </w:r>
      <w:r w:rsidR="00981605">
        <w:rPr>
          <w:color w:val="000000" w:themeColor="text1"/>
          <w:szCs w:val="24"/>
        </w:rPr>
        <w:t xml:space="preserve"> He received several months </w:t>
      </w:r>
      <w:proofErr w:type="gramStart"/>
      <w:r w:rsidR="00981605">
        <w:rPr>
          <w:color w:val="000000" w:themeColor="text1"/>
          <w:szCs w:val="24"/>
        </w:rPr>
        <w:t>of  physical</w:t>
      </w:r>
      <w:proofErr w:type="gramEnd"/>
      <w:r w:rsidR="00981605">
        <w:rPr>
          <w:color w:val="000000" w:themeColor="text1"/>
          <w:szCs w:val="24"/>
        </w:rPr>
        <w:t xml:space="preserve"> therapy</w:t>
      </w:r>
      <w:r w:rsidR="00981605" w:rsidRPr="00FD7419">
        <w:rPr>
          <w:color w:val="000000" w:themeColor="text1"/>
          <w:szCs w:val="24"/>
        </w:rPr>
        <w:t xml:space="preserve"> </w:t>
      </w:r>
      <w:r w:rsidR="00981605">
        <w:rPr>
          <w:color w:val="000000" w:themeColor="text1"/>
          <w:szCs w:val="24"/>
        </w:rPr>
        <w:t xml:space="preserve">(PT) </w:t>
      </w:r>
      <w:r w:rsidR="00981605" w:rsidRPr="00FD7419">
        <w:rPr>
          <w:color w:val="000000" w:themeColor="text1"/>
          <w:szCs w:val="24"/>
        </w:rPr>
        <w:t>without significant improvement.</w:t>
      </w:r>
      <w:r w:rsidR="00981605">
        <w:rPr>
          <w:color w:val="000000" w:themeColor="text1"/>
          <w:szCs w:val="24"/>
        </w:rPr>
        <w:t xml:space="preserve">  Magnetic resonance imaging (MRI) in July 2001 showed </w:t>
      </w:r>
      <w:r w:rsidR="00981605" w:rsidRPr="00FD7419">
        <w:rPr>
          <w:color w:val="000000" w:themeColor="text1"/>
          <w:szCs w:val="24"/>
        </w:rPr>
        <w:t xml:space="preserve">a possible </w:t>
      </w:r>
      <w:proofErr w:type="spellStart"/>
      <w:r w:rsidR="00981605" w:rsidRPr="00FD7419">
        <w:rPr>
          <w:color w:val="000000" w:themeColor="text1"/>
          <w:szCs w:val="24"/>
        </w:rPr>
        <w:t>labral</w:t>
      </w:r>
      <w:proofErr w:type="spellEnd"/>
      <w:r w:rsidR="00981605" w:rsidRPr="00FD7419">
        <w:rPr>
          <w:color w:val="000000" w:themeColor="text1"/>
          <w:szCs w:val="24"/>
        </w:rPr>
        <w:t xml:space="preserve"> tear</w:t>
      </w:r>
      <w:r w:rsidR="00286140">
        <w:rPr>
          <w:color w:val="000000" w:themeColor="text1"/>
          <w:szCs w:val="24"/>
        </w:rPr>
        <w:t>.</w:t>
      </w:r>
      <w:r w:rsidR="00981605">
        <w:rPr>
          <w:color w:val="000000" w:themeColor="text1"/>
          <w:szCs w:val="24"/>
        </w:rPr>
        <w:t xml:space="preserve"> </w:t>
      </w:r>
      <w:r w:rsidR="00286140">
        <w:rPr>
          <w:color w:val="000000" w:themeColor="text1"/>
          <w:szCs w:val="24"/>
        </w:rPr>
        <w:t>In</w:t>
      </w:r>
      <w:r w:rsidR="00981605">
        <w:rPr>
          <w:color w:val="000000" w:themeColor="text1"/>
          <w:szCs w:val="24"/>
        </w:rPr>
        <w:t xml:space="preserve"> November 2001, </w:t>
      </w:r>
      <w:r w:rsidR="00981605" w:rsidRPr="00FD7419">
        <w:rPr>
          <w:color w:val="000000" w:themeColor="text1"/>
          <w:szCs w:val="24"/>
        </w:rPr>
        <w:t xml:space="preserve">he </w:t>
      </w:r>
      <w:r w:rsidR="0053093E">
        <w:rPr>
          <w:color w:val="000000" w:themeColor="text1"/>
          <w:szCs w:val="24"/>
        </w:rPr>
        <w:t>had</w:t>
      </w:r>
      <w:r w:rsidR="00981605">
        <w:rPr>
          <w:color w:val="000000" w:themeColor="text1"/>
          <w:szCs w:val="24"/>
        </w:rPr>
        <w:t xml:space="preserve"> right </w:t>
      </w:r>
      <w:r w:rsidR="00981605" w:rsidRPr="00FD7419">
        <w:rPr>
          <w:color w:val="000000" w:themeColor="text1"/>
          <w:szCs w:val="24"/>
        </w:rPr>
        <w:t>shoulder</w:t>
      </w:r>
      <w:r w:rsidR="00981605">
        <w:rPr>
          <w:color w:val="000000" w:themeColor="text1"/>
          <w:szCs w:val="24"/>
        </w:rPr>
        <w:t xml:space="preserve"> arthroscopy which </w:t>
      </w:r>
      <w:r w:rsidR="00286140">
        <w:rPr>
          <w:color w:val="000000" w:themeColor="text1"/>
          <w:szCs w:val="24"/>
        </w:rPr>
        <w:t xml:space="preserve">was essentially unremarkable.  He </w:t>
      </w:r>
      <w:r w:rsidR="00286140">
        <w:rPr>
          <w:color w:val="000000" w:themeColor="text1"/>
          <w:szCs w:val="24"/>
        </w:rPr>
        <w:lastRenderedPageBreak/>
        <w:t xml:space="preserve">then </w:t>
      </w:r>
      <w:r w:rsidR="0053093E">
        <w:rPr>
          <w:color w:val="000000" w:themeColor="text1"/>
          <w:szCs w:val="24"/>
        </w:rPr>
        <w:t>underwent</w:t>
      </w:r>
      <w:r w:rsidR="00981605">
        <w:rPr>
          <w:color w:val="000000" w:themeColor="text1"/>
          <w:szCs w:val="24"/>
        </w:rPr>
        <w:t xml:space="preserve"> </w:t>
      </w:r>
      <w:proofErr w:type="spellStart"/>
      <w:r w:rsidR="0053093E">
        <w:rPr>
          <w:color w:val="000000" w:themeColor="text1"/>
          <w:szCs w:val="24"/>
        </w:rPr>
        <w:t>electrothermal</w:t>
      </w:r>
      <w:proofErr w:type="spellEnd"/>
      <w:r w:rsidR="0053093E">
        <w:rPr>
          <w:color w:val="000000" w:themeColor="text1"/>
          <w:szCs w:val="24"/>
        </w:rPr>
        <w:t xml:space="preserve"> assisted </w:t>
      </w:r>
      <w:proofErr w:type="spellStart"/>
      <w:r w:rsidR="0053093E">
        <w:rPr>
          <w:color w:val="000000" w:themeColor="text1"/>
          <w:szCs w:val="24"/>
        </w:rPr>
        <w:t>capsulorrhaphy</w:t>
      </w:r>
      <w:proofErr w:type="spellEnd"/>
      <w:r w:rsidR="0053093E">
        <w:rPr>
          <w:color w:val="000000" w:themeColor="text1"/>
          <w:szCs w:val="24"/>
        </w:rPr>
        <w:t xml:space="preserve"> (</w:t>
      </w:r>
      <w:r w:rsidR="00981605">
        <w:rPr>
          <w:color w:val="000000" w:themeColor="text1"/>
          <w:szCs w:val="24"/>
        </w:rPr>
        <w:t>ETAC</w:t>
      </w:r>
      <w:r w:rsidR="0053093E">
        <w:rPr>
          <w:color w:val="000000" w:themeColor="text1"/>
          <w:szCs w:val="24"/>
        </w:rPr>
        <w:t>).  D</w:t>
      </w:r>
      <w:r w:rsidR="00981605">
        <w:rPr>
          <w:color w:val="000000" w:themeColor="text1"/>
          <w:szCs w:val="24"/>
        </w:rPr>
        <w:t xml:space="preserve">espite </w:t>
      </w:r>
      <w:r w:rsidR="0053093E">
        <w:rPr>
          <w:color w:val="000000" w:themeColor="text1"/>
          <w:szCs w:val="24"/>
        </w:rPr>
        <w:t xml:space="preserve">his treatment, the right shoulder problems persisted, and an MEB was initiated.  </w:t>
      </w:r>
    </w:p>
    <w:p w:rsidR="00981605" w:rsidRDefault="00981605" w:rsidP="00201D69">
      <w:pPr>
        <w:jc w:val="both"/>
        <w:rPr>
          <w:color w:val="000000" w:themeColor="text1"/>
          <w:szCs w:val="24"/>
        </w:rPr>
      </w:pPr>
    </w:p>
    <w:p w:rsidR="00615A66" w:rsidRPr="001F29F9" w:rsidRDefault="0053093E" w:rsidP="00201D69">
      <w:pPr>
        <w:jc w:val="both"/>
        <w:rPr>
          <w:color w:val="000000" w:themeColor="text1"/>
          <w:szCs w:val="24"/>
        </w:rPr>
      </w:pPr>
      <w:r>
        <w:rPr>
          <w:color w:val="000000" w:themeColor="text1"/>
          <w:szCs w:val="24"/>
        </w:rPr>
        <w:t>At his November 2002 MEB</w:t>
      </w:r>
      <w:r w:rsidR="00D30A25" w:rsidRPr="00D30A25">
        <w:rPr>
          <w:color w:val="000000" w:themeColor="text1"/>
          <w:szCs w:val="24"/>
        </w:rPr>
        <w:t xml:space="preserve"> </w:t>
      </w:r>
      <w:r w:rsidR="00CD3C81">
        <w:rPr>
          <w:color w:val="000000" w:themeColor="text1"/>
          <w:szCs w:val="24"/>
        </w:rPr>
        <w:t>orthopedic</w:t>
      </w:r>
      <w:r w:rsidR="00D30A25" w:rsidRPr="00D30A25">
        <w:rPr>
          <w:color w:val="000000" w:themeColor="text1"/>
          <w:szCs w:val="24"/>
        </w:rPr>
        <w:t xml:space="preserve"> e</w:t>
      </w:r>
      <w:r w:rsidR="00CD3C81">
        <w:rPr>
          <w:color w:val="000000" w:themeColor="text1"/>
          <w:szCs w:val="24"/>
        </w:rPr>
        <w:t>valuation</w:t>
      </w:r>
      <w:r>
        <w:rPr>
          <w:color w:val="000000" w:themeColor="text1"/>
          <w:szCs w:val="24"/>
        </w:rPr>
        <w:t>, 16 weeks prior to separation, the</w:t>
      </w:r>
      <w:r w:rsidR="00CD3C81">
        <w:rPr>
          <w:color w:val="000000" w:themeColor="text1"/>
          <w:szCs w:val="24"/>
        </w:rPr>
        <w:t xml:space="preserve"> CI reported right shoulder pain and decreased </w:t>
      </w:r>
      <w:r w:rsidR="000A5EEE">
        <w:rPr>
          <w:color w:val="000000" w:themeColor="text1"/>
          <w:szCs w:val="24"/>
        </w:rPr>
        <w:t>ROM</w:t>
      </w:r>
      <w:r w:rsidR="00CD3C81">
        <w:rPr>
          <w:color w:val="000000" w:themeColor="text1"/>
          <w:szCs w:val="24"/>
        </w:rPr>
        <w:t>.  On exam, there</w:t>
      </w:r>
      <w:r>
        <w:rPr>
          <w:color w:val="000000" w:themeColor="text1"/>
          <w:szCs w:val="24"/>
        </w:rPr>
        <w:t xml:space="preserve"> was </w:t>
      </w:r>
      <w:r w:rsidR="00D30A25" w:rsidRPr="00D30A25">
        <w:rPr>
          <w:color w:val="000000" w:themeColor="text1"/>
          <w:szCs w:val="24"/>
        </w:rPr>
        <w:t xml:space="preserve">no significant </w:t>
      </w:r>
      <w:r>
        <w:rPr>
          <w:color w:val="000000" w:themeColor="text1"/>
          <w:szCs w:val="24"/>
        </w:rPr>
        <w:t xml:space="preserve">muscle </w:t>
      </w:r>
      <w:r w:rsidR="00D30A25" w:rsidRPr="00D30A25">
        <w:rPr>
          <w:color w:val="000000" w:themeColor="text1"/>
          <w:szCs w:val="24"/>
        </w:rPr>
        <w:t>atrophy a</w:t>
      </w:r>
      <w:r>
        <w:rPr>
          <w:color w:val="000000" w:themeColor="text1"/>
          <w:szCs w:val="24"/>
        </w:rPr>
        <w:t>round</w:t>
      </w:r>
      <w:r w:rsidR="00D30A25" w:rsidRPr="00D30A25">
        <w:rPr>
          <w:color w:val="000000" w:themeColor="text1"/>
          <w:szCs w:val="24"/>
        </w:rPr>
        <w:t xml:space="preserve"> the </w:t>
      </w:r>
      <w:r w:rsidR="0015325E">
        <w:rPr>
          <w:color w:val="000000" w:themeColor="text1"/>
          <w:szCs w:val="24"/>
        </w:rPr>
        <w:t xml:space="preserve">right </w:t>
      </w:r>
      <w:r w:rsidR="00D30A25" w:rsidRPr="00D30A25">
        <w:rPr>
          <w:color w:val="000000" w:themeColor="text1"/>
          <w:szCs w:val="24"/>
        </w:rPr>
        <w:t>shoulder girdle. He ha</w:t>
      </w:r>
      <w:r w:rsidR="00CD3C81">
        <w:rPr>
          <w:color w:val="000000" w:themeColor="text1"/>
          <w:szCs w:val="24"/>
        </w:rPr>
        <w:t>d</w:t>
      </w:r>
      <w:r w:rsidR="00D30A25" w:rsidRPr="00D30A25">
        <w:rPr>
          <w:color w:val="000000" w:themeColor="text1"/>
          <w:szCs w:val="24"/>
        </w:rPr>
        <w:t xml:space="preserve"> well healed surgical</w:t>
      </w:r>
      <w:r w:rsidR="00D30A25">
        <w:rPr>
          <w:color w:val="000000" w:themeColor="text1"/>
          <w:szCs w:val="24"/>
        </w:rPr>
        <w:t xml:space="preserve"> </w:t>
      </w:r>
      <w:r w:rsidR="00D30A25" w:rsidRPr="00D30A25">
        <w:rPr>
          <w:color w:val="000000" w:themeColor="text1"/>
          <w:szCs w:val="24"/>
        </w:rPr>
        <w:t xml:space="preserve">scars consistent with </w:t>
      </w:r>
      <w:r w:rsidR="0015325E">
        <w:rPr>
          <w:color w:val="000000" w:themeColor="text1"/>
          <w:szCs w:val="24"/>
        </w:rPr>
        <w:t xml:space="preserve">his history of </w:t>
      </w:r>
      <w:r w:rsidR="00D30A25" w:rsidRPr="00D30A25">
        <w:rPr>
          <w:color w:val="000000" w:themeColor="text1"/>
          <w:szCs w:val="24"/>
        </w:rPr>
        <w:t xml:space="preserve">arthroscopy. </w:t>
      </w:r>
      <w:r w:rsidR="00CD3C81">
        <w:rPr>
          <w:color w:val="000000" w:themeColor="text1"/>
          <w:szCs w:val="24"/>
        </w:rPr>
        <w:t xml:space="preserve"> Muscle s</w:t>
      </w:r>
      <w:r w:rsidR="00D30A25" w:rsidRPr="00D30A25">
        <w:rPr>
          <w:color w:val="000000" w:themeColor="text1"/>
          <w:szCs w:val="24"/>
        </w:rPr>
        <w:t xml:space="preserve">trength testing </w:t>
      </w:r>
      <w:r w:rsidR="00CD3C81">
        <w:rPr>
          <w:color w:val="000000" w:themeColor="text1"/>
          <w:szCs w:val="24"/>
        </w:rPr>
        <w:t>was</w:t>
      </w:r>
      <w:r w:rsidR="00D30A25" w:rsidRPr="00D30A25">
        <w:rPr>
          <w:color w:val="000000" w:themeColor="text1"/>
          <w:szCs w:val="24"/>
        </w:rPr>
        <w:t xml:space="preserve"> somewhat limited by pain</w:t>
      </w:r>
      <w:r w:rsidR="00CD3C81">
        <w:rPr>
          <w:color w:val="000000" w:themeColor="text1"/>
          <w:szCs w:val="24"/>
        </w:rPr>
        <w:t xml:space="preserve">, but was </w:t>
      </w:r>
      <w:r w:rsidR="00D30A25" w:rsidRPr="00D30A25">
        <w:rPr>
          <w:color w:val="000000" w:themeColor="text1"/>
          <w:szCs w:val="24"/>
        </w:rPr>
        <w:t>generally</w:t>
      </w:r>
      <w:r w:rsidR="00CD3C81">
        <w:rPr>
          <w:color w:val="000000" w:themeColor="text1"/>
          <w:szCs w:val="24"/>
        </w:rPr>
        <w:t xml:space="preserve"> normal</w:t>
      </w:r>
      <w:r w:rsidR="00D30A25" w:rsidRPr="00D30A25">
        <w:rPr>
          <w:color w:val="000000" w:themeColor="text1"/>
          <w:szCs w:val="24"/>
        </w:rPr>
        <w:t>.</w:t>
      </w:r>
      <w:r w:rsidR="00CD3C81">
        <w:rPr>
          <w:color w:val="000000" w:themeColor="text1"/>
          <w:szCs w:val="24"/>
        </w:rPr>
        <w:t xml:space="preserve">  </w:t>
      </w:r>
      <w:r w:rsidR="0015325E">
        <w:rPr>
          <w:color w:val="000000" w:themeColor="text1"/>
          <w:szCs w:val="24"/>
        </w:rPr>
        <w:t xml:space="preserve">All provocative tests </w:t>
      </w:r>
      <w:r w:rsidR="00A305E2">
        <w:rPr>
          <w:color w:val="000000" w:themeColor="text1"/>
          <w:szCs w:val="24"/>
        </w:rPr>
        <w:t xml:space="preserve">on the right shoulder </w:t>
      </w:r>
      <w:r w:rsidR="0015325E">
        <w:rPr>
          <w:color w:val="000000" w:themeColor="text1"/>
          <w:szCs w:val="24"/>
        </w:rPr>
        <w:t>were mildly positive and painful</w:t>
      </w:r>
      <w:r w:rsidR="00A305E2">
        <w:rPr>
          <w:color w:val="000000" w:themeColor="text1"/>
          <w:szCs w:val="24"/>
        </w:rPr>
        <w:t>, but t</w:t>
      </w:r>
      <w:r w:rsidR="0015325E">
        <w:rPr>
          <w:color w:val="000000" w:themeColor="text1"/>
          <w:szCs w:val="24"/>
        </w:rPr>
        <w:t xml:space="preserve">here was </w:t>
      </w:r>
      <w:r w:rsidR="0015325E" w:rsidRPr="00D30A25">
        <w:rPr>
          <w:color w:val="000000" w:themeColor="text1"/>
          <w:szCs w:val="24"/>
        </w:rPr>
        <w:t>no evidence of laxity</w:t>
      </w:r>
      <w:r w:rsidR="0015325E">
        <w:rPr>
          <w:color w:val="000000" w:themeColor="text1"/>
          <w:szCs w:val="24"/>
        </w:rPr>
        <w:t>.</w:t>
      </w:r>
      <w:r w:rsidR="002C03D8">
        <w:rPr>
          <w:color w:val="000000" w:themeColor="text1"/>
          <w:szCs w:val="24"/>
        </w:rPr>
        <w:t xml:space="preserve">  </w:t>
      </w:r>
      <w:r w:rsidR="00A57C35" w:rsidRPr="00FD7419">
        <w:rPr>
          <w:color w:val="000000" w:themeColor="text1"/>
          <w:szCs w:val="24"/>
        </w:rPr>
        <w:t>Th</w:t>
      </w:r>
      <w:r w:rsidR="00D416AC">
        <w:rPr>
          <w:color w:val="000000" w:themeColor="text1"/>
          <w:szCs w:val="24"/>
        </w:rPr>
        <w:t>ree</w:t>
      </w:r>
      <w:r w:rsidR="00A57C35" w:rsidRPr="00FD7419">
        <w:rPr>
          <w:color w:val="000000" w:themeColor="text1"/>
          <w:szCs w:val="24"/>
        </w:rPr>
        <w:t xml:space="preserve"> goniometric </w:t>
      </w:r>
      <w:r w:rsidR="00D416AC">
        <w:rPr>
          <w:color w:val="000000" w:themeColor="text1"/>
          <w:szCs w:val="24"/>
        </w:rPr>
        <w:t>ROM</w:t>
      </w:r>
      <w:r w:rsidR="00A57C35" w:rsidRPr="00FD7419">
        <w:rPr>
          <w:color w:val="000000" w:themeColor="text1"/>
          <w:szCs w:val="24"/>
        </w:rPr>
        <w:t xml:space="preserve"> evaluations</w:t>
      </w:r>
      <w:r w:rsidR="00D416AC">
        <w:rPr>
          <w:color w:val="000000" w:themeColor="text1"/>
          <w:szCs w:val="24"/>
        </w:rPr>
        <w:t xml:space="preserve"> were weighed by the </w:t>
      </w:r>
      <w:r w:rsidR="00A57C35" w:rsidRPr="00FD7419">
        <w:rPr>
          <w:color w:val="000000" w:themeColor="text1"/>
          <w:szCs w:val="24"/>
        </w:rPr>
        <w:t>Board in arriving at its recommendation</w:t>
      </w:r>
      <w:r w:rsidR="00D416AC">
        <w:rPr>
          <w:color w:val="000000" w:themeColor="text1"/>
          <w:szCs w:val="24"/>
        </w:rPr>
        <w:t xml:space="preserve">, and are </w:t>
      </w:r>
      <w:r w:rsidR="001B55E6">
        <w:rPr>
          <w:color w:val="000000" w:themeColor="text1"/>
          <w:szCs w:val="24"/>
        </w:rPr>
        <w:t>summarized below.</w:t>
      </w:r>
    </w:p>
    <w:p w:rsidR="00615A66" w:rsidRDefault="00615A66" w:rsidP="00201D69">
      <w:pPr>
        <w:jc w:val="left"/>
        <w:rPr>
          <w:color w:val="000000" w:themeColor="text1"/>
          <w:szCs w:val="24"/>
          <w:u w:val="single"/>
        </w:rPr>
      </w:pPr>
    </w:p>
    <w:tbl>
      <w:tblPr>
        <w:tblpPr w:leftFromText="180" w:rightFromText="180" w:vertAnchor="text" w:tblpXSpec="center" w:tblpY="1"/>
        <w:tblOverlap w:val="never"/>
        <w:tblW w:w="8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1854"/>
        <w:gridCol w:w="1980"/>
        <w:gridCol w:w="1926"/>
      </w:tblGrid>
      <w:tr w:rsidR="0005404C" w:rsidRPr="001F29F9" w:rsidTr="0005404C">
        <w:tc>
          <w:tcPr>
            <w:tcW w:w="2250" w:type="dxa"/>
            <w:shd w:val="clear" w:color="auto" w:fill="D9D9D9" w:themeFill="background1" w:themeFillShade="D9"/>
            <w:vAlign w:val="center"/>
          </w:tcPr>
          <w:p w:rsidR="0005404C" w:rsidRDefault="0005404C" w:rsidP="00201D69">
            <w:pPr>
              <w:contextualSpacing/>
              <w:rPr>
                <w:rFonts w:eastAsia="Calibri"/>
                <w:color w:val="000000" w:themeColor="text1"/>
                <w:sz w:val="18"/>
                <w:szCs w:val="18"/>
              </w:rPr>
            </w:pPr>
            <w:r>
              <w:rPr>
                <w:rFonts w:eastAsia="Calibri"/>
                <w:color w:val="000000" w:themeColor="text1"/>
                <w:sz w:val="18"/>
                <w:szCs w:val="18"/>
              </w:rPr>
              <w:t xml:space="preserve">Goniometric ROM </w:t>
            </w:r>
          </w:p>
          <w:p w:rsidR="0005404C" w:rsidRPr="001F29F9" w:rsidRDefault="0005404C" w:rsidP="00201D69">
            <w:pPr>
              <w:contextualSpacing/>
              <w:rPr>
                <w:rFonts w:eastAsia="Calibri"/>
                <w:color w:val="000000" w:themeColor="text1"/>
                <w:sz w:val="18"/>
                <w:szCs w:val="18"/>
              </w:rPr>
            </w:pPr>
            <w:r w:rsidRPr="001F29F9">
              <w:rPr>
                <w:rFonts w:eastAsia="Calibri"/>
                <w:color w:val="000000" w:themeColor="text1"/>
                <w:sz w:val="18"/>
                <w:szCs w:val="18"/>
              </w:rPr>
              <w:t>R</w:t>
            </w:r>
            <w:r>
              <w:rPr>
                <w:rFonts w:eastAsia="Calibri"/>
                <w:color w:val="000000" w:themeColor="text1"/>
                <w:sz w:val="18"/>
                <w:szCs w:val="18"/>
              </w:rPr>
              <w:t>ight</w:t>
            </w:r>
            <w:r w:rsidRPr="001F29F9">
              <w:rPr>
                <w:rFonts w:eastAsia="Calibri"/>
                <w:color w:val="000000" w:themeColor="text1"/>
                <w:sz w:val="18"/>
                <w:szCs w:val="18"/>
              </w:rPr>
              <w:t xml:space="preserve"> Shoulder</w:t>
            </w:r>
          </w:p>
        </w:tc>
        <w:tc>
          <w:tcPr>
            <w:tcW w:w="1854" w:type="dxa"/>
            <w:shd w:val="clear" w:color="auto" w:fill="D9D9D9" w:themeFill="background1" w:themeFillShade="D9"/>
            <w:vAlign w:val="center"/>
          </w:tcPr>
          <w:p w:rsidR="0005404C" w:rsidRPr="001F29F9" w:rsidRDefault="0005404C" w:rsidP="00201D69">
            <w:pPr>
              <w:contextualSpacing/>
              <w:rPr>
                <w:rFonts w:asciiTheme="minorHAnsi" w:eastAsia="Calibri" w:hAnsiTheme="minorHAnsi"/>
                <w:color w:val="000000" w:themeColor="text1"/>
                <w:sz w:val="18"/>
                <w:szCs w:val="18"/>
              </w:rPr>
            </w:pPr>
            <w:r>
              <w:rPr>
                <w:rFonts w:eastAsia="Calibri"/>
                <w:color w:val="000000" w:themeColor="text1"/>
                <w:sz w:val="18"/>
                <w:szCs w:val="18"/>
              </w:rPr>
              <w:t xml:space="preserve">PT – 24 wks. </w:t>
            </w:r>
            <w:r w:rsidRPr="001F29F9">
              <w:rPr>
                <w:rFonts w:eastAsia="Calibri"/>
                <w:color w:val="000000" w:themeColor="text1"/>
                <w:sz w:val="18"/>
                <w:szCs w:val="18"/>
              </w:rPr>
              <w:t>Pre-Sep</w:t>
            </w:r>
          </w:p>
          <w:p w:rsidR="0005404C" w:rsidRPr="001F29F9" w:rsidRDefault="0005404C" w:rsidP="00827EF2">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20905</w:t>
            </w:r>
            <w:r w:rsidRPr="001F29F9">
              <w:rPr>
                <w:rFonts w:asciiTheme="minorHAnsi" w:eastAsia="Calibri" w:hAnsiTheme="minorHAnsi"/>
                <w:color w:val="000000" w:themeColor="text1"/>
                <w:sz w:val="18"/>
                <w:szCs w:val="18"/>
              </w:rPr>
              <w:t>)</w:t>
            </w:r>
          </w:p>
        </w:tc>
        <w:tc>
          <w:tcPr>
            <w:tcW w:w="1980" w:type="dxa"/>
            <w:shd w:val="clear" w:color="auto" w:fill="D9D9D9" w:themeFill="background1" w:themeFillShade="D9"/>
            <w:vAlign w:val="center"/>
          </w:tcPr>
          <w:p w:rsidR="0005404C" w:rsidRPr="001F29F9" w:rsidRDefault="0005404C" w:rsidP="00201D69">
            <w:pPr>
              <w:contextualSpacing/>
              <w:rPr>
                <w:rFonts w:asciiTheme="minorHAnsi" w:eastAsia="Calibri" w:hAnsiTheme="minorHAnsi"/>
                <w:color w:val="000000" w:themeColor="text1"/>
                <w:sz w:val="18"/>
                <w:szCs w:val="18"/>
              </w:rPr>
            </w:pPr>
            <w:r w:rsidRPr="004771B3">
              <w:rPr>
                <w:rFonts w:eastAsiaTheme="minorHAnsi"/>
                <w:color w:val="000000" w:themeColor="text1"/>
                <w:sz w:val="18"/>
                <w:szCs w:val="18"/>
              </w:rPr>
              <w:t>C&amp;P</w:t>
            </w:r>
            <w:r>
              <w:rPr>
                <w:rFonts w:eastAsiaTheme="minorHAnsi"/>
                <w:color w:val="000000" w:themeColor="text1"/>
                <w:sz w:val="18"/>
                <w:szCs w:val="18"/>
              </w:rPr>
              <w:t xml:space="preserve"> – 19 wks.</w:t>
            </w:r>
            <w:r>
              <w:rPr>
                <w:rFonts w:eastAsia="Calibri"/>
                <w:color w:val="000000" w:themeColor="text1"/>
                <w:sz w:val="18"/>
                <w:szCs w:val="18"/>
              </w:rPr>
              <w:t xml:space="preserve"> P</w:t>
            </w:r>
            <w:r w:rsidRPr="001F29F9">
              <w:rPr>
                <w:rFonts w:eastAsia="Calibri"/>
                <w:color w:val="000000" w:themeColor="text1"/>
                <w:sz w:val="18"/>
                <w:szCs w:val="18"/>
              </w:rPr>
              <w:t>r</w:t>
            </w:r>
            <w:r>
              <w:rPr>
                <w:rFonts w:eastAsia="Calibri"/>
                <w:color w:val="000000" w:themeColor="text1"/>
                <w:sz w:val="18"/>
                <w:szCs w:val="18"/>
              </w:rPr>
              <w:t>e</w:t>
            </w:r>
            <w:r w:rsidRPr="001F29F9">
              <w:rPr>
                <w:rFonts w:eastAsia="Calibri"/>
                <w:color w:val="000000" w:themeColor="text1"/>
                <w:sz w:val="18"/>
                <w:szCs w:val="18"/>
              </w:rPr>
              <w:t>-Sep</w:t>
            </w:r>
          </w:p>
          <w:p w:rsidR="0005404C" w:rsidRPr="001F29F9" w:rsidRDefault="0005404C" w:rsidP="00201D69">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21015</w:t>
            </w:r>
            <w:r w:rsidRPr="001F29F9">
              <w:rPr>
                <w:rFonts w:asciiTheme="minorHAnsi" w:eastAsia="Calibri" w:hAnsiTheme="minorHAnsi"/>
                <w:color w:val="000000" w:themeColor="text1"/>
                <w:sz w:val="18"/>
                <w:szCs w:val="18"/>
              </w:rPr>
              <w:t>)</w:t>
            </w:r>
          </w:p>
        </w:tc>
        <w:tc>
          <w:tcPr>
            <w:tcW w:w="1926" w:type="dxa"/>
            <w:shd w:val="clear" w:color="auto" w:fill="D9D9D9" w:themeFill="background1" w:themeFillShade="D9"/>
            <w:vAlign w:val="center"/>
          </w:tcPr>
          <w:p w:rsidR="0005404C" w:rsidRPr="001F29F9" w:rsidRDefault="0005404C" w:rsidP="00201D69">
            <w:pPr>
              <w:contextualSpacing/>
              <w:rPr>
                <w:rFonts w:asciiTheme="minorHAnsi" w:eastAsia="Calibri" w:hAnsiTheme="minorHAnsi"/>
                <w:color w:val="000000" w:themeColor="text1"/>
                <w:sz w:val="18"/>
                <w:szCs w:val="18"/>
              </w:rPr>
            </w:pPr>
            <w:r w:rsidRPr="004771B3">
              <w:rPr>
                <w:rFonts w:eastAsia="Calibri"/>
                <w:color w:val="000000" w:themeColor="text1"/>
                <w:sz w:val="18"/>
                <w:szCs w:val="18"/>
              </w:rPr>
              <w:t>MEB</w:t>
            </w:r>
            <w:r>
              <w:rPr>
                <w:rFonts w:eastAsia="Calibri"/>
                <w:color w:val="000000" w:themeColor="text1"/>
                <w:sz w:val="18"/>
                <w:szCs w:val="18"/>
              </w:rPr>
              <w:t xml:space="preserve"> – 16 wks. </w:t>
            </w:r>
            <w:r w:rsidRPr="001F29F9">
              <w:rPr>
                <w:rFonts w:eastAsia="Calibri"/>
                <w:color w:val="000000" w:themeColor="text1"/>
                <w:sz w:val="18"/>
                <w:szCs w:val="18"/>
              </w:rPr>
              <w:t>Pre-Sep</w:t>
            </w:r>
          </w:p>
          <w:p w:rsidR="0005404C" w:rsidRPr="001F29F9" w:rsidRDefault="0005404C" w:rsidP="00827EF2">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21105</w:t>
            </w:r>
            <w:r w:rsidRPr="001F29F9">
              <w:rPr>
                <w:rFonts w:asciiTheme="minorHAnsi" w:eastAsia="Calibri" w:hAnsiTheme="minorHAnsi"/>
                <w:color w:val="000000" w:themeColor="text1"/>
                <w:sz w:val="18"/>
                <w:szCs w:val="18"/>
              </w:rPr>
              <w:t>)</w:t>
            </w:r>
          </w:p>
        </w:tc>
      </w:tr>
      <w:tr w:rsidR="0005404C" w:rsidRPr="001F29F9" w:rsidTr="0005404C">
        <w:tc>
          <w:tcPr>
            <w:tcW w:w="2250" w:type="dxa"/>
            <w:vAlign w:val="center"/>
          </w:tcPr>
          <w:p w:rsidR="0005404C" w:rsidRPr="001F29F9" w:rsidRDefault="0005404C" w:rsidP="00AD5663">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 xml:space="preserve">Flexion </w:t>
            </w:r>
            <w:r>
              <w:rPr>
                <w:rFonts w:ascii="Calibri" w:eastAsia="Calibri" w:hAnsi="Calibri" w:cstheme="minorHAnsi"/>
                <w:color w:val="000000" w:themeColor="text1"/>
                <w:sz w:val="18"/>
                <w:szCs w:val="18"/>
              </w:rPr>
              <w:t>(</w:t>
            </w:r>
            <w:r>
              <w:rPr>
                <w:rFonts w:eastAsia="Calibri"/>
                <w:color w:val="000000" w:themeColor="text1"/>
                <w:sz w:val="18"/>
                <w:szCs w:val="18"/>
              </w:rPr>
              <w:t>180</w:t>
            </w:r>
            <w:r w:rsidRPr="001F29F9">
              <w:rPr>
                <w:rFonts w:eastAsia="Calibri"/>
                <w:color w:val="000000" w:themeColor="text1"/>
                <w:sz w:val="18"/>
                <w:szCs w:val="18"/>
              </w:rPr>
              <w:t>⁰</w:t>
            </w:r>
            <w:r>
              <w:rPr>
                <w:rFonts w:eastAsia="Calibri"/>
                <w:color w:val="000000" w:themeColor="text1"/>
                <w:sz w:val="18"/>
                <w:szCs w:val="18"/>
              </w:rPr>
              <w:t xml:space="preserve"> is normal</w:t>
            </w:r>
            <w:r w:rsidRPr="001F29F9">
              <w:rPr>
                <w:rFonts w:ascii="Calibri" w:eastAsia="Calibri" w:hAnsi="Calibri" w:cstheme="minorHAnsi"/>
                <w:color w:val="000000" w:themeColor="text1"/>
                <w:sz w:val="18"/>
                <w:szCs w:val="18"/>
              </w:rPr>
              <w:t>)</w:t>
            </w:r>
          </w:p>
        </w:tc>
        <w:tc>
          <w:tcPr>
            <w:tcW w:w="1854" w:type="dxa"/>
            <w:vAlign w:val="center"/>
          </w:tcPr>
          <w:p w:rsidR="0005404C" w:rsidRPr="001F29F9" w:rsidRDefault="0005404C" w:rsidP="00201D69">
            <w:pPr>
              <w:contextualSpacing/>
              <w:rPr>
                <w:rFonts w:eastAsia="Calibri"/>
                <w:color w:val="000000" w:themeColor="text1"/>
                <w:sz w:val="18"/>
                <w:szCs w:val="18"/>
              </w:rPr>
            </w:pPr>
            <w:r>
              <w:rPr>
                <w:rFonts w:eastAsia="Calibri"/>
                <w:color w:val="000000" w:themeColor="text1"/>
                <w:sz w:val="18"/>
                <w:szCs w:val="18"/>
              </w:rPr>
              <w:t>90</w:t>
            </w:r>
            <w:r w:rsidRPr="001F29F9">
              <w:rPr>
                <w:rFonts w:eastAsia="Calibri"/>
                <w:color w:val="000000" w:themeColor="text1"/>
                <w:sz w:val="18"/>
                <w:szCs w:val="18"/>
              </w:rPr>
              <w:t>⁰</w:t>
            </w:r>
          </w:p>
        </w:tc>
        <w:tc>
          <w:tcPr>
            <w:tcW w:w="1980" w:type="dxa"/>
            <w:vAlign w:val="center"/>
          </w:tcPr>
          <w:p w:rsidR="0005404C" w:rsidRPr="001F29F9" w:rsidRDefault="0005404C" w:rsidP="00201D69">
            <w:pPr>
              <w:contextualSpacing/>
              <w:rPr>
                <w:rFonts w:eastAsia="Calibri"/>
                <w:color w:val="000000" w:themeColor="text1"/>
                <w:sz w:val="18"/>
                <w:szCs w:val="18"/>
              </w:rPr>
            </w:pPr>
            <w:r>
              <w:rPr>
                <w:rFonts w:eastAsia="Calibri"/>
                <w:color w:val="000000" w:themeColor="text1"/>
                <w:sz w:val="18"/>
                <w:szCs w:val="18"/>
              </w:rPr>
              <w:t>90</w:t>
            </w:r>
            <w:r w:rsidRPr="001F29F9">
              <w:rPr>
                <w:rFonts w:eastAsia="Calibri"/>
                <w:color w:val="000000" w:themeColor="text1"/>
                <w:sz w:val="18"/>
                <w:szCs w:val="18"/>
              </w:rPr>
              <w:t>⁰</w:t>
            </w:r>
          </w:p>
        </w:tc>
        <w:tc>
          <w:tcPr>
            <w:tcW w:w="1926" w:type="dxa"/>
            <w:vAlign w:val="center"/>
          </w:tcPr>
          <w:p w:rsidR="0005404C" w:rsidRPr="001F29F9" w:rsidRDefault="0005404C" w:rsidP="006D5365">
            <w:pPr>
              <w:contextualSpacing/>
              <w:rPr>
                <w:rFonts w:eastAsia="Calibri"/>
                <w:color w:val="000000" w:themeColor="text1"/>
                <w:sz w:val="18"/>
                <w:szCs w:val="18"/>
              </w:rPr>
            </w:pPr>
            <w:r>
              <w:rPr>
                <w:rFonts w:eastAsia="Calibri"/>
                <w:color w:val="000000" w:themeColor="text1"/>
                <w:sz w:val="18"/>
                <w:szCs w:val="18"/>
              </w:rPr>
              <w:t>10</w:t>
            </w:r>
            <w:r w:rsidRPr="004771B3">
              <w:rPr>
                <w:rFonts w:eastAsia="Calibri"/>
                <w:color w:val="000000" w:themeColor="text1"/>
                <w:sz w:val="18"/>
                <w:szCs w:val="18"/>
              </w:rPr>
              <w:t>0⁰</w:t>
            </w:r>
          </w:p>
        </w:tc>
      </w:tr>
      <w:tr w:rsidR="0005404C" w:rsidRPr="001F29F9" w:rsidTr="0005404C">
        <w:trPr>
          <w:trHeight w:val="79"/>
        </w:trPr>
        <w:tc>
          <w:tcPr>
            <w:tcW w:w="2250" w:type="dxa"/>
            <w:vAlign w:val="center"/>
          </w:tcPr>
          <w:p w:rsidR="0005404C" w:rsidRPr="001F29F9" w:rsidRDefault="0005404C" w:rsidP="00AD5663">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Abduction (</w:t>
            </w:r>
            <w:r>
              <w:rPr>
                <w:rFonts w:eastAsia="Calibri"/>
                <w:color w:val="000000" w:themeColor="text1"/>
                <w:sz w:val="18"/>
                <w:szCs w:val="18"/>
              </w:rPr>
              <w:t>180</w:t>
            </w:r>
            <w:r w:rsidRPr="001F29F9">
              <w:rPr>
                <w:rFonts w:eastAsia="Calibri"/>
                <w:color w:val="000000" w:themeColor="text1"/>
                <w:sz w:val="18"/>
                <w:szCs w:val="18"/>
              </w:rPr>
              <w:t>⁰</w:t>
            </w:r>
            <w:r>
              <w:rPr>
                <w:rFonts w:eastAsia="Calibri"/>
                <w:color w:val="000000" w:themeColor="text1"/>
                <w:sz w:val="18"/>
                <w:szCs w:val="18"/>
              </w:rPr>
              <w:t xml:space="preserve"> is normal</w:t>
            </w:r>
            <w:r w:rsidRPr="001F29F9">
              <w:rPr>
                <w:rFonts w:ascii="Calibri" w:eastAsia="Calibri" w:hAnsi="Calibri" w:cstheme="minorHAnsi"/>
                <w:color w:val="000000" w:themeColor="text1"/>
                <w:sz w:val="18"/>
                <w:szCs w:val="18"/>
              </w:rPr>
              <w:t>)</w:t>
            </w:r>
          </w:p>
        </w:tc>
        <w:tc>
          <w:tcPr>
            <w:tcW w:w="1854" w:type="dxa"/>
            <w:vAlign w:val="center"/>
          </w:tcPr>
          <w:p w:rsidR="0005404C" w:rsidRPr="001F29F9" w:rsidRDefault="0005404C" w:rsidP="00201D69">
            <w:pPr>
              <w:contextualSpacing/>
              <w:rPr>
                <w:rFonts w:eastAsia="Calibri"/>
                <w:color w:val="000000" w:themeColor="text1"/>
                <w:sz w:val="18"/>
                <w:szCs w:val="18"/>
              </w:rPr>
            </w:pPr>
            <w:r>
              <w:rPr>
                <w:rFonts w:eastAsia="Calibri"/>
                <w:color w:val="000000" w:themeColor="text1"/>
                <w:sz w:val="18"/>
                <w:szCs w:val="18"/>
              </w:rPr>
              <w:t>90</w:t>
            </w:r>
            <w:r w:rsidRPr="001F29F9">
              <w:rPr>
                <w:rFonts w:eastAsia="Calibri"/>
                <w:color w:val="000000" w:themeColor="text1"/>
                <w:sz w:val="18"/>
                <w:szCs w:val="18"/>
              </w:rPr>
              <w:t>⁰</w:t>
            </w:r>
          </w:p>
        </w:tc>
        <w:tc>
          <w:tcPr>
            <w:tcW w:w="1980" w:type="dxa"/>
            <w:vAlign w:val="center"/>
          </w:tcPr>
          <w:p w:rsidR="0005404C" w:rsidRPr="001F29F9" w:rsidRDefault="0005404C" w:rsidP="00201D69">
            <w:pPr>
              <w:contextualSpacing/>
              <w:rPr>
                <w:rFonts w:eastAsia="Calibri"/>
                <w:color w:val="000000" w:themeColor="text1"/>
                <w:sz w:val="18"/>
                <w:szCs w:val="18"/>
              </w:rPr>
            </w:pPr>
            <w:r>
              <w:rPr>
                <w:rFonts w:eastAsia="Calibri"/>
                <w:color w:val="000000" w:themeColor="text1"/>
                <w:sz w:val="18"/>
                <w:szCs w:val="18"/>
              </w:rPr>
              <w:t>90</w:t>
            </w:r>
            <w:r w:rsidRPr="001F29F9">
              <w:rPr>
                <w:rFonts w:eastAsia="Calibri"/>
                <w:color w:val="000000" w:themeColor="text1"/>
                <w:sz w:val="18"/>
                <w:szCs w:val="18"/>
              </w:rPr>
              <w:t>⁰</w:t>
            </w:r>
          </w:p>
        </w:tc>
        <w:tc>
          <w:tcPr>
            <w:tcW w:w="1926" w:type="dxa"/>
            <w:vAlign w:val="center"/>
          </w:tcPr>
          <w:p w:rsidR="0005404C" w:rsidRPr="001F29F9" w:rsidRDefault="0005404C" w:rsidP="006D5365">
            <w:pPr>
              <w:contextualSpacing/>
              <w:rPr>
                <w:rFonts w:eastAsia="Calibri"/>
                <w:color w:val="000000" w:themeColor="text1"/>
                <w:sz w:val="18"/>
                <w:szCs w:val="18"/>
              </w:rPr>
            </w:pPr>
            <w:r>
              <w:rPr>
                <w:rFonts w:eastAsia="Calibri"/>
                <w:color w:val="000000" w:themeColor="text1"/>
                <w:sz w:val="18"/>
                <w:szCs w:val="18"/>
              </w:rPr>
              <w:t>80</w:t>
            </w:r>
            <w:r w:rsidRPr="001F29F9">
              <w:rPr>
                <w:rFonts w:eastAsia="Calibri"/>
                <w:color w:val="000000" w:themeColor="text1"/>
                <w:sz w:val="18"/>
                <w:szCs w:val="18"/>
              </w:rPr>
              <w:t>⁰</w:t>
            </w:r>
          </w:p>
        </w:tc>
      </w:tr>
      <w:tr w:rsidR="0005404C" w:rsidRPr="001F29F9" w:rsidTr="0005404C">
        <w:tc>
          <w:tcPr>
            <w:tcW w:w="2250" w:type="dxa"/>
            <w:vAlign w:val="center"/>
          </w:tcPr>
          <w:p w:rsidR="0005404C" w:rsidRPr="001F29F9" w:rsidRDefault="0005404C" w:rsidP="00201D69">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854" w:type="dxa"/>
            <w:vAlign w:val="center"/>
          </w:tcPr>
          <w:p w:rsidR="0005404C" w:rsidRPr="001F29F9" w:rsidRDefault="0005404C" w:rsidP="00201D69">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r w:rsidRPr="001F29F9">
              <w:rPr>
                <w:rFonts w:eastAsiaTheme="minorHAnsi"/>
                <w:color w:val="000000" w:themeColor="text1"/>
                <w:sz w:val="18"/>
                <w:szCs w:val="18"/>
              </w:rPr>
              <w:t>%</w:t>
            </w:r>
          </w:p>
        </w:tc>
        <w:tc>
          <w:tcPr>
            <w:tcW w:w="1980" w:type="dxa"/>
          </w:tcPr>
          <w:p w:rsidR="0005404C" w:rsidRPr="001F29F9" w:rsidRDefault="0005404C" w:rsidP="00201D69">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r w:rsidRPr="001F29F9">
              <w:rPr>
                <w:rFonts w:eastAsiaTheme="minorHAnsi"/>
                <w:color w:val="000000" w:themeColor="text1"/>
                <w:sz w:val="18"/>
                <w:szCs w:val="18"/>
              </w:rPr>
              <w:t>%</w:t>
            </w:r>
          </w:p>
        </w:tc>
        <w:tc>
          <w:tcPr>
            <w:tcW w:w="1926" w:type="dxa"/>
            <w:vAlign w:val="center"/>
          </w:tcPr>
          <w:p w:rsidR="0005404C" w:rsidRPr="001F29F9" w:rsidRDefault="0005404C" w:rsidP="00201D69">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r w:rsidRPr="001F29F9">
              <w:rPr>
                <w:rFonts w:eastAsiaTheme="minorHAnsi"/>
                <w:color w:val="000000" w:themeColor="text1"/>
                <w:sz w:val="18"/>
                <w:szCs w:val="18"/>
              </w:rPr>
              <w:t>%</w:t>
            </w:r>
          </w:p>
        </w:tc>
      </w:tr>
    </w:tbl>
    <w:p w:rsidR="00FD7419" w:rsidRDefault="00FD7419" w:rsidP="00201D69">
      <w:pPr>
        <w:jc w:val="left"/>
        <w:rPr>
          <w:color w:val="000000" w:themeColor="text1"/>
          <w:szCs w:val="24"/>
          <w:u w:val="single"/>
        </w:rPr>
      </w:pPr>
    </w:p>
    <w:p w:rsidR="00FD7419" w:rsidRPr="001F29F9" w:rsidRDefault="00FD7419" w:rsidP="00201D69">
      <w:pPr>
        <w:tabs>
          <w:tab w:val="left" w:pos="288"/>
          <w:tab w:val="left" w:pos="4752"/>
        </w:tabs>
        <w:rPr>
          <w:color w:val="000000" w:themeColor="text1"/>
          <w:szCs w:val="24"/>
          <w:u w:val="single"/>
        </w:rPr>
      </w:pPr>
    </w:p>
    <w:p w:rsidR="00FD7419" w:rsidRDefault="00FD7419" w:rsidP="00201D69">
      <w:pPr>
        <w:jc w:val="left"/>
        <w:rPr>
          <w:color w:val="000000" w:themeColor="text1"/>
          <w:szCs w:val="24"/>
          <w:u w:val="single"/>
        </w:rPr>
      </w:pPr>
    </w:p>
    <w:p w:rsidR="00FD7419" w:rsidRPr="001F29F9" w:rsidRDefault="00FD7419" w:rsidP="00201D69">
      <w:pPr>
        <w:jc w:val="left"/>
        <w:rPr>
          <w:color w:val="000000" w:themeColor="text1"/>
          <w:szCs w:val="24"/>
          <w:u w:val="single"/>
        </w:rPr>
      </w:pPr>
    </w:p>
    <w:p w:rsidR="004771B3" w:rsidRDefault="004771B3" w:rsidP="00201D69">
      <w:pPr>
        <w:jc w:val="left"/>
        <w:rPr>
          <w:rFonts w:eastAsia="HiddenHorzOCR"/>
          <w:color w:val="000000" w:themeColor="text1"/>
          <w:szCs w:val="24"/>
          <w:u w:val="single"/>
        </w:rPr>
      </w:pPr>
    </w:p>
    <w:p w:rsidR="004771B3" w:rsidRDefault="004771B3" w:rsidP="00201D69">
      <w:pPr>
        <w:jc w:val="left"/>
        <w:rPr>
          <w:rFonts w:eastAsia="HiddenHorzOCR"/>
          <w:color w:val="000000" w:themeColor="text1"/>
          <w:szCs w:val="24"/>
          <w:u w:val="single"/>
        </w:rPr>
      </w:pPr>
    </w:p>
    <w:p w:rsidR="002C03D8" w:rsidRPr="006C1CA0" w:rsidRDefault="002C03D8" w:rsidP="002C03D8">
      <w:pPr>
        <w:pStyle w:val="ListParagraph"/>
        <w:spacing w:after="0" w:line="240" w:lineRule="exact"/>
        <w:ind w:left="0"/>
        <w:jc w:val="both"/>
        <w:rPr>
          <w:rFonts w:eastAsia="Calibri" w:cstheme="minorHAnsi"/>
          <w:sz w:val="24"/>
          <w:szCs w:val="24"/>
        </w:rPr>
      </w:pPr>
      <w:r w:rsidRPr="006C1CA0">
        <w:rPr>
          <w:rFonts w:cstheme="minorHAnsi"/>
          <w:sz w:val="24"/>
          <w:szCs w:val="24"/>
        </w:rPr>
        <w:t xml:space="preserve">The Board carefully examined all evidentiary information available.  The Army PEB and the </w:t>
      </w:r>
      <w:r w:rsidR="000A5EEE">
        <w:rPr>
          <w:rFonts w:cstheme="minorHAnsi"/>
          <w:sz w:val="24"/>
          <w:szCs w:val="24"/>
        </w:rPr>
        <w:t>Department of Veterans’ Affairs (D</w:t>
      </w:r>
      <w:r w:rsidRPr="006C1CA0">
        <w:rPr>
          <w:rFonts w:cstheme="minorHAnsi"/>
          <w:sz w:val="24"/>
          <w:szCs w:val="24"/>
        </w:rPr>
        <w:t>VA</w:t>
      </w:r>
      <w:r w:rsidR="000A5EEE">
        <w:rPr>
          <w:rFonts w:cstheme="minorHAnsi"/>
          <w:sz w:val="24"/>
          <w:szCs w:val="24"/>
        </w:rPr>
        <w:t>)</w:t>
      </w:r>
      <w:r w:rsidRPr="006C1CA0">
        <w:rPr>
          <w:rFonts w:cstheme="minorHAnsi"/>
          <w:sz w:val="24"/>
          <w:szCs w:val="24"/>
        </w:rPr>
        <w:t xml:space="preserve"> used different coding options for the right shoulder condition, and assigned different rating percentages.  The CI’s right shoulder ROM was clearly decreased.  </w:t>
      </w:r>
      <w:r w:rsidR="00012711">
        <w:rPr>
          <w:rFonts w:cstheme="minorHAnsi"/>
          <w:sz w:val="24"/>
          <w:szCs w:val="24"/>
        </w:rPr>
        <w:t xml:space="preserve">At his </w:t>
      </w:r>
      <w:r w:rsidR="0005404C" w:rsidRPr="006C1CA0">
        <w:rPr>
          <w:rFonts w:cstheme="minorHAnsi"/>
          <w:sz w:val="24"/>
          <w:szCs w:val="24"/>
        </w:rPr>
        <w:t>November 2002</w:t>
      </w:r>
      <w:r w:rsidR="00012711">
        <w:rPr>
          <w:rFonts w:cstheme="minorHAnsi"/>
          <w:sz w:val="24"/>
          <w:szCs w:val="24"/>
        </w:rPr>
        <w:t xml:space="preserve"> MEB exam</w:t>
      </w:r>
      <w:r w:rsidR="0005404C" w:rsidRPr="006C1CA0">
        <w:rPr>
          <w:rFonts w:cstheme="minorHAnsi"/>
          <w:sz w:val="24"/>
          <w:szCs w:val="24"/>
        </w:rPr>
        <w:t>, h</w:t>
      </w:r>
      <w:r w:rsidRPr="006C1CA0">
        <w:rPr>
          <w:rFonts w:cstheme="minorHAnsi"/>
          <w:sz w:val="24"/>
          <w:szCs w:val="24"/>
        </w:rPr>
        <w:t>e forward flex</w:t>
      </w:r>
      <w:r w:rsidR="00012711">
        <w:rPr>
          <w:rFonts w:cstheme="minorHAnsi"/>
          <w:sz w:val="24"/>
          <w:szCs w:val="24"/>
        </w:rPr>
        <w:t>ed</w:t>
      </w:r>
      <w:r w:rsidRPr="006C1CA0">
        <w:rPr>
          <w:rFonts w:cstheme="minorHAnsi"/>
          <w:sz w:val="24"/>
          <w:szCs w:val="24"/>
        </w:rPr>
        <w:t xml:space="preserve"> his right arm </w:t>
      </w:r>
      <w:r w:rsidR="0005404C" w:rsidRPr="006C1CA0">
        <w:rPr>
          <w:rFonts w:cstheme="minorHAnsi"/>
          <w:sz w:val="24"/>
          <w:szCs w:val="24"/>
        </w:rPr>
        <w:t>to 100 degrees (</w:t>
      </w:r>
      <w:r w:rsidR="00A21F1B">
        <w:rPr>
          <w:rFonts w:cstheme="minorHAnsi"/>
          <w:sz w:val="24"/>
          <w:szCs w:val="24"/>
        </w:rPr>
        <w:t xml:space="preserve">slightly </w:t>
      </w:r>
      <w:r w:rsidR="0005404C" w:rsidRPr="006C1CA0">
        <w:rPr>
          <w:rFonts w:cstheme="minorHAnsi"/>
          <w:sz w:val="24"/>
          <w:szCs w:val="24"/>
        </w:rPr>
        <w:t>above</w:t>
      </w:r>
      <w:r w:rsidRPr="006C1CA0">
        <w:rPr>
          <w:rFonts w:cstheme="minorHAnsi"/>
          <w:sz w:val="24"/>
          <w:szCs w:val="24"/>
        </w:rPr>
        <w:t xml:space="preserve"> shoulder level)</w:t>
      </w:r>
      <w:r w:rsidR="0005404C" w:rsidRPr="006C1CA0">
        <w:rPr>
          <w:rFonts w:cstheme="minorHAnsi"/>
          <w:sz w:val="24"/>
          <w:szCs w:val="24"/>
        </w:rPr>
        <w:t xml:space="preserve"> and he could </w:t>
      </w:r>
      <w:r w:rsidRPr="006C1CA0">
        <w:rPr>
          <w:rFonts w:cstheme="minorHAnsi"/>
          <w:sz w:val="24"/>
          <w:szCs w:val="24"/>
        </w:rPr>
        <w:t>abduct to 80 degrees</w:t>
      </w:r>
      <w:r w:rsidR="00012711">
        <w:rPr>
          <w:rFonts w:cstheme="minorHAnsi"/>
          <w:sz w:val="24"/>
          <w:szCs w:val="24"/>
        </w:rPr>
        <w:t xml:space="preserve"> (</w:t>
      </w:r>
      <w:r w:rsidRPr="006C1CA0">
        <w:rPr>
          <w:rFonts w:cstheme="minorHAnsi"/>
          <w:sz w:val="24"/>
          <w:szCs w:val="24"/>
        </w:rPr>
        <w:t xml:space="preserve">which is </w:t>
      </w:r>
      <w:r w:rsidR="00A21F1B">
        <w:rPr>
          <w:rFonts w:cstheme="minorHAnsi"/>
          <w:sz w:val="24"/>
          <w:szCs w:val="24"/>
        </w:rPr>
        <w:t>close to</w:t>
      </w:r>
      <w:r w:rsidRPr="006C1CA0">
        <w:rPr>
          <w:rFonts w:cstheme="minorHAnsi"/>
          <w:sz w:val="24"/>
          <w:szCs w:val="24"/>
        </w:rPr>
        <w:t xml:space="preserve"> shoulder level</w:t>
      </w:r>
      <w:r w:rsidR="00012711">
        <w:rPr>
          <w:rFonts w:cstheme="minorHAnsi"/>
          <w:sz w:val="24"/>
          <w:szCs w:val="24"/>
        </w:rPr>
        <w:t>)</w:t>
      </w:r>
      <w:r w:rsidRPr="006C1CA0">
        <w:rPr>
          <w:rFonts w:cstheme="minorHAnsi"/>
          <w:sz w:val="24"/>
          <w:szCs w:val="24"/>
        </w:rPr>
        <w:t xml:space="preserve">.  IAW the Veterans’ Administration Schedule for Rating Disabilities (VASRD), arm motion that is limited to shoulder level warrants a </w:t>
      </w:r>
      <w:r w:rsidR="00B367C5" w:rsidRPr="006C1CA0">
        <w:rPr>
          <w:rFonts w:cstheme="minorHAnsi"/>
          <w:sz w:val="24"/>
          <w:szCs w:val="24"/>
        </w:rPr>
        <w:t xml:space="preserve">disability rating of 20% under diagnostic code 5201.  </w:t>
      </w:r>
      <w:r w:rsidRPr="006C1CA0">
        <w:rPr>
          <w:rFonts w:cstheme="minorHAnsi"/>
          <w:sz w:val="24"/>
          <w:szCs w:val="24"/>
        </w:rPr>
        <w:t>For a higher rating, there would need to be greater limitation of motion</w:t>
      </w:r>
      <w:r w:rsidR="00B367C5" w:rsidRPr="006C1CA0">
        <w:rPr>
          <w:rFonts w:cstheme="minorHAnsi"/>
          <w:sz w:val="24"/>
          <w:szCs w:val="24"/>
        </w:rPr>
        <w:t xml:space="preserve">, </w:t>
      </w:r>
      <w:r w:rsidR="0005404C" w:rsidRPr="006C1CA0">
        <w:rPr>
          <w:rFonts w:cstheme="minorHAnsi"/>
          <w:sz w:val="24"/>
          <w:szCs w:val="24"/>
        </w:rPr>
        <w:t xml:space="preserve">to </w:t>
      </w:r>
      <w:r w:rsidR="00B367C5" w:rsidRPr="006C1CA0">
        <w:rPr>
          <w:rFonts w:cstheme="minorHAnsi"/>
          <w:sz w:val="24"/>
          <w:szCs w:val="24"/>
        </w:rPr>
        <w:t>midway between the side and shoulder level (45 degrees).</w:t>
      </w:r>
      <w:r w:rsidR="0005404C" w:rsidRPr="006C1CA0">
        <w:rPr>
          <w:rFonts w:cstheme="minorHAnsi"/>
          <w:sz w:val="24"/>
          <w:szCs w:val="24"/>
        </w:rPr>
        <w:t xml:space="preserve">  </w:t>
      </w:r>
      <w:r w:rsidR="00012711">
        <w:rPr>
          <w:rFonts w:cstheme="minorHAnsi"/>
          <w:sz w:val="24"/>
          <w:szCs w:val="24"/>
        </w:rPr>
        <w:t>The Board</w:t>
      </w:r>
      <w:r w:rsidR="0005404C" w:rsidRPr="006C1CA0">
        <w:rPr>
          <w:rFonts w:cstheme="minorHAnsi"/>
          <w:sz w:val="24"/>
          <w:szCs w:val="24"/>
        </w:rPr>
        <w:t xml:space="preserve"> thorough</w:t>
      </w:r>
      <w:r w:rsidR="00012711">
        <w:rPr>
          <w:rFonts w:cstheme="minorHAnsi"/>
          <w:sz w:val="24"/>
          <w:szCs w:val="24"/>
        </w:rPr>
        <w:t>ly</w:t>
      </w:r>
      <w:r w:rsidR="0005404C" w:rsidRPr="006C1CA0">
        <w:rPr>
          <w:rFonts w:cstheme="minorHAnsi"/>
          <w:sz w:val="24"/>
          <w:szCs w:val="24"/>
        </w:rPr>
        <w:t xml:space="preserve"> review</w:t>
      </w:r>
      <w:r w:rsidR="00012711">
        <w:rPr>
          <w:rFonts w:cstheme="minorHAnsi"/>
          <w:sz w:val="24"/>
          <w:szCs w:val="24"/>
        </w:rPr>
        <w:t>ed</w:t>
      </w:r>
      <w:r w:rsidR="0005404C" w:rsidRPr="006C1CA0">
        <w:rPr>
          <w:rFonts w:cstheme="minorHAnsi"/>
          <w:sz w:val="24"/>
          <w:szCs w:val="24"/>
        </w:rPr>
        <w:t xml:space="preserve"> the record</w:t>
      </w:r>
      <w:r w:rsidR="00012711">
        <w:rPr>
          <w:rFonts w:cstheme="minorHAnsi"/>
          <w:sz w:val="24"/>
          <w:szCs w:val="24"/>
        </w:rPr>
        <w:t xml:space="preserve"> and</w:t>
      </w:r>
      <w:r w:rsidR="0005404C" w:rsidRPr="006C1CA0">
        <w:rPr>
          <w:rFonts w:cstheme="minorHAnsi"/>
          <w:sz w:val="24"/>
          <w:szCs w:val="24"/>
        </w:rPr>
        <w:t xml:space="preserve"> could not </w:t>
      </w:r>
      <w:r w:rsidR="00A21F1B">
        <w:rPr>
          <w:rFonts w:cstheme="minorHAnsi"/>
          <w:sz w:val="24"/>
          <w:szCs w:val="24"/>
        </w:rPr>
        <w:t xml:space="preserve">find </w:t>
      </w:r>
      <w:r w:rsidRPr="006C1CA0">
        <w:rPr>
          <w:rFonts w:cstheme="minorHAnsi"/>
          <w:sz w:val="24"/>
          <w:szCs w:val="24"/>
        </w:rPr>
        <w:t>sufficient evidence to support</w:t>
      </w:r>
      <w:r w:rsidR="0005404C" w:rsidRPr="006C1CA0">
        <w:rPr>
          <w:rFonts w:cstheme="minorHAnsi"/>
          <w:sz w:val="24"/>
          <w:szCs w:val="24"/>
        </w:rPr>
        <w:t xml:space="preserve"> a </w:t>
      </w:r>
      <w:r w:rsidRPr="006C1CA0">
        <w:rPr>
          <w:rFonts w:cstheme="minorHAnsi"/>
          <w:sz w:val="24"/>
          <w:szCs w:val="24"/>
        </w:rPr>
        <w:t>shoulder disability</w:t>
      </w:r>
      <w:r w:rsidR="0005404C" w:rsidRPr="006C1CA0">
        <w:rPr>
          <w:rFonts w:cstheme="minorHAnsi"/>
          <w:sz w:val="24"/>
          <w:szCs w:val="24"/>
        </w:rPr>
        <w:t xml:space="preserve"> rating greater than 20%.  </w:t>
      </w:r>
      <w:r w:rsidRPr="006C1CA0">
        <w:rPr>
          <w:rFonts w:eastAsia="Calibri" w:cstheme="minorHAnsi"/>
          <w:sz w:val="24"/>
          <w:szCs w:val="24"/>
        </w:rPr>
        <w:t xml:space="preserve">After due deliberation, and </w:t>
      </w:r>
      <w:r w:rsidR="0005404C" w:rsidRPr="006C1CA0">
        <w:rPr>
          <w:rFonts w:eastAsia="Calibri" w:cstheme="minorHAnsi"/>
          <w:sz w:val="24"/>
          <w:szCs w:val="24"/>
        </w:rPr>
        <w:t xml:space="preserve">mindful of VASRD </w:t>
      </w:r>
      <w:r w:rsidR="0005404C" w:rsidRPr="006C1CA0">
        <w:rPr>
          <w:color w:val="000000" w:themeColor="text1"/>
          <w:sz w:val="24"/>
          <w:szCs w:val="24"/>
        </w:rPr>
        <w:t>§4.</w:t>
      </w:r>
      <w:r w:rsidR="006C1CA0">
        <w:rPr>
          <w:color w:val="000000" w:themeColor="text1"/>
          <w:sz w:val="24"/>
          <w:szCs w:val="24"/>
        </w:rPr>
        <w:t>3</w:t>
      </w:r>
      <w:r w:rsidR="0005404C" w:rsidRPr="006C1CA0">
        <w:rPr>
          <w:color w:val="000000" w:themeColor="text1"/>
          <w:sz w:val="24"/>
          <w:szCs w:val="24"/>
        </w:rPr>
        <w:t xml:space="preserve"> (</w:t>
      </w:r>
      <w:r w:rsidR="006C1CA0">
        <w:rPr>
          <w:color w:val="000000" w:themeColor="text1"/>
          <w:sz w:val="24"/>
          <w:szCs w:val="24"/>
        </w:rPr>
        <w:t>R</w:t>
      </w:r>
      <w:r w:rsidR="0005404C" w:rsidRPr="006C1CA0">
        <w:rPr>
          <w:color w:val="000000" w:themeColor="text1"/>
          <w:sz w:val="24"/>
          <w:szCs w:val="24"/>
        </w:rPr>
        <w:t>easonable doubt), t</w:t>
      </w:r>
      <w:r w:rsidRPr="006C1CA0">
        <w:rPr>
          <w:rFonts w:eastAsia="Calibri" w:cstheme="minorHAnsi"/>
          <w:sz w:val="24"/>
          <w:szCs w:val="24"/>
        </w:rPr>
        <w:t>he Board unanimously reco</w:t>
      </w:r>
      <w:r w:rsidR="0005404C" w:rsidRPr="006C1CA0">
        <w:rPr>
          <w:rFonts w:eastAsia="Calibri" w:cstheme="minorHAnsi"/>
          <w:sz w:val="24"/>
          <w:szCs w:val="24"/>
        </w:rPr>
        <w:t>mmends a rating of 20% for the right</w:t>
      </w:r>
      <w:r w:rsidRPr="006C1CA0">
        <w:rPr>
          <w:rFonts w:eastAsia="Calibri" w:cstheme="minorHAnsi"/>
          <w:sz w:val="24"/>
          <w:szCs w:val="24"/>
        </w:rPr>
        <w:t xml:space="preserve"> shoulder condition.</w:t>
      </w:r>
      <w:r w:rsidR="0005404C" w:rsidRPr="006C1CA0">
        <w:rPr>
          <w:rFonts w:eastAsia="Calibri" w:cstheme="minorHAnsi"/>
          <w:sz w:val="24"/>
          <w:szCs w:val="24"/>
        </w:rPr>
        <w:t xml:space="preserve">  It is appropriately coded 5201, and meets </w:t>
      </w:r>
      <w:r w:rsidR="006C1CA0">
        <w:rPr>
          <w:rFonts w:eastAsia="Calibri" w:cstheme="minorHAnsi"/>
          <w:sz w:val="24"/>
          <w:szCs w:val="24"/>
        </w:rPr>
        <w:t xml:space="preserve">VASRD </w:t>
      </w:r>
      <w:r w:rsidR="0005404C" w:rsidRPr="006C1CA0">
        <w:rPr>
          <w:rFonts w:eastAsia="Calibri" w:cstheme="minorHAnsi"/>
          <w:sz w:val="24"/>
          <w:szCs w:val="24"/>
        </w:rPr>
        <w:t>criteria for the 20% rating level.</w:t>
      </w:r>
      <w:r w:rsidRPr="006C1CA0">
        <w:rPr>
          <w:rFonts w:eastAsia="Calibri" w:cstheme="minorHAnsi"/>
          <w:sz w:val="24"/>
          <w:szCs w:val="24"/>
        </w:rPr>
        <w:t xml:space="preserve"> </w:t>
      </w:r>
    </w:p>
    <w:p w:rsidR="001031F4" w:rsidRPr="001F29F9" w:rsidRDefault="001031F4" w:rsidP="00201D69">
      <w:pPr>
        <w:pBdr>
          <w:bottom w:val="single" w:sz="12" w:space="1" w:color="auto"/>
        </w:pBdr>
        <w:tabs>
          <w:tab w:val="left" w:pos="288"/>
          <w:tab w:val="left" w:pos="4752"/>
        </w:tabs>
        <w:jc w:val="both"/>
        <w:rPr>
          <w:color w:val="000000" w:themeColor="text1"/>
        </w:rPr>
      </w:pPr>
    </w:p>
    <w:p w:rsidR="00F1737C" w:rsidRPr="001F29F9" w:rsidRDefault="00F1737C" w:rsidP="00201D69">
      <w:pPr>
        <w:jc w:val="left"/>
        <w:rPr>
          <w:color w:val="000000" w:themeColor="text1"/>
          <w:szCs w:val="24"/>
        </w:rPr>
      </w:pPr>
    </w:p>
    <w:p w:rsidR="00BF4F49" w:rsidRPr="0060726B" w:rsidRDefault="00C56FC8" w:rsidP="00201D69">
      <w:pPr>
        <w:jc w:val="both"/>
        <w:rPr>
          <w:rFonts w:eastAsiaTheme="minorHAnsi"/>
          <w:i/>
          <w:color w:val="auto"/>
          <w:szCs w:val="24"/>
        </w:rPr>
      </w:pPr>
      <w:r w:rsidRPr="0060726B">
        <w:rPr>
          <w:color w:val="auto"/>
          <w:szCs w:val="24"/>
          <w:u w:val="single"/>
        </w:rPr>
        <w:t>BOARD FINDINGS</w:t>
      </w:r>
      <w:r w:rsidRPr="0060726B">
        <w:rPr>
          <w:color w:val="auto"/>
          <w:szCs w:val="24"/>
        </w:rPr>
        <w:t>:</w:t>
      </w:r>
      <w:r w:rsidRPr="0060726B">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C1CA0" w:rsidRPr="0060726B">
        <w:rPr>
          <w:rFonts w:eastAsiaTheme="minorHAnsi"/>
          <w:color w:val="auto"/>
          <w:szCs w:val="24"/>
        </w:rPr>
        <w:t xml:space="preserve">  In the matter of</w:t>
      </w:r>
      <w:r w:rsidR="0060726B" w:rsidRPr="0060726B">
        <w:rPr>
          <w:rFonts w:eastAsiaTheme="minorHAnsi"/>
          <w:color w:val="auto"/>
          <w:szCs w:val="24"/>
        </w:rPr>
        <w:t xml:space="preserve"> the right shoulder condition, </w:t>
      </w:r>
      <w:r w:rsidR="0060726B" w:rsidRPr="0060726B">
        <w:rPr>
          <w:color w:val="auto"/>
          <w:szCs w:val="24"/>
        </w:rPr>
        <w:t>t</w:t>
      </w:r>
      <w:r w:rsidR="0060726B" w:rsidRPr="0060726B">
        <w:rPr>
          <w:rFonts w:eastAsia="Calibri"/>
          <w:color w:val="auto"/>
          <w:szCs w:val="24"/>
        </w:rPr>
        <w:t>he Board unanimously recommends a rating of 20%</w:t>
      </w:r>
      <w:r w:rsidR="00B24742">
        <w:rPr>
          <w:rFonts w:eastAsia="Calibri"/>
          <w:color w:val="auto"/>
          <w:szCs w:val="24"/>
        </w:rPr>
        <w:t>,</w:t>
      </w:r>
      <w:r w:rsidR="0060726B" w:rsidRPr="0060726B">
        <w:rPr>
          <w:rFonts w:eastAsia="Calibri"/>
          <w:color w:val="auto"/>
          <w:szCs w:val="24"/>
        </w:rPr>
        <w:t xml:space="preserve"> IAW VASRD </w:t>
      </w:r>
      <w:r w:rsidR="0060726B" w:rsidRPr="0060726B">
        <w:rPr>
          <w:rFonts w:eastAsiaTheme="minorHAnsi"/>
          <w:color w:val="auto"/>
          <w:szCs w:val="24"/>
        </w:rPr>
        <w:t>§4.71a</w:t>
      </w:r>
      <w:r w:rsidR="0060726B">
        <w:rPr>
          <w:rFonts w:eastAsiaTheme="minorHAnsi"/>
          <w:color w:val="auto"/>
          <w:szCs w:val="24"/>
        </w:rPr>
        <w:t>.</w:t>
      </w:r>
    </w:p>
    <w:p w:rsidR="00F1737C" w:rsidRPr="001F29F9" w:rsidRDefault="00F1737C" w:rsidP="00201D69">
      <w:pPr>
        <w:pBdr>
          <w:bottom w:val="single" w:sz="12" w:space="1" w:color="auto"/>
        </w:pBdr>
        <w:tabs>
          <w:tab w:val="left" w:pos="288"/>
          <w:tab w:val="left" w:pos="4752"/>
        </w:tabs>
        <w:jc w:val="both"/>
        <w:rPr>
          <w:color w:val="000000" w:themeColor="text1"/>
        </w:rPr>
      </w:pPr>
    </w:p>
    <w:p w:rsidR="00F1737C" w:rsidRPr="001F29F9" w:rsidRDefault="00F1737C" w:rsidP="00201D69">
      <w:pPr>
        <w:jc w:val="left"/>
        <w:rPr>
          <w:color w:val="000000" w:themeColor="text1"/>
          <w:szCs w:val="24"/>
        </w:rPr>
      </w:pPr>
    </w:p>
    <w:p w:rsidR="00FB593A" w:rsidRPr="001F29F9" w:rsidRDefault="00C56FC8" w:rsidP="00201D69">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4101B2" w:rsidRPr="0060726B" w:rsidRDefault="00C56FC8" w:rsidP="0060726B">
      <w:pPr>
        <w:jc w:val="both"/>
        <w:rPr>
          <w:color w:val="000000" w:themeColor="text1"/>
          <w:szCs w:val="24"/>
        </w:rPr>
      </w:pP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201D69">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201D69">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201D69">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201D69">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D2641C" w:rsidP="006C1CA0">
            <w:pPr>
              <w:tabs>
                <w:tab w:val="left" w:pos="288"/>
                <w:tab w:val="left" w:pos="4752"/>
              </w:tabs>
              <w:jc w:val="left"/>
              <w:rPr>
                <w:color w:val="000000" w:themeColor="text1"/>
                <w:szCs w:val="24"/>
              </w:rPr>
            </w:pPr>
            <w:r>
              <w:rPr>
                <w:color w:val="auto"/>
              </w:rPr>
              <w:t xml:space="preserve">Chronic </w:t>
            </w:r>
            <w:r w:rsidRPr="00380576">
              <w:rPr>
                <w:color w:val="auto"/>
              </w:rPr>
              <w:t>Right Shoulder</w:t>
            </w:r>
            <w:r w:rsidR="006C1CA0">
              <w:rPr>
                <w:color w:val="auto"/>
              </w:rPr>
              <w:t xml:space="preserve"> Condition</w:t>
            </w:r>
          </w:p>
        </w:tc>
        <w:tc>
          <w:tcPr>
            <w:tcW w:w="1710" w:type="dxa"/>
            <w:vAlign w:val="center"/>
          </w:tcPr>
          <w:p w:rsidR="00A95BBA" w:rsidRPr="006C1CA0" w:rsidRDefault="00D2641C" w:rsidP="006C1CA0">
            <w:pPr>
              <w:tabs>
                <w:tab w:val="left" w:pos="288"/>
                <w:tab w:val="left" w:pos="4752"/>
              </w:tabs>
              <w:rPr>
                <w:color w:val="000000" w:themeColor="text1"/>
                <w:szCs w:val="24"/>
              </w:rPr>
            </w:pPr>
            <w:r w:rsidRPr="006C1CA0">
              <w:rPr>
                <w:rFonts w:cs="Calibri"/>
                <w:color w:val="000000" w:themeColor="text1"/>
                <w:szCs w:val="24"/>
              </w:rPr>
              <w:t>5</w:t>
            </w:r>
            <w:r w:rsidR="006C1CA0">
              <w:rPr>
                <w:rFonts w:cs="Calibri"/>
                <w:color w:val="000000" w:themeColor="text1"/>
                <w:szCs w:val="24"/>
              </w:rPr>
              <w:t>201</w:t>
            </w:r>
          </w:p>
        </w:tc>
        <w:tc>
          <w:tcPr>
            <w:tcW w:w="1170" w:type="dxa"/>
            <w:vAlign w:val="center"/>
          </w:tcPr>
          <w:p w:rsidR="00A95BBA" w:rsidRPr="001F29F9" w:rsidRDefault="006C1CA0" w:rsidP="00201D69">
            <w:pPr>
              <w:tabs>
                <w:tab w:val="left" w:pos="288"/>
                <w:tab w:val="left" w:pos="4752"/>
              </w:tabs>
              <w:rPr>
                <w:color w:val="000000" w:themeColor="text1"/>
                <w:szCs w:val="24"/>
              </w:rPr>
            </w:pPr>
            <w:r w:rsidRPr="009235E0">
              <w:rPr>
                <w:color w:val="000000" w:themeColor="text1"/>
                <w:szCs w:val="24"/>
              </w:rPr>
              <w:t>2</w:t>
            </w:r>
            <w:r w:rsidR="00A95BBA" w:rsidRPr="009235E0">
              <w:rPr>
                <w:color w:val="000000" w:themeColor="text1"/>
                <w:szCs w:val="24"/>
              </w:rPr>
              <w:t>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201D69">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6C1CA0" w:rsidP="00201D69">
            <w:pPr>
              <w:tabs>
                <w:tab w:val="left" w:pos="288"/>
                <w:tab w:val="left" w:pos="4752"/>
              </w:tabs>
              <w:rPr>
                <w:b/>
                <w:color w:val="000000" w:themeColor="text1"/>
                <w:szCs w:val="24"/>
              </w:rPr>
            </w:pPr>
            <w:r w:rsidRPr="009235E0">
              <w:rPr>
                <w:b/>
                <w:color w:val="000000" w:themeColor="text1"/>
                <w:szCs w:val="24"/>
              </w:rPr>
              <w:t>2</w:t>
            </w:r>
            <w:r w:rsidR="00A95BBA" w:rsidRPr="009235E0">
              <w:rPr>
                <w:b/>
                <w:color w:val="000000" w:themeColor="text1"/>
                <w:szCs w:val="24"/>
              </w:rPr>
              <w:t>0</w:t>
            </w:r>
            <w:r w:rsidR="00A95BBA" w:rsidRPr="001F29F9">
              <w:rPr>
                <w:b/>
                <w:color w:val="000000" w:themeColor="text1"/>
                <w:szCs w:val="24"/>
              </w:rPr>
              <w:t>%</w:t>
            </w:r>
          </w:p>
        </w:tc>
      </w:tr>
    </w:tbl>
    <w:p w:rsidR="005B1D09" w:rsidRPr="001F29F9" w:rsidRDefault="005B1D09" w:rsidP="00201D69">
      <w:pPr>
        <w:pBdr>
          <w:bottom w:val="single" w:sz="12" w:space="1" w:color="auto"/>
        </w:pBdr>
        <w:tabs>
          <w:tab w:val="left" w:pos="288"/>
          <w:tab w:val="left" w:pos="4752"/>
        </w:tabs>
        <w:jc w:val="both"/>
        <w:rPr>
          <w:color w:val="000000" w:themeColor="text1"/>
        </w:rPr>
      </w:pPr>
    </w:p>
    <w:p w:rsidR="005B1D09" w:rsidRPr="001F29F9" w:rsidRDefault="005B1D09" w:rsidP="00201D69">
      <w:pPr>
        <w:rPr>
          <w:color w:val="000000" w:themeColor="text1"/>
          <w:szCs w:val="24"/>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0A5EEE" w:rsidRDefault="000A5EEE" w:rsidP="00201D69">
      <w:pPr>
        <w:tabs>
          <w:tab w:val="left" w:pos="288"/>
          <w:tab w:val="left" w:pos="4752"/>
        </w:tabs>
        <w:jc w:val="both"/>
        <w:rPr>
          <w:color w:val="000000" w:themeColor="text1"/>
        </w:rPr>
      </w:pPr>
    </w:p>
    <w:p w:rsidR="00D91DA6" w:rsidRPr="001F29F9" w:rsidRDefault="00FB1725" w:rsidP="00201D6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201D69">
      <w:pPr>
        <w:tabs>
          <w:tab w:val="left" w:pos="288"/>
          <w:tab w:val="left" w:pos="4752"/>
        </w:tabs>
        <w:jc w:val="both"/>
        <w:rPr>
          <w:color w:val="000000" w:themeColor="text1"/>
        </w:rPr>
      </w:pPr>
    </w:p>
    <w:p w:rsidR="00114F20" w:rsidRPr="001F29F9" w:rsidRDefault="00FB1725" w:rsidP="00201D6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D7419">
        <w:rPr>
          <w:color w:val="000000" w:themeColor="text1"/>
          <w:szCs w:val="24"/>
        </w:rPr>
        <w:t>11021</w:t>
      </w:r>
      <w:r w:rsidR="000A5EEE">
        <w:rPr>
          <w:color w:val="000000" w:themeColor="text1"/>
        </w:rPr>
        <w:t>, w/</w:t>
      </w:r>
      <w:proofErr w:type="spellStart"/>
      <w:r w:rsidR="000A5EEE">
        <w:rPr>
          <w:color w:val="000000" w:themeColor="text1"/>
        </w:rPr>
        <w:t>atchs</w:t>
      </w:r>
      <w:proofErr w:type="spellEnd"/>
    </w:p>
    <w:p w:rsidR="00114F20" w:rsidRPr="001F29F9" w:rsidRDefault="00FB1725" w:rsidP="00201D69">
      <w:pPr>
        <w:tabs>
          <w:tab w:val="left" w:pos="288"/>
          <w:tab w:val="left" w:pos="4752"/>
        </w:tabs>
        <w:jc w:val="both"/>
        <w:rPr>
          <w:color w:val="000000" w:themeColor="text1"/>
        </w:rPr>
      </w:pPr>
      <w:r w:rsidRPr="001F29F9">
        <w:rPr>
          <w:color w:val="000000" w:themeColor="text1"/>
        </w:rPr>
        <w:t>Exhib</w:t>
      </w:r>
      <w:r w:rsidR="000A5EEE">
        <w:rPr>
          <w:color w:val="000000" w:themeColor="text1"/>
        </w:rPr>
        <w:t>it B.  Service Treatment Record</w:t>
      </w:r>
    </w:p>
    <w:p w:rsidR="00114F20" w:rsidRPr="001F29F9" w:rsidRDefault="00FB1725" w:rsidP="00201D69">
      <w:pPr>
        <w:tabs>
          <w:tab w:val="left" w:pos="288"/>
          <w:tab w:val="left" w:pos="4752"/>
        </w:tabs>
        <w:jc w:val="both"/>
        <w:rPr>
          <w:color w:val="000000" w:themeColor="text1"/>
        </w:rPr>
      </w:pPr>
      <w:r w:rsidRPr="001F29F9">
        <w:rPr>
          <w:color w:val="000000" w:themeColor="text1"/>
        </w:rPr>
        <w:t>Exhibit C.  Department of Veterans</w:t>
      </w:r>
      <w:r w:rsidR="000A5EEE">
        <w:rPr>
          <w:color w:val="000000" w:themeColor="text1"/>
        </w:rPr>
        <w:t>’ Affairs Treatment Record</w:t>
      </w:r>
    </w:p>
    <w:p w:rsidR="00D91DA6" w:rsidRPr="001F29F9" w:rsidRDefault="00D91DA6" w:rsidP="00201D69">
      <w:pPr>
        <w:tabs>
          <w:tab w:val="left" w:pos="288"/>
          <w:tab w:val="left" w:pos="4752"/>
        </w:tabs>
        <w:jc w:val="both"/>
        <w:rPr>
          <w:color w:val="000000" w:themeColor="text1"/>
        </w:rPr>
      </w:pPr>
    </w:p>
    <w:p w:rsidR="00114F20" w:rsidRPr="001F29F9" w:rsidRDefault="00114F20" w:rsidP="00201D69">
      <w:pPr>
        <w:tabs>
          <w:tab w:val="left" w:pos="288"/>
          <w:tab w:val="left" w:pos="4752"/>
        </w:tabs>
        <w:jc w:val="both"/>
        <w:rPr>
          <w:color w:val="000000" w:themeColor="text1"/>
        </w:rPr>
      </w:pPr>
    </w:p>
    <w:p w:rsidR="00114F20" w:rsidRPr="001F29F9" w:rsidRDefault="00114F20" w:rsidP="00201D69">
      <w:pPr>
        <w:tabs>
          <w:tab w:val="left" w:pos="288"/>
          <w:tab w:val="left" w:pos="4752"/>
        </w:tabs>
        <w:jc w:val="both"/>
        <w:rPr>
          <w:color w:val="000000" w:themeColor="text1"/>
        </w:rPr>
      </w:pPr>
    </w:p>
    <w:p w:rsidR="00114F20" w:rsidRPr="001F29F9" w:rsidRDefault="00114F20" w:rsidP="00201D69">
      <w:pPr>
        <w:tabs>
          <w:tab w:val="left" w:pos="288"/>
          <w:tab w:val="left" w:pos="4752"/>
        </w:tabs>
        <w:jc w:val="both"/>
        <w:rPr>
          <w:color w:val="000000" w:themeColor="text1"/>
        </w:rPr>
      </w:pPr>
    </w:p>
    <w:p w:rsidR="00E3077F" w:rsidRPr="001F29F9" w:rsidRDefault="00220FA9" w:rsidP="00201D6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705CB">
        <w:rPr>
          <w:color w:val="000000" w:themeColor="text1"/>
          <w:szCs w:val="24"/>
        </w:rPr>
        <w:t>XXXXXXXXXX</w:t>
      </w:r>
    </w:p>
    <w:p w:rsidR="002F195B" w:rsidRPr="001F29F9" w:rsidRDefault="00220FA9" w:rsidP="00201D6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201D6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771B3" w:rsidRDefault="004771B3" w:rsidP="00201D69">
      <w:pPr>
        <w:jc w:val="left"/>
        <w:rPr>
          <w:color w:val="000000" w:themeColor="text1"/>
          <w:szCs w:val="24"/>
          <w:u w:val="single"/>
        </w:rPr>
      </w:pPr>
    </w:p>
    <w:p w:rsidR="004771B3" w:rsidRDefault="004771B3" w:rsidP="00201D69">
      <w:pPr>
        <w:jc w:val="left"/>
        <w:rPr>
          <w:color w:val="000000" w:themeColor="text1"/>
          <w:szCs w:val="24"/>
          <w:u w:val="single"/>
        </w:rPr>
      </w:pPr>
    </w:p>
    <w:p w:rsidR="005705CB" w:rsidRDefault="005705CB" w:rsidP="00201D69">
      <w:pPr>
        <w:jc w:val="left"/>
        <w:rPr>
          <w:color w:val="000000" w:themeColor="text1"/>
          <w:szCs w:val="24"/>
          <w:u w:val="single"/>
        </w:rPr>
      </w:pPr>
    </w:p>
    <w:p w:rsidR="005705CB" w:rsidRDefault="005705CB">
      <w:pPr>
        <w:rPr>
          <w:color w:val="000000" w:themeColor="text1"/>
          <w:szCs w:val="24"/>
          <w:u w:val="single"/>
        </w:rPr>
      </w:pPr>
      <w:r>
        <w:rPr>
          <w:color w:val="000000" w:themeColor="text1"/>
          <w:szCs w:val="24"/>
          <w:u w:val="single"/>
        </w:rPr>
        <w:br w:type="page"/>
      </w:r>
    </w:p>
    <w:p w:rsidR="005705CB" w:rsidRDefault="005705CB" w:rsidP="005705CB">
      <w:pPr>
        <w:sectPr w:rsidR="005705CB">
          <w:pgSz w:w="12240" w:h="15840"/>
          <w:pgMar w:top="2160" w:right="1440" w:bottom="1440" w:left="1440" w:header="720" w:footer="720" w:gutter="0"/>
          <w:cols w:space="720"/>
        </w:sectPr>
      </w:pPr>
    </w:p>
    <w:p w:rsidR="005705CB" w:rsidRDefault="005705CB" w:rsidP="005705CB">
      <w:pPr>
        <w:pStyle w:val="Header"/>
        <w:tabs>
          <w:tab w:val="left" w:pos="720"/>
        </w:tabs>
        <w:jc w:val="left"/>
      </w:pPr>
      <w:r>
        <w:lastRenderedPageBreak/>
        <w:t>SFMR-RB</w:t>
      </w:r>
      <w:r>
        <w:tab/>
      </w:r>
      <w:r>
        <w:tab/>
      </w:r>
      <w:r>
        <w:tab/>
      </w:r>
      <w:r>
        <w:tab/>
      </w:r>
      <w:r>
        <w:tab/>
      </w:r>
      <w:r>
        <w:tab/>
      </w:r>
      <w:r>
        <w:tab/>
      </w:r>
      <w:r>
        <w:tab/>
      </w:r>
      <w:r>
        <w:tab/>
      </w:r>
    </w:p>
    <w:p w:rsidR="005705CB" w:rsidRDefault="005705CB" w:rsidP="005705CB">
      <w:pPr>
        <w:pStyle w:val="Header"/>
        <w:tabs>
          <w:tab w:val="left" w:pos="720"/>
        </w:tabs>
        <w:jc w:val="left"/>
      </w:pPr>
    </w:p>
    <w:p w:rsidR="005705CB" w:rsidRDefault="005705CB" w:rsidP="005705CB">
      <w:pPr>
        <w:jc w:val="left"/>
      </w:pPr>
    </w:p>
    <w:p w:rsidR="005705CB" w:rsidRDefault="005705CB" w:rsidP="005705CB">
      <w:pPr>
        <w:jc w:val="left"/>
      </w:pPr>
      <w:r>
        <w:t xml:space="preserve">MEMORANDUM FOR Commander, US Army Physical Disability Agency </w:t>
      </w:r>
    </w:p>
    <w:p w:rsidR="005705CB" w:rsidRDefault="005705CB" w:rsidP="005705CB">
      <w:pPr>
        <w:jc w:val="left"/>
      </w:pPr>
      <w:r>
        <w:t xml:space="preserve">(TAPD-ZB </w:t>
      </w:r>
      <w:proofErr w:type="gramStart"/>
      <w:r>
        <w:t>/  )</w:t>
      </w:r>
      <w:proofErr w:type="gramEnd"/>
      <w:r>
        <w:t>, 2900 Crystal Drive, Suite 300, Arlington, VA  22202</w:t>
      </w:r>
    </w:p>
    <w:p w:rsidR="005705CB" w:rsidRDefault="005705CB" w:rsidP="005705CB">
      <w:pPr>
        <w:jc w:val="left"/>
      </w:pPr>
    </w:p>
    <w:p w:rsidR="005705CB" w:rsidRDefault="005705CB" w:rsidP="005705CB">
      <w:pPr>
        <w:ind w:right="-180"/>
        <w:jc w:val="left"/>
      </w:pPr>
      <w:r>
        <w:t xml:space="preserve">SUBJECT:  Department of Defense Physical Disability Board of Review Recommendation </w:t>
      </w:r>
    </w:p>
    <w:p w:rsidR="005705CB" w:rsidRDefault="005705CB" w:rsidP="005705CB">
      <w:pPr>
        <w:pStyle w:val="Header"/>
        <w:tabs>
          <w:tab w:val="left" w:pos="720"/>
        </w:tabs>
        <w:jc w:val="left"/>
      </w:pPr>
      <w:proofErr w:type="gramStart"/>
      <w:r>
        <w:t>for</w:t>
      </w:r>
      <w:proofErr w:type="gramEnd"/>
      <w:r>
        <w:t xml:space="preserve"> XXXXXXXXXXXXXXXXX, AR20120012296 (PD201100987)</w:t>
      </w:r>
    </w:p>
    <w:p w:rsidR="005705CB" w:rsidRDefault="005705CB" w:rsidP="005705CB">
      <w:pPr>
        <w:pStyle w:val="Header"/>
        <w:tabs>
          <w:tab w:val="left" w:pos="720"/>
        </w:tabs>
        <w:jc w:val="left"/>
      </w:pPr>
    </w:p>
    <w:p w:rsidR="005705CB" w:rsidRDefault="005705CB" w:rsidP="005705CB">
      <w:pPr>
        <w:jc w:val="left"/>
      </w:pPr>
    </w:p>
    <w:p w:rsidR="005705CB" w:rsidRDefault="005705CB" w:rsidP="005705C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5705CB" w:rsidRDefault="005705CB" w:rsidP="005705CB">
      <w:pPr>
        <w:jc w:val="left"/>
      </w:pPr>
    </w:p>
    <w:p w:rsidR="005705CB" w:rsidRDefault="005705CB" w:rsidP="005705CB">
      <w:pPr>
        <w:jc w:val="left"/>
      </w:pPr>
      <w:r>
        <w:t xml:space="preserve">2.  I direct that all the Department of the Army records of the individual concerned be corrected accordingly no later than 120 days from the date of this memorandum.   </w:t>
      </w:r>
    </w:p>
    <w:p w:rsidR="005705CB" w:rsidRDefault="005705CB" w:rsidP="005705CB">
      <w:pPr>
        <w:jc w:val="left"/>
      </w:pPr>
    </w:p>
    <w:p w:rsidR="005705CB" w:rsidRDefault="005705CB" w:rsidP="005705C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705CB" w:rsidRDefault="005705CB" w:rsidP="005705CB">
      <w:pPr>
        <w:jc w:val="left"/>
      </w:pPr>
    </w:p>
    <w:p w:rsidR="005705CB" w:rsidRDefault="005705CB" w:rsidP="005705CB">
      <w:pPr>
        <w:jc w:val="left"/>
      </w:pPr>
      <w:r>
        <w:t>BY ORDER OF THE SECRETARY OF THE ARMY:</w:t>
      </w:r>
    </w:p>
    <w:p w:rsidR="005705CB" w:rsidRDefault="005705CB" w:rsidP="005705CB">
      <w:pPr>
        <w:jc w:val="left"/>
      </w:pPr>
    </w:p>
    <w:p w:rsidR="005705CB" w:rsidRDefault="005705CB" w:rsidP="005705CB">
      <w:pPr>
        <w:jc w:val="left"/>
      </w:pPr>
    </w:p>
    <w:p w:rsidR="005705CB" w:rsidRDefault="005705CB" w:rsidP="005705CB">
      <w:pPr>
        <w:pStyle w:val="Header"/>
        <w:tabs>
          <w:tab w:val="left" w:pos="720"/>
        </w:tabs>
        <w:jc w:val="left"/>
      </w:pPr>
    </w:p>
    <w:p w:rsidR="005705CB" w:rsidRDefault="005705CB" w:rsidP="005705CB">
      <w:pPr>
        <w:jc w:val="left"/>
      </w:pPr>
    </w:p>
    <w:p w:rsidR="005705CB" w:rsidRDefault="005705CB" w:rsidP="005705CB">
      <w:pPr>
        <w:jc w:val="left"/>
      </w:pPr>
      <w:bookmarkStart w:id="0" w:name="OLE_LINK4"/>
      <w:bookmarkStart w:id="1" w:name="OLE_LINK3"/>
      <w:r>
        <w:t>Encl</w:t>
      </w:r>
      <w:r>
        <w:tab/>
      </w:r>
      <w:r>
        <w:tab/>
      </w:r>
      <w:r>
        <w:tab/>
      </w:r>
      <w:r>
        <w:tab/>
      </w:r>
      <w:r>
        <w:tab/>
      </w:r>
      <w:r>
        <w:tab/>
        <w:t xml:space="preserve">     XXXXXXXXXXXXXXXXXXX</w:t>
      </w:r>
    </w:p>
    <w:p w:rsidR="005705CB" w:rsidRDefault="005705CB" w:rsidP="005705CB">
      <w:pPr>
        <w:jc w:val="left"/>
      </w:pPr>
      <w:r>
        <w:tab/>
      </w:r>
      <w:r>
        <w:tab/>
      </w:r>
      <w:r>
        <w:tab/>
      </w:r>
      <w:r>
        <w:tab/>
      </w:r>
      <w:r>
        <w:tab/>
      </w:r>
      <w:r>
        <w:tab/>
        <w:t xml:space="preserve">     Deputy Assistant Secretary</w:t>
      </w:r>
    </w:p>
    <w:p w:rsidR="005705CB" w:rsidRDefault="005705CB" w:rsidP="005705CB">
      <w:pPr>
        <w:jc w:val="left"/>
      </w:pPr>
      <w:r>
        <w:tab/>
      </w:r>
      <w:r>
        <w:tab/>
      </w:r>
      <w:r>
        <w:tab/>
      </w:r>
      <w:r>
        <w:tab/>
      </w:r>
      <w:r>
        <w:tab/>
      </w:r>
      <w:r>
        <w:tab/>
        <w:t xml:space="preserve">         (Army Review Boards)</w:t>
      </w:r>
      <w:bookmarkEnd w:id="0"/>
      <w:bookmarkEnd w:id="1"/>
    </w:p>
    <w:p w:rsidR="005705CB" w:rsidRDefault="005705CB" w:rsidP="005705CB">
      <w:pPr>
        <w:jc w:val="left"/>
      </w:pPr>
    </w:p>
    <w:p w:rsidR="005705CB" w:rsidRDefault="005705CB" w:rsidP="005705CB">
      <w:pPr>
        <w:jc w:val="left"/>
      </w:pPr>
      <w:r>
        <w:t xml:space="preserve">CF: </w:t>
      </w:r>
    </w:p>
    <w:p w:rsidR="005705CB" w:rsidRDefault="005705CB" w:rsidP="005705CB">
      <w:pPr>
        <w:jc w:val="left"/>
      </w:pPr>
      <w:r>
        <w:t xml:space="preserve">(  ) </w:t>
      </w:r>
      <w:proofErr w:type="spellStart"/>
      <w:proofErr w:type="gramStart"/>
      <w:r>
        <w:t>DoD</w:t>
      </w:r>
      <w:proofErr w:type="spellEnd"/>
      <w:proofErr w:type="gramEnd"/>
      <w:r>
        <w:t xml:space="preserve"> PDBR</w:t>
      </w:r>
    </w:p>
    <w:p w:rsidR="005705CB" w:rsidRDefault="005705CB" w:rsidP="005705CB">
      <w:pPr>
        <w:jc w:val="left"/>
      </w:pPr>
      <w:r>
        <w:t>(  ) DVA</w:t>
      </w:r>
    </w:p>
    <w:p w:rsidR="004771B3" w:rsidRDefault="004771B3" w:rsidP="005705CB">
      <w:pPr>
        <w:jc w:val="left"/>
        <w:rPr>
          <w:color w:val="000000" w:themeColor="text1"/>
          <w:szCs w:val="24"/>
          <w:u w:val="single"/>
        </w:rPr>
      </w:pPr>
    </w:p>
    <w:sectPr w:rsidR="004771B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13" w:rsidRDefault="00E25E13">
      <w:r>
        <w:separator/>
      </w:r>
    </w:p>
  </w:endnote>
  <w:endnote w:type="continuationSeparator" w:id="0">
    <w:p w:rsidR="00E25E13" w:rsidRDefault="00E25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5404C" w:rsidRPr="00374247" w:rsidRDefault="0005404C" w:rsidP="00374247">
        <w:pPr>
          <w:pStyle w:val="Footer"/>
          <w:ind w:firstLine="4320"/>
          <w:rPr>
            <w:color w:val="auto"/>
            <w:szCs w:val="24"/>
          </w:rPr>
        </w:pPr>
        <w:r w:rsidRPr="00374247">
          <w:rPr>
            <w:color w:val="auto"/>
            <w:szCs w:val="24"/>
          </w:rPr>
          <w:t xml:space="preserve">   </w:t>
        </w:r>
        <w:r w:rsidR="00C150F1" w:rsidRPr="00374247">
          <w:rPr>
            <w:color w:val="auto"/>
            <w:szCs w:val="24"/>
          </w:rPr>
          <w:fldChar w:fldCharType="begin"/>
        </w:r>
        <w:r w:rsidRPr="00374247">
          <w:rPr>
            <w:color w:val="auto"/>
            <w:szCs w:val="24"/>
          </w:rPr>
          <w:instrText xml:space="preserve"> PAGE   \* MERGEFORMAT </w:instrText>
        </w:r>
        <w:r w:rsidR="00C150F1" w:rsidRPr="00374247">
          <w:rPr>
            <w:color w:val="auto"/>
            <w:szCs w:val="24"/>
          </w:rPr>
          <w:fldChar w:fldCharType="separate"/>
        </w:r>
        <w:r w:rsidR="005705CB" w:rsidRPr="005705CB">
          <w:rPr>
            <w:noProof/>
            <w:color w:val="auto"/>
          </w:rPr>
          <w:t>4</w:t>
        </w:r>
        <w:r w:rsidR="00C150F1" w:rsidRPr="00374247">
          <w:rPr>
            <w:color w:val="auto"/>
            <w:szCs w:val="24"/>
          </w:rPr>
          <w:fldChar w:fldCharType="end"/>
        </w:r>
        <w:r w:rsidRPr="00374247">
          <w:rPr>
            <w:color w:val="auto"/>
            <w:szCs w:val="24"/>
          </w:rPr>
          <w:t xml:space="preserve">                                                           </w:t>
        </w:r>
        <w:r w:rsidRPr="001D64F3">
          <w:rPr>
            <w:color w:val="auto"/>
            <w:szCs w:val="24"/>
          </w:rPr>
          <w:t>P</w:t>
        </w:r>
        <w:r w:rsidRPr="00226AE4">
          <w:rPr>
            <w:color w:val="auto"/>
            <w:szCs w:val="24"/>
          </w:rPr>
          <w:t>D110098</w:t>
        </w:r>
        <w:r>
          <w:rPr>
            <w:color w:val="auto"/>
            <w:szCs w:val="24"/>
          </w:rPr>
          <w:t>7</w:t>
        </w:r>
      </w:p>
    </w:sdtContent>
  </w:sdt>
  <w:p w:rsidR="0005404C" w:rsidRPr="00684CE6" w:rsidRDefault="0005404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13" w:rsidRDefault="00E25E13">
      <w:r>
        <w:separator/>
      </w:r>
    </w:p>
  </w:footnote>
  <w:footnote w:type="continuationSeparator" w:id="0">
    <w:p w:rsidR="00E25E13" w:rsidRDefault="00E25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11"/>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04C"/>
    <w:rsid w:val="000575C5"/>
    <w:rsid w:val="000577C9"/>
    <w:rsid w:val="00060FFD"/>
    <w:rsid w:val="00061D69"/>
    <w:rsid w:val="00061DD2"/>
    <w:rsid w:val="0006431E"/>
    <w:rsid w:val="000652EA"/>
    <w:rsid w:val="00065E21"/>
    <w:rsid w:val="000673ED"/>
    <w:rsid w:val="00067854"/>
    <w:rsid w:val="00070DED"/>
    <w:rsid w:val="00072433"/>
    <w:rsid w:val="00072B3E"/>
    <w:rsid w:val="0007388C"/>
    <w:rsid w:val="0007488B"/>
    <w:rsid w:val="00075702"/>
    <w:rsid w:val="00075A0C"/>
    <w:rsid w:val="000761F9"/>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5EEE"/>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2FA4"/>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555"/>
    <w:rsid w:val="00143B79"/>
    <w:rsid w:val="00145965"/>
    <w:rsid w:val="00150B8A"/>
    <w:rsid w:val="00150DCB"/>
    <w:rsid w:val="00151912"/>
    <w:rsid w:val="00151BD8"/>
    <w:rsid w:val="0015325E"/>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5E6"/>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D69"/>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AE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6F96"/>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140"/>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8E7"/>
    <w:rsid w:val="002A5943"/>
    <w:rsid w:val="002A5C3C"/>
    <w:rsid w:val="002A685E"/>
    <w:rsid w:val="002A72C7"/>
    <w:rsid w:val="002B0204"/>
    <w:rsid w:val="002B03B2"/>
    <w:rsid w:val="002B0749"/>
    <w:rsid w:val="002B2645"/>
    <w:rsid w:val="002B303A"/>
    <w:rsid w:val="002B32E9"/>
    <w:rsid w:val="002B4E22"/>
    <w:rsid w:val="002B6FA0"/>
    <w:rsid w:val="002B7710"/>
    <w:rsid w:val="002C03D8"/>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B9"/>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0DC"/>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B0A"/>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771B3"/>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2FA8"/>
    <w:rsid w:val="00523488"/>
    <w:rsid w:val="00523A8B"/>
    <w:rsid w:val="00523E04"/>
    <w:rsid w:val="00525003"/>
    <w:rsid w:val="0052590B"/>
    <w:rsid w:val="0052592B"/>
    <w:rsid w:val="00526591"/>
    <w:rsid w:val="00527178"/>
    <w:rsid w:val="00527618"/>
    <w:rsid w:val="005278CB"/>
    <w:rsid w:val="00530388"/>
    <w:rsid w:val="0053093E"/>
    <w:rsid w:val="00531DA0"/>
    <w:rsid w:val="00532E9D"/>
    <w:rsid w:val="00533075"/>
    <w:rsid w:val="00534D42"/>
    <w:rsid w:val="005350A5"/>
    <w:rsid w:val="005350AA"/>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47F8C"/>
    <w:rsid w:val="0055034F"/>
    <w:rsid w:val="00550476"/>
    <w:rsid w:val="0055288D"/>
    <w:rsid w:val="00555259"/>
    <w:rsid w:val="00555C66"/>
    <w:rsid w:val="005569EF"/>
    <w:rsid w:val="00556BDE"/>
    <w:rsid w:val="00557B7A"/>
    <w:rsid w:val="00560D57"/>
    <w:rsid w:val="00562A94"/>
    <w:rsid w:val="00563FAD"/>
    <w:rsid w:val="005701C1"/>
    <w:rsid w:val="005703BF"/>
    <w:rsid w:val="005705CB"/>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264"/>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34A"/>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726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36D"/>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337"/>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9C"/>
    <w:rsid w:val="006B53C4"/>
    <w:rsid w:val="006B586B"/>
    <w:rsid w:val="006B5923"/>
    <w:rsid w:val="006B67D9"/>
    <w:rsid w:val="006B6C14"/>
    <w:rsid w:val="006B7159"/>
    <w:rsid w:val="006B715E"/>
    <w:rsid w:val="006C1CA0"/>
    <w:rsid w:val="006C1D6E"/>
    <w:rsid w:val="006C2EF6"/>
    <w:rsid w:val="006C3A68"/>
    <w:rsid w:val="006C3B08"/>
    <w:rsid w:val="006C6AB1"/>
    <w:rsid w:val="006C6E6B"/>
    <w:rsid w:val="006C73D4"/>
    <w:rsid w:val="006D145F"/>
    <w:rsid w:val="006D2000"/>
    <w:rsid w:val="006D2436"/>
    <w:rsid w:val="006D2D39"/>
    <w:rsid w:val="006D2F31"/>
    <w:rsid w:val="006D4250"/>
    <w:rsid w:val="006D4E0E"/>
    <w:rsid w:val="006D5365"/>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5C0"/>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78F"/>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A5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27EF2"/>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14B7"/>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97A"/>
    <w:rsid w:val="00914ADB"/>
    <w:rsid w:val="00917182"/>
    <w:rsid w:val="00920251"/>
    <w:rsid w:val="00921CFD"/>
    <w:rsid w:val="009235E0"/>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D64"/>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605"/>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0E4"/>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F1B"/>
    <w:rsid w:val="00A2270B"/>
    <w:rsid w:val="00A23B89"/>
    <w:rsid w:val="00A23C4F"/>
    <w:rsid w:val="00A23FE3"/>
    <w:rsid w:val="00A248C3"/>
    <w:rsid w:val="00A2496E"/>
    <w:rsid w:val="00A2515A"/>
    <w:rsid w:val="00A253E8"/>
    <w:rsid w:val="00A258B7"/>
    <w:rsid w:val="00A25A0C"/>
    <w:rsid w:val="00A25A83"/>
    <w:rsid w:val="00A262B6"/>
    <w:rsid w:val="00A305AD"/>
    <w:rsid w:val="00A305E2"/>
    <w:rsid w:val="00A31FE2"/>
    <w:rsid w:val="00A32743"/>
    <w:rsid w:val="00A40356"/>
    <w:rsid w:val="00A40FFB"/>
    <w:rsid w:val="00A41468"/>
    <w:rsid w:val="00A414A9"/>
    <w:rsid w:val="00A428A0"/>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8AE"/>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663"/>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E8F"/>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742"/>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7C5"/>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86E"/>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39F8"/>
    <w:rsid w:val="00BB45B5"/>
    <w:rsid w:val="00BB4DDE"/>
    <w:rsid w:val="00BB6064"/>
    <w:rsid w:val="00BB65CE"/>
    <w:rsid w:val="00BB7012"/>
    <w:rsid w:val="00BC09D1"/>
    <w:rsid w:val="00BC1CF3"/>
    <w:rsid w:val="00BC2BE0"/>
    <w:rsid w:val="00BC3573"/>
    <w:rsid w:val="00BC5860"/>
    <w:rsid w:val="00BC7F82"/>
    <w:rsid w:val="00BD1243"/>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0F1"/>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57148"/>
    <w:rsid w:val="00C60F23"/>
    <w:rsid w:val="00C6170B"/>
    <w:rsid w:val="00C62EB2"/>
    <w:rsid w:val="00C63431"/>
    <w:rsid w:val="00C64C87"/>
    <w:rsid w:val="00C65414"/>
    <w:rsid w:val="00C665FE"/>
    <w:rsid w:val="00C71BEC"/>
    <w:rsid w:val="00C73942"/>
    <w:rsid w:val="00C73A83"/>
    <w:rsid w:val="00C74D3A"/>
    <w:rsid w:val="00C75B32"/>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200B"/>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C81"/>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04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ED0"/>
    <w:rsid w:val="00D2641C"/>
    <w:rsid w:val="00D26873"/>
    <w:rsid w:val="00D27C99"/>
    <w:rsid w:val="00D30A25"/>
    <w:rsid w:val="00D31683"/>
    <w:rsid w:val="00D33452"/>
    <w:rsid w:val="00D336C8"/>
    <w:rsid w:val="00D339E8"/>
    <w:rsid w:val="00D33FDD"/>
    <w:rsid w:val="00D3654A"/>
    <w:rsid w:val="00D3662E"/>
    <w:rsid w:val="00D373F1"/>
    <w:rsid w:val="00D37567"/>
    <w:rsid w:val="00D40B1F"/>
    <w:rsid w:val="00D40D75"/>
    <w:rsid w:val="00D416AC"/>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9F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13"/>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356"/>
    <w:rsid w:val="00E46493"/>
    <w:rsid w:val="00E464F0"/>
    <w:rsid w:val="00E46EF3"/>
    <w:rsid w:val="00E47370"/>
    <w:rsid w:val="00E473E9"/>
    <w:rsid w:val="00E47B47"/>
    <w:rsid w:val="00E50006"/>
    <w:rsid w:val="00E50BEB"/>
    <w:rsid w:val="00E53460"/>
    <w:rsid w:val="00E548FA"/>
    <w:rsid w:val="00E55CD9"/>
    <w:rsid w:val="00E57703"/>
    <w:rsid w:val="00E577F5"/>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7CA"/>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096"/>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9E7"/>
    <w:rsid w:val="00F70B44"/>
    <w:rsid w:val="00F71436"/>
    <w:rsid w:val="00F718A8"/>
    <w:rsid w:val="00F7207E"/>
    <w:rsid w:val="00F72183"/>
    <w:rsid w:val="00F75C12"/>
    <w:rsid w:val="00F76D01"/>
    <w:rsid w:val="00F76E7E"/>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F80"/>
    <w:rsid w:val="00FD5059"/>
    <w:rsid w:val="00FD554D"/>
    <w:rsid w:val="00FD5BCC"/>
    <w:rsid w:val="00FD7419"/>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705C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8267974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5F27-88CA-4C21-B6D3-85B98430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2012-07-31T20:06:00Z</dcterms:created>
  <dcterms:modified xsi:type="dcterms:W3CDTF">2012-07-31T20:06:00Z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