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A5362F" w:rsidRDefault="00AD2379" w:rsidP="000D4AF7">
      <w:pPr>
        <w:tabs>
          <w:tab w:val="left" w:pos="288"/>
          <w:tab w:val="left" w:pos="4770"/>
        </w:tabs>
        <w:rPr>
          <w:color w:val="auto"/>
        </w:rPr>
      </w:pPr>
      <w:r w:rsidRPr="00A5362F">
        <w:rPr>
          <w:color w:val="auto"/>
        </w:rPr>
        <w:t>RECORD OF PROCEEDINGS</w:t>
      </w:r>
    </w:p>
    <w:p w:rsidR="00AD2379" w:rsidRPr="00A5362F" w:rsidRDefault="00AD2379" w:rsidP="00BF0E94">
      <w:pPr>
        <w:tabs>
          <w:tab w:val="left" w:pos="288"/>
          <w:tab w:val="left" w:pos="4752"/>
        </w:tabs>
        <w:rPr>
          <w:color w:val="auto"/>
        </w:rPr>
      </w:pPr>
      <w:r w:rsidRPr="00A5362F">
        <w:rPr>
          <w:color w:val="auto"/>
        </w:rPr>
        <w:t>PHYSICAL DISABILITY BOARD OF REVIEW</w:t>
      </w:r>
    </w:p>
    <w:p w:rsidR="00AD2379" w:rsidRPr="00A5362F" w:rsidRDefault="00AD2379" w:rsidP="00BF0E94">
      <w:pPr>
        <w:tabs>
          <w:tab w:val="left" w:pos="288"/>
          <w:tab w:val="left" w:pos="4752"/>
        </w:tabs>
        <w:jc w:val="both"/>
        <w:rPr>
          <w:caps/>
          <w:color w:val="auto"/>
        </w:rPr>
      </w:pPr>
    </w:p>
    <w:p w:rsidR="0095270D" w:rsidRPr="00A5362F" w:rsidRDefault="0095270D" w:rsidP="00CE3461">
      <w:pPr>
        <w:tabs>
          <w:tab w:val="right" w:pos="9360"/>
        </w:tabs>
        <w:jc w:val="both"/>
        <w:rPr>
          <w:caps/>
          <w:color w:val="auto"/>
        </w:rPr>
      </w:pPr>
      <w:r w:rsidRPr="00A5362F">
        <w:rPr>
          <w:caps/>
          <w:color w:val="auto"/>
        </w:rPr>
        <w:t>NAME:</w:t>
      </w:r>
      <w:r w:rsidR="00BC1823" w:rsidRPr="00A5362F">
        <w:rPr>
          <w:caps/>
          <w:color w:val="auto"/>
        </w:rPr>
        <w:t xml:space="preserve"> </w:t>
      </w:r>
      <w:r w:rsidRPr="00A5362F">
        <w:rPr>
          <w:caps/>
          <w:color w:val="auto"/>
        </w:rPr>
        <w:t xml:space="preserve"> </w:t>
      </w:r>
      <w:r w:rsidR="00793BC6">
        <w:rPr>
          <w:caps/>
          <w:color w:val="auto"/>
        </w:rPr>
        <w:t>XXXXXXXXXXXXXXX</w:t>
      </w:r>
      <w:r w:rsidR="005C2B01" w:rsidRPr="00A5362F">
        <w:rPr>
          <w:caps/>
          <w:color w:val="auto"/>
        </w:rPr>
        <w:t xml:space="preserve">                                                            </w:t>
      </w:r>
      <w:r w:rsidRPr="00A5362F">
        <w:rPr>
          <w:caps/>
          <w:color w:val="auto"/>
        </w:rPr>
        <w:t xml:space="preserve"> </w:t>
      </w:r>
      <w:r w:rsidR="00A5362F" w:rsidRPr="00A5362F">
        <w:rPr>
          <w:caps/>
          <w:color w:val="auto"/>
        </w:rPr>
        <w:t xml:space="preserve">     </w:t>
      </w:r>
      <w:r w:rsidR="00EE3CFB" w:rsidRPr="00A5362F">
        <w:rPr>
          <w:caps/>
          <w:color w:val="auto"/>
        </w:rPr>
        <w:t xml:space="preserve">BRANCH OF SERVICE: </w:t>
      </w:r>
      <w:r w:rsidR="0018208F" w:rsidRPr="00A5362F">
        <w:rPr>
          <w:caps/>
          <w:color w:val="auto"/>
        </w:rPr>
        <w:t xml:space="preserve"> </w:t>
      </w:r>
      <w:r w:rsidR="00DF70F4" w:rsidRPr="00A5362F">
        <w:rPr>
          <w:caps/>
          <w:color w:val="auto"/>
        </w:rPr>
        <w:t>Army</w:t>
      </w:r>
    </w:p>
    <w:p w:rsidR="0095270D" w:rsidRPr="00A5362F" w:rsidRDefault="0095270D" w:rsidP="00CE3461">
      <w:pPr>
        <w:tabs>
          <w:tab w:val="right" w:pos="9360"/>
        </w:tabs>
        <w:jc w:val="both"/>
        <w:rPr>
          <w:color w:val="auto"/>
        </w:rPr>
      </w:pPr>
      <w:r w:rsidRPr="00A5362F">
        <w:rPr>
          <w:caps/>
          <w:color w:val="auto"/>
        </w:rPr>
        <w:t>CASE NUMBER:  PD11</w:t>
      </w:r>
      <w:r w:rsidR="005C2B01" w:rsidRPr="00A5362F">
        <w:rPr>
          <w:caps/>
          <w:color w:val="auto"/>
        </w:rPr>
        <w:t>00984</w:t>
      </w:r>
      <w:r w:rsidR="00DD5558" w:rsidRPr="00A5362F">
        <w:rPr>
          <w:color w:val="auto"/>
        </w:rPr>
        <w:tab/>
      </w:r>
      <w:r w:rsidR="0018208F" w:rsidRPr="00A5362F">
        <w:rPr>
          <w:color w:val="auto"/>
        </w:rPr>
        <w:t>SE</w:t>
      </w:r>
      <w:r w:rsidRPr="00A5362F">
        <w:rPr>
          <w:color w:val="auto"/>
        </w:rPr>
        <w:t>PARATION DATE:  200</w:t>
      </w:r>
      <w:r w:rsidR="005C2B01" w:rsidRPr="00A5362F">
        <w:rPr>
          <w:color w:val="auto"/>
        </w:rPr>
        <w:t>70422</w:t>
      </w:r>
    </w:p>
    <w:p w:rsidR="00AD2379" w:rsidRPr="00A5362F" w:rsidRDefault="0095270D" w:rsidP="00CE3461">
      <w:pPr>
        <w:pBdr>
          <w:bottom w:val="single" w:sz="12" w:space="1" w:color="auto"/>
        </w:pBdr>
        <w:tabs>
          <w:tab w:val="left" w:pos="288"/>
          <w:tab w:val="left" w:pos="4752"/>
        </w:tabs>
        <w:jc w:val="both"/>
        <w:rPr>
          <w:rFonts w:cs="Times New Roman"/>
          <w:caps/>
          <w:color w:val="auto"/>
        </w:rPr>
      </w:pPr>
      <w:r w:rsidRPr="00A5362F">
        <w:rPr>
          <w:caps/>
          <w:color w:val="auto"/>
        </w:rPr>
        <w:t>BOARD DATE:  2012</w:t>
      </w:r>
      <w:r w:rsidR="00A5362F" w:rsidRPr="00A5362F">
        <w:rPr>
          <w:caps/>
          <w:color w:val="auto"/>
        </w:rPr>
        <w:t>1004</w:t>
      </w:r>
    </w:p>
    <w:p w:rsidR="0095270D" w:rsidRPr="00A5362F" w:rsidRDefault="0095270D" w:rsidP="00CE3461">
      <w:pPr>
        <w:pBdr>
          <w:bottom w:val="single" w:sz="12" w:space="1" w:color="auto"/>
        </w:pBdr>
        <w:tabs>
          <w:tab w:val="left" w:pos="288"/>
          <w:tab w:val="left" w:pos="4752"/>
        </w:tabs>
        <w:jc w:val="both"/>
        <w:rPr>
          <w:color w:val="auto"/>
        </w:rPr>
      </w:pPr>
    </w:p>
    <w:p w:rsidR="00AD2379" w:rsidRPr="00A5362F" w:rsidRDefault="00AD2379" w:rsidP="00CE3461">
      <w:pPr>
        <w:tabs>
          <w:tab w:val="left" w:pos="288"/>
          <w:tab w:val="left" w:pos="4752"/>
        </w:tabs>
        <w:jc w:val="both"/>
        <w:rPr>
          <w:color w:val="auto"/>
        </w:rPr>
      </w:pPr>
    </w:p>
    <w:p w:rsidR="0066684A" w:rsidRPr="00A5362F" w:rsidRDefault="00AD2379" w:rsidP="00CE3461">
      <w:pPr>
        <w:tabs>
          <w:tab w:val="left" w:pos="288"/>
          <w:tab w:val="left" w:pos="4752"/>
        </w:tabs>
        <w:jc w:val="both"/>
        <w:rPr>
          <w:color w:val="auto"/>
          <w:szCs w:val="24"/>
        </w:rPr>
      </w:pPr>
      <w:r w:rsidRPr="00A5362F">
        <w:rPr>
          <w:color w:val="auto"/>
          <w:u w:val="single"/>
        </w:rPr>
        <w:t>SUMMARY OF CASE</w:t>
      </w:r>
      <w:r w:rsidRPr="00A5362F">
        <w:rPr>
          <w:color w:val="auto"/>
        </w:rPr>
        <w:t>:</w:t>
      </w:r>
      <w:r w:rsidR="00F34FB7" w:rsidRPr="00A5362F">
        <w:rPr>
          <w:color w:val="auto"/>
        </w:rPr>
        <w:t xml:space="preserve">  Data extracted from the available evidence of record reflects that this covered individual (CI) was an active duty SGT/E-5 (13B/Cannon Crewmember), medically separated for </w:t>
      </w:r>
      <w:r w:rsidR="00F34FB7" w:rsidRPr="00A5362F">
        <w:rPr>
          <w:color w:val="000000" w:themeColor="text1"/>
          <w:szCs w:val="24"/>
        </w:rPr>
        <w:t>chronic right foot pain.</w:t>
      </w:r>
      <w:r w:rsidR="00BB6BAD" w:rsidRPr="00A5362F">
        <w:rPr>
          <w:color w:val="auto"/>
          <w:szCs w:val="24"/>
        </w:rPr>
        <w:t xml:space="preserve">  </w:t>
      </w:r>
      <w:r w:rsidR="003D4975" w:rsidRPr="00A5362F">
        <w:rPr>
          <w:color w:val="auto"/>
          <w:szCs w:val="24"/>
        </w:rPr>
        <w:t xml:space="preserve">The CI stated symptoms began after a cannon round fell on his right foot in 2001.  </w:t>
      </w:r>
      <w:r w:rsidR="00BB6BAD" w:rsidRPr="00A5362F">
        <w:rPr>
          <w:color w:val="auto"/>
        </w:rPr>
        <w:t>Despite two surgeries, aggressive physical therapy (PT), crutches, CAM walker, shoe orthotics; soft shoe and non steroidal anti inflammatory drugs (NSAIDS</w:t>
      </w:r>
      <w:r w:rsidR="00E13EDD" w:rsidRPr="00A5362F">
        <w:rPr>
          <w:color w:val="auto"/>
        </w:rPr>
        <w:t>) the</w:t>
      </w:r>
      <w:r w:rsidR="00BB6BAD" w:rsidRPr="00A5362F">
        <w:rPr>
          <w:color w:val="auto"/>
        </w:rPr>
        <w:t xml:space="preserve"> CI </w:t>
      </w:r>
      <w:r w:rsidR="00F34FB7" w:rsidRPr="00A5362F">
        <w:rPr>
          <w:color w:val="auto"/>
        </w:rPr>
        <w:t>did not im</w:t>
      </w:r>
      <w:r w:rsidR="00BB6BAD" w:rsidRPr="00A5362F">
        <w:rPr>
          <w:color w:val="auto"/>
        </w:rPr>
        <w:t xml:space="preserve">prove adequately </w:t>
      </w:r>
      <w:r w:rsidR="00F34FB7" w:rsidRPr="00A5362F">
        <w:rPr>
          <w:color w:val="auto"/>
        </w:rPr>
        <w:t xml:space="preserve">to meet the physical requirements of </w:t>
      </w:r>
      <w:r w:rsidR="00BB6BAD" w:rsidRPr="00A5362F">
        <w:rPr>
          <w:color w:val="auto"/>
        </w:rPr>
        <w:t>his</w:t>
      </w:r>
      <w:r w:rsidR="00F34FB7" w:rsidRPr="00A5362F">
        <w:rPr>
          <w:color w:val="auto"/>
        </w:rPr>
        <w:t xml:space="preserve"> Military Occupational Specialty (MOS) or satisfy physical fitness standards.  He was issued a permanent L3 profile and referred for a Medical Evaluation Board (MEB).  </w:t>
      </w:r>
      <w:r w:rsidR="00FF741E" w:rsidRPr="00A5362F">
        <w:rPr>
          <w:color w:val="auto"/>
        </w:rPr>
        <w:t xml:space="preserve">The MEB forwarded </w:t>
      </w:r>
      <w:r w:rsidR="00BB6BAD" w:rsidRPr="00A5362F">
        <w:rPr>
          <w:color w:val="000000" w:themeColor="text1"/>
          <w:szCs w:val="24"/>
        </w:rPr>
        <w:t>c</w:t>
      </w:r>
      <w:r w:rsidR="00F34FB7" w:rsidRPr="00A5362F">
        <w:rPr>
          <w:color w:val="000000" w:themeColor="text1"/>
          <w:szCs w:val="24"/>
        </w:rPr>
        <w:t xml:space="preserve">hronic right foot pain status post </w:t>
      </w:r>
      <w:r w:rsidR="00FF741E" w:rsidRPr="00A5362F">
        <w:rPr>
          <w:color w:val="000000" w:themeColor="text1"/>
          <w:szCs w:val="24"/>
        </w:rPr>
        <w:t>(s/p)</w:t>
      </w:r>
      <w:r w:rsidR="00F34FB7" w:rsidRPr="00A5362F">
        <w:rPr>
          <w:color w:val="000000" w:themeColor="text1"/>
          <w:szCs w:val="24"/>
        </w:rPr>
        <w:t xml:space="preserve"> </w:t>
      </w:r>
      <w:r w:rsidR="003D4975" w:rsidRPr="00A5362F">
        <w:rPr>
          <w:color w:val="000000" w:themeColor="text1"/>
          <w:szCs w:val="24"/>
        </w:rPr>
        <w:t xml:space="preserve">surgery </w:t>
      </w:r>
      <w:r w:rsidR="00FF741E" w:rsidRPr="00A5362F">
        <w:rPr>
          <w:color w:val="000000" w:themeColor="text1"/>
          <w:szCs w:val="24"/>
        </w:rPr>
        <w:t>on DA Form 3947</w:t>
      </w:r>
      <w:r w:rsidR="00F34FB7" w:rsidRPr="00A5362F">
        <w:rPr>
          <w:color w:val="000000" w:themeColor="text1"/>
          <w:szCs w:val="24"/>
        </w:rPr>
        <w:t xml:space="preserve"> to the Physical Evaluation Board (PEB) as medically unacceptable IAW AR 40-501.  No other conditions appeared on the MEB’s submission.  </w:t>
      </w:r>
      <w:r w:rsidR="00F34FB7" w:rsidRPr="00A5362F">
        <w:rPr>
          <w:color w:val="auto"/>
        </w:rPr>
        <w:t xml:space="preserve">The PEB adjudicated the </w:t>
      </w:r>
      <w:r w:rsidR="00F34FB7" w:rsidRPr="00A5362F">
        <w:rPr>
          <w:color w:val="000000" w:themeColor="text1"/>
          <w:szCs w:val="24"/>
        </w:rPr>
        <w:t>chronic right foot pain</w:t>
      </w:r>
      <w:r w:rsidR="00F34FB7" w:rsidRPr="00A5362F">
        <w:rPr>
          <w:color w:val="auto"/>
        </w:rPr>
        <w:t xml:space="preserve"> condition as unfitting, rated 10%, with </w:t>
      </w:r>
      <w:r w:rsidR="003D4975" w:rsidRPr="00A5362F">
        <w:rPr>
          <w:color w:val="auto"/>
        </w:rPr>
        <w:t>application of the Veteran’s Affairs Schedule for Rating Disabilities (VASRD)</w:t>
      </w:r>
      <w:r w:rsidR="00F34FB7" w:rsidRPr="00A5362F">
        <w:rPr>
          <w:color w:val="auto"/>
        </w:rPr>
        <w:t>.  The CI made no appeals, and was medically separated with a 10% disability rating.</w:t>
      </w:r>
      <w:r w:rsidR="003D4975" w:rsidRPr="00A5362F">
        <w:rPr>
          <w:color w:val="auto"/>
        </w:rPr>
        <w:t xml:space="preserve">  </w:t>
      </w:r>
    </w:p>
    <w:p w:rsidR="00042978" w:rsidRPr="00A5362F" w:rsidRDefault="00042978" w:rsidP="00CE3461">
      <w:pPr>
        <w:pBdr>
          <w:bottom w:val="single" w:sz="12" w:space="1" w:color="auto"/>
        </w:pBdr>
        <w:tabs>
          <w:tab w:val="left" w:pos="288"/>
          <w:tab w:val="left" w:pos="4752"/>
        </w:tabs>
        <w:jc w:val="both"/>
        <w:rPr>
          <w:color w:val="auto"/>
        </w:rPr>
      </w:pPr>
    </w:p>
    <w:p w:rsidR="00042978" w:rsidRPr="00A5362F" w:rsidRDefault="00042978" w:rsidP="00CE3461">
      <w:pPr>
        <w:jc w:val="both"/>
        <w:rPr>
          <w:color w:val="auto"/>
          <w:u w:val="single"/>
        </w:rPr>
      </w:pPr>
    </w:p>
    <w:p w:rsidR="007635A8" w:rsidRPr="00A5362F" w:rsidRDefault="00AD2379" w:rsidP="0050186C">
      <w:pPr>
        <w:tabs>
          <w:tab w:val="left" w:pos="288"/>
          <w:tab w:val="left" w:pos="4752"/>
        </w:tabs>
        <w:jc w:val="both"/>
        <w:rPr>
          <w:color w:val="auto"/>
        </w:rPr>
      </w:pPr>
      <w:r w:rsidRPr="00A5362F">
        <w:rPr>
          <w:color w:val="auto"/>
          <w:u w:val="single"/>
        </w:rPr>
        <w:t>CI CONTENTION</w:t>
      </w:r>
      <w:r w:rsidRPr="00A5362F">
        <w:rPr>
          <w:color w:val="auto"/>
        </w:rPr>
        <w:t>:</w:t>
      </w:r>
      <w:r w:rsidR="00BC1823" w:rsidRPr="00A5362F">
        <w:rPr>
          <w:color w:val="auto"/>
        </w:rPr>
        <w:t xml:space="preserve"> </w:t>
      </w:r>
      <w:r w:rsidR="0066684A" w:rsidRPr="00A5362F">
        <w:rPr>
          <w:color w:val="auto"/>
        </w:rPr>
        <w:t xml:space="preserve"> </w:t>
      </w:r>
      <w:r w:rsidR="00B63DD1" w:rsidRPr="00A5362F">
        <w:rPr>
          <w:color w:val="000000" w:themeColor="text1"/>
        </w:rPr>
        <w:t xml:space="preserve">“I have received 70% rating SC for PTSD, 10% SC for bilateral pes planus, 10% for </w:t>
      </w:r>
      <w:r w:rsidR="00DB2F81" w:rsidRPr="00A5362F">
        <w:rPr>
          <w:color w:val="000000" w:themeColor="text1"/>
        </w:rPr>
        <w:t>(</w:t>
      </w:r>
      <w:r w:rsidR="00DB2F81" w:rsidRPr="00A5362F">
        <w:rPr>
          <w:i/>
          <w:color w:val="000000" w:themeColor="text1"/>
        </w:rPr>
        <w:t>left</w:t>
      </w:r>
      <w:r w:rsidR="00DB2F81" w:rsidRPr="00A5362F">
        <w:rPr>
          <w:color w:val="000000" w:themeColor="text1"/>
        </w:rPr>
        <w:t xml:space="preserve">) </w:t>
      </w:r>
      <w:r w:rsidR="00B63DD1" w:rsidRPr="00A5362F">
        <w:rPr>
          <w:color w:val="000000" w:themeColor="text1"/>
        </w:rPr>
        <w:t xml:space="preserve">medial </w:t>
      </w:r>
      <w:r w:rsidR="00E13EDD" w:rsidRPr="00A5362F">
        <w:rPr>
          <w:color w:val="000000" w:themeColor="text1"/>
        </w:rPr>
        <w:t>malleolus</w:t>
      </w:r>
      <w:r w:rsidR="002E04B2">
        <w:rPr>
          <w:color w:val="000000" w:themeColor="text1"/>
        </w:rPr>
        <w:t xml:space="preserve">, 10% severe hallux valgus.  </w:t>
      </w:r>
      <w:proofErr w:type="gramStart"/>
      <w:r w:rsidR="00B63DD1" w:rsidRPr="00A5362F">
        <w:rPr>
          <w:color w:val="000000" w:themeColor="text1"/>
        </w:rPr>
        <w:t>Individual Unemployability 100%.”</w:t>
      </w:r>
      <w:proofErr w:type="gramEnd"/>
      <w:r w:rsidR="006F674E" w:rsidRPr="00A5362F">
        <w:rPr>
          <w:color w:val="auto"/>
        </w:rPr>
        <w:t xml:space="preserve"> </w:t>
      </w:r>
      <w:r w:rsidR="00DB2F81" w:rsidRPr="00A5362F">
        <w:rPr>
          <w:color w:val="auto"/>
        </w:rPr>
        <w:t xml:space="preserve"> </w:t>
      </w:r>
    </w:p>
    <w:p w:rsidR="0050186C" w:rsidRPr="00A5362F" w:rsidRDefault="0050186C" w:rsidP="0050186C">
      <w:pPr>
        <w:pBdr>
          <w:bottom w:val="single" w:sz="12" w:space="1" w:color="auto"/>
        </w:pBdr>
        <w:tabs>
          <w:tab w:val="left" w:pos="288"/>
          <w:tab w:val="left" w:pos="4752"/>
        </w:tabs>
        <w:jc w:val="both"/>
        <w:rPr>
          <w:color w:val="auto"/>
        </w:rPr>
      </w:pPr>
    </w:p>
    <w:p w:rsidR="0050186C" w:rsidRPr="00A5362F" w:rsidRDefault="0050186C" w:rsidP="0050186C">
      <w:pPr>
        <w:jc w:val="both"/>
        <w:rPr>
          <w:color w:val="auto"/>
          <w:u w:val="single"/>
        </w:rPr>
      </w:pPr>
    </w:p>
    <w:p w:rsidR="00F34FB7" w:rsidRPr="00A5362F" w:rsidRDefault="009239C0" w:rsidP="00CE3461">
      <w:pPr>
        <w:jc w:val="both"/>
        <w:rPr>
          <w:color w:val="auto"/>
        </w:rPr>
      </w:pPr>
      <w:r w:rsidRPr="00A5362F">
        <w:rPr>
          <w:color w:val="auto"/>
          <w:u w:val="single"/>
        </w:rPr>
        <w:t>SCOPE OF REVIEW</w:t>
      </w:r>
      <w:r w:rsidR="00F34FB7" w:rsidRPr="00A5362F">
        <w:rPr>
          <w:color w:val="auto"/>
        </w:rPr>
        <w:t>:</w:t>
      </w:r>
      <w:r w:rsidRPr="00A5362F">
        <w:rPr>
          <w:color w:val="auto"/>
        </w:rPr>
        <w:t xml:space="preserve"> </w:t>
      </w:r>
      <w:r w:rsidR="00A5362F">
        <w:rPr>
          <w:color w:val="auto"/>
        </w:rPr>
        <w:t xml:space="preserve"> </w:t>
      </w:r>
      <w:r w:rsidR="00F34FB7" w:rsidRPr="00A5362F">
        <w:rPr>
          <w:color w:val="auto"/>
        </w:rPr>
        <w:t>The Board wishes to clarify that the scope of its review as defined in</w:t>
      </w:r>
      <w:r w:rsidR="00993FC9">
        <w:rPr>
          <w:color w:val="auto"/>
        </w:rPr>
        <w:t xml:space="preserve"> the Department of Defense Instruction</w:t>
      </w:r>
      <w:r w:rsidR="00F34FB7" w:rsidRPr="00A5362F">
        <w:rPr>
          <w:color w:val="auto"/>
        </w:rPr>
        <w:t xml:space="preserve"> </w:t>
      </w:r>
      <w:r w:rsidR="00993FC9">
        <w:rPr>
          <w:color w:val="auto"/>
        </w:rPr>
        <w:t>(</w:t>
      </w:r>
      <w:proofErr w:type="spellStart"/>
      <w:r w:rsidR="00F34FB7" w:rsidRPr="00A5362F">
        <w:rPr>
          <w:color w:val="auto"/>
        </w:rPr>
        <w:t>DoDI</w:t>
      </w:r>
      <w:proofErr w:type="spellEnd"/>
      <w:r w:rsidR="00993FC9">
        <w:rPr>
          <w:color w:val="auto"/>
        </w:rPr>
        <w:t>)</w:t>
      </w:r>
      <w:r w:rsidR="00F34FB7" w:rsidRPr="00A5362F">
        <w:rPr>
          <w:color w:val="auto"/>
        </w:rPr>
        <w:t xml:space="preserve"> 6040.44, Enclosure 3, paragraph 5.e</w:t>
      </w:r>
      <w:r w:rsidR="00E13EDD" w:rsidRPr="00A5362F">
        <w:rPr>
          <w:color w:val="auto"/>
        </w:rPr>
        <w:t>. (</w:t>
      </w:r>
      <w:r w:rsidR="00F34FB7" w:rsidRPr="00A5362F">
        <w:rPr>
          <w:color w:val="auto"/>
        </w:rPr>
        <w:t>2) is limited to those conditions which were determined by the PEB to be specifically unfitting for continued military service; or, when requested by the CI, those condition(s) “identified but not determined to be unfitting by the PEB.</w:t>
      </w:r>
      <w:r w:rsidR="00993FC9">
        <w:rPr>
          <w:color w:val="auto"/>
        </w:rPr>
        <w:t>”</w:t>
      </w:r>
      <w:r w:rsidR="00F34FB7" w:rsidRPr="00A5362F">
        <w:rPr>
          <w:color w:val="auto"/>
        </w:rPr>
        <w:t xml:space="preserve">  The ratings for unfitting conditions will be reviewed in all cases.  </w:t>
      </w:r>
      <w:r w:rsidR="009628E7" w:rsidRPr="00A5362F">
        <w:rPr>
          <w:color w:val="auto"/>
        </w:rPr>
        <w:t xml:space="preserve">The unfitting right foot pain condition includes the right foot portion of the contended severe </w:t>
      </w:r>
      <w:proofErr w:type="spellStart"/>
      <w:r w:rsidR="009628E7" w:rsidRPr="00A5362F">
        <w:rPr>
          <w:color w:val="auto"/>
        </w:rPr>
        <w:t>hallux</w:t>
      </w:r>
      <w:proofErr w:type="spellEnd"/>
      <w:r w:rsidR="009628E7" w:rsidRPr="00A5362F">
        <w:rPr>
          <w:color w:val="auto"/>
        </w:rPr>
        <w:t xml:space="preserve"> </w:t>
      </w:r>
      <w:proofErr w:type="spellStart"/>
      <w:r w:rsidR="009628E7" w:rsidRPr="00A5362F">
        <w:rPr>
          <w:color w:val="auto"/>
        </w:rPr>
        <w:t>valgus</w:t>
      </w:r>
      <w:proofErr w:type="spellEnd"/>
      <w:r w:rsidR="009628E7" w:rsidRPr="00A5362F">
        <w:rPr>
          <w:color w:val="auto"/>
        </w:rPr>
        <w:t xml:space="preserve"> and </w:t>
      </w:r>
      <w:proofErr w:type="spellStart"/>
      <w:r w:rsidR="00C9386B">
        <w:rPr>
          <w:color w:val="auto"/>
        </w:rPr>
        <w:t>p</w:t>
      </w:r>
      <w:r w:rsidR="009628E7" w:rsidRPr="00A5362F">
        <w:rPr>
          <w:color w:val="auto"/>
        </w:rPr>
        <w:t>es</w:t>
      </w:r>
      <w:proofErr w:type="spellEnd"/>
      <w:r w:rsidR="009628E7" w:rsidRPr="00A5362F">
        <w:rPr>
          <w:color w:val="auto"/>
        </w:rPr>
        <w:t xml:space="preserve"> </w:t>
      </w:r>
      <w:proofErr w:type="spellStart"/>
      <w:r w:rsidR="00C9386B">
        <w:rPr>
          <w:color w:val="auto"/>
        </w:rPr>
        <w:t>p</w:t>
      </w:r>
      <w:r w:rsidR="009628E7" w:rsidRPr="00A5362F">
        <w:rPr>
          <w:color w:val="auto"/>
        </w:rPr>
        <w:t>lanus</w:t>
      </w:r>
      <w:proofErr w:type="spellEnd"/>
      <w:r w:rsidR="009628E7" w:rsidRPr="00A5362F">
        <w:rPr>
          <w:color w:val="auto"/>
        </w:rPr>
        <w:t xml:space="preserve"> conditions.  </w:t>
      </w:r>
      <w:r w:rsidR="00F34FB7" w:rsidRPr="00A5362F">
        <w:rPr>
          <w:color w:val="auto"/>
        </w:rPr>
        <w:t xml:space="preserve">The remaining conditions rated by the VA and contended above </w:t>
      </w:r>
      <w:r w:rsidR="00CB15B8" w:rsidRPr="00A5362F">
        <w:rPr>
          <w:color w:val="auto"/>
        </w:rPr>
        <w:t xml:space="preserve">(PTSD, left medial malleolus and any left foot conditions) </w:t>
      </w:r>
      <w:r w:rsidR="00F34FB7" w:rsidRPr="00A5362F">
        <w:rPr>
          <w:color w:val="auto"/>
        </w:rPr>
        <w:t xml:space="preserve">are not within the Board’s purview. </w:t>
      </w:r>
      <w:r w:rsidR="00BC1823" w:rsidRPr="00A5362F">
        <w:rPr>
          <w:color w:val="auto"/>
        </w:rPr>
        <w:t xml:space="preserve"> </w:t>
      </w:r>
      <w:r w:rsidR="00F34FB7" w:rsidRPr="00A5362F">
        <w:rPr>
          <w:color w:val="auto"/>
        </w:rPr>
        <w:t xml:space="preserve">Any conditions or contention not requested in this application, or otherwise outside the Board’s defined scope of review, remain eligible for future consideration by the Army Board for Correction of Military Records.  </w:t>
      </w:r>
    </w:p>
    <w:p w:rsidR="000B63CF" w:rsidRPr="00A5362F" w:rsidRDefault="000B63CF" w:rsidP="000B63CF">
      <w:pPr>
        <w:pBdr>
          <w:bottom w:val="single" w:sz="12" w:space="1" w:color="auto"/>
        </w:pBdr>
        <w:tabs>
          <w:tab w:val="left" w:pos="288"/>
          <w:tab w:val="left" w:pos="4752"/>
        </w:tabs>
        <w:jc w:val="both"/>
        <w:rPr>
          <w:color w:val="auto"/>
        </w:rPr>
      </w:pPr>
    </w:p>
    <w:p w:rsidR="000B63CF" w:rsidRPr="00A5362F" w:rsidRDefault="000B63CF" w:rsidP="000B63CF">
      <w:pPr>
        <w:jc w:val="both"/>
        <w:rPr>
          <w:color w:val="auto"/>
          <w:u w:val="single"/>
        </w:rPr>
      </w:pPr>
    </w:p>
    <w:p w:rsidR="00CB15B8" w:rsidRPr="00A5362F" w:rsidRDefault="00CB15B8">
      <w:pPr>
        <w:spacing w:line="240" w:lineRule="auto"/>
        <w:jc w:val="left"/>
        <w:rPr>
          <w:color w:val="auto"/>
          <w:u w:val="single"/>
        </w:rPr>
      </w:pPr>
      <w:r w:rsidRPr="00A5362F">
        <w:rPr>
          <w:color w:val="auto"/>
          <w:u w:val="single"/>
        </w:rPr>
        <w:br w:type="page"/>
      </w:r>
    </w:p>
    <w:p w:rsidR="00AD2379" w:rsidRPr="00A5362F" w:rsidRDefault="00AD2379" w:rsidP="00BF0E94">
      <w:pPr>
        <w:jc w:val="left"/>
        <w:rPr>
          <w:color w:val="auto"/>
        </w:rPr>
      </w:pPr>
      <w:r w:rsidRPr="00A5362F">
        <w:rPr>
          <w:color w:val="auto"/>
          <w:u w:val="single"/>
        </w:rPr>
        <w:lastRenderedPageBreak/>
        <w:t>RATING COMPARISON</w:t>
      </w:r>
      <w:r w:rsidRPr="00A5362F">
        <w:rPr>
          <w:color w:val="auto"/>
        </w:rPr>
        <w:t xml:space="preserve">: </w:t>
      </w:r>
      <w:r w:rsidR="00855E73" w:rsidRPr="00A5362F">
        <w:rPr>
          <w:color w:val="auto"/>
        </w:rPr>
        <w:t xml:space="preserve"> </w:t>
      </w:r>
    </w:p>
    <w:p w:rsidR="00F34FB7" w:rsidRPr="00A5362F" w:rsidRDefault="00F34FB7" w:rsidP="009628E7">
      <w:pPr>
        <w:jc w:val="both"/>
        <w:rPr>
          <w:color w:val="auto"/>
        </w:rPr>
      </w:pPr>
    </w:p>
    <w:tbl>
      <w:tblPr>
        <w:tblStyle w:val="TableGrid"/>
        <w:tblW w:w="9360" w:type="dxa"/>
        <w:jc w:val="center"/>
        <w:tblLayout w:type="fixed"/>
        <w:tblLook w:val="04A0"/>
      </w:tblPr>
      <w:tblGrid>
        <w:gridCol w:w="2070"/>
        <w:gridCol w:w="1080"/>
        <w:gridCol w:w="900"/>
        <w:gridCol w:w="2322"/>
        <w:gridCol w:w="1080"/>
        <w:gridCol w:w="828"/>
        <w:gridCol w:w="1080"/>
      </w:tblGrid>
      <w:tr w:rsidR="00F34FB7" w:rsidRPr="00A5362F" w:rsidTr="009628E7">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Service IPEB – Dated 20070103</w:t>
            </w:r>
          </w:p>
        </w:tc>
        <w:tc>
          <w:tcPr>
            <w:tcW w:w="5310" w:type="dxa"/>
            <w:gridSpan w:val="4"/>
            <w:tcBorders>
              <w:left w:val="thinThickThinSmallGap" w:sz="24" w:space="0" w:color="auto"/>
            </w:tcBorders>
            <w:shd w:val="clear" w:color="auto" w:fill="D9D9D9" w:themeFill="background1" w:themeFillShade="D9"/>
            <w:vAlign w:val="center"/>
          </w:tcPr>
          <w:p w:rsidR="00F34FB7" w:rsidRPr="00A5362F" w:rsidRDefault="00F34FB7" w:rsidP="00203E08">
            <w:pPr>
              <w:spacing w:line="200" w:lineRule="exact"/>
              <w:contextualSpacing/>
              <w:rPr>
                <w:rFonts w:cs="Calibri"/>
                <w:b/>
                <w:color w:val="auto"/>
                <w:sz w:val="18"/>
                <w:szCs w:val="18"/>
              </w:rPr>
            </w:pPr>
            <w:r w:rsidRPr="00A5362F">
              <w:rPr>
                <w:rFonts w:cs="Calibri"/>
                <w:b/>
                <w:color w:val="auto"/>
                <w:sz w:val="18"/>
                <w:szCs w:val="18"/>
              </w:rPr>
              <w:t>VA (</w:t>
            </w:r>
            <w:r w:rsidR="00203E08">
              <w:rPr>
                <w:rFonts w:cs="Calibri"/>
                <w:b/>
                <w:color w:val="auto"/>
                <w:sz w:val="18"/>
                <w:szCs w:val="18"/>
              </w:rPr>
              <w:t>2</w:t>
            </w:r>
            <w:r w:rsidRPr="00A5362F">
              <w:rPr>
                <w:rFonts w:cs="Calibri"/>
                <w:b/>
                <w:color w:val="auto"/>
                <w:sz w:val="18"/>
                <w:szCs w:val="18"/>
              </w:rPr>
              <w:t xml:space="preserve"> Mo</w:t>
            </w:r>
            <w:r w:rsidR="00203E08">
              <w:rPr>
                <w:rFonts w:cs="Calibri"/>
                <w:b/>
                <w:color w:val="auto"/>
                <w:sz w:val="18"/>
                <w:szCs w:val="18"/>
              </w:rPr>
              <w:t>s</w:t>
            </w:r>
            <w:r w:rsidRPr="00A5362F">
              <w:rPr>
                <w:rFonts w:cs="Calibri"/>
                <w:b/>
                <w:color w:val="auto"/>
                <w:sz w:val="18"/>
                <w:szCs w:val="18"/>
              </w:rPr>
              <w:t xml:space="preserve">. </w:t>
            </w:r>
            <w:r w:rsidR="009628E7" w:rsidRPr="00A5362F">
              <w:rPr>
                <w:rFonts w:cs="Calibri"/>
                <w:b/>
                <w:color w:val="auto"/>
                <w:sz w:val="18"/>
                <w:szCs w:val="18"/>
              </w:rPr>
              <w:t>Post-</w:t>
            </w:r>
            <w:r w:rsidRPr="00A5362F">
              <w:rPr>
                <w:rFonts w:cs="Calibri"/>
                <w:b/>
                <w:color w:val="auto"/>
                <w:sz w:val="18"/>
                <w:szCs w:val="18"/>
              </w:rPr>
              <w:t>Separation) – All Effective Date 20070423</w:t>
            </w:r>
          </w:p>
        </w:tc>
      </w:tr>
      <w:tr w:rsidR="00F34FB7" w:rsidRPr="00A5362F" w:rsidTr="009628E7">
        <w:trPr>
          <w:trHeight w:val="278"/>
          <w:jc w:val="center"/>
        </w:trPr>
        <w:tc>
          <w:tcPr>
            <w:tcW w:w="2070" w:type="dxa"/>
            <w:tcBorders>
              <w:bottom w:val="single" w:sz="4" w:space="0" w:color="000000" w:themeColor="text1"/>
              <w:right w:val="single" w:sz="4" w:space="0" w:color="auto"/>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F34FB7" w:rsidRPr="00A5362F" w:rsidRDefault="00F34FB7" w:rsidP="009B6981">
            <w:pPr>
              <w:spacing w:line="200" w:lineRule="exact"/>
              <w:contextualSpacing/>
              <w:rPr>
                <w:rFonts w:cs="Calibri"/>
                <w:b/>
                <w:color w:val="auto"/>
                <w:sz w:val="18"/>
                <w:szCs w:val="18"/>
              </w:rPr>
            </w:pPr>
            <w:r w:rsidRPr="00A5362F">
              <w:rPr>
                <w:rFonts w:cs="Calibri"/>
                <w:b/>
                <w:color w:val="auto"/>
                <w:sz w:val="18"/>
                <w:szCs w:val="18"/>
              </w:rPr>
              <w:t>Exam</w:t>
            </w:r>
            <w:r w:rsidR="009B6981" w:rsidRPr="00A5362F">
              <w:rPr>
                <w:rFonts w:cs="Calibri"/>
                <w:b/>
                <w:color w:val="auto"/>
                <w:sz w:val="18"/>
                <w:szCs w:val="18"/>
              </w:rPr>
              <w:t>*</w:t>
            </w:r>
          </w:p>
        </w:tc>
      </w:tr>
      <w:tr w:rsidR="00C90534" w:rsidRPr="00A5362F" w:rsidTr="009628E7">
        <w:trPr>
          <w:trHeight w:val="287"/>
          <w:jc w:val="center"/>
        </w:trPr>
        <w:tc>
          <w:tcPr>
            <w:tcW w:w="2070" w:type="dxa"/>
            <w:vMerge w:val="restart"/>
            <w:tcBorders>
              <w:right w:val="single" w:sz="4" w:space="0" w:color="auto"/>
            </w:tcBorders>
            <w:shd w:val="clear" w:color="auto" w:fill="FFFFFF" w:themeFill="background1"/>
            <w:vAlign w:val="center"/>
          </w:tcPr>
          <w:p w:rsidR="00C90534" w:rsidRPr="00A5362F" w:rsidRDefault="00C90534" w:rsidP="009B6981">
            <w:pPr>
              <w:spacing w:line="200" w:lineRule="exact"/>
              <w:contextualSpacing/>
              <w:jc w:val="left"/>
              <w:rPr>
                <w:rFonts w:cs="Calibri"/>
                <w:color w:val="auto"/>
                <w:sz w:val="18"/>
                <w:szCs w:val="18"/>
              </w:rPr>
            </w:pPr>
            <w:r w:rsidRPr="00A5362F">
              <w:rPr>
                <w:rFonts w:cs="Calibri"/>
                <w:color w:val="auto"/>
                <w:sz w:val="18"/>
                <w:szCs w:val="18"/>
              </w:rPr>
              <w:t>Chronic Right Foot Pain</w:t>
            </w:r>
          </w:p>
        </w:tc>
        <w:tc>
          <w:tcPr>
            <w:tcW w:w="1080" w:type="dxa"/>
            <w:vMerge w:val="restart"/>
            <w:tcBorders>
              <w:left w:val="single" w:sz="4" w:space="0" w:color="auto"/>
            </w:tcBorders>
            <w:shd w:val="clear" w:color="auto" w:fill="FFFFFF" w:themeFill="background1"/>
            <w:vAlign w:val="center"/>
          </w:tcPr>
          <w:p w:rsidR="00C90534" w:rsidRPr="00A5362F" w:rsidRDefault="00C90534" w:rsidP="009B6981">
            <w:pPr>
              <w:spacing w:line="200" w:lineRule="exact"/>
              <w:contextualSpacing/>
              <w:rPr>
                <w:rFonts w:cs="Calibri"/>
                <w:color w:val="auto"/>
                <w:sz w:val="18"/>
                <w:szCs w:val="18"/>
              </w:rPr>
            </w:pPr>
            <w:r w:rsidRPr="00A5362F">
              <w:rPr>
                <w:rFonts w:cs="Calibri"/>
                <w:color w:val="auto"/>
                <w:sz w:val="18"/>
                <w:szCs w:val="18"/>
              </w:rPr>
              <w:t>5280</w:t>
            </w:r>
          </w:p>
        </w:tc>
        <w:tc>
          <w:tcPr>
            <w:tcW w:w="900" w:type="dxa"/>
            <w:vMerge w:val="restart"/>
            <w:tcBorders>
              <w:right w:val="thinThickThinSmallGap" w:sz="24" w:space="0" w:color="auto"/>
            </w:tcBorders>
            <w:shd w:val="clear" w:color="auto" w:fill="FFFFFF" w:themeFill="background1"/>
            <w:vAlign w:val="center"/>
          </w:tcPr>
          <w:p w:rsidR="00C90534" w:rsidRPr="00A5362F" w:rsidRDefault="00C90534" w:rsidP="009B6981">
            <w:pPr>
              <w:spacing w:line="200" w:lineRule="exact"/>
              <w:rPr>
                <w:rFonts w:cs="Calibri"/>
                <w:color w:val="auto"/>
                <w:sz w:val="18"/>
                <w:szCs w:val="18"/>
              </w:rPr>
            </w:pPr>
            <w:r w:rsidRPr="00A5362F">
              <w:rPr>
                <w:rFonts w:cs="Calibri"/>
                <w:color w:val="auto"/>
                <w:sz w:val="18"/>
                <w:szCs w:val="18"/>
              </w:rPr>
              <w:t>10%</w:t>
            </w:r>
          </w:p>
        </w:tc>
        <w:tc>
          <w:tcPr>
            <w:tcW w:w="2322" w:type="dxa"/>
            <w:tcBorders>
              <w:left w:val="thinThickThinSmallGap" w:sz="24" w:space="0" w:color="auto"/>
            </w:tcBorders>
            <w:shd w:val="clear" w:color="auto" w:fill="FFFFFF" w:themeFill="background1"/>
            <w:vAlign w:val="center"/>
          </w:tcPr>
          <w:p w:rsidR="00C90534" w:rsidRPr="00A5362F" w:rsidRDefault="00C90534" w:rsidP="009B6981">
            <w:pPr>
              <w:spacing w:line="200" w:lineRule="exact"/>
              <w:contextualSpacing/>
              <w:jc w:val="left"/>
              <w:rPr>
                <w:rFonts w:cs="Calibri"/>
                <w:color w:val="auto"/>
                <w:sz w:val="18"/>
                <w:szCs w:val="18"/>
              </w:rPr>
            </w:pPr>
            <w:r w:rsidRPr="00A5362F">
              <w:rPr>
                <w:rFonts w:cs="Calibri"/>
                <w:color w:val="auto"/>
                <w:sz w:val="18"/>
                <w:szCs w:val="18"/>
              </w:rPr>
              <w:t>Right Foot, S/P Surgical …</w:t>
            </w:r>
          </w:p>
        </w:tc>
        <w:tc>
          <w:tcPr>
            <w:tcW w:w="1080" w:type="dxa"/>
            <w:shd w:val="clear" w:color="auto" w:fill="FFFFFF" w:themeFill="background1"/>
            <w:vAlign w:val="center"/>
          </w:tcPr>
          <w:p w:rsidR="00C90534" w:rsidRPr="00A5362F" w:rsidRDefault="00C90534" w:rsidP="009B6981">
            <w:pPr>
              <w:spacing w:line="200" w:lineRule="exact"/>
              <w:contextualSpacing/>
              <w:rPr>
                <w:rFonts w:cs="Calibri"/>
                <w:color w:val="auto"/>
                <w:sz w:val="18"/>
                <w:szCs w:val="18"/>
              </w:rPr>
            </w:pPr>
            <w:r w:rsidRPr="00A5362F">
              <w:rPr>
                <w:rFonts w:cs="Calibri"/>
                <w:color w:val="auto"/>
                <w:sz w:val="18"/>
                <w:szCs w:val="18"/>
              </w:rPr>
              <w:t>5299-5280</w:t>
            </w:r>
          </w:p>
        </w:tc>
        <w:tc>
          <w:tcPr>
            <w:tcW w:w="828" w:type="dxa"/>
            <w:shd w:val="clear" w:color="auto" w:fill="FFFFFF" w:themeFill="background1"/>
            <w:vAlign w:val="center"/>
          </w:tcPr>
          <w:p w:rsidR="00C90534" w:rsidRPr="00A5362F" w:rsidRDefault="00C90534" w:rsidP="009B6981">
            <w:pPr>
              <w:spacing w:line="200" w:lineRule="exact"/>
              <w:contextualSpacing/>
              <w:rPr>
                <w:rFonts w:cs="Calibri"/>
                <w:color w:val="auto"/>
                <w:sz w:val="18"/>
                <w:szCs w:val="18"/>
              </w:rPr>
            </w:pPr>
            <w:r w:rsidRPr="00A5362F">
              <w:rPr>
                <w:rFonts w:cs="Calibri"/>
                <w:color w:val="auto"/>
                <w:sz w:val="18"/>
                <w:szCs w:val="18"/>
              </w:rPr>
              <w:t>10%</w:t>
            </w:r>
          </w:p>
        </w:tc>
        <w:tc>
          <w:tcPr>
            <w:tcW w:w="1080" w:type="dxa"/>
            <w:shd w:val="clear" w:color="auto" w:fill="FFFFFF" w:themeFill="background1"/>
            <w:vAlign w:val="center"/>
          </w:tcPr>
          <w:p w:rsidR="00C90534" w:rsidRPr="00A5362F" w:rsidRDefault="00C90534" w:rsidP="009B6981">
            <w:pPr>
              <w:spacing w:line="200" w:lineRule="exact"/>
              <w:contextualSpacing/>
              <w:rPr>
                <w:rFonts w:cs="Calibri"/>
                <w:color w:val="auto"/>
                <w:sz w:val="18"/>
                <w:szCs w:val="18"/>
              </w:rPr>
            </w:pPr>
            <w:r w:rsidRPr="00A5362F">
              <w:rPr>
                <w:rFonts w:cs="Calibri"/>
                <w:color w:val="auto"/>
                <w:sz w:val="18"/>
                <w:szCs w:val="18"/>
              </w:rPr>
              <w:t>20070207</w:t>
            </w:r>
          </w:p>
        </w:tc>
      </w:tr>
      <w:tr w:rsidR="00C90534" w:rsidRPr="00A5362F" w:rsidTr="009628E7">
        <w:trPr>
          <w:trHeight w:val="287"/>
          <w:jc w:val="center"/>
        </w:trPr>
        <w:tc>
          <w:tcPr>
            <w:tcW w:w="2070" w:type="dxa"/>
            <w:vMerge/>
            <w:tcBorders>
              <w:right w:val="single" w:sz="4" w:space="0" w:color="auto"/>
            </w:tcBorders>
            <w:shd w:val="clear" w:color="auto" w:fill="FFFFFF" w:themeFill="background1"/>
            <w:vAlign w:val="center"/>
          </w:tcPr>
          <w:p w:rsidR="00C90534" w:rsidRPr="00A5362F" w:rsidRDefault="00C90534" w:rsidP="009B6981">
            <w:pPr>
              <w:spacing w:line="200" w:lineRule="exact"/>
              <w:contextualSpacing/>
              <w:jc w:val="left"/>
              <w:rPr>
                <w:color w:val="auto"/>
                <w:sz w:val="18"/>
                <w:szCs w:val="18"/>
              </w:rPr>
            </w:pPr>
          </w:p>
        </w:tc>
        <w:tc>
          <w:tcPr>
            <w:tcW w:w="1080" w:type="dxa"/>
            <w:vMerge/>
            <w:tcBorders>
              <w:left w:val="single" w:sz="4" w:space="0" w:color="auto"/>
            </w:tcBorders>
            <w:shd w:val="clear" w:color="auto" w:fill="FFFFFF" w:themeFill="background1"/>
            <w:vAlign w:val="center"/>
          </w:tcPr>
          <w:p w:rsidR="00C90534" w:rsidRPr="00A5362F" w:rsidRDefault="00C90534" w:rsidP="009B6981">
            <w:pPr>
              <w:spacing w:line="200" w:lineRule="exact"/>
              <w:contextualSpacing/>
              <w:rPr>
                <w:color w:val="auto"/>
                <w:sz w:val="18"/>
                <w:szCs w:val="18"/>
              </w:rPr>
            </w:pPr>
          </w:p>
        </w:tc>
        <w:tc>
          <w:tcPr>
            <w:tcW w:w="900" w:type="dxa"/>
            <w:vMerge/>
            <w:tcBorders>
              <w:right w:val="thinThickThinSmallGap" w:sz="24" w:space="0" w:color="auto"/>
            </w:tcBorders>
            <w:shd w:val="clear" w:color="auto" w:fill="FFFFFF" w:themeFill="background1"/>
            <w:vAlign w:val="center"/>
          </w:tcPr>
          <w:p w:rsidR="00C90534" w:rsidRPr="00A5362F" w:rsidRDefault="00C90534" w:rsidP="009B6981">
            <w:pPr>
              <w:spacing w:line="200" w:lineRule="exact"/>
              <w:rPr>
                <w:color w:val="auto"/>
                <w:sz w:val="18"/>
                <w:szCs w:val="18"/>
              </w:rPr>
            </w:pPr>
          </w:p>
        </w:tc>
        <w:tc>
          <w:tcPr>
            <w:tcW w:w="2322" w:type="dxa"/>
            <w:tcBorders>
              <w:left w:val="thinThickThinSmallGap" w:sz="24" w:space="0" w:color="auto"/>
            </w:tcBorders>
            <w:shd w:val="clear" w:color="auto" w:fill="FFFFFF" w:themeFill="background1"/>
            <w:vAlign w:val="center"/>
          </w:tcPr>
          <w:p w:rsidR="00C90534" w:rsidRPr="00A5362F" w:rsidRDefault="00C90534" w:rsidP="009B6981">
            <w:pPr>
              <w:spacing w:line="200" w:lineRule="exact"/>
              <w:contextualSpacing/>
              <w:jc w:val="left"/>
              <w:rPr>
                <w:color w:val="auto"/>
                <w:sz w:val="18"/>
                <w:szCs w:val="18"/>
              </w:rPr>
            </w:pPr>
            <w:r w:rsidRPr="00A5362F">
              <w:rPr>
                <w:color w:val="auto"/>
                <w:sz w:val="18"/>
                <w:szCs w:val="18"/>
              </w:rPr>
              <w:t>Bilateral Pes Planus</w:t>
            </w:r>
          </w:p>
        </w:tc>
        <w:tc>
          <w:tcPr>
            <w:tcW w:w="1080" w:type="dxa"/>
            <w:shd w:val="clear" w:color="auto" w:fill="FFFFFF" w:themeFill="background1"/>
            <w:vAlign w:val="center"/>
          </w:tcPr>
          <w:p w:rsidR="00C90534" w:rsidRPr="00A5362F" w:rsidRDefault="00C90534" w:rsidP="009B6981">
            <w:pPr>
              <w:spacing w:line="200" w:lineRule="exact"/>
              <w:contextualSpacing/>
              <w:rPr>
                <w:color w:val="auto"/>
                <w:sz w:val="18"/>
                <w:szCs w:val="18"/>
              </w:rPr>
            </w:pPr>
            <w:r w:rsidRPr="00A5362F">
              <w:rPr>
                <w:color w:val="auto"/>
                <w:sz w:val="18"/>
                <w:szCs w:val="18"/>
              </w:rPr>
              <w:t>5276</w:t>
            </w:r>
          </w:p>
        </w:tc>
        <w:tc>
          <w:tcPr>
            <w:tcW w:w="828" w:type="dxa"/>
            <w:shd w:val="clear" w:color="auto" w:fill="FFFFFF" w:themeFill="background1"/>
            <w:vAlign w:val="center"/>
          </w:tcPr>
          <w:p w:rsidR="00C90534" w:rsidRPr="00A5362F" w:rsidRDefault="00C90534" w:rsidP="009B6981">
            <w:pPr>
              <w:spacing w:line="200" w:lineRule="exact"/>
              <w:contextualSpacing/>
              <w:rPr>
                <w:color w:val="auto"/>
                <w:sz w:val="18"/>
                <w:szCs w:val="18"/>
              </w:rPr>
            </w:pPr>
            <w:r w:rsidRPr="00A5362F">
              <w:rPr>
                <w:color w:val="auto"/>
                <w:sz w:val="18"/>
                <w:szCs w:val="18"/>
              </w:rPr>
              <w:t>0%*</w:t>
            </w:r>
          </w:p>
        </w:tc>
        <w:tc>
          <w:tcPr>
            <w:tcW w:w="1080" w:type="dxa"/>
            <w:shd w:val="clear" w:color="auto" w:fill="FFFFFF" w:themeFill="background1"/>
            <w:vAlign w:val="center"/>
          </w:tcPr>
          <w:p w:rsidR="00C90534" w:rsidRPr="00A5362F" w:rsidRDefault="00C90534" w:rsidP="009B6981">
            <w:pPr>
              <w:spacing w:line="200" w:lineRule="exact"/>
              <w:contextualSpacing/>
              <w:rPr>
                <w:color w:val="auto"/>
                <w:sz w:val="18"/>
                <w:szCs w:val="18"/>
              </w:rPr>
            </w:pPr>
            <w:r w:rsidRPr="00A5362F">
              <w:rPr>
                <w:color w:val="auto"/>
                <w:sz w:val="18"/>
                <w:szCs w:val="18"/>
              </w:rPr>
              <w:t>20070207</w:t>
            </w:r>
          </w:p>
        </w:tc>
      </w:tr>
      <w:tr w:rsidR="00C90534" w:rsidRPr="00A5362F" w:rsidTr="009628E7">
        <w:trPr>
          <w:trHeight w:val="287"/>
          <w:jc w:val="center"/>
        </w:trPr>
        <w:tc>
          <w:tcPr>
            <w:tcW w:w="2070" w:type="dxa"/>
            <w:vMerge/>
            <w:tcBorders>
              <w:right w:val="single" w:sz="4" w:space="0" w:color="auto"/>
            </w:tcBorders>
            <w:shd w:val="clear" w:color="auto" w:fill="FFFFFF" w:themeFill="background1"/>
            <w:vAlign w:val="center"/>
          </w:tcPr>
          <w:p w:rsidR="00C90534" w:rsidRPr="00A5362F" w:rsidRDefault="00C90534" w:rsidP="009B6981">
            <w:pPr>
              <w:spacing w:line="200" w:lineRule="exact"/>
              <w:contextualSpacing/>
              <w:jc w:val="left"/>
              <w:rPr>
                <w:color w:val="auto"/>
                <w:sz w:val="18"/>
                <w:szCs w:val="18"/>
              </w:rPr>
            </w:pPr>
          </w:p>
        </w:tc>
        <w:tc>
          <w:tcPr>
            <w:tcW w:w="1080" w:type="dxa"/>
            <w:vMerge/>
            <w:tcBorders>
              <w:left w:val="single" w:sz="4" w:space="0" w:color="auto"/>
            </w:tcBorders>
            <w:shd w:val="clear" w:color="auto" w:fill="FFFFFF" w:themeFill="background1"/>
            <w:vAlign w:val="center"/>
          </w:tcPr>
          <w:p w:rsidR="00C90534" w:rsidRPr="00A5362F" w:rsidRDefault="00C90534" w:rsidP="009B6981">
            <w:pPr>
              <w:spacing w:line="200" w:lineRule="exact"/>
              <w:contextualSpacing/>
              <w:rPr>
                <w:color w:val="auto"/>
                <w:sz w:val="18"/>
                <w:szCs w:val="18"/>
              </w:rPr>
            </w:pPr>
          </w:p>
        </w:tc>
        <w:tc>
          <w:tcPr>
            <w:tcW w:w="900" w:type="dxa"/>
            <w:vMerge/>
            <w:tcBorders>
              <w:right w:val="thinThickThinSmallGap" w:sz="24" w:space="0" w:color="auto"/>
            </w:tcBorders>
            <w:shd w:val="clear" w:color="auto" w:fill="FFFFFF" w:themeFill="background1"/>
            <w:vAlign w:val="center"/>
          </w:tcPr>
          <w:p w:rsidR="00C90534" w:rsidRPr="00A5362F" w:rsidRDefault="00C90534" w:rsidP="009B6981">
            <w:pPr>
              <w:spacing w:line="200" w:lineRule="exact"/>
              <w:rPr>
                <w:color w:val="auto"/>
                <w:sz w:val="18"/>
                <w:szCs w:val="18"/>
              </w:rPr>
            </w:pPr>
          </w:p>
        </w:tc>
        <w:tc>
          <w:tcPr>
            <w:tcW w:w="2322" w:type="dxa"/>
            <w:tcBorders>
              <w:left w:val="thinThickThinSmallGap" w:sz="24" w:space="0" w:color="auto"/>
            </w:tcBorders>
            <w:shd w:val="clear" w:color="auto" w:fill="FFFFFF" w:themeFill="background1"/>
            <w:vAlign w:val="center"/>
          </w:tcPr>
          <w:p w:rsidR="00C90534" w:rsidRPr="00A5362F" w:rsidRDefault="00C90534" w:rsidP="009B6981">
            <w:pPr>
              <w:spacing w:line="200" w:lineRule="exact"/>
              <w:contextualSpacing/>
              <w:jc w:val="left"/>
              <w:rPr>
                <w:color w:val="auto"/>
                <w:sz w:val="18"/>
                <w:szCs w:val="18"/>
              </w:rPr>
            </w:pPr>
            <w:r w:rsidRPr="00A5362F">
              <w:rPr>
                <w:color w:val="auto"/>
                <w:sz w:val="18"/>
                <w:szCs w:val="18"/>
              </w:rPr>
              <w:t xml:space="preserve">Right Foot, Scar </w:t>
            </w:r>
          </w:p>
        </w:tc>
        <w:tc>
          <w:tcPr>
            <w:tcW w:w="1080" w:type="dxa"/>
            <w:shd w:val="clear" w:color="auto" w:fill="FFFFFF" w:themeFill="background1"/>
            <w:vAlign w:val="center"/>
          </w:tcPr>
          <w:p w:rsidR="00C90534" w:rsidRPr="00A5362F" w:rsidRDefault="00C90534" w:rsidP="009B6981">
            <w:pPr>
              <w:spacing w:line="200" w:lineRule="exact"/>
              <w:contextualSpacing/>
              <w:rPr>
                <w:color w:val="auto"/>
                <w:sz w:val="18"/>
                <w:szCs w:val="18"/>
              </w:rPr>
            </w:pPr>
            <w:r w:rsidRPr="00A5362F">
              <w:rPr>
                <w:color w:val="auto"/>
                <w:sz w:val="18"/>
                <w:szCs w:val="18"/>
              </w:rPr>
              <w:t>7802</w:t>
            </w:r>
          </w:p>
        </w:tc>
        <w:tc>
          <w:tcPr>
            <w:tcW w:w="828" w:type="dxa"/>
            <w:shd w:val="clear" w:color="auto" w:fill="FFFFFF" w:themeFill="background1"/>
            <w:vAlign w:val="center"/>
          </w:tcPr>
          <w:p w:rsidR="00C90534" w:rsidRPr="00A5362F" w:rsidRDefault="00C90534" w:rsidP="009B6981">
            <w:pPr>
              <w:spacing w:line="200" w:lineRule="exact"/>
              <w:contextualSpacing/>
              <w:rPr>
                <w:color w:val="auto"/>
                <w:sz w:val="18"/>
                <w:szCs w:val="18"/>
              </w:rPr>
            </w:pPr>
            <w:r w:rsidRPr="00A5362F">
              <w:rPr>
                <w:color w:val="auto"/>
                <w:sz w:val="18"/>
                <w:szCs w:val="18"/>
              </w:rPr>
              <w:t>0%</w:t>
            </w:r>
          </w:p>
        </w:tc>
        <w:tc>
          <w:tcPr>
            <w:tcW w:w="1080" w:type="dxa"/>
            <w:shd w:val="clear" w:color="auto" w:fill="FFFFFF" w:themeFill="background1"/>
            <w:vAlign w:val="center"/>
          </w:tcPr>
          <w:p w:rsidR="00C90534" w:rsidRPr="00A5362F" w:rsidRDefault="00C90534" w:rsidP="009B6981">
            <w:pPr>
              <w:spacing w:line="200" w:lineRule="exact"/>
              <w:contextualSpacing/>
              <w:rPr>
                <w:color w:val="auto"/>
                <w:sz w:val="18"/>
                <w:szCs w:val="18"/>
              </w:rPr>
            </w:pPr>
            <w:r w:rsidRPr="00A5362F">
              <w:rPr>
                <w:color w:val="auto"/>
                <w:sz w:val="18"/>
                <w:szCs w:val="18"/>
              </w:rPr>
              <w:t>20070207</w:t>
            </w:r>
          </w:p>
        </w:tc>
      </w:tr>
      <w:tr w:rsidR="00F34FB7" w:rsidRPr="00A5362F" w:rsidTr="009628E7">
        <w:trPr>
          <w:trHeight w:val="287"/>
          <w:jc w:val="center"/>
        </w:trPr>
        <w:tc>
          <w:tcPr>
            <w:tcW w:w="4050" w:type="dxa"/>
            <w:gridSpan w:val="3"/>
            <w:vMerge w:val="restart"/>
            <w:tcBorders>
              <w:right w:val="thinThickThinSmallGap" w:sz="24" w:space="0" w:color="auto"/>
            </w:tcBorders>
            <w:shd w:val="clear" w:color="auto" w:fill="FFFFFF" w:themeFill="background1"/>
            <w:vAlign w:val="center"/>
          </w:tcPr>
          <w:p w:rsidR="00F34FB7" w:rsidRPr="00A5362F" w:rsidRDefault="00F34FB7" w:rsidP="009B6981">
            <w:pPr>
              <w:spacing w:line="200" w:lineRule="exact"/>
              <w:contextualSpacing/>
              <w:rPr>
                <w:rFonts w:cs="Calibri"/>
                <w:color w:val="auto"/>
                <w:sz w:val="18"/>
                <w:szCs w:val="18"/>
              </w:rPr>
            </w:pPr>
            <w:r w:rsidRPr="00A5362F">
              <w:rPr>
                <w:rFonts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34FB7" w:rsidRPr="00A5362F" w:rsidRDefault="00F34FB7" w:rsidP="009B6981">
            <w:pPr>
              <w:spacing w:line="200" w:lineRule="exact"/>
              <w:contextualSpacing/>
              <w:jc w:val="left"/>
              <w:rPr>
                <w:rFonts w:cs="Calibri"/>
                <w:color w:val="auto"/>
                <w:sz w:val="18"/>
                <w:szCs w:val="18"/>
              </w:rPr>
            </w:pPr>
            <w:r w:rsidRPr="00A5362F">
              <w:rPr>
                <w:rFonts w:cs="Calibri"/>
                <w:color w:val="auto"/>
                <w:sz w:val="18"/>
                <w:szCs w:val="18"/>
              </w:rPr>
              <w:t>Respiratory Disease</w:t>
            </w:r>
            <w:r w:rsidR="00CB15B8" w:rsidRPr="00A5362F">
              <w:rPr>
                <w:rFonts w:cs="Calibri"/>
                <w:color w:val="auto"/>
                <w:sz w:val="18"/>
                <w:szCs w:val="18"/>
              </w:rPr>
              <w:t>, …</w:t>
            </w:r>
          </w:p>
        </w:tc>
        <w:tc>
          <w:tcPr>
            <w:tcW w:w="1080" w:type="dxa"/>
            <w:tcBorders>
              <w:left w:val="single" w:sz="4" w:space="0" w:color="auto"/>
            </w:tcBorders>
            <w:shd w:val="clear" w:color="auto" w:fill="FFFFFF" w:themeFill="background1"/>
            <w:vAlign w:val="center"/>
          </w:tcPr>
          <w:p w:rsidR="00F34FB7" w:rsidRPr="00A5362F" w:rsidRDefault="00F34FB7" w:rsidP="009B6981">
            <w:pPr>
              <w:spacing w:line="200" w:lineRule="exact"/>
              <w:contextualSpacing/>
              <w:rPr>
                <w:rFonts w:cs="Calibri"/>
                <w:color w:val="auto"/>
                <w:sz w:val="18"/>
                <w:szCs w:val="18"/>
              </w:rPr>
            </w:pPr>
            <w:r w:rsidRPr="00A5362F">
              <w:rPr>
                <w:rFonts w:cs="Calibri"/>
                <w:color w:val="auto"/>
                <w:sz w:val="18"/>
                <w:szCs w:val="18"/>
              </w:rPr>
              <w:t>6699-6604</w:t>
            </w:r>
          </w:p>
        </w:tc>
        <w:tc>
          <w:tcPr>
            <w:tcW w:w="828" w:type="dxa"/>
            <w:shd w:val="clear" w:color="auto" w:fill="FFFFFF" w:themeFill="background1"/>
            <w:vAlign w:val="center"/>
          </w:tcPr>
          <w:p w:rsidR="00F34FB7" w:rsidRPr="00A5362F" w:rsidRDefault="00F34FB7" w:rsidP="009B6981">
            <w:pPr>
              <w:spacing w:line="200" w:lineRule="exact"/>
              <w:contextualSpacing/>
              <w:rPr>
                <w:rFonts w:cs="Calibri"/>
                <w:color w:val="auto"/>
                <w:sz w:val="18"/>
                <w:szCs w:val="18"/>
              </w:rPr>
            </w:pPr>
            <w:r w:rsidRPr="00A5362F">
              <w:rPr>
                <w:rFonts w:cs="Calibri"/>
                <w:color w:val="auto"/>
                <w:sz w:val="18"/>
                <w:szCs w:val="18"/>
              </w:rPr>
              <w:t>10%</w:t>
            </w:r>
          </w:p>
        </w:tc>
        <w:tc>
          <w:tcPr>
            <w:tcW w:w="1080" w:type="dxa"/>
            <w:shd w:val="clear" w:color="auto" w:fill="FFFFFF" w:themeFill="background1"/>
            <w:vAlign w:val="center"/>
          </w:tcPr>
          <w:p w:rsidR="00F34FB7" w:rsidRPr="00A5362F" w:rsidRDefault="00F34FB7" w:rsidP="009B6981">
            <w:pPr>
              <w:spacing w:line="200" w:lineRule="exact"/>
              <w:contextualSpacing/>
              <w:rPr>
                <w:rFonts w:cs="Calibri"/>
                <w:color w:val="auto"/>
                <w:sz w:val="18"/>
                <w:szCs w:val="18"/>
              </w:rPr>
            </w:pPr>
            <w:r w:rsidRPr="00A5362F">
              <w:rPr>
                <w:rFonts w:cs="Calibri"/>
                <w:color w:val="auto"/>
                <w:sz w:val="18"/>
                <w:szCs w:val="18"/>
              </w:rPr>
              <w:t>20070207</w:t>
            </w:r>
          </w:p>
        </w:tc>
      </w:tr>
      <w:tr w:rsidR="00F34FB7" w:rsidRPr="00A5362F" w:rsidTr="009628E7">
        <w:trPr>
          <w:trHeight w:val="287"/>
          <w:jc w:val="center"/>
        </w:trPr>
        <w:tc>
          <w:tcPr>
            <w:tcW w:w="4050" w:type="dxa"/>
            <w:gridSpan w:val="3"/>
            <w:vMerge/>
            <w:tcBorders>
              <w:right w:val="thinThickThinSmallGap" w:sz="24" w:space="0" w:color="auto"/>
            </w:tcBorders>
            <w:shd w:val="clear" w:color="auto" w:fill="FFFFFF" w:themeFill="background1"/>
            <w:vAlign w:val="center"/>
          </w:tcPr>
          <w:p w:rsidR="00F34FB7" w:rsidRPr="00A5362F" w:rsidRDefault="00F34FB7" w:rsidP="009B6981">
            <w:pPr>
              <w:spacing w:line="200" w:lineRule="exact"/>
              <w:contextualSpacing/>
              <w:rPr>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34FB7" w:rsidRPr="00A5362F" w:rsidRDefault="00F34FB7" w:rsidP="009B6981">
            <w:pPr>
              <w:spacing w:line="200" w:lineRule="exact"/>
              <w:contextualSpacing/>
              <w:jc w:val="left"/>
              <w:rPr>
                <w:color w:val="auto"/>
                <w:sz w:val="18"/>
                <w:szCs w:val="18"/>
              </w:rPr>
            </w:pPr>
            <w:r w:rsidRPr="00A5362F">
              <w:rPr>
                <w:color w:val="auto"/>
                <w:sz w:val="18"/>
                <w:szCs w:val="18"/>
              </w:rPr>
              <w:t>Left Medial Malleolus</w:t>
            </w:r>
            <w:r w:rsidR="00CB15B8" w:rsidRPr="00A5362F">
              <w:rPr>
                <w:color w:val="auto"/>
                <w:sz w:val="18"/>
                <w:szCs w:val="18"/>
              </w:rPr>
              <w:t xml:space="preserve">, … </w:t>
            </w:r>
          </w:p>
        </w:tc>
        <w:tc>
          <w:tcPr>
            <w:tcW w:w="1080" w:type="dxa"/>
            <w:tcBorders>
              <w:left w:val="single" w:sz="4" w:space="0" w:color="auto"/>
            </w:tcBorders>
            <w:shd w:val="clear" w:color="auto" w:fill="FFFFFF" w:themeFill="background1"/>
            <w:vAlign w:val="center"/>
          </w:tcPr>
          <w:p w:rsidR="00F34FB7" w:rsidRPr="00A5362F" w:rsidRDefault="00F34FB7" w:rsidP="009B6981">
            <w:pPr>
              <w:spacing w:line="200" w:lineRule="exact"/>
              <w:contextualSpacing/>
              <w:rPr>
                <w:color w:val="auto"/>
                <w:sz w:val="18"/>
                <w:szCs w:val="18"/>
              </w:rPr>
            </w:pPr>
            <w:r w:rsidRPr="00A5362F">
              <w:rPr>
                <w:color w:val="auto"/>
                <w:sz w:val="18"/>
                <w:szCs w:val="18"/>
              </w:rPr>
              <w:t>5003</w:t>
            </w:r>
          </w:p>
        </w:tc>
        <w:tc>
          <w:tcPr>
            <w:tcW w:w="828" w:type="dxa"/>
            <w:shd w:val="clear" w:color="auto" w:fill="FFFFFF" w:themeFill="background1"/>
            <w:vAlign w:val="center"/>
          </w:tcPr>
          <w:p w:rsidR="00F34FB7" w:rsidRPr="00A5362F" w:rsidRDefault="00F34FB7" w:rsidP="009B6981">
            <w:pPr>
              <w:spacing w:line="200" w:lineRule="exact"/>
              <w:contextualSpacing/>
              <w:rPr>
                <w:color w:val="auto"/>
                <w:sz w:val="18"/>
                <w:szCs w:val="18"/>
              </w:rPr>
            </w:pPr>
            <w:r w:rsidRPr="00A5362F">
              <w:rPr>
                <w:color w:val="auto"/>
                <w:sz w:val="18"/>
                <w:szCs w:val="18"/>
              </w:rPr>
              <w:t>0%</w:t>
            </w:r>
            <w:r w:rsidR="00D61F57" w:rsidRPr="00A5362F">
              <w:rPr>
                <w:color w:val="auto"/>
                <w:sz w:val="18"/>
                <w:szCs w:val="18"/>
              </w:rPr>
              <w:t>*</w:t>
            </w:r>
          </w:p>
        </w:tc>
        <w:tc>
          <w:tcPr>
            <w:tcW w:w="1080" w:type="dxa"/>
            <w:shd w:val="clear" w:color="auto" w:fill="FFFFFF" w:themeFill="background1"/>
            <w:vAlign w:val="center"/>
          </w:tcPr>
          <w:p w:rsidR="00F34FB7" w:rsidRPr="00A5362F" w:rsidRDefault="00F34FB7" w:rsidP="009B6981">
            <w:pPr>
              <w:spacing w:line="200" w:lineRule="exact"/>
              <w:contextualSpacing/>
              <w:rPr>
                <w:color w:val="auto"/>
                <w:sz w:val="18"/>
                <w:szCs w:val="18"/>
              </w:rPr>
            </w:pPr>
            <w:r w:rsidRPr="00A5362F">
              <w:rPr>
                <w:color w:val="auto"/>
                <w:sz w:val="18"/>
                <w:szCs w:val="18"/>
              </w:rPr>
              <w:t>20070207</w:t>
            </w:r>
          </w:p>
        </w:tc>
      </w:tr>
      <w:tr w:rsidR="00F34FB7" w:rsidRPr="00A5362F" w:rsidTr="009628E7">
        <w:trPr>
          <w:trHeight w:val="287"/>
          <w:jc w:val="center"/>
        </w:trPr>
        <w:tc>
          <w:tcPr>
            <w:tcW w:w="4050" w:type="dxa"/>
            <w:gridSpan w:val="3"/>
            <w:vMerge/>
            <w:tcBorders>
              <w:right w:val="thinThickThinSmallGap" w:sz="24" w:space="0" w:color="auto"/>
            </w:tcBorders>
            <w:shd w:val="clear" w:color="auto" w:fill="FFFFFF" w:themeFill="background1"/>
            <w:vAlign w:val="center"/>
          </w:tcPr>
          <w:p w:rsidR="00F34FB7" w:rsidRPr="00A5362F" w:rsidRDefault="00F34FB7" w:rsidP="009B6981">
            <w:pPr>
              <w:spacing w:line="200" w:lineRule="exact"/>
              <w:contextualSpacing/>
              <w:rPr>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34FB7" w:rsidRPr="00A5362F" w:rsidRDefault="00F34FB7" w:rsidP="009B6981">
            <w:pPr>
              <w:spacing w:line="200" w:lineRule="exact"/>
              <w:contextualSpacing/>
              <w:jc w:val="left"/>
              <w:rPr>
                <w:color w:val="auto"/>
                <w:sz w:val="18"/>
                <w:szCs w:val="18"/>
              </w:rPr>
            </w:pPr>
            <w:r w:rsidRPr="00A5362F">
              <w:rPr>
                <w:color w:val="auto"/>
                <w:sz w:val="18"/>
                <w:szCs w:val="18"/>
              </w:rPr>
              <w:t>Headaches</w:t>
            </w:r>
            <w:r w:rsidR="00CB15B8" w:rsidRPr="00A5362F">
              <w:rPr>
                <w:color w:val="auto"/>
                <w:sz w:val="18"/>
                <w:szCs w:val="18"/>
              </w:rPr>
              <w:t>,</w:t>
            </w:r>
            <w:r w:rsidRPr="00A5362F">
              <w:rPr>
                <w:color w:val="auto"/>
                <w:sz w:val="18"/>
                <w:szCs w:val="18"/>
              </w:rPr>
              <w:t xml:space="preserve"> Unspecified </w:t>
            </w:r>
            <w:r w:rsidR="00CB15B8" w:rsidRPr="00A5362F">
              <w:rPr>
                <w:color w:val="auto"/>
                <w:sz w:val="18"/>
                <w:szCs w:val="18"/>
              </w:rPr>
              <w:t>…</w:t>
            </w:r>
          </w:p>
        </w:tc>
        <w:tc>
          <w:tcPr>
            <w:tcW w:w="1080" w:type="dxa"/>
            <w:tcBorders>
              <w:left w:val="single" w:sz="4" w:space="0" w:color="auto"/>
            </w:tcBorders>
            <w:shd w:val="clear" w:color="auto" w:fill="FFFFFF" w:themeFill="background1"/>
            <w:vAlign w:val="center"/>
          </w:tcPr>
          <w:p w:rsidR="00F34FB7" w:rsidRPr="00A5362F" w:rsidRDefault="00F34FB7" w:rsidP="009B6981">
            <w:pPr>
              <w:spacing w:line="200" w:lineRule="exact"/>
              <w:contextualSpacing/>
              <w:rPr>
                <w:color w:val="auto"/>
                <w:sz w:val="18"/>
                <w:szCs w:val="18"/>
              </w:rPr>
            </w:pPr>
            <w:r w:rsidRPr="00A5362F">
              <w:rPr>
                <w:color w:val="auto"/>
                <w:sz w:val="18"/>
                <w:szCs w:val="18"/>
              </w:rPr>
              <w:t>8199-8100</w:t>
            </w:r>
          </w:p>
        </w:tc>
        <w:tc>
          <w:tcPr>
            <w:tcW w:w="828" w:type="dxa"/>
            <w:shd w:val="clear" w:color="auto" w:fill="FFFFFF" w:themeFill="background1"/>
            <w:vAlign w:val="center"/>
          </w:tcPr>
          <w:p w:rsidR="00F34FB7" w:rsidRPr="00A5362F" w:rsidRDefault="00F34FB7" w:rsidP="009B6981">
            <w:pPr>
              <w:spacing w:line="200" w:lineRule="exact"/>
              <w:contextualSpacing/>
              <w:rPr>
                <w:color w:val="auto"/>
                <w:sz w:val="18"/>
                <w:szCs w:val="18"/>
              </w:rPr>
            </w:pPr>
            <w:r w:rsidRPr="00A5362F">
              <w:rPr>
                <w:color w:val="auto"/>
                <w:sz w:val="18"/>
                <w:szCs w:val="18"/>
              </w:rPr>
              <w:t>0%</w:t>
            </w:r>
          </w:p>
        </w:tc>
        <w:tc>
          <w:tcPr>
            <w:tcW w:w="1080" w:type="dxa"/>
            <w:shd w:val="clear" w:color="auto" w:fill="FFFFFF" w:themeFill="background1"/>
            <w:vAlign w:val="center"/>
          </w:tcPr>
          <w:p w:rsidR="00F34FB7" w:rsidRPr="00A5362F" w:rsidRDefault="00F34FB7" w:rsidP="009B6981">
            <w:pPr>
              <w:spacing w:line="200" w:lineRule="exact"/>
              <w:contextualSpacing/>
              <w:rPr>
                <w:color w:val="auto"/>
                <w:sz w:val="18"/>
                <w:szCs w:val="18"/>
              </w:rPr>
            </w:pPr>
            <w:r w:rsidRPr="00A5362F">
              <w:rPr>
                <w:color w:val="auto"/>
                <w:sz w:val="18"/>
                <w:szCs w:val="18"/>
              </w:rPr>
              <w:t>20070207</w:t>
            </w:r>
          </w:p>
        </w:tc>
      </w:tr>
      <w:tr w:rsidR="00F34FB7" w:rsidRPr="00A5362F" w:rsidTr="009628E7">
        <w:trPr>
          <w:trHeight w:val="260"/>
          <w:jc w:val="center"/>
        </w:trPr>
        <w:tc>
          <w:tcPr>
            <w:tcW w:w="4050" w:type="dxa"/>
            <w:gridSpan w:val="3"/>
            <w:vMerge/>
            <w:tcBorders>
              <w:right w:val="thinThickThinSmallGap" w:sz="24" w:space="0" w:color="auto"/>
            </w:tcBorders>
            <w:shd w:val="clear" w:color="auto" w:fill="FFFFFF" w:themeFill="background1"/>
          </w:tcPr>
          <w:p w:rsidR="00F34FB7" w:rsidRPr="00A5362F" w:rsidRDefault="00F34FB7" w:rsidP="009B6981">
            <w:pPr>
              <w:spacing w:line="200" w:lineRule="exact"/>
              <w:contextualSpacing/>
              <w:rPr>
                <w:rFonts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F34FB7" w:rsidRPr="00A5362F" w:rsidRDefault="00F34FB7" w:rsidP="009B6981">
            <w:pPr>
              <w:spacing w:line="200" w:lineRule="exact"/>
              <w:contextualSpacing/>
              <w:rPr>
                <w:rFonts w:cs="Calibri"/>
                <w:color w:val="auto"/>
                <w:sz w:val="18"/>
                <w:szCs w:val="18"/>
              </w:rPr>
            </w:pPr>
            <w:r w:rsidRPr="00A5362F">
              <w:rPr>
                <w:rFonts w:cs="Calibri"/>
                <w:color w:val="auto"/>
                <w:sz w:val="18"/>
                <w:szCs w:val="18"/>
              </w:rPr>
              <w:t xml:space="preserve">0% x </w:t>
            </w:r>
            <w:r w:rsidR="00C90534" w:rsidRPr="00A5362F">
              <w:rPr>
                <w:rFonts w:cs="Calibri"/>
                <w:color w:val="auto"/>
                <w:sz w:val="18"/>
                <w:szCs w:val="18"/>
              </w:rPr>
              <w:t>1</w:t>
            </w:r>
            <w:r w:rsidRPr="00A5362F">
              <w:rPr>
                <w:rFonts w:cs="Calibri"/>
                <w:color w:val="auto"/>
                <w:sz w:val="18"/>
                <w:szCs w:val="18"/>
              </w:rPr>
              <w:t>/Not Service Connected x 3</w:t>
            </w:r>
          </w:p>
        </w:tc>
        <w:tc>
          <w:tcPr>
            <w:tcW w:w="1080" w:type="dxa"/>
            <w:shd w:val="clear" w:color="auto" w:fill="FFFFFF" w:themeFill="background1"/>
            <w:vAlign w:val="center"/>
          </w:tcPr>
          <w:p w:rsidR="00F34FB7" w:rsidRPr="00A5362F" w:rsidRDefault="00F34FB7" w:rsidP="009B6981">
            <w:pPr>
              <w:spacing w:line="200" w:lineRule="exact"/>
              <w:contextualSpacing/>
              <w:rPr>
                <w:rFonts w:cs="Calibri"/>
                <w:color w:val="auto"/>
                <w:sz w:val="18"/>
                <w:szCs w:val="18"/>
              </w:rPr>
            </w:pPr>
            <w:r w:rsidRPr="00A5362F">
              <w:rPr>
                <w:rFonts w:cs="Calibri"/>
                <w:color w:val="auto"/>
                <w:sz w:val="18"/>
                <w:szCs w:val="18"/>
              </w:rPr>
              <w:t>20070207</w:t>
            </w:r>
          </w:p>
        </w:tc>
      </w:tr>
    </w:tbl>
    <w:p w:rsidR="00B331E5" w:rsidRPr="00A5362F" w:rsidRDefault="002E04B2" w:rsidP="00CB15B8">
      <w:pPr>
        <w:tabs>
          <w:tab w:val="left" w:pos="288"/>
          <w:tab w:val="left" w:pos="4752"/>
        </w:tabs>
        <w:spacing w:line="180" w:lineRule="exact"/>
        <w:jc w:val="both"/>
        <w:rPr>
          <w:color w:val="000000" w:themeColor="text1"/>
          <w:sz w:val="18"/>
          <w:szCs w:val="18"/>
        </w:rPr>
      </w:pPr>
      <w:r>
        <w:rPr>
          <w:color w:val="000000" w:themeColor="text1"/>
          <w:sz w:val="18"/>
          <w:szCs w:val="18"/>
        </w:rPr>
        <w:t xml:space="preserve">*PTSD </w:t>
      </w:r>
      <w:r w:rsidR="00B331E5" w:rsidRPr="00A5362F">
        <w:rPr>
          <w:color w:val="000000" w:themeColor="text1"/>
          <w:sz w:val="18"/>
          <w:szCs w:val="18"/>
        </w:rPr>
        <w:t>increased to 70% effective 20110428; Bilateral Pes Planus increased to 10% effective 20110217; Degenerative changes left ankle malleolus increased to 10% effective 20110614</w:t>
      </w:r>
      <w:r w:rsidR="00CB15B8" w:rsidRPr="00A5362F">
        <w:rPr>
          <w:color w:val="000000" w:themeColor="text1"/>
          <w:sz w:val="18"/>
          <w:szCs w:val="18"/>
        </w:rPr>
        <w:t xml:space="preserve"> (c</w:t>
      </w:r>
      <w:r w:rsidR="00E13EDD" w:rsidRPr="00A5362F">
        <w:rPr>
          <w:color w:val="000000" w:themeColor="text1"/>
          <w:sz w:val="18"/>
          <w:szCs w:val="18"/>
        </w:rPr>
        <w:t>ombined</w:t>
      </w:r>
      <w:r w:rsidR="00B331E5" w:rsidRPr="00A5362F">
        <w:rPr>
          <w:color w:val="000000" w:themeColor="text1"/>
          <w:sz w:val="18"/>
          <w:szCs w:val="18"/>
        </w:rPr>
        <w:t xml:space="preserve"> 80%</w:t>
      </w:r>
      <w:r w:rsidR="00CB15B8" w:rsidRPr="00A5362F">
        <w:rPr>
          <w:color w:val="000000" w:themeColor="text1"/>
          <w:sz w:val="18"/>
          <w:szCs w:val="18"/>
        </w:rPr>
        <w:t>)</w:t>
      </w:r>
      <w:proofErr w:type="gramStart"/>
      <w:r w:rsidR="00CB15B8" w:rsidRPr="00A5362F">
        <w:rPr>
          <w:color w:val="000000" w:themeColor="text1"/>
          <w:sz w:val="18"/>
          <w:szCs w:val="18"/>
        </w:rPr>
        <w:t xml:space="preserve">; </w:t>
      </w:r>
      <w:r w:rsidR="00B331E5" w:rsidRPr="00A5362F">
        <w:rPr>
          <w:color w:val="000000" w:themeColor="text1"/>
          <w:sz w:val="18"/>
          <w:szCs w:val="18"/>
        </w:rPr>
        <w:t xml:space="preserve"> Entitlement</w:t>
      </w:r>
      <w:proofErr w:type="gramEnd"/>
      <w:r w:rsidR="00B331E5" w:rsidRPr="00A5362F">
        <w:rPr>
          <w:color w:val="000000" w:themeColor="text1"/>
          <w:sz w:val="18"/>
          <w:szCs w:val="18"/>
        </w:rPr>
        <w:t xml:space="preserve"> to Individual </w:t>
      </w:r>
      <w:proofErr w:type="spellStart"/>
      <w:r w:rsidR="00B331E5" w:rsidRPr="00A5362F">
        <w:rPr>
          <w:color w:val="000000" w:themeColor="text1"/>
          <w:sz w:val="18"/>
          <w:szCs w:val="18"/>
        </w:rPr>
        <w:t>Unemployability</w:t>
      </w:r>
      <w:proofErr w:type="spellEnd"/>
      <w:r w:rsidR="00B331E5" w:rsidRPr="00A5362F">
        <w:rPr>
          <w:color w:val="000000" w:themeColor="text1"/>
          <w:sz w:val="18"/>
          <w:szCs w:val="18"/>
        </w:rPr>
        <w:t xml:space="preserve"> granted effective 20110520</w:t>
      </w:r>
      <w:r w:rsidR="00203E08">
        <w:rPr>
          <w:color w:val="000000" w:themeColor="text1"/>
          <w:sz w:val="18"/>
          <w:szCs w:val="18"/>
        </w:rPr>
        <w:t>.</w:t>
      </w:r>
    </w:p>
    <w:p w:rsidR="00F90376" w:rsidRPr="00A5362F" w:rsidRDefault="00F90376" w:rsidP="00F90376">
      <w:pPr>
        <w:pBdr>
          <w:bottom w:val="single" w:sz="12" w:space="1" w:color="auto"/>
        </w:pBdr>
        <w:tabs>
          <w:tab w:val="left" w:pos="288"/>
          <w:tab w:val="left" w:pos="4752"/>
        </w:tabs>
        <w:jc w:val="both"/>
        <w:rPr>
          <w:color w:val="auto"/>
        </w:rPr>
      </w:pPr>
    </w:p>
    <w:p w:rsidR="00AD2379" w:rsidRPr="00A5362F" w:rsidRDefault="00AD2379" w:rsidP="00165C7B">
      <w:pPr>
        <w:jc w:val="both"/>
        <w:rPr>
          <w:color w:val="auto"/>
        </w:rPr>
      </w:pPr>
    </w:p>
    <w:p w:rsidR="00BC1823" w:rsidRPr="00A5362F" w:rsidRDefault="00AD2379" w:rsidP="00726F84">
      <w:pPr>
        <w:jc w:val="both"/>
        <w:rPr>
          <w:color w:val="auto"/>
          <w:szCs w:val="24"/>
        </w:rPr>
      </w:pPr>
      <w:r w:rsidRPr="00A5362F">
        <w:rPr>
          <w:color w:val="auto"/>
          <w:u w:val="single"/>
        </w:rPr>
        <w:t>ANALYSIS SUMMARY</w:t>
      </w:r>
      <w:r w:rsidRPr="00A5362F">
        <w:rPr>
          <w:color w:val="auto"/>
        </w:rPr>
        <w:t>:</w:t>
      </w:r>
      <w:r w:rsidR="00896C01" w:rsidRPr="00A5362F">
        <w:rPr>
          <w:color w:val="auto"/>
        </w:rPr>
        <w:t xml:space="preserve"> </w:t>
      </w:r>
      <w:r w:rsidRPr="00A5362F">
        <w:rPr>
          <w:color w:val="auto"/>
        </w:rPr>
        <w:t xml:space="preserve"> </w:t>
      </w:r>
      <w:r w:rsidR="00EE0F62" w:rsidRPr="00A5362F">
        <w:rPr>
          <w:color w:val="auto"/>
          <w:szCs w:val="24"/>
        </w:rPr>
        <w:t xml:space="preserve">The Board notes the current </w:t>
      </w:r>
      <w:r w:rsidR="00993FC9">
        <w:rPr>
          <w:color w:val="auto"/>
          <w:szCs w:val="24"/>
        </w:rPr>
        <w:t>Department of Veterans’ Affairs (D</w:t>
      </w:r>
      <w:r w:rsidR="00EE0F62" w:rsidRPr="00A5362F">
        <w:rPr>
          <w:color w:val="auto"/>
          <w:szCs w:val="24"/>
        </w:rPr>
        <w:t>VA</w:t>
      </w:r>
      <w:r w:rsidR="00993FC9">
        <w:rPr>
          <w:color w:val="auto"/>
          <w:szCs w:val="24"/>
        </w:rPr>
        <w:t>)</w:t>
      </w:r>
      <w:r w:rsidR="00EE0F62" w:rsidRPr="00A5362F">
        <w:rPr>
          <w:color w:val="auto"/>
          <w:szCs w:val="24"/>
        </w:rPr>
        <w:t xml:space="preserve"> ratings listed by the CI for all of his service</w:t>
      </w:r>
      <w:r w:rsidR="00C9386B">
        <w:rPr>
          <w:color w:val="auto"/>
          <w:szCs w:val="24"/>
        </w:rPr>
        <w:t>-</w:t>
      </w:r>
      <w:r w:rsidR="00EE0F62" w:rsidRPr="00A5362F">
        <w:rPr>
          <w:color w:val="auto"/>
          <w:szCs w:val="24"/>
        </w:rPr>
        <w:t>connected conditions, but must emphasize that its recommendations are premised on severity at the time of separation.</w:t>
      </w:r>
      <w:r w:rsidR="00BC1823" w:rsidRPr="00A5362F">
        <w:rPr>
          <w:color w:val="auto"/>
          <w:szCs w:val="24"/>
        </w:rPr>
        <w:t xml:space="preserve"> </w:t>
      </w:r>
      <w:r w:rsidR="00EE0F62" w:rsidRPr="00A5362F">
        <w:rPr>
          <w:color w:val="auto"/>
          <w:szCs w:val="24"/>
        </w:rPr>
        <w:t xml:space="preserve"> The </w:t>
      </w:r>
      <w:r w:rsidR="00993FC9">
        <w:rPr>
          <w:color w:val="auto"/>
          <w:szCs w:val="24"/>
        </w:rPr>
        <w:t>D</w:t>
      </w:r>
      <w:r w:rsidR="00EE0F62" w:rsidRPr="00A5362F">
        <w:rPr>
          <w:color w:val="auto"/>
          <w:szCs w:val="24"/>
        </w:rPr>
        <w:t xml:space="preserve">VA ratings which it considers in that regard are those rendered most proximate to separation. </w:t>
      </w:r>
      <w:r w:rsidR="00BC1823" w:rsidRPr="00A5362F">
        <w:rPr>
          <w:color w:val="auto"/>
          <w:szCs w:val="24"/>
        </w:rPr>
        <w:t xml:space="preserve"> </w:t>
      </w:r>
      <w:r w:rsidR="00EE0F62" w:rsidRPr="00A5362F">
        <w:rPr>
          <w:color w:val="auto"/>
          <w:szCs w:val="24"/>
        </w:rPr>
        <w:t xml:space="preserve">The </w:t>
      </w:r>
      <w:r w:rsidR="00993FC9">
        <w:rPr>
          <w:color w:val="auto"/>
          <w:szCs w:val="24"/>
        </w:rPr>
        <w:t>Disability Evaluation System (</w:t>
      </w:r>
      <w:r w:rsidR="00EE0F62" w:rsidRPr="00993FC9">
        <w:rPr>
          <w:color w:val="auto"/>
          <w:szCs w:val="24"/>
        </w:rPr>
        <w:t>DES</w:t>
      </w:r>
      <w:r w:rsidR="00993FC9">
        <w:rPr>
          <w:color w:val="auto"/>
          <w:szCs w:val="24"/>
        </w:rPr>
        <w:t>)</w:t>
      </w:r>
      <w:r w:rsidR="00EE0F62" w:rsidRPr="00A5362F">
        <w:rPr>
          <w:color w:val="auto"/>
          <w:szCs w:val="24"/>
        </w:rPr>
        <w:t xml:space="preserve"> has neither the role nor the authority to compensate members for anticipated future severity or potential complications of conditions resulting in medical separation. </w:t>
      </w:r>
      <w:r w:rsidR="00BC1823" w:rsidRPr="00A5362F">
        <w:rPr>
          <w:color w:val="auto"/>
          <w:szCs w:val="24"/>
        </w:rPr>
        <w:t xml:space="preserve"> </w:t>
      </w:r>
      <w:r w:rsidR="00EE0F62" w:rsidRPr="00A5362F">
        <w:rPr>
          <w:color w:val="auto"/>
          <w:szCs w:val="24"/>
        </w:rPr>
        <w:t xml:space="preserve">That role and authority is granted by Congress to the </w:t>
      </w:r>
      <w:r w:rsidR="00993FC9">
        <w:rPr>
          <w:color w:val="auto"/>
          <w:szCs w:val="24"/>
        </w:rPr>
        <w:t>D</w:t>
      </w:r>
      <w:r w:rsidR="00EE0F62" w:rsidRPr="00A5362F">
        <w:rPr>
          <w:color w:val="auto"/>
          <w:szCs w:val="24"/>
        </w:rPr>
        <w:t>VA.</w:t>
      </w:r>
      <w:r w:rsidR="00CB15B8" w:rsidRPr="00A5362F">
        <w:rPr>
          <w:color w:val="auto"/>
          <w:szCs w:val="24"/>
        </w:rPr>
        <w:t xml:space="preserve">  </w:t>
      </w:r>
      <w:r w:rsidR="00BC1823" w:rsidRPr="00A5362F">
        <w:rPr>
          <w:color w:val="auto"/>
          <w:szCs w:val="24"/>
        </w:rPr>
        <w:t xml:space="preserve">The Board acknowledges that the VA Compensation and Pension </w:t>
      </w:r>
      <w:r w:rsidR="00CB15B8" w:rsidRPr="00A5362F">
        <w:rPr>
          <w:color w:val="auto"/>
          <w:szCs w:val="24"/>
        </w:rPr>
        <w:t xml:space="preserve">(C&amp;P) </w:t>
      </w:r>
      <w:r w:rsidR="00BC1823" w:rsidRPr="00A5362F">
        <w:rPr>
          <w:color w:val="auto"/>
          <w:szCs w:val="24"/>
        </w:rPr>
        <w:t>examination was referenced, but not available in the evidence before it; and, could not be located after the appropriate inquiries.  Further attempts at obtaining the relevant documentation would likely be futile and introduce additional delay in processing the case.  The missing evidence will be referenced below in relevant context</w:t>
      </w:r>
      <w:r w:rsidR="00CB15B8" w:rsidRPr="00A5362F">
        <w:rPr>
          <w:color w:val="auto"/>
          <w:szCs w:val="24"/>
        </w:rPr>
        <w:t xml:space="preserve"> as extracted from the VA rating determinations</w:t>
      </w:r>
      <w:r w:rsidR="003B45D6" w:rsidRPr="00A5362F">
        <w:rPr>
          <w:color w:val="auto"/>
          <w:szCs w:val="24"/>
        </w:rPr>
        <w:t xml:space="preserve"> (VARD)</w:t>
      </w:r>
      <w:r w:rsidR="00BC1823" w:rsidRPr="00A5362F">
        <w:rPr>
          <w:color w:val="auto"/>
          <w:szCs w:val="24"/>
        </w:rPr>
        <w:t>; and, it is not suspected that the missing evidence would significantly alter the Board’s recommendations.</w:t>
      </w:r>
      <w:r w:rsidR="00CB15B8" w:rsidRPr="00A5362F">
        <w:rPr>
          <w:color w:val="auto"/>
          <w:szCs w:val="24"/>
        </w:rPr>
        <w:t xml:space="preserve">  </w:t>
      </w:r>
    </w:p>
    <w:p w:rsidR="00BB6BAD" w:rsidRPr="00A5362F" w:rsidRDefault="00BB6BAD" w:rsidP="00B22D42">
      <w:pPr>
        <w:jc w:val="both"/>
        <w:rPr>
          <w:color w:val="auto"/>
          <w:szCs w:val="24"/>
          <w:u w:val="single"/>
        </w:rPr>
      </w:pPr>
    </w:p>
    <w:p w:rsidR="0069687C" w:rsidRDefault="00EE0F62" w:rsidP="0069687C">
      <w:pPr>
        <w:jc w:val="both"/>
        <w:rPr>
          <w:color w:val="auto"/>
          <w:szCs w:val="24"/>
        </w:rPr>
      </w:pPr>
      <w:r w:rsidRPr="00A5362F">
        <w:rPr>
          <w:color w:val="auto"/>
          <w:szCs w:val="24"/>
          <w:u w:val="single"/>
        </w:rPr>
        <w:t>Chronic Right Foot Pain</w:t>
      </w:r>
      <w:r w:rsidR="00AD2379" w:rsidRPr="00A5362F">
        <w:rPr>
          <w:color w:val="auto"/>
          <w:szCs w:val="24"/>
          <w:u w:val="single"/>
        </w:rPr>
        <w:t xml:space="preserve"> Condition</w:t>
      </w:r>
      <w:r w:rsidR="00AD2379" w:rsidRPr="00A5362F">
        <w:rPr>
          <w:color w:val="auto"/>
          <w:szCs w:val="24"/>
        </w:rPr>
        <w:t>.</w:t>
      </w:r>
      <w:r w:rsidR="00AD2379" w:rsidRPr="00A5362F">
        <w:rPr>
          <w:color w:val="auto"/>
        </w:rPr>
        <w:t xml:space="preserve"> </w:t>
      </w:r>
      <w:r w:rsidR="00385708" w:rsidRPr="00A5362F">
        <w:rPr>
          <w:color w:val="auto"/>
        </w:rPr>
        <w:t xml:space="preserve"> </w:t>
      </w:r>
      <w:r w:rsidR="0069687C" w:rsidRPr="00A5362F">
        <w:rPr>
          <w:color w:val="auto"/>
          <w:szCs w:val="24"/>
        </w:rPr>
        <w:t xml:space="preserve">There were </w:t>
      </w:r>
      <w:r w:rsidR="00453121" w:rsidRPr="00A5362F">
        <w:rPr>
          <w:color w:val="auto"/>
          <w:szCs w:val="24"/>
        </w:rPr>
        <w:t xml:space="preserve">three evaluations </w:t>
      </w:r>
      <w:r w:rsidR="00E13EDD" w:rsidRPr="00A5362F">
        <w:rPr>
          <w:color w:val="auto"/>
          <w:szCs w:val="24"/>
        </w:rPr>
        <w:t>including</w:t>
      </w:r>
      <w:r w:rsidR="00184710" w:rsidRPr="00A5362F">
        <w:rPr>
          <w:color w:val="auto"/>
          <w:szCs w:val="24"/>
        </w:rPr>
        <w:t xml:space="preserve"> one</w:t>
      </w:r>
      <w:r w:rsidR="00001EFC" w:rsidRPr="00A5362F">
        <w:rPr>
          <w:color w:val="auto"/>
          <w:szCs w:val="24"/>
        </w:rPr>
        <w:t xml:space="preserve"> goniometric range</w:t>
      </w:r>
      <w:r w:rsidR="00993FC9">
        <w:rPr>
          <w:color w:val="auto"/>
          <w:szCs w:val="24"/>
        </w:rPr>
        <w:t>-</w:t>
      </w:r>
      <w:r w:rsidR="00001EFC" w:rsidRPr="00A5362F">
        <w:rPr>
          <w:color w:val="auto"/>
          <w:szCs w:val="24"/>
        </w:rPr>
        <w:t>of</w:t>
      </w:r>
      <w:r w:rsidR="00993FC9">
        <w:rPr>
          <w:color w:val="auto"/>
          <w:szCs w:val="24"/>
        </w:rPr>
        <w:t>-</w:t>
      </w:r>
      <w:r w:rsidR="00453121" w:rsidRPr="00A5362F">
        <w:rPr>
          <w:color w:val="auto"/>
          <w:szCs w:val="24"/>
        </w:rPr>
        <w:t>motion (ROM) evaluation</w:t>
      </w:r>
      <w:r w:rsidR="0069687C" w:rsidRPr="00A5362F">
        <w:rPr>
          <w:color w:val="auto"/>
          <w:szCs w:val="24"/>
        </w:rPr>
        <w:t xml:space="preserve"> in evidence, with documentation of additional ratable criteria, which the Board weighed in arriving at its rating recommendation; as summarized in the chart below.</w:t>
      </w:r>
      <w:r w:rsidR="00165C7B" w:rsidRPr="00A5362F">
        <w:rPr>
          <w:color w:val="auto"/>
          <w:szCs w:val="24"/>
        </w:rPr>
        <w:t xml:space="preserve">  </w:t>
      </w:r>
    </w:p>
    <w:p w:rsidR="002E04B2" w:rsidRPr="00A5362F" w:rsidRDefault="002E04B2" w:rsidP="0069687C">
      <w:pPr>
        <w:jc w:val="both"/>
        <w:rPr>
          <w:color w:val="auto"/>
        </w:rPr>
      </w:pPr>
    </w:p>
    <w:tbl>
      <w:tblPr>
        <w:tblW w:w="0" w:type="auto"/>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7"/>
        <w:gridCol w:w="2160"/>
        <w:gridCol w:w="2070"/>
        <w:gridCol w:w="3060"/>
      </w:tblGrid>
      <w:tr w:rsidR="00BB6BAD" w:rsidRPr="00A5362F" w:rsidTr="00A5362F">
        <w:trPr>
          <w:trHeight w:val="440"/>
          <w:jc w:val="center"/>
        </w:trPr>
        <w:tc>
          <w:tcPr>
            <w:tcW w:w="195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6BAD" w:rsidRPr="00A5362F" w:rsidRDefault="00BB6BAD" w:rsidP="00A5362F">
            <w:pPr>
              <w:spacing w:line="180" w:lineRule="exact"/>
              <w:jc w:val="both"/>
              <w:rPr>
                <w:rFonts w:asciiTheme="majorHAnsi" w:eastAsia="Calibri" w:hAnsiTheme="majorHAnsi" w:cstheme="majorHAnsi"/>
                <w:b/>
                <w:color w:val="auto"/>
                <w:sz w:val="18"/>
                <w:szCs w:val="18"/>
              </w:rPr>
            </w:pPr>
            <w:r w:rsidRPr="00A5362F">
              <w:rPr>
                <w:rFonts w:asciiTheme="majorHAnsi" w:eastAsia="Calibri" w:hAnsiTheme="majorHAnsi" w:cstheme="majorHAnsi"/>
                <w:color w:val="auto"/>
                <w:sz w:val="18"/>
                <w:szCs w:val="18"/>
              </w:rPr>
              <w:t>Great Toe (R) ROM</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tcPr>
          <w:p w:rsidR="00BB6BAD" w:rsidRPr="00A5362F" w:rsidRDefault="00BB6BAD" w:rsidP="002E04B2">
            <w:pPr>
              <w:spacing w:line="220" w:lineRule="exact"/>
              <w:contextualSpacing/>
              <w:rPr>
                <w:rFonts w:asciiTheme="majorHAnsi" w:hAnsiTheme="majorHAnsi" w:cstheme="majorHAnsi"/>
                <w:color w:val="auto"/>
                <w:sz w:val="18"/>
                <w:szCs w:val="18"/>
              </w:rPr>
            </w:pPr>
            <w:r w:rsidRPr="00A5362F">
              <w:rPr>
                <w:rFonts w:asciiTheme="majorHAnsi" w:hAnsiTheme="majorHAnsi" w:cstheme="majorHAnsi"/>
                <w:color w:val="auto"/>
                <w:sz w:val="18"/>
                <w:szCs w:val="18"/>
              </w:rPr>
              <w:t>Podiatry</w:t>
            </w:r>
            <w:r w:rsidR="00CB15B8" w:rsidRPr="00A5362F">
              <w:rPr>
                <w:rFonts w:asciiTheme="majorHAnsi" w:hAnsiTheme="majorHAnsi" w:cstheme="majorHAnsi"/>
                <w:color w:val="auto"/>
                <w:sz w:val="18"/>
                <w:szCs w:val="18"/>
              </w:rPr>
              <w:t xml:space="preserve"> ~</w:t>
            </w:r>
            <w:r w:rsidRPr="00A5362F">
              <w:rPr>
                <w:rFonts w:asciiTheme="majorHAnsi" w:hAnsiTheme="majorHAnsi" w:cstheme="majorHAnsi"/>
                <w:color w:val="auto"/>
                <w:sz w:val="18"/>
                <w:szCs w:val="18"/>
              </w:rPr>
              <w:t>10</w:t>
            </w:r>
            <w:r w:rsidR="00CB15B8" w:rsidRPr="00A5362F">
              <w:rPr>
                <w:rFonts w:asciiTheme="majorHAnsi" w:hAnsiTheme="majorHAnsi" w:cstheme="majorHAnsi"/>
                <w:color w:val="auto"/>
                <w:sz w:val="18"/>
                <w:szCs w:val="18"/>
              </w:rPr>
              <w:t xml:space="preserve"> </w:t>
            </w:r>
            <w:r w:rsidRPr="00A5362F">
              <w:rPr>
                <w:rFonts w:asciiTheme="majorHAnsi" w:hAnsiTheme="majorHAnsi" w:cstheme="majorHAnsi"/>
                <w:color w:val="auto"/>
                <w:sz w:val="18"/>
                <w:szCs w:val="18"/>
              </w:rPr>
              <w:t>Mo</w:t>
            </w:r>
            <w:r w:rsidR="00203E08">
              <w:rPr>
                <w:rFonts w:asciiTheme="majorHAnsi" w:hAnsiTheme="majorHAnsi" w:cstheme="majorHAnsi"/>
                <w:color w:val="auto"/>
                <w:sz w:val="18"/>
                <w:szCs w:val="18"/>
              </w:rPr>
              <w:t>s</w:t>
            </w:r>
            <w:r w:rsidRPr="00A5362F">
              <w:rPr>
                <w:rFonts w:asciiTheme="majorHAnsi" w:hAnsiTheme="majorHAnsi" w:cstheme="majorHAnsi"/>
                <w:color w:val="auto"/>
                <w:sz w:val="18"/>
                <w:szCs w:val="18"/>
              </w:rPr>
              <w:t>. Pre-Sep</w:t>
            </w:r>
          </w:p>
        </w:tc>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6BAD" w:rsidRPr="00A5362F" w:rsidRDefault="00CB15B8" w:rsidP="002E04B2">
            <w:pPr>
              <w:spacing w:line="220" w:lineRule="exact"/>
              <w:contextualSpacing/>
              <w:rPr>
                <w:rFonts w:asciiTheme="majorHAnsi" w:eastAsia="Calibri" w:hAnsiTheme="majorHAnsi" w:cstheme="majorHAnsi"/>
                <w:color w:val="auto"/>
                <w:sz w:val="18"/>
                <w:szCs w:val="18"/>
              </w:rPr>
            </w:pPr>
            <w:r w:rsidRPr="00A5362F">
              <w:rPr>
                <w:rFonts w:asciiTheme="majorHAnsi" w:hAnsiTheme="majorHAnsi" w:cstheme="majorHAnsi"/>
                <w:color w:val="auto"/>
                <w:sz w:val="18"/>
                <w:szCs w:val="18"/>
              </w:rPr>
              <w:t>PT/</w:t>
            </w:r>
            <w:r w:rsidR="00BB6BAD" w:rsidRPr="00A5362F">
              <w:rPr>
                <w:rFonts w:asciiTheme="majorHAnsi" w:hAnsiTheme="majorHAnsi" w:cstheme="majorHAnsi"/>
                <w:color w:val="auto"/>
                <w:sz w:val="18"/>
                <w:szCs w:val="18"/>
              </w:rPr>
              <w:t>MEB ~6 Mo</w:t>
            </w:r>
            <w:r w:rsidR="00203E08">
              <w:rPr>
                <w:rFonts w:asciiTheme="majorHAnsi" w:hAnsiTheme="majorHAnsi" w:cstheme="majorHAnsi"/>
                <w:color w:val="auto"/>
                <w:sz w:val="18"/>
                <w:szCs w:val="18"/>
              </w:rPr>
              <w:t>s</w:t>
            </w:r>
            <w:r w:rsidR="00BB6BAD" w:rsidRPr="00A5362F">
              <w:rPr>
                <w:rFonts w:asciiTheme="majorHAnsi" w:hAnsiTheme="majorHAnsi" w:cstheme="majorHAnsi"/>
                <w:color w:val="auto"/>
                <w:sz w:val="18"/>
                <w:szCs w:val="18"/>
              </w:rPr>
              <w:t>. Pre-Sep</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B6BAD" w:rsidRPr="00A5362F" w:rsidRDefault="00BB6BAD" w:rsidP="002E04B2">
            <w:pPr>
              <w:spacing w:line="220" w:lineRule="exact"/>
              <w:contextualSpacing/>
              <w:rPr>
                <w:rFonts w:asciiTheme="majorHAnsi" w:eastAsia="Calibri" w:hAnsiTheme="majorHAnsi" w:cstheme="majorHAnsi"/>
                <w:color w:val="auto"/>
                <w:sz w:val="18"/>
                <w:szCs w:val="18"/>
              </w:rPr>
            </w:pPr>
            <w:r w:rsidRPr="00A5362F">
              <w:rPr>
                <w:rFonts w:asciiTheme="majorHAnsi" w:hAnsiTheme="majorHAnsi" w:cstheme="majorHAnsi"/>
                <w:color w:val="auto"/>
                <w:sz w:val="18"/>
                <w:szCs w:val="18"/>
              </w:rPr>
              <w:t>MEB ~6 Mo</w:t>
            </w:r>
            <w:r w:rsidR="00203E08">
              <w:rPr>
                <w:rFonts w:asciiTheme="majorHAnsi" w:hAnsiTheme="majorHAnsi" w:cstheme="majorHAnsi"/>
                <w:color w:val="auto"/>
                <w:sz w:val="18"/>
                <w:szCs w:val="18"/>
              </w:rPr>
              <w:t>s</w:t>
            </w:r>
            <w:r w:rsidRPr="00A5362F">
              <w:rPr>
                <w:rFonts w:asciiTheme="majorHAnsi" w:hAnsiTheme="majorHAnsi" w:cstheme="majorHAnsi"/>
                <w:color w:val="auto"/>
                <w:sz w:val="18"/>
                <w:szCs w:val="18"/>
              </w:rPr>
              <w:t>. Pre-Sep</w:t>
            </w:r>
          </w:p>
        </w:tc>
      </w:tr>
      <w:tr w:rsidR="00BB6BAD" w:rsidRPr="00A5362F" w:rsidTr="00C90534">
        <w:trPr>
          <w:jc w:val="center"/>
        </w:trPr>
        <w:tc>
          <w:tcPr>
            <w:tcW w:w="1957" w:type="dxa"/>
            <w:tcBorders>
              <w:top w:val="single" w:sz="4" w:space="0" w:color="000000"/>
              <w:left w:val="single" w:sz="4" w:space="0" w:color="000000"/>
              <w:bottom w:val="single" w:sz="4" w:space="0" w:color="000000"/>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Flexion 0⁰-50⁰1</w:t>
            </w:r>
            <w:r w:rsidRPr="00A5362F">
              <w:rPr>
                <w:rFonts w:asciiTheme="majorHAnsi" w:eastAsia="Calibri" w:hAnsiTheme="majorHAnsi" w:cstheme="majorHAnsi"/>
                <w:color w:val="auto"/>
                <w:sz w:val="18"/>
                <w:szCs w:val="18"/>
                <w:vertAlign w:val="superscript"/>
              </w:rPr>
              <w:t>st</w:t>
            </w:r>
            <w:r w:rsidRPr="00A5362F">
              <w:rPr>
                <w:rFonts w:asciiTheme="majorHAnsi" w:eastAsia="Calibri" w:hAnsiTheme="majorHAnsi" w:cstheme="majorHAnsi"/>
                <w:color w:val="auto"/>
                <w:sz w:val="18"/>
                <w:szCs w:val="18"/>
              </w:rPr>
              <w:t xml:space="preserve"> mtp</w:t>
            </w:r>
          </w:p>
        </w:tc>
        <w:tc>
          <w:tcPr>
            <w:tcW w:w="2160" w:type="dxa"/>
            <w:vMerge w:val="restart"/>
            <w:tcBorders>
              <w:top w:val="single" w:sz="4" w:space="0" w:color="000000"/>
              <w:left w:val="single" w:sz="4" w:space="0" w:color="000000"/>
              <w:right w:val="single" w:sz="4" w:space="0" w:color="000000"/>
            </w:tcBorders>
            <w:vAlign w:val="center"/>
          </w:tcPr>
          <w:p w:rsidR="00BB6BAD" w:rsidRPr="00A5362F" w:rsidRDefault="00C90534" w:rsidP="00C90534">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 xml:space="preserve">“Full </w:t>
            </w:r>
            <w:r w:rsidR="00BB6BAD" w:rsidRPr="00A5362F">
              <w:rPr>
                <w:rFonts w:asciiTheme="majorHAnsi" w:eastAsia="Calibri" w:hAnsiTheme="majorHAnsi" w:cstheme="majorHAnsi"/>
                <w:color w:val="auto"/>
                <w:sz w:val="18"/>
                <w:szCs w:val="18"/>
              </w:rPr>
              <w:t>ROM</w:t>
            </w:r>
            <w:r w:rsidRPr="00A5362F">
              <w:rPr>
                <w:rFonts w:asciiTheme="majorHAnsi" w:eastAsia="Calibri" w:hAnsiTheme="majorHAnsi" w:cstheme="majorHAnsi"/>
                <w:color w:val="auto"/>
                <w:sz w:val="18"/>
                <w:szCs w:val="18"/>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5⁰</w:t>
            </w:r>
          </w:p>
        </w:tc>
        <w:tc>
          <w:tcPr>
            <w:tcW w:w="3060" w:type="dxa"/>
            <w:vMerge w:val="restart"/>
            <w:tcBorders>
              <w:top w:val="single" w:sz="4" w:space="0" w:color="000000"/>
              <w:left w:val="single" w:sz="4" w:space="0" w:color="000000"/>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No ROM’s</w:t>
            </w:r>
          </w:p>
        </w:tc>
      </w:tr>
      <w:tr w:rsidR="00BB6BAD" w:rsidRPr="00A5362F" w:rsidTr="00C90534">
        <w:trPr>
          <w:jc w:val="center"/>
        </w:trPr>
        <w:tc>
          <w:tcPr>
            <w:tcW w:w="1957" w:type="dxa"/>
            <w:tcBorders>
              <w:top w:val="single" w:sz="4" w:space="0" w:color="000000"/>
              <w:left w:val="single" w:sz="4" w:space="0" w:color="000000"/>
              <w:bottom w:val="single" w:sz="4" w:space="0" w:color="000000"/>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Extension0⁰-50⁰ 1</w:t>
            </w:r>
            <w:r w:rsidRPr="00A5362F">
              <w:rPr>
                <w:rFonts w:asciiTheme="majorHAnsi" w:eastAsia="Calibri" w:hAnsiTheme="majorHAnsi" w:cstheme="majorHAnsi"/>
                <w:color w:val="auto"/>
                <w:sz w:val="18"/>
                <w:szCs w:val="18"/>
                <w:vertAlign w:val="superscript"/>
              </w:rPr>
              <w:t>st</w:t>
            </w:r>
            <w:r w:rsidRPr="00A5362F">
              <w:rPr>
                <w:rFonts w:asciiTheme="majorHAnsi" w:eastAsia="Calibri" w:hAnsiTheme="majorHAnsi" w:cstheme="majorHAnsi"/>
                <w:color w:val="auto"/>
                <w:sz w:val="18"/>
                <w:szCs w:val="18"/>
              </w:rPr>
              <w:t xml:space="preserve"> mtp</w:t>
            </w:r>
          </w:p>
        </w:tc>
        <w:tc>
          <w:tcPr>
            <w:tcW w:w="2160" w:type="dxa"/>
            <w:vMerge/>
            <w:tcBorders>
              <w:left w:val="single" w:sz="4" w:space="0" w:color="000000"/>
              <w:bottom w:val="single" w:sz="4" w:space="0" w:color="000000"/>
              <w:right w:val="single" w:sz="4" w:space="0" w:color="000000"/>
            </w:tcBorders>
            <w:vAlign w:val="center"/>
          </w:tcPr>
          <w:p w:rsidR="00BB6BAD" w:rsidRPr="00A5362F" w:rsidRDefault="00BB6BAD" w:rsidP="00CB15B8">
            <w:pPr>
              <w:spacing w:line="180" w:lineRule="exact"/>
              <w:rPr>
                <w:rFonts w:asciiTheme="majorHAnsi" w:eastAsia="Calibri" w:hAnsiTheme="majorHAnsi" w:cstheme="majorHAnsi"/>
                <w:color w:val="auto"/>
                <w:sz w:val="18"/>
                <w:szCs w:val="18"/>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10⁰</w:t>
            </w:r>
          </w:p>
        </w:tc>
        <w:tc>
          <w:tcPr>
            <w:tcW w:w="3060" w:type="dxa"/>
            <w:vMerge/>
            <w:tcBorders>
              <w:left w:val="single" w:sz="4" w:space="0" w:color="000000"/>
              <w:bottom w:val="single" w:sz="4" w:space="0" w:color="000000"/>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p>
        </w:tc>
      </w:tr>
      <w:tr w:rsidR="00BB6BAD" w:rsidRPr="00A5362F" w:rsidTr="00C90534">
        <w:trPr>
          <w:jc w:val="center"/>
        </w:trPr>
        <w:tc>
          <w:tcPr>
            <w:tcW w:w="1957" w:type="dxa"/>
            <w:tcBorders>
              <w:top w:val="single" w:sz="4" w:space="0" w:color="000000"/>
              <w:left w:val="single" w:sz="4" w:space="0" w:color="000000"/>
              <w:bottom w:val="single" w:sz="4" w:space="0" w:color="auto"/>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Comment</w:t>
            </w:r>
            <w:r w:rsidR="00CB15B8" w:rsidRPr="00A5362F">
              <w:rPr>
                <w:rFonts w:asciiTheme="majorHAnsi" w:eastAsia="Calibri" w:hAnsiTheme="majorHAnsi" w:cstheme="majorHAnsi"/>
                <w:color w:val="auto"/>
                <w:sz w:val="18"/>
                <w:szCs w:val="18"/>
              </w:rPr>
              <w:t>:</w:t>
            </w:r>
            <w:r w:rsidR="003D4975" w:rsidRPr="00A5362F">
              <w:rPr>
                <w:rFonts w:asciiTheme="majorHAnsi" w:eastAsia="Calibri" w:hAnsiTheme="majorHAnsi" w:cstheme="majorHAnsi"/>
                <w:color w:val="auto"/>
                <w:sz w:val="18"/>
                <w:szCs w:val="18"/>
              </w:rPr>
              <w:t xml:space="preserve">  </w:t>
            </w:r>
          </w:p>
          <w:p w:rsidR="002E04B2" w:rsidRDefault="003D4975" w:rsidP="00627D33">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 xml:space="preserve">Hardware removal </w:t>
            </w:r>
          </w:p>
          <w:p w:rsidR="00D3445C" w:rsidRPr="00A5362F" w:rsidRDefault="00627D33" w:rsidP="00627D33">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w:t>
            </w:r>
            <w:r w:rsidR="003D4975" w:rsidRPr="00A5362F">
              <w:rPr>
                <w:rFonts w:asciiTheme="majorHAnsi" w:eastAsia="Calibri" w:hAnsiTheme="majorHAnsi" w:cstheme="majorHAnsi"/>
                <w:color w:val="auto"/>
                <w:sz w:val="18"/>
                <w:szCs w:val="18"/>
              </w:rPr>
              <w:t>9 Mo</w:t>
            </w:r>
            <w:r w:rsidRPr="00A5362F">
              <w:rPr>
                <w:rFonts w:asciiTheme="majorHAnsi" w:eastAsia="Calibri" w:hAnsiTheme="majorHAnsi" w:cstheme="majorHAnsi"/>
                <w:color w:val="auto"/>
                <w:sz w:val="18"/>
                <w:szCs w:val="18"/>
              </w:rPr>
              <w:t>.</w:t>
            </w:r>
            <w:r w:rsidR="003D4975" w:rsidRPr="00A5362F">
              <w:rPr>
                <w:rFonts w:asciiTheme="majorHAnsi" w:eastAsia="Calibri" w:hAnsiTheme="majorHAnsi" w:cstheme="majorHAnsi"/>
                <w:color w:val="auto"/>
                <w:sz w:val="18"/>
                <w:szCs w:val="18"/>
              </w:rPr>
              <w:t xml:space="preserve"> </w:t>
            </w:r>
            <w:r w:rsidRPr="00A5362F">
              <w:rPr>
                <w:rFonts w:asciiTheme="majorHAnsi" w:eastAsia="Calibri" w:hAnsiTheme="majorHAnsi" w:cstheme="majorHAnsi"/>
                <w:color w:val="auto"/>
                <w:sz w:val="18"/>
                <w:szCs w:val="18"/>
              </w:rPr>
              <w:t>P</w:t>
            </w:r>
            <w:r w:rsidR="003D4975" w:rsidRPr="00A5362F">
              <w:rPr>
                <w:rFonts w:asciiTheme="majorHAnsi" w:eastAsia="Calibri" w:hAnsiTheme="majorHAnsi" w:cstheme="majorHAnsi"/>
                <w:color w:val="auto"/>
                <w:sz w:val="18"/>
                <w:szCs w:val="18"/>
              </w:rPr>
              <w:t>re-</w:t>
            </w:r>
            <w:r w:rsidRPr="00A5362F">
              <w:rPr>
                <w:rFonts w:asciiTheme="majorHAnsi" w:eastAsia="Calibri" w:hAnsiTheme="majorHAnsi" w:cstheme="majorHAnsi"/>
                <w:color w:val="auto"/>
                <w:sz w:val="18"/>
                <w:szCs w:val="18"/>
              </w:rPr>
              <w:t>S</w:t>
            </w:r>
            <w:r w:rsidR="003D4975" w:rsidRPr="00A5362F">
              <w:rPr>
                <w:rFonts w:asciiTheme="majorHAnsi" w:eastAsia="Calibri" w:hAnsiTheme="majorHAnsi" w:cstheme="majorHAnsi"/>
                <w:color w:val="auto"/>
                <w:sz w:val="18"/>
                <w:szCs w:val="18"/>
              </w:rPr>
              <w:t>ep</w:t>
            </w:r>
          </w:p>
        </w:tc>
        <w:tc>
          <w:tcPr>
            <w:tcW w:w="2160" w:type="dxa"/>
            <w:tcBorders>
              <w:top w:val="single" w:sz="4" w:space="0" w:color="000000"/>
              <w:left w:val="single" w:sz="4" w:space="0" w:color="000000"/>
              <w:bottom w:val="single" w:sz="4" w:space="0" w:color="auto"/>
              <w:right w:val="single" w:sz="4" w:space="0" w:color="000000"/>
            </w:tcBorders>
            <w:vAlign w:val="center"/>
          </w:tcPr>
          <w:p w:rsidR="00BB6BAD" w:rsidRPr="00A5362F" w:rsidRDefault="00BB6BAD" w:rsidP="00C90534">
            <w:pPr>
              <w:pStyle w:val="ListParagraph"/>
              <w:spacing w:after="0" w:line="200" w:lineRule="exact"/>
              <w:ind w:left="0"/>
              <w:rPr>
                <w:rFonts w:asciiTheme="majorHAnsi" w:eastAsia="Calibri" w:hAnsiTheme="majorHAnsi" w:cstheme="majorHAnsi"/>
                <w:sz w:val="18"/>
                <w:szCs w:val="18"/>
              </w:rPr>
            </w:pPr>
            <w:r w:rsidRPr="00A5362F">
              <w:rPr>
                <w:rFonts w:asciiTheme="majorHAnsi" w:eastAsia="Calibri" w:hAnsiTheme="majorHAnsi" w:cstheme="majorHAnsi"/>
                <w:sz w:val="18"/>
                <w:szCs w:val="18"/>
              </w:rPr>
              <w:t xml:space="preserve">Antalgic gait; </w:t>
            </w:r>
            <w:r w:rsidR="00C90534" w:rsidRPr="00A5362F">
              <w:rPr>
                <w:rFonts w:asciiTheme="majorHAnsi" w:eastAsia="Calibri" w:hAnsiTheme="majorHAnsi" w:cstheme="majorHAnsi"/>
                <w:sz w:val="18"/>
                <w:szCs w:val="18"/>
              </w:rPr>
              <w:t>f</w:t>
            </w:r>
            <w:r w:rsidRPr="00A5362F">
              <w:rPr>
                <w:rFonts w:asciiTheme="majorHAnsi" w:eastAsia="Calibri" w:hAnsiTheme="majorHAnsi" w:cstheme="majorHAnsi"/>
                <w:sz w:val="18"/>
                <w:szCs w:val="18"/>
              </w:rPr>
              <w:t>ull ROM with pain; tenderness to palpation (TTP) over dorsum to 1</w:t>
            </w:r>
            <w:r w:rsidRPr="00A5362F">
              <w:rPr>
                <w:rFonts w:asciiTheme="majorHAnsi" w:eastAsia="Calibri" w:hAnsiTheme="majorHAnsi" w:cstheme="majorHAnsi"/>
                <w:sz w:val="18"/>
                <w:szCs w:val="18"/>
                <w:vertAlign w:val="superscript"/>
              </w:rPr>
              <w:t>st</w:t>
            </w:r>
            <w:r w:rsidRPr="00A5362F">
              <w:rPr>
                <w:rFonts w:asciiTheme="majorHAnsi" w:eastAsia="Calibri" w:hAnsiTheme="majorHAnsi" w:cstheme="majorHAnsi"/>
                <w:sz w:val="18"/>
                <w:szCs w:val="18"/>
              </w:rPr>
              <w:t xml:space="preserve"> metatarsal over screw heads</w:t>
            </w:r>
            <w:r w:rsidR="00C90534" w:rsidRPr="00A5362F">
              <w:rPr>
                <w:rFonts w:asciiTheme="majorHAnsi" w:eastAsia="Calibri" w:hAnsiTheme="majorHAnsi" w:cstheme="majorHAnsi"/>
                <w:sz w:val="18"/>
                <w:szCs w:val="18"/>
              </w:rPr>
              <w:t xml:space="preserve"> </w:t>
            </w:r>
          </w:p>
        </w:tc>
        <w:tc>
          <w:tcPr>
            <w:tcW w:w="2070" w:type="dxa"/>
            <w:tcBorders>
              <w:top w:val="single" w:sz="4" w:space="0" w:color="000000"/>
              <w:left w:val="single" w:sz="4" w:space="0" w:color="000000"/>
              <w:bottom w:val="single" w:sz="4" w:space="0" w:color="auto"/>
              <w:right w:val="single" w:sz="4" w:space="0" w:color="000000"/>
            </w:tcBorders>
            <w:vAlign w:val="center"/>
            <w:hideMark/>
          </w:tcPr>
          <w:p w:rsidR="00BB6BAD" w:rsidRPr="00A5362F" w:rsidRDefault="00BB6BAD" w:rsidP="00CB15B8">
            <w:pPr>
              <w:pStyle w:val="ListParagraph"/>
              <w:spacing w:after="0" w:line="200" w:lineRule="exact"/>
              <w:ind w:left="0"/>
              <w:rPr>
                <w:rFonts w:asciiTheme="majorHAnsi" w:eastAsia="Calibri" w:hAnsiTheme="majorHAnsi" w:cstheme="majorHAnsi"/>
                <w:sz w:val="18"/>
                <w:szCs w:val="18"/>
              </w:rPr>
            </w:pPr>
            <w:r w:rsidRPr="00A5362F">
              <w:rPr>
                <w:rFonts w:asciiTheme="majorHAnsi" w:eastAsia="Calibri" w:hAnsiTheme="majorHAnsi" w:cstheme="majorHAnsi"/>
                <w:sz w:val="18"/>
                <w:szCs w:val="18"/>
              </w:rPr>
              <w:t>Mechanical limitation</w:t>
            </w:r>
            <w:r w:rsidR="00C90534" w:rsidRPr="00A5362F">
              <w:rPr>
                <w:rFonts w:asciiTheme="majorHAnsi" w:eastAsia="Calibri" w:hAnsiTheme="majorHAnsi" w:cstheme="majorHAnsi"/>
                <w:sz w:val="18"/>
                <w:szCs w:val="18"/>
              </w:rPr>
              <w:t>; Pt reports c/o pain; 3 trials of ROM</w:t>
            </w:r>
          </w:p>
        </w:tc>
        <w:tc>
          <w:tcPr>
            <w:tcW w:w="3060" w:type="dxa"/>
            <w:tcBorders>
              <w:top w:val="single" w:sz="4" w:space="0" w:color="000000"/>
              <w:left w:val="single" w:sz="4" w:space="0" w:color="000000"/>
              <w:bottom w:val="single" w:sz="4" w:space="0" w:color="auto"/>
              <w:right w:val="single" w:sz="4" w:space="0" w:color="000000"/>
            </w:tcBorders>
            <w:vAlign w:val="center"/>
            <w:hideMark/>
          </w:tcPr>
          <w:p w:rsidR="00BB6BAD" w:rsidRPr="00A5362F" w:rsidRDefault="00BB6BAD" w:rsidP="00CB15B8">
            <w:pPr>
              <w:pStyle w:val="ListParagraph"/>
              <w:spacing w:after="0" w:line="200" w:lineRule="exact"/>
              <w:ind w:left="0"/>
              <w:rPr>
                <w:rFonts w:asciiTheme="majorHAnsi" w:eastAsia="Calibri" w:hAnsiTheme="majorHAnsi" w:cstheme="majorHAnsi"/>
                <w:sz w:val="18"/>
                <w:szCs w:val="18"/>
              </w:rPr>
            </w:pPr>
            <w:r w:rsidRPr="00A5362F">
              <w:rPr>
                <w:rFonts w:asciiTheme="majorHAnsi" w:eastAsia="Calibri" w:hAnsiTheme="majorHAnsi" w:cstheme="majorHAnsi"/>
                <w:sz w:val="18"/>
                <w:szCs w:val="18"/>
              </w:rPr>
              <w:t>Antalgic gait; pain; open toe orthopedic soft shoe; numbness medial side great toe near scar; marked TTP over swollen area at base of 2</w:t>
            </w:r>
            <w:r w:rsidRPr="00A5362F">
              <w:rPr>
                <w:rFonts w:asciiTheme="majorHAnsi" w:eastAsia="Calibri" w:hAnsiTheme="majorHAnsi" w:cstheme="majorHAnsi"/>
                <w:sz w:val="18"/>
                <w:szCs w:val="18"/>
                <w:vertAlign w:val="superscript"/>
              </w:rPr>
              <w:t>nd</w:t>
            </w:r>
            <w:r w:rsidRPr="00A5362F">
              <w:rPr>
                <w:rFonts w:asciiTheme="majorHAnsi" w:eastAsia="Calibri" w:hAnsiTheme="majorHAnsi" w:cstheme="majorHAnsi"/>
                <w:sz w:val="18"/>
                <w:szCs w:val="18"/>
              </w:rPr>
              <w:t>/3</w:t>
            </w:r>
            <w:r w:rsidRPr="00A5362F">
              <w:rPr>
                <w:rFonts w:asciiTheme="majorHAnsi" w:eastAsia="Calibri" w:hAnsiTheme="majorHAnsi" w:cstheme="majorHAnsi"/>
                <w:sz w:val="18"/>
                <w:szCs w:val="18"/>
                <w:vertAlign w:val="superscript"/>
              </w:rPr>
              <w:t>rd</w:t>
            </w:r>
            <w:r w:rsidRPr="00A5362F">
              <w:rPr>
                <w:rFonts w:asciiTheme="majorHAnsi" w:eastAsia="Calibri" w:hAnsiTheme="majorHAnsi" w:cstheme="majorHAnsi"/>
                <w:sz w:val="18"/>
                <w:szCs w:val="18"/>
              </w:rPr>
              <w:t xml:space="preserve"> toes extending 3cm onto dorsum of foot; pain with dorsiflexion/plantar flexion of 2</w:t>
            </w:r>
            <w:r w:rsidRPr="00A5362F">
              <w:rPr>
                <w:rFonts w:asciiTheme="majorHAnsi" w:eastAsia="Calibri" w:hAnsiTheme="majorHAnsi" w:cstheme="majorHAnsi"/>
                <w:sz w:val="18"/>
                <w:szCs w:val="18"/>
                <w:vertAlign w:val="superscript"/>
              </w:rPr>
              <w:t>nd</w:t>
            </w:r>
            <w:r w:rsidRPr="00A5362F">
              <w:rPr>
                <w:rFonts w:asciiTheme="majorHAnsi" w:eastAsia="Calibri" w:hAnsiTheme="majorHAnsi" w:cstheme="majorHAnsi"/>
                <w:sz w:val="18"/>
                <w:szCs w:val="18"/>
              </w:rPr>
              <w:t>/3</w:t>
            </w:r>
            <w:r w:rsidRPr="00A5362F">
              <w:rPr>
                <w:rFonts w:asciiTheme="majorHAnsi" w:eastAsia="Calibri" w:hAnsiTheme="majorHAnsi" w:cstheme="majorHAnsi"/>
                <w:sz w:val="18"/>
                <w:szCs w:val="18"/>
                <w:vertAlign w:val="superscript"/>
              </w:rPr>
              <w:t>rd</w:t>
            </w:r>
            <w:r w:rsidRPr="00A5362F">
              <w:rPr>
                <w:rFonts w:asciiTheme="majorHAnsi" w:eastAsia="Calibri" w:hAnsiTheme="majorHAnsi" w:cstheme="majorHAnsi"/>
                <w:sz w:val="18"/>
                <w:szCs w:val="18"/>
              </w:rPr>
              <w:t xml:space="preserve"> toes; </w:t>
            </w:r>
            <w:r w:rsidR="00B24BB5" w:rsidRPr="00A5362F">
              <w:rPr>
                <w:rFonts w:asciiTheme="majorHAnsi" w:eastAsia="Calibri" w:hAnsiTheme="majorHAnsi" w:cstheme="majorHAnsi"/>
                <w:sz w:val="18"/>
                <w:szCs w:val="18"/>
              </w:rPr>
              <w:t>diffuse swelling over central part of right forefoot; tenderness at dorsal aspect 2</w:t>
            </w:r>
            <w:r w:rsidR="00B24BB5" w:rsidRPr="00A5362F">
              <w:rPr>
                <w:rFonts w:asciiTheme="majorHAnsi" w:eastAsia="Calibri" w:hAnsiTheme="majorHAnsi" w:cstheme="majorHAnsi"/>
                <w:sz w:val="18"/>
                <w:szCs w:val="18"/>
                <w:vertAlign w:val="superscript"/>
              </w:rPr>
              <w:t>nd</w:t>
            </w:r>
            <w:r w:rsidR="00B24BB5" w:rsidRPr="00A5362F">
              <w:rPr>
                <w:rFonts w:asciiTheme="majorHAnsi" w:eastAsia="Calibri" w:hAnsiTheme="majorHAnsi" w:cstheme="majorHAnsi"/>
                <w:sz w:val="18"/>
                <w:szCs w:val="18"/>
              </w:rPr>
              <w:t xml:space="preserve"> metatarsal; tingling over scar on palpation</w:t>
            </w:r>
          </w:p>
        </w:tc>
      </w:tr>
      <w:tr w:rsidR="00BB6BAD" w:rsidRPr="00A5362F" w:rsidTr="00C90534">
        <w:trPr>
          <w:jc w:val="center"/>
        </w:trPr>
        <w:tc>
          <w:tcPr>
            <w:tcW w:w="1957" w:type="dxa"/>
            <w:tcBorders>
              <w:top w:val="single" w:sz="4" w:space="0" w:color="000000"/>
              <w:left w:val="single" w:sz="4" w:space="0" w:color="000000"/>
              <w:bottom w:val="single" w:sz="4" w:space="0" w:color="auto"/>
              <w:right w:val="single" w:sz="4" w:space="0" w:color="000000"/>
            </w:tcBorders>
            <w:vAlign w:val="center"/>
            <w:hideMark/>
          </w:tcPr>
          <w:p w:rsidR="00BB6BAD" w:rsidRPr="00A5362F" w:rsidRDefault="00BB6BAD" w:rsidP="00CB15B8">
            <w:pPr>
              <w:spacing w:line="180" w:lineRule="exact"/>
              <w:rPr>
                <w:rFonts w:asciiTheme="majorHAnsi" w:eastAsia="Calibri" w:hAnsiTheme="majorHAnsi" w:cstheme="majorHAnsi"/>
                <w:color w:val="auto"/>
                <w:sz w:val="18"/>
                <w:szCs w:val="18"/>
              </w:rPr>
            </w:pPr>
            <w:r w:rsidRPr="00A5362F">
              <w:rPr>
                <w:rFonts w:asciiTheme="majorHAnsi" w:eastAsia="Calibri" w:hAnsiTheme="majorHAnsi" w:cstheme="majorHAnsi"/>
                <w:color w:val="auto"/>
                <w:sz w:val="18"/>
                <w:szCs w:val="18"/>
              </w:rPr>
              <w:t>§4.71a Rating</w:t>
            </w:r>
          </w:p>
        </w:tc>
        <w:tc>
          <w:tcPr>
            <w:tcW w:w="2160" w:type="dxa"/>
            <w:tcBorders>
              <w:top w:val="single" w:sz="4" w:space="0" w:color="000000"/>
              <w:left w:val="single" w:sz="4" w:space="0" w:color="000000"/>
              <w:bottom w:val="single" w:sz="4" w:space="0" w:color="auto"/>
              <w:right w:val="single" w:sz="4" w:space="0" w:color="000000"/>
            </w:tcBorders>
            <w:vAlign w:val="center"/>
          </w:tcPr>
          <w:p w:rsidR="00BB6BAD" w:rsidRPr="00A5362F" w:rsidRDefault="00BB6BAD" w:rsidP="00CB15B8">
            <w:pPr>
              <w:pStyle w:val="ListParagraph"/>
              <w:spacing w:after="0" w:line="200" w:lineRule="exact"/>
              <w:ind w:left="0"/>
              <w:rPr>
                <w:rFonts w:asciiTheme="majorHAnsi" w:eastAsia="Calibri" w:hAnsiTheme="majorHAnsi" w:cstheme="majorHAnsi"/>
                <w:sz w:val="18"/>
                <w:szCs w:val="18"/>
              </w:rPr>
            </w:pPr>
            <w:r w:rsidRPr="00A5362F">
              <w:rPr>
                <w:rFonts w:asciiTheme="majorHAnsi" w:eastAsia="Calibri" w:hAnsiTheme="majorHAnsi" w:cstheme="majorHAnsi"/>
                <w:sz w:val="18"/>
                <w:szCs w:val="18"/>
              </w:rPr>
              <w:t>10%</w:t>
            </w:r>
          </w:p>
        </w:tc>
        <w:tc>
          <w:tcPr>
            <w:tcW w:w="2070" w:type="dxa"/>
            <w:tcBorders>
              <w:top w:val="single" w:sz="4" w:space="0" w:color="000000"/>
              <w:left w:val="single" w:sz="4" w:space="0" w:color="000000"/>
              <w:bottom w:val="single" w:sz="4" w:space="0" w:color="auto"/>
              <w:right w:val="single" w:sz="4" w:space="0" w:color="000000"/>
            </w:tcBorders>
            <w:vAlign w:val="center"/>
            <w:hideMark/>
          </w:tcPr>
          <w:p w:rsidR="00BB6BAD" w:rsidRPr="00A5362F" w:rsidRDefault="00BB6BAD" w:rsidP="00CB15B8">
            <w:pPr>
              <w:pStyle w:val="ListParagraph"/>
              <w:spacing w:after="0" w:line="200" w:lineRule="exact"/>
              <w:ind w:left="0"/>
              <w:rPr>
                <w:rFonts w:asciiTheme="majorHAnsi" w:eastAsia="Calibri" w:hAnsiTheme="majorHAnsi" w:cstheme="majorHAnsi"/>
                <w:sz w:val="18"/>
                <w:szCs w:val="18"/>
              </w:rPr>
            </w:pPr>
            <w:r w:rsidRPr="00A5362F">
              <w:rPr>
                <w:rFonts w:asciiTheme="majorHAnsi" w:eastAsia="Calibri" w:hAnsiTheme="majorHAnsi" w:cstheme="majorHAnsi"/>
                <w:sz w:val="18"/>
                <w:szCs w:val="18"/>
              </w:rPr>
              <w:t>10%</w:t>
            </w:r>
          </w:p>
        </w:tc>
        <w:tc>
          <w:tcPr>
            <w:tcW w:w="3060" w:type="dxa"/>
            <w:tcBorders>
              <w:top w:val="single" w:sz="4" w:space="0" w:color="000000"/>
              <w:left w:val="single" w:sz="4" w:space="0" w:color="000000"/>
              <w:bottom w:val="single" w:sz="4" w:space="0" w:color="auto"/>
              <w:right w:val="single" w:sz="4" w:space="0" w:color="000000"/>
            </w:tcBorders>
            <w:vAlign w:val="center"/>
            <w:hideMark/>
          </w:tcPr>
          <w:p w:rsidR="00BB6BAD" w:rsidRPr="00A5362F" w:rsidRDefault="00BB6BAD" w:rsidP="00CB15B8">
            <w:pPr>
              <w:pStyle w:val="ListParagraph"/>
              <w:spacing w:after="0" w:line="200" w:lineRule="exact"/>
              <w:ind w:left="0"/>
              <w:rPr>
                <w:rFonts w:asciiTheme="majorHAnsi" w:eastAsia="Calibri" w:hAnsiTheme="majorHAnsi" w:cstheme="majorHAnsi"/>
                <w:sz w:val="18"/>
                <w:szCs w:val="18"/>
              </w:rPr>
            </w:pPr>
            <w:r w:rsidRPr="00A5362F">
              <w:rPr>
                <w:rFonts w:asciiTheme="majorHAnsi" w:eastAsia="Calibri" w:hAnsiTheme="majorHAnsi" w:cstheme="majorHAnsi"/>
                <w:sz w:val="18"/>
                <w:szCs w:val="18"/>
              </w:rPr>
              <w:t>10%</w:t>
            </w:r>
          </w:p>
        </w:tc>
      </w:tr>
    </w:tbl>
    <w:p w:rsidR="00494159" w:rsidRPr="00A5362F" w:rsidRDefault="00494159" w:rsidP="0069687C">
      <w:pPr>
        <w:jc w:val="both"/>
        <w:rPr>
          <w:color w:val="auto"/>
          <w:szCs w:val="24"/>
        </w:rPr>
      </w:pPr>
    </w:p>
    <w:p w:rsidR="00CF0280" w:rsidRPr="00A5362F" w:rsidRDefault="00D3445C" w:rsidP="00CE3461">
      <w:pPr>
        <w:jc w:val="both"/>
        <w:rPr>
          <w:rFonts w:asciiTheme="majorHAnsi" w:eastAsia="Calibri" w:hAnsiTheme="majorHAnsi" w:cstheme="majorHAnsi"/>
          <w:color w:val="auto"/>
          <w:szCs w:val="24"/>
        </w:rPr>
      </w:pPr>
      <w:r w:rsidRPr="00A5362F">
        <w:rPr>
          <w:color w:val="auto"/>
          <w:szCs w:val="24"/>
        </w:rPr>
        <w:lastRenderedPageBreak/>
        <w:t xml:space="preserve">There chronic right foot pain condition was well documented in the service treatment </w:t>
      </w:r>
      <w:r w:rsidR="00E13EDD" w:rsidRPr="00A5362F">
        <w:rPr>
          <w:color w:val="auto"/>
          <w:szCs w:val="24"/>
        </w:rPr>
        <w:t>record (</w:t>
      </w:r>
      <w:r w:rsidRPr="00A5362F">
        <w:rPr>
          <w:color w:val="auto"/>
          <w:szCs w:val="24"/>
        </w:rPr>
        <w:t>STR) starting in December 2004</w:t>
      </w:r>
      <w:r w:rsidR="002E04B2">
        <w:rPr>
          <w:color w:val="auto"/>
          <w:szCs w:val="24"/>
        </w:rPr>
        <w:t xml:space="preserve">. </w:t>
      </w:r>
      <w:r w:rsidRPr="00A5362F">
        <w:rPr>
          <w:color w:val="auto"/>
          <w:szCs w:val="24"/>
        </w:rPr>
        <w:t xml:space="preserve"> </w:t>
      </w:r>
      <w:r w:rsidR="00D22B81" w:rsidRPr="00A5362F">
        <w:rPr>
          <w:color w:val="auto"/>
          <w:szCs w:val="24"/>
        </w:rPr>
        <w:t>In July 2005</w:t>
      </w:r>
      <w:r w:rsidR="00E0790C" w:rsidRPr="00A5362F">
        <w:rPr>
          <w:color w:val="auto"/>
          <w:szCs w:val="24"/>
        </w:rPr>
        <w:t xml:space="preserve"> t</w:t>
      </w:r>
      <w:r w:rsidR="00D22B81" w:rsidRPr="00A5362F">
        <w:rPr>
          <w:color w:val="auto"/>
          <w:szCs w:val="24"/>
        </w:rPr>
        <w:t xml:space="preserve">he CI </w:t>
      </w:r>
      <w:r w:rsidRPr="00A5362F">
        <w:rPr>
          <w:color w:val="auto"/>
          <w:szCs w:val="24"/>
        </w:rPr>
        <w:t xml:space="preserve">underwent </w:t>
      </w:r>
      <w:r w:rsidR="003B45D6" w:rsidRPr="00A5362F">
        <w:rPr>
          <w:color w:val="auto"/>
          <w:szCs w:val="24"/>
        </w:rPr>
        <w:t>right foot surgery (</w:t>
      </w:r>
      <w:proofErr w:type="spellStart"/>
      <w:r w:rsidR="00E0790C" w:rsidRPr="00A5362F">
        <w:rPr>
          <w:color w:val="auto"/>
          <w:szCs w:val="24"/>
        </w:rPr>
        <w:t>cheil</w:t>
      </w:r>
      <w:r w:rsidR="001B1F20" w:rsidRPr="00A5362F">
        <w:rPr>
          <w:color w:val="auto"/>
          <w:szCs w:val="24"/>
        </w:rPr>
        <w:t>i</w:t>
      </w:r>
      <w:r w:rsidR="00E0790C" w:rsidRPr="00A5362F">
        <w:rPr>
          <w:color w:val="auto"/>
          <w:szCs w:val="24"/>
        </w:rPr>
        <w:t>ectomy</w:t>
      </w:r>
      <w:proofErr w:type="spellEnd"/>
      <w:r w:rsidRPr="00A5362F">
        <w:rPr>
          <w:color w:val="auto"/>
          <w:szCs w:val="24"/>
        </w:rPr>
        <w:t xml:space="preserve"> with </w:t>
      </w:r>
      <w:r w:rsidR="00C9386B">
        <w:rPr>
          <w:color w:val="auto"/>
          <w:szCs w:val="24"/>
        </w:rPr>
        <w:t>first</w:t>
      </w:r>
      <w:r w:rsidR="001B1F20" w:rsidRPr="00A5362F">
        <w:rPr>
          <w:color w:val="auto"/>
          <w:szCs w:val="24"/>
        </w:rPr>
        <w:t xml:space="preserve"> metatarsal planta</w:t>
      </w:r>
      <w:r w:rsidRPr="00A5362F">
        <w:rPr>
          <w:color w:val="auto"/>
          <w:szCs w:val="24"/>
        </w:rPr>
        <w:t>r flexor osteotomy</w:t>
      </w:r>
      <w:r w:rsidR="003B45D6" w:rsidRPr="00A5362F">
        <w:rPr>
          <w:color w:val="auto"/>
          <w:szCs w:val="24"/>
        </w:rPr>
        <w:t>)</w:t>
      </w:r>
      <w:r w:rsidR="001B1F20" w:rsidRPr="00A5362F">
        <w:rPr>
          <w:color w:val="auto"/>
          <w:szCs w:val="24"/>
        </w:rPr>
        <w:t>.  Post</w:t>
      </w:r>
      <w:r w:rsidR="00C9386B">
        <w:rPr>
          <w:color w:val="auto"/>
          <w:szCs w:val="24"/>
        </w:rPr>
        <w:t>-</w:t>
      </w:r>
      <w:r w:rsidR="001B1F20" w:rsidRPr="00A5362F">
        <w:rPr>
          <w:color w:val="auto"/>
          <w:szCs w:val="24"/>
        </w:rPr>
        <w:t xml:space="preserve">operatively the CI </w:t>
      </w:r>
      <w:r w:rsidR="003B45D6" w:rsidRPr="00A5362F">
        <w:rPr>
          <w:color w:val="auto"/>
          <w:szCs w:val="24"/>
        </w:rPr>
        <w:t xml:space="preserve">continued with chronic pain and </w:t>
      </w:r>
      <w:r w:rsidR="007D44FE" w:rsidRPr="00A5362F">
        <w:rPr>
          <w:color w:val="auto"/>
          <w:szCs w:val="24"/>
        </w:rPr>
        <w:t>antalgic gait</w:t>
      </w:r>
      <w:r w:rsidR="003B45D6" w:rsidRPr="00A5362F">
        <w:rPr>
          <w:color w:val="auto"/>
          <w:szCs w:val="24"/>
        </w:rPr>
        <w:t xml:space="preserve">.  </w:t>
      </w:r>
      <w:r w:rsidR="007D44FE" w:rsidRPr="00A5362F">
        <w:rPr>
          <w:color w:val="auto"/>
          <w:szCs w:val="24"/>
        </w:rPr>
        <w:t xml:space="preserve">In July 2006, the CI underwent right foot hardware removal surgery due to </w:t>
      </w:r>
      <w:r w:rsidR="00B44E92" w:rsidRPr="00A5362F">
        <w:rPr>
          <w:color w:val="auto"/>
          <w:szCs w:val="24"/>
        </w:rPr>
        <w:t>complaints of pain at the hardware site; however</w:t>
      </w:r>
      <w:r w:rsidR="003B45D6" w:rsidRPr="00A5362F">
        <w:rPr>
          <w:color w:val="auto"/>
          <w:szCs w:val="24"/>
        </w:rPr>
        <w:t>,</w:t>
      </w:r>
      <w:r w:rsidR="00B44E92" w:rsidRPr="00A5362F">
        <w:rPr>
          <w:color w:val="auto"/>
          <w:szCs w:val="24"/>
        </w:rPr>
        <w:t xml:space="preserve"> sharp pain when walking still persisted.</w:t>
      </w:r>
      <w:r w:rsidRPr="00A5362F">
        <w:rPr>
          <w:color w:val="auto"/>
          <w:szCs w:val="24"/>
        </w:rPr>
        <w:t xml:space="preserve"> </w:t>
      </w:r>
      <w:r w:rsidR="003B45D6" w:rsidRPr="00A5362F">
        <w:rPr>
          <w:color w:val="auto"/>
          <w:szCs w:val="24"/>
        </w:rPr>
        <w:t xml:space="preserve"> </w:t>
      </w:r>
      <w:r w:rsidR="00B44E92" w:rsidRPr="00A5362F">
        <w:rPr>
          <w:color w:val="auto"/>
          <w:szCs w:val="24"/>
        </w:rPr>
        <w:t xml:space="preserve">In October 2006, the CI was given a permanent L3 profile for right foot pain (hallux limitus) with restrictions of no running or marching </w:t>
      </w:r>
      <w:r w:rsidR="003B45D6" w:rsidRPr="00A5362F">
        <w:rPr>
          <w:color w:val="auto"/>
          <w:szCs w:val="24"/>
        </w:rPr>
        <w:t>and</w:t>
      </w:r>
      <w:r w:rsidR="00B44E92" w:rsidRPr="00A5362F">
        <w:rPr>
          <w:color w:val="auto"/>
          <w:szCs w:val="24"/>
        </w:rPr>
        <w:t xml:space="preserve"> alternate shoes were allowed.</w:t>
      </w:r>
      <w:r w:rsidR="00BC1823" w:rsidRPr="00A5362F">
        <w:rPr>
          <w:color w:val="auto"/>
          <w:szCs w:val="24"/>
        </w:rPr>
        <w:t xml:space="preserve"> </w:t>
      </w:r>
      <w:r w:rsidR="00B44E92" w:rsidRPr="00A5362F">
        <w:rPr>
          <w:color w:val="auto"/>
          <w:szCs w:val="24"/>
        </w:rPr>
        <w:t xml:space="preserve"> The MEB examination </w:t>
      </w:r>
      <w:r w:rsidR="00993FC9">
        <w:rPr>
          <w:rFonts w:asciiTheme="majorHAnsi" w:eastAsia="Calibri" w:hAnsiTheme="majorHAnsi" w:cstheme="majorHAnsi"/>
          <w:color w:val="auto"/>
          <w:szCs w:val="24"/>
        </w:rPr>
        <w:t>6</w:t>
      </w:r>
      <w:r w:rsidR="00B44E92" w:rsidRPr="00A5362F">
        <w:rPr>
          <w:rFonts w:asciiTheme="majorHAnsi" w:eastAsia="Calibri" w:hAnsiTheme="majorHAnsi" w:cstheme="majorHAnsi"/>
          <w:color w:val="auto"/>
          <w:szCs w:val="24"/>
        </w:rPr>
        <w:t xml:space="preserve"> months prior to separation indicated </w:t>
      </w:r>
      <w:r w:rsidR="00B24BB5" w:rsidRPr="00A5362F">
        <w:rPr>
          <w:rFonts w:asciiTheme="majorHAnsi" w:eastAsia="Calibri" w:hAnsiTheme="majorHAnsi" w:cstheme="majorHAnsi"/>
          <w:color w:val="auto"/>
          <w:szCs w:val="24"/>
        </w:rPr>
        <w:t xml:space="preserve">constant pain in the right foot despite </w:t>
      </w:r>
      <w:r w:rsidR="00E13EDD" w:rsidRPr="00A5362F">
        <w:rPr>
          <w:rFonts w:asciiTheme="majorHAnsi" w:eastAsia="Calibri" w:hAnsiTheme="majorHAnsi" w:cstheme="majorHAnsi"/>
          <w:color w:val="auto"/>
          <w:szCs w:val="24"/>
        </w:rPr>
        <w:t>orthotics</w:t>
      </w:r>
      <w:r w:rsidR="003B45D6" w:rsidRPr="00A5362F">
        <w:rPr>
          <w:rFonts w:asciiTheme="majorHAnsi" w:eastAsia="Calibri" w:hAnsiTheme="majorHAnsi" w:cstheme="majorHAnsi"/>
          <w:color w:val="auto"/>
          <w:szCs w:val="24"/>
        </w:rPr>
        <w:t>; antalgic gait;</w:t>
      </w:r>
      <w:r w:rsidR="00B24BB5" w:rsidRPr="00A5362F">
        <w:rPr>
          <w:rFonts w:asciiTheme="majorHAnsi" w:eastAsia="Calibri" w:hAnsiTheme="majorHAnsi" w:cstheme="majorHAnsi"/>
          <w:color w:val="auto"/>
          <w:szCs w:val="24"/>
        </w:rPr>
        <w:t xml:space="preserve"> inability to walk normally altered gait to avoid flexing his forefoot, rotation of the foot outward; inability to run, ruck do push-ups or wear boots; the wearing of an open toe orthopedic soft shoe and the necessity of medication and “occasional foot massage by his wife because of morning pain and stiffness</w:t>
      </w:r>
      <w:r w:rsidR="003B45D6" w:rsidRPr="00A5362F">
        <w:rPr>
          <w:rFonts w:asciiTheme="majorHAnsi" w:eastAsia="Calibri" w:hAnsiTheme="majorHAnsi" w:cstheme="majorHAnsi"/>
          <w:color w:val="auto"/>
          <w:szCs w:val="24"/>
        </w:rPr>
        <w:t>.</w:t>
      </w:r>
      <w:r w:rsidR="00B24BB5" w:rsidRPr="00A5362F">
        <w:rPr>
          <w:rFonts w:asciiTheme="majorHAnsi" w:eastAsia="Calibri" w:hAnsiTheme="majorHAnsi" w:cstheme="majorHAnsi"/>
          <w:color w:val="auto"/>
          <w:szCs w:val="24"/>
        </w:rPr>
        <w:t>”</w:t>
      </w:r>
      <w:r w:rsidR="003B45D6" w:rsidRPr="00A5362F">
        <w:rPr>
          <w:rFonts w:asciiTheme="majorHAnsi" w:eastAsia="Calibri" w:hAnsiTheme="majorHAnsi" w:cstheme="majorHAnsi"/>
          <w:color w:val="auto"/>
          <w:szCs w:val="24"/>
        </w:rPr>
        <w:t xml:space="preserve">  </w:t>
      </w:r>
      <w:r w:rsidR="003D4975" w:rsidRPr="00A5362F">
        <w:rPr>
          <w:rFonts w:asciiTheme="majorHAnsi" w:eastAsia="Calibri" w:hAnsiTheme="majorHAnsi" w:cstheme="majorHAnsi"/>
          <w:color w:val="auto"/>
          <w:szCs w:val="24"/>
        </w:rPr>
        <w:t>X-ray</w:t>
      </w:r>
      <w:r w:rsidR="00993FC9">
        <w:rPr>
          <w:rFonts w:asciiTheme="majorHAnsi" w:eastAsia="Calibri" w:hAnsiTheme="majorHAnsi" w:cstheme="majorHAnsi"/>
          <w:color w:val="auto"/>
          <w:szCs w:val="24"/>
        </w:rPr>
        <w:t>s</w:t>
      </w:r>
      <w:r w:rsidR="003D4975" w:rsidRPr="00A5362F">
        <w:rPr>
          <w:rFonts w:asciiTheme="majorHAnsi" w:eastAsia="Calibri" w:hAnsiTheme="majorHAnsi" w:cstheme="majorHAnsi"/>
          <w:color w:val="auto"/>
          <w:szCs w:val="24"/>
        </w:rPr>
        <w:t xml:space="preserve"> indicated </w:t>
      </w:r>
      <w:proofErr w:type="spellStart"/>
      <w:r w:rsidR="0033141B" w:rsidRPr="00A5362F">
        <w:rPr>
          <w:rFonts w:asciiTheme="majorHAnsi" w:eastAsia="Calibri" w:hAnsiTheme="majorHAnsi" w:cstheme="majorHAnsi"/>
          <w:color w:val="auto"/>
          <w:szCs w:val="24"/>
        </w:rPr>
        <w:t>pes</w:t>
      </w:r>
      <w:proofErr w:type="spellEnd"/>
      <w:r w:rsidR="0033141B" w:rsidRPr="00A5362F">
        <w:rPr>
          <w:rFonts w:asciiTheme="majorHAnsi" w:eastAsia="Calibri" w:hAnsiTheme="majorHAnsi" w:cstheme="majorHAnsi"/>
          <w:color w:val="auto"/>
          <w:szCs w:val="24"/>
        </w:rPr>
        <w:t xml:space="preserve"> </w:t>
      </w:r>
      <w:proofErr w:type="spellStart"/>
      <w:r w:rsidR="0033141B" w:rsidRPr="00A5362F">
        <w:rPr>
          <w:rFonts w:asciiTheme="majorHAnsi" w:eastAsia="Calibri" w:hAnsiTheme="majorHAnsi" w:cstheme="majorHAnsi"/>
          <w:color w:val="auto"/>
          <w:szCs w:val="24"/>
        </w:rPr>
        <w:t>planus</w:t>
      </w:r>
      <w:proofErr w:type="spellEnd"/>
      <w:r w:rsidR="0033141B" w:rsidRPr="00A5362F">
        <w:rPr>
          <w:rFonts w:asciiTheme="majorHAnsi" w:eastAsia="Calibri" w:hAnsiTheme="majorHAnsi" w:cstheme="majorHAnsi"/>
          <w:color w:val="auto"/>
          <w:szCs w:val="24"/>
        </w:rPr>
        <w:t xml:space="preserve"> and results of bunionectomy.</w:t>
      </w:r>
      <w:r w:rsidR="003D4975" w:rsidRPr="00A5362F">
        <w:rPr>
          <w:rFonts w:asciiTheme="majorHAnsi" w:eastAsia="Calibri" w:hAnsiTheme="majorHAnsi" w:cstheme="majorHAnsi"/>
          <w:color w:val="auto"/>
          <w:sz w:val="18"/>
          <w:szCs w:val="18"/>
        </w:rPr>
        <w:t xml:space="preserve">  </w:t>
      </w:r>
      <w:r w:rsidR="003B45D6" w:rsidRPr="00A5362F">
        <w:rPr>
          <w:rFonts w:asciiTheme="majorHAnsi" w:eastAsia="Calibri" w:hAnsiTheme="majorHAnsi" w:cstheme="majorHAnsi"/>
          <w:color w:val="auto"/>
          <w:szCs w:val="24"/>
        </w:rPr>
        <w:t>The exam is summarized above</w:t>
      </w:r>
      <w:r w:rsidR="003D4975" w:rsidRPr="00A5362F">
        <w:rPr>
          <w:rFonts w:asciiTheme="majorHAnsi" w:eastAsia="Calibri" w:hAnsiTheme="majorHAnsi" w:cstheme="majorHAnsi"/>
          <w:color w:val="auto"/>
          <w:szCs w:val="24"/>
        </w:rPr>
        <w:t xml:space="preserve"> and was accomplished </w:t>
      </w:r>
      <w:r w:rsidR="00993FC9">
        <w:rPr>
          <w:rFonts w:asciiTheme="majorHAnsi" w:eastAsia="Calibri" w:hAnsiTheme="majorHAnsi" w:cstheme="majorHAnsi"/>
          <w:color w:val="auto"/>
          <w:szCs w:val="24"/>
        </w:rPr>
        <w:t>3</w:t>
      </w:r>
      <w:r w:rsidR="003D4975" w:rsidRPr="00A5362F">
        <w:rPr>
          <w:rFonts w:asciiTheme="majorHAnsi" w:eastAsia="Calibri" w:hAnsiTheme="majorHAnsi" w:cstheme="majorHAnsi"/>
          <w:color w:val="auto"/>
          <w:szCs w:val="24"/>
        </w:rPr>
        <w:t xml:space="preserve"> months following surgical removal of hardware</w:t>
      </w:r>
      <w:r w:rsidR="003B45D6" w:rsidRPr="00A5362F">
        <w:rPr>
          <w:rFonts w:asciiTheme="majorHAnsi" w:eastAsia="Calibri" w:hAnsiTheme="majorHAnsi" w:cstheme="majorHAnsi"/>
          <w:color w:val="auto"/>
          <w:szCs w:val="24"/>
        </w:rPr>
        <w:t xml:space="preserve">. </w:t>
      </w:r>
      <w:r w:rsidR="0033141B" w:rsidRPr="00A5362F">
        <w:rPr>
          <w:rFonts w:asciiTheme="majorHAnsi" w:eastAsia="Calibri" w:hAnsiTheme="majorHAnsi" w:cstheme="majorHAnsi"/>
          <w:color w:val="auto"/>
          <w:szCs w:val="24"/>
        </w:rPr>
        <w:t xml:space="preserve"> </w:t>
      </w:r>
    </w:p>
    <w:p w:rsidR="00BC1823" w:rsidRPr="00A5362F" w:rsidRDefault="00BC1823" w:rsidP="00CE3461">
      <w:pPr>
        <w:jc w:val="both"/>
        <w:rPr>
          <w:rFonts w:asciiTheme="majorHAnsi" w:eastAsia="Calibri" w:hAnsiTheme="majorHAnsi" w:cstheme="majorHAnsi"/>
          <w:color w:val="auto"/>
          <w:szCs w:val="24"/>
        </w:rPr>
      </w:pPr>
    </w:p>
    <w:p w:rsidR="00BC1823" w:rsidRPr="00A5362F" w:rsidRDefault="00BC1823" w:rsidP="003B45D6">
      <w:pPr>
        <w:jc w:val="both"/>
        <w:rPr>
          <w:rFonts w:asciiTheme="majorHAnsi" w:eastAsia="Calibri" w:hAnsiTheme="majorHAnsi" w:cstheme="majorHAnsi"/>
          <w:color w:val="auto"/>
          <w:szCs w:val="24"/>
        </w:rPr>
      </w:pPr>
      <w:r w:rsidRPr="00A5362F">
        <w:rPr>
          <w:rFonts w:asciiTheme="majorHAnsi" w:eastAsia="Calibri" w:hAnsiTheme="majorHAnsi" w:cstheme="majorHAnsi"/>
          <w:color w:val="auto"/>
          <w:szCs w:val="24"/>
        </w:rPr>
        <w:t>The VA C&amp;P exam is missing and numerous attempts to obtain this exam were unsuccessful.</w:t>
      </w:r>
      <w:r w:rsidR="003B45D6" w:rsidRPr="00A5362F">
        <w:rPr>
          <w:rFonts w:asciiTheme="majorHAnsi" w:eastAsia="Calibri" w:hAnsiTheme="majorHAnsi" w:cstheme="majorHAnsi"/>
          <w:color w:val="auto"/>
          <w:szCs w:val="24"/>
        </w:rPr>
        <w:t xml:space="preserve"> </w:t>
      </w:r>
      <w:r w:rsidR="002E04B2">
        <w:rPr>
          <w:rFonts w:asciiTheme="majorHAnsi" w:eastAsia="Calibri" w:hAnsiTheme="majorHAnsi" w:cstheme="majorHAnsi"/>
          <w:color w:val="auto"/>
          <w:szCs w:val="24"/>
        </w:rPr>
        <w:t xml:space="preserve"> </w:t>
      </w:r>
      <w:r w:rsidR="003B45D6" w:rsidRPr="00A5362F">
        <w:rPr>
          <w:rFonts w:asciiTheme="majorHAnsi" w:eastAsia="Calibri" w:hAnsiTheme="majorHAnsi" w:cstheme="majorHAnsi"/>
          <w:color w:val="auto"/>
          <w:szCs w:val="24"/>
        </w:rPr>
        <w:t xml:space="preserve">However, the VARD summarized the VA exam from </w:t>
      </w:r>
      <w:r w:rsidR="00993FC9">
        <w:rPr>
          <w:rFonts w:asciiTheme="majorHAnsi" w:eastAsia="Calibri" w:hAnsiTheme="majorHAnsi" w:cstheme="majorHAnsi"/>
          <w:color w:val="auto"/>
          <w:szCs w:val="24"/>
        </w:rPr>
        <w:t>2</w:t>
      </w:r>
      <w:r w:rsidR="003B45D6" w:rsidRPr="00A5362F">
        <w:rPr>
          <w:rFonts w:asciiTheme="majorHAnsi" w:eastAsia="Calibri" w:hAnsiTheme="majorHAnsi" w:cstheme="majorHAnsi"/>
          <w:color w:val="auto"/>
          <w:szCs w:val="24"/>
        </w:rPr>
        <w:t xml:space="preserve"> months </w:t>
      </w:r>
      <w:r w:rsidR="00993FC9">
        <w:rPr>
          <w:rFonts w:asciiTheme="majorHAnsi" w:eastAsia="Calibri" w:hAnsiTheme="majorHAnsi" w:cstheme="majorHAnsi"/>
          <w:color w:val="auto"/>
          <w:szCs w:val="24"/>
        </w:rPr>
        <w:t xml:space="preserve">prior to </w:t>
      </w:r>
      <w:r w:rsidR="003B45D6" w:rsidRPr="00A5362F">
        <w:rPr>
          <w:rFonts w:asciiTheme="majorHAnsi" w:eastAsia="Calibri" w:hAnsiTheme="majorHAnsi" w:cstheme="majorHAnsi"/>
          <w:color w:val="auto"/>
          <w:szCs w:val="24"/>
        </w:rPr>
        <w:t xml:space="preserve">separation, stating:  “VA examination of your feet and toes did not reveal any signs of painful motion, edema, disturbed circulation, weakness, atrophy of musculature, or tenderness.  Arches were low.  Palpation of the plantar surface did not reveal any tenderness, and the Achilles tendons showed good alignment.  There was no evidence of claw feet or hammertoes.  Flexion and dorsiflexion of the toes did not induce pain, and there was no evidence of Morton's metatarsalgia.  The examiner noted that you do not require and do not use any type of corrective shoe wear.  X-rays of your right foot revealed a pes planus deformity.”  </w:t>
      </w:r>
    </w:p>
    <w:p w:rsidR="00C80E6A" w:rsidRPr="00A5362F" w:rsidRDefault="00C80E6A" w:rsidP="00CE3461">
      <w:pPr>
        <w:jc w:val="both"/>
        <w:rPr>
          <w:rFonts w:asciiTheme="majorHAnsi" w:eastAsia="Calibri" w:hAnsiTheme="majorHAnsi" w:cstheme="majorHAnsi"/>
          <w:color w:val="auto"/>
          <w:szCs w:val="24"/>
        </w:rPr>
      </w:pPr>
    </w:p>
    <w:p w:rsidR="00760724" w:rsidRPr="00A5362F" w:rsidRDefault="00AD2379" w:rsidP="00CE3461">
      <w:pPr>
        <w:jc w:val="both"/>
        <w:rPr>
          <w:rFonts w:eastAsia="Calibri" w:cs="Times New Roman"/>
          <w:color w:val="auto"/>
          <w:szCs w:val="24"/>
        </w:rPr>
      </w:pPr>
      <w:r w:rsidRPr="00A5362F">
        <w:rPr>
          <w:rFonts w:cs="Times New Roman"/>
          <w:color w:val="auto"/>
          <w:szCs w:val="24"/>
        </w:rPr>
        <w:t>The Board directs attenti</w:t>
      </w:r>
      <w:r w:rsidR="00782CC1" w:rsidRPr="00A5362F">
        <w:rPr>
          <w:rFonts w:cs="Times New Roman"/>
          <w:color w:val="auto"/>
          <w:szCs w:val="24"/>
        </w:rPr>
        <w:t>on to its rating recommendation</w:t>
      </w:r>
      <w:r w:rsidRPr="00A5362F">
        <w:rPr>
          <w:rFonts w:cs="Times New Roman"/>
          <w:color w:val="auto"/>
          <w:szCs w:val="24"/>
        </w:rPr>
        <w:t xml:space="preserve"> </w:t>
      </w:r>
      <w:r w:rsidR="00B13A51" w:rsidRPr="00A5362F">
        <w:rPr>
          <w:rFonts w:cs="Times New Roman"/>
          <w:color w:val="auto"/>
          <w:szCs w:val="24"/>
        </w:rPr>
        <w:t>based on the above evidence</w:t>
      </w:r>
      <w:r w:rsidRPr="00A5362F">
        <w:rPr>
          <w:rFonts w:cs="Times New Roman"/>
          <w:color w:val="auto"/>
          <w:szCs w:val="24"/>
        </w:rPr>
        <w:t>.</w:t>
      </w:r>
      <w:r w:rsidR="00165C7B" w:rsidRPr="00A5362F">
        <w:rPr>
          <w:rFonts w:cs="Times New Roman"/>
          <w:color w:val="auto"/>
          <w:szCs w:val="24"/>
        </w:rPr>
        <w:t xml:space="preserve">  </w:t>
      </w:r>
      <w:r w:rsidR="00A52A6F" w:rsidRPr="00A5362F">
        <w:rPr>
          <w:rFonts w:cs="Times New Roman"/>
          <w:color w:val="auto"/>
          <w:szCs w:val="24"/>
        </w:rPr>
        <w:t xml:space="preserve">The PEB </w:t>
      </w:r>
      <w:r w:rsidR="00184710" w:rsidRPr="00A5362F">
        <w:rPr>
          <w:rFonts w:cs="Times New Roman"/>
          <w:color w:val="auto"/>
          <w:szCs w:val="24"/>
        </w:rPr>
        <w:t xml:space="preserve">and the VA </w:t>
      </w:r>
      <w:r w:rsidR="00A52A6F" w:rsidRPr="00A5362F">
        <w:rPr>
          <w:rFonts w:cs="Times New Roman"/>
          <w:color w:val="auto"/>
          <w:szCs w:val="24"/>
        </w:rPr>
        <w:t xml:space="preserve">coded the </w:t>
      </w:r>
      <w:r w:rsidR="00B65A87" w:rsidRPr="00A5362F">
        <w:rPr>
          <w:rFonts w:cs="Times New Roman"/>
          <w:color w:val="auto"/>
          <w:szCs w:val="24"/>
        </w:rPr>
        <w:t xml:space="preserve">chronic right foot condition as </w:t>
      </w:r>
      <w:r w:rsidR="00C40C25">
        <w:rPr>
          <w:rFonts w:cs="Times New Roman"/>
          <w:color w:val="auto"/>
          <w:szCs w:val="24"/>
        </w:rPr>
        <w:t xml:space="preserve">VASRD code </w:t>
      </w:r>
      <w:r w:rsidR="00B65A87" w:rsidRPr="00A5362F">
        <w:rPr>
          <w:rFonts w:cs="Times New Roman"/>
          <w:color w:val="auto"/>
          <w:szCs w:val="24"/>
        </w:rPr>
        <w:t xml:space="preserve">5280 </w:t>
      </w:r>
      <w:proofErr w:type="spellStart"/>
      <w:r w:rsidR="00184710" w:rsidRPr="00A5362F">
        <w:rPr>
          <w:rFonts w:asciiTheme="majorHAnsi" w:hAnsiTheme="majorHAnsi" w:cstheme="majorHAnsi"/>
          <w:color w:val="auto"/>
          <w:szCs w:val="24"/>
        </w:rPr>
        <w:t>Hallux</w:t>
      </w:r>
      <w:proofErr w:type="spellEnd"/>
      <w:r w:rsidR="00184710" w:rsidRPr="00A5362F">
        <w:rPr>
          <w:rFonts w:asciiTheme="majorHAnsi" w:hAnsiTheme="majorHAnsi" w:cstheme="majorHAnsi"/>
          <w:color w:val="auto"/>
          <w:szCs w:val="24"/>
        </w:rPr>
        <w:t xml:space="preserve"> </w:t>
      </w:r>
      <w:proofErr w:type="spellStart"/>
      <w:r w:rsidR="00184710" w:rsidRPr="00A5362F">
        <w:rPr>
          <w:rFonts w:asciiTheme="majorHAnsi" w:hAnsiTheme="majorHAnsi" w:cstheme="majorHAnsi"/>
          <w:color w:val="auto"/>
          <w:szCs w:val="24"/>
        </w:rPr>
        <w:t>valgus</w:t>
      </w:r>
      <w:proofErr w:type="spellEnd"/>
      <w:r w:rsidR="00184710" w:rsidRPr="00A5362F">
        <w:rPr>
          <w:rFonts w:asciiTheme="majorHAnsi" w:hAnsiTheme="majorHAnsi" w:cstheme="majorHAnsi"/>
          <w:color w:val="auto"/>
          <w:szCs w:val="24"/>
        </w:rPr>
        <w:t>, unilateral</w:t>
      </w:r>
      <w:r w:rsidR="00203E08">
        <w:rPr>
          <w:rFonts w:asciiTheme="majorHAnsi" w:hAnsiTheme="majorHAnsi" w:cstheme="majorHAnsi"/>
          <w:color w:val="auto"/>
          <w:szCs w:val="24"/>
        </w:rPr>
        <w:t>, a</w:t>
      </w:r>
      <w:r w:rsidR="00184710" w:rsidRPr="00A5362F">
        <w:rPr>
          <w:rFonts w:asciiTheme="majorHAnsi" w:hAnsiTheme="majorHAnsi" w:cstheme="majorHAnsi"/>
          <w:color w:val="auto"/>
          <w:szCs w:val="24"/>
        </w:rPr>
        <w:t xml:space="preserve">nd rated 10%.  </w:t>
      </w:r>
      <w:r w:rsidR="003D4975" w:rsidRPr="00A5362F">
        <w:rPr>
          <w:rFonts w:eastAsia="Calibri" w:cs="Times New Roman"/>
          <w:color w:val="auto"/>
          <w:szCs w:val="24"/>
        </w:rPr>
        <w:t>All exams supported a 10% rating</w:t>
      </w:r>
      <w:r w:rsidR="00932B85" w:rsidRPr="00A5362F">
        <w:rPr>
          <w:rFonts w:eastAsia="Calibri" w:cs="Times New Roman"/>
          <w:color w:val="auto"/>
          <w:szCs w:val="24"/>
        </w:rPr>
        <w:t xml:space="preserve">.  </w:t>
      </w:r>
      <w:r w:rsidR="00760724" w:rsidRPr="00A5362F">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 right foot condition.</w:t>
      </w:r>
      <w:r w:rsidR="003D4975" w:rsidRPr="00A5362F">
        <w:rPr>
          <w:rFonts w:eastAsia="Calibri" w:cs="Times New Roman"/>
          <w:color w:val="auto"/>
          <w:szCs w:val="24"/>
        </w:rPr>
        <w:t xml:space="preserve">  </w:t>
      </w:r>
    </w:p>
    <w:p w:rsidR="00184710" w:rsidRPr="00A5362F" w:rsidRDefault="00184710" w:rsidP="00CE3461">
      <w:pPr>
        <w:tabs>
          <w:tab w:val="left" w:pos="288"/>
          <w:tab w:val="left" w:pos="4752"/>
        </w:tabs>
        <w:jc w:val="both"/>
        <w:rPr>
          <w:rFonts w:asciiTheme="majorHAnsi" w:hAnsiTheme="majorHAnsi" w:cstheme="majorHAnsi"/>
          <w:color w:val="auto"/>
          <w:szCs w:val="24"/>
        </w:rPr>
      </w:pPr>
    </w:p>
    <w:p w:rsidR="009F0E01" w:rsidRPr="00A5362F" w:rsidRDefault="006B690F" w:rsidP="002E04B2">
      <w:pPr>
        <w:jc w:val="both"/>
        <w:rPr>
          <w:rFonts w:eastAsia="Calibri" w:cs="Times New Roman"/>
          <w:color w:val="auto"/>
          <w:szCs w:val="24"/>
        </w:rPr>
      </w:pPr>
      <w:r w:rsidRPr="00A5362F">
        <w:rPr>
          <w:rFonts w:eastAsia="HiddenHorzOCR"/>
          <w:color w:val="auto"/>
          <w:u w:val="single"/>
        </w:rPr>
        <w:t xml:space="preserve">Contended </w:t>
      </w:r>
      <w:r w:rsidR="00AD2379" w:rsidRPr="00A5362F">
        <w:rPr>
          <w:rFonts w:eastAsia="HiddenHorzOCR"/>
          <w:color w:val="auto"/>
          <w:u w:val="single"/>
        </w:rPr>
        <w:t>PEB Conditions</w:t>
      </w:r>
      <w:r w:rsidR="00AD2379" w:rsidRPr="00A5362F">
        <w:rPr>
          <w:rFonts w:eastAsia="HiddenHorzOCR"/>
          <w:color w:val="auto"/>
        </w:rPr>
        <w:t>.</w:t>
      </w:r>
      <w:r w:rsidR="0001281C" w:rsidRPr="00A5362F">
        <w:rPr>
          <w:rFonts w:eastAsia="HiddenHorzOCR"/>
          <w:color w:val="auto"/>
        </w:rPr>
        <w:t xml:space="preserve">  </w:t>
      </w:r>
      <w:r w:rsidR="003863E9" w:rsidRPr="00A5362F">
        <w:rPr>
          <w:rFonts w:eastAsia="Calibri" w:cs="Times New Roman"/>
          <w:color w:val="auto"/>
          <w:szCs w:val="24"/>
        </w:rPr>
        <w:t xml:space="preserve">The contended conditions </w:t>
      </w:r>
      <w:r w:rsidR="0033141B" w:rsidRPr="00A5362F">
        <w:rPr>
          <w:rFonts w:eastAsia="Calibri" w:cs="Times New Roman"/>
          <w:color w:val="auto"/>
          <w:szCs w:val="24"/>
        </w:rPr>
        <w:t>related to the unfitting right foot pain condition were</w:t>
      </w:r>
      <w:r w:rsidR="00760724" w:rsidRPr="00A5362F">
        <w:rPr>
          <w:rFonts w:eastAsia="Calibri" w:cs="Times New Roman"/>
          <w:color w:val="auto"/>
          <w:szCs w:val="24"/>
        </w:rPr>
        <w:t xml:space="preserve"> </w:t>
      </w:r>
      <w:proofErr w:type="spellStart"/>
      <w:r w:rsidR="00C9386B">
        <w:rPr>
          <w:rFonts w:eastAsia="Calibri" w:cs="Times New Roman"/>
          <w:color w:val="auto"/>
          <w:szCs w:val="24"/>
        </w:rPr>
        <w:t>p</w:t>
      </w:r>
      <w:r w:rsidR="00760724" w:rsidRPr="00A5362F">
        <w:rPr>
          <w:rFonts w:eastAsia="Calibri" w:cs="Times New Roman"/>
          <w:color w:val="auto"/>
          <w:szCs w:val="24"/>
        </w:rPr>
        <w:t>es</w:t>
      </w:r>
      <w:proofErr w:type="spellEnd"/>
      <w:r w:rsidR="00760724" w:rsidRPr="00A5362F">
        <w:rPr>
          <w:rFonts w:eastAsia="Calibri" w:cs="Times New Roman"/>
          <w:color w:val="auto"/>
          <w:szCs w:val="24"/>
        </w:rPr>
        <w:t xml:space="preserve"> </w:t>
      </w:r>
      <w:proofErr w:type="spellStart"/>
      <w:r w:rsidR="00C9386B">
        <w:rPr>
          <w:rFonts w:eastAsia="Calibri" w:cs="Times New Roman"/>
          <w:color w:val="auto"/>
          <w:szCs w:val="24"/>
        </w:rPr>
        <w:t>p</w:t>
      </w:r>
      <w:r w:rsidR="00760724" w:rsidRPr="00A5362F">
        <w:rPr>
          <w:rFonts w:eastAsia="Calibri" w:cs="Times New Roman"/>
          <w:color w:val="auto"/>
          <w:szCs w:val="24"/>
        </w:rPr>
        <w:t>lanus</w:t>
      </w:r>
      <w:proofErr w:type="spellEnd"/>
      <w:r w:rsidR="00760724" w:rsidRPr="00A5362F">
        <w:rPr>
          <w:rFonts w:eastAsia="Calibri" w:cs="Times New Roman"/>
          <w:color w:val="auto"/>
          <w:szCs w:val="24"/>
        </w:rPr>
        <w:t xml:space="preserve"> and </w:t>
      </w:r>
      <w:r w:rsidR="00C40C25">
        <w:rPr>
          <w:rFonts w:eastAsia="Calibri" w:cs="Times New Roman"/>
          <w:color w:val="auto"/>
          <w:szCs w:val="24"/>
        </w:rPr>
        <w:t>s</w:t>
      </w:r>
      <w:r w:rsidR="00760724" w:rsidRPr="00A5362F">
        <w:rPr>
          <w:rFonts w:eastAsia="Calibri" w:cs="Times New Roman"/>
          <w:color w:val="auto"/>
          <w:szCs w:val="24"/>
        </w:rPr>
        <w:t xml:space="preserve">evere </w:t>
      </w:r>
      <w:proofErr w:type="spellStart"/>
      <w:r w:rsidR="00C9386B">
        <w:rPr>
          <w:rFonts w:eastAsia="Calibri" w:cs="Times New Roman"/>
          <w:color w:val="auto"/>
          <w:szCs w:val="24"/>
        </w:rPr>
        <w:t>h</w:t>
      </w:r>
      <w:r w:rsidR="00760724" w:rsidRPr="00A5362F">
        <w:rPr>
          <w:rFonts w:eastAsia="Calibri" w:cs="Times New Roman"/>
          <w:color w:val="auto"/>
          <w:szCs w:val="24"/>
        </w:rPr>
        <w:t>allux</w:t>
      </w:r>
      <w:proofErr w:type="spellEnd"/>
      <w:r w:rsidR="00760724" w:rsidRPr="00A5362F">
        <w:rPr>
          <w:rFonts w:eastAsia="Calibri" w:cs="Times New Roman"/>
          <w:color w:val="auto"/>
          <w:szCs w:val="24"/>
        </w:rPr>
        <w:t xml:space="preserve"> </w:t>
      </w:r>
      <w:proofErr w:type="spellStart"/>
      <w:r w:rsidR="00C9386B">
        <w:rPr>
          <w:rFonts w:eastAsia="Calibri" w:cs="Times New Roman"/>
          <w:color w:val="auto"/>
          <w:szCs w:val="24"/>
        </w:rPr>
        <w:t>v</w:t>
      </w:r>
      <w:r w:rsidR="00760724" w:rsidRPr="00A5362F">
        <w:rPr>
          <w:rFonts w:eastAsia="Calibri" w:cs="Times New Roman"/>
          <w:color w:val="auto"/>
          <w:szCs w:val="24"/>
        </w:rPr>
        <w:t>algus</w:t>
      </w:r>
      <w:proofErr w:type="spellEnd"/>
      <w:r w:rsidR="00951FDA" w:rsidRPr="00A5362F">
        <w:rPr>
          <w:rFonts w:eastAsia="Calibri" w:cs="Times New Roman"/>
          <w:color w:val="auto"/>
          <w:szCs w:val="24"/>
        </w:rPr>
        <w:t xml:space="preserve"> (</w:t>
      </w:r>
      <w:proofErr w:type="spellStart"/>
      <w:r w:rsidR="00951FDA" w:rsidRPr="00A5362F">
        <w:rPr>
          <w:rFonts w:eastAsia="Calibri" w:cs="Times New Roman"/>
          <w:color w:val="auto"/>
          <w:szCs w:val="24"/>
        </w:rPr>
        <w:t>hallux</w:t>
      </w:r>
      <w:proofErr w:type="spellEnd"/>
      <w:r w:rsidR="00951FDA" w:rsidRPr="00A5362F">
        <w:rPr>
          <w:rFonts w:eastAsia="Calibri" w:cs="Times New Roman"/>
          <w:color w:val="auto"/>
          <w:szCs w:val="24"/>
        </w:rPr>
        <w:t xml:space="preserve"> </w:t>
      </w:r>
      <w:proofErr w:type="spellStart"/>
      <w:r w:rsidR="00951FDA" w:rsidRPr="00A5362F">
        <w:rPr>
          <w:rFonts w:eastAsia="Calibri" w:cs="Times New Roman"/>
          <w:color w:val="auto"/>
          <w:szCs w:val="24"/>
        </w:rPr>
        <w:t>limitus</w:t>
      </w:r>
      <w:proofErr w:type="spellEnd"/>
      <w:r w:rsidR="00951FDA" w:rsidRPr="00A5362F">
        <w:rPr>
          <w:rFonts w:eastAsia="Calibri" w:cs="Times New Roman"/>
          <w:color w:val="auto"/>
          <w:szCs w:val="24"/>
        </w:rPr>
        <w:t>)</w:t>
      </w:r>
      <w:r w:rsidR="00760724" w:rsidRPr="00A5362F">
        <w:rPr>
          <w:rFonts w:eastAsia="Calibri" w:cs="Times New Roman"/>
          <w:color w:val="auto"/>
          <w:szCs w:val="24"/>
        </w:rPr>
        <w:t>.</w:t>
      </w:r>
      <w:r w:rsidR="00BC1823" w:rsidRPr="00A5362F">
        <w:rPr>
          <w:rFonts w:eastAsia="Calibri" w:cs="Times New Roman"/>
          <w:color w:val="auto"/>
          <w:szCs w:val="24"/>
        </w:rPr>
        <w:t xml:space="preserve">  </w:t>
      </w:r>
      <w:r w:rsidR="009F0E01" w:rsidRPr="00A5362F">
        <w:rPr>
          <w:rFonts w:eastAsia="Calibri" w:cs="Times New Roman"/>
          <w:color w:val="auto"/>
          <w:szCs w:val="24"/>
        </w:rPr>
        <w:t xml:space="preserve">The </w:t>
      </w:r>
      <w:r w:rsidR="00951FDA" w:rsidRPr="00A5362F">
        <w:rPr>
          <w:rFonts w:eastAsia="Calibri" w:cs="Times New Roman"/>
          <w:color w:val="auto"/>
          <w:szCs w:val="24"/>
        </w:rPr>
        <w:t xml:space="preserve">right </w:t>
      </w:r>
      <w:proofErr w:type="spellStart"/>
      <w:r w:rsidR="00C9386B">
        <w:rPr>
          <w:rFonts w:eastAsia="Calibri" w:cs="Times New Roman"/>
          <w:color w:val="auto"/>
          <w:szCs w:val="24"/>
        </w:rPr>
        <w:t>h</w:t>
      </w:r>
      <w:r w:rsidR="009F0E01" w:rsidRPr="00A5362F">
        <w:rPr>
          <w:rFonts w:eastAsia="Calibri" w:cs="Times New Roman"/>
          <w:color w:val="auto"/>
          <w:szCs w:val="24"/>
        </w:rPr>
        <w:t>allux</w:t>
      </w:r>
      <w:proofErr w:type="spellEnd"/>
      <w:r w:rsidR="009F0E01" w:rsidRPr="00A5362F">
        <w:rPr>
          <w:rFonts w:eastAsia="Calibri" w:cs="Times New Roman"/>
          <w:color w:val="auto"/>
          <w:szCs w:val="24"/>
        </w:rPr>
        <w:t xml:space="preserve"> </w:t>
      </w:r>
      <w:proofErr w:type="spellStart"/>
      <w:r w:rsidR="00C9386B">
        <w:rPr>
          <w:rFonts w:eastAsia="Calibri" w:cs="Times New Roman"/>
          <w:color w:val="auto"/>
          <w:szCs w:val="24"/>
        </w:rPr>
        <w:t>v</w:t>
      </w:r>
      <w:r w:rsidR="009F0E01" w:rsidRPr="00A5362F">
        <w:rPr>
          <w:rFonts w:eastAsia="Calibri" w:cs="Times New Roman"/>
          <w:color w:val="auto"/>
          <w:szCs w:val="24"/>
        </w:rPr>
        <w:t>algus</w:t>
      </w:r>
      <w:proofErr w:type="spellEnd"/>
      <w:r w:rsidR="00951FDA" w:rsidRPr="00A5362F">
        <w:rPr>
          <w:rFonts w:eastAsia="Calibri" w:cs="Times New Roman"/>
          <w:color w:val="auto"/>
          <w:szCs w:val="24"/>
        </w:rPr>
        <w:t>/</w:t>
      </w:r>
      <w:proofErr w:type="spellStart"/>
      <w:r w:rsidR="00951FDA" w:rsidRPr="00A5362F">
        <w:rPr>
          <w:rFonts w:eastAsia="Calibri" w:cs="Times New Roman"/>
          <w:color w:val="auto"/>
          <w:szCs w:val="24"/>
        </w:rPr>
        <w:t>limitus</w:t>
      </w:r>
      <w:proofErr w:type="spellEnd"/>
      <w:r w:rsidR="009F0E01" w:rsidRPr="00A5362F">
        <w:rPr>
          <w:rFonts w:eastAsia="Calibri" w:cs="Times New Roman"/>
          <w:color w:val="auto"/>
          <w:szCs w:val="24"/>
        </w:rPr>
        <w:t xml:space="preserve"> condition</w:t>
      </w:r>
      <w:r w:rsidR="0033141B" w:rsidRPr="00A5362F">
        <w:rPr>
          <w:rFonts w:eastAsia="Calibri" w:cs="Times New Roman"/>
          <w:color w:val="auto"/>
          <w:szCs w:val="24"/>
        </w:rPr>
        <w:t xml:space="preserve"> (bunion surgery</w:t>
      </w:r>
      <w:r w:rsidR="00951FDA" w:rsidRPr="00A5362F">
        <w:rPr>
          <w:rFonts w:eastAsia="Calibri" w:cs="Times New Roman"/>
          <w:color w:val="auto"/>
          <w:szCs w:val="24"/>
        </w:rPr>
        <w:t xml:space="preserve"> and post-surgical result</w:t>
      </w:r>
      <w:r w:rsidR="0033141B" w:rsidRPr="00A5362F">
        <w:rPr>
          <w:rFonts w:eastAsia="Calibri" w:cs="Times New Roman"/>
          <w:color w:val="auto"/>
          <w:szCs w:val="24"/>
        </w:rPr>
        <w:t>)</w:t>
      </w:r>
      <w:r w:rsidR="009F0E01" w:rsidRPr="00A5362F">
        <w:rPr>
          <w:rFonts w:eastAsia="Calibri" w:cs="Times New Roman"/>
          <w:color w:val="auto"/>
          <w:szCs w:val="24"/>
        </w:rPr>
        <w:t xml:space="preserve"> was the </w:t>
      </w:r>
      <w:r w:rsidR="0033141B" w:rsidRPr="00A5362F">
        <w:rPr>
          <w:rFonts w:eastAsia="Calibri" w:cs="Times New Roman"/>
          <w:color w:val="auto"/>
          <w:szCs w:val="24"/>
        </w:rPr>
        <w:t xml:space="preserve">principle cause of the </w:t>
      </w:r>
      <w:r w:rsidR="009F0E01" w:rsidRPr="00A5362F">
        <w:rPr>
          <w:rFonts w:eastAsia="Calibri" w:cs="Times New Roman"/>
          <w:color w:val="auto"/>
          <w:szCs w:val="24"/>
        </w:rPr>
        <w:t xml:space="preserve">right </w:t>
      </w:r>
      <w:r w:rsidR="0033141B" w:rsidRPr="00A5362F">
        <w:rPr>
          <w:rFonts w:eastAsia="Calibri" w:cs="Times New Roman"/>
          <w:color w:val="auto"/>
          <w:szCs w:val="24"/>
        </w:rPr>
        <w:t>foot</w:t>
      </w:r>
      <w:r w:rsidR="009F0E01" w:rsidRPr="00A5362F">
        <w:rPr>
          <w:rFonts w:eastAsia="Calibri" w:cs="Times New Roman"/>
          <w:color w:val="auto"/>
          <w:szCs w:val="24"/>
        </w:rPr>
        <w:t xml:space="preserve"> pain</w:t>
      </w:r>
      <w:r w:rsidR="0033141B" w:rsidRPr="00A5362F">
        <w:rPr>
          <w:rFonts w:eastAsia="Calibri" w:cs="Times New Roman"/>
          <w:color w:val="auto"/>
          <w:szCs w:val="24"/>
        </w:rPr>
        <w:t xml:space="preserve"> surgery and chronic right foot pain and was considered in rating the CI’s primary unfitting foot pain condition</w:t>
      </w:r>
      <w:r w:rsidR="009F0E01" w:rsidRPr="00A5362F">
        <w:rPr>
          <w:rFonts w:eastAsia="Calibri" w:cs="Times New Roman"/>
          <w:color w:val="auto"/>
          <w:szCs w:val="24"/>
        </w:rPr>
        <w:t>.</w:t>
      </w:r>
      <w:r w:rsidR="0033141B" w:rsidRPr="00A5362F">
        <w:rPr>
          <w:rFonts w:eastAsia="Calibri" w:cs="Times New Roman"/>
          <w:color w:val="auto"/>
          <w:szCs w:val="24"/>
        </w:rPr>
        <w:t xml:space="preserve">  The right foot </w:t>
      </w:r>
      <w:proofErr w:type="spellStart"/>
      <w:r w:rsidR="00C9386B">
        <w:rPr>
          <w:rFonts w:eastAsia="Calibri" w:cs="Times New Roman"/>
          <w:color w:val="auto"/>
          <w:szCs w:val="24"/>
        </w:rPr>
        <w:t>p</w:t>
      </w:r>
      <w:r w:rsidR="0033141B" w:rsidRPr="00A5362F">
        <w:rPr>
          <w:rFonts w:eastAsia="Calibri" w:cs="Times New Roman"/>
          <w:color w:val="auto"/>
          <w:szCs w:val="24"/>
        </w:rPr>
        <w:t>es</w:t>
      </w:r>
      <w:proofErr w:type="spellEnd"/>
      <w:r w:rsidR="0033141B" w:rsidRPr="00A5362F">
        <w:rPr>
          <w:rFonts w:eastAsia="Calibri" w:cs="Times New Roman"/>
          <w:color w:val="auto"/>
          <w:szCs w:val="24"/>
        </w:rPr>
        <w:t xml:space="preserve"> </w:t>
      </w:r>
      <w:proofErr w:type="spellStart"/>
      <w:r w:rsidR="00C9386B">
        <w:rPr>
          <w:rFonts w:eastAsia="Calibri" w:cs="Times New Roman"/>
          <w:color w:val="auto"/>
          <w:szCs w:val="24"/>
        </w:rPr>
        <w:t>p</w:t>
      </w:r>
      <w:r w:rsidR="0033141B" w:rsidRPr="00A5362F">
        <w:rPr>
          <w:rFonts w:eastAsia="Calibri" w:cs="Times New Roman"/>
          <w:color w:val="auto"/>
          <w:szCs w:val="24"/>
        </w:rPr>
        <w:t>lanus</w:t>
      </w:r>
      <w:proofErr w:type="spellEnd"/>
      <w:r w:rsidR="0033141B" w:rsidRPr="00A5362F">
        <w:rPr>
          <w:rFonts w:eastAsia="Calibri" w:cs="Times New Roman"/>
          <w:color w:val="auto"/>
          <w:szCs w:val="24"/>
        </w:rPr>
        <w:t xml:space="preserve"> was noted in the PEB disability description</w:t>
      </w:r>
      <w:r w:rsidR="005D4EA7" w:rsidRPr="00A5362F">
        <w:rPr>
          <w:rFonts w:eastAsia="Calibri" w:cs="Times New Roman"/>
          <w:color w:val="auto"/>
          <w:szCs w:val="24"/>
        </w:rPr>
        <w:t>.  Moderate b</w:t>
      </w:r>
      <w:r w:rsidR="00A449A7" w:rsidRPr="00A5362F">
        <w:rPr>
          <w:rFonts w:eastAsia="Calibri" w:cs="Times New Roman"/>
          <w:color w:val="auto"/>
          <w:szCs w:val="24"/>
        </w:rPr>
        <w:t xml:space="preserve">ilateral </w:t>
      </w:r>
      <w:r w:rsidR="005D4EA7" w:rsidRPr="00A5362F">
        <w:rPr>
          <w:rFonts w:eastAsia="Calibri" w:cs="Times New Roman"/>
          <w:color w:val="auto"/>
          <w:szCs w:val="24"/>
        </w:rPr>
        <w:t>p</w:t>
      </w:r>
      <w:r w:rsidR="00A449A7" w:rsidRPr="00A5362F">
        <w:rPr>
          <w:rFonts w:eastAsia="Calibri" w:cs="Times New Roman"/>
          <w:color w:val="auto"/>
          <w:szCs w:val="24"/>
        </w:rPr>
        <w:t xml:space="preserve">es </w:t>
      </w:r>
      <w:r w:rsidR="005D4EA7" w:rsidRPr="00A5362F">
        <w:rPr>
          <w:rFonts w:eastAsia="Calibri" w:cs="Times New Roman"/>
          <w:color w:val="auto"/>
          <w:szCs w:val="24"/>
        </w:rPr>
        <w:t>p</w:t>
      </w:r>
      <w:r w:rsidR="00A449A7" w:rsidRPr="00A5362F">
        <w:rPr>
          <w:rFonts w:eastAsia="Calibri" w:cs="Times New Roman"/>
          <w:color w:val="auto"/>
          <w:szCs w:val="24"/>
        </w:rPr>
        <w:t xml:space="preserve">lanus </w:t>
      </w:r>
      <w:r w:rsidR="005D4EA7" w:rsidRPr="00A5362F">
        <w:rPr>
          <w:rFonts w:eastAsia="Calibri" w:cs="Times New Roman"/>
          <w:color w:val="auto"/>
          <w:szCs w:val="24"/>
        </w:rPr>
        <w:t xml:space="preserve">(asymptomatic) </w:t>
      </w:r>
      <w:r w:rsidR="00A449A7" w:rsidRPr="00A5362F">
        <w:rPr>
          <w:rFonts w:eastAsia="Calibri" w:cs="Times New Roman"/>
          <w:color w:val="auto"/>
          <w:szCs w:val="24"/>
        </w:rPr>
        <w:t>was documented on the CI’s entrance examination in 1997.</w:t>
      </w:r>
      <w:r w:rsidR="005D4EA7" w:rsidRPr="00A5362F">
        <w:rPr>
          <w:rFonts w:eastAsia="Calibri" w:cs="Times New Roman"/>
          <w:color w:val="auto"/>
          <w:szCs w:val="24"/>
        </w:rPr>
        <w:t xml:space="preserve">  </w:t>
      </w:r>
      <w:r w:rsidR="00203E08">
        <w:rPr>
          <w:rFonts w:eastAsia="Calibri" w:cs="Times New Roman"/>
          <w:color w:val="auto"/>
          <w:szCs w:val="24"/>
        </w:rPr>
        <w:t xml:space="preserve">The </w:t>
      </w:r>
      <w:r w:rsidR="005D4EA7" w:rsidRPr="00A5362F">
        <w:rPr>
          <w:rFonts w:eastAsia="Calibri" w:cs="Times New Roman"/>
          <w:color w:val="auto"/>
          <w:szCs w:val="24"/>
        </w:rPr>
        <w:t xml:space="preserve">VA exam summary for pes planus is discussed above and all symptoms from the pes planus condition were considered in the rating of the foot pain condition.  Of note, the VA additionally rated the right foot scar at 0%, with pre-separation exam summary indicating a flat, well healed scar with no alteration in sensory perception or vascular supply.  </w:t>
      </w:r>
      <w:r w:rsidR="00951FDA" w:rsidRPr="00A5362F">
        <w:rPr>
          <w:rFonts w:eastAsia="Calibri" w:cs="Times New Roman"/>
          <w:color w:val="auto"/>
          <w:szCs w:val="24"/>
        </w:rPr>
        <w:t xml:space="preserve">Any left foot condition is outside the scope of the Board as noted above.  </w:t>
      </w:r>
      <w:r w:rsidR="009F0E01" w:rsidRPr="00A5362F">
        <w:rPr>
          <w:rFonts w:eastAsia="Calibri" w:cs="Times New Roman"/>
          <w:color w:val="auto"/>
          <w:szCs w:val="24"/>
        </w:rPr>
        <w:t xml:space="preserve">After due deliberation in consideration of the preponderance of the evidence, the Board concluded that </w:t>
      </w:r>
      <w:r w:rsidR="005D4EA7" w:rsidRPr="00A5362F">
        <w:rPr>
          <w:rFonts w:eastAsia="Calibri" w:cs="Times New Roman"/>
          <w:color w:val="auto"/>
          <w:szCs w:val="24"/>
        </w:rPr>
        <w:t>all of the right foot symptoms and diagnoses were appropriately considered and coded under the PEB unfitting right foot pain condition</w:t>
      </w:r>
      <w:r w:rsidR="009F0E01" w:rsidRPr="00A5362F">
        <w:rPr>
          <w:rFonts w:eastAsia="Calibri" w:cs="Times New Roman"/>
          <w:color w:val="auto"/>
          <w:szCs w:val="24"/>
        </w:rPr>
        <w:t>; and, therefore, no additional disability ratings can be recommended.</w:t>
      </w:r>
      <w:r w:rsidR="009F0E01" w:rsidRPr="00A5362F">
        <w:rPr>
          <w:color w:val="auto"/>
        </w:rPr>
        <w:t xml:space="preserve"> </w:t>
      </w:r>
      <w:r w:rsidR="005D4EA7" w:rsidRPr="00A5362F">
        <w:rPr>
          <w:color w:val="auto"/>
        </w:rPr>
        <w:t xml:space="preserve"> </w:t>
      </w:r>
    </w:p>
    <w:p w:rsidR="003863E9" w:rsidRPr="00A5362F" w:rsidRDefault="003863E9" w:rsidP="00CE3461">
      <w:pPr>
        <w:pBdr>
          <w:bottom w:val="single" w:sz="12" w:space="1" w:color="auto"/>
        </w:pBdr>
        <w:tabs>
          <w:tab w:val="left" w:pos="288"/>
          <w:tab w:val="left" w:pos="4752"/>
        </w:tabs>
        <w:jc w:val="both"/>
        <w:rPr>
          <w:color w:val="auto"/>
        </w:rPr>
      </w:pPr>
    </w:p>
    <w:p w:rsidR="00AD2379" w:rsidRPr="00A5362F" w:rsidRDefault="00AD2379" w:rsidP="00CE3461">
      <w:pPr>
        <w:jc w:val="both"/>
        <w:rPr>
          <w:color w:val="auto"/>
        </w:rPr>
      </w:pPr>
    </w:p>
    <w:p w:rsidR="00417BED" w:rsidRPr="0072017F" w:rsidRDefault="00AD2379" w:rsidP="00CE3461">
      <w:pPr>
        <w:jc w:val="both"/>
        <w:rPr>
          <w:rFonts w:cs="Times New Roman"/>
          <w:color w:val="auto"/>
        </w:rPr>
      </w:pPr>
      <w:r w:rsidRPr="00A5362F">
        <w:rPr>
          <w:color w:val="auto"/>
          <w:u w:val="single"/>
        </w:rPr>
        <w:lastRenderedPageBreak/>
        <w:t>BOARD FINDINGS</w:t>
      </w:r>
      <w:r w:rsidRPr="00A5362F">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A5362F">
        <w:rPr>
          <w:rFonts w:cs="Times New Roman"/>
          <w:color w:val="auto"/>
        </w:rPr>
        <w:t>.</w:t>
      </w:r>
      <w:r w:rsidR="005D4EA7" w:rsidRPr="00A5362F">
        <w:rPr>
          <w:rFonts w:cs="Times New Roman"/>
          <w:color w:val="auto"/>
        </w:rPr>
        <w:t xml:space="preserve">  </w:t>
      </w:r>
      <w:r w:rsidRPr="00A5362F">
        <w:rPr>
          <w:rFonts w:cs="Times New Roman"/>
          <w:color w:val="auto"/>
        </w:rPr>
        <w:t>The Board did not surmise from the record or PEB ruling in this case that any prerogatives outside the VASRD were exercised.</w:t>
      </w:r>
      <w:r w:rsidR="006B690F" w:rsidRPr="00A5362F">
        <w:rPr>
          <w:rFonts w:cs="Times New Roman"/>
          <w:color w:val="auto"/>
        </w:rPr>
        <w:t xml:space="preserve">  </w:t>
      </w:r>
      <w:r w:rsidR="00560F12" w:rsidRPr="00A5362F">
        <w:rPr>
          <w:rFonts w:eastAsia="Calibri" w:cs="Times New Roman"/>
          <w:color w:val="auto"/>
          <w:szCs w:val="24"/>
        </w:rPr>
        <w:t xml:space="preserve">In the matter of the </w:t>
      </w:r>
      <w:r w:rsidR="00C9386B">
        <w:rPr>
          <w:rFonts w:eastAsia="Calibri" w:cs="Times New Roman"/>
          <w:color w:val="auto"/>
          <w:szCs w:val="24"/>
        </w:rPr>
        <w:t>c</w:t>
      </w:r>
      <w:r w:rsidR="00E13EDD" w:rsidRPr="00A5362F">
        <w:rPr>
          <w:color w:val="000000" w:themeColor="text1"/>
          <w:szCs w:val="24"/>
        </w:rPr>
        <w:t xml:space="preserve">hronic </w:t>
      </w:r>
      <w:r w:rsidR="00C9386B">
        <w:rPr>
          <w:color w:val="000000" w:themeColor="text1"/>
          <w:szCs w:val="24"/>
        </w:rPr>
        <w:t>r</w:t>
      </w:r>
      <w:r w:rsidR="00E13EDD" w:rsidRPr="00A5362F">
        <w:rPr>
          <w:color w:val="000000" w:themeColor="text1"/>
          <w:szCs w:val="24"/>
        </w:rPr>
        <w:t xml:space="preserve">ight </w:t>
      </w:r>
      <w:r w:rsidR="00C9386B">
        <w:rPr>
          <w:color w:val="000000" w:themeColor="text1"/>
          <w:szCs w:val="24"/>
        </w:rPr>
        <w:t>f</w:t>
      </w:r>
      <w:r w:rsidR="00E13EDD" w:rsidRPr="00A5362F">
        <w:rPr>
          <w:color w:val="000000" w:themeColor="text1"/>
          <w:szCs w:val="24"/>
        </w:rPr>
        <w:t xml:space="preserve">oot </w:t>
      </w:r>
      <w:r w:rsidR="00C9386B">
        <w:rPr>
          <w:color w:val="000000" w:themeColor="text1"/>
          <w:szCs w:val="24"/>
        </w:rPr>
        <w:t>p</w:t>
      </w:r>
      <w:r w:rsidR="00E13EDD" w:rsidRPr="00A5362F">
        <w:rPr>
          <w:color w:val="000000" w:themeColor="text1"/>
          <w:szCs w:val="24"/>
        </w:rPr>
        <w:t>ain</w:t>
      </w:r>
      <w:r w:rsidR="00560F12" w:rsidRPr="00A5362F">
        <w:rPr>
          <w:rFonts w:eastAsia="Calibri" w:cs="Times New Roman"/>
          <w:color w:val="auto"/>
          <w:szCs w:val="24"/>
        </w:rPr>
        <w:t xml:space="preserve"> condition and IAW VASRD §4.71a, the Board unanimously recommends no change in the PEB adjudication.</w:t>
      </w:r>
      <w:r w:rsidR="006B690F" w:rsidRPr="00A5362F">
        <w:rPr>
          <w:rFonts w:eastAsia="Calibri" w:cs="Times New Roman"/>
          <w:color w:val="auto"/>
          <w:szCs w:val="24"/>
        </w:rPr>
        <w:t xml:space="preserve">  </w:t>
      </w:r>
      <w:r w:rsidR="00560F12" w:rsidRPr="00A5362F">
        <w:rPr>
          <w:rFonts w:eastAsia="Calibri" w:cs="Times New Roman"/>
          <w:color w:val="auto"/>
          <w:szCs w:val="24"/>
        </w:rPr>
        <w:t xml:space="preserve">In the matter of the contended </w:t>
      </w:r>
      <w:proofErr w:type="spellStart"/>
      <w:r w:rsidR="00C9386B">
        <w:rPr>
          <w:rFonts w:eastAsia="Calibri" w:cs="Times New Roman"/>
          <w:color w:val="auto"/>
          <w:szCs w:val="24"/>
        </w:rPr>
        <w:t>p</w:t>
      </w:r>
      <w:r w:rsidR="00E13EDD" w:rsidRPr="00A5362F">
        <w:rPr>
          <w:rFonts w:eastAsia="Calibri" w:cs="Times New Roman"/>
          <w:color w:val="auto"/>
          <w:szCs w:val="24"/>
        </w:rPr>
        <w:t>es</w:t>
      </w:r>
      <w:proofErr w:type="spellEnd"/>
      <w:r w:rsidR="00E13EDD" w:rsidRPr="00A5362F">
        <w:rPr>
          <w:rFonts w:eastAsia="Calibri" w:cs="Times New Roman"/>
          <w:color w:val="auto"/>
          <w:szCs w:val="24"/>
        </w:rPr>
        <w:t xml:space="preserve"> </w:t>
      </w:r>
      <w:proofErr w:type="spellStart"/>
      <w:r w:rsidR="00C9386B">
        <w:rPr>
          <w:rFonts w:eastAsia="Calibri" w:cs="Times New Roman"/>
          <w:color w:val="auto"/>
          <w:szCs w:val="24"/>
        </w:rPr>
        <w:t>p</w:t>
      </w:r>
      <w:r w:rsidR="00E13EDD" w:rsidRPr="00A5362F">
        <w:rPr>
          <w:rFonts w:eastAsia="Calibri" w:cs="Times New Roman"/>
          <w:color w:val="auto"/>
          <w:szCs w:val="24"/>
        </w:rPr>
        <w:t>lanus</w:t>
      </w:r>
      <w:proofErr w:type="spellEnd"/>
      <w:r w:rsidR="00E13EDD" w:rsidRPr="00A5362F">
        <w:rPr>
          <w:rFonts w:eastAsia="Calibri" w:cs="Times New Roman"/>
          <w:color w:val="auto"/>
          <w:szCs w:val="24"/>
        </w:rPr>
        <w:t xml:space="preserve"> and </w:t>
      </w:r>
      <w:proofErr w:type="spellStart"/>
      <w:r w:rsidR="00C9386B">
        <w:rPr>
          <w:rFonts w:eastAsia="Calibri" w:cs="Times New Roman"/>
          <w:color w:val="auto"/>
          <w:szCs w:val="24"/>
        </w:rPr>
        <w:t>h</w:t>
      </w:r>
      <w:r w:rsidR="005D4EA7" w:rsidRPr="00A5362F">
        <w:rPr>
          <w:rFonts w:eastAsia="Calibri" w:cs="Times New Roman"/>
          <w:color w:val="auto"/>
          <w:szCs w:val="24"/>
        </w:rPr>
        <w:t>allux</w:t>
      </w:r>
      <w:proofErr w:type="spellEnd"/>
      <w:r w:rsidR="005D4EA7" w:rsidRPr="00A5362F">
        <w:rPr>
          <w:rFonts w:eastAsia="Calibri" w:cs="Times New Roman"/>
          <w:color w:val="auto"/>
          <w:szCs w:val="24"/>
        </w:rPr>
        <w:t xml:space="preserve"> </w:t>
      </w:r>
      <w:r w:rsidR="00C9386B">
        <w:rPr>
          <w:rFonts w:eastAsia="Calibri" w:cs="Times New Roman"/>
          <w:color w:val="auto"/>
          <w:szCs w:val="24"/>
        </w:rPr>
        <w:t>v</w:t>
      </w:r>
      <w:r w:rsidR="005D4EA7" w:rsidRPr="00A5362F">
        <w:rPr>
          <w:rFonts w:eastAsia="Calibri" w:cs="Times New Roman"/>
          <w:color w:val="auto"/>
          <w:szCs w:val="24"/>
        </w:rPr>
        <w:t>algus</w:t>
      </w:r>
      <w:r w:rsidR="00E13EDD" w:rsidRPr="00A5362F">
        <w:rPr>
          <w:rFonts w:eastAsia="Calibri" w:cs="Times New Roman"/>
          <w:color w:val="auto"/>
          <w:szCs w:val="24"/>
        </w:rPr>
        <w:t xml:space="preserve"> </w:t>
      </w:r>
      <w:r w:rsidR="00560F12" w:rsidRPr="00A5362F">
        <w:rPr>
          <w:rFonts w:eastAsia="Calibri" w:cs="Times New Roman"/>
          <w:color w:val="auto"/>
          <w:szCs w:val="24"/>
        </w:rPr>
        <w:t xml:space="preserve">conditions, the Board unanimously </w:t>
      </w:r>
      <w:r w:rsidR="00417BED" w:rsidRPr="00A5362F">
        <w:rPr>
          <w:rFonts w:eastAsia="Calibri" w:cs="Times New Roman"/>
          <w:color w:val="auto"/>
          <w:szCs w:val="24"/>
        </w:rPr>
        <w:t xml:space="preserve">recommends no </w:t>
      </w:r>
      <w:r w:rsidR="005D4EA7" w:rsidRPr="00A5362F">
        <w:rPr>
          <w:rFonts w:eastAsia="Calibri" w:cs="Times New Roman"/>
          <w:color w:val="auto"/>
          <w:szCs w:val="24"/>
        </w:rPr>
        <w:t xml:space="preserve">additional disability rating as all symptoms were contained in the </w:t>
      </w:r>
      <w:r w:rsidR="00417BED" w:rsidRPr="00A5362F">
        <w:rPr>
          <w:rFonts w:eastAsia="Calibri" w:cs="Times New Roman"/>
          <w:color w:val="auto"/>
          <w:szCs w:val="24"/>
        </w:rPr>
        <w:t xml:space="preserve">PEB </w:t>
      </w:r>
      <w:r w:rsidR="005D4EA7" w:rsidRPr="00A5362F">
        <w:rPr>
          <w:rFonts w:eastAsia="Calibri" w:cs="Times New Roman"/>
          <w:color w:val="auto"/>
          <w:szCs w:val="24"/>
        </w:rPr>
        <w:t>rating of the CI’s unfitting chronic right foot pain condition</w:t>
      </w:r>
      <w:r w:rsidR="00417BED" w:rsidRPr="00A5362F">
        <w:rPr>
          <w:rFonts w:eastAsia="Calibri" w:cs="Times New Roman"/>
          <w:color w:val="auto"/>
          <w:szCs w:val="24"/>
        </w:rPr>
        <w:t>.</w:t>
      </w:r>
      <w:r w:rsidR="00165C7B" w:rsidRPr="00A5362F">
        <w:rPr>
          <w:rFonts w:eastAsia="Calibri" w:cs="Times New Roman"/>
          <w:color w:val="auto"/>
          <w:szCs w:val="24"/>
        </w:rPr>
        <w:t xml:space="preserve">  </w:t>
      </w:r>
      <w:r w:rsidR="00417BED" w:rsidRPr="00A5362F">
        <w:rPr>
          <w:rFonts w:eastAsia="Calibri" w:cs="Times New Roman"/>
          <w:color w:val="auto"/>
          <w:szCs w:val="24"/>
        </w:rPr>
        <w:t>There were no other conditions within the Board’s scope of review for consideration.</w:t>
      </w:r>
      <w:r w:rsidR="00165C7B" w:rsidRPr="00A5362F">
        <w:rPr>
          <w:rFonts w:eastAsia="Calibri" w:cs="Times New Roman"/>
          <w:color w:val="auto"/>
          <w:szCs w:val="24"/>
        </w:rPr>
        <w:t xml:space="preserve">  </w:t>
      </w:r>
    </w:p>
    <w:p w:rsidR="00AD2379" w:rsidRPr="00A5362F" w:rsidRDefault="00AD2379" w:rsidP="00CE3461">
      <w:pPr>
        <w:pBdr>
          <w:bottom w:val="single" w:sz="12" w:space="1" w:color="auto"/>
        </w:pBdr>
        <w:tabs>
          <w:tab w:val="left" w:pos="288"/>
          <w:tab w:val="left" w:pos="4752"/>
        </w:tabs>
        <w:jc w:val="both"/>
        <w:rPr>
          <w:color w:val="auto"/>
        </w:rPr>
      </w:pPr>
    </w:p>
    <w:p w:rsidR="00AD2379" w:rsidRPr="00A5362F" w:rsidRDefault="00AD2379" w:rsidP="00CE3461">
      <w:pPr>
        <w:jc w:val="both"/>
        <w:rPr>
          <w:color w:val="auto"/>
        </w:rPr>
      </w:pPr>
    </w:p>
    <w:p w:rsidR="00AD2379" w:rsidRPr="002E04B2" w:rsidRDefault="00AD2379" w:rsidP="00CE3461">
      <w:pPr>
        <w:jc w:val="both"/>
        <w:rPr>
          <w:color w:val="auto"/>
        </w:rPr>
      </w:pPr>
      <w:r w:rsidRPr="00A5362F">
        <w:rPr>
          <w:color w:val="auto"/>
          <w:u w:val="single"/>
        </w:rPr>
        <w:t>RECOMMENDATION</w:t>
      </w:r>
      <w:r w:rsidRPr="00A5362F">
        <w:rPr>
          <w:color w:val="auto"/>
        </w:rPr>
        <w:t xml:space="preserve">: </w:t>
      </w:r>
      <w:r w:rsidR="006B690F" w:rsidRPr="00A5362F">
        <w:rPr>
          <w:color w:val="auto"/>
        </w:rPr>
        <w:t xml:space="preserve"> </w:t>
      </w:r>
      <w:r w:rsidRPr="00A5362F">
        <w:rPr>
          <w:color w:val="auto"/>
        </w:rPr>
        <w:t xml:space="preserve">The Board, therefore, recommends that there be no recharacterization </w:t>
      </w:r>
      <w:r w:rsidRPr="002E04B2">
        <w:rPr>
          <w:color w:val="auto"/>
        </w:rPr>
        <w:t>of the CI’s disability and separation determination, as follows:</w:t>
      </w:r>
      <w:r w:rsidR="006B690F" w:rsidRPr="002E04B2">
        <w:rPr>
          <w:color w:val="auto"/>
        </w:rPr>
        <w:t xml:space="preserve">  </w:t>
      </w:r>
    </w:p>
    <w:p w:rsidR="00AD2379" w:rsidRPr="002E04B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2E04B2" w:rsidTr="006B690F">
        <w:trPr>
          <w:trHeight w:val="233"/>
          <w:jc w:val="center"/>
        </w:trPr>
        <w:tc>
          <w:tcPr>
            <w:tcW w:w="6768" w:type="dxa"/>
            <w:shd w:val="clear" w:color="auto" w:fill="D9D9D9"/>
            <w:vAlign w:val="center"/>
          </w:tcPr>
          <w:p w:rsidR="00AD2379" w:rsidRPr="002E04B2" w:rsidRDefault="00AD2379" w:rsidP="006B690F">
            <w:pPr>
              <w:tabs>
                <w:tab w:val="left" w:pos="288"/>
                <w:tab w:val="left" w:pos="4752"/>
              </w:tabs>
              <w:rPr>
                <w:b/>
                <w:color w:val="auto"/>
              </w:rPr>
            </w:pPr>
            <w:r w:rsidRPr="002E04B2">
              <w:rPr>
                <w:b/>
                <w:color w:val="auto"/>
              </w:rPr>
              <w:t>UNFITTING CONDITION</w:t>
            </w:r>
          </w:p>
        </w:tc>
        <w:tc>
          <w:tcPr>
            <w:tcW w:w="1530" w:type="dxa"/>
            <w:shd w:val="clear" w:color="auto" w:fill="D9D9D9"/>
            <w:vAlign w:val="center"/>
          </w:tcPr>
          <w:p w:rsidR="00AD2379" w:rsidRPr="002E04B2" w:rsidRDefault="00AD2379" w:rsidP="006B690F">
            <w:pPr>
              <w:tabs>
                <w:tab w:val="left" w:pos="288"/>
                <w:tab w:val="left" w:pos="4752"/>
              </w:tabs>
              <w:rPr>
                <w:b/>
                <w:color w:val="auto"/>
              </w:rPr>
            </w:pPr>
            <w:r w:rsidRPr="002E04B2">
              <w:rPr>
                <w:b/>
                <w:color w:val="auto"/>
              </w:rPr>
              <w:t>VASRD CODE</w:t>
            </w:r>
          </w:p>
        </w:tc>
        <w:tc>
          <w:tcPr>
            <w:tcW w:w="1026" w:type="dxa"/>
            <w:shd w:val="clear" w:color="auto" w:fill="D9D9D9"/>
            <w:vAlign w:val="center"/>
          </w:tcPr>
          <w:p w:rsidR="00AD2379" w:rsidRPr="002E04B2" w:rsidRDefault="00AD2379" w:rsidP="006B690F">
            <w:pPr>
              <w:tabs>
                <w:tab w:val="left" w:pos="288"/>
                <w:tab w:val="left" w:pos="4752"/>
              </w:tabs>
              <w:rPr>
                <w:b/>
                <w:color w:val="auto"/>
              </w:rPr>
            </w:pPr>
            <w:r w:rsidRPr="002E04B2">
              <w:rPr>
                <w:b/>
                <w:color w:val="auto"/>
              </w:rPr>
              <w:t>RATING</w:t>
            </w:r>
          </w:p>
        </w:tc>
      </w:tr>
      <w:tr w:rsidR="00AD2379" w:rsidRPr="002E04B2" w:rsidTr="006B690F">
        <w:trPr>
          <w:jc w:val="center"/>
        </w:trPr>
        <w:tc>
          <w:tcPr>
            <w:tcW w:w="6768" w:type="dxa"/>
            <w:vAlign w:val="center"/>
          </w:tcPr>
          <w:p w:rsidR="00AD2379" w:rsidRPr="002E04B2" w:rsidRDefault="00E13EDD" w:rsidP="006B690F">
            <w:pPr>
              <w:tabs>
                <w:tab w:val="left" w:pos="288"/>
                <w:tab w:val="left" w:pos="4752"/>
              </w:tabs>
              <w:jc w:val="left"/>
              <w:rPr>
                <w:color w:val="auto"/>
                <w:szCs w:val="24"/>
              </w:rPr>
            </w:pPr>
            <w:r w:rsidRPr="002E04B2">
              <w:rPr>
                <w:color w:val="auto"/>
                <w:szCs w:val="24"/>
              </w:rPr>
              <w:t>Chronic Right Foot Pain</w:t>
            </w:r>
          </w:p>
        </w:tc>
        <w:tc>
          <w:tcPr>
            <w:tcW w:w="1530" w:type="dxa"/>
            <w:vAlign w:val="center"/>
          </w:tcPr>
          <w:p w:rsidR="00AD2379" w:rsidRPr="002E04B2" w:rsidRDefault="00E13EDD" w:rsidP="006B690F">
            <w:pPr>
              <w:tabs>
                <w:tab w:val="left" w:pos="288"/>
                <w:tab w:val="left" w:pos="4752"/>
              </w:tabs>
              <w:rPr>
                <w:color w:val="auto"/>
              </w:rPr>
            </w:pPr>
            <w:r w:rsidRPr="002E04B2">
              <w:rPr>
                <w:color w:val="auto"/>
              </w:rPr>
              <w:t>5280</w:t>
            </w:r>
          </w:p>
        </w:tc>
        <w:tc>
          <w:tcPr>
            <w:tcW w:w="1026" w:type="dxa"/>
            <w:vAlign w:val="center"/>
          </w:tcPr>
          <w:p w:rsidR="00AD2379" w:rsidRPr="002E04B2" w:rsidRDefault="00E13EDD" w:rsidP="006B690F">
            <w:pPr>
              <w:tabs>
                <w:tab w:val="left" w:pos="288"/>
                <w:tab w:val="left" w:pos="4752"/>
              </w:tabs>
              <w:rPr>
                <w:color w:val="auto"/>
              </w:rPr>
            </w:pPr>
            <w:r w:rsidRPr="002E04B2">
              <w:rPr>
                <w:color w:val="auto"/>
              </w:rPr>
              <w:t>1</w:t>
            </w:r>
            <w:r w:rsidR="00AD2379" w:rsidRPr="002E04B2">
              <w:rPr>
                <w:color w:val="auto"/>
              </w:rPr>
              <w:t>0%</w:t>
            </w:r>
          </w:p>
        </w:tc>
      </w:tr>
      <w:tr w:rsidR="00AD2379" w:rsidRPr="002E04B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2E04B2" w:rsidRDefault="00AD2379" w:rsidP="006B690F">
            <w:pPr>
              <w:tabs>
                <w:tab w:val="left" w:pos="288"/>
                <w:tab w:val="left" w:pos="4752"/>
              </w:tabs>
              <w:rPr>
                <w:b/>
                <w:color w:val="auto"/>
              </w:rPr>
            </w:pPr>
            <w:r w:rsidRPr="002E04B2">
              <w:rPr>
                <w:b/>
                <w:color w:val="auto"/>
              </w:rPr>
              <w:t>COMBINED</w:t>
            </w:r>
          </w:p>
        </w:tc>
        <w:tc>
          <w:tcPr>
            <w:tcW w:w="1026" w:type="dxa"/>
            <w:shd w:val="clear" w:color="auto" w:fill="D9D9D9"/>
            <w:vAlign w:val="center"/>
          </w:tcPr>
          <w:p w:rsidR="00AD2379" w:rsidRPr="002E04B2" w:rsidRDefault="00E13EDD" w:rsidP="006B690F">
            <w:pPr>
              <w:tabs>
                <w:tab w:val="left" w:pos="288"/>
                <w:tab w:val="left" w:pos="4752"/>
              </w:tabs>
              <w:rPr>
                <w:b/>
                <w:color w:val="auto"/>
              </w:rPr>
            </w:pPr>
            <w:r w:rsidRPr="002E04B2">
              <w:rPr>
                <w:b/>
                <w:color w:val="auto"/>
              </w:rPr>
              <w:t>1</w:t>
            </w:r>
            <w:r w:rsidR="00AD2379" w:rsidRPr="002E04B2">
              <w:rPr>
                <w:b/>
                <w:color w:val="auto"/>
              </w:rPr>
              <w:t>0%</w:t>
            </w:r>
          </w:p>
        </w:tc>
      </w:tr>
    </w:tbl>
    <w:p w:rsidR="00E13EDD" w:rsidRPr="002E04B2" w:rsidRDefault="00E13EDD" w:rsidP="006B690F">
      <w:pPr>
        <w:jc w:val="both"/>
        <w:rPr>
          <w:b/>
          <w:color w:val="auto"/>
        </w:rPr>
      </w:pPr>
      <w:r w:rsidRPr="002E04B2">
        <w:rPr>
          <w:b/>
          <w:color w:val="auto"/>
        </w:rPr>
        <w:t>______________________________________________________________________________</w:t>
      </w:r>
    </w:p>
    <w:p w:rsidR="00BC1823" w:rsidRPr="002E04B2" w:rsidRDefault="00BC1823" w:rsidP="006B690F">
      <w:pPr>
        <w:tabs>
          <w:tab w:val="left" w:pos="288"/>
          <w:tab w:val="left" w:pos="4752"/>
        </w:tabs>
        <w:jc w:val="both"/>
        <w:rPr>
          <w:color w:val="auto"/>
        </w:rPr>
      </w:pPr>
    </w:p>
    <w:p w:rsidR="00AD2379" w:rsidRPr="002E04B2" w:rsidRDefault="00AD2379" w:rsidP="006B690F">
      <w:pPr>
        <w:tabs>
          <w:tab w:val="left" w:pos="288"/>
          <w:tab w:val="left" w:pos="4752"/>
        </w:tabs>
        <w:jc w:val="both"/>
        <w:rPr>
          <w:color w:val="auto"/>
        </w:rPr>
      </w:pPr>
      <w:r w:rsidRPr="002E04B2">
        <w:rPr>
          <w:color w:val="auto"/>
        </w:rPr>
        <w:t>The following documentary evidence was considered:</w:t>
      </w:r>
    </w:p>
    <w:p w:rsidR="005144A7" w:rsidRPr="00A5362F"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A5362F">
        <w:rPr>
          <w:color w:val="auto"/>
        </w:rPr>
        <w:t>Exhibit A.  DD Form 294, dated 20</w:t>
      </w:r>
      <w:r w:rsidR="005C2B01" w:rsidRPr="00A5362F">
        <w:rPr>
          <w:color w:val="auto"/>
        </w:rPr>
        <w:t>111102</w:t>
      </w:r>
      <w:r w:rsidR="00ED7820" w:rsidRPr="00A5362F">
        <w:rPr>
          <w:color w:val="auto"/>
        </w:rPr>
        <w:t>, w/</w:t>
      </w:r>
      <w:proofErr w:type="spellStart"/>
      <w:r w:rsidR="00ED7820" w:rsidRPr="00A5362F">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93BC6">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93BC6" w:rsidRDefault="00AD2379" w:rsidP="00BF0E94">
      <w:pPr>
        <w:tabs>
          <w:tab w:val="left" w:pos="0"/>
          <w:tab w:val="left" w:pos="4320"/>
        </w:tabs>
        <w:jc w:val="both"/>
        <w:rPr>
          <w:color w:val="auto"/>
        </w:rPr>
      </w:pPr>
      <w:r w:rsidRPr="00F64312">
        <w:rPr>
          <w:color w:val="auto"/>
        </w:rPr>
        <w:tab/>
        <w:t xml:space="preserve">           Physical Disability Board of Review</w:t>
      </w:r>
    </w:p>
    <w:p w:rsidR="00793BC6" w:rsidRDefault="00793BC6">
      <w:pPr>
        <w:spacing w:line="240" w:lineRule="auto"/>
        <w:jc w:val="left"/>
        <w:rPr>
          <w:color w:val="auto"/>
        </w:rPr>
      </w:pPr>
      <w:r>
        <w:rPr>
          <w:color w:val="auto"/>
        </w:rPr>
        <w:br w:type="page"/>
      </w:r>
    </w:p>
    <w:p w:rsidR="00793BC6" w:rsidRDefault="00793BC6" w:rsidP="00793BC6">
      <w:pPr>
        <w:sectPr w:rsidR="00793BC6">
          <w:pgSz w:w="12240" w:h="15840"/>
          <w:pgMar w:top="2160" w:right="1440" w:bottom="1440" w:left="1440" w:header="720" w:footer="720" w:gutter="0"/>
          <w:cols w:space="720"/>
        </w:sectPr>
      </w:pPr>
    </w:p>
    <w:p w:rsidR="00793BC6" w:rsidRDefault="00793BC6" w:rsidP="00793BC6">
      <w:pPr>
        <w:pStyle w:val="Header"/>
        <w:tabs>
          <w:tab w:val="left" w:pos="720"/>
        </w:tabs>
        <w:jc w:val="left"/>
      </w:pPr>
      <w:r>
        <w:lastRenderedPageBreak/>
        <w:t>SFMR-RB</w:t>
      </w:r>
      <w:r>
        <w:tab/>
      </w:r>
      <w:r>
        <w:tab/>
      </w:r>
      <w:r>
        <w:tab/>
      </w:r>
      <w:r>
        <w:tab/>
      </w:r>
      <w:r>
        <w:tab/>
      </w:r>
      <w:r>
        <w:tab/>
      </w:r>
      <w:r>
        <w:tab/>
      </w:r>
      <w:r>
        <w:tab/>
      </w:r>
      <w:r>
        <w:tab/>
      </w:r>
    </w:p>
    <w:p w:rsidR="00793BC6" w:rsidRDefault="00793BC6" w:rsidP="00793BC6">
      <w:pPr>
        <w:pStyle w:val="Header"/>
        <w:tabs>
          <w:tab w:val="left" w:pos="720"/>
        </w:tabs>
        <w:jc w:val="left"/>
      </w:pPr>
    </w:p>
    <w:p w:rsidR="00793BC6" w:rsidRDefault="00793BC6" w:rsidP="00793BC6">
      <w:pPr>
        <w:jc w:val="left"/>
      </w:pPr>
    </w:p>
    <w:p w:rsidR="00793BC6" w:rsidRDefault="00793BC6" w:rsidP="00793BC6">
      <w:pPr>
        <w:jc w:val="left"/>
      </w:pPr>
      <w:r>
        <w:t xml:space="preserve">MEMORANDUM FOR Commander, US Army Physical Disability Agency </w:t>
      </w:r>
    </w:p>
    <w:p w:rsidR="00793BC6" w:rsidRDefault="00793BC6" w:rsidP="00793BC6">
      <w:pPr>
        <w:jc w:val="left"/>
      </w:pPr>
      <w:r>
        <w:t xml:space="preserve">(TAPD-ZB </w:t>
      </w:r>
      <w:proofErr w:type="gramStart"/>
      <w:r>
        <w:t>/  )</w:t>
      </w:r>
      <w:proofErr w:type="gramEnd"/>
      <w:r>
        <w:t>, 2900 Crystal Drive, Suite 300, Arlington, VA  22202-3557</w:t>
      </w:r>
    </w:p>
    <w:p w:rsidR="00793BC6" w:rsidRDefault="00793BC6" w:rsidP="00793BC6">
      <w:pPr>
        <w:jc w:val="left"/>
      </w:pPr>
    </w:p>
    <w:p w:rsidR="00793BC6" w:rsidRDefault="00793BC6" w:rsidP="00793BC6">
      <w:pPr>
        <w:ind w:right="-180"/>
        <w:jc w:val="left"/>
      </w:pPr>
      <w:r>
        <w:t>SUBJECT:  Department of Defense Physical Disability Board of Review Recommendation for XXXXXXXXXXXXXXXXXXXXXX, AR20120019087 (PD201100984)</w:t>
      </w:r>
    </w:p>
    <w:p w:rsidR="00793BC6" w:rsidRDefault="00793BC6" w:rsidP="00793BC6">
      <w:pPr>
        <w:pStyle w:val="Header"/>
        <w:tabs>
          <w:tab w:val="left" w:pos="720"/>
        </w:tabs>
        <w:jc w:val="left"/>
      </w:pPr>
    </w:p>
    <w:p w:rsidR="00793BC6" w:rsidRDefault="00793BC6" w:rsidP="00793BC6">
      <w:pPr>
        <w:jc w:val="left"/>
      </w:pPr>
    </w:p>
    <w:p w:rsidR="00793BC6" w:rsidRDefault="00793BC6" w:rsidP="00793BC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93BC6" w:rsidRDefault="00793BC6" w:rsidP="00793BC6">
      <w:pPr>
        <w:jc w:val="left"/>
      </w:pPr>
      <w:r>
        <w:t>This decision is final.  The individual concerned, counsel (if any), and any Members of Congress who have shown interest in this application have been notified of this decision by mail.</w:t>
      </w:r>
    </w:p>
    <w:p w:rsidR="00793BC6" w:rsidRDefault="00793BC6" w:rsidP="00793BC6">
      <w:pPr>
        <w:jc w:val="left"/>
      </w:pPr>
    </w:p>
    <w:p w:rsidR="00793BC6" w:rsidRDefault="00793BC6" w:rsidP="00793BC6">
      <w:pPr>
        <w:jc w:val="left"/>
      </w:pPr>
      <w:r>
        <w:t xml:space="preserve"> BY ORDER OF THE SECRETARY OF THE ARMY:</w:t>
      </w:r>
    </w:p>
    <w:p w:rsidR="00793BC6" w:rsidRDefault="00793BC6" w:rsidP="00793BC6">
      <w:pPr>
        <w:jc w:val="left"/>
      </w:pPr>
    </w:p>
    <w:p w:rsidR="00793BC6" w:rsidRDefault="00793BC6" w:rsidP="00793BC6">
      <w:pPr>
        <w:jc w:val="left"/>
      </w:pPr>
    </w:p>
    <w:p w:rsidR="00793BC6" w:rsidRDefault="00793BC6" w:rsidP="00793BC6">
      <w:pPr>
        <w:pStyle w:val="Header"/>
        <w:tabs>
          <w:tab w:val="left" w:pos="720"/>
        </w:tabs>
        <w:jc w:val="left"/>
      </w:pPr>
    </w:p>
    <w:p w:rsidR="00793BC6" w:rsidRDefault="00793BC6" w:rsidP="00793BC6">
      <w:pPr>
        <w:jc w:val="left"/>
      </w:pPr>
    </w:p>
    <w:p w:rsidR="00793BC6" w:rsidRDefault="00793BC6" w:rsidP="00793BC6">
      <w:pPr>
        <w:jc w:val="left"/>
      </w:pPr>
      <w:bookmarkStart w:id="0" w:name="OLE_LINK4"/>
      <w:bookmarkStart w:id="1" w:name="OLE_LINK3"/>
      <w:r>
        <w:t>Encl</w:t>
      </w:r>
      <w:r>
        <w:tab/>
      </w:r>
      <w:r>
        <w:tab/>
      </w:r>
      <w:r>
        <w:tab/>
      </w:r>
      <w:r>
        <w:tab/>
      </w:r>
      <w:r>
        <w:tab/>
      </w:r>
      <w:r>
        <w:tab/>
        <w:t xml:space="preserve">     XXXXXXXXXXXXXXXXXXXX</w:t>
      </w:r>
    </w:p>
    <w:p w:rsidR="00793BC6" w:rsidRDefault="00793BC6" w:rsidP="00793BC6">
      <w:pPr>
        <w:jc w:val="left"/>
      </w:pPr>
      <w:r>
        <w:tab/>
      </w:r>
      <w:r>
        <w:tab/>
      </w:r>
      <w:r>
        <w:tab/>
      </w:r>
      <w:r>
        <w:tab/>
      </w:r>
      <w:r>
        <w:tab/>
      </w:r>
      <w:r>
        <w:tab/>
        <w:t xml:space="preserve">     Deputy Assistant Secretary</w:t>
      </w:r>
    </w:p>
    <w:p w:rsidR="00793BC6" w:rsidRDefault="00793BC6" w:rsidP="00793BC6">
      <w:pPr>
        <w:jc w:val="left"/>
      </w:pPr>
      <w:r>
        <w:tab/>
      </w:r>
      <w:r>
        <w:tab/>
      </w:r>
      <w:r>
        <w:tab/>
      </w:r>
      <w:r>
        <w:tab/>
      </w:r>
      <w:r>
        <w:tab/>
      </w:r>
      <w:r>
        <w:tab/>
        <w:t xml:space="preserve">         (Army Review Boards)</w:t>
      </w:r>
      <w:bookmarkEnd w:id="0"/>
      <w:bookmarkEnd w:id="1"/>
    </w:p>
    <w:p w:rsidR="00793BC6" w:rsidRDefault="00793BC6" w:rsidP="00793BC6">
      <w:pPr>
        <w:jc w:val="left"/>
      </w:pPr>
    </w:p>
    <w:p w:rsidR="00793BC6" w:rsidRDefault="00793BC6" w:rsidP="00793BC6">
      <w:pPr>
        <w:jc w:val="left"/>
      </w:pPr>
      <w:r>
        <w:t xml:space="preserve">CF: </w:t>
      </w:r>
    </w:p>
    <w:p w:rsidR="00793BC6" w:rsidRDefault="00793BC6" w:rsidP="00793BC6">
      <w:pPr>
        <w:jc w:val="left"/>
      </w:pPr>
      <w:r>
        <w:t xml:space="preserve">(  ) </w:t>
      </w:r>
      <w:proofErr w:type="spellStart"/>
      <w:proofErr w:type="gramStart"/>
      <w:r>
        <w:t>DoD</w:t>
      </w:r>
      <w:proofErr w:type="spellEnd"/>
      <w:proofErr w:type="gramEnd"/>
      <w:r>
        <w:t xml:space="preserve"> PDBR</w:t>
      </w:r>
    </w:p>
    <w:p w:rsidR="00793BC6" w:rsidRDefault="00793BC6" w:rsidP="00793BC6">
      <w:pPr>
        <w:jc w:val="left"/>
      </w:pPr>
      <w:r>
        <w:t>(  ) DVA</w:t>
      </w:r>
    </w:p>
    <w:p w:rsidR="00793BC6" w:rsidRDefault="00793BC6" w:rsidP="00793BC6">
      <w:pPr>
        <w:jc w:val="left"/>
      </w:pPr>
    </w:p>
    <w:p w:rsidR="00AD2379" w:rsidRDefault="00AD2379" w:rsidP="00793BC6">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BF" w:rsidRDefault="003F70BF">
      <w:r>
        <w:separator/>
      </w:r>
    </w:p>
  </w:endnote>
  <w:endnote w:type="continuationSeparator" w:id="0">
    <w:p w:rsidR="003F70BF" w:rsidRDefault="003F7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01" w:rsidRPr="00374247" w:rsidRDefault="005C2B01" w:rsidP="00726F84">
    <w:pPr>
      <w:pStyle w:val="Footer"/>
      <w:ind w:firstLine="4320"/>
      <w:rPr>
        <w:color w:val="auto"/>
      </w:rPr>
    </w:pPr>
    <w:r w:rsidRPr="00374247">
      <w:rPr>
        <w:color w:val="auto"/>
      </w:rPr>
      <w:t xml:space="preserve">   </w:t>
    </w:r>
    <w:fldSimple w:instr=" PAGE   \* MERGEFORMAT ">
      <w:r w:rsidR="00793BC6" w:rsidRPr="00793BC6">
        <w:rPr>
          <w:noProof/>
          <w:color w:val="auto"/>
        </w:rPr>
        <w:t>5</w:t>
      </w:r>
    </w:fldSimple>
    <w:r w:rsidRPr="005C2B01">
      <w:rPr>
        <w:color w:val="auto"/>
      </w:rPr>
      <w:t xml:space="preserve">                                                           PD1100984</w:t>
    </w:r>
  </w:p>
  <w:p w:rsidR="005C2B01" w:rsidRPr="00684CE6" w:rsidRDefault="005C2B0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BF" w:rsidRDefault="003F70BF">
      <w:r>
        <w:separator/>
      </w:r>
    </w:p>
  </w:footnote>
  <w:footnote w:type="continuationSeparator" w:id="0">
    <w:p w:rsidR="003F70BF" w:rsidRDefault="003F7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14806"/>
    <w:multiLevelType w:val="multilevel"/>
    <w:tmpl w:val="B72A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57B4D"/>
    <w:multiLevelType w:val="multilevel"/>
    <w:tmpl w:val="322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D5114"/>
    <w:multiLevelType w:val="multilevel"/>
    <w:tmpl w:val="77C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3"/>
  </w:num>
  <w:num w:numId="4">
    <w:abstractNumId w:val="8"/>
  </w:num>
  <w:num w:numId="5">
    <w:abstractNumId w:val="5"/>
  </w:num>
  <w:num w:numId="6">
    <w:abstractNumId w:val="10"/>
  </w:num>
  <w:num w:numId="7">
    <w:abstractNumId w:val="0"/>
  </w:num>
  <w:num w:numId="8">
    <w:abstractNumId w:val="7"/>
  </w:num>
  <w:num w:numId="9">
    <w:abstractNumId w:val="20"/>
  </w:num>
  <w:num w:numId="10">
    <w:abstractNumId w:val="13"/>
  </w:num>
  <w:num w:numId="11">
    <w:abstractNumId w:val="6"/>
  </w:num>
  <w:num w:numId="12">
    <w:abstractNumId w:val="16"/>
  </w:num>
  <w:num w:numId="13">
    <w:abstractNumId w:val="9"/>
  </w:num>
  <w:num w:numId="14">
    <w:abstractNumId w:val="18"/>
  </w:num>
  <w:num w:numId="15">
    <w:abstractNumId w:val="24"/>
  </w:num>
  <w:num w:numId="16">
    <w:abstractNumId w:val="2"/>
  </w:num>
  <w:num w:numId="17">
    <w:abstractNumId w:val="22"/>
  </w:num>
  <w:num w:numId="18">
    <w:abstractNumId w:val="11"/>
  </w:num>
  <w:num w:numId="19">
    <w:abstractNumId w:val="15"/>
  </w:num>
  <w:num w:numId="20">
    <w:abstractNumId w:val="21"/>
  </w:num>
  <w:num w:numId="21">
    <w:abstractNumId w:val="17"/>
  </w:num>
  <w:num w:numId="22">
    <w:abstractNumId w:val="3"/>
  </w:num>
  <w:num w:numId="23">
    <w:abstractNumId w:val="12"/>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482"/>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80A"/>
    <w:rsid w:val="00017778"/>
    <w:rsid w:val="00017B36"/>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0A15"/>
    <w:rsid w:val="000A2BCE"/>
    <w:rsid w:val="000A31E2"/>
    <w:rsid w:val="000A33C8"/>
    <w:rsid w:val="000A41E3"/>
    <w:rsid w:val="000A4AB4"/>
    <w:rsid w:val="000A4BBA"/>
    <w:rsid w:val="000A5071"/>
    <w:rsid w:val="000B0AD2"/>
    <w:rsid w:val="000B1022"/>
    <w:rsid w:val="000B1C9E"/>
    <w:rsid w:val="000B1DD1"/>
    <w:rsid w:val="000B2FB8"/>
    <w:rsid w:val="000B34E6"/>
    <w:rsid w:val="000B3927"/>
    <w:rsid w:val="000B471C"/>
    <w:rsid w:val="000B4B98"/>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4710"/>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F20"/>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369"/>
    <w:rsid w:val="001D37B9"/>
    <w:rsid w:val="001D3DC0"/>
    <w:rsid w:val="001D4976"/>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20"/>
    <w:rsid w:val="001F0297"/>
    <w:rsid w:val="001F29F9"/>
    <w:rsid w:val="001F6E0B"/>
    <w:rsid w:val="00200AA0"/>
    <w:rsid w:val="00200F21"/>
    <w:rsid w:val="00202325"/>
    <w:rsid w:val="00202736"/>
    <w:rsid w:val="00203652"/>
    <w:rsid w:val="00203E08"/>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098"/>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0F23"/>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09A"/>
    <w:rsid w:val="002D08F3"/>
    <w:rsid w:val="002D18B4"/>
    <w:rsid w:val="002D2058"/>
    <w:rsid w:val="002D231A"/>
    <w:rsid w:val="002D5330"/>
    <w:rsid w:val="002D5F57"/>
    <w:rsid w:val="002D6DB2"/>
    <w:rsid w:val="002D73D4"/>
    <w:rsid w:val="002D7787"/>
    <w:rsid w:val="002E04B2"/>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6EE"/>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41B"/>
    <w:rsid w:val="003320E8"/>
    <w:rsid w:val="0033238E"/>
    <w:rsid w:val="003328FD"/>
    <w:rsid w:val="00332DE3"/>
    <w:rsid w:val="0033334F"/>
    <w:rsid w:val="0033414F"/>
    <w:rsid w:val="00334514"/>
    <w:rsid w:val="0033555E"/>
    <w:rsid w:val="0033601F"/>
    <w:rsid w:val="00336805"/>
    <w:rsid w:val="00337351"/>
    <w:rsid w:val="0034092A"/>
    <w:rsid w:val="00341A54"/>
    <w:rsid w:val="00344A4F"/>
    <w:rsid w:val="00344D17"/>
    <w:rsid w:val="00345B26"/>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45D6"/>
    <w:rsid w:val="003B5854"/>
    <w:rsid w:val="003B6764"/>
    <w:rsid w:val="003B7A8B"/>
    <w:rsid w:val="003C173E"/>
    <w:rsid w:val="003C247E"/>
    <w:rsid w:val="003C294B"/>
    <w:rsid w:val="003C34DF"/>
    <w:rsid w:val="003C5046"/>
    <w:rsid w:val="003C53E8"/>
    <w:rsid w:val="003C5B54"/>
    <w:rsid w:val="003C6068"/>
    <w:rsid w:val="003C7AEC"/>
    <w:rsid w:val="003D2BA3"/>
    <w:rsid w:val="003D316B"/>
    <w:rsid w:val="003D3C22"/>
    <w:rsid w:val="003D4975"/>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0BF"/>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1FA8"/>
    <w:rsid w:val="00433F36"/>
    <w:rsid w:val="00434694"/>
    <w:rsid w:val="00434860"/>
    <w:rsid w:val="00434BBD"/>
    <w:rsid w:val="0043503A"/>
    <w:rsid w:val="00437B8A"/>
    <w:rsid w:val="00437D18"/>
    <w:rsid w:val="00437D77"/>
    <w:rsid w:val="00440137"/>
    <w:rsid w:val="00441D99"/>
    <w:rsid w:val="00442609"/>
    <w:rsid w:val="004429D9"/>
    <w:rsid w:val="004435BE"/>
    <w:rsid w:val="0044384F"/>
    <w:rsid w:val="0044411E"/>
    <w:rsid w:val="00444472"/>
    <w:rsid w:val="00444B93"/>
    <w:rsid w:val="00444F80"/>
    <w:rsid w:val="004452C9"/>
    <w:rsid w:val="00445599"/>
    <w:rsid w:val="00446018"/>
    <w:rsid w:val="0044769D"/>
    <w:rsid w:val="0045027B"/>
    <w:rsid w:val="004504E7"/>
    <w:rsid w:val="00451F9D"/>
    <w:rsid w:val="00453121"/>
    <w:rsid w:val="00453167"/>
    <w:rsid w:val="0045361D"/>
    <w:rsid w:val="004543BC"/>
    <w:rsid w:val="00454F28"/>
    <w:rsid w:val="00455BF9"/>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159"/>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4EBD"/>
    <w:rsid w:val="004B6AF3"/>
    <w:rsid w:val="004B6B34"/>
    <w:rsid w:val="004B6F1F"/>
    <w:rsid w:val="004B715E"/>
    <w:rsid w:val="004B7169"/>
    <w:rsid w:val="004B79C9"/>
    <w:rsid w:val="004C00DD"/>
    <w:rsid w:val="004C05CF"/>
    <w:rsid w:val="004C0776"/>
    <w:rsid w:val="004C129C"/>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186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3CEF"/>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2B01"/>
    <w:rsid w:val="005C3758"/>
    <w:rsid w:val="005C4D72"/>
    <w:rsid w:val="005C50C1"/>
    <w:rsid w:val="005C62C2"/>
    <w:rsid w:val="005D0ABC"/>
    <w:rsid w:val="005D2306"/>
    <w:rsid w:val="005D2562"/>
    <w:rsid w:val="005D2666"/>
    <w:rsid w:val="005D4548"/>
    <w:rsid w:val="005D4A74"/>
    <w:rsid w:val="005D4EA7"/>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27D33"/>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35"/>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07B"/>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CF2"/>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FD5"/>
    <w:rsid w:val="007165CE"/>
    <w:rsid w:val="00717CEB"/>
    <w:rsid w:val="0072017F"/>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724"/>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BC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DD9"/>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4FE"/>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A4"/>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2AA2"/>
    <w:rsid w:val="008C3223"/>
    <w:rsid w:val="008C3FD0"/>
    <w:rsid w:val="008C4F01"/>
    <w:rsid w:val="008C50AD"/>
    <w:rsid w:val="008C5152"/>
    <w:rsid w:val="008C710E"/>
    <w:rsid w:val="008D1484"/>
    <w:rsid w:val="008D2616"/>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38"/>
    <w:rsid w:val="009020ED"/>
    <w:rsid w:val="009026E8"/>
    <w:rsid w:val="00902FDD"/>
    <w:rsid w:val="00905EA6"/>
    <w:rsid w:val="00905EEF"/>
    <w:rsid w:val="0090690D"/>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2DD"/>
    <w:rsid w:val="00926451"/>
    <w:rsid w:val="00926C0A"/>
    <w:rsid w:val="00926FCB"/>
    <w:rsid w:val="009303BB"/>
    <w:rsid w:val="0093108A"/>
    <w:rsid w:val="009319EF"/>
    <w:rsid w:val="00931B6D"/>
    <w:rsid w:val="00932B85"/>
    <w:rsid w:val="0093311A"/>
    <w:rsid w:val="009346D0"/>
    <w:rsid w:val="009369A6"/>
    <w:rsid w:val="00936E38"/>
    <w:rsid w:val="00937433"/>
    <w:rsid w:val="00937F57"/>
    <w:rsid w:val="0094031E"/>
    <w:rsid w:val="009419B4"/>
    <w:rsid w:val="00941A4C"/>
    <w:rsid w:val="00942645"/>
    <w:rsid w:val="009461E6"/>
    <w:rsid w:val="00950A3A"/>
    <w:rsid w:val="00951FD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8E7"/>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572"/>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3FC9"/>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81"/>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2E6D"/>
    <w:rsid w:val="009E3A7F"/>
    <w:rsid w:val="009E4C9B"/>
    <w:rsid w:val="009E4DFC"/>
    <w:rsid w:val="009E5789"/>
    <w:rsid w:val="009E57B1"/>
    <w:rsid w:val="009E6379"/>
    <w:rsid w:val="009F020F"/>
    <w:rsid w:val="009F077E"/>
    <w:rsid w:val="009F0E01"/>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0B66"/>
    <w:rsid w:val="00A314B6"/>
    <w:rsid w:val="00A31DE7"/>
    <w:rsid w:val="00A31FE2"/>
    <w:rsid w:val="00A32743"/>
    <w:rsid w:val="00A361A2"/>
    <w:rsid w:val="00A36444"/>
    <w:rsid w:val="00A36CD4"/>
    <w:rsid w:val="00A40356"/>
    <w:rsid w:val="00A408CB"/>
    <w:rsid w:val="00A40FFB"/>
    <w:rsid w:val="00A41468"/>
    <w:rsid w:val="00A414A9"/>
    <w:rsid w:val="00A44141"/>
    <w:rsid w:val="00A449A7"/>
    <w:rsid w:val="00A44CCA"/>
    <w:rsid w:val="00A44D75"/>
    <w:rsid w:val="00A47CF1"/>
    <w:rsid w:val="00A50418"/>
    <w:rsid w:val="00A50B17"/>
    <w:rsid w:val="00A52A6F"/>
    <w:rsid w:val="00A5362F"/>
    <w:rsid w:val="00A53A9B"/>
    <w:rsid w:val="00A54A47"/>
    <w:rsid w:val="00A558A5"/>
    <w:rsid w:val="00A56A50"/>
    <w:rsid w:val="00A56D26"/>
    <w:rsid w:val="00A571A7"/>
    <w:rsid w:val="00A5749A"/>
    <w:rsid w:val="00A575E1"/>
    <w:rsid w:val="00A57BA8"/>
    <w:rsid w:val="00A57C35"/>
    <w:rsid w:val="00A608FB"/>
    <w:rsid w:val="00A60D83"/>
    <w:rsid w:val="00A60F68"/>
    <w:rsid w:val="00A61A0A"/>
    <w:rsid w:val="00A6233E"/>
    <w:rsid w:val="00A63DF3"/>
    <w:rsid w:val="00A6581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2B06"/>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BB5"/>
    <w:rsid w:val="00B24ED4"/>
    <w:rsid w:val="00B24F33"/>
    <w:rsid w:val="00B26354"/>
    <w:rsid w:val="00B26CA0"/>
    <w:rsid w:val="00B300BD"/>
    <w:rsid w:val="00B31965"/>
    <w:rsid w:val="00B32179"/>
    <w:rsid w:val="00B32341"/>
    <w:rsid w:val="00B32685"/>
    <w:rsid w:val="00B32C2B"/>
    <w:rsid w:val="00B32FFA"/>
    <w:rsid w:val="00B33007"/>
    <w:rsid w:val="00B331A9"/>
    <w:rsid w:val="00B331E5"/>
    <w:rsid w:val="00B33498"/>
    <w:rsid w:val="00B33598"/>
    <w:rsid w:val="00B3575C"/>
    <w:rsid w:val="00B36569"/>
    <w:rsid w:val="00B37345"/>
    <w:rsid w:val="00B37F53"/>
    <w:rsid w:val="00B40A05"/>
    <w:rsid w:val="00B40A3E"/>
    <w:rsid w:val="00B412DB"/>
    <w:rsid w:val="00B427BB"/>
    <w:rsid w:val="00B43BA2"/>
    <w:rsid w:val="00B449EE"/>
    <w:rsid w:val="00B44E92"/>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DD1"/>
    <w:rsid w:val="00B643A6"/>
    <w:rsid w:val="00B64DD6"/>
    <w:rsid w:val="00B64F78"/>
    <w:rsid w:val="00B65A87"/>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1E"/>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6BAD"/>
    <w:rsid w:val="00BB7012"/>
    <w:rsid w:val="00BC08E4"/>
    <w:rsid w:val="00BC09D1"/>
    <w:rsid w:val="00BC1823"/>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90E"/>
    <w:rsid w:val="00BE5D55"/>
    <w:rsid w:val="00BE6365"/>
    <w:rsid w:val="00BF01B7"/>
    <w:rsid w:val="00BF0B7F"/>
    <w:rsid w:val="00BF0E94"/>
    <w:rsid w:val="00BF0F06"/>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52A"/>
    <w:rsid w:val="00C376A7"/>
    <w:rsid w:val="00C40C25"/>
    <w:rsid w:val="00C42443"/>
    <w:rsid w:val="00C42AED"/>
    <w:rsid w:val="00C42CBA"/>
    <w:rsid w:val="00C4338C"/>
    <w:rsid w:val="00C43C2B"/>
    <w:rsid w:val="00C45B27"/>
    <w:rsid w:val="00C4652E"/>
    <w:rsid w:val="00C472C7"/>
    <w:rsid w:val="00C4795A"/>
    <w:rsid w:val="00C5019E"/>
    <w:rsid w:val="00C50C8C"/>
    <w:rsid w:val="00C51962"/>
    <w:rsid w:val="00C5377C"/>
    <w:rsid w:val="00C53E8A"/>
    <w:rsid w:val="00C54DF3"/>
    <w:rsid w:val="00C560A7"/>
    <w:rsid w:val="00C566C9"/>
    <w:rsid w:val="00C56A1F"/>
    <w:rsid w:val="00C56FC8"/>
    <w:rsid w:val="00C60F23"/>
    <w:rsid w:val="00C6170B"/>
    <w:rsid w:val="00C61F16"/>
    <w:rsid w:val="00C62639"/>
    <w:rsid w:val="00C62EB2"/>
    <w:rsid w:val="00C63431"/>
    <w:rsid w:val="00C64C87"/>
    <w:rsid w:val="00C65414"/>
    <w:rsid w:val="00C6590A"/>
    <w:rsid w:val="00C65BE0"/>
    <w:rsid w:val="00C665FE"/>
    <w:rsid w:val="00C66751"/>
    <w:rsid w:val="00C71BEC"/>
    <w:rsid w:val="00C73942"/>
    <w:rsid w:val="00C73A83"/>
    <w:rsid w:val="00C74D3A"/>
    <w:rsid w:val="00C75F3D"/>
    <w:rsid w:val="00C80511"/>
    <w:rsid w:val="00C80655"/>
    <w:rsid w:val="00C80E6A"/>
    <w:rsid w:val="00C81937"/>
    <w:rsid w:val="00C826F5"/>
    <w:rsid w:val="00C83740"/>
    <w:rsid w:val="00C84527"/>
    <w:rsid w:val="00C845FF"/>
    <w:rsid w:val="00C84AD1"/>
    <w:rsid w:val="00C85579"/>
    <w:rsid w:val="00C8590C"/>
    <w:rsid w:val="00C862F1"/>
    <w:rsid w:val="00C863E5"/>
    <w:rsid w:val="00C87BE6"/>
    <w:rsid w:val="00C87F76"/>
    <w:rsid w:val="00C90534"/>
    <w:rsid w:val="00C910DE"/>
    <w:rsid w:val="00C931FC"/>
    <w:rsid w:val="00C932C5"/>
    <w:rsid w:val="00C9386B"/>
    <w:rsid w:val="00C94CB6"/>
    <w:rsid w:val="00C95299"/>
    <w:rsid w:val="00C95A72"/>
    <w:rsid w:val="00C9650E"/>
    <w:rsid w:val="00C97000"/>
    <w:rsid w:val="00C975BD"/>
    <w:rsid w:val="00CA068D"/>
    <w:rsid w:val="00CA08DF"/>
    <w:rsid w:val="00CA1228"/>
    <w:rsid w:val="00CA1C73"/>
    <w:rsid w:val="00CA282D"/>
    <w:rsid w:val="00CA3F73"/>
    <w:rsid w:val="00CA4670"/>
    <w:rsid w:val="00CA4691"/>
    <w:rsid w:val="00CA5F89"/>
    <w:rsid w:val="00CA6B1A"/>
    <w:rsid w:val="00CA720B"/>
    <w:rsid w:val="00CB15B8"/>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C3D"/>
    <w:rsid w:val="00CE0DE0"/>
    <w:rsid w:val="00CE214F"/>
    <w:rsid w:val="00CE2B1F"/>
    <w:rsid w:val="00CE2CC2"/>
    <w:rsid w:val="00CE3461"/>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2B81"/>
    <w:rsid w:val="00D2321B"/>
    <w:rsid w:val="00D23350"/>
    <w:rsid w:val="00D237E7"/>
    <w:rsid w:val="00D23DE4"/>
    <w:rsid w:val="00D25A5C"/>
    <w:rsid w:val="00D26873"/>
    <w:rsid w:val="00D2774F"/>
    <w:rsid w:val="00D27C99"/>
    <w:rsid w:val="00D31683"/>
    <w:rsid w:val="00D33452"/>
    <w:rsid w:val="00D336C8"/>
    <w:rsid w:val="00D339E8"/>
    <w:rsid w:val="00D33FDD"/>
    <w:rsid w:val="00D3445C"/>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5702B"/>
    <w:rsid w:val="00D60483"/>
    <w:rsid w:val="00D61ABB"/>
    <w:rsid w:val="00D61F57"/>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2F81"/>
    <w:rsid w:val="00DB44E2"/>
    <w:rsid w:val="00DB4A6D"/>
    <w:rsid w:val="00DB5941"/>
    <w:rsid w:val="00DB626D"/>
    <w:rsid w:val="00DB6365"/>
    <w:rsid w:val="00DB756C"/>
    <w:rsid w:val="00DC07B7"/>
    <w:rsid w:val="00DC0BF1"/>
    <w:rsid w:val="00DC0F8E"/>
    <w:rsid w:val="00DC11B7"/>
    <w:rsid w:val="00DC1607"/>
    <w:rsid w:val="00DC17F2"/>
    <w:rsid w:val="00DC4001"/>
    <w:rsid w:val="00DC41C3"/>
    <w:rsid w:val="00DC4842"/>
    <w:rsid w:val="00DC4A3C"/>
    <w:rsid w:val="00DC4FA4"/>
    <w:rsid w:val="00DC5028"/>
    <w:rsid w:val="00DC5B37"/>
    <w:rsid w:val="00DD0AB5"/>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90C"/>
    <w:rsid w:val="00E100E3"/>
    <w:rsid w:val="00E1012B"/>
    <w:rsid w:val="00E103C8"/>
    <w:rsid w:val="00E1085B"/>
    <w:rsid w:val="00E10FA5"/>
    <w:rsid w:val="00E1308B"/>
    <w:rsid w:val="00E13EDD"/>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AB7"/>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6E3"/>
    <w:rsid w:val="00EC0E65"/>
    <w:rsid w:val="00EC1251"/>
    <w:rsid w:val="00EC1E0A"/>
    <w:rsid w:val="00EC2938"/>
    <w:rsid w:val="00EC337D"/>
    <w:rsid w:val="00EC38EF"/>
    <w:rsid w:val="00EC4849"/>
    <w:rsid w:val="00EC50C9"/>
    <w:rsid w:val="00EC58B4"/>
    <w:rsid w:val="00EC5BB2"/>
    <w:rsid w:val="00EC75AF"/>
    <w:rsid w:val="00ED05B1"/>
    <w:rsid w:val="00ED12F0"/>
    <w:rsid w:val="00ED23B7"/>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0F62"/>
    <w:rsid w:val="00EE125D"/>
    <w:rsid w:val="00EE23DE"/>
    <w:rsid w:val="00EE3CFB"/>
    <w:rsid w:val="00EE48BB"/>
    <w:rsid w:val="00EE6FE0"/>
    <w:rsid w:val="00EE704A"/>
    <w:rsid w:val="00EE7840"/>
    <w:rsid w:val="00EF2346"/>
    <w:rsid w:val="00EF2E75"/>
    <w:rsid w:val="00EF4C74"/>
    <w:rsid w:val="00EF5268"/>
    <w:rsid w:val="00EF608E"/>
    <w:rsid w:val="00EF6C4A"/>
    <w:rsid w:val="00EF7BAF"/>
    <w:rsid w:val="00F0044B"/>
    <w:rsid w:val="00F00E60"/>
    <w:rsid w:val="00F01A97"/>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0E9F"/>
    <w:rsid w:val="00F22A26"/>
    <w:rsid w:val="00F2361E"/>
    <w:rsid w:val="00F24072"/>
    <w:rsid w:val="00F26432"/>
    <w:rsid w:val="00F3197A"/>
    <w:rsid w:val="00F32139"/>
    <w:rsid w:val="00F33CF0"/>
    <w:rsid w:val="00F33D56"/>
    <w:rsid w:val="00F34E08"/>
    <w:rsid w:val="00F34FB7"/>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2CFA"/>
    <w:rsid w:val="00F8311F"/>
    <w:rsid w:val="00F83248"/>
    <w:rsid w:val="00F83376"/>
    <w:rsid w:val="00F853AE"/>
    <w:rsid w:val="00F90376"/>
    <w:rsid w:val="00F908D5"/>
    <w:rsid w:val="00F912A0"/>
    <w:rsid w:val="00F913B9"/>
    <w:rsid w:val="00F91B14"/>
    <w:rsid w:val="00F93C74"/>
    <w:rsid w:val="00F93DCC"/>
    <w:rsid w:val="00F93EA6"/>
    <w:rsid w:val="00F9435D"/>
    <w:rsid w:val="00F950E8"/>
    <w:rsid w:val="00F966F9"/>
    <w:rsid w:val="00F96F61"/>
    <w:rsid w:val="00F97740"/>
    <w:rsid w:val="00FA0C8F"/>
    <w:rsid w:val="00FA24F2"/>
    <w:rsid w:val="00FA2DEF"/>
    <w:rsid w:val="00FA2F7B"/>
    <w:rsid w:val="00FA3C90"/>
    <w:rsid w:val="00FA3C97"/>
    <w:rsid w:val="00FA3D30"/>
    <w:rsid w:val="00FA3D61"/>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2E82"/>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019"/>
    <w:rsid w:val="00FF61BD"/>
    <w:rsid w:val="00FF741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213964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2012-10-12T15:25:00Z</cp:lastPrinted>
  <dcterms:created xsi:type="dcterms:W3CDTF">2012-11-09T21:05:00Z</dcterms:created>
  <dcterms:modified xsi:type="dcterms:W3CDTF">2012-11-09T21:05:00Z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